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B6648">
      <w:pPr>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lang w:eastAsia="zh-CN"/>
        </w:rPr>
        <w:t>2025年度消防技术服务框架协议（封闭式）采购项目</w:t>
      </w:r>
    </w:p>
    <w:p w14:paraId="099FE80D">
      <w:pPr>
        <w:tabs>
          <w:tab w:val="left" w:pos="2362"/>
        </w:tabs>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eastAsia="zh-CN"/>
        </w:rPr>
        <w:tab/>
      </w:r>
    </w:p>
    <w:p w14:paraId="2808B84B">
      <w:pPr>
        <w:jc w:val="center"/>
        <w:rPr>
          <w:rFonts w:hint="eastAsia" w:ascii="仿宋" w:hAnsi="仿宋" w:eastAsia="仿宋" w:cs="仿宋"/>
          <w:b/>
          <w:bCs/>
          <w:color w:val="auto"/>
          <w:sz w:val="72"/>
          <w:szCs w:val="72"/>
          <w:highlight w:val="none"/>
        </w:rPr>
      </w:pPr>
    </w:p>
    <w:p w14:paraId="40D41DBA">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公</w:t>
      </w:r>
    </w:p>
    <w:p w14:paraId="7AAB7DC4">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开</w:t>
      </w:r>
    </w:p>
    <w:p w14:paraId="0101DFCB">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征</w:t>
      </w:r>
    </w:p>
    <w:p w14:paraId="4E2FCD23">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集</w:t>
      </w:r>
    </w:p>
    <w:p w14:paraId="08C47230">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文</w:t>
      </w:r>
    </w:p>
    <w:p w14:paraId="6BBDCC57">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件</w:t>
      </w:r>
    </w:p>
    <w:p w14:paraId="5F81690D">
      <w:pPr>
        <w:pStyle w:val="3"/>
        <w:rPr>
          <w:rFonts w:hint="eastAsia"/>
          <w:color w:val="auto"/>
          <w:highlight w:val="none"/>
        </w:rPr>
      </w:pPr>
    </w:p>
    <w:p w14:paraId="1A7D3F1C">
      <w:pPr>
        <w:rPr>
          <w:rFonts w:hint="eastAsia"/>
          <w:color w:val="auto"/>
          <w:highlight w:val="none"/>
        </w:rPr>
      </w:pPr>
    </w:p>
    <w:p w14:paraId="1C105E70">
      <w:pPr>
        <w:rPr>
          <w:rFonts w:hint="eastAsia" w:ascii="仿宋" w:hAnsi="仿宋" w:eastAsia="仿宋" w:cs="仿宋"/>
          <w:color w:val="auto"/>
          <w:sz w:val="36"/>
          <w:szCs w:val="36"/>
          <w:highlight w:val="none"/>
        </w:rPr>
      </w:pPr>
    </w:p>
    <w:tbl>
      <w:tblPr>
        <w:tblStyle w:val="31"/>
        <w:tblW w:w="8593" w:type="dxa"/>
        <w:jc w:val="center"/>
        <w:tblLayout w:type="autofit"/>
        <w:tblCellMar>
          <w:top w:w="0" w:type="dxa"/>
          <w:left w:w="108" w:type="dxa"/>
          <w:bottom w:w="0" w:type="dxa"/>
          <w:right w:w="108" w:type="dxa"/>
        </w:tblCellMar>
      </w:tblPr>
      <w:tblGrid>
        <w:gridCol w:w="2396"/>
        <w:gridCol w:w="6197"/>
      </w:tblGrid>
      <w:tr w14:paraId="4CACB19F">
        <w:tblPrEx>
          <w:tblCellMar>
            <w:top w:w="0" w:type="dxa"/>
            <w:left w:w="108" w:type="dxa"/>
            <w:bottom w:w="0" w:type="dxa"/>
            <w:right w:w="108" w:type="dxa"/>
          </w:tblCellMar>
        </w:tblPrEx>
        <w:trPr>
          <w:trHeight w:val="470" w:hRule="exact"/>
          <w:jc w:val="center"/>
        </w:trPr>
        <w:tc>
          <w:tcPr>
            <w:tcW w:w="2396" w:type="dxa"/>
            <w:tcBorders>
              <w:top w:val="nil"/>
              <w:left w:val="nil"/>
              <w:bottom w:val="nil"/>
              <w:right w:val="nil"/>
            </w:tcBorders>
            <w:noWrap/>
            <w:vAlign w:val="center"/>
          </w:tcPr>
          <w:p w14:paraId="36C4E544">
            <w:pPr>
              <w:rPr>
                <w:rFonts w:hint="eastAsia" w:ascii="仿宋" w:hAnsi="仿宋" w:eastAsia="仿宋" w:cs="仿宋"/>
                <w:color w:val="auto"/>
                <w:sz w:val="28"/>
                <w:highlight w:val="none"/>
              </w:rPr>
            </w:pPr>
            <w:r>
              <w:rPr>
                <w:rFonts w:hint="eastAsia" w:ascii="仿宋" w:hAnsi="仿宋" w:eastAsia="仿宋" w:cs="仿宋"/>
                <w:color w:val="auto"/>
                <w:sz w:val="28"/>
                <w:highlight w:val="none"/>
              </w:rPr>
              <w:t>项目编号：</w:t>
            </w:r>
          </w:p>
        </w:tc>
        <w:tc>
          <w:tcPr>
            <w:tcW w:w="6197" w:type="dxa"/>
            <w:tcBorders>
              <w:top w:val="nil"/>
              <w:left w:val="nil"/>
              <w:bottom w:val="nil"/>
              <w:right w:val="nil"/>
            </w:tcBorders>
            <w:noWrap/>
            <w:vAlign w:val="center"/>
          </w:tcPr>
          <w:p w14:paraId="2141F369">
            <w:pPr>
              <w:rPr>
                <w:rFonts w:hint="eastAsia" w:ascii="仿宋" w:hAnsi="仿宋" w:eastAsia="仿宋" w:cs="仿宋"/>
                <w:color w:val="auto"/>
                <w:sz w:val="28"/>
                <w:highlight w:val="none"/>
                <w:u w:val="single"/>
                <w:lang w:eastAsia="zh-CN"/>
              </w:rPr>
            </w:pPr>
            <w:r>
              <w:rPr>
                <w:rFonts w:hint="eastAsia" w:ascii="仿宋" w:hAnsi="仿宋" w:eastAsia="仿宋" w:cs="仿宋"/>
                <w:color w:val="auto"/>
                <w:sz w:val="28"/>
                <w:highlight w:val="none"/>
                <w:lang w:eastAsia="zh-CN"/>
              </w:rPr>
              <w:t>ZJXSC-2025-097</w:t>
            </w:r>
          </w:p>
        </w:tc>
      </w:tr>
      <w:tr w14:paraId="17B29134">
        <w:tblPrEx>
          <w:tblCellMar>
            <w:top w:w="0" w:type="dxa"/>
            <w:left w:w="108" w:type="dxa"/>
            <w:bottom w:w="0" w:type="dxa"/>
            <w:right w:w="108" w:type="dxa"/>
          </w:tblCellMar>
        </w:tblPrEx>
        <w:trPr>
          <w:trHeight w:val="528" w:hRule="exact"/>
          <w:jc w:val="center"/>
        </w:trPr>
        <w:tc>
          <w:tcPr>
            <w:tcW w:w="2396" w:type="dxa"/>
            <w:tcBorders>
              <w:top w:val="nil"/>
              <w:left w:val="nil"/>
              <w:bottom w:val="nil"/>
              <w:right w:val="nil"/>
            </w:tcBorders>
            <w:noWrap/>
            <w:vAlign w:val="center"/>
          </w:tcPr>
          <w:p w14:paraId="18493A9C">
            <w:pPr>
              <w:rPr>
                <w:rFonts w:hint="eastAsia" w:ascii="仿宋" w:hAnsi="仿宋" w:eastAsia="仿宋" w:cs="仿宋"/>
                <w:color w:val="auto"/>
                <w:sz w:val="28"/>
                <w:highlight w:val="none"/>
              </w:rPr>
            </w:pPr>
            <w:r>
              <w:rPr>
                <w:rFonts w:hint="eastAsia" w:ascii="仿宋" w:hAnsi="仿宋" w:eastAsia="仿宋" w:cs="仿宋"/>
                <w:color w:val="auto"/>
                <w:sz w:val="28"/>
                <w:highlight w:val="none"/>
              </w:rPr>
              <w:t>征集人：</w:t>
            </w:r>
          </w:p>
        </w:tc>
        <w:tc>
          <w:tcPr>
            <w:tcW w:w="6197" w:type="dxa"/>
            <w:tcBorders>
              <w:top w:val="nil"/>
              <w:left w:val="nil"/>
              <w:bottom w:val="nil"/>
              <w:right w:val="nil"/>
            </w:tcBorders>
            <w:noWrap/>
            <w:vAlign w:val="center"/>
          </w:tcPr>
          <w:p w14:paraId="6CDB41B2">
            <w:pPr>
              <w:rPr>
                <w:rFonts w:hint="eastAsia" w:ascii="仿宋" w:hAnsi="仿宋" w:eastAsia="仿宋" w:cs="仿宋"/>
                <w:color w:val="auto"/>
                <w:sz w:val="28"/>
                <w:highlight w:val="none"/>
              </w:rPr>
            </w:pPr>
            <w:r>
              <w:rPr>
                <w:rFonts w:hint="eastAsia" w:ascii="仿宋" w:hAnsi="仿宋" w:eastAsia="仿宋" w:cs="仿宋"/>
                <w:color w:val="auto"/>
                <w:sz w:val="27"/>
                <w:szCs w:val="27"/>
                <w:highlight w:val="none"/>
              </w:rPr>
              <w:t>绍兴市越城区住房和城乡建设局</w:t>
            </w:r>
          </w:p>
        </w:tc>
      </w:tr>
      <w:tr w14:paraId="77DCC336">
        <w:tblPrEx>
          <w:tblCellMar>
            <w:top w:w="0" w:type="dxa"/>
            <w:left w:w="108" w:type="dxa"/>
            <w:bottom w:w="0" w:type="dxa"/>
            <w:right w:w="108" w:type="dxa"/>
          </w:tblCellMar>
        </w:tblPrEx>
        <w:trPr>
          <w:trHeight w:val="467" w:hRule="exact"/>
          <w:jc w:val="center"/>
        </w:trPr>
        <w:tc>
          <w:tcPr>
            <w:tcW w:w="2396" w:type="dxa"/>
            <w:tcBorders>
              <w:top w:val="nil"/>
              <w:left w:val="nil"/>
              <w:bottom w:val="nil"/>
              <w:right w:val="nil"/>
            </w:tcBorders>
            <w:noWrap/>
            <w:vAlign w:val="center"/>
          </w:tcPr>
          <w:p w14:paraId="1F2DBD7C">
            <w:pPr>
              <w:rPr>
                <w:rFonts w:hint="eastAsia" w:ascii="仿宋" w:hAnsi="仿宋" w:eastAsia="仿宋" w:cs="仿宋"/>
                <w:color w:val="auto"/>
                <w:sz w:val="28"/>
                <w:highlight w:val="none"/>
              </w:rPr>
            </w:pPr>
            <w:r>
              <w:rPr>
                <w:rFonts w:hint="eastAsia" w:ascii="仿宋" w:hAnsi="仿宋" w:eastAsia="仿宋" w:cs="仿宋"/>
                <w:color w:val="auto"/>
                <w:sz w:val="28"/>
                <w:highlight w:val="none"/>
              </w:rPr>
              <w:t>采购代理机构：</w:t>
            </w:r>
          </w:p>
        </w:tc>
        <w:tc>
          <w:tcPr>
            <w:tcW w:w="6197" w:type="dxa"/>
            <w:tcBorders>
              <w:top w:val="nil"/>
              <w:left w:val="nil"/>
              <w:bottom w:val="nil"/>
              <w:right w:val="nil"/>
            </w:tcBorders>
            <w:noWrap/>
            <w:vAlign w:val="center"/>
          </w:tcPr>
          <w:p w14:paraId="162A2853">
            <w:pPr>
              <w:rPr>
                <w:rFonts w:hint="eastAsia" w:ascii="仿宋" w:hAnsi="仿宋" w:eastAsia="仿宋" w:cs="仿宋"/>
                <w:color w:val="auto"/>
                <w:sz w:val="28"/>
                <w:highlight w:val="none"/>
              </w:rPr>
            </w:pPr>
            <w:r>
              <w:rPr>
                <w:rFonts w:hint="eastAsia" w:ascii="仿宋" w:hAnsi="仿宋" w:eastAsia="仿宋" w:cs="仿宋"/>
                <w:color w:val="auto"/>
                <w:sz w:val="28"/>
                <w:highlight w:val="none"/>
              </w:rPr>
              <w:t>浙江翔实建设项目管理有限公司</w:t>
            </w:r>
          </w:p>
        </w:tc>
      </w:tr>
      <w:tr w14:paraId="50FFC66D">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2E4D1CC">
            <w:pPr>
              <w:rPr>
                <w:rFonts w:hint="eastAsia" w:ascii="仿宋" w:hAnsi="仿宋" w:eastAsia="仿宋" w:cs="仿宋"/>
                <w:color w:val="auto"/>
                <w:sz w:val="28"/>
                <w:highlight w:val="none"/>
              </w:rPr>
            </w:pPr>
            <w:r>
              <w:rPr>
                <w:rFonts w:hint="eastAsia" w:ascii="仿宋" w:hAnsi="仿宋" w:eastAsia="仿宋" w:cs="仿宋"/>
                <w:color w:val="auto"/>
                <w:sz w:val="28"/>
                <w:highlight w:val="none"/>
              </w:rPr>
              <w:t>监督单位：</w:t>
            </w:r>
          </w:p>
        </w:tc>
        <w:tc>
          <w:tcPr>
            <w:tcW w:w="6197" w:type="dxa"/>
            <w:tcBorders>
              <w:top w:val="nil"/>
              <w:left w:val="nil"/>
              <w:bottom w:val="nil"/>
              <w:right w:val="nil"/>
            </w:tcBorders>
            <w:noWrap/>
            <w:vAlign w:val="center"/>
          </w:tcPr>
          <w:p w14:paraId="7A86FBD3">
            <w:pPr>
              <w:rPr>
                <w:rFonts w:hint="eastAsia" w:ascii="仿宋" w:hAnsi="仿宋" w:eastAsia="仿宋" w:cs="仿宋"/>
                <w:color w:val="auto"/>
                <w:sz w:val="28"/>
                <w:highlight w:val="none"/>
              </w:rPr>
            </w:pPr>
            <w:r>
              <w:rPr>
                <w:rFonts w:hint="eastAsia" w:ascii="仿宋" w:hAnsi="仿宋" w:eastAsia="仿宋" w:cs="仿宋"/>
                <w:color w:val="auto"/>
                <w:sz w:val="28"/>
                <w:highlight w:val="none"/>
              </w:rPr>
              <w:t>绍兴市越城区财政局</w:t>
            </w:r>
          </w:p>
        </w:tc>
      </w:tr>
    </w:tbl>
    <w:p w14:paraId="4A914F45">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u w:val="single"/>
        </w:rPr>
        <w:t>202</w:t>
      </w:r>
      <w:r>
        <w:rPr>
          <w:rFonts w:hint="eastAsia" w:ascii="仿宋" w:hAnsi="仿宋" w:eastAsia="仿宋" w:cs="仿宋"/>
          <w:color w:val="auto"/>
          <w:sz w:val="28"/>
          <w:highlight w:val="none"/>
          <w:u w:val="single"/>
          <w:lang w:val="en-US" w:eastAsia="zh-CN"/>
        </w:rPr>
        <w:t>5</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u w:val="single"/>
        </w:rPr>
        <w:t>0</w:t>
      </w:r>
      <w:r>
        <w:rPr>
          <w:rFonts w:hint="eastAsia" w:ascii="仿宋" w:hAnsi="仿宋" w:eastAsia="仿宋" w:cs="仿宋"/>
          <w:color w:val="auto"/>
          <w:sz w:val="28"/>
          <w:highlight w:val="none"/>
          <w:u w:val="single"/>
          <w:lang w:val="en-US" w:eastAsia="zh-CN"/>
        </w:rPr>
        <w:t>6</w:t>
      </w:r>
      <w:r>
        <w:rPr>
          <w:rFonts w:hint="eastAsia" w:ascii="仿宋" w:hAnsi="仿宋" w:eastAsia="仿宋" w:cs="仿宋"/>
          <w:color w:val="auto"/>
          <w:sz w:val="28"/>
          <w:highlight w:val="none"/>
        </w:rPr>
        <w:t>月</w:t>
      </w:r>
    </w:p>
    <w:p w14:paraId="0429BC58">
      <w:pPr>
        <w:rPr>
          <w:rFonts w:hint="eastAsia" w:ascii="仿宋" w:hAnsi="仿宋" w:eastAsia="仿宋" w:cs="仿宋"/>
          <w:color w:val="auto"/>
          <w:sz w:val="28"/>
          <w:highlight w:val="none"/>
        </w:rPr>
      </w:pPr>
    </w:p>
    <w:p w14:paraId="64992BA6">
      <w:pPr>
        <w:jc w:val="center"/>
        <w:rPr>
          <w:rFonts w:hint="eastAsia" w:ascii="仿宋" w:hAnsi="仿宋" w:eastAsia="仿宋" w:cs="仿宋"/>
          <w:color w:val="auto"/>
          <w:sz w:val="28"/>
          <w:highlight w:val="none"/>
        </w:rPr>
      </w:pPr>
      <w:r>
        <w:rPr>
          <w:rFonts w:hint="eastAsia" w:ascii="仿宋" w:hAnsi="仿宋" w:eastAsia="仿宋" w:cs="仿宋"/>
          <w:b/>
          <w:color w:val="auto"/>
          <w:sz w:val="44"/>
          <w:szCs w:val="44"/>
          <w:highlight w:val="none"/>
        </w:rPr>
        <w:t>目录</w:t>
      </w:r>
    </w:p>
    <w:p w14:paraId="2529FEBD">
      <w:pPr>
        <w:jc w:val="center"/>
        <w:rPr>
          <w:rFonts w:hint="eastAsia" w:ascii="仿宋" w:hAnsi="仿宋" w:eastAsia="仿宋" w:cs="仿宋"/>
          <w:b/>
          <w:color w:val="auto"/>
          <w:sz w:val="44"/>
          <w:szCs w:val="44"/>
          <w:highlight w:val="none"/>
        </w:rPr>
      </w:pPr>
    </w:p>
    <w:p w14:paraId="634205F9">
      <w:pPr>
        <w:pStyle w:val="21"/>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TOC \o "1-2" \h \u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"_Toc7518"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第一章  征集公告</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_Toc7518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726F33F3">
      <w:pPr>
        <w:pStyle w:val="21"/>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"_Toc32716"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第二章  供应商须知</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_Toc32716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7</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634DCFC6">
      <w:pPr>
        <w:pStyle w:val="25"/>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"_Toc24855"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一、前附表</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_Toc24855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7</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33E40F75">
      <w:pPr>
        <w:pStyle w:val="25"/>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"_Toc26915"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二、征集文件</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_Toc26915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9</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458F46EF">
      <w:pPr>
        <w:pStyle w:val="25"/>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"_Toc15396"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三、响应文件</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_Toc15396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11</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54828E3D">
      <w:pPr>
        <w:pStyle w:val="25"/>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"_Toc29928"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四、开标评标</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_Toc29928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14</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781FAB24">
      <w:pPr>
        <w:pStyle w:val="21"/>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"_Toc7093"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第三章  采购需求</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_Toc7093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22</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5F5155AD">
      <w:pPr>
        <w:pStyle w:val="25"/>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"_Toc16556"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一、服务清单及要求</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_Toc16556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22</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025A30F4">
      <w:pPr>
        <w:pStyle w:val="25"/>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"_Toc8094"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二、商务要求</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_Toc8094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27</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2D131EFB">
      <w:pPr>
        <w:pStyle w:val="21"/>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"_Toc2933"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第四章 拟签订的框架协议文本和采购合同文本</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_Toc2933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29</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0948CF67">
      <w:pPr>
        <w:pStyle w:val="21"/>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"_Toc2315"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第五章  确定第一阶段入围供应商的评审方法</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_Toc2315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32FF4B7A">
      <w:pPr>
        <w:pStyle w:val="21"/>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"_Toc10425"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第六章  响应文件格式附件</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_Toc10425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47</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3C24513D">
      <w:pPr>
        <w:pStyle w:val="21"/>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"_Toc3261"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第七章  询问、质疑及投诉</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_Toc3261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66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7E345AE7">
      <w:pPr>
        <w:pStyle w:val="25"/>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"_Toc29690"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一、供应商询问</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_Toc29690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66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7A6E04DD">
      <w:pPr>
        <w:pStyle w:val="25"/>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"_Toc12050"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二、供应商质疑</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_Toc12050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66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0A2864D3">
      <w:pPr>
        <w:pStyle w:val="25"/>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"_Toc27469"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三、供应商投诉</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_Toc27469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67</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098DCEBD">
      <w:pPr>
        <w:pStyle w:val="25"/>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30"/>
          <w:szCs w:val="30"/>
          <w:highlight w:val="none"/>
        </w:rPr>
        <w:fldChar w:fldCharType="end"/>
      </w:r>
    </w:p>
    <w:p w14:paraId="5BAFCB0D">
      <w:pPr>
        <w:pStyle w:val="2"/>
        <w:jc w:val="both"/>
        <w:rPr>
          <w:rFonts w:hint="eastAsia" w:ascii="仿宋" w:hAnsi="仿宋" w:eastAsia="仿宋" w:cs="仿宋"/>
          <w:color w:val="auto"/>
          <w:sz w:val="28"/>
          <w:szCs w:val="28"/>
          <w:highlight w:val="none"/>
        </w:rPr>
        <w:sectPr>
          <w:footerReference r:id="rId3" w:type="default"/>
          <w:pgSz w:w="11907" w:h="16840"/>
          <w:pgMar w:top="1440" w:right="1463" w:bottom="1440" w:left="1803" w:header="851" w:footer="992" w:gutter="0"/>
          <w:cols w:space="720" w:num="1"/>
          <w:docGrid w:type="lines" w:linePitch="312" w:charSpace="0"/>
        </w:sectPr>
      </w:pPr>
    </w:p>
    <w:p w14:paraId="29E28FBE">
      <w:pPr>
        <w:pStyle w:val="2"/>
        <w:rPr>
          <w:rFonts w:hint="eastAsia" w:ascii="仿宋" w:hAnsi="仿宋" w:eastAsia="仿宋" w:cs="仿宋"/>
          <w:color w:val="auto"/>
          <w:highlight w:val="none"/>
        </w:rPr>
      </w:pPr>
      <w:bookmarkStart w:id="0" w:name="_Toc30685"/>
      <w:bookmarkStart w:id="1" w:name="_Toc7518"/>
      <w:r>
        <w:rPr>
          <w:rFonts w:hint="eastAsia" w:ascii="仿宋" w:hAnsi="仿宋" w:eastAsia="仿宋" w:cs="仿宋"/>
          <w:color w:val="auto"/>
          <w:highlight w:val="none"/>
        </w:rPr>
        <w:t>第一章  征集公告</w:t>
      </w:r>
      <w:bookmarkEnd w:id="0"/>
      <w:bookmarkEnd w:id="1"/>
    </w:p>
    <w:p w14:paraId="33B8AE25">
      <w:pPr>
        <w:spacing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浙江翔实建设项目管理有限公司受绍兴市越城区住房和城乡建设局委托，现公开征集“</w:t>
      </w:r>
      <w:r>
        <w:rPr>
          <w:rFonts w:hint="eastAsia" w:ascii="仿宋" w:hAnsi="仿宋" w:eastAsia="仿宋" w:cs="仿宋"/>
          <w:bCs/>
          <w:color w:val="auto"/>
          <w:sz w:val="24"/>
          <w:szCs w:val="24"/>
          <w:highlight w:val="none"/>
          <w:lang w:eastAsia="zh-CN"/>
        </w:rPr>
        <w:t>2025年度消防技术服务框架协议（封闭式）采购项目</w:t>
      </w:r>
      <w:r>
        <w:rPr>
          <w:rFonts w:hint="eastAsia" w:ascii="仿宋" w:hAnsi="仿宋" w:eastAsia="仿宋" w:cs="仿宋"/>
          <w:bCs/>
          <w:color w:val="auto"/>
          <w:sz w:val="24"/>
          <w:szCs w:val="24"/>
          <w:highlight w:val="none"/>
        </w:rPr>
        <w:t>”供应商，现将有关事项公告如下：</w:t>
      </w:r>
    </w:p>
    <w:p w14:paraId="2AE3F5C6">
      <w:pPr>
        <w:adjustRightIn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14:paraId="5063700E">
      <w:pPr>
        <w:adjustRightInd w:val="0"/>
        <w:spacing w:line="440" w:lineRule="exact"/>
        <w:ind w:firstLine="48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szCs w:val="24"/>
          <w:highlight w:val="none"/>
          <w:lang w:eastAsia="zh-CN"/>
        </w:rPr>
        <w:t>ZJXSC-2025-097</w:t>
      </w:r>
    </w:p>
    <w:p w14:paraId="703272A8">
      <w:pPr>
        <w:adjustRightInd w:val="0"/>
        <w:spacing w:line="440" w:lineRule="exact"/>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 xml:space="preserve">    项目名称：</w:t>
      </w:r>
      <w:r>
        <w:rPr>
          <w:rFonts w:hint="eastAsia" w:ascii="仿宋" w:hAnsi="仿宋" w:eastAsia="仿宋" w:cs="仿宋"/>
          <w:bCs/>
          <w:color w:val="auto"/>
          <w:sz w:val="24"/>
          <w:szCs w:val="24"/>
          <w:highlight w:val="none"/>
          <w:lang w:eastAsia="zh-CN"/>
        </w:rPr>
        <w:t>2025年度消防技术服务框架协议（封闭式）采购项目</w:t>
      </w:r>
    </w:p>
    <w:p w14:paraId="2D6C3A54">
      <w:pPr>
        <w:pStyle w:val="16"/>
        <w:adjustRightInd w:val="0"/>
        <w:snapToGrid w:val="0"/>
        <w:spacing w:line="440" w:lineRule="exact"/>
        <w:ind w:firstLine="482" w:firstLineChars="20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采购需求：详见征集文件第三章采购需求。</w:t>
      </w:r>
    </w:p>
    <w:p w14:paraId="0E4F7DEA">
      <w:pPr>
        <w:pStyle w:val="8"/>
        <w:adjustRightInd w:val="0"/>
        <w:spacing w:line="440" w:lineRule="exact"/>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项目概况及最高限价：</w:t>
      </w:r>
    </w:p>
    <w:tbl>
      <w:tblPr>
        <w:tblStyle w:val="31"/>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3388"/>
        <w:gridCol w:w="2137"/>
        <w:gridCol w:w="2335"/>
      </w:tblGrid>
      <w:tr w14:paraId="30D7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58" w:type="dxa"/>
            <w:noWrap/>
            <w:vAlign w:val="center"/>
          </w:tcPr>
          <w:p w14:paraId="0A843526">
            <w:pPr>
              <w:widowControl/>
              <w:adjustRightInd w:val="0"/>
              <w:snapToGrid w:val="0"/>
              <w:spacing w:line="44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标项</w:t>
            </w:r>
          </w:p>
        </w:tc>
        <w:tc>
          <w:tcPr>
            <w:tcW w:w="3388" w:type="dxa"/>
            <w:noWrap/>
            <w:vAlign w:val="center"/>
          </w:tcPr>
          <w:p w14:paraId="12BF9FA5">
            <w:pPr>
              <w:widowControl/>
              <w:adjustRightInd w:val="0"/>
              <w:snapToGrid w:val="0"/>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内容</w:t>
            </w:r>
          </w:p>
        </w:tc>
        <w:tc>
          <w:tcPr>
            <w:tcW w:w="2137" w:type="dxa"/>
            <w:noWrap/>
            <w:vAlign w:val="center"/>
          </w:tcPr>
          <w:p w14:paraId="03228A60">
            <w:pPr>
              <w:widowControl/>
              <w:adjustRightInd w:val="0"/>
              <w:snapToGrid w:val="0"/>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预算金额（元）</w:t>
            </w:r>
          </w:p>
        </w:tc>
        <w:tc>
          <w:tcPr>
            <w:tcW w:w="2335" w:type="dxa"/>
            <w:noWrap/>
            <w:vAlign w:val="center"/>
          </w:tcPr>
          <w:p w14:paraId="6A227C89">
            <w:pPr>
              <w:widowControl/>
              <w:adjustRightInd w:val="0"/>
              <w:snapToGrid w:val="0"/>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最高限制单价</w:t>
            </w:r>
          </w:p>
        </w:tc>
      </w:tr>
      <w:tr w14:paraId="6F12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58" w:type="dxa"/>
            <w:noWrap/>
            <w:vAlign w:val="center"/>
          </w:tcPr>
          <w:p w14:paraId="1A3D5DDE">
            <w:pPr>
              <w:adjustRightInd w:val="0"/>
              <w:snapToGrid w:val="0"/>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3388" w:type="dxa"/>
            <w:noWrap/>
            <w:vAlign w:val="center"/>
          </w:tcPr>
          <w:p w14:paraId="1F6CA973">
            <w:pPr>
              <w:widowControl/>
              <w:adjustRightInd w:val="0"/>
              <w:snapToGrid w:val="0"/>
              <w:spacing w:line="440" w:lineRule="exact"/>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2025年度消防技术服务框架协议（封闭式）采购项目</w:t>
            </w:r>
          </w:p>
        </w:tc>
        <w:tc>
          <w:tcPr>
            <w:tcW w:w="2137" w:type="dxa"/>
            <w:noWrap/>
            <w:vAlign w:val="center"/>
          </w:tcPr>
          <w:p w14:paraId="4A460674">
            <w:pPr>
              <w:widowControl/>
              <w:adjustRightInd w:val="0"/>
              <w:snapToGrid w:val="0"/>
              <w:spacing w:line="44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3000000</w:t>
            </w:r>
          </w:p>
        </w:tc>
        <w:tc>
          <w:tcPr>
            <w:tcW w:w="2335" w:type="dxa"/>
            <w:noWrap/>
            <w:vAlign w:val="center"/>
          </w:tcPr>
          <w:p w14:paraId="6BE4D070">
            <w:pPr>
              <w:widowControl/>
              <w:adjustRightInd w:val="0"/>
              <w:snapToGrid w:val="0"/>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pacing w:val="20"/>
                <w:sz w:val="24"/>
                <w:highlight w:val="none"/>
              </w:rPr>
              <w:t>1.</w:t>
            </w:r>
            <w:r>
              <w:rPr>
                <w:rFonts w:hint="eastAsia" w:ascii="仿宋" w:hAnsi="仿宋" w:eastAsia="仿宋" w:cs="仿宋"/>
                <w:color w:val="auto"/>
                <w:spacing w:val="20"/>
                <w:sz w:val="24"/>
                <w:highlight w:val="none"/>
                <w:lang w:val="en-US" w:eastAsia="zh-CN"/>
              </w:rPr>
              <w:t>2</w:t>
            </w:r>
            <w:r>
              <w:rPr>
                <w:rFonts w:hint="eastAsia" w:ascii="仿宋" w:hAnsi="仿宋" w:eastAsia="仿宋" w:cs="仿宋"/>
                <w:color w:val="auto"/>
                <w:sz w:val="24"/>
                <w:highlight w:val="none"/>
              </w:rPr>
              <w:t>元/㎡</w:t>
            </w:r>
          </w:p>
        </w:tc>
      </w:tr>
    </w:tbl>
    <w:p w14:paraId="464DEA22">
      <w:pPr>
        <w:pStyle w:val="8"/>
        <w:adjustRightInd w:val="0"/>
        <w:spacing w:line="440" w:lineRule="exact"/>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具体以征集文件第三章采购需求为准。</w:t>
      </w:r>
    </w:p>
    <w:p w14:paraId="76AE8CA6">
      <w:pPr>
        <w:pStyle w:val="48"/>
        <w:adjustRightInd w:val="0"/>
        <w:spacing w:before="0" w:line="440" w:lineRule="exact"/>
        <w:ind w:firstLine="482"/>
        <w:outlineLvl w:val="2"/>
        <w:rPr>
          <w:rFonts w:hint="eastAsia" w:ascii="仿宋" w:hAnsi="仿宋" w:eastAsia="仿宋" w:cs="仿宋"/>
          <w:b/>
          <w:color w:val="auto"/>
          <w:szCs w:val="24"/>
          <w:highlight w:val="none"/>
        </w:rPr>
      </w:pPr>
      <w:r>
        <w:rPr>
          <w:rFonts w:hint="eastAsia" w:ascii="仿宋" w:hAnsi="仿宋" w:eastAsia="仿宋" w:cs="仿宋"/>
          <w:b/>
          <w:bCs/>
          <w:color w:val="auto"/>
          <w:szCs w:val="24"/>
          <w:highlight w:val="none"/>
        </w:rPr>
        <w:t>适用范围：绍兴市越城区住房和城乡建设局管辖的消防验收或备案抽查项目。</w:t>
      </w:r>
    </w:p>
    <w:p w14:paraId="10940FF9">
      <w:pPr>
        <w:pStyle w:val="48"/>
        <w:adjustRightInd w:val="0"/>
        <w:spacing w:before="0" w:line="440" w:lineRule="exact"/>
        <w:ind w:firstLine="482"/>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框架协议期限：</w:t>
      </w:r>
      <w:r>
        <w:rPr>
          <w:rFonts w:hint="eastAsia" w:ascii="仿宋" w:hAnsi="仿宋" w:eastAsia="仿宋" w:cs="仿宋"/>
          <w:b/>
          <w:color w:val="auto"/>
          <w:szCs w:val="24"/>
          <w:highlight w:val="none"/>
          <w:lang w:val="en-US" w:eastAsia="zh-CN"/>
        </w:rPr>
        <w:t>12</w:t>
      </w:r>
      <w:r>
        <w:rPr>
          <w:rFonts w:hint="eastAsia" w:ascii="仿宋" w:hAnsi="仿宋" w:eastAsia="仿宋" w:cs="仿宋"/>
          <w:b/>
          <w:color w:val="auto"/>
          <w:szCs w:val="24"/>
          <w:highlight w:val="none"/>
          <w:lang w:eastAsia="zh-CN"/>
        </w:rPr>
        <w:t>个月</w:t>
      </w:r>
      <w:r>
        <w:rPr>
          <w:rFonts w:hint="eastAsia" w:ascii="仿宋" w:hAnsi="仿宋" w:eastAsia="仿宋" w:cs="仿宋"/>
          <w:b/>
          <w:color w:val="auto"/>
          <w:szCs w:val="24"/>
          <w:highlight w:val="none"/>
        </w:rPr>
        <w:t>，具体以合同签订时间为准。</w:t>
      </w:r>
    </w:p>
    <w:p w14:paraId="6A3789EB">
      <w:pPr>
        <w:adjustRightIn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二、供应商应具备的资格条件：</w:t>
      </w:r>
    </w:p>
    <w:p w14:paraId="5059D93B">
      <w:pPr>
        <w:adjustRightInd w:val="0"/>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1.基本要求：</w:t>
      </w:r>
      <w:r>
        <w:rPr>
          <w:rFonts w:hint="eastAsia" w:ascii="仿宋" w:hAnsi="仿宋" w:eastAsia="仿宋" w:cs="仿宋"/>
          <w:bCs/>
          <w:color w:val="auto"/>
          <w:sz w:val="24"/>
          <w:szCs w:val="24"/>
          <w:highlight w:val="none"/>
        </w:rPr>
        <w:t>符合《中华人民共和国政府采购法》第二十二条和《关于规范政府采购供应商资格设定及资格审查的通知》（浙财采监﹝2013﹞24号）的第六条之规定,且未被“信用中国”（www.creditchina.gov.cn）、中国政府采购网（www.ccgp.gov.cn）列入失信被执行人、</w:t>
      </w:r>
      <w:r>
        <w:rPr>
          <w:rFonts w:hint="eastAsia" w:ascii="仿宋" w:hAnsi="仿宋" w:eastAsia="仿宋" w:cs="仿宋"/>
          <w:bCs/>
          <w:color w:val="auto"/>
          <w:sz w:val="24"/>
          <w:szCs w:val="24"/>
          <w:highlight w:val="none"/>
          <w:lang w:eastAsia="zh-CN"/>
        </w:rPr>
        <w:t>重大税收违法失信主体</w:t>
      </w:r>
      <w:r>
        <w:rPr>
          <w:rFonts w:hint="eastAsia" w:ascii="仿宋" w:hAnsi="仿宋" w:eastAsia="仿宋" w:cs="仿宋"/>
          <w:bCs/>
          <w:color w:val="auto"/>
          <w:sz w:val="24"/>
          <w:szCs w:val="24"/>
          <w:highlight w:val="none"/>
        </w:rPr>
        <w:t>和政府采购严重违法失信行为记录名单</w:t>
      </w:r>
      <w:r>
        <w:rPr>
          <w:rFonts w:hint="eastAsia" w:ascii="仿宋" w:hAnsi="仿宋" w:eastAsia="仿宋" w:cs="仿宋"/>
          <w:color w:val="auto"/>
          <w:sz w:val="24"/>
          <w:szCs w:val="24"/>
          <w:highlight w:val="none"/>
        </w:rPr>
        <w:t>。</w:t>
      </w:r>
    </w:p>
    <w:p w14:paraId="2B3D702C">
      <w:pPr>
        <w:adjustRightIn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2.特定资格要求：</w:t>
      </w:r>
    </w:p>
    <w:p w14:paraId="2432EBBD">
      <w:pPr>
        <w:spacing w:line="360" w:lineRule="auto"/>
        <w:ind w:firstLine="480" w:firstLineChars="200"/>
        <w:jc w:val="left"/>
        <w:rPr>
          <w:rFonts w:hint="eastAsia" w:ascii="仿宋" w:hAnsi="仿宋" w:eastAsia="仿宋" w:cs="仿宋"/>
          <w:strike/>
          <w:color w:val="auto"/>
          <w:sz w:val="24"/>
          <w:szCs w:val="24"/>
          <w:highlight w:val="none"/>
        </w:rPr>
      </w:pPr>
      <w:r>
        <w:rPr>
          <w:rFonts w:hint="eastAsia" w:ascii="仿宋" w:hAnsi="仿宋" w:eastAsia="仿宋" w:cs="仿宋"/>
          <w:bCs/>
          <w:color w:val="auto"/>
          <w:sz w:val="24"/>
          <w:szCs w:val="24"/>
          <w:highlight w:val="none"/>
        </w:rPr>
        <w:t>标项1：</w:t>
      </w:r>
      <w:r>
        <w:rPr>
          <w:rFonts w:hint="eastAsia" w:ascii="仿宋" w:hAnsi="仿宋" w:eastAsia="仿宋" w:cs="仿宋"/>
          <w:bCs/>
          <w:color w:val="auto"/>
          <w:sz w:val="24"/>
          <w:szCs w:val="24"/>
          <w:highlight w:val="none"/>
          <w:lang w:val="en-US" w:eastAsia="zh-CN"/>
        </w:rPr>
        <w:t>符合《消防技术服务机构从业条件》中从事消防设施维护保养检测或消防安全评估服务的消防技术服务机构（提供承诺书）</w:t>
      </w:r>
      <w:r>
        <w:rPr>
          <w:rFonts w:hint="eastAsia" w:ascii="仿宋" w:hAnsi="仿宋" w:eastAsia="仿宋" w:cs="仿宋"/>
          <w:bCs/>
          <w:color w:val="auto"/>
          <w:sz w:val="24"/>
          <w:szCs w:val="24"/>
          <w:highlight w:val="none"/>
        </w:rPr>
        <w:t>、具有建筑设计乙级资质以上的单位。</w:t>
      </w:r>
    </w:p>
    <w:p w14:paraId="7E840403">
      <w:pPr>
        <w:adjustRightIn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3.落实政府采购政策需满足的资格要求：无。  </w:t>
      </w:r>
    </w:p>
    <w:p w14:paraId="03C39BB9">
      <w:pPr>
        <w:adjustRightInd w:val="0"/>
        <w:snapToGrid w:val="0"/>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4.单位负责人为同一人或者存在直接控股、管理关系的不同供应商，不得同时参加同一采购包（标项）。</w:t>
      </w:r>
    </w:p>
    <w:p w14:paraId="65D2EBDA">
      <w:pPr>
        <w:pStyle w:val="30"/>
        <w:spacing w:after="0" w:line="440" w:lineRule="exact"/>
        <w:ind w:left="0" w:leftChars="0"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5.本项目接受联合体投标。</w:t>
      </w:r>
    </w:p>
    <w:p w14:paraId="79D77C65">
      <w:pPr>
        <w:adjustRightIn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三、获取征集文件的时间、地点和方式 </w:t>
      </w:r>
    </w:p>
    <w:p w14:paraId="34A5E64F">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/至</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7月21日</w:t>
      </w:r>
      <w:r>
        <w:rPr>
          <w:rFonts w:hint="eastAsia" w:ascii="仿宋" w:hAnsi="仿宋" w:eastAsia="仿宋" w:cs="仿宋"/>
          <w:color w:val="auto"/>
          <w:sz w:val="24"/>
          <w:szCs w:val="24"/>
          <w:highlight w:val="none"/>
        </w:rPr>
        <w:t xml:space="preserve"> ，每天上午00:00至12:00 ，下午12:00至23:59（北京时间，线上获取法定节假日均可，线下获取文件法定节假日除外）。</w:t>
      </w:r>
    </w:p>
    <w:p w14:paraId="68EA72A5">
      <w:pPr>
        <w:spacing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地点（网址）：</w:t>
      </w:r>
      <w:r>
        <w:rPr>
          <w:rFonts w:hint="eastAsia" w:ascii="仿宋" w:hAnsi="仿宋" w:eastAsia="仿宋" w:cs="仿宋"/>
          <w:bCs/>
          <w:color w:val="auto"/>
          <w:sz w:val="24"/>
          <w:szCs w:val="24"/>
          <w:highlight w:val="non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"http://zcy.gov.cn/"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u w:val="single"/>
        </w:rPr>
        <w:t>http://www.zcygov.cn/</w:t>
      </w:r>
      <w:r>
        <w:rPr>
          <w:rFonts w:hint="eastAsia" w:ascii="仿宋" w:hAnsi="仿宋" w:eastAsia="仿宋" w:cs="仿宋"/>
          <w:bCs/>
          <w:color w:val="auto"/>
          <w:sz w:val="24"/>
          <w:szCs w:val="24"/>
          <w:highlight w:val="none"/>
          <w:u w:val="single"/>
        </w:rPr>
        <w:fldChar w:fldCharType="end"/>
      </w:r>
    </w:p>
    <w:p w14:paraId="1FF99284">
      <w:pPr>
        <w:spacing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方式：供应商登陆政采云平台https://www.zcygov.cn/在线申请获取采购文件（进入“项目采购”应用，在获取采购文件菜单中选择项目，申请获取采购文件） （如以联合体形式参加政府采购活动的，联合体牵头人须获取采购文件）</w:t>
      </w:r>
    </w:p>
    <w:p w14:paraId="0F414433">
      <w:pPr>
        <w:adjustRightIn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四、响应文件的提交方式、提交截止时间和地点，开启方式、时间和地点</w:t>
      </w:r>
    </w:p>
    <w:p w14:paraId="6DB5D9E6">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提交响应文件截止时间：</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7月21日</w:t>
      </w:r>
      <w:r>
        <w:rPr>
          <w:rFonts w:hint="eastAsia" w:ascii="仿宋" w:hAnsi="仿宋" w:eastAsia="仿宋" w:cs="仿宋"/>
          <w:bCs/>
          <w:color w:val="auto"/>
          <w:sz w:val="24"/>
          <w:szCs w:val="24"/>
          <w:highlight w:val="none"/>
          <w:u w:val="single"/>
          <w:lang w:val="en-US" w:eastAsia="zh-CN"/>
        </w:rPr>
        <w:t>09</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lang w:val="en-US" w:eastAsia="zh-CN"/>
        </w:rPr>
        <w:t>00</w:t>
      </w:r>
      <w:r>
        <w:rPr>
          <w:rFonts w:hint="eastAsia" w:ascii="仿宋" w:hAnsi="仿宋" w:eastAsia="仿宋" w:cs="仿宋"/>
          <w:bCs/>
          <w:color w:val="auto"/>
          <w:sz w:val="24"/>
          <w:szCs w:val="24"/>
          <w:highlight w:val="none"/>
        </w:rPr>
        <w:t>（北京时间）</w:t>
      </w:r>
    </w:p>
    <w:p w14:paraId="0037D04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投标地点（网址）：政采云平台http://www.zcygov.cn/</w:t>
      </w:r>
      <w:bookmarkStart w:id="72" w:name="_GoBack"/>
      <w:bookmarkEnd w:id="72"/>
      <w:r>
        <w:rPr>
          <w:rFonts w:hint="eastAsia" w:ascii="仿宋" w:hAnsi="仿宋" w:eastAsia="仿宋" w:cs="仿宋"/>
          <w:color w:val="auto"/>
          <w:sz w:val="24"/>
          <w:szCs w:val="24"/>
          <w:highlight w:val="none"/>
        </w:rPr>
        <w:t>在线递交，不接收纸质响应文件。</w:t>
      </w:r>
    </w:p>
    <w:p w14:paraId="1A6CB6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7月21日</w:t>
      </w:r>
      <w:r>
        <w:rPr>
          <w:rFonts w:hint="eastAsia" w:ascii="仿宋" w:hAnsi="仿宋" w:eastAsia="仿宋" w:cs="仿宋"/>
          <w:bCs/>
          <w:color w:val="auto"/>
          <w:sz w:val="24"/>
          <w:szCs w:val="24"/>
          <w:highlight w:val="none"/>
          <w:u w:val="single"/>
          <w:lang w:val="en-US" w:eastAsia="zh-CN"/>
        </w:rPr>
        <w:t>09</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lang w:val="en-US" w:eastAsia="zh-CN"/>
        </w:rPr>
        <w:t>00</w:t>
      </w:r>
    </w:p>
    <w:p w14:paraId="7E461F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开标地点（网址）：政采云平台http://www.zcygov.cn/；现场开标地点：</w:t>
      </w:r>
      <w:r>
        <w:rPr>
          <w:rFonts w:hint="eastAsia" w:ascii="仿宋" w:hAnsi="仿宋" w:eastAsia="仿宋" w:cs="仿宋"/>
          <w:color w:val="auto"/>
          <w:sz w:val="24"/>
          <w:szCs w:val="24"/>
          <w:highlight w:val="none"/>
          <w:lang w:eastAsia="zh-CN"/>
        </w:rPr>
        <w:t>浙江省绍兴市越城区阳明北路692号浙江翔实建设项目管理有限公司一楼</w:t>
      </w:r>
      <w:r>
        <w:rPr>
          <w:rFonts w:hint="eastAsia" w:ascii="仿宋" w:hAnsi="仿宋" w:eastAsia="仿宋" w:cs="仿宋"/>
          <w:color w:val="auto"/>
          <w:sz w:val="24"/>
          <w:szCs w:val="24"/>
          <w:highlight w:val="none"/>
          <w:lang w:val="en-US" w:eastAsia="zh-CN"/>
        </w:rPr>
        <w:t>开标室。</w:t>
      </w:r>
    </w:p>
    <w:p w14:paraId="5E0BCF1C">
      <w:pPr>
        <w:adjustRightInd w:val="0"/>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五、公告期限 </w:t>
      </w:r>
    </w:p>
    <w:p w14:paraId="307CE112">
      <w:pPr>
        <w:adjustRightIn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06CF91FF">
      <w:pPr>
        <w:spacing w:line="440" w:lineRule="exact"/>
        <w:ind w:firstLine="482" w:firstLineChars="200"/>
        <w:rPr>
          <w:rFonts w:hint="eastAsia" w:ascii="仿宋" w:hAnsi="仿宋" w:eastAsia="仿宋" w:cs="仿宋"/>
          <w:b/>
          <w:bCs/>
          <w:color w:val="auto"/>
          <w:sz w:val="24"/>
          <w:szCs w:val="24"/>
          <w:highlight w:val="none"/>
        </w:rPr>
      </w:pPr>
      <w:bookmarkStart w:id="2" w:name="_Toc35393626"/>
      <w:bookmarkStart w:id="3" w:name="_Toc35393795"/>
      <w:r>
        <w:rPr>
          <w:rFonts w:hint="eastAsia" w:ascii="仿宋" w:hAnsi="仿宋" w:eastAsia="仿宋" w:cs="仿宋"/>
          <w:b/>
          <w:bCs/>
          <w:color w:val="auto"/>
          <w:sz w:val="24"/>
          <w:szCs w:val="24"/>
          <w:highlight w:val="none"/>
        </w:rPr>
        <w:t>六、其他补充事宜</w:t>
      </w:r>
      <w:bookmarkEnd w:id="2"/>
      <w:bookmarkEnd w:id="3"/>
    </w:p>
    <w:p w14:paraId="6D585D34">
      <w:pPr>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征集文件有关规定与上述文件内容不一致的，按上述文件要求执行。</w:t>
      </w:r>
    </w:p>
    <w:p w14:paraId="76823FF3">
      <w:pPr>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cs="仿宋"/>
          <w:b/>
          <w:bCs/>
          <w:color w:val="auto"/>
          <w:sz w:val="24"/>
          <w:szCs w:val="24"/>
          <w:highlight w:val="none"/>
        </w:rPr>
        <w:t>详见征集文件第七章。</w:t>
      </w:r>
    </w:p>
    <w:p w14:paraId="28B3B441">
      <w:pPr>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3.其他事项：</w:t>
      </w:r>
      <w:r>
        <w:rPr>
          <w:rFonts w:hint="eastAsia" w:ascii="仿宋" w:hAnsi="仿宋" w:eastAsia="仿宋" w:cs="仿宋"/>
          <w:color w:val="auto"/>
          <w:kern w:val="0"/>
          <w:sz w:val="24"/>
          <w:szCs w:val="24"/>
          <w:highlight w:val="none"/>
          <w:u w:val="wave"/>
        </w:rPr>
        <w:t>详见征集文件“征集公告补充事项”。（重要）</w:t>
      </w:r>
    </w:p>
    <w:p w14:paraId="10EE67A5">
      <w:pPr>
        <w:spacing w:beforeLines="100" w:afterLines="100"/>
        <w:rPr>
          <w:rFonts w:hint="eastAsia" w:ascii="仿宋" w:hAnsi="仿宋" w:eastAsia="仿宋" w:cs="仿宋"/>
          <w:b/>
          <w:bCs/>
          <w:color w:val="auto"/>
          <w:sz w:val="24"/>
          <w:szCs w:val="24"/>
          <w:highlight w:val="none"/>
        </w:rPr>
      </w:pPr>
      <w:bookmarkStart w:id="4" w:name="_Toc28359085"/>
      <w:bookmarkStart w:id="5" w:name="_Toc35393796"/>
      <w:bookmarkStart w:id="6" w:name="_Toc28359008"/>
      <w:bookmarkStart w:id="7" w:name="_Toc35393627"/>
      <w:r>
        <w:rPr>
          <w:rFonts w:hint="eastAsia" w:ascii="仿宋" w:hAnsi="仿宋" w:eastAsia="仿宋" w:cs="仿宋"/>
          <w:b/>
          <w:bCs/>
          <w:color w:val="auto"/>
          <w:sz w:val="24"/>
          <w:szCs w:val="24"/>
          <w:highlight w:val="none"/>
        </w:rPr>
        <w:t>七、对本次征集提出询问、质疑、投诉，请按以下方式联系</w:t>
      </w:r>
      <w:bookmarkEnd w:id="4"/>
      <w:bookmarkEnd w:id="5"/>
      <w:bookmarkEnd w:id="6"/>
      <w:bookmarkEnd w:id="7"/>
    </w:p>
    <w:p w14:paraId="2E6D00A5">
      <w:pPr>
        <w:keepNext w:val="0"/>
        <w:keepLines w:val="0"/>
        <w:pageBreakBefore w:val="0"/>
        <w:widowControl/>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1.征集人信息</w:t>
      </w:r>
    </w:p>
    <w:p w14:paraId="495D4DAD">
      <w:pPr>
        <w:keepNext w:val="0"/>
        <w:keepLines w:val="0"/>
        <w:pageBreakBefore w:val="0"/>
        <w:widowControl/>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绍兴市越城区住房和城乡建设局</w:t>
      </w:r>
    </w:p>
    <w:p w14:paraId="091E3E4C">
      <w:pPr>
        <w:keepNext w:val="0"/>
        <w:keepLines w:val="0"/>
        <w:pageBreakBefore w:val="0"/>
        <w:widowControl/>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绍兴市越城区延安东路481号</w:t>
      </w:r>
    </w:p>
    <w:p w14:paraId="4717F4D2">
      <w:pPr>
        <w:keepNext w:val="0"/>
        <w:keepLines w:val="0"/>
        <w:pageBreakBefore w:val="0"/>
        <w:widowControl/>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xml:space="preserve">　　　　　/　　 </w:t>
      </w:r>
      <w:bookmarkStart w:id="8" w:name="_Toc28359086"/>
      <w:bookmarkStart w:id="9" w:name="_Toc28359009"/>
    </w:p>
    <w:p w14:paraId="5F6F429B">
      <w:pPr>
        <w:keepNext w:val="0"/>
        <w:keepLines w:val="0"/>
        <w:pageBreakBefore w:val="0"/>
        <w:widowControl/>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卞贤源</w:t>
      </w:r>
      <w:r>
        <w:rPr>
          <w:rFonts w:hint="eastAsia" w:ascii="仿宋" w:hAnsi="仿宋" w:eastAsia="仿宋" w:cs="仿宋"/>
          <w:color w:val="auto"/>
          <w:sz w:val="24"/>
          <w:szCs w:val="24"/>
          <w:highlight w:val="none"/>
          <w:u w:val="single"/>
        </w:rPr>
        <w:t xml:space="preserve">　 </w:t>
      </w:r>
    </w:p>
    <w:p w14:paraId="1576D606">
      <w:pPr>
        <w:keepNext w:val="0"/>
        <w:keepLines w:val="0"/>
        <w:pageBreakBefore w:val="0"/>
        <w:widowControl/>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u w:val="single"/>
        </w:rPr>
        <w:t>0575-88267220</w:t>
      </w:r>
    </w:p>
    <w:p w14:paraId="4CD8D090">
      <w:pPr>
        <w:keepNext w:val="0"/>
        <w:keepLines w:val="0"/>
        <w:pageBreakBefore w:val="0"/>
        <w:widowControl/>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张劲虎 </w:t>
      </w:r>
      <w:r>
        <w:rPr>
          <w:rFonts w:hint="eastAsia" w:ascii="仿宋" w:hAnsi="仿宋" w:eastAsia="仿宋" w:cs="仿宋"/>
          <w:color w:val="auto"/>
          <w:sz w:val="24"/>
          <w:szCs w:val="24"/>
          <w:highlight w:val="none"/>
          <w:u w:val="single"/>
        </w:rPr>
        <w:t xml:space="preserve">    </w:t>
      </w:r>
    </w:p>
    <w:p w14:paraId="56EA0401">
      <w:pPr>
        <w:keepNext w:val="0"/>
        <w:keepLines w:val="0"/>
        <w:pageBreakBefore w:val="0"/>
        <w:widowControl/>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u w:val="single"/>
        </w:rPr>
        <w:t>0575-85095573</w:t>
      </w:r>
    </w:p>
    <w:p w14:paraId="283A1D32">
      <w:pPr>
        <w:keepNext w:val="0"/>
        <w:keepLines w:val="0"/>
        <w:pageBreakBefore w:val="0"/>
        <w:widowControl/>
        <w:numPr>
          <w:ilvl w:val="0"/>
          <w:numId w:val="0"/>
        </w:numPr>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采购代理机构信息</w:t>
      </w:r>
      <w:bookmarkEnd w:id="8"/>
      <w:bookmarkEnd w:id="9"/>
      <w:bookmarkStart w:id="10" w:name="_Toc28359087"/>
      <w:bookmarkStart w:id="11" w:name="_Toc28359010"/>
    </w:p>
    <w:p w14:paraId="6074223E">
      <w:pPr>
        <w:keepNext w:val="0"/>
        <w:keepLines w:val="0"/>
        <w:pageBreakBefore w:val="0"/>
        <w:widowControl/>
        <w:numPr>
          <w:ilvl w:val="0"/>
          <w:numId w:val="0"/>
        </w:numPr>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浙江翔实建设项目管理有限公司</w:t>
      </w:r>
    </w:p>
    <w:p w14:paraId="0DC2BC87">
      <w:pPr>
        <w:keepNext w:val="0"/>
        <w:keepLines w:val="0"/>
        <w:pageBreakBefore w:val="0"/>
        <w:widowControl/>
        <w:numPr>
          <w:ilvl w:val="0"/>
          <w:numId w:val="0"/>
        </w:numPr>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绍兴市越城区阳明北路692号</w:t>
      </w:r>
    </w:p>
    <w:p w14:paraId="2A0B1D69">
      <w:pPr>
        <w:keepNext w:val="0"/>
        <w:keepLines w:val="0"/>
        <w:pageBreakBefore w:val="0"/>
        <w:widowControl/>
        <w:numPr>
          <w:ilvl w:val="0"/>
          <w:numId w:val="0"/>
        </w:numPr>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xml:space="preserve">　　　　　/　　　　　　 </w:t>
      </w:r>
    </w:p>
    <w:p w14:paraId="68C9D579">
      <w:pPr>
        <w:keepNext w:val="0"/>
        <w:keepLines w:val="0"/>
        <w:pageBreakBefore w:val="0"/>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u w:val="single"/>
        </w:rPr>
        <w:t>　丁诗哲　　</w:t>
      </w:r>
    </w:p>
    <w:p w14:paraId="0F719710">
      <w:pPr>
        <w:keepNext w:val="0"/>
        <w:keepLines w:val="0"/>
        <w:pageBreakBefore w:val="0"/>
        <w:kinsoku/>
        <w:wordWrap/>
        <w:overflowPunct/>
        <w:topLinePunct w:val="0"/>
        <w:autoSpaceDE/>
        <w:autoSpaceDN/>
        <w:bidi w:val="0"/>
        <w:adjustRightInd/>
        <w:snapToGrid/>
        <w:spacing w:line="440" w:lineRule="exact"/>
        <w:ind w:left="420" w:leftChars="200" w:firstLine="0" w:firstLineChars="0"/>
        <w:jc w:val="left"/>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u w:val="single"/>
        </w:rPr>
        <w:t>0575-88682896</w:t>
      </w:r>
      <w:r>
        <w:rPr>
          <w:rFonts w:hint="eastAsia" w:ascii="仿宋" w:hAnsi="仿宋" w:eastAsia="仿宋" w:cs="仿宋"/>
          <w:color w:val="auto"/>
          <w:sz w:val="24"/>
          <w:szCs w:val="24"/>
          <w:highlight w:val="none"/>
          <w:u w:val="single"/>
          <w:lang w:val="en-US" w:eastAsia="zh-CN"/>
        </w:rPr>
        <w:t>/13857501150</w:t>
      </w:r>
    </w:p>
    <w:p w14:paraId="0F80EAB0">
      <w:pPr>
        <w:keepNext w:val="0"/>
        <w:keepLines w:val="0"/>
        <w:pageBreakBefore w:val="0"/>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u w:val="single"/>
        </w:rPr>
        <w:t>　孙莉　</w:t>
      </w:r>
    </w:p>
    <w:p w14:paraId="4E43330F">
      <w:pPr>
        <w:keepNext w:val="0"/>
        <w:keepLines w:val="0"/>
        <w:pageBreakBefore w:val="0"/>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u w:val="single"/>
        </w:rPr>
        <w:t>0575-88976639</w:t>
      </w:r>
    </w:p>
    <w:bookmarkEnd w:id="10"/>
    <w:bookmarkEnd w:id="11"/>
    <w:p w14:paraId="30487FEA">
      <w:pPr>
        <w:keepNext w:val="0"/>
        <w:keepLines w:val="0"/>
        <w:pageBreakBefore w:val="0"/>
        <w:numPr>
          <w:ilvl w:val="0"/>
          <w:numId w:val="0"/>
        </w:numPr>
        <w:kinsoku/>
        <w:wordWrap/>
        <w:overflowPunct/>
        <w:topLinePunct w:val="0"/>
        <w:autoSpaceDE/>
        <w:autoSpaceDN/>
        <w:bidi w:val="0"/>
        <w:adjustRightInd/>
        <w:snapToGrid/>
        <w:spacing w:line="440" w:lineRule="exact"/>
        <w:ind w:left="420" w:leftChars="20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同级政府采购监督管理部门</w:t>
      </w:r>
    </w:p>
    <w:p w14:paraId="1D1FCEE9">
      <w:pPr>
        <w:keepNext w:val="0"/>
        <w:keepLines w:val="0"/>
        <w:pageBreakBefore w:val="0"/>
        <w:numPr>
          <w:ilvl w:val="0"/>
          <w:numId w:val="0"/>
        </w:numPr>
        <w:kinsoku/>
        <w:wordWrap/>
        <w:overflowPunct/>
        <w:topLinePunct w:val="0"/>
        <w:autoSpaceDE/>
        <w:autoSpaceDN/>
        <w:bidi w:val="0"/>
        <w:adjustRightInd/>
        <w:snapToGrid/>
        <w:spacing w:line="440" w:lineRule="exact"/>
        <w:ind w:left="420" w:leftChars="200" w:firstLine="0" w:firstLine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绍兴市越城区财政局　　　</w:t>
      </w:r>
    </w:p>
    <w:p w14:paraId="1E347C1A">
      <w:pPr>
        <w:keepNext w:val="0"/>
        <w:keepLines w:val="0"/>
        <w:pageBreakBefore w:val="0"/>
        <w:numPr>
          <w:ilvl w:val="0"/>
          <w:numId w:val="0"/>
        </w:numPr>
        <w:kinsoku/>
        <w:wordWrap/>
        <w:overflowPunct/>
        <w:topLinePunct w:val="0"/>
        <w:autoSpaceDE/>
        <w:autoSpaceDN/>
        <w:bidi w:val="0"/>
        <w:adjustRightInd/>
        <w:snapToGrid/>
        <w:spacing w:line="440" w:lineRule="exact"/>
        <w:ind w:left="420" w:leftChars="200" w:firstLine="0" w:firstLine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浙江省绍兴市人民东路1187号</w:t>
      </w:r>
    </w:p>
    <w:p w14:paraId="13AD5784">
      <w:pPr>
        <w:keepNext w:val="0"/>
        <w:keepLines w:val="0"/>
        <w:pageBreakBefore w:val="0"/>
        <w:numPr>
          <w:ilvl w:val="0"/>
          <w:numId w:val="0"/>
        </w:numPr>
        <w:kinsoku/>
        <w:wordWrap/>
        <w:overflowPunct/>
        <w:topLinePunct w:val="0"/>
        <w:autoSpaceDE/>
        <w:autoSpaceDN/>
        <w:bidi w:val="0"/>
        <w:adjustRightInd/>
        <w:snapToGrid/>
        <w:spacing w:line="440" w:lineRule="exact"/>
        <w:ind w:left="420" w:leftChars="200" w:firstLine="0" w:firstLine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　　　　　</w:t>
      </w:r>
    </w:p>
    <w:p w14:paraId="4891D858">
      <w:pPr>
        <w:keepNext w:val="0"/>
        <w:keepLines w:val="0"/>
        <w:pageBreakBefore w:val="0"/>
        <w:numPr>
          <w:ilvl w:val="0"/>
          <w:numId w:val="0"/>
        </w:numPr>
        <w:kinsoku/>
        <w:wordWrap/>
        <w:overflowPunct/>
        <w:topLinePunct w:val="0"/>
        <w:autoSpaceDE/>
        <w:autoSpaceDN/>
        <w:bidi w:val="0"/>
        <w:adjustRightInd/>
        <w:snapToGrid/>
        <w:spacing w:line="440" w:lineRule="exact"/>
        <w:ind w:left="420" w:leftChars="200" w:firstLine="0" w:firstLine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季扬</w:t>
      </w:r>
    </w:p>
    <w:p w14:paraId="31E57654">
      <w:pPr>
        <w:keepNext w:val="0"/>
        <w:keepLines w:val="0"/>
        <w:pageBreakBefore w:val="0"/>
        <w:numPr>
          <w:ilvl w:val="0"/>
          <w:numId w:val="0"/>
        </w:numPr>
        <w:kinsoku/>
        <w:wordWrap/>
        <w:overflowPunct/>
        <w:topLinePunct w:val="0"/>
        <w:autoSpaceDE/>
        <w:autoSpaceDN/>
        <w:bidi w:val="0"/>
        <w:adjustRightInd/>
        <w:snapToGrid/>
        <w:spacing w:line="440" w:lineRule="exact"/>
        <w:ind w:left="420" w:leftChars="200" w:firstLine="0" w:firstLine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监督投诉电话：</w:t>
      </w:r>
      <w:r>
        <w:rPr>
          <w:rFonts w:hint="eastAsia" w:ascii="仿宋" w:hAnsi="仿宋" w:eastAsia="仿宋" w:cs="仿宋"/>
          <w:color w:val="auto"/>
          <w:sz w:val="24"/>
          <w:szCs w:val="24"/>
          <w:highlight w:val="none"/>
          <w:u w:val="single"/>
        </w:rPr>
        <w:t>0575-85221643</w:t>
      </w:r>
    </w:p>
    <w:p w14:paraId="180D7EC8">
      <w:pPr>
        <w:widowControl/>
        <w:ind w:firstLine="480" w:firstLineChars="200"/>
        <w:jc w:val="left"/>
        <w:rPr>
          <w:rFonts w:hint="eastAsia" w:ascii="仿宋" w:hAnsi="仿宋" w:eastAsia="仿宋" w:cs="仿宋"/>
          <w:color w:val="auto"/>
          <w:sz w:val="24"/>
          <w:szCs w:val="24"/>
          <w:highlight w:val="none"/>
        </w:rPr>
      </w:pPr>
    </w:p>
    <w:p w14:paraId="512FAA46">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5BDFED86">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14:paraId="21C1AE3B">
      <w:pPr>
        <w:widowControl/>
        <w:jc w:val="left"/>
        <w:rPr>
          <w:rFonts w:hint="eastAsia" w:ascii="仿宋" w:hAnsi="仿宋" w:eastAsia="仿宋" w:cs="仿宋"/>
          <w:color w:val="auto"/>
          <w:sz w:val="24"/>
          <w:szCs w:val="24"/>
          <w:highlight w:val="none"/>
        </w:rPr>
      </w:pPr>
    </w:p>
    <w:p w14:paraId="38E839A9">
      <w:pPr>
        <w:widowControl/>
        <w:jc w:val="center"/>
        <w:rPr>
          <w:rFonts w:hint="eastAsia" w:ascii="仿宋" w:hAnsi="仿宋" w:eastAsia="仿宋" w:cs="仿宋"/>
          <w:b/>
          <w:bCs/>
          <w:color w:val="auto"/>
          <w:sz w:val="44"/>
          <w:szCs w:val="4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44"/>
          <w:szCs w:val="44"/>
          <w:highlight w:val="none"/>
        </w:rPr>
        <w:t>征集公告补充事项</w:t>
      </w:r>
    </w:p>
    <w:p w14:paraId="7BE2BC98">
      <w:pPr>
        <w:numPr>
          <w:ilvl w:val="0"/>
          <w:numId w:val="3"/>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采购组织类型：</w:t>
      </w:r>
      <w:r>
        <w:rPr>
          <w:rFonts w:hint="eastAsia" w:ascii="仿宋" w:hAnsi="仿宋" w:eastAsia="仿宋" w:cs="仿宋"/>
          <w:b/>
          <w:bCs/>
          <w:color w:val="auto"/>
          <w:sz w:val="24"/>
          <w:highlight w:val="none"/>
          <w:u w:val="single"/>
        </w:rPr>
        <w:t>分散委托-委托采购</w:t>
      </w:r>
    </w:p>
    <w:p w14:paraId="0AEDF35A">
      <w:pPr>
        <w:numPr>
          <w:ilvl w:val="0"/>
          <w:numId w:val="3"/>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采购类别：</w:t>
      </w:r>
      <w:r>
        <w:rPr>
          <w:rFonts w:hint="eastAsia" w:ascii="仿宋" w:hAnsi="仿宋" w:eastAsia="仿宋" w:cs="仿宋"/>
          <w:b/>
          <w:bCs/>
          <w:color w:val="auto"/>
          <w:sz w:val="24"/>
          <w:highlight w:val="none"/>
          <w:u w:val="single"/>
        </w:rPr>
        <w:t xml:space="preserve">服务   </w:t>
      </w:r>
    </w:p>
    <w:p w14:paraId="10F195E4">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采购方式：</w:t>
      </w:r>
      <w:r>
        <w:rPr>
          <w:rFonts w:hint="eastAsia" w:ascii="仿宋" w:hAnsi="仿宋" w:eastAsia="仿宋" w:cs="仿宋"/>
          <w:b/>
          <w:color w:val="auto"/>
          <w:sz w:val="24"/>
          <w:highlight w:val="none"/>
          <w:u w:val="single"/>
        </w:rPr>
        <w:t>框架协议</w:t>
      </w:r>
    </w:p>
    <w:p w14:paraId="108F1B40">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资格审查方式：资格后审。</w:t>
      </w:r>
    </w:p>
    <w:p w14:paraId="5FBE93FF">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注意事项：</w:t>
      </w:r>
    </w:p>
    <w:p w14:paraId="7D4237C7">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1、单位负责人为同一人或者存在直接控股、管理关系的不同供应商，不得同时参加同一标项的投标。</w:t>
      </w:r>
    </w:p>
    <w:p w14:paraId="4EADFB8C">
      <w:pPr>
        <w:spacing w:line="3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2、为项目提供整体设计、规范编制或者项目管理、监理、检测等服务的供应商，不得再参加该采购项目的其他采购活动。</w:t>
      </w:r>
    </w:p>
    <w:p w14:paraId="130AC9F6">
      <w:pPr>
        <w:spacing w:line="440" w:lineRule="exact"/>
        <w:ind w:firstLine="464"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3、请投标供应商务必认真学习网上相关培训课程。电子化交易准备工作详见</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"http://www.sxyc.gov.cn/art/2019/9/11/art_1559761_38044415.html" </w:instrText>
      </w:r>
      <w:r>
        <w:rPr>
          <w:rFonts w:hint="eastAsia" w:ascii="仿宋" w:hAnsi="仿宋" w:eastAsia="仿宋" w:cs="仿宋"/>
          <w:color w:val="auto"/>
          <w:highlight w:val="none"/>
        </w:rPr>
        <w:fldChar w:fldCharType="separate"/>
      </w:r>
      <w:r>
        <w:rPr>
          <w:rStyle w:val="37"/>
          <w:rFonts w:hint="eastAsia" w:ascii="仿宋" w:hAnsi="仿宋" w:eastAsia="仿宋" w:cs="仿宋"/>
          <w:color w:val="auto"/>
          <w:spacing w:val="-4"/>
          <w:sz w:val="24"/>
          <w:highlight w:val="none"/>
        </w:rPr>
        <w:t>http://www.sxyc.gov.cn/art/2019/9/11/art_1559761_38044415.html</w:t>
      </w:r>
      <w:r>
        <w:rPr>
          <w:rStyle w:val="37"/>
          <w:rFonts w:hint="eastAsia" w:ascii="仿宋" w:hAnsi="仿宋" w:eastAsia="仿宋" w:cs="仿宋"/>
          <w:color w:val="auto"/>
          <w:spacing w:val="-4"/>
          <w:sz w:val="24"/>
          <w:highlight w:val="none"/>
        </w:rPr>
        <w:fldChar w:fldCharType="end"/>
      </w:r>
      <w:r>
        <w:rPr>
          <w:rFonts w:hint="eastAsia" w:ascii="仿宋" w:hAnsi="仿宋" w:eastAsia="仿宋" w:cs="仿宋"/>
          <w:color w:val="auto"/>
          <w:spacing w:val="-4"/>
          <w:sz w:val="24"/>
          <w:highlight w:val="none"/>
        </w:rPr>
        <w:t xml:space="preserve">  《关于做好政府采购项目电子化交易准备工作的通知》。</w:t>
      </w:r>
    </w:p>
    <w:p w14:paraId="2E748467">
      <w:pPr>
        <w:spacing w:line="440" w:lineRule="exact"/>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z w:val="24"/>
          <w:highlight w:val="none"/>
        </w:rPr>
        <w:t>供应商-政府采购项目电子交易操作指南：</w:t>
      </w:r>
      <w:r>
        <w:rPr>
          <w:rStyle w:val="37"/>
          <w:rFonts w:hint="eastAsia" w:ascii="仿宋" w:hAnsi="仿宋" w:eastAsia="仿宋" w:cs="仿宋"/>
          <w:color w:val="auto"/>
          <w:sz w:val="24"/>
          <w:szCs w:val="24"/>
          <w:highlight w:val="none"/>
        </w:rPr>
        <w:t>https://service.zcygov.cn/#/knowledges/CW1EtGwBFdiHxlNd6I3m/6IMVAG0BFdiHxlNdQ8Na</w:t>
      </w:r>
      <w:r>
        <w:rPr>
          <w:rFonts w:hint="eastAsia" w:ascii="仿宋" w:hAnsi="仿宋" w:eastAsia="仿宋" w:cs="仿宋"/>
          <w:color w:val="auto"/>
          <w:sz w:val="24"/>
          <w:highlight w:val="none"/>
        </w:rPr>
        <w:t>。</w:t>
      </w:r>
    </w:p>
    <w:p w14:paraId="42D8E37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5、CA申领需要时间，请各潜在投标供应商及时办理和绑定。</w:t>
      </w:r>
    </w:p>
    <w:p w14:paraId="2E779D5A">
      <w:pPr>
        <w:spacing w:line="3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6、获取征集文件后不参加投标的供应商，须向采购代理机构提供书面说明。</w:t>
      </w:r>
    </w:p>
    <w:p w14:paraId="1352A238">
      <w:pPr>
        <w:spacing w:line="36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7、需登陆政采云平台后在交易系统内获取征集文件，只网站下载不视为获取。</w:t>
      </w:r>
    </w:p>
    <w:p w14:paraId="7025694A">
      <w:pPr>
        <w:spacing w:line="36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8、预留充足时间上传加密电子响应文件（建议提前一天，供应商解密电子响应文件前处于加密状态）。</w:t>
      </w:r>
    </w:p>
    <w:p w14:paraId="04BE1089">
      <w:pPr>
        <w:spacing w:line="360" w:lineRule="auto"/>
        <w:ind w:firstLine="349" w:firstLineChars="150"/>
        <w:rPr>
          <w:rFonts w:hint="eastAsia" w:ascii="仿宋" w:hAnsi="仿宋" w:eastAsia="仿宋" w:cs="仿宋"/>
          <w:bCs/>
          <w:color w:val="auto"/>
          <w:sz w:val="24"/>
          <w:highlight w:val="none"/>
        </w:rPr>
      </w:pPr>
      <w:r>
        <w:rPr>
          <w:rFonts w:hint="eastAsia" w:ascii="仿宋" w:hAnsi="仿宋" w:eastAsia="仿宋" w:cs="仿宋"/>
          <w:b/>
          <w:bCs/>
          <w:color w:val="auto"/>
          <w:spacing w:val="-4"/>
          <w:sz w:val="24"/>
          <w:highlight w:val="none"/>
        </w:rPr>
        <w:t>六、</w:t>
      </w:r>
      <w:r>
        <w:rPr>
          <w:rFonts w:hint="eastAsia" w:ascii="仿宋" w:hAnsi="仿宋" w:eastAsia="仿宋" w:cs="仿宋"/>
          <w:b/>
          <w:color w:val="auto"/>
          <w:spacing w:val="-4"/>
          <w:sz w:val="24"/>
          <w:highlight w:val="none"/>
        </w:rPr>
        <w:t>征集公告及更正公告发布网址：</w:t>
      </w:r>
      <w:bookmarkStart w:id="12" w:name="_Hlt10553107"/>
      <w:bookmarkEnd w:id="12"/>
      <w:bookmarkStart w:id="13" w:name="_Hlt10553106"/>
      <w:bookmarkEnd w:id="13"/>
      <w:r>
        <w:rPr>
          <w:rFonts w:hint="eastAsia" w:ascii="仿宋" w:hAnsi="仿宋" w:eastAsia="仿宋" w:cs="仿宋"/>
          <w:color w:val="auto"/>
          <w:spacing w:val="-4"/>
          <w:sz w:val="24"/>
          <w:highlight w:val="none"/>
        </w:rPr>
        <w:t>http://zfcg.czt.zj.gov.cn/和http://www.sxyc.gov.cn/公共资源交易板块。更正公告</w:t>
      </w:r>
      <w:r>
        <w:rPr>
          <w:rFonts w:hint="eastAsia" w:ascii="仿宋" w:hAnsi="仿宋" w:eastAsia="仿宋" w:cs="仿宋"/>
          <w:bCs/>
          <w:color w:val="auto"/>
          <w:sz w:val="24"/>
          <w:highlight w:val="none"/>
        </w:rPr>
        <w:t>请自行登录政采云平台或在浙江政府采购网更正公告页面或越城区人民政府门户网站征集公告页面中下载。</w:t>
      </w:r>
    </w:p>
    <w:p w14:paraId="7D30792D">
      <w:pPr>
        <w:spacing w:line="38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七、供应商入驻</w:t>
      </w:r>
      <w:r>
        <w:rPr>
          <w:rFonts w:hint="eastAsia" w:ascii="仿宋" w:hAnsi="仿宋" w:eastAsia="仿宋" w:cs="仿宋"/>
          <w:color w:val="auto"/>
          <w:sz w:val="24"/>
          <w:highlight w:val="none"/>
        </w:rPr>
        <w:t>（无需提交纸质资料现场审核）：</w:t>
      </w:r>
    </w:p>
    <w:p w14:paraId="68467A75">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与绍兴市越城区政府采购活动的供应商，必须入驻浙江省政府采购供应商库，接受征集机构的诚信管理和评价，并接受财政部门的监督管理。供应商可通过政采云平台（http://www.zcygov.cn）进行入驻申请，按规定审核后，登记加入“浙江省政府采购供应商库”。</w:t>
      </w:r>
      <w:r>
        <w:rPr>
          <w:rFonts w:hint="eastAsia" w:ascii="仿宋" w:hAnsi="仿宋" w:eastAsia="仿宋" w:cs="仿宋"/>
          <w:b/>
          <w:bCs/>
          <w:color w:val="auto"/>
          <w:sz w:val="24"/>
          <w:highlight w:val="none"/>
        </w:rPr>
        <w:t>越城区内企业入驻咨询电话：0575-89116928；非越城区内企业入驻详询当地集中征集机构；浙江省外企业入驻咨询电话：400-881-7190</w:t>
      </w:r>
    </w:p>
    <w:p w14:paraId="5DB9BD4B">
      <w:pPr>
        <w:spacing w:line="36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供应商入驻操作指南：</w:t>
      </w:r>
    </w:p>
    <w:p w14:paraId="6E9EA862">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https://service.zcygov.cn/#/knowledges/cm2eqWwBFdiHxlNd_otq/w3Cd3GwBFdiHxlNd-BRD</w:t>
      </w:r>
    </w:p>
    <w:p w14:paraId="2835D01B">
      <w:pPr>
        <w:pStyle w:val="2"/>
        <w:rPr>
          <w:rFonts w:hint="eastAsia" w:ascii="仿宋" w:hAnsi="仿宋" w:eastAsia="仿宋" w:cs="仿宋"/>
          <w:color w:val="auto"/>
          <w:highlight w:val="none"/>
        </w:rPr>
      </w:pPr>
      <w:bookmarkStart w:id="14" w:name="_Toc32716"/>
      <w:bookmarkStart w:id="15" w:name="_Toc30816"/>
      <w:r>
        <w:rPr>
          <w:rFonts w:hint="eastAsia" w:ascii="仿宋" w:hAnsi="仿宋" w:eastAsia="仿宋" w:cs="仿宋"/>
          <w:color w:val="auto"/>
          <w:highlight w:val="none"/>
        </w:rPr>
        <w:t xml:space="preserve">第二章  </w:t>
      </w:r>
      <w:bookmarkEnd w:id="14"/>
      <w:bookmarkEnd w:id="15"/>
      <w:r>
        <w:rPr>
          <w:rFonts w:hint="eastAsia" w:ascii="仿宋" w:hAnsi="仿宋" w:eastAsia="仿宋" w:cs="仿宋"/>
          <w:color w:val="auto"/>
          <w:highlight w:val="none"/>
        </w:rPr>
        <w:t>供应商须知</w:t>
      </w:r>
    </w:p>
    <w:p w14:paraId="3B03625E">
      <w:pPr>
        <w:pStyle w:val="3"/>
        <w:rPr>
          <w:rFonts w:hint="eastAsia" w:ascii="仿宋" w:hAnsi="仿宋" w:eastAsia="仿宋" w:cs="仿宋"/>
          <w:color w:val="auto"/>
          <w:highlight w:val="none"/>
        </w:rPr>
      </w:pPr>
      <w:bookmarkStart w:id="16" w:name="_Toc14735"/>
      <w:bookmarkStart w:id="17" w:name="_Toc24855"/>
      <w:r>
        <w:rPr>
          <w:rFonts w:hint="eastAsia" w:ascii="仿宋" w:hAnsi="仿宋" w:eastAsia="仿宋" w:cs="仿宋"/>
          <w:color w:val="auto"/>
          <w:highlight w:val="none"/>
        </w:rPr>
        <w:t>一、前附表</w:t>
      </w:r>
      <w:bookmarkEnd w:id="16"/>
      <w:bookmarkEnd w:id="17"/>
    </w:p>
    <w:tbl>
      <w:tblPr>
        <w:tblStyle w:val="3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2B27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B6E3FF1">
            <w:pPr>
              <w:spacing w:beforeLines="50"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7FACC11">
            <w:pPr>
              <w:spacing w:beforeLines="50"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427D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99F3706">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234AE29">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rPr>
              <w:t>：</w:t>
            </w:r>
            <w:r>
              <w:rPr>
                <w:rFonts w:hint="eastAsia" w:ascii="仿宋" w:hAnsi="仿宋" w:eastAsia="仿宋" w:cs="仿宋"/>
                <w:bCs/>
                <w:color w:val="auto"/>
                <w:sz w:val="24"/>
                <w:szCs w:val="24"/>
                <w:highlight w:val="none"/>
                <w:lang w:eastAsia="zh-CN"/>
              </w:rPr>
              <w:t>2025年度消防技术服务框架协议（封闭式）采购项目</w:t>
            </w:r>
          </w:p>
        </w:tc>
      </w:tr>
      <w:tr w14:paraId="0063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4D166EE">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AA3A1B1">
            <w:pPr>
              <w:autoSpaceDE w:val="0"/>
              <w:autoSpaceDN w:val="0"/>
              <w:spacing w:line="500" w:lineRule="exact"/>
              <w:textAlignment w:val="bottom"/>
              <w:rPr>
                <w:rFonts w:hint="eastAsia" w:ascii="仿宋" w:hAnsi="仿宋" w:eastAsia="仿宋" w:cs="仿宋"/>
                <w:color w:val="auto"/>
                <w:sz w:val="24"/>
                <w:highlight w:val="none"/>
              </w:rPr>
            </w:pPr>
            <w:r>
              <w:rPr>
                <w:rFonts w:hint="eastAsia" w:ascii="仿宋" w:hAnsi="仿宋" w:eastAsia="仿宋" w:cs="仿宋"/>
                <w:b/>
                <w:color w:val="auto"/>
                <w:sz w:val="24"/>
                <w:highlight w:val="none"/>
              </w:rPr>
              <w:t>响应有效期：</w:t>
            </w:r>
            <w:r>
              <w:rPr>
                <w:rFonts w:hint="eastAsia" w:ascii="仿宋" w:hAnsi="仿宋" w:eastAsia="仿宋" w:cs="仿宋"/>
                <w:color w:val="auto"/>
                <w:sz w:val="24"/>
                <w:highlight w:val="none"/>
              </w:rPr>
              <w:t>自投标截止日起60天。如征集人认为必要，可延长至总计最长不超过90天。</w:t>
            </w:r>
          </w:p>
        </w:tc>
      </w:tr>
      <w:tr w14:paraId="49A6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16AF78E">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160300C">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是否提供样品：</w:t>
            </w:r>
            <w:r>
              <w:rPr>
                <w:rFonts w:hint="eastAsia" w:ascii="仿宋" w:hAnsi="仿宋" w:eastAsia="仿宋" w:cs="仿宋"/>
                <w:color w:val="auto"/>
                <w:sz w:val="24"/>
                <w:highlight w:val="none"/>
                <w:u w:val="single"/>
              </w:rPr>
              <w:t>否</w:t>
            </w:r>
          </w:p>
        </w:tc>
      </w:tr>
      <w:tr w14:paraId="1227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D12582B">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374BC0A">
            <w:pPr>
              <w:autoSpaceDE w:val="0"/>
              <w:autoSpaceDN w:val="0"/>
              <w:spacing w:line="500" w:lineRule="exact"/>
              <w:textAlignment w:val="bottom"/>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是否演示：</w:t>
            </w:r>
            <w:r>
              <w:rPr>
                <w:rFonts w:hint="eastAsia" w:ascii="仿宋" w:hAnsi="仿宋" w:eastAsia="仿宋" w:cs="仿宋"/>
                <w:color w:val="auto"/>
                <w:sz w:val="24"/>
                <w:highlight w:val="none"/>
                <w:u w:val="single"/>
              </w:rPr>
              <w:t>否</w:t>
            </w:r>
          </w:p>
        </w:tc>
      </w:tr>
      <w:tr w14:paraId="2539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03DB912">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00C837">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是否组织现场踏勘：</w:t>
            </w:r>
            <w:r>
              <w:rPr>
                <w:rFonts w:hint="eastAsia" w:ascii="仿宋" w:hAnsi="仿宋" w:eastAsia="仿宋" w:cs="仿宋"/>
                <w:color w:val="auto"/>
                <w:sz w:val="24"/>
                <w:highlight w:val="none"/>
                <w:u w:val="single"/>
              </w:rPr>
              <w:t>否</w:t>
            </w:r>
          </w:p>
        </w:tc>
      </w:tr>
      <w:tr w14:paraId="5195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F09D50C">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3894F47">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响应文件份数：上传加密电子响应文件一份，准备备份加密电子响应文件一份</w:t>
            </w:r>
            <w:r>
              <w:rPr>
                <w:rFonts w:hint="eastAsia" w:ascii="仿宋" w:hAnsi="仿宋" w:eastAsia="仿宋" w:cs="仿宋"/>
                <w:color w:val="auto"/>
                <w:sz w:val="24"/>
                <w:highlight w:val="none"/>
              </w:rPr>
              <w:t>。</w:t>
            </w:r>
          </w:p>
          <w:p w14:paraId="78108962">
            <w:pPr>
              <w:spacing w:line="50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em w:val="dot"/>
              </w:rPr>
              <w:t>鉴于本次采购为电子交易，本征集文件中要求供应商提供的证明材料原件、复印件等均只需提供相应扫描件或图片，不作纸质资料核验，如有前后不一致，以此为准。</w:t>
            </w:r>
          </w:p>
        </w:tc>
      </w:tr>
      <w:tr w14:paraId="36B8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B5AFFBA">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9FCABBF">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履约保证金及缴退时间：</w:t>
            </w:r>
            <w:r>
              <w:rPr>
                <w:rFonts w:hint="eastAsia" w:ascii="仿宋" w:hAnsi="仿宋" w:eastAsia="仿宋" w:cs="仿宋"/>
                <w:color w:val="auto"/>
                <w:sz w:val="24"/>
                <w:highlight w:val="none"/>
                <w:u w:val="single"/>
              </w:rPr>
              <w:t>无。</w:t>
            </w:r>
          </w:p>
          <w:p w14:paraId="67B168A0">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应当以支票、汇票、本票或者金融机构、担保机构出具的保函等非现金形式提交。</w:t>
            </w:r>
          </w:p>
        </w:tc>
      </w:tr>
      <w:tr w14:paraId="4DF6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C2F0B6F">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A798129">
            <w:pPr>
              <w:snapToGrid w:val="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分包与转包</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u w:val="single"/>
              </w:rPr>
              <w:t xml:space="preserve"> 不允许 </w:t>
            </w:r>
            <w:r>
              <w:rPr>
                <w:rFonts w:hint="eastAsia" w:ascii="仿宋" w:hAnsi="仿宋" w:eastAsia="仿宋" w:cs="仿宋"/>
                <w:color w:val="auto"/>
                <w:sz w:val="24"/>
                <w:highlight w:val="none"/>
              </w:rPr>
              <w:t>分包，</w:t>
            </w:r>
            <w:r>
              <w:rPr>
                <w:rFonts w:hint="eastAsia" w:ascii="仿宋" w:hAnsi="仿宋" w:eastAsia="仿宋" w:cs="仿宋"/>
                <w:color w:val="auto"/>
                <w:sz w:val="24"/>
                <w:highlight w:val="none"/>
                <w:u w:val="single"/>
              </w:rPr>
              <w:t xml:space="preserve"> 不允许 </w:t>
            </w:r>
            <w:r>
              <w:rPr>
                <w:rFonts w:hint="eastAsia" w:ascii="仿宋" w:hAnsi="仿宋" w:eastAsia="仿宋" w:cs="仿宋"/>
                <w:color w:val="auto"/>
                <w:sz w:val="24"/>
                <w:highlight w:val="none"/>
              </w:rPr>
              <w:t>转包。</w:t>
            </w:r>
          </w:p>
        </w:tc>
      </w:tr>
      <w:tr w14:paraId="29F7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50849A8">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8F750F9">
            <w:pPr>
              <w:snapToGrid w:val="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本项目采购标的（服务部分）所属行业：</w:t>
            </w:r>
          </w:p>
          <w:tbl>
            <w:tblPr>
              <w:tblStyle w:val="32"/>
              <w:tblpPr w:leftFromText="180" w:rightFromText="180" w:vertAnchor="text" w:horzAnchor="page" w:tblpX="58" w:tblpY="177"/>
              <w:tblOverlap w:val="never"/>
              <w:tblW w:w="8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9"/>
              <w:gridCol w:w="2800"/>
            </w:tblGrid>
            <w:tr w14:paraId="1C0E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5299" w:type="dxa"/>
                  <w:vAlign w:val="center"/>
                </w:tcPr>
                <w:p w14:paraId="110596F3">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采购标的名称</w:t>
                  </w:r>
                </w:p>
              </w:tc>
              <w:tc>
                <w:tcPr>
                  <w:tcW w:w="2800" w:type="dxa"/>
                  <w:vAlign w:val="center"/>
                </w:tcPr>
                <w:p w14:paraId="33306D50">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所属行业</w:t>
                  </w:r>
                </w:p>
              </w:tc>
            </w:tr>
            <w:tr w14:paraId="754F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299" w:type="dxa"/>
                  <w:vAlign w:val="center"/>
                </w:tcPr>
                <w:p w14:paraId="6BE8E09A">
                  <w:pPr>
                    <w:snapToGrid w:val="0"/>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标项一：</w:t>
                  </w:r>
                  <w:r>
                    <w:rPr>
                      <w:rFonts w:hint="eastAsia" w:ascii="仿宋" w:hAnsi="仿宋" w:eastAsia="仿宋" w:cs="仿宋"/>
                      <w:b/>
                      <w:bCs/>
                      <w:color w:val="auto"/>
                      <w:sz w:val="24"/>
                      <w:highlight w:val="none"/>
                      <w:lang w:eastAsia="zh-CN"/>
                    </w:rPr>
                    <w:t>2025年度消防技术服务框架协议（封闭式）采购项目</w:t>
                  </w:r>
                </w:p>
              </w:tc>
              <w:tc>
                <w:tcPr>
                  <w:tcW w:w="2800" w:type="dxa"/>
                  <w:vAlign w:val="center"/>
                </w:tcPr>
                <w:p w14:paraId="553FBC6D">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其他未列明行业</w:t>
                  </w:r>
                </w:p>
              </w:tc>
            </w:tr>
          </w:tbl>
          <w:p w14:paraId="7F3689D4">
            <w:pPr>
              <w:snapToGrid w:val="0"/>
              <w:jc w:val="left"/>
              <w:rPr>
                <w:rFonts w:hint="eastAsia" w:ascii="仿宋" w:hAnsi="仿宋" w:eastAsia="仿宋" w:cs="仿宋"/>
                <w:b/>
                <w:bCs/>
                <w:color w:val="auto"/>
                <w:sz w:val="24"/>
                <w:highlight w:val="none"/>
              </w:rPr>
            </w:pPr>
          </w:p>
        </w:tc>
      </w:tr>
      <w:tr w14:paraId="4A20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4C3BF63">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F7F9490">
            <w:pPr>
              <w:spacing w:line="5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采购代理服务费：</w:t>
            </w:r>
          </w:p>
          <w:p w14:paraId="0525A2FD">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入围供应商须向采购代理机构按如下标准和规定交纳代理服务费，并在投标报价中自行考虑(由入围单位按均摊)：</w:t>
            </w:r>
          </w:p>
          <w:p w14:paraId="72B9F933">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（1）以入围通知书中确定的中标金额作为服务费的计算基数，成交金额100万元以下的部分,</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类采购费率1.50%;成交金额100万元至500万元的部分,</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类采购费率</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rPr>
              <w:t>%，不足5000元按5000元计取。</w:t>
            </w:r>
          </w:p>
          <w:p w14:paraId="7FB9A330">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（2）代理服务费的交纳方式：</w:t>
            </w:r>
          </w:p>
          <w:p w14:paraId="3684D981">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用银行支票、汇票、电汇、现金等付款方式直接交纳代理服务费。</w:t>
            </w:r>
          </w:p>
          <w:p w14:paraId="7123422C">
            <w:pPr>
              <w:tabs>
                <w:tab w:val="left" w:pos="6056"/>
              </w:tabs>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公司名称：浙江翔实建设项目管理有限公司</w:t>
            </w:r>
            <w:r>
              <w:rPr>
                <w:rFonts w:hint="eastAsia" w:ascii="仿宋" w:hAnsi="仿宋" w:eastAsia="仿宋" w:cs="仿宋"/>
                <w:color w:val="auto"/>
                <w:sz w:val="24"/>
                <w:highlight w:val="none"/>
              </w:rPr>
              <w:tab/>
            </w:r>
          </w:p>
          <w:p w14:paraId="5A45E7CD">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开户行：建行绍兴越城支行 </w:t>
            </w:r>
          </w:p>
          <w:p w14:paraId="39DF52C5">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号：33001653549053003519</w:t>
            </w:r>
          </w:p>
          <w:p w14:paraId="58139E42">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（3）交纳时间：领取入围通知书</w:t>
            </w:r>
            <w:r>
              <w:rPr>
                <w:rFonts w:hint="eastAsia" w:ascii="仿宋" w:hAnsi="仿宋" w:eastAsia="仿宋" w:cs="仿宋"/>
                <w:color w:val="auto"/>
                <w:sz w:val="24"/>
                <w:highlight w:val="none"/>
                <w:lang w:val="en-US" w:eastAsia="zh-CN"/>
              </w:rPr>
              <w:t>后十五个工作日内</w:t>
            </w:r>
            <w:r>
              <w:rPr>
                <w:rFonts w:hint="eastAsia" w:ascii="仿宋" w:hAnsi="仿宋" w:eastAsia="仿宋" w:cs="仿宋"/>
                <w:color w:val="auto"/>
                <w:sz w:val="24"/>
                <w:highlight w:val="none"/>
              </w:rPr>
              <w:t>交纳。</w:t>
            </w:r>
          </w:p>
        </w:tc>
      </w:tr>
    </w:tbl>
    <w:p w14:paraId="50561C2F">
      <w:pPr>
        <w:ind w:left="238"/>
        <w:jc w:val="center"/>
        <w:rPr>
          <w:rFonts w:hint="eastAsia" w:ascii="仿宋" w:hAnsi="仿宋" w:eastAsia="仿宋" w:cs="仿宋"/>
          <w:color w:val="auto"/>
          <w:sz w:val="24"/>
          <w:highlight w:val="none"/>
        </w:rPr>
      </w:pPr>
    </w:p>
    <w:p w14:paraId="26607D14">
      <w:pPr>
        <w:ind w:left="238"/>
        <w:jc w:val="center"/>
        <w:rPr>
          <w:rFonts w:hint="eastAsia" w:ascii="仿宋" w:hAnsi="仿宋" w:eastAsia="仿宋" w:cs="仿宋"/>
          <w:color w:val="auto"/>
          <w:sz w:val="24"/>
          <w:highlight w:val="none"/>
        </w:rPr>
      </w:pPr>
    </w:p>
    <w:p w14:paraId="34E71949">
      <w:pPr>
        <w:ind w:left="238"/>
        <w:jc w:val="center"/>
        <w:rPr>
          <w:rFonts w:hint="eastAsia" w:ascii="仿宋" w:hAnsi="仿宋" w:eastAsia="仿宋" w:cs="仿宋"/>
          <w:color w:val="auto"/>
          <w:sz w:val="24"/>
          <w:highlight w:val="none"/>
        </w:rPr>
      </w:pPr>
    </w:p>
    <w:p w14:paraId="4D962B1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539DE21">
      <w:pPr>
        <w:pStyle w:val="3"/>
        <w:rPr>
          <w:rFonts w:hint="eastAsia" w:ascii="仿宋" w:hAnsi="仿宋" w:eastAsia="仿宋" w:cs="仿宋"/>
          <w:color w:val="auto"/>
          <w:highlight w:val="none"/>
        </w:rPr>
      </w:pPr>
      <w:bookmarkStart w:id="18" w:name="_Toc26915"/>
      <w:bookmarkStart w:id="19" w:name="_Toc18895"/>
      <w:r>
        <w:rPr>
          <w:rFonts w:hint="eastAsia" w:ascii="仿宋" w:hAnsi="仿宋" w:eastAsia="仿宋" w:cs="仿宋"/>
          <w:color w:val="auto"/>
          <w:highlight w:val="none"/>
        </w:rPr>
        <w:t>二、征集文件</w:t>
      </w:r>
      <w:bookmarkEnd w:id="18"/>
      <w:bookmarkEnd w:id="19"/>
    </w:p>
    <w:p w14:paraId="208E3AA3">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征集文件效力</w:t>
      </w:r>
    </w:p>
    <w:p w14:paraId="3F08D24B">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本征集文件适用于本次所述项目的征集、投标、评标、定标、验收、合同签订及履约、付款等全过程（法律法规另有规定的从其规定）。</w:t>
      </w:r>
    </w:p>
    <w:p w14:paraId="7E991A67">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b/>
          <w:bCs/>
          <w:color w:val="auto"/>
          <w:sz w:val="24"/>
          <w:highlight w:val="none"/>
        </w:rPr>
        <w:t>供应商对本征集文件如有异议，均应在法定时间内提出质疑或投诉，否则即被视为认可征集文件的全部内容。</w:t>
      </w:r>
    </w:p>
    <w:p w14:paraId="6AE9ED95">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2、名词定义</w:t>
      </w:r>
    </w:p>
    <w:p w14:paraId="5A30510A">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”：征集公告中载明的本项目的采购代理机构。</w:t>
      </w:r>
    </w:p>
    <w:p w14:paraId="6F9BEC48">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b/>
          <w:bCs/>
          <w:color w:val="auto"/>
          <w:sz w:val="24"/>
          <w:highlight w:val="none"/>
        </w:rPr>
        <w:t>征集人</w:t>
      </w:r>
      <w:r>
        <w:rPr>
          <w:rFonts w:hint="eastAsia" w:ascii="仿宋" w:hAnsi="仿宋" w:eastAsia="仿宋" w:cs="仿宋"/>
          <w:color w:val="auto"/>
          <w:sz w:val="24"/>
          <w:highlight w:val="none"/>
        </w:rPr>
        <w:t>”：系指征集公告中载明的本项目的征集人。</w:t>
      </w:r>
    </w:p>
    <w:p w14:paraId="122C7F1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b/>
          <w:bCs/>
          <w:color w:val="auto"/>
          <w:sz w:val="24"/>
          <w:highlight w:val="none"/>
        </w:rPr>
        <w:t>产品</w:t>
      </w:r>
      <w:r>
        <w:rPr>
          <w:rFonts w:hint="eastAsia" w:ascii="仿宋" w:hAnsi="仿宋" w:eastAsia="仿宋" w:cs="仿宋"/>
          <w:color w:val="auto"/>
          <w:sz w:val="24"/>
          <w:highlight w:val="none"/>
        </w:rPr>
        <w:t>”系指供方按征集文件规定，经合法途径取得的，须向征集人提供的一切产品、保险、税金、安装、施工、调试、备品备件、工具、手册及其他有关技术资料和材料。</w:t>
      </w:r>
    </w:p>
    <w:p w14:paraId="2B4D3687">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 “</w:t>
      </w:r>
      <w:r>
        <w:rPr>
          <w:rFonts w:hint="eastAsia" w:ascii="仿宋" w:hAnsi="仿宋" w:eastAsia="仿宋" w:cs="仿宋"/>
          <w:b/>
          <w:bCs/>
          <w:color w:val="auto"/>
          <w:sz w:val="24"/>
          <w:highlight w:val="none"/>
        </w:rPr>
        <w:t>服务</w:t>
      </w:r>
      <w:r>
        <w:rPr>
          <w:rFonts w:hint="eastAsia" w:ascii="仿宋" w:hAnsi="仿宋" w:eastAsia="仿宋" w:cs="仿宋"/>
          <w:color w:val="auto"/>
          <w:sz w:val="24"/>
          <w:highlight w:val="none"/>
        </w:rPr>
        <w:t>”系指征集文件规定供应商须承担的安装、调试、技术协助、校准、培训、技术指导以及其他类似的义务。</w:t>
      </w:r>
    </w:p>
    <w:p w14:paraId="02579692">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 “</w:t>
      </w:r>
      <w:r>
        <w:rPr>
          <w:rFonts w:hint="eastAsia" w:ascii="仿宋" w:hAnsi="仿宋" w:eastAsia="仿宋" w:cs="仿宋"/>
          <w:b/>
          <w:bCs/>
          <w:color w:val="auto"/>
          <w:sz w:val="24"/>
          <w:highlight w:val="none"/>
        </w:rPr>
        <w:t>供应商</w:t>
      </w:r>
      <w:r>
        <w:rPr>
          <w:rFonts w:hint="eastAsia" w:ascii="仿宋" w:hAnsi="仿宋" w:eastAsia="仿宋" w:cs="仿宋"/>
          <w:color w:val="auto"/>
          <w:sz w:val="24"/>
          <w:highlight w:val="none"/>
        </w:rPr>
        <w:t>”指已经按征集公告要求获取征集文件的响应供应商。“</w:t>
      </w:r>
      <w:r>
        <w:rPr>
          <w:rFonts w:hint="eastAsia" w:ascii="仿宋" w:hAnsi="仿宋" w:eastAsia="仿宋" w:cs="仿宋"/>
          <w:b/>
          <w:bCs/>
          <w:color w:val="auto"/>
          <w:sz w:val="24"/>
          <w:highlight w:val="none"/>
        </w:rPr>
        <w:t>潜在供应商</w:t>
      </w:r>
      <w:r>
        <w:rPr>
          <w:rFonts w:hint="eastAsia" w:ascii="仿宋" w:hAnsi="仿宋" w:eastAsia="仿宋" w:cs="仿宋"/>
          <w:color w:val="auto"/>
          <w:sz w:val="24"/>
          <w:highlight w:val="none"/>
        </w:rPr>
        <w:t>”指未按征集公告要求获取征集文件的供应商。</w:t>
      </w:r>
    </w:p>
    <w:p w14:paraId="15C57E3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 “</w:t>
      </w:r>
      <w:r>
        <w:rPr>
          <w:rFonts w:hint="eastAsia" w:ascii="仿宋" w:hAnsi="仿宋" w:eastAsia="仿宋" w:cs="仿宋"/>
          <w:b/>
          <w:bCs/>
          <w:color w:val="auto"/>
          <w:sz w:val="24"/>
          <w:highlight w:val="none"/>
        </w:rPr>
        <w:t>授权代表</w:t>
      </w:r>
      <w:r>
        <w:rPr>
          <w:rFonts w:hint="eastAsia" w:ascii="仿宋" w:hAnsi="仿宋" w:eastAsia="仿宋" w:cs="仿宋"/>
          <w:color w:val="auto"/>
          <w:sz w:val="24"/>
          <w:highlight w:val="none"/>
        </w:rPr>
        <w:t>”即“</w:t>
      </w:r>
      <w:r>
        <w:rPr>
          <w:rFonts w:hint="eastAsia" w:ascii="仿宋" w:hAnsi="仿宋" w:eastAsia="仿宋" w:cs="仿宋"/>
          <w:b/>
          <w:bCs/>
          <w:color w:val="auto"/>
          <w:sz w:val="24"/>
          <w:highlight w:val="none"/>
        </w:rPr>
        <w:t>供应商代表</w:t>
      </w:r>
      <w:r>
        <w:rPr>
          <w:rFonts w:hint="eastAsia" w:ascii="仿宋" w:hAnsi="仿宋" w:eastAsia="仿宋" w:cs="仿宋"/>
          <w:color w:val="auto"/>
          <w:sz w:val="24"/>
          <w:highlight w:val="none"/>
        </w:rPr>
        <w:t>”，指受投标供应商的法定代表人委托，办理本项目投标、质疑投诉、合同签订等整个采购活动的被授权委托人</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个体工商户参与投标的，经营者等同于法定代表人。</w:t>
      </w:r>
    </w:p>
    <w:p w14:paraId="25796FE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r>
        <w:rPr>
          <w:rFonts w:hint="eastAsia" w:ascii="仿宋" w:hAnsi="仿宋" w:eastAsia="仿宋" w:cs="仿宋"/>
          <w:b/>
          <w:bCs/>
          <w:color w:val="auto"/>
          <w:sz w:val="24"/>
          <w:highlight w:val="none"/>
        </w:rPr>
        <w:t>实质性响应条款</w:t>
      </w:r>
      <w:r>
        <w:rPr>
          <w:rFonts w:hint="eastAsia" w:ascii="仿宋" w:hAnsi="仿宋" w:eastAsia="仿宋" w:cs="仿宋"/>
          <w:color w:val="auto"/>
          <w:sz w:val="24"/>
          <w:highlight w:val="none"/>
        </w:rPr>
        <w:t>”：供应商必须响应的条款，未响应的作无效投标处理。在本征集文件中，实质性响应条款前标注“★”符号。</w:t>
      </w:r>
    </w:p>
    <w:p w14:paraId="572D5E2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b/>
          <w:bCs/>
          <w:color w:val="auto"/>
          <w:sz w:val="24"/>
          <w:highlight w:val="none"/>
        </w:rPr>
        <w:t>供应商公章</w:t>
      </w:r>
      <w:r>
        <w:rPr>
          <w:rFonts w:hint="eastAsia" w:ascii="仿宋" w:hAnsi="仿宋" w:eastAsia="仿宋" w:cs="仿宋"/>
          <w:color w:val="auto"/>
          <w:sz w:val="24"/>
          <w:highlight w:val="none"/>
        </w:rPr>
        <w:t>”指供应商法定名称章（或其电子签章）。</w:t>
      </w:r>
    </w:p>
    <w:p w14:paraId="5556D04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r>
        <w:rPr>
          <w:rFonts w:hint="eastAsia" w:ascii="仿宋" w:hAnsi="仿宋" w:eastAsia="仿宋" w:cs="仿宋"/>
          <w:b/>
          <w:bCs/>
          <w:color w:val="auto"/>
          <w:sz w:val="24"/>
          <w:highlight w:val="none"/>
        </w:rPr>
        <w:t>响应有效期</w:t>
      </w:r>
      <w:r>
        <w:rPr>
          <w:rFonts w:hint="eastAsia" w:ascii="仿宋" w:hAnsi="仿宋" w:eastAsia="仿宋" w:cs="仿宋"/>
          <w:color w:val="auto"/>
          <w:sz w:val="24"/>
          <w:highlight w:val="none"/>
        </w:rPr>
        <w:t>”指征集文件中规定的一个适当时间，响应有效期内需完成开评标以及与入围供应商签订合同的事宜。</w:t>
      </w:r>
    </w:p>
    <w:p w14:paraId="3B2E5616">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3、政府采购政策性规定</w:t>
      </w:r>
    </w:p>
    <w:p w14:paraId="6CAB10C9">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3.1采购国产</w:t>
      </w:r>
    </w:p>
    <w:p w14:paraId="47572847">
      <w:pPr>
        <w:snapToGrid w:val="0"/>
        <w:spacing w:line="440" w:lineRule="exact"/>
        <w:ind w:firstLine="482" w:firstLineChars="20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除征集文件明确允许采购进口产品外，集中采购目录内或分散采购限额标准以上的产品应当提供本国生产的产品，否则作无效投标处理。</w:t>
      </w:r>
      <w:r>
        <w:rPr>
          <w:rFonts w:hint="eastAsia" w:ascii="仿宋" w:hAnsi="仿宋" w:eastAsia="仿宋" w:cs="仿宋"/>
          <w:color w:val="auto"/>
          <w:sz w:val="24"/>
          <w:highlight w:val="none"/>
        </w:rPr>
        <w:t>采购进口产品的，不得限制潜在国产的同类产品参与投标。</w:t>
      </w:r>
    </w:p>
    <w:p w14:paraId="7F9A529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3.2扶持中小微企业</w:t>
      </w:r>
    </w:p>
    <w:p w14:paraId="25988476">
      <w:pPr>
        <w:snapToGrid w:val="0"/>
        <w:spacing w:line="42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本项目依据《政府采购促进中小企业发展管理办法》（</w:t>
      </w:r>
      <w:r>
        <w:rPr>
          <w:rFonts w:hint="eastAsia" w:ascii="仿宋" w:hAnsi="仿宋" w:eastAsia="仿宋" w:cs="仿宋"/>
          <w:color w:val="auto"/>
          <w:sz w:val="24"/>
          <w:szCs w:val="24"/>
          <w:highlight w:val="none"/>
          <w:shd w:val="clear" w:color="auto" w:fill="FFFFFF"/>
        </w:rPr>
        <w:t>财库〔2020〕46号</w:t>
      </w:r>
      <w:r>
        <w:rPr>
          <w:rFonts w:hint="eastAsia" w:ascii="仿宋" w:hAnsi="仿宋" w:eastAsia="仿宋" w:cs="仿宋"/>
          <w:color w:val="auto"/>
          <w:sz w:val="24"/>
          <w:highlight w:val="none"/>
        </w:rPr>
        <w:t>）、</w:t>
      </w:r>
      <w:r>
        <w:rPr>
          <w:rFonts w:hint="eastAsia" w:ascii="仿宋" w:hAnsi="仿宋" w:eastAsia="仿宋" w:cs="仿宋"/>
          <w:color w:val="auto"/>
          <w:kern w:val="0"/>
          <w:sz w:val="24"/>
          <w:szCs w:val="24"/>
          <w:highlight w:val="none"/>
        </w:rPr>
        <w:t>《浙江省贯彻落实国务院扎实稳住经济一揽子政策措施实施方案》（浙政发</w:t>
      </w:r>
      <w:r>
        <w:rPr>
          <w:rFonts w:hint="eastAsia" w:ascii="仿宋" w:hAnsi="仿宋" w:eastAsia="仿宋" w:cs="仿宋"/>
          <w:color w:val="auto"/>
          <w:sz w:val="24"/>
          <w:szCs w:val="24"/>
          <w:highlight w:val="none"/>
          <w:shd w:val="clear" w:color="auto" w:fill="FFFFFF"/>
        </w:rPr>
        <w:t>〔2022〕14</w:t>
      </w:r>
      <w:r>
        <w:rPr>
          <w:rFonts w:hint="eastAsia" w:ascii="仿宋" w:hAnsi="仿宋" w:eastAsia="仿宋" w:cs="仿宋"/>
          <w:color w:val="auto"/>
          <w:kern w:val="0"/>
          <w:sz w:val="24"/>
          <w:szCs w:val="24"/>
          <w:highlight w:val="none"/>
        </w:rPr>
        <w:t>号）等</w:t>
      </w:r>
      <w:r>
        <w:rPr>
          <w:rFonts w:hint="eastAsia" w:ascii="仿宋" w:hAnsi="仿宋" w:eastAsia="仿宋" w:cs="仿宋"/>
          <w:color w:val="auto"/>
          <w:sz w:val="24"/>
          <w:highlight w:val="none"/>
        </w:rPr>
        <w:t>规定，投标供应商提供的服务部分（不含货物部分，详见前附表）全部为小微企业承接的，对投标报价给予10%的扣除，用扣除后的价格参加评审。</w:t>
      </w:r>
    </w:p>
    <w:p w14:paraId="277374C7">
      <w:pPr>
        <w:snapToGrid w:val="0"/>
        <w:spacing w:line="42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或分包方式参与政府采购活动的，联合体或分包方中任意一方（或多方）所提供的全部服务为小微企业承接，则这一方（或多方）视为小微企业，其在联合体协议或分包意向协议中约定的合同份额占到合同总金额30%以上的，可按规定享受4%的价格扣除。</w:t>
      </w:r>
    </w:p>
    <w:p w14:paraId="1EB6E3E9">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供应商应当在联合体协议或分包意向协议中约定各方承担的货物和服务内容以及各方的合同份额，并在《中小企业声明函》中填写服务承接商的小微企业相关信息，否则不予享受价格扣除。</w:t>
      </w:r>
    </w:p>
    <w:p w14:paraId="28465462">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组成联合体或者接受分包的小微企业与联合体内其他企业、分包企业之间存在直接控股、管理关系的，不享受价格扣除优惠政策。</w:t>
      </w:r>
    </w:p>
    <w:p w14:paraId="2DF6BEB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按照征集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14:paraId="15CB35F6">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3.3节能环保政策</w:t>
      </w:r>
    </w:p>
    <w:p w14:paraId="01E4AC9B">
      <w:pPr>
        <w:snapToGrid w:val="0"/>
        <w:spacing w:line="42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375551D6">
      <w:pPr>
        <w:snapToGrid w:val="0"/>
        <w:spacing w:line="44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30358A6C">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3.4优先采购创新产品</w:t>
      </w:r>
    </w:p>
    <w:p w14:paraId="594C4C9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供应商所投核心产品中有被省级及省级以上主管部门认定为“首台套产品”或“制造精品”的，自认定之日起3年内视同已具备相应销售业绩，参加政府采购活动时该供应商的业绩分为满分。</w:t>
      </w:r>
    </w:p>
    <w:p w14:paraId="1C9743EF">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4.征集文件的澄清与修改</w:t>
      </w:r>
    </w:p>
    <w:p w14:paraId="379ADC75">
      <w:pPr>
        <w:pStyle w:val="7"/>
        <w:widowControl w:val="0"/>
        <w:numPr>
          <w:ilvl w:val="0"/>
          <w:numId w:val="0"/>
        </w:numPr>
        <w:spacing w:afterLines="0" w:line="440" w:lineRule="exact"/>
        <w:rPr>
          <w:rFonts w:hint="eastAsia" w:ascii="仿宋" w:hAnsi="仿宋" w:eastAsia="仿宋" w:cs="仿宋"/>
          <w:color w:val="auto"/>
          <w:highlight w:val="none"/>
        </w:rPr>
      </w:pPr>
      <w:r>
        <w:rPr>
          <w:rFonts w:hint="eastAsia" w:ascii="仿宋" w:hAnsi="仿宋" w:eastAsia="仿宋" w:cs="仿宋"/>
          <w:color w:val="auto"/>
          <w:highlight w:val="none"/>
        </w:rPr>
        <w:t>4.1征集人如对征集文件进行澄清、补充、变更的，或者在提交截止时间前规定时间内，</w:t>
      </w:r>
      <w:r>
        <w:rPr>
          <w:rFonts w:hint="eastAsia" w:ascii="仿宋" w:hAnsi="仿宋" w:eastAsia="仿宋" w:cs="仿宋"/>
          <w:bCs/>
          <w:color w:val="auto"/>
          <w:kern w:val="2"/>
          <w:szCs w:val="24"/>
          <w:highlight w:val="none"/>
        </w:rPr>
        <w:t>征集人</w:t>
      </w:r>
      <w:r>
        <w:rPr>
          <w:rFonts w:hint="eastAsia" w:ascii="仿宋" w:hAnsi="仿宋" w:eastAsia="仿宋" w:cs="仿宋"/>
          <w:color w:val="auto"/>
          <w:highlight w:val="none"/>
        </w:rPr>
        <w:t>需要对征集文件进行补充或修改的，征集人将会通过浙江省政府采购网（</w:t>
      </w:r>
      <w:r>
        <w:rPr>
          <w:rFonts w:hint="eastAsia" w:ascii="仿宋" w:hAnsi="仿宋" w:eastAsia="仿宋" w:cs="仿宋"/>
          <w:color w:val="auto"/>
          <w:spacing w:val="-4"/>
          <w:highlight w:val="none"/>
        </w:rPr>
        <w:t>http://zfcg.czt.zj.gov.cn/</w:t>
      </w:r>
      <w:r>
        <w:rPr>
          <w:rFonts w:hint="eastAsia" w:ascii="仿宋" w:hAnsi="仿宋" w:eastAsia="仿宋" w:cs="仿宋"/>
          <w:color w:val="auto"/>
          <w:highlight w:val="none"/>
        </w:rPr>
        <w:t>）和绍兴市越城区人民政府网站公共资源交易征集公告版块（http://www.sxyc.gov.cn）以更正公告的形式发布，公告中没有注明更改提交截止时间的视为截止时间不变。更正公告作为征集文件的补充和组成部分，对所有供应商均有约束力。供应商也可以登录政采云平台下载。</w:t>
      </w:r>
    </w:p>
    <w:p w14:paraId="310080F6">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4.2为使供应商有足够的时间按更正公告要求修改响应文件，</w:t>
      </w:r>
      <w:r>
        <w:rPr>
          <w:rFonts w:hint="eastAsia" w:ascii="仿宋" w:hAnsi="仿宋" w:eastAsia="仿宋" w:cs="仿宋"/>
          <w:bCs/>
          <w:color w:val="auto"/>
          <w:sz w:val="24"/>
          <w:szCs w:val="24"/>
          <w:highlight w:val="none"/>
        </w:rPr>
        <w:t>征集人</w:t>
      </w:r>
      <w:r>
        <w:rPr>
          <w:rFonts w:hint="eastAsia" w:ascii="仿宋" w:hAnsi="仿宋" w:eastAsia="仿宋" w:cs="仿宋"/>
          <w:color w:val="auto"/>
          <w:sz w:val="24"/>
          <w:highlight w:val="none"/>
        </w:rPr>
        <w:t>可酌情推迟提交截止时间和开标时间，并将此变更以更正公告的形式通过上述途径通知供应商。</w:t>
      </w:r>
    </w:p>
    <w:p w14:paraId="6AA73265">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5、参考品牌</w:t>
      </w:r>
    </w:p>
    <w:p w14:paraId="02E2B8F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征集文件如涉及各类品牌、型号，则所述品牌、型号是结合实际现有情况的推荐性参考方案，供应商也可根据征集文件的要求推荐性能相当或高于、服务条款相等或高于、符合征集人实际业务需求其他同档次优质品牌的产品，进行方案优化。</w:t>
      </w:r>
    </w:p>
    <w:p w14:paraId="68EDC1D7">
      <w:pPr>
        <w:pStyle w:val="3"/>
        <w:rPr>
          <w:rFonts w:hint="eastAsia" w:ascii="仿宋" w:hAnsi="仿宋" w:eastAsia="仿宋" w:cs="仿宋"/>
          <w:color w:val="auto"/>
          <w:highlight w:val="none"/>
        </w:rPr>
      </w:pPr>
      <w:bookmarkStart w:id="20" w:name="_Toc2519"/>
      <w:bookmarkStart w:id="21" w:name="_Toc15396"/>
      <w:r>
        <w:rPr>
          <w:rFonts w:hint="eastAsia" w:ascii="仿宋" w:hAnsi="仿宋" w:eastAsia="仿宋" w:cs="仿宋"/>
          <w:color w:val="auto"/>
          <w:highlight w:val="none"/>
        </w:rPr>
        <w:t>三、响应文件</w:t>
      </w:r>
      <w:bookmarkEnd w:id="20"/>
      <w:bookmarkEnd w:id="21"/>
    </w:p>
    <w:p w14:paraId="57F22984">
      <w:pPr>
        <w:numPr>
          <w:ilvl w:val="0"/>
          <w:numId w:val="4"/>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响应文件的语言及货币单位</w:t>
      </w:r>
    </w:p>
    <w:p w14:paraId="67474426">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响应文件以及有关投标事宜的所有来往函电均应以中文书写，专业术语和外文证明材料除外。</w:t>
      </w:r>
    </w:p>
    <w:p w14:paraId="3A066416">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1.2响应文件以人民币元报价或以下浮率（优惠率）报价，具体详见《开标一览表》。</w:t>
      </w:r>
    </w:p>
    <w:p w14:paraId="22D1ED2C">
      <w:pPr>
        <w:numPr>
          <w:ilvl w:val="0"/>
          <w:numId w:val="4"/>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响应文件的组成</w:t>
      </w:r>
      <w:r>
        <w:rPr>
          <w:rFonts w:hint="eastAsia" w:ascii="仿宋" w:hAnsi="仿宋" w:eastAsia="仿宋" w:cs="仿宋"/>
          <w:bCs/>
          <w:color w:val="auto"/>
          <w:sz w:val="24"/>
          <w:highlight w:val="none"/>
        </w:rPr>
        <w:t>（</w:t>
      </w:r>
      <w:r>
        <w:rPr>
          <w:rFonts w:hint="eastAsia" w:ascii="仿宋" w:hAnsi="仿宋" w:eastAsia="仿宋" w:cs="仿宋"/>
          <w:b/>
          <w:bCs/>
          <w:color w:val="auto"/>
          <w:sz w:val="24"/>
          <w:highlight w:val="none"/>
        </w:rPr>
        <w:t>格式详见第六章附件</w:t>
      </w:r>
      <w:r>
        <w:rPr>
          <w:rFonts w:hint="eastAsia" w:ascii="仿宋" w:hAnsi="仿宋" w:eastAsia="仿宋" w:cs="仿宋"/>
          <w:bCs/>
          <w:color w:val="auto"/>
          <w:sz w:val="24"/>
          <w:highlight w:val="none"/>
        </w:rPr>
        <w:t>）</w:t>
      </w:r>
    </w:p>
    <w:p w14:paraId="12E477D2">
      <w:pPr>
        <w:snapToGrid w:val="0"/>
        <w:spacing w:line="440" w:lineRule="exact"/>
        <w:ind w:firstLine="479"/>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本项目响应文件由“资格文件”、“商务和技术文件”、“报价文件”三部分组成：</w:t>
      </w:r>
    </w:p>
    <w:p w14:paraId="581A35BE">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2.1“资格文件”包括以下内容：</w:t>
      </w:r>
    </w:p>
    <w:p w14:paraId="46EA780B">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投标声明函；</w:t>
      </w:r>
    </w:p>
    <w:p w14:paraId="1405B925">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2.1.2联合体协议书（如有）；</w:t>
      </w:r>
    </w:p>
    <w:p w14:paraId="14348D0B">
      <w:pPr>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2.1.3</w:t>
      </w:r>
      <w:r>
        <w:rPr>
          <w:rFonts w:hint="eastAsia" w:ascii="仿宋" w:hAnsi="仿宋" w:eastAsia="仿宋" w:cs="仿宋"/>
          <w:color w:val="auto"/>
          <w:sz w:val="24"/>
          <w:szCs w:val="24"/>
          <w:highlight w:val="none"/>
        </w:rPr>
        <w:t>分包意向协议（如有）；</w:t>
      </w:r>
    </w:p>
    <w:p w14:paraId="7FE510CD">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2.1.4法定代表人授权委托书（个体工商户需经营者参与投标，不得授权）</w:t>
      </w:r>
      <w:r>
        <w:rPr>
          <w:rFonts w:hint="eastAsia" w:ascii="仿宋" w:hAnsi="仿宋" w:eastAsia="仿宋" w:cs="仿宋"/>
          <w:bCs/>
          <w:color w:val="auto"/>
          <w:sz w:val="24"/>
          <w:highlight w:val="none"/>
        </w:rPr>
        <w:t>；</w:t>
      </w:r>
    </w:p>
    <w:p w14:paraId="256FF3B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2.1.5法定代表人及其授权代表的身份证；</w:t>
      </w:r>
    </w:p>
    <w:p w14:paraId="59325B5A">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2.1.6 资格条件证明材料：</w:t>
      </w:r>
    </w:p>
    <w:p w14:paraId="34A15849">
      <w:pPr>
        <w:snapToGrid w:val="0"/>
        <w:spacing w:line="44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2.1.6.1营业执照或事业单位法人登记证书或民办非企业单位登记证书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如为联合体投标的，提供联合体所有成员的</w:t>
      </w:r>
      <w:r>
        <w:rPr>
          <w:rFonts w:hint="eastAsia" w:ascii="仿宋" w:hAnsi="仿宋" w:eastAsia="仿宋" w:cs="仿宋"/>
          <w:color w:val="auto"/>
          <w:sz w:val="24"/>
          <w:highlight w:val="none"/>
        </w:rPr>
        <w:t>营业执照或事业单位法人登记证书或民办非企业单位登记证书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B911B4E">
      <w:pPr>
        <w:snapToGrid w:val="0"/>
        <w:spacing w:line="44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2.1.6.2特定资格条件证明材料（如有）。</w:t>
      </w:r>
    </w:p>
    <w:p w14:paraId="5A7267C1">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注：“资格文件”需按征集文件的要求制作，2.1.5-2.1.</w:t>
      </w:r>
      <w:r>
        <w:rPr>
          <w:rFonts w:hint="eastAsia" w:ascii="仿宋" w:hAnsi="仿宋" w:eastAsia="仿宋" w:cs="仿宋"/>
          <w:b/>
          <w:bCs/>
          <w:color w:val="auto"/>
          <w:sz w:val="32"/>
          <w:szCs w:val="32"/>
          <w:highlight w:val="none"/>
          <w:u w:val="single"/>
          <w:lang w:val="en-US" w:eastAsia="zh-CN"/>
        </w:rPr>
        <w:t>6</w:t>
      </w:r>
      <w:r>
        <w:rPr>
          <w:rFonts w:hint="eastAsia" w:ascii="仿宋" w:hAnsi="仿宋" w:eastAsia="仿宋" w:cs="仿宋"/>
          <w:b/>
          <w:bCs/>
          <w:color w:val="auto"/>
          <w:sz w:val="32"/>
          <w:szCs w:val="32"/>
          <w:highlight w:val="none"/>
          <w:u w:val="single"/>
        </w:rPr>
        <w:t>均为原件扫描件或彩色图片，未按征集文件要求签字、盖CA章或内容有实质性偏离的，资格审查不通过。无需提供纸质资格审查资料。</w:t>
      </w:r>
    </w:p>
    <w:p w14:paraId="672D82B6">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2.2“商务和技术文件”包括以下内容：</w:t>
      </w:r>
    </w:p>
    <w:p w14:paraId="414C839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2.2.1项目明细清单；</w:t>
      </w:r>
    </w:p>
    <w:p w14:paraId="55796E8C">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2.2.2技术响应表（供应商在技术响应表中，</w:t>
      </w:r>
      <w:r>
        <w:rPr>
          <w:rFonts w:hint="eastAsia" w:ascii="仿宋" w:hAnsi="仿宋" w:eastAsia="仿宋" w:cs="仿宋"/>
          <w:color w:val="auto"/>
          <w:kern w:val="0"/>
          <w:sz w:val="24"/>
          <w:highlight w:val="none"/>
          <w:lang w:val="zh-CN"/>
        </w:rPr>
        <w:t>应对</w:t>
      </w:r>
      <w:r>
        <w:rPr>
          <w:rFonts w:hint="eastAsia" w:ascii="仿宋" w:hAnsi="仿宋" w:eastAsia="仿宋" w:cs="仿宋"/>
          <w:color w:val="auto"/>
          <w:sz w:val="24"/>
          <w:highlight w:val="none"/>
        </w:rPr>
        <w:t>采购需求中的各项技术规范</w:t>
      </w:r>
      <w:r>
        <w:rPr>
          <w:rFonts w:hint="eastAsia" w:ascii="仿宋" w:hAnsi="仿宋" w:eastAsia="仿宋" w:cs="仿宋"/>
          <w:color w:val="auto"/>
          <w:kern w:val="0"/>
          <w:sz w:val="24"/>
          <w:highlight w:val="none"/>
          <w:lang w:val="zh-CN"/>
        </w:rPr>
        <w:t>要求进行答复、说明和解释，正偏离的需详细说明缘由。如果供应商在技术响应表中注明无偏离或正偏离，评标结束后、签订采购合同前又认为其实际产品与投标技术需求不一致的，视为供应商在响应有效期内对其响应文件进行了实质性修改，其</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将被追认为无效，征集机构将把这一情况报送采购监管部门。</w:t>
      </w:r>
      <w:r>
        <w:rPr>
          <w:rFonts w:hint="eastAsia" w:ascii="仿宋" w:hAnsi="仿宋" w:eastAsia="仿宋" w:cs="仿宋"/>
          <w:color w:val="auto"/>
          <w:sz w:val="24"/>
          <w:highlight w:val="none"/>
        </w:rPr>
        <w:t>）；</w:t>
      </w:r>
    </w:p>
    <w:p w14:paraId="7090B67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2.2.3商务响应表（需对征集文件中付款方式、服务期限等商务要求进行逐一答复、说明和解释，</w:t>
      </w:r>
      <w:r>
        <w:rPr>
          <w:rFonts w:hint="eastAsia" w:ascii="仿宋" w:hAnsi="仿宋" w:eastAsia="仿宋" w:cs="仿宋"/>
          <w:color w:val="auto"/>
          <w:kern w:val="0"/>
          <w:sz w:val="24"/>
          <w:highlight w:val="none"/>
          <w:lang w:val="zh-CN"/>
        </w:rPr>
        <w:t>正偏离的需详细说明）；</w:t>
      </w:r>
    </w:p>
    <w:p w14:paraId="1B3E8BDB">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2.2.4项目实施方案；</w:t>
      </w:r>
    </w:p>
    <w:p w14:paraId="2BA3DE72">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2.2.5项目实施人员清单；</w:t>
      </w:r>
    </w:p>
    <w:p w14:paraId="7B257421">
      <w:pPr>
        <w:pStyle w:val="44"/>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2.2.6类似业绩一览表（附业绩证明材料）（如有）；</w:t>
      </w:r>
    </w:p>
    <w:p w14:paraId="12C32E2B">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2.2.7享受政府采购政策性规定情况表（如有）（</w:t>
      </w:r>
      <w:r>
        <w:rPr>
          <w:rFonts w:hint="eastAsia" w:ascii="仿宋" w:hAnsi="仿宋" w:eastAsia="仿宋" w:cs="仿宋"/>
          <w:color w:val="auto"/>
          <w:sz w:val="24"/>
          <w:szCs w:val="24"/>
          <w:highlight w:val="none"/>
        </w:rPr>
        <w:t>采购清单中有国家强制采购的节能产品的，必须填写相关对应内容，否则视为未提供节能产品）（附证明材料）。</w:t>
      </w:r>
    </w:p>
    <w:p w14:paraId="792E2C8F">
      <w:pPr>
        <w:snapToGrid w:val="0"/>
        <w:spacing w:line="440" w:lineRule="exact"/>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2.2.9按评分细则中要求提供的其他资料（重要）；</w:t>
      </w:r>
    </w:p>
    <w:p w14:paraId="33E3FB19">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2.2.10其他供应商认为需要提供的材料，如供应商简介等，格式自拟。</w:t>
      </w:r>
    </w:p>
    <w:p w14:paraId="48258ABB">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u w:val="single"/>
        </w:rPr>
        <w:t>注：“商务和技术文件”可在征集文件格式的基础上进行调整，以使内容更加完备。供应商自有的各类证书、业绩等证明材料均为原件彩色扫描件或图片（标项内另有规定的除外），加盖供应商CA签章。无需提供纸质证明材料核验。</w:t>
      </w:r>
    </w:p>
    <w:p w14:paraId="43E6785D">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2.3“报价文件”包括以下内容：</w:t>
      </w:r>
    </w:p>
    <w:p w14:paraId="1AA747AE">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2.3.1第一阶段响应报价表；</w:t>
      </w:r>
    </w:p>
    <w:p w14:paraId="349042AA">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2.3.2关于报价的其他说明（如有，格式自拟）。</w:t>
      </w:r>
    </w:p>
    <w:p w14:paraId="0F9C4175">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注：“第一阶段响应报价表”需按征集文件第六章附件的要求制作，未按征集文件要求签字、盖CA章或内容有实质性偏离的，作无效投标处理。</w:t>
      </w:r>
    </w:p>
    <w:p w14:paraId="09FBB1A4">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注：如联合体投标的，“资格文件”、“商务技术文件”、“报价文件”中除联合体协议外，所有盖章、签字部分仅需联合体牵头人盖章和签字。</w:t>
      </w:r>
    </w:p>
    <w:p w14:paraId="4637CE90">
      <w:pPr>
        <w:numPr>
          <w:ilvl w:val="0"/>
          <w:numId w:val="4"/>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响应文件的制作要求</w:t>
      </w:r>
    </w:p>
    <w:p w14:paraId="13175D80">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3.1电子响应文件，按“供应商-政府采购项目电子交易操作指南”（https://help.zcygov.cn/web/site_2/2018/12-28/2573.html?utm=a0017.1b5152f3.cl12.1.6a74a560d9dd11e9943b71555d71591e）及本征集文件要求制作、加密并上传，</w:t>
      </w:r>
      <w:r>
        <w:rPr>
          <w:rFonts w:hint="eastAsia" w:ascii="仿宋" w:hAnsi="仿宋" w:eastAsia="仿宋" w:cs="仿宋"/>
          <w:b/>
          <w:bCs/>
          <w:color w:val="auto"/>
          <w:spacing w:val="-4"/>
          <w:sz w:val="24"/>
          <w:highlight w:val="none"/>
        </w:rPr>
        <w:t>未按“政采云”平台电子投标工具（政府采购电子交易客户端）制作将无法上传和解密</w:t>
      </w:r>
      <w:r>
        <w:rPr>
          <w:rFonts w:hint="eastAsia" w:ascii="仿宋" w:hAnsi="仿宋" w:eastAsia="仿宋" w:cs="仿宋"/>
          <w:b/>
          <w:color w:val="auto"/>
          <w:sz w:val="24"/>
          <w:highlight w:val="none"/>
        </w:rPr>
        <w:t>。</w:t>
      </w:r>
    </w:p>
    <w:p w14:paraId="57E0B7DE">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3.2响应文件须为PDF格式文档。</w:t>
      </w:r>
    </w:p>
    <w:p w14:paraId="13616798">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3.3响应文件需做好“标书关联”（即设置关联点），未设置关联点而导致失分或作无效投标处理的风险由供应商承担。</w:t>
      </w:r>
    </w:p>
    <w:p w14:paraId="7A0137FA">
      <w:pPr>
        <w:snapToGrid w:val="0"/>
        <w:spacing w:line="440" w:lineRule="exact"/>
        <w:jc w:val="left"/>
        <w:rPr>
          <w:rFonts w:hint="eastAsia" w:ascii="仿宋" w:hAnsi="仿宋" w:eastAsia="仿宋" w:cs="仿宋"/>
          <w:b/>
          <w:bCs/>
          <w:color w:val="auto"/>
          <w:spacing w:val="-4"/>
          <w:sz w:val="24"/>
          <w:highlight w:val="none"/>
        </w:rPr>
      </w:pPr>
      <w:r>
        <w:rPr>
          <w:rFonts w:hint="eastAsia" w:ascii="仿宋" w:hAnsi="仿宋" w:eastAsia="仿宋" w:cs="仿宋"/>
          <w:b/>
          <w:bCs/>
          <w:color w:val="auto"/>
          <w:spacing w:val="-4"/>
          <w:sz w:val="24"/>
          <w:highlight w:val="none"/>
        </w:rPr>
        <w:t>3.4供应商需在上传加密电子响应文件的同时，准备备份加密电子响应文件，以便在上传的加密电子响应文件解密失败后启用备份加密响应文件。备份加密电子响应文件在解密失败后发送采购代理机构，由采购代理机构上传。</w:t>
      </w:r>
    </w:p>
    <w:p w14:paraId="0D6F0BF0">
      <w:pPr>
        <w:snapToGrid w:val="0"/>
        <w:spacing w:line="440" w:lineRule="exact"/>
        <w:jc w:val="left"/>
        <w:rPr>
          <w:rFonts w:hint="eastAsia" w:ascii="仿宋" w:hAnsi="仿宋" w:eastAsia="仿宋" w:cs="仿宋"/>
          <w:b/>
          <w:bCs/>
          <w:color w:val="auto"/>
          <w:spacing w:val="-4"/>
          <w:sz w:val="24"/>
          <w:highlight w:val="none"/>
        </w:rPr>
      </w:pPr>
      <w:r>
        <w:rPr>
          <w:rFonts w:hint="eastAsia" w:ascii="仿宋" w:hAnsi="仿宋" w:eastAsia="仿宋" w:cs="仿宋"/>
          <w:b/>
          <w:bCs/>
          <w:color w:val="auto"/>
          <w:spacing w:val="-4"/>
          <w:sz w:val="24"/>
          <w:highlight w:val="none"/>
        </w:rPr>
        <w:t>3.5个体工商户参与投标的，法定代表人签字（盖章）处由个体工商户经营者签署（盖章）。</w:t>
      </w:r>
    </w:p>
    <w:p w14:paraId="5BFA0F23">
      <w:pPr>
        <w:snapToGrid w:val="0"/>
        <w:spacing w:line="440" w:lineRule="exact"/>
        <w:jc w:val="left"/>
        <w:rPr>
          <w:rFonts w:hint="eastAsia" w:ascii="仿宋" w:hAnsi="仿宋" w:eastAsia="仿宋" w:cs="仿宋"/>
          <w:color w:val="auto"/>
          <w:sz w:val="24"/>
          <w:highlight w:val="none"/>
          <w:u w:val="single"/>
        </w:rPr>
      </w:pPr>
      <w:r>
        <w:rPr>
          <w:rFonts w:hint="eastAsia" w:ascii="仿宋" w:hAnsi="仿宋" w:eastAsia="仿宋" w:cs="仿宋"/>
          <w:b/>
          <w:bCs/>
          <w:color w:val="auto"/>
          <w:spacing w:val="-4"/>
          <w:sz w:val="24"/>
          <w:highlight w:val="none"/>
          <w:u w:val="single"/>
        </w:rPr>
        <w:t>友情提醒：在生成加密电子标书过程中，花费时间较长，预计需要10-20分钟时间，请供应商耐心等待，不要关闭电子交易客户端。</w:t>
      </w:r>
    </w:p>
    <w:p w14:paraId="669749F9">
      <w:pPr>
        <w:widowControl/>
        <w:snapToGrid w:val="0"/>
        <w:spacing w:line="440" w:lineRule="exac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kern w:val="0"/>
          <w:sz w:val="24"/>
          <w:highlight w:val="none"/>
        </w:rPr>
        <w:t>响应文件的补充和修改</w:t>
      </w:r>
    </w:p>
    <w:p w14:paraId="208D14EC">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交截止时间前，供应商可以通过替换加密电子响应文件的形式以对响应文件进行补充和修改，补充和修改将以提交截止时间后的最终加密电子响应文件为准，提交截止时间前未完成上传的，视为响应文件撤回。不接受其他途径的补充和修改。</w:t>
      </w:r>
    </w:p>
    <w:p w14:paraId="07C7BCBF">
      <w:pPr>
        <w:pStyle w:val="7"/>
        <w:numPr>
          <w:ilvl w:val="0"/>
          <w:numId w:val="0"/>
        </w:numPr>
        <w:spacing w:afterLines="0" w:line="440" w:lineRule="atLeas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5.响应文件的有效期</w:t>
      </w:r>
    </w:p>
    <w:p w14:paraId="5EED30C1">
      <w:pPr>
        <w:pStyle w:val="7"/>
        <w:numPr>
          <w:ilvl w:val="0"/>
          <w:numId w:val="0"/>
        </w:numPr>
        <w:spacing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5.1</w:t>
      </w:r>
      <w:r>
        <w:rPr>
          <w:rFonts w:hint="eastAsia" w:ascii="仿宋" w:hAnsi="仿宋" w:eastAsia="仿宋" w:cs="仿宋"/>
          <w:color w:val="auto"/>
          <w:highlight w:val="none"/>
        </w:rPr>
        <w:t>响应文件有效期详见前附表。响应有效期内，供应商不得撤销或更换响应文件。</w:t>
      </w:r>
    </w:p>
    <w:p w14:paraId="151936D9">
      <w:pPr>
        <w:pStyle w:val="7"/>
        <w:numPr>
          <w:ilvl w:val="0"/>
          <w:numId w:val="0"/>
        </w:numPr>
        <w:spacing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5.2响应有效期内未完成开评标及与入围供应商签订合同的，征集人需与供应商书面协商延长投标书的有效期。</w:t>
      </w:r>
    </w:p>
    <w:p w14:paraId="49652235">
      <w:pPr>
        <w:pStyle w:val="7"/>
        <w:numPr>
          <w:ilvl w:val="0"/>
          <w:numId w:val="0"/>
        </w:numPr>
        <w:spacing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5.3供应商可拒绝接受延期要求。同意延长有效期的供应商不能修改响应文件。</w:t>
      </w:r>
    </w:p>
    <w:p w14:paraId="733880AB">
      <w:pPr>
        <w:pStyle w:val="7"/>
        <w:numPr>
          <w:ilvl w:val="0"/>
          <w:numId w:val="0"/>
        </w:numPr>
        <w:spacing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5.4响应文件不予退还。</w:t>
      </w:r>
    </w:p>
    <w:p w14:paraId="461CF1EE">
      <w:pPr>
        <w:pStyle w:val="7"/>
        <w:numPr>
          <w:ilvl w:val="0"/>
          <w:numId w:val="0"/>
        </w:numPr>
        <w:spacing w:afterLines="0" w:line="440" w:lineRule="atLeas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6.响应文件的保密</w:t>
      </w:r>
    </w:p>
    <w:p w14:paraId="1EE2B4F1">
      <w:pPr>
        <w:pStyle w:val="7"/>
        <w:numPr>
          <w:ilvl w:val="0"/>
          <w:numId w:val="0"/>
        </w:numPr>
        <w:spacing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6.1备份电子响应文件在解密前处于保密状态。</w:t>
      </w:r>
    </w:p>
    <w:p w14:paraId="3CA9DF35">
      <w:pPr>
        <w:pStyle w:val="7"/>
        <w:numPr>
          <w:ilvl w:val="0"/>
          <w:numId w:val="0"/>
        </w:numPr>
        <w:spacing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6.2解密成功后，“资格文件”、“商务和技术文件”、“报价文件”各自处于数据隔离状态，各部分信息只有在相关环节评审时可见，不受解密影响。</w:t>
      </w:r>
    </w:p>
    <w:p w14:paraId="0847B348">
      <w:pPr>
        <w:pStyle w:val="3"/>
        <w:rPr>
          <w:rFonts w:hint="eastAsia" w:ascii="仿宋" w:hAnsi="仿宋" w:eastAsia="仿宋" w:cs="仿宋"/>
          <w:color w:val="auto"/>
          <w:highlight w:val="none"/>
        </w:rPr>
      </w:pPr>
      <w:bookmarkStart w:id="22" w:name="_Toc29928"/>
      <w:bookmarkStart w:id="23" w:name="_Toc29398"/>
      <w:r>
        <w:rPr>
          <w:rFonts w:hint="eastAsia" w:ascii="仿宋" w:hAnsi="仿宋" w:eastAsia="仿宋" w:cs="仿宋"/>
          <w:color w:val="auto"/>
          <w:highlight w:val="none"/>
        </w:rPr>
        <w:t>四、开标评标</w:t>
      </w:r>
      <w:bookmarkEnd w:id="22"/>
      <w:bookmarkEnd w:id="23"/>
    </w:p>
    <w:p w14:paraId="724D2F58">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1．开标出席</w:t>
      </w:r>
    </w:p>
    <w:p w14:paraId="36DC1092">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 xml:space="preserve"> 供应商法定代表人或其授权代表或个体工商户经营者需准时通过“政采云平台”在线参加开标，否则将导致响应文件无法按时解密、无法在线询标等。</w:t>
      </w:r>
    </w:p>
    <w:p w14:paraId="633298C7">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1.2供应商自主选择是否出席现场开标会议，但除电子交易技术指导外，现场不接受任何与投标有关的资料。</w:t>
      </w:r>
    </w:p>
    <w:p w14:paraId="783907DE">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2．开标大会程序</w:t>
      </w:r>
    </w:p>
    <w:p w14:paraId="77F6A74B">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开标大会由采购代理机构主持：</w:t>
      </w:r>
    </w:p>
    <w:p w14:paraId="3DEA35A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2.1主持人宣布开标会开始，介绍到会单位和人员。</w:t>
      </w:r>
    </w:p>
    <w:p w14:paraId="57EEA1EA">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2.2宣读完成加密电子响应文件上传的供应商名单。</w:t>
      </w:r>
    </w:p>
    <w:p w14:paraId="4A21B5D4">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2.3组织各供应商法定代表人或其授权代表签署《政府采购活动现场确认声明书》（视情）。</w:t>
      </w:r>
    </w:p>
    <w:p w14:paraId="1C68B010">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采购代理机构通过政采云平台和上传电子响应文件时登记的手机号发出解密指令，供应商对加密电子响应文件进行在线解密。在系统规定时间内解密电子响应文件，解密成功的，备份加密电子响应文件自动失效。若在规定时间内无法解密或解密失败，上传备份电子加密响应文件并解密。</w:t>
      </w:r>
    </w:p>
    <w:p w14:paraId="3A2770E0">
      <w:pPr>
        <w:snapToGrid w:val="0"/>
        <w:spacing w:line="480" w:lineRule="exact"/>
        <w:jc w:val="left"/>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注：</w:t>
      </w:r>
      <w:r>
        <w:rPr>
          <w:rFonts w:hint="eastAsia" w:ascii="仿宋" w:hAnsi="仿宋" w:eastAsia="仿宋" w:cs="仿宋"/>
          <w:b/>
          <w:bCs/>
          <w:color w:val="auto"/>
          <w:spacing w:val="-4"/>
          <w:sz w:val="24"/>
          <w:highlight w:val="none"/>
          <w:u w:val="single"/>
        </w:rPr>
        <w:t>制作电子响应文件和解密响应文件的需为同一把CA。解密时间截止后仍未解密成功的，视为撤回响应文件，放弃投标。</w:t>
      </w:r>
    </w:p>
    <w:p w14:paraId="793022F2">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2.5征集人或采购代理机构对“资格文件”进行审查，发布资格审查结果。</w:t>
      </w:r>
    </w:p>
    <w:p w14:paraId="1246338F">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2.6评审委员会对“商务和技术文件”进行评审，发布评审结果。</w:t>
      </w:r>
    </w:p>
    <w:p w14:paraId="249843BB">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注：评审期间的询标、澄清都将在政采云平台上进行。</w:t>
      </w:r>
    </w:p>
    <w:p w14:paraId="2C29BA30">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2.7评审委员会对报价文件进行审查。</w:t>
      </w:r>
    </w:p>
    <w:p w14:paraId="31D280E8">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2.8汇总技术商务分，根据总得分排序确定入围候选人，公布评审结果。</w:t>
      </w:r>
    </w:p>
    <w:p w14:paraId="07F38AE2">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3.信用信息查询</w:t>
      </w:r>
    </w:p>
    <w:p w14:paraId="4DB8AC85">
      <w:pPr>
        <w:pStyle w:val="48"/>
        <w:adjustRightInd w:val="0"/>
        <w:spacing w:before="0" w:line="420" w:lineRule="exact"/>
        <w:ind w:firstLine="495"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信用信息查询渠道及截止时间：采购代理机构或征集人将在资格审查时通过“信用中国”网站(www.creditchina.gov.cn)、中国政府采购网(www.ccgp.gov.cn)渠道查询响应供应商接受资格审查时的信用记录。</w:t>
      </w:r>
    </w:p>
    <w:p w14:paraId="1CA9CCC1">
      <w:pPr>
        <w:pStyle w:val="48"/>
        <w:adjustRightInd w:val="0"/>
        <w:spacing w:before="0" w:line="420" w:lineRule="exact"/>
        <w:ind w:firstLine="495"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3.1信用信息查询记录和证据留存的具体方式：现场查询的响应供应商的信用记录、查询结果经确认后将与采购文件一起存档。</w:t>
      </w:r>
    </w:p>
    <w:p w14:paraId="20DDD3A8">
      <w:pPr>
        <w:pStyle w:val="48"/>
        <w:adjustRightInd w:val="0"/>
        <w:spacing w:before="0" w:line="420" w:lineRule="exact"/>
        <w:ind w:firstLine="495"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3.2信用信息的使用规则：经查询列入失信被执行人名单、</w:t>
      </w:r>
      <w:r>
        <w:rPr>
          <w:rFonts w:hint="eastAsia" w:ascii="仿宋" w:hAnsi="仿宋" w:eastAsia="仿宋" w:cs="仿宋"/>
          <w:color w:val="auto"/>
          <w:highlight w:val="none"/>
          <w:lang w:eastAsia="zh-CN"/>
        </w:rPr>
        <w:t>重大税收违法失信主体</w:t>
      </w:r>
      <w:r>
        <w:rPr>
          <w:rFonts w:hint="eastAsia" w:ascii="仿宋" w:hAnsi="仿宋" w:eastAsia="仿宋" w:cs="仿宋"/>
          <w:color w:val="auto"/>
          <w:highlight w:val="none"/>
        </w:rPr>
        <w:t>、政府采购严重违法失信行为记录名单的响应供应商将被拒绝参与政府采购活动。</w:t>
      </w:r>
    </w:p>
    <w:p w14:paraId="008A38B1">
      <w:pPr>
        <w:pStyle w:val="48"/>
        <w:adjustRightInd w:val="0"/>
        <w:spacing w:before="0" w:line="420" w:lineRule="exact"/>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319B897">
      <w:pPr>
        <w:numPr>
          <w:ilvl w:val="0"/>
          <w:numId w:val="4"/>
        </w:num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评审委员会的组成</w:t>
      </w:r>
    </w:p>
    <w:p w14:paraId="3DDFDD0D">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4.1评审委员会由采购单位依法组建，负责评标活动及协助处理质疑投诉。参与本项目进口论证的专家不得作为采购评审专家参与同一项目的采购评审工作。</w:t>
      </w:r>
    </w:p>
    <w:p w14:paraId="269AC3B3">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4.2评审委员会由征集人代表和有关方面的专家组成，成员人数为五人及以上单数。预算金额在1000万及以上的，成员人数为七人及以上单数。</w:t>
      </w:r>
    </w:p>
    <w:p w14:paraId="11345535">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4.3征集人代表不担任评审组长。</w:t>
      </w:r>
    </w:p>
    <w:p w14:paraId="62D1458D">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4.4经采购监督部门同意，由于专家库无相应专业专家或技术复杂等原因允许征集人自行组建或推荐抽取评审专家，相关操作规则需符合法律规定。</w:t>
      </w:r>
    </w:p>
    <w:p w14:paraId="5E51BFBE">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5.评审</w:t>
      </w:r>
    </w:p>
    <w:p w14:paraId="0935DA50">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5.1评审程序：</w:t>
      </w:r>
    </w:p>
    <w:p w14:paraId="3429AFD0">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资格审查：征集人或采购代理机构依据法律、法规和征集文件规定，对响应文件中“资格文件”等进行审查，以确定供应商是否具备投标资格。</w:t>
      </w:r>
    </w:p>
    <w:p w14:paraId="23078F95">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5.1.2“商务和技术文件”的符合性审查：评定每份响应文件是否在实质上响应了征集文件要求，审查范围包括实质性响应条款、征集文件规定的无效投标条款、违反法律法规的行为以及评审委员会认为的对征集文件构成重大偏差的内容。</w:t>
      </w:r>
    </w:p>
    <w:p w14:paraId="75F84335">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5.1.3商务技术评分：对“商务和技术文件”中的响应情况进行评分。</w:t>
      </w:r>
    </w:p>
    <w:p w14:paraId="71B415FE">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5.1.4“报价文件”的符合性审查：审查范围包括报价有效性、准确性等。</w:t>
      </w:r>
    </w:p>
    <w:p w14:paraId="0020104B">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5.2评审委员会不负责解释供应商的得分高低和失分情况。</w:t>
      </w:r>
    </w:p>
    <w:p w14:paraId="7D7DDA48">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5.3评审委员会不得依据响应文件（包括样品、演示）以外的资料评分。</w:t>
      </w:r>
    </w:p>
    <w:p w14:paraId="6DA15D2B">
      <w:pPr>
        <w:spacing w:line="48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5.4对于响应文件中含义不明确、同类问题表述不一致或者有明显文字和计算错误的内容，评审委员会将在政采云平台中要求供应商作出必要的澄清、说明或者补正。供应商的澄清、说明或者补正应当在政采云平台中完成。供应商的澄清、说明或者补正不得超出响应文件的范围或者改变响应文件的实质性内容。</w:t>
      </w:r>
      <w:r>
        <w:rPr>
          <w:rFonts w:hint="eastAsia" w:ascii="仿宋" w:hAnsi="仿宋" w:eastAsia="仿宋" w:cs="仿宋"/>
          <w:b/>
          <w:bCs/>
          <w:color w:val="auto"/>
          <w:sz w:val="24"/>
          <w:highlight w:val="none"/>
        </w:rPr>
        <w:t>不接受供应商提出的主动澄清。</w:t>
      </w:r>
    </w:p>
    <w:p w14:paraId="17A29D03">
      <w:pPr>
        <w:widowControl/>
        <w:snapToGrid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5.5评审委员会不向落标方解释落标的原因，不退还响应文件。</w:t>
      </w:r>
    </w:p>
    <w:p w14:paraId="59F697ED">
      <w:pPr>
        <w:pStyle w:val="16"/>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highlight w:val="none"/>
        </w:rPr>
        <w:t>6</w:t>
      </w:r>
      <w:r>
        <w:rPr>
          <w:rFonts w:hint="eastAsia" w:ascii="仿宋" w:hAnsi="仿宋" w:eastAsia="仿宋" w:cs="仿宋"/>
          <w:b/>
          <w:color w:val="auto"/>
          <w:sz w:val="24"/>
          <w:szCs w:val="24"/>
          <w:highlight w:val="none"/>
        </w:rPr>
        <w:t>．无效投标的情形</w:t>
      </w:r>
    </w:p>
    <w:p w14:paraId="737539C5">
      <w:pP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响应文件有下列情形之一的作无效投标处理：</w:t>
      </w:r>
    </w:p>
    <w:p w14:paraId="466CAFCE">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6.1单位负责人为同一人或者存在直接控股、管理关系的不同供应商参加同一框架协议下（标项）下的政府采购活动的（双方均作无效投标处理）；</w:t>
      </w:r>
    </w:p>
    <w:p w14:paraId="1021F9B3">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6.2为采购项目提供整体设计、规范编制或者项目管理、监理、检测等服务的供应商再参加该采购项目的其他采购活动的（单一来源采购除外）； </w:t>
      </w:r>
    </w:p>
    <w:p w14:paraId="479E1B9E">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6.3供应商不具备征集文件中规定的资格要求的（供应商未按征集文件要求提供资格文件的，视为供应商不具备征集文件中规定的资格要求）；</w:t>
      </w:r>
    </w:p>
    <w:p w14:paraId="37B3CEFA">
      <w:pPr>
        <w:snapToGrid w:val="0"/>
        <w:spacing w:line="44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6.4</w:t>
      </w:r>
      <w:r>
        <w:rPr>
          <w:rFonts w:hint="eastAsia" w:ascii="仿宋" w:hAnsi="仿宋" w:eastAsia="仿宋" w:cs="仿宋"/>
          <w:b/>
          <w:color w:val="auto"/>
          <w:kern w:val="0"/>
          <w:sz w:val="24"/>
          <w:szCs w:val="24"/>
          <w:highlight w:val="none"/>
        </w:rPr>
        <w:t>《中小企业声明函》、《残疾人福利性单位声明函》提供不实信息的</w:t>
      </w:r>
      <w:r>
        <w:rPr>
          <w:rFonts w:hint="eastAsia" w:ascii="仿宋" w:hAnsi="仿宋" w:eastAsia="仿宋" w:cs="仿宋"/>
          <w:b/>
          <w:color w:val="auto"/>
          <w:kern w:val="0"/>
          <w:sz w:val="24"/>
          <w:highlight w:val="none"/>
        </w:rPr>
        <w:t>；</w:t>
      </w:r>
    </w:p>
    <w:p w14:paraId="1E6EED52">
      <w:pPr>
        <w:snapToGrid w:val="0"/>
        <w:spacing w:line="44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6.5响应文件制作出现如下情况：</w:t>
      </w:r>
    </w:p>
    <w:p w14:paraId="4D5C3C37">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6.5.1未按征集文件要求制作“资格文件”的；</w:t>
      </w:r>
    </w:p>
    <w:p w14:paraId="42B1379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6.5.2报价一经涂改，未在涂改处加盖投标单位公章或者未经法定代表人或其授权代表签字或盖章的；</w:t>
      </w:r>
    </w:p>
    <w:p w14:paraId="6667D50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6.5.3“资格文件”或“商务和技术文件”部分中出现用于价格分评审的投标报价的（征集文件另有规定的参与“商务和技术文件”评审的报价除外）；</w:t>
      </w:r>
    </w:p>
    <w:p w14:paraId="5F4E473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6.5.4对征集服务或技术或产品等要求未详细应答或应答内容不全、有缺失的,经评审委员会认定为无法评审的；</w:t>
      </w:r>
    </w:p>
    <w:p w14:paraId="6127784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6.5.5关键信息填写不完整或字迹不能辨认或有漏项的，经评审委员会认定属于重大偏差的；</w:t>
      </w:r>
    </w:p>
    <w:p w14:paraId="3A7F0047">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6.5.6未按征集文件规定要求签署盖章的。</w:t>
      </w:r>
    </w:p>
    <w:p w14:paraId="6E686FE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6.5.7在第一阶段响应报价表中有2个（含）以上的报价或方案的。</w:t>
      </w:r>
    </w:p>
    <w:p w14:paraId="07ABB2C6">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6.6</w:t>
      </w:r>
      <w:r>
        <w:rPr>
          <w:rFonts w:hint="eastAsia" w:ascii="仿宋" w:hAnsi="仿宋" w:eastAsia="仿宋" w:cs="仿宋"/>
          <w:color w:val="auto"/>
          <w:sz w:val="24"/>
          <w:highlight w:val="none"/>
        </w:rPr>
        <w:t>供应商递交的响应文件与项目不符或内容严重不全的；</w:t>
      </w:r>
    </w:p>
    <w:p w14:paraId="0C577445">
      <w:pPr>
        <w:pStyle w:val="16"/>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6.7重要信息前后不一致，经评审委员会询标后仍然无法评审的；</w:t>
      </w:r>
    </w:p>
    <w:p w14:paraId="7FCF7A3B">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6.8</w:t>
      </w:r>
      <w:r>
        <w:rPr>
          <w:rFonts w:hint="eastAsia" w:ascii="仿宋" w:hAnsi="仿宋" w:eastAsia="仿宋" w:cs="仿宋"/>
          <w:color w:val="auto"/>
          <w:kern w:val="0"/>
          <w:sz w:val="24"/>
          <w:highlight w:val="none"/>
        </w:rPr>
        <w:t>响应文件含有征集人不能接受的附加条件</w:t>
      </w:r>
      <w:r>
        <w:rPr>
          <w:rFonts w:hint="eastAsia" w:ascii="仿宋" w:hAnsi="仿宋" w:eastAsia="仿宋" w:cs="仿宋"/>
          <w:color w:val="auto"/>
          <w:sz w:val="24"/>
          <w:highlight w:val="none"/>
        </w:rPr>
        <w:t>；</w:t>
      </w:r>
    </w:p>
    <w:p w14:paraId="4260455A">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6.9报价超过征集文件中规定的预算金额或最高限价（包括单价限价等征集文件规定的各类限价）的；</w:t>
      </w:r>
    </w:p>
    <w:p w14:paraId="706BD9D4">
      <w:pPr>
        <w:tabs>
          <w:tab w:val="left" w:pos="3870"/>
          <w:tab w:val="left" w:pos="4085"/>
        </w:tabs>
        <w:snapToGrid w:val="0"/>
        <w:spacing w:line="440" w:lineRule="exact"/>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6.10征集人拟采购的产品属于政府强制采购的节能产品品目清单范围的，供应商未按征集文件要求提供国家确定的认证机构出具的、处于有效期之内的节能产品认证证书的；</w:t>
      </w:r>
    </w:p>
    <w:p w14:paraId="3FC1FE91">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6.11</w:t>
      </w:r>
      <w:r>
        <w:rPr>
          <w:rFonts w:hint="eastAsia" w:ascii="仿宋" w:hAnsi="仿宋" w:eastAsia="仿宋" w:cs="仿宋"/>
          <w:color w:val="auto"/>
          <w:sz w:val="24"/>
          <w:highlight w:val="none"/>
        </w:rPr>
        <w:t>评审委员会认定有重大偏差或实质性不响应征集文件要求的；</w:t>
      </w:r>
    </w:p>
    <w:p w14:paraId="18C31D41">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6.12供应商对根据修正原则修正后的报价不确认的；</w:t>
      </w:r>
    </w:p>
    <w:p w14:paraId="223D3ED8">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6.13供应商提供虚假材料投标的（包括但不限于以下情节）：</w:t>
      </w:r>
    </w:p>
    <w:p w14:paraId="550425A9">
      <w:pPr>
        <w:tabs>
          <w:tab w:val="left" w:pos="3870"/>
          <w:tab w:val="left" w:pos="4085"/>
        </w:tabs>
        <w:snapToGrid w:val="0"/>
        <w:spacing w:line="44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6.13.1使用伪造、变造的许可证件、资质证书；</w:t>
      </w:r>
    </w:p>
    <w:p w14:paraId="3035DFBC">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6.13.2提供虚假的财务状况或者业绩；</w:t>
      </w:r>
    </w:p>
    <w:p w14:paraId="7C4626C4">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6.13.3提供虚假的项目负责人或者主要项目实施人员简历、劳动关系证明；</w:t>
      </w:r>
    </w:p>
    <w:p w14:paraId="745440C9">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6.13.4提供虚假的信用状况；</w:t>
      </w:r>
    </w:p>
    <w:p w14:paraId="616748B1">
      <w:pPr>
        <w:tabs>
          <w:tab w:val="left" w:pos="3870"/>
          <w:tab w:val="left" w:pos="4085"/>
        </w:tabs>
        <w:snapToGrid w:val="0"/>
        <w:spacing w:line="44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6.13.5其他弄虚作假的行为。</w:t>
      </w:r>
    </w:p>
    <w:p w14:paraId="32512A3A">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6.14供应商串通投标的。</w:t>
      </w:r>
    </w:p>
    <w:p w14:paraId="3E6EDDF5">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有下列情形之一的，视为供应商串通投标，其投标无效：</w:t>
      </w:r>
    </w:p>
    <w:p w14:paraId="457106CB">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6.14.1不同供应商的响应文件由同一单位或者个人编制；</w:t>
      </w:r>
    </w:p>
    <w:p w14:paraId="74FD2BE7">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6.14.2不同供应商委托同一单位或者个人办理投标事宜；</w:t>
      </w:r>
    </w:p>
    <w:p w14:paraId="04A162EC">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6.14.3不同供应商的响应文件载明的项目管理成员或者联系人员为同一人；</w:t>
      </w:r>
    </w:p>
    <w:p w14:paraId="130A36AF">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6.14.4不同供应商的响应文件异常一致或者投标报价呈规律性差异；</w:t>
      </w:r>
    </w:p>
    <w:p w14:paraId="2A2ACC81">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6.14.5不同供应商的响应文件相互混装；</w:t>
      </w:r>
    </w:p>
    <w:p w14:paraId="10D3747E">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6.14.6法律规定的其他串通投标情形。</w:t>
      </w:r>
    </w:p>
    <w:p w14:paraId="42DDF3ED">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6.15属于《中华人民共和国政府采购法实施条例》第七十四条规定的恶意串通情形的，其投标无效；</w:t>
      </w:r>
    </w:p>
    <w:p w14:paraId="403C7E71">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6.16联合体投标的，联合体各方在同一征集项目中以自己名义单独投标或者参加其他联合体投标的，相关投标均无效；</w:t>
      </w:r>
    </w:p>
    <w:p w14:paraId="4FA16471">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6.17供应商违反政府采购强制执行的政策性规定的；</w:t>
      </w:r>
    </w:p>
    <w:p w14:paraId="7D61808E">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6.20违反法律、法规及本征集文件规定的其他无效情形。</w:t>
      </w:r>
    </w:p>
    <w:p w14:paraId="7A78BCF2">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7.确定入围供应商</w:t>
      </w:r>
    </w:p>
    <w:p w14:paraId="3641617F">
      <w:pPr>
        <w:pStyle w:val="48"/>
        <w:adjustRightInd w:val="0"/>
        <w:snapToGrid w:val="0"/>
        <w:spacing w:before="0" w:line="420" w:lineRule="exact"/>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7.1本项目对满足采购需求且响应报价不超过最高限制单价的服务进行综合评分，按照评审总得分从高到低排序。根据征集文件规定的淘汰率或者入围供应商数量上限，确定入围供应商。</w:t>
      </w:r>
      <w:r>
        <w:rPr>
          <w:rFonts w:hint="eastAsia" w:ascii="仿宋" w:hAnsi="仿宋" w:eastAsia="仿宋" w:cs="仿宋"/>
          <w:b/>
          <w:color w:val="auto"/>
          <w:szCs w:val="24"/>
          <w:highlight w:val="none"/>
        </w:rPr>
        <w:t>详见征集文件第五部分确定第一阶段入围供应商的评审方法。</w:t>
      </w:r>
    </w:p>
    <w:p w14:paraId="648CD131">
      <w:pPr>
        <w:pStyle w:val="48"/>
        <w:adjustRightInd w:val="0"/>
        <w:snapToGrid w:val="0"/>
        <w:spacing w:before="0" w:line="420" w:lineRule="exact"/>
        <w:ind w:firstLine="480"/>
        <w:jc w:val="left"/>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7.2政府采购项目实行全流程电子化，评审报告送交、采购结果确定和入围结果公告均在线完成。</w:t>
      </w:r>
    </w:p>
    <w:p w14:paraId="5B28535E">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w:t>
      </w:r>
      <w:r>
        <w:rPr>
          <w:rFonts w:hint="eastAsia" w:ascii="仿宋" w:hAnsi="仿宋" w:eastAsia="仿宋" w:cs="仿宋"/>
          <w:b/>
          <w:color w:val="auto"/>
          <w:sz w:val="24"/>
          <w:szCs w:val="24"/>
          <w:highlight w:val="none"/>
        </w:rPr>
        <w:t>入围通知与入围结果公告</w:t>
      </w:r>
    </w:p>
    <w:p w14:paraId="62816BA6">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8.1自入围供应商确定之日起2个工作日内，征集人通过电子交易平台向入围供应商发出入围通知书，同时编制发布入围结果公告。</w:t>
      </w:r>
    </w:p>
    <w:p w14:paraId="10AAAB04">
      <w:pPr>
        <w:widowControl/>
        <w:shd w:val="clear" w:color="auto" w:fill="FFFFFF"/>
        <w:spacing w:line="360" w:lineRule="auto"/>
        <w:ind w:firstLine="480"/>
        <w:jc w:val="left"/>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8.2公告期限为1个工作日。</w:t>
      </w:r>
    </w:p>
    <w:p w14:paraId="684EB704">
      <w:pPr>
        <w:snapToGrid w:val="0"/>
        <w:spacing w:line="48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9、中止电子交易的情形</w:t>
      </w:r>
    </w:p>
    <w:p w14:paraId="36A54033">
      <w:pPr>
        <w:snapToGri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采购过程中出现以下情形，导致电子交易平台无法正常运行，或者无法保证电子交易的公开、公平、公正和安全时，征集机构可经采购监督部门同意后中止电子交易活动：</w:t>
      </w:r>
    </w:p>
    <w:p w14:paraId="6E80D821">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9.1电子交易平台发生故障而无法完成采购活动的； </w:t>
      </w:r>
    </w:p>
    <w:p w14:paraId="7E0B5D76">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9.2电子交易平台应用或数据库出现错误，不能进行正常操作的；</w:t>
      </w:r>
    </w:p>
    <w:p w14:paraId="65652092">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9.3电子交易平台发现严重安全漏洞，有潜在泄密危险的；</w:t>
      </w:r>
    </w:p>
    <w:p w14:paraId="01AFB174">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9.4病毒发作导致不能进行正常操作的； </w:t>
      </w:r>
    </w:p>
    <w:p w14:paraId="1A426007">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9.5其他无法保证电子交易的公平、公正和安全的情况。</w:t>
      </w:r>
    </w:p>
    <w:p w14:paraId="20893539">
      <w:pPr>
        <w:widowControl/>
        <w:snapToGrid w:val="0"/>
        <w:spacing w:line="480" w:lineRule="exact"/>
        <w:ind w:firstLine="488"/>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14:paraId="2BF09841">
      <w:pPr>
        <w:widowControl/>
        <w:snapToGrid w:val="0"/>
        <w:spacing w:line="480" w:lineRule="exact"/>
        <w:ind w:firstLine="488"/>
        <w:rPr>
          <w:rFonts w:hint="eastAsia" w:ascii="仿宋" w:hAnsi="仿宋" w:eastAsia="仿宋" w:cs="仿宋"/>
          <w:color w:val="auto"/>
          <w:kern w:val="0"/>
          <w:sz w:val="24"/>
          <w:highlight w:val="none"/>
        </w:rPr>
      </w:pPr>
    </w:p>
    <w:p w14:paraId="35F44876">
      <w:pPr>
        <w:adjustRightInd w:val="0"/>
        <w:snapToGrid w:val="0"/>
        <w:spacing w:line="420" w:lineRule="exact"/>
        <w:jc w:val="center"/>
        <w:rPr>
          <w:rFonts w:hint="eastAsia" w:ascii="仿宋" w:hAnsi="仿宋" w:eastAsia="仿宋" w:cs="仿宋"/>
          <w:b/>
          <w:color w:val="auto"/>
          <w:sz w:val="32"/>
          <w:highlight w:val="none"/>
        </w:rPr>
      </w:pPr>
      <w:bookmarkStart w:id="24" w:name="_Toc2626"/>
      <w:r>
        <w:rPr>
          <w:rFonts w:hint="eastAsia" w:ascii="仿宋" w:hAnsi="仿宋" w:eastAsia="仿宋" w:cs="仿宋"/>
          <w:b/>
          <w:color w:val="auto"/>
          <w:sz w:val="32"/>
          <w:highlight w:val="none"/>
        </w:rPr>
        <w:t>五、框架协议、采购合同签订及履约</w:t>
      </w:r>
      <w:bookmarkEnd w:id="24"/>
    </w:p>
    <w:p w14:paraId="7DFCEAA2">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1.框架协议签订</w:t>
      </w:r>
    </w:p>
    <w:p w14:paraId="55217837">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征集人和入围供应商应当在入围通知书发出之日起30日内（投诉处理等原因导致签订框架协议延误的除外），按照征集文件和入围供应商响应文件的规定，签订框架协议。所签订的框架协议不得对征集文件确定的事项和入围供应商响应文件作实质性修改。</w:t>
      </w:r>
    </w:p>
    <w:p w14:paraId="6B865EC6">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1.2征集人和入围供应商不得向对方提出任何不合理的要求作为签订框架协议的条件。</w:t>
      </w:r>
    </w:p>
    <w:p w14:paraId="61FDD30D">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1.3征集人和入围供应商需在响应有效期内签订框架协议。响应有效期允许延长，但需征得入围供应商同意。</w:t>
      </w:r>
    </w:p>
    <w:p w14:paraId="331FB979">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1.4封闭式框架协议入围供应商无正当理由，不得主动放弃入围资格或者退出框架协议。</w:t>
      </w:r>
    </w:p>
    <w:p w14:paraId="32036D66">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1.5框架协议主要条款详见第四章拟签订的框架协议文本。</w:t>
      </w:r>
    </w:p>
    <w:p w14:paraId="00359AA1">
      <w:pPr>
        <w:widowControl/>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2.采购合同的签订</w:t>
      </w:r>
    </w:p>
    <w:p w14:paraId="3B9481C3">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2.1确定第二阶段成交供应商的方式：由征集人依据入围产品价格、质量以及服务便利性、用户评价等因素，从第一阶段入围供应商中直接选定。</w:t>
      </w:r>
    </w:p>
    <w:p w14:paraId="4B5ECF7D">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2.2采购合同主要条款详见第四章拟签订的采购合同文本，征集人和供应商不得擅自改变框架协议约定的合同实质性条款。</w:t>
      </w:r>
    </w:p>
    <w:p w14:paraId="6B65EA51">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2.3 框架协议采购应当订立固定价格合同。根据实际采购数量和协议价格确定合同总价的，合同中应当列明实际采购数量或者计量方式，包括服务项目用于计算合同价的工日数、服务工作量等详细工作量清单。征集人应当要求供应商提供能证明其按照合同约定数量或者工作量清单履约的相关记录或者凭证，作为验收资料一并存档。 </w:t>
      </w:r>
    </w:p>
    <w:p w14:paraId="16A24451">
      <w:pPr>
        <w:widowControl/>
        <w:adjustRightInd w:val="0"/>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2.4征集人和供应商应当约定资金支付的方式、时间和条件，明确逾期支付资金的违约责任。</w:t>
      </w:r>
    </w:p>
    <w:p w14:paraId="5DAC5FE9">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2.5采购合同由征集人与成交供应商通过政府采购电子交易平台在线签订，自动备案。</w:t>
      </w:r>
    </w:p>
    <w:p w14:paraId="047B95BF">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2．履约保证金</w:t>
      </w:r>
    </w:p>
    <w:p w14:paraId="6155665F">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2.1鼓励征集人免收履约保证金，政府采购货物和服务项目确需收取履约保证金的，最高比例不超过合同金额的1%，项目验收结束后应及时退还。</w:t>
      </w:r>
    </w:p>
    <w:p w14:paraId="6B3E8FB7">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2.2框架协议签订的同时，入围供应商应当以支票、汇票、本票或者金融机构、担保机构出具的保函等非现金形式交纳履约保证金。</w:t>
      </w:r>
    </w:p>
    <w:p w14:paraId="5706C368">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2.3供应商在履行完框架协议约定事项后，征集人应及时退还履约保证金及其利息，利率在框架协议中约定。征集人验收不合格的，不予退还履约保证金。</w:t>
      </w:r>
    </w:p>
    <w:p w14:paraId="021E52B4">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2.4供应商以银行、保险公司出具保函形式提交履约保证金的，征集人不得拒收。</w:t>
      </w:r>
    </w:p>
    <w:p w14:paraId="78B7B5CF">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3．框架协议备案</w:t>
      </w:r>
    </w:p>
    <w:p w14:paraId="6B241F8F">
      <w:pPr>
        <w:widowControl/>
        <w:shd w:val="clear" w:color="auto" w:fill="FFFFFF"/>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3.1框架协议自签订之日起七个工作日内，</w:t>
      </w:r>
      <w:r>
        <w:rPr>
          <w:rFonts w:hint="eastAsia" w:ascii="仿宋" w:hAnsi="仿宋" w:eastAsia="仿宋" w:cs="仿宋"/>
          <w:color w:val="auto"/>
          <w:kern w:val="0"/>
          <w:sz w:val="24"/>
          <w:highlight w:val="none"/>
        </w:rPr>
        <w:t>征集人</w:t>
      </w:r>
      <w:r>
        <w:rPr>
          <w:rFonts w:hint="eastAsia" w:ascii="仿宋" w:hAnsi="仿宋" w:eastAsia="仿宋" w:cs="仿宋"/>
          <w:color w:val="auto"/>
          <w:sz w:val="24"/>
          <w:highlight w:val="none"/>
        </w:rPr>
        <w:t>应当将协议副本报本级财政部门备案。</w:t>
      </w:r>
    </w:p>
    <w:p w14:paraId="7A4B5377">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4.履约验收</w:t>
      </w:r>
    </w:p>
    <w:p w14:paraId="0EDAF218">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color w:val="auto"/>
          <w:kern w:val="0"/>
          <w:sz w:val="24"/>
          <w:highlight w:val="none"/>
        </w:rPr>
        <w:t>征集人</w:t>
      </w:r>
      <w:r>
        <w:rPr>
          <w:rFonts w:hint="eastAsia" w:ascii="仿宋" w:hAnsi="仿宋" w:eastAsia="仿宋" w:cs="仿宋"/>
          <w:color w:val="auto"/>
          <w:sz w:val="24"/>
          <w:highlight w:val="none"/>
        </w:rPr>
        <w:t>自行组织或委托采购代理机构对供应商进行履约验收，出具验收书，存档备查。如果发现与框架协议中要求不符，供应商须承担由此发生的一切损失和费用，并承担相应的法律责任。</w:t>
      </w:r>
    </w:p>
    <w:p w14:paraId="47C08D87">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63EF937F">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kern w:val="0"/>
          <w:sz w:val="24"/>
          <w:highlight w:val="none"/>
        </w:rPr>
        <w:t>征集人</w:t>
      </w:r>
      <w:r>
        <w:rPr>
          <w:rFonts w:hint="eastAsia" w:ascii="仿宋" w:hAnsi="仿宋" w:eastAsia="仿宋" w:cs="仿宋"/>
          <w:color w:val="auto"/>
          <w:sz w:val="24"/>
          <w:highlight w:val="none"/>
        </w:rPr>
        <w:t>可以邀请参加本项目的其他供应商或者第三方机构参与验收。参与验收的供应商或者第三方机构的意见作为验收书的参考资料一并存档。</w:t>
      </w:r>
    </w:p>
    <w:p w14:paraId="138F805E">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4.4政府向社会公众提供的公共服务项目验收时应当邀请服务对象参与并出具意见，验收结果应当向社会公告。</w:t>
      </w:r>
    </w:p>
    <w:p w14:paraId="1182C7BD">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4.5 框架协议的履行、违约责任和解决争议的方式等适用《中华人民共和国民法典》。</w:t>
      </w:r>
    </w:p>
    <w:p w14:paraId="39A142E4">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4.6供应商在履约过程中有政府采购法律法规规定的违法违规情形的，</w:t>
      </w:r>
      <w:r>
        <w:rPr>
          <w:rFonts w:hint="eastAsia" w:ascii="仿宋" w:hAnsi="仿宋" w:eastAsia="仿宋" w:cs="仿宋"/>
          <w:color w:val="auto"/>
          <w:kern w:val="0"/>
          <w:sz w:val="24"/>
          <w:highlight w:val="none"/>
        </w:rPr>
        <w:t>征集人</w:t>
      </w:r>
      <w:r>
        <w:rPr>
          <w:rFonts w:hint="eastAsia" w:ascii="仿宋" w:hAnsi="仿宋" w:eastAsia="仿宋" w:cs="仿宋"/>
          <w:color w:val="auto"/>
          <w:sz w:val="24"/>
          <w:highlight w:val="none"/>
        </w:rPr>
        <w:t>应当及时报告本级财政部门。</w:t>
      </w:r>
    </w:p>
    <w:p w14:paraId="53595983">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5.履约检查</w:t>
      </w:r>
    </w:p>
    <w:p w14:paraId="478F422A">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征集人将联合政府采购监管部门不定期对框架协议的履约情况进行检查，发现未按框架协议规定进行履约的，有弄虚作假，偷工减料，以次充好、服务不达标等情形，达不到国家、行业有关标准和征集文件规定或有违框架协议的，一经查实，由政府采购监督管理部门给予相应处罚。</w:t>
      </w:r>
    </w:p>
    <w:p w14:paraId="2DA27535">
      <w:pPr>
        <w:spacing w:line="440" w:lineRule="exact"/>
        <w:ind w:firstLine="480" w:firstLineChars="200"/>
        <w:jc w:val="left"/>
        <w:rPr>
          <w:rFonts w:hint="eastAsia" w:ascii="仿宋" w:hAnsi="仿宋" w:eastAsia="仿宋" w:cs="仿宋"/>
          <w:color w:val="auto"/>
          <w:sz w:val="24"/>
          <w:highlight w:val="none"/>
        </w:rPr>
      </w:pPr>
    </w:p>
    <w:p w14:paraId="2881C6B5">
      <w:pPr>
        <w:pStyle w:val="29"/>
        <w:spacing w:line="420" w:lineRule="exact"/>
        <w:ind w:firstLine="0"/>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br w:type="page"/>
      </w:r>
      <w:r>
        <w:rPr>
          <w:rFonts w:hint="eastAsia" w:ascii="仿宋" w:hAnsi="仿宋" w:eastAsia="仿宋" w:cs="仿宋"/>
          <w:b/>
          <w:color w:val="auto"/>
          <w:sz w:val="32"/>
          <w:highlight w:val="none"/>
          <w:lang w:val="en-US"/>
        </w:rPr>
        <w:t>六、协议期内管理</w:t>
      </w:r>
    </w:p>
    <w:p w14:paraId="7E771DBA">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1.入围供应商清退规则</w:t>
      </w:r>
    </w:p>
    <w:p w14:paraId="594C5E7F">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1.入围供应商有下列情形之一，尚未签订框架协议的，取消其入围资格；已经签订框架协议的，解除与其签订的框架协议： </w:t>
      </w:r>
    </w:p>
    <w:p w14:paraId="067E68E1">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恶意串通谋取入围或者合同成交的； </w:t>
      </w:r>
    </w:p>
    <w:p w14:paraId="71C23755">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1.2提供虚假材料谋取入围或者合同成交的；</w:t>
      </w:r>
    </w:p>
    <w:p w14:paraId="6AA1399C">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1.3无正当理由拒不接受合同授予的； </w:t>
      </w:r>
    </w:p>
    <w:p w14:paraId="49F0E4FE">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1.4不履行合同义务或者履行合同义务不符合约定，经征集人请求履行后仍不履行或者仍未按约定履行的； </w:t>
      </w:r>
    </w:p>
    <w:p w14:paraId="1F55AF00">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1.5框架协议有效期内，因违法行为被禁止或限制参加政府采购活动的；</w:t>
      </w:r>
    </w:p>
    <w:p w14:paraId="44528986">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1.6框架协议约定的其他情形。 </w:t>
      </w:r>
    </w:p>
    <w:p w14:paraId="1A6B264C">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2.入围供应商无正当理由拒不与征集人签订框架协议的，取消其入围资格。</w:t>
      </w:r>
    </w:p>
    <w:p w14:paraId="0B871B6E">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3.入围供应商如发生实质性变动（营业执照注销、不再符合本项目资格条件等）的，尚未签订框架协议的，取消其入围资格；已经签订框架协议的，解除与其签订的框架协议。</w:t>
      </w:r>
    </w:p>
    <w:p w14:paraId="2F6BF41B">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4.被取消入围资格或者被解除框架协议的供应商不得参加本封闭式框架协议补充征集。  </w:t>
      </w:r>
    </w:p>
    <w:p w14:paraId="64BA0AB1">
      <w:pPr>
        <w:pStyle w:val="12"/>
        <w:spacing w:line="420" w:lineRule="exact"/>
        <w:jc w:val="left"/>
        <w:rPr>
          <w:rFonts w:hint="eastAsia" w:ascii="仿宋" w:hAnsi="仿宋" w:eastAsia="仿宋" w:cs="仿宋"/>
          <w:b/>
          <w:snapToGrid/>
          <w:color w:val="auto"/>
          <w:szCs w:val="20"/>
          <w:highlight w:val="none"/>
          <w:lang w:val="en-US"/>
        </w:rPr>
      </w:pPr>
      <w:r>
        <w:rPr>
          <w:rFonts w:hint="eastAsia" w:ascii="仿宋" w:hAnsi="仿宋" w:eastAsia="仿宋" w:cs="仿宋"/>
          <w:b/>
          <w:snapToGrid/>
          <w:color w:val="auto"/>
          <w:szCs w:val="20"/>
          <w:highlight w:val="none"/>
          <w:lang w:val="en-US"/>
        </w:rPr>
        <w:t>2.入围供应商信息变更</w:t>
      </w:r>
    </w:p>
    <w:p w14:paraId="151830D7">
      <w:pPr>
        <w:autoSpaceDE w:val="0"/>
        <w:autoSpaceDN w:val="0"/>
        <w:adjustRightIn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 在协议期内，入围供应商如有信息变更（如变更法定代表人、主要负责人、联系人、联系电话、地址等），应及时在政采云系统中更新相关信息并通知征集人，按征集人要求提供相关资料备案。</w:t>
      </w:r>
    </w:p>
    <w:p w14:paraId="43FEDCFB">
      <w:pPr>
        <w:autoSpaceDE w:val="0"/>
        <w:autoSpaceDN w:val="0"/>
        <w:adjustRightIn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2.2在协议期内，入围供应商应遵守和履行本项目征集文件、框架协议的各项规定，遵守电子系统的操作规定和交易规则，积极配合征集人和采购监管部门的工作。</w:t>
      </w:r>
    </w:p>
    <w:p w14:paraId="6AAF095F">
      <w:pPr>
        <w:pStyle w:val="29"/>
        <w:spacing w:line="420" w:lineRule="exact"/>
        <w:ind w:firstLine="0"/>
        <w:jc w:val="left"/>
        <w:rPr>
          <w:rFonts w:hint="eastAsia" w:ascii="仿宋" w:hAnsi="仿宋" w:eastAsia="仿宋" w:cs="仿宋"/>
          <w:b/>
          <w:color w:val="auto"/>
          <w:highlight w:val="none"/>
          <w:lang w:val="en-US"/>
        </w:rPr>
      </w:pPr>
      <w:r>
        <w:rPr>
          <w:rFonts w:hint="eastAsia" w:ascii="仿宋" w:hAnsi="仿宋" w:eastAsia="仿宋" w:cs="仿宋"/>
          <w:b/>
          <w:color w:val="auto"/>
          <w:highlight w:val="none"/>
          <w:lang w:val="en-US"/>
        </w:rPr>
        <w:t>3.入围供应商补充规则</w:t>
      </w:r>
    </w:p>
    <w:p w14:paraId="7D0A72AB">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框架协议有效期内如出现剩余入围供应商不足入围供应商总数70%且影响框架协议执行的情形时，征集人报财政部门审核同意后，将进行补充征集供应商。补充征集的条件、程序、评审方法和淘汰比例与初次征集相同。补充征集遵守原框架协议的有效期。补充征集期间，原框架协议继续履行。</w:t>
      </w:r>
    </w:p>
    <w:p w14:paraId="76346CA7">
      <w:pPr>
        <w:rPr>
          <w:rFonts w:hint="eastAsia" w:ascii="仿宋" w:hAnsi="仿宋" w:eastAsia="仿宋" w:cs="仿宋"/>
          <w:color w:val="auto"/>
          <w:highlight w:val="none"/>
        </w:rPr>
      </w:pPr>
    </w:p>
    <w:p w14:paraId="34496504">
      <w:pPr>
        <w:pStyle w:val="2"/>
        <w:rPr>
          <w:rFonts w:hint="eastAsia" w:ascii="仿宋" w:hAnsi="仿宋" w:eastAsia="仿宋" w:cs="仿宋"/>
          <w:color w:val="auto"/>
          <w:highlight w:val="none"/>
        </w:rPr>
      </w:pPr>
      <w:bookmarkStart w:id="25" w:name="_Toc7093"/>
      <w:bookmarkStart w:id="26" w:name="_Toc9140"/>
      <w:r>
        <w:rPr>
          <w:rFonts w:hint="eastAsia" w:ascii="仿宋" w:hAnsi="仿宋" w:eastAsia="仿宋" w:cs="仿宋"/>
          <w:color w:val="auto"/>
          <w:highlight w:val="none"/>
        </w:rPr>
        <w:t>第三章  采购需求</w:t>
      </w:r>
      <w:bookmarkEnd w:id="25"/>
      <w:bookmarkEnd w:id="26"/>
    </w:p>
    <w:p w14:paraId="4F9D8F9E">
      <w:pPr>
        <w:pStyle w:val="3"/>
        <w:rPr>
          <w:rFonts w:hint="eastAsia" w:ascii="仿宋" w:hAnsi="仿宋" w:eastAsia="仿宋" w:cs="仿宋"/>
          <w:color w:val="auto"/>
          <w:highlight w:val="none"/>
        </w:rPr>
      </w:pPr>
      <w:bookmarkStart w:id="27" w:name="_Toc29549"/>
      <w:bookmarkStart w:id="28" w:name="_Toc16556"/>
      <w:r>
        <w:rPr>
          <w:rFonts w:hint="eastAsia" w:ascii="仿宋" w:hAnsi="仿宋" w:eastAsia="仿宋" w:cs="仿宋"/>
          <w:color w:val="auto"/>
          <w:highlight w:val="none"/>
        </w:rPr>
        <w:t>一、服务清单及要求</w:t>
      </w:r>
      <w:bookmarkEnd w:id="27"/>
      <w:bookmarkEnd w:id="28"/>
    </w:p>
    <w:p w14:paraId="44F7219C">
      <w:pPr>
        <w:keepNext w:val="0"/>
        <w:keepLines w:val="0"/>
        <w:pageBreakBefore w:val="0"/>
        <w:wordWrap/>
        <w:overflowPunct/>
        <w:topLinePunct w:val="0"/>
        <w:bidi w:val="0"/>
        <w:adjustRightInd/>
        <w:spacing w:line="440" w:lineRule="exact"/>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1、项目概况：</w:t>
      </w:r>
    </w:p>
    <w:p w14:paraId="05834143">
      <w:pPr>
        <w:keepNext w:val="0"/>
        <w:keepLines w:val="0"/>
        <w:pageBreakBefore w:val="0"/>
        <w:wordWrap/>
        <w:overflowPunct/>
        <w:topLinePunct w:val="0"/>
        <w:bidi w:val="0"/>
        <w:adjustRightInd/>
        <w:spacing w:line="440" w:lineRule="exact"/>
        <w:outlineLvl w:val="0"/>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color w:val="auto"/>
          <w:kern w:val="0"/>
          <w:sz w:val="24"/>
          <w:szCs w:val="24"/>
          <w:highlight w:val="none"/>
        </w:rPr>
        <w:t>建设工程消防验收工作事关人民群众生命财产安全，与人民对美好生活的向往息息相关。为贯彻党中央、国务院机构改革决策部署，落实《建设工程消防设计审查验收管理暂行规定》(住房和城乡建设部令第58号)(以下简称《暂行规定》)，切实履行建设工程消防设计</w:t>
      </w:r>
      <w:r>
        <w:rPr>
          <w:rFonts w:hint="eastAsia" w:ascii="仿宋" w:hAnsi="仿宋" w:eastAsia="仿宋" w:cs="仿宋"/>
          <w:color w:val="auto"/>
          <w:kern w:val="0"/>
          <w:sz w:val="24"/>
          <w:szCs w:val="24"/>
          <w:highlight w:val="none"/>
          <w:lang w:eastAsia="zh-CN"/>
        </w:rPr>
        <w:t>审查</w:t>
      </w:r>
      <w:r>
        <w:rPr>
          <w:rFonts w:hint="eastAsia" w:ascii="仿宋" w:hAnsi="仿宋" w:eastAsia="仿宋" w:cs="仿宋"/>
          <w:color w:val="auto"/>
          <w:kern w:val="0"/>
          <w:sz w:val="24"/>
          <w:szCs w:val="24"/>
          <w:highlight w:val="none"/>
        </w:rPr>
        <w:t>验收工作细则中的有关消防验收职责和规定，做好建设工程消防验收工作。</w:t>
      </w:r>
    </w:p>
    <w:p w14:paraId="267D25F5">
      <w:pPr>
        <w:keepNext w:val="0"/>
        <w:keepLines w:val="0"/>
        <w:pageBreakBefore w:val="0"/>
        <w:wordWrap/>
        <w:overflowPunct/>
        <w:topLinePunct w:val="0"/>
        <w:bidi w:val="0"/>
        <w:adjustRightInd/>
        <w:spacing w:line="440" w:lineRule="exact"/>
        <w:ind w:firstLine="470" w:firstLineChars="196"/>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eastAsia="zh-CN"/>
        </w:rPr>
        <w:t>绍兴市越城区住房和城乡建设局</w:t>
      </w:r>
      <w:r>
        <w:rPr>
          <w:rFonts w:hint="eastAsia" w:ascii="仿宋" w:hAnsi="仿宋" w:eastAsia="仿宋" w:cs="仿宋"/>
          <w:color w:val="auto"/>
          <w:kern w:val="0"/>
          <w:sz w:val="24"/>
          <w:szCs w:val="24"/>
          <w:highlight w:val="none"/>
        </w:rPr>
        <w:t>指定的项目（具体详见招标范围），严格依据国家法律法规、国家工程建设消防技术标准和省、市有关规定，开展图纸核验及技术交底服务、建设过程服务、现场评定服务、档案整理服务等工作，及时出具意见或报告，并对出具的意见或报告负责。消防验收项目的建设单位、设计单位、图审单位、消防服务机构及存在相关利益的单位不能参加相应标段内的所有项目投标。</w:t>
      </w:r>
    </w:p>
    <w:p w14:paraId="671C948F">
      <w:pPr>
        <w:keepNext w:val="0"/>
        <w:keepLines w:val="0"/>
        <w:pageBreakBefore w:val="0"/>
        <w:wordWrap/>
        <w:overflowPunct/>
        <w:topLinePunct w:val="0"/>
        <w:bidi w:val="0"/>
        <w:adjustRightInd/>
        <w:spacing w:line="440" w:lineRule="exact"/>
        <w:ind w:firstLine="470" w:firstLineChars="196"/>
        <w:outlineLvl w:val="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本次项目</w:t>
      </w:r>
      <w:r>
        <w:rPr>
          <w:rFonts w:hint="eastAsia" w:ascii="仿宋" w:hAnsi="仿宋" w:eastAsia="仿宋" w:cs="仿宋"/>
          <w:color w:val="auto"/>
          <w:sz w:val="24"/>
          <w:szCs w:val="24"/>
          <w:highlight w:val="none"/>
        </w:rPr>
        <w:t>通过招投标确定服务机构入围开展消防验收技术服务工作，以确工作正常有序开展。</w:t>
      </w:r>
    </w:p>
    <w:p w14:paraId="488BA019">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2、服务内容：</w:t>
      </w:r>
    </w:p>
    <w:p w14:paraId="16E6BEF0">
      <w:pPr>
        <w:keepNext w:val="0"/>
        <w:keepLines w:val="0"/>
        <w:pageBreakBefore w:val="0"/>
        <w:wordWrap/>
        <w:overflowPunct/>
        <w:topLinePunct w:val="0"/>
        <w:autoSpaceDE w:val="0"/>
        <w:autoSpaceDN w:val="0"/>
        <w:bidi w:val="0"/>
        <w:adjustRightInd/>
        <w:spacing w:line="440" w:lineRule="exact"/>
        <w:ind w:firstLine="472" w:firstLineChars="197"/>
        <w:jc w:val="left"/>
        <w:rPr>
          <w:rFonts w:hint="eastAsia" w:ascii="仿宋" w:hAnsi="仿宋" w:eastAsia="仿宋" w:cs="仿宋"/>
          <w:strike/>
          <w:color w:val="auto"/>
          <w:sz w:val="24"/>
          <w:szCs w:val="24"/>
          <w:highlight w:val="none"/>
        </w:rPr>
      </w:pPr>
      <w:r>
        <w:rPr>
          <w:rFonts w:hint="eastAsia" w:ascii="仿宋" w:hAnsi="仿宋" w:eastAsia="仿宋" w:cs="仿宋"/>
          <w:color w:val="auto"/>
          <w:sz w:val="24"/>
          <w:szCs w:val="24"/>
          <w:highlight w:val="none"/>
        </w:rPr>
        <w:t>对采购人指定的项目，严格依据国家法律法规、国家工程建设消防技术标准和省、市有关规定，开展图纸核验及技术交底服务、建设过程服务、现场评定服务、档案整理服务等工作，对工程提供全过程消防技术服务，及时出具意见或报告，并对出具的意见或报告负责。</w:t>
      </w:r>
      <w:r>
        <w:rPr>
          <w:rFonts w:hint="eastAsia" w:ascii="仿宋" w:hAnsi="仿宋" w:eastAsia="仿宋" w:cs="仿宋"/>
          <w:bCs/>
          <w:color w:val="auto"/>
          <w:sz w:val="24"/>
          <w:szCs w:val="24"/>
          <w:highlight w:val="none"/>
        </w:rPr>
        <w:t>服务的</w:t>
      </w:r>
      <w:r>
        <w:rPr>
          <w:rFonts w:hint="eastAsia" w:ascii="仿宋" w:hAnsi="仿宋" w:eastAsia="仿宋" w:cs="仿宋"/>
          <w:color w:val="auto"/>
          <w:sz w:val="24"/>
          <w:szCs w:val="24"/>
          <w:highlight w:val="none"/>
        </w:rPr>
        <w:t>具体内容包括但不限于以下内容：</w:t>
      </w:r>
    </w:p>
    <w:p w14:paraId="66FD3BC0">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（一）图纸会审及技术交底服务</w:t>
      </w:r>
    </w:p>
    <w:p w14:paraId="4332C579">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rPr>
        <w:t>在项目建设过程中，须对涉及消防相关施工图纸进行会审，并组织参建主体对项目进行技术交底。对施工图不明或存在疑问的，形成书面的设计咨询文件，由设计单位书面答复。</w:t>
      </w:r>
    </w:p>
    <w:p w14:paraId="0188AEC8">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    （二）建设过程服务</w:t>
      </w:r>
    </w:p>
    <w:p w14:paraId="14529DB0">
      <w:pPr>
        <w:keepNext w:val="0"/>
        <w:keepLines w:val="0"/>
        <w:pageBreakBefore w:val="0"/>
        <w:wordWrap/>
        <w:overflowPunct/>
        <w:topLinePunct w:val="0"/>
        <w:autoSpaceDE w:val="0"/>
        <w:autoSpaceDN w:val="0"/>
        <w:bidi w:val="0"/>
        <w:adjustRightInd/>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特殊建设工程在项目建设阶段性过程中，根据招标人工作计划及要求随时开展项目现场指导服务。其他建设工程在完成现场评定后需指导整改。</w:t>
      </w:r>
    </w:p>
    <w:p w14:paraId="10224310">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（三）</w:t>
      </w:r>
      <w:r>
        <w:rPr>
          <w:rFonts w:hint="eastAsia" w:ascii="仿宋" w:hAnsi="仿宋" w:eastAsia="仿宋" w:cs="仿宋"/>
          <w:b/>
          <w:bCs/>
          <w:color w:val="auto"/>
          <w:sz w:val="24"/>
          <w:szCs w:val="24"/>
          <w:highlight w:val="none"/>
        </w:rPr>
        <w:t>现场评定服务</w:t>
      </w:r>
    </w:p>
    <w:p w14:paraId="4D75F1FA">
      <w:pPr>
        <w:keepNext w:val="0"/>
        <w:keepLines w:val="0"/>
        <w:pageBreakBefore w:val="0"/>
        <w:wordWrap/>
        <w:overflowPunct/>
        <w:topLinePunct w:val="0"/>
        <w:autoSpaceDE w:val="0"/>
        <w:autoSpaceDN w:val="0"/>
        <w:bidi w:val="0"/>
        <w:adjustRightInd/>
        <w:spacing w:line="4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核验咨询</w:t>
      </w:r>
      <w:r>
        <w:rPr>
          <w:rFonts w:hint="eastAsia" w:ascii="仿宋" w:hAnsi="仿宋" w:eastAsia="仿宋" w:cs="仿宋"/>
          <w:color w:val="auto"/>
          <w:sz w:val="24"/>
          <w:szCs w:val="24"/>
          <w:highlight w:val="none"/>
        </w:rPr>
        <w:t>涉及消防的建设工程竣工图纸与经核验咨询合格的消防设计文件相符情况。</w:t>
      </w:r>
      <w:r>
        <w:rPr>
          <w:rFonts w:hint="eastAsia" w:ascii="仿宋" w:hAnsi="仿宋" w:eastAsia="仿宋" w:cs="仿宋"/>
          <w:bCs/>
          <w:color w:val="auto"/>
          <w:sz w:val="24"/>
          <w:szCs w:val="24"/>
          <w:highlight w:val="none"/>
        </w:rPr>
        <w:t>核验咨询</w:t>
      </w:r>
      <w:r>
        <w:rPr>
          <w:rFonts w:hint="eastAsia" w:ascii="仿宋" w:hAnsi="仿宋" w:eastAsia="仿宋" w:cs="仿宋"/>
          <w:color w:val="auto"/>
          <w:sz w:val="24"/>
          <w:szCs w:val="24"/>
          <w:highlight w:val="none"/>
        </w:rPr>
        <w:t>消防验收报验材料是否齐全完整，真实合法。</w:t>
      </w:r>
    </w:p>
    <w:p w14:paraId="39297726">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①现场评定应当依据消防法律法规、国家工程建设消防技术标准和省、市住房和城乡建设主管部门有关规定、涉及消防的建设工程竣工图纸、消防设计核验咨询意见，对建筑物防（灭）火设施的外观进行现场抽样查看；通过专业仪器设备对涉及距离、高度、宽度、长度、面积、厚度等可测量的指标进行现场抽样测量；对消防设施的功能进行抽样测试、联调联试消防设施的系统功能等。现场评定具体项目包括：</w:t>
      </w:r>
    </w:p>
    <w:p w14:paraId="4DE28DAF">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(1)建筑类别与耐火等级；</w:t>
      </w:r>
    </w:p>
    <w:p w14:paraId="349483A0">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(2)总平面布局，包括防火间距、消防车道、消防车登高面、消防车登高操作场地等项目；</w:t>
      </w:r>
    </w:p>
    <w:p w14:paraId="5A9B3023">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平面布置，包括消防控制室、消防水泵房等建设工程消防用房的布置，国家工程建设消防技术标准中有位置要求场所（如儿童活动场所、展览厅等）的设置位置，民用建筑中其他特殊场所、工业建筑中其他特殊场所等项目；</w:t>
      </w:r>
    </w:p>
    <w:p w14:paraId="7BAC84C5">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(4)建筑外墙、屋面保温和建筑外墙装饰；</w:t>
      </w:r>
    </w:p>
    <w:p w14:paraId="79DA2E01">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建筑内部装修防火，包括装修情况、纺织织物、木质材料、高分子合成材料、复合材料及其他材料的防火性能，用电装置发热情况和周围材料的燃烧性能和防火隔热、散热措施，对消防设施的影响，对疏散设施的影响等项目；</w:t>
      </w:r>
    </w:p>
    <w:p w14:paraId="70F4E70F">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(6)防火分隔，包括防火分区，防火墙，防火门、窗，竖向管道井、其他有防火分隔要求的部位等项目；</w:t>
      </w:r>
    </w:p>
    <w:p w14:paraId="1974790A">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(7)防爆，包括泄压设施，以及防静电、防积聚、防流散等措施；</w:t>
      </w:r>
    </w:p>
    <w:p w14:paraId="6620A94B">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(8)安全疏散，包括安全出口、疏散门、疏散走道、避难层(间)、消防应急照明和疏散指示标志等项目；</w:t>
      </w:r>
    </w:p>
    <w:p w14:paraId="6AD8F1EE">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(9)消防电梯；</w:t>
      </w:r>
    </w:p>
    <w:p w14:paraId="7AC940B9">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(10)消火栓系统，包括供水水源、消防水池、消防水泵、官网、室内外消火栓、系统功能等项目；</w:t>
      </w:r>
    </w:p>
    <w:p w14:paraId="5D28E739">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(11)自动喷水灭火系统，包括供水水源、消防水池、消防水泵、报警阀组、喷头、系统功能等项目；</w:t>
      </w:r>
    </w:p>
    <w:p w14:paraId="414B4666">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(12)火灾自动报警系统，包括系统形式、火灾探测器的报警功能、系统功能、以及火灾报警控制器、联动设备和消防控制室图形显示装置等项目；</w:t>
      </w:r>
    </w:p>
    <w:p w14:paraId="208EBEDC">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(13)防烟排烟系统及通风、空调系统防火，包括系统设置、排烟风机、管道、系统功能等项目；</w:t>
      </w:r>
    </w:p>
    <w:p w14:paraId="6698F82B">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(14)消防电气，包括消防电源、柴油发电机房、变配电房、消防配电、用电设施等项目；</w:t>
      </w:r>
    </w:p>
    <w:p w14:paraId="7D908B05">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(15)建筑灭火器，包括种类、数量、配置、布置等项目；</w:t>
      </w:r>
    </w:p>
    <w:p w14:paraId="7D83F80E">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(16)泡沫灭火系统，包括泡沫灭火系统防护区、以及泡沫比例混合、泡沫发生装置等项目；</w:t>
      </w:r>
    </w:p>
    <w:p w14:paraId="0E9AB272">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(17)气体灭火系统的系统功能；</w:t>
      </w:r>
    </w:p>
    <w:p w14:paraId="5A52A0C0">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(18)其他国家工程建设消防技术标准强制性条文规定的项目，以及带有“严禁”、“必须”、“应”、“不应”、“不得”要求的非强制性条文规定的项目。</w:t>
      </w:r>
    </w:p>
    <w:p w14:paraId="19FE97C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②抽样要求</w:t>
      </w:r>
    </w:p>
    <w:p w14:paraId="36B2781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现场抽样查看、测量、设施及系统功能测试应符合下列要求：</w:t>
      </w:r>
    </w:p>
    <w:p w14:paraId="614636F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（1）每一项目的抽样数量不少于 2 处，当总数不大于 2 处时，全部检查；</w:t>
      </w:r>
    </w:p>
    <w:p w14:paraId="058F28F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（2）防火间距、消防车登高操作场地、消防车道的设置及安全出口的形式和数量应全部检查。</w:t>
      </w:r>
    </w:p>
    <w:p w14:paraId="1AED11A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③现场评定结论</w:t>
      </w:r>
    </w:p>
    <w:p w14:paraId="5B86879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消防验收现场评定符合下列条件的，结论为合格；不符合下列任意一项的，结论为不合格：</w:t>
      </w:r>
    </w:p>
    <w:p w14:paraId="2D52A55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（1）现场评定内容符合经消防设计审查合格的消防设计文件；</w:t>
      </w:r>
    </w:p>
    <w:p w14:paraId="64F4DA4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（2）现场评定内容符合国家工程建设消防技术标准强制性条文规定的要求；</w:t>
      </w:r>
    </w:p>
    <w:p w14:paraId="6F53D97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（3）有距离、高度、宽度、长度、面积、厚度等要求的内容，其与设计图纸标示的数值误差满足国家工程建设消防技术标准的要求；国家工程建设消防技术标准没有数值误差要求的，误差不超过 5%，且不影响正常使用功能和消防安全；</w:t>
      </w:r>
    </w:p>
    <w:p w14:paraId="4923C6F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（4）现场评定内容为消防设施性能的，满足设计文件要求并能正常实现；</w:t>
      </w:r>
    </w:p>
    <w:p w14:paraId="4FB7860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（5）现场评定内容为系统功能的，系统主要功能满足设计文件要求并能正常实现。</w:t>
      </w:r>
    </w:p>
    <w:p w14:paraId="7A2DD726">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 xml:space="preserve">    （四）</w:t>
      </w:r>
      <w:r>
        <w:rPr>
          <w:rFonts w:hint="eastAsia" w:ascii="仿宋" w:hAnsi="仿宋" w:eastAsia="仿宋" w:cs="仿宋"/>
          <w:b/>
          <w:bCs/>
          <w:color w:val="auto"/>
          <w:sz w:val="24"/>
          <w:szCs w:val="24"/>
          <w:highlight w:val="none"/>
        </w:rPr>
        <w:t>档案整理服务</w:t>
      </w:r>
    </w:p>
    <w:p w14:paraId="6384A6C4">
      <w:pPr>
        <w:keepNext w:val="0"/>
        <w:keepLines w:val="0"/>
        <w:pageBreakBefore w:val="0"/>
        <w:wordWrap/>
        <w:overflowPunct/>
        <w:topLinePunct w:val="0"/>
        <w:autoSpaceDE w:val="0"/>
        <w:autoSpaceDN w:val="0"/>
        <w:bidi w:val="0"/>
        <w:adjustRightInd/>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应当协助采购人及时对所承办的消防验收的相关资料进行收集、整理，及时按照归档内容及装订顺序立卷存放，确保案卷材料齐全完整、真实合法。</w:t>
      </w:r>
    </w:p>
    <w:p w14:paraId="759B2AEA">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3、服务要求：</w:t>
      </w:r>
    </w:p>
    <w:p w14:paraId="30DAF736">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（一）投标人应严格按照</w:t>
      </w:r>
      <w:r>
        <w:rPr>
          <w:rFonts w:hint="eastAsia" w:ascii="仿宋" w:hAnsi="仿宋" w:eastAsia="仿宋" w:cs="仿宋"/>
          <w:color w:val="auto"/>
          <w:kern w:val="0"/>
          <w:sz w:val="24"/>
          <w:szCs w:val="24"/>
          <w:highlight w:val="none"/>
          <w:lang w:eastAsia="zh-CN"/>
        </w:rPr>
        <w:t>绍兴市越城区住房和城乡建设局</w:t>
      </w:r>
      <w:r>
        <w:rPr>
          <w:rFonts w:hint="eastAsia" w:ascii="仿宋" w:hAnsi="仿宋" w:eastAsia="仿宋" w:cs="仿宋"/>
          <w:color w:val="auto"/>
          <w:kern w:val="0"/>
          <w:sz w:val="24"/>
          <w:szCs w:val="24"/>
          <w:highlight w:val="none"/>
        </w:rPr>
        <w:t xml:space="preserve">有关规定和要求开展建设工程消防验收前期检查和现场评定技术服务工作，具体规定和要求另行制定。 </w:t>
      </w:r>
    </w:p>
    <w:p w14:paraId="3C36AAFA">
      <w:pPr>
        <w:keepNext w:val="0"/>
        <w:keepLines w:val="0"/>
        <w:pageBreakBefore w:val="0"/>
        <w:widowControl/>
        <w:wordWrap/>
        <w:overflowPunct/>
        <w:topLinePunct w:val="0"/>
        <w:bidi w:val="0"/>
        <w:adjustRightInd/>
        <w:spacing w:line="440" w:lineRule="exact"/>
        <w:ind w:firstLine="480"/>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（二）投标人在接到任务书后，应以项目为单位组成技术服务组开展技术服务，技术服务组须明确负责人及成员，其中负责人应具有国家一级注册消防工程师资格或者一</w:t>
      </w:r>
      <w:r>
        <w:rPr>
          <w:rFonts w:hint="eastAsia" w:ascii="仿宋" w:hAnsi="仿宋" w:eastAsia="仿宋" w:cs="仿宋"/>
          <w:color w:val="auto"/>
          <w:kern w:val="0"/>
          <w:sz w:val="24"/>
          <w:szCs w:val="24"/>
          <w:highlight w:val="none"/>
        </w:rPr>
        <w:t>级注册建筑师、一级注册结构工程师、注册公用设备工程师（给排水）、注册电气工程师、注册公用设备工程师（暖通空调）、一级注册建造书。单个项目技术服务组成员人数应满足以下要求：建筑面积10万平方米及以上的不少于6人，建筑面积5万（含)-10万的不少于4人，建筑面积5万以下不少于3人。</w:t>
      </w:r>
    </w:p>
    <w:p w14:paraId="391C795E">
      <w:pPr>
        <w:keepNext w:val="0"/>
        <w:keepLines w:val="0"/>
        <w:pageBreakBefore w:val="0"/>
        <w:widowControl/>
        <w:wordWrap/>
        <w:overflowPunct/>
        <w:topLinePunct w:val="0"/>
        <w:bidi w:val="0"/>
        <w:adjustRightInd/>
        <w:spacing w:line="440" w:lineRule="exact"/>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单个项目建筑面积10万平方米及以上的4天内完成现场评定，建筑面积5万平方米（含)-10万平方米的3天内完成现场评定，建筑面积5万平方米以下2天内完成现场评定。建设单位问题整改完毕，</w:t>
      </w:r>
      <w:r>
        <w:rPr>
          <w:rFonts w:hint="eastAsia" w:ascii="仿宋" w:hAnsi="仿宋" w:eastAsia="仿宋" w:cs="仿宋"/>
          <w:color w:val="auto"/>
          <w:kern w:val="0"/>
          <w:sz w:val="24"/>
          <w:szCs w:val="24"/>
          <w:highlight w:val="none"/>
          <w:lang w:val="en-US" w:eastAsia="zh-CN"/>
        </w:rPr>
        <w:t>中标人</w:t>
      </w:r>
      <w:r>
        <w:rPr>
          <w:rFonts w:hint="eastAsia" w:ascii="仿宋" w:hAnsi="仿宋" w:eastAsia="仿宋" w:cs="仿宋"/>
          <w:color w:val="auto"/>
          <w:kern w:val="0"/>
          <w:sz w:val="24"/>
          <w:szCs w:val="24"/>
          <w:highlight w:val="none"/>
        </w:rPr>
        <w:t>应在3日内进行复查</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检查合格的及时</w:t>
      </w:r>
      <w:r>
        <w:rPr>
          <w:rFonts w:hint="eastAsia" w:ascii="仿宋" w:hAnsi="仿宋" w:eastAsia="仿宋" w:cs="仿宋"/>
          <w:color w:val="auto"/>
          <w:kern w:val="0"/>
          <w:sz w:val="24"/>
          <w:szCs w:val="24"/>
          <w:highlight w:val="none"/>
        </w:rPr>
        <w:t>出具纸质评定报告</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份、电子文档1份</w:t>
      </w:r>
      <w:r>
        <w:rPr>
          <w:rFonts w:hint="eastAsia" w:ascii="仿宋" w:hAnsi="仿宋" w:eastAsia="仿宋" w:cs="仿宋"/>
          <w:color w:val="auto"/>
          <w:kern w:val="0"/>
          <w:sz w:val="24"/>
          <w:szCs w:val="24"/>
          <w:highlight w:val="none"/>
          <w:lang w:eastAsia="zh-CN"/>
        </w:rPr>
        <w:t>。征集人</w:t>
      </w:r>
      <w:r>
        <w:rPr>
          <w:rFonts w:hint="eastAsia" w:ascii="仿宋" w:hAnsi="仿宋" w:eastAsia="仿宋" w:cs="仿宋"/>
          <w:color w:val="auto"/>
          <w:kern w:val="0"/>
          <w:sz w:val="24"/>
          <w:szCs w:val="24"/>
          <w:highlight w:val="none"/>
        </w:rPr>
        <w:t>由于</w:t>
      </w:r>
      <w:r>
        <w:rPr>
          <w:rFonts w:hint="eastAsia" w:ascii="仿宋" w:hAnsi="仿宋" w:eastAsia="仿宋" w:cs="仿宋"/>
          <w:color w:val="auto"/>
          <w:kern w:val="0"/>
          <w:sz w:val="24"/>
          <w:szCs w:val="24"/>
          <w:highlight w:val="none"/>
          <w:lang w:val="en-US" w:eastAsia="zh-CN"/>
        </w:rPr>
        <w:t>特殊</w:t>
      </w:r>
      <w:r>
        <w:rPr>
          <w:rFonts w:hint="eastAsia" w:ascii="仿宋" w:hAnsi="仿宋" w:eastAsia="仿宋" w:cs="仿宋"/>
          <w:color w:val="auto"/>
          <w:kern w:val="0"/>
          <w:sz w:val="24"/>
          <w:szCs w:val="24"/>
          <w:highlight w:val="none"/>
        </w:rPr>
        <w:t>原因需延长工期时，延期赔偿金可不计，也不对中标人作任何赔偿。</w:t>
      </w:r>
    </w:p>
    <w:p w14:paraId="2EA572AD">
      <w:pPr>
        <w:keepNext w:val="0"/>
        <w:keepLines w:val="0"/>
        <w:pageBreakBefore w:val="0"/>
        <w:widowControl/>
        <w:wordWrap/>
        <w:overflowPunct/>
        <w:topLinePunct w:val="0"/>
        <w:bidi w:val="0"/>
        <w:adjustRightInd/>
        <w:spacing w:line="440" w:lineRule="exact"/>
        <w:ind w:firstLine="48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(三）每个中标单位需提供一名专业技术人员配合日常检查，每年服务时间不少于三分之一的工作日并提供检查所需交通工具。</w:t>
      </w:r>
    </w:p>
    <w:p w14:paraId="129F852C">
      <w:pPr>
        <w:keepNext w:val="0"/>
        <w:keepLines w:val="0"/>
        <w:pageBreakBefore w:val="0"/>
        <w:widowControl/>
        <w:wordWrap/>
        <w:overflowPunct/>
        <w:topLinePunct w:val="0"/>
        <w:bidi w:val="0"/>
        <w:adjustRightInd/>
        <w:spacing w:line="440" w:lineRule="exact"/>
        <w:ind w:firstLine="48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每个中标单位需配合征集人每年度开展不少于4次项目现场指导服务。</w:t>
      </w:r>
    </w:p>
    <w:p w14:paraId="04240FA3">
      <w:pPr>
        <w:keepNext w:val="0"/>
        <w:keepLines w:val="0"/>
        <w:pageBreakBefore w:val="0"/>
        <w:widowControl/>
        <w:wordWrap/>
        <w:overflowPunct/>
        <w:topLinePunct w:val="0"/>
        <w:bidi w:val="0"/>
        <w:adjustRightInd/>
        <w:spacing w:line="440" w:lineRule="exact"/>
        <w:ind w:firstLine="48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rPr>
        <w:t>每个中标单位需配合征集人每年度开展不少于4次的消防设计核验咨询服务，每个中标单位要求须配备结构专业技术人员不少于1人（需取得一级注册结构工程师）、建筑专业技术人员不少于1人（需取得一级注册建筑工程师）、暖通专业技术人员不少于1人（需取得注册公用设备工程师（暖通空调））、给排水专业技术人员不少于1人（需取得注册公用设备工程师（给排水））、电气专业技术人员不少于1人（需取得国家注册电气工程师）。</w:t>
      </w:r>
    </w:p>
    <w:p w14:paraId="1C593919">
      <w:pPr>
        <w:keepNext w:val="0"/>
        <w:keepLines w:val="0"/>
        <w:pageBreakBefore w:val="0"/>
        <w:wordWrap/>
        <w:overflowPunct/>
        <w:topLinePunct w:val="0"/>
        <w:autoSpaceDE w:val="0"/>
        <w:autoSpaceDN w:val="0"/>
        <w:bidi w:val="0"/>
        <w:adjustRightInd/>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服务人员未经采购人同意不得随意变更。采购人对服务人员的责任心、工作能力、合作性、廉洁性进行考核，如有考核不合格人员需立即更换，直至能满足相应岗位要求，采购人不承担任何人员更换的额外费用，期间不合格服务人员的服务费用不予支付，项目负责人调换处违约金为单个项目中标价的5%，其他人员调换每人处违约金为单个项目中标价的1%，人员未到位扣除每人1000元/次，出具的报告有误视情扣除单个项目中标价的2%至5%。</w:t>
      </w:r>
    </w:p>
    <w:p w14:paraId="3A5F1E07">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）投标人应向本项目提供完整的记录和相关资料，并对评估报告的真实性和有效性和时效性负责。</w:t>
      </w:r>
    </w:p>
    <w:p w14:paraId="4E7F5A33">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）投标人检测期间，必须遵守项目业主或采购人的各项规定。</w:t>
      </w:r>
    </w:p>
    <w:p w14:paraId="21AC619F">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）投标人在为本项目服务期间，须与项目业主或采购人做好沟通、协调、配合工作。</w:t>
      </w:r>
    </w:p>
    <w:p w14:paraId="0EC71B71">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）投标人应按要求记录现场评定（包含功能测试）的相关情况，判断建设工程消防安全状况，并出具消防安全评估咨询意见。</w:t>
      </w:r>
    </w:p>
    <w:p w14:paraId="7FC5CE32">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4、项目须执行的标准、规范（如有新法规或制度的按新规范执行）</w:t>
      </w:r>
    </w:p>
    <w:p w14:paraId="0DB987BF">
      <w:pPr>
        <w:keepNext w:val="0"/>
        <w:keepLines w:val="0"/>
        <w:pageBreakBefore w:val="0"/>
        <w:wordWrap/>
        <w:overflowPunct/>
        <w:topLinePunct w:val="0"/>
        <w:autoSpaceDE w:val="0"/>
        <w:autoSpaceDN w:val="0"/>
        <w:bidi w:val="0"/>
        <w:adjustRightInd/>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①《中华人民共和国消防法》（2021年4月29日修正版）；</w:t>
      </w:r>
    </w:p>
    <w:p w14:paraId="6016BB2C">
      <w:pPr>
        <w:keepNext w:val="0"/>
        <w:keepLines w:val="0"/>
        <w:pageBreakBefore w:val="0"/>
        <w:wordWrap/>
        <w:overflowPunct/>
        <w:topLinePunct w:val="0"/>
        <w:autoSpaceDE w:val="0"/>
        <w:autoSpaceDN w:val="0"/>
        <w:bidi w:val="0"/>
        <w:adjustRightInd/>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②《建设工程消防设计审查验收管理暂行规定》（住房和城乡建设部令第5</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号）；</w:t>
      </w:r>
    </w:p>
    <w:p w14:paraId="5D9FEA1D">
      <w:pPr>
        <w:keepNext w:val="0"/>
        <w:keepLines w:val="0"/>
        <w:pageBreakBefore w:val="0"/>
        <w:wordWrap/>
        <w:overflowPunct/>
        <w:topLinePunct w:val="0"/>
        <w:autoSpaceDE w:val="0"/>
        <w:autoSpaceDN w:val="0"/>
        <w:bidi w:val="0"/>
        <w:adjustRightInd/>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③住房城乡建设部关于修改《建设工程消防设计审查验收工作细则》并印发建设工程消防验收备案凭证、告知承诺文书式样的通知 （建科规〔2024〕3号 ）；</w:t>
      </w:r>
    </w:p>
    <w:p w14:paraId="60DB96E7">
      <w:pPr>
        <w:keepNext w:val="0"/>
        <w:keepLines w:val="0"/>
        <w:pageBreakBefore w:val="0"/>
        <w:wordWrap/>
        <w:overflowPunct/>
        <w:topLinePunct w:val="0"/>
        <w:autoSpaceDE w:val="0"/>
        <w:autoSpaceDN w:val="0"/>
        <w:bidi w:val="0"/>
        <w:adjustRightInd/>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④《关于深化消防执法改革的意见》（厅字〔2019〕34号）；</w:t>
      </w:r>
    </w:p>
    <w:p w14:paraId="047B3734">
      <w:pPr>
        <w:keepNext w:val="0"/>
        <w:keepLines w:val="0"/>
        <w:pageBreakBefore w:val="0"/>
        <w:wordWrap/>
        <w:overflowPunct/>
        <w:topLinePunct w:val="0"/>
        <w:autoSpaceDE w:val="0"/>
        <w:autoSpaceDN w:val="0"/>
        <w:bidi w:val="0"/>
        <w:adjustRightInd/>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⑤《浙江省建设工程消防设计审查验收管理暂行办法》；</w:t>
      </w:r>
    </w:p>
    <w:p w14:paraId="1CEF0943">
      <w:pPr>
        <w:keepNext w:val="0"/>
        <w:keepLines w:val="0"/>
        <w:pageBreakBefore w:val="0"/>
        <w:wordWrap/>
        <w:overflowPunct/>
        <w:topLinePunct w:val="0"/>
        <w:autoSpaceDE w:val="0"/>
        <w:autoSpaceDN w:val="0"/>
        <w:bidi w:val="0"/>
        <w:adjustRightInd/>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⑥建设部门相关监督管理办法及规章制度；</w:t>
      </w:r>
    </w:p>
    <w:p w14:paraId="0160184D">
      <w:pPr>
        <w:keepNext w:val="0"/>
        <w:keepLines w:val="0"/>
        <w:pageBreakBefore w:val="0"/>
        <w:wordWrap/>
        <w:overflowPunct/>
        <w:topLinePunct w:val="0"/>
        <w:autoSpaceDE w:val="0"/>
        <w:autoSpaceDN w:val="0"/>
        <w:bidi w:val="0"/>
        <w:adjustRightInd/>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⑦其他国家和地方要求执行的法律法规。</w:t>
      </w:r>
    </w:p>
    <w:p w14:paraId="4526F461">
      <w:pPr>
        <w:pStyle w:val="30"/>
        <w:keepNext w:val="0"/>
        <w:keepLines w:val="0"/>
        <w:pageBreakBefore w:val="0"/>
        <w:wordWrap/>
        <w:overflowPunct/>
        <w:topLinePunct w:val="0"/>
        <w:bidi w:val="0"/>
        <w:adjustRightInd/>
        <w:spacing w:after="0" w:line="440" w:lineRule="exact"/>
        <w:ind w:left="0" w:leftChars="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8 \* GB3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⑧</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现场查验及评定表式按照《浙江省住房和城乡建设厅关于印发房屋建筑和市政基础设施工程竣工验收消防查验和消防验收现场评定表格样式的通知》（浙建质安发〔2021〕50 号）执行。</w:t>
      </w:r>
    </w:p>
    <w:p w14:paraId="3EA30EDF">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注：如违背上述法规或规章制度，采购人有权终止合同，并要求投标人做出相应赔偿。</w:t>
      </w:r>
    </w:p>
    <w:p w14:paraId="611F48D3">
      <w:pPr>
        <w:keepNext w:val="0"/>
        <w:keepLines w:val="0"/>
        <w:pageBreakBefore w:val="0"/>
        <w:numPr>
          <w:ilvl w:val="0"/>
          <w:numId w:val="5"/>
        </w:numPr>
        <w:wordWrap/>
        <w:overflowPunct/>
        <w:topLinePunct w:val="0"/>
        <w:autoSpaceDE w:val="0"/>
        <w:autoSpaceDN w:val="0"/>
        <w:bidi w:val="0"/>
        <w:adjustRightInd/>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廉洁服务及其他事项</w:t>
      </w:r>
    </w:p>
    <w:p w14:paraId="68D13ED4">
      <w:pPr>
        <w:pStyle w:val="30"/>
        <w:keepNext w:val="0"/>
        <w:keepLines w:val="0"/>
        <w:pageBreakBefore w:val="0"/>
        <w:wordWrap/>
        <w:overflowPunct/>
        <w:topLinePunct w:val="0"/>
        <w:bidi w:val="0"/>
        <w:adjustRightInd/>
        <w:spacing w:after="0" w:line="440" w:lineRule="exact"/>
        <w:ind w:left="0" w:leftChars="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（一）</w:t>
      </w:r>
      <w:r>
        <w:rPr>
          <w:rFonts w:hint="eastAsia" w:ascii="仿宋" w:hAnsi="仿宋" w:eastAsia="仿宋" w:cs="仿宋"/>
          <w:color w:val="auto"/>
          <w:sz w:val="24"/>
          <w:szCs w:val="24"/>
          <w:highlight w:val="none"/>
          <w:u w:val="single"/>
        </w:rPr>
        <w:t>在项目招标及服务过程中，发生任何一起廉洁问题，一经查实扣除本项目全部服务费用，由其他两家单位之一重新评定，并取消下一年度的投标资格。</w:t>
      </w:r>
    </w:p>
    <w:p w14:paraId="3BC7180F">
      <w:pPr>
        <w:pStyle w:val="30"/>
        <w:keepNext w:val="0"/>
        <w:keepLines w:val="0"/>
        <w:pageBreakBefore w:val="0"/>
        <w:wordWrap/>
        <w:overflowPunct/>
        <w:topLinePunct w:val="0"/>
        <w:bidi w:val="0"/>
        <w:adjustRightInd/>
        <w:spacing w:after="0"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二）投标人对所有成果资料和采购人提供的所有资料负有保密的责任，未经采购人认可，投标人不得向第三方提供本合同范围内的技术服务成果。否则，采购人有权提起诉讼，由此引起的所有费用及损失由投标人承担。</w:t>
      </w:r>
    </w:p>
    <w:p w14:paraId="61DF9618">
      <w:pPr>
        <w:keepNext w:val="0"/>
        <w:keepLines w:val="0"/>
        <w:pageBreakBefore w:val="0"/>
        <w:wordWrap/>
        <w:overflowPunct/>
        <w:topLinePunct w:val="0"/>
        <w:bidi w:val="0"/>
        <w:adjustRightInd/>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（三）投标人应在规定时间内，按采购文件及采购人相关要求签订年度合同，未签订合同的，不得参加具体项目的抽签。</w:t>
      </w:r>
    </w:p>
    <w:p w14:paraId="3A931B34">
      <w:pPr>
        <w:keepNext w:val="0"/>
        <w:keepLines w:val="0"/>
        <w:pageBreakBefore w:val="0"/>
        <w:wordWrap/>
        <w:overflowPunct/>
        <w:topLinePunct w:val="0"/>
        <w:bidi w:val="0"/>
        <w:adjustRightInd/>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（四）投标人确定后，采购人将根据实际业务需求及相关规定选择投标人承担相应的业务，不保证服务期限内投标人的最低项目数量和项目的连续性。</w:t>
      </w:r>
    </w:p>
    <w:p w14:paraId="742C3E28">
      <w:pPr>
        <w:keepNext w:val="0"/>
        <w:keepLines w:val="0"/>
        <w:pageBreakBefore w:val="0"/>
        <w:kinsoku w:val="0"/>
        <w:wordWrap/>
        <w:overflowPunct/>
        <w:topLinePunct w:val="0"/>
        <w:autoSpaceDE w:val="0"/>
        <w:autoSpaceDN w:val="0"/>
        <w:bidi w:val="0"/>
        <w:adjustRightInd/>
        <w:snapToGrid w:val="0"/>
        <w:spacing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（五）具体消防技术服务由</w:t>
      </w:r>
      <w:r>
        <w:rPr>
          <w:rFonts w:hint="eastAsia" w:ascii="仿宋" w:hAnsi="仿宋" w:eastAsia="仿宋" w:cs="仿宋"/>
          <w:color w:val="auto"/>
          <w:sz w:val="24"/>
          <w:szCs w:val="24"/>
          <w:highlight w:val="none"/>
          <w:lang w:eastAsia="zh-CN"/>
        </w:rPr>
        <w:t>绍兴市越城区住房和城乡建设局</w:t>
      </w:r>
      <w:r>
        <w:rPr>
          <w:rFonts w:hint="eastAsia" w:ascii="仿宋" w:hAnsi="仿宋" w:eastAsia="仿宋" w:cs="仿宋"/>
          <w:color w:val="auto"/>
          <w:sz w:val="24"/>
          <w:szCs w:val="24"/>
          <w:highlight w:val="none"/>
        </w:rPr>
        <w:t>根据建设单位申请后下发任务书。</w:t>
      </w:r>
    </w:p>
    <w:p w14:paraId="78081FFC">
      <w:pPr>
        <w:keepNext w:val="0"/>
        <w:keepLines w:val="0"/>
        <w:pageBreakBefore w:val="0"/>
        <w:kinsoku w:val="0"/>
        <w:wordWrap/>
        <w:overflowPunct/>
        <w:topLinePunct w:val="0"/>
        <w:autoSpaceDE w:val="0"/>
        <w:autoSpaceDN w:val="0"/>
        <w:bidi w:val="0"/>
        <w:adjustRightInd/>
        <w:snapToGrid w:val="0"/>
        <w:spacing w:line="440" w:lineRule="exact"/>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24"/>
          <w:szCs w:val="24"/>
          <w:highlight w:val="none"/>
        </w:rPr>
        <w:t xml:space="preserve">    （六）</w:t>
      </w:r>
      <w:r>
        <w:rPr>
          <w:rFonts w:hint="eastAsia" w:ascii="仿宋" w:hAnsi="仿宋" w:eastAsia="仿宋" w:cs="仿宋"/>
          <w:snapToGrid w:val="0"/>
          <w:color w:val="auto"/>
          <w:kern w:val="0"/>
          <w:sz w:val="24"/>
          <w:szCs w:val="24"/>
          <w:highlight w:val="none"/>
        </w:rPr>
        <w:t>第一阶段入围供应商的评审方法为质量优先法，第二阶段成交供应商的方式为</w:t>
      </w:r>
      <w:r>
        <w:rPr>
          <w:rFonts w:hint="eastAsia" w:ascii="仿宋" w:hAnsi="仿宋" w:eastAsia="仿宋" w:cs="仿宋"/>
          <w:color w:val="auto"/>
          <w:sz w:val="24"/>
          <w:szCs w:val="24"/>
          <w:highlight w:val="none"/>
        </w:rPr>
        <w:t>消防技术服务项目任务书下达后，原则上采用轮流方式在投标人中确定项目技术服务单位（即第一中标候人、第二中标候选人、第三中标候选人顺序依次轮流），原则上三次单次为一轮；若存在技术服务单位与项目消防业务相关联的情况，在轮流过程中应予以回避，本次机会自动扣除，回避单位将直接开始新一轮，不在本轮增加项目。</w:t>
      </w:r>
    </w:p>
    <w:p w14:paraId="35175D12">
      <w:pPr>
        <w:keepNext w:val="0"/>
        <w:keepLines w:val="0"/>
        <w:pageBreakBefore w:val="0"/>
        <w:kinsoku w:val="0"/>
        <w:wordWrap/>
        <w:overflowPunct/>
        <w:topLinePunct w:val="0"/>
        <w:autoSpaceDE w:val="0"/>
        <w:autoSpaceDN w:val="0"/>
        <w:bidi w:val="0"/>
        <w:adjustRightInd/>
        <w:snapToGrid w:val="0"/>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（七）为避免其他利益关系，项目建设单位须在服务介入前委托消防设备设施的检测机构。</w:t>
      </w:r>
    </w:p>
    <w:p w14:paraId="05CEBFF4">
      <w:pPr>
        <w:pStyle w:val="30"/>
        <w:keepNext w:val="0"/>
        <w:keepLines w:val="0"/>
        <w:pageBreakBefore w:val="0"/>
        <w:wordWrap/>
        <w:overflowPunct/>
        <w:topLinePunct w:val="0"/>
        <w:bidi w:val="0"/>
        <w:adjustRightInd/>
        <w:spacing w:after="0" w:line="44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（八）投标人承担建设部58号令中相应的法律责任。</w:t>
      </w:r>
    </w:p>
    <w:p w14:paraId="77FCEDC8">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、用户反馈和评价机制：</w:t>
      </w:r>
    </w:p>
    <w:p w14:paraId="50FBE1ED">
      <w:pPr>
        <w:pStyle w:val="30"/>
        <w:spacing w:after="0" w:line="420" w:lineRule="exact"/>
        <w:ind w:left="0" w:leftChars="0"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征集人将依托政采云平台建立用户反馈和评价机制，接受采购人对入围供应商履行框架协议和采购合同情况的反馈与评价，并将用户反馈和评价情况向采购人和服务对象公开，作为采购人第二阶段直接选定成交供应商的参考。</w:t>
      </w:r>
    </w:p>
    <w:p w14:paraId="0C3F39C9">
      <w:pPr>
        <w:rPr>
          <w:rFonts w:hint="eastAsia" w:ascii="仿宋" w:hAnsi="仿宋" w:eastAsia="仿宋" w:cs="仿宋"/>
          <w:color w:val="auto"/>
          <w:highlight w:val="none"/>
        </w:rPr>
      </w:pPr>
    </w:p>
    <w:p w14:paraId="3105E35A">
      <w:pPr>
        <w:pStyle w:val="3"/>
        <w:rPr>
          <w:rFonts w:hint="eastAsia" w:ascii="仿宋" w:hAnsi="仿宋" w:eastAsia="仿宋" w:cs="仿宋"/>
          <w:color w:val="auto"/>
          <w:highlight w:val="none"/>
        </w:rPr>
      </w:pPr>
      <w:bookmarkStart w:id="29" w:name="_Toc8094"/>
      <w:bookmarkStart w:id="30" w:name="_Toc16000"/>
      <w:r>
        <w:rPr>
          <w:rFonts w:hint="eastAsia" w:ascii="仿宋" w:hAnsi="仿宋" w:eastAsia="仿宋" w:cs="仿宋"/>
          <w:color w:val="auto"/>
          <w:highlight w:val="none"/>
        </w:rPr>
        <w:t>二、商务要求</w:t>
      </w:r>
      <w:bookmarkEnd w:id="29"/>
      <w:bookmarkEnd w:id="30"/>
    </w:p>
    <w:p w14:paraId="67BFF414">
      <w:pPr>
        <w:widowControl/>
        <w:snapToGrid w:val="0"/>
        <w:spacing w:line="360" w:lineRule="auto"/>
        <w:jc w:val="left"/>
        <w:rPr>
          <w:rFonts w:hint="eastAsia" w:ascii="仿宋" w:hAnsi="仿宋" w:eastAsia="仿宋" w:cs="仿宋"/>
          <w:color w:val="auto"/>
          <w:sz w:val="24"/>
          <w:szCs w:val="24"/>
          <w:highlight w:val="none"/>
        </w:rPr>
      </w:pPr>
    </w:p>
    <w:p w14:paraId="670FF7D1">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★2.1框架协议期限</w:t>
      </w:r>
    </w:p>
    <w:p w14:paraId="073C3988">
      <w:pPr>
        <w:widowControl/>
        <w:snapToGrid w:val="0"/>
        <w:spacing w:line="48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12个月，（实际的服务起始点以项目任务书下达和项目验收合格为准）。如遇上级相关行业主管部门有新规定出台时，可随时终止。</w:t>
      </w:r>
    </w:p>
    <w:p w14:paraId="58DE58C1">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2.2质量要求</w:t>
      </w:r>
    </w:p>
    <w:p w14:paraId="190ED2D1">
      <w:pPr>
        <w:widowControl/>
        <w:snapToGrid w:val="0"/>
        <w:spacing w:line="480" w:lineRule="exact"/>
        <w:ind w:firstLine="481"/>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投标人严格依据建设工程法律法规、国家工程建设消防技术标准、《建设工程消防设计审查验收管理暂行规定》（住建部令第58号）和国家、省、市有关规定和实施细则要求、涉及消防的建设工程竣工图纸等提供服务，开展图纸核验及技术交底服务、建设过程服务、现场评定服务、档案整理服务等，现场评定意见或报告应及时反馈，结论应清晰、明确，并对提供的意见或报告负责，提供的意见或报告须技术负责人、项目负责人签字，投标人盖章确认。现场服务指导后，需要3天内提供书面意见给</w:t>
      </w:r>
      <w:r>
        <w:rPr>
          <w:rFonts w:hint="eastAsia" w:ascii="仿宋" w:hAnsi="仿宋" w:eastAsia="仿宋" w:cs="仿宋"/>
          <w:color w:val="auto"/>
          <w:kern w:val="0"/>
          <w:sz w:val="24"/>
          <w:szCs w:val="24"/>
          <w:highlight w:val="none"/>
          <w:lang w:eastAsia="zh-CN"/>
        </w:rPr>
        <w:t>绍兴市越城区住房和城乡建设局</w:t>
      </w:r>
      <w:r>
        <w:rPr>
          <w:rFonts w:hint="eastAsia" w:ascii="仿宋" w:hAnsi="仿宋" w:eastAsia="仿宋" w:cs="仿宋"/>
          <w:b w:val="0"/>
          <w:bCs w:val="0"/>
          <w:color w:val="auto"/>
          <w:kern w:val="0"/>
          <w:sz w:val="24"/>
          <w:highlight w:val="none"/>
        </w:rPr>
        <w:t>。</w:t>
      </w:r>
    </w:p>
    <w:p w14:paraId="3B9371A0">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r>
        <w:rPr>
          <w:rFonts w:hint="eastAsia" w:ascii="仿宋" w:hAnsi="仿宋" w:eastAsia="仿宋" w:cs="仿宋"/>
          <w:b/>
          <w:bCs/>
          <w:color w:val="auto"/>
          <w:kern w:val="0"/>
          <w:sz w:val="24"/>
          <w:highlight w:val="none"/>
          <w:lang w:val="en-US" w:eastAsia="zh-CN"/>
        </w:rPr>
        <w:t>3</w:t>
      </w:r>
      <w:r>
        <w:rPr>
          <w:rFonts w:hint="eastAsia" w:ascii="仿宋" w:hAnsi="仿宋" w:eastAsia="仿宋" w:cs="仿宋"/>
          <w:b/>
          <w:bCs/>
          <w:color w:val="auto"/>
          <w:kern w:val="0"/>
          <w:sz w:val="24"/>
          <w:highlight w:val="none"/>
        </w:rPr>
        <w:t>付款方式</w:t>
      </w:r>
    </w:p>
    <w:p w14:paraId="6DC5B785">
      <w:pPr>
        <w:widowControl/>
        <w:snapToGrid w:val="0"/>
        <w:spacing w:line="480" w:lineRule="exact"/>
        <w:ind w:firstLine="481"/>
        <w:rPr>
          <w:rFonts w:hint="eastAsia" w:ascii="仿宋" w:hAnsi="仿宋" w:eastAsia="仿宋" w:cs="仿宋"/>
          <w:b w:val="0"/>
          <w:bCs w:val="0"/>
          <w:color w:val="auto"/>
          <w:kern w:val="0"/>
          <w:sz w:val="24"/>
          <w:highlight w:val="none"/>
          <w:lang w:eastAsia="zh-CN"/>
        </w:rPr>
      </w:pPr>
      <w:r>
        <w:rPr>
          <w:rFonts w:hint="eastAsia" w:ascii="仿宋" w:hAnsi="仿宋" w:eastAsia="仿宋" w:cs="仿宋"/>
          <w:b w:val="0"/>
          <w:bCs w:val="0"/>
          <w:color w:val="auto"/>
          <w:kern w:val="0"/>
          <w:sz w:val="24"/>
          <w:highlight w:val="none"/>
        </w:rPr>
        <w:t>合同签订之日起三个月为一个结算周期，结算周期内服务项目及价款经双方确认，</w:t>
      </w:r>
      <w:r>
        <w:rPr>
          <w:rFonts w:hint="eastAsia" w:ascii="仿宋" w:hAnsi="仿宋" w:eastAsia="仿宋" w:cs="仿宋"/>
          <w:b w:val="0"/>
          <w:bCs w:val="0"/>
          <w:color w:val="auto"/>
          <w:kern w:val="0"/>
          <w:sz w:val="24"/>
          <w:highlight w:val="none"/>
          <w:lang w:val="en-US" w:eastAsia="zh-CN"/>
        </w:rPr>
        <w:t>入围单位</w:t>
      </w:r>
      <w:r>
        <w:rPr>
          <w:rFonts w:hint="eastAsia" w:ascii="仿宋" w:hAnsi="仿宋" w:eastAsia="仿宋" w:cs="仿宋"/>
          <w:b w:val="0"/>
          <w:bCs w:val="0"/>
          <w:color w:val="auto"/>
          <w:kern w:val="0"/>
          <w:sz w:val="24"/>
          <w:highlight w:val="none"/>
        </w:rPr>
        <w:t>提交符合采购人财务入帐要求的发票后7个工作日内向</w:t>
      </w:r>
      <w:r>
        <w:rPr>
          <w:rFonts w:hint="eastAsia" w:ascii="仿宋" w:hAnsi="仿宋" w:eastAsia="仿宋" w:cs="仿宋"/>
          <w:b w:val="0"/>
          <w:bCs w:val="0"/>
          <w:color w:val="auto"/>
          <w:kern w:val="0"/>
          <w:sz w:val="24"/>
          <w:highlight w:val="none"/>
          <w:lang w:val="en-US" w:eastAsia="zh-CN"/>
        </w:rPr>
        <w:t>入围单位</w:t>
      </w:r>
      <w:r>
        <w:rPr>
          <w:rFonts w:hint="eastAsia" w:ascii="仿宋" w:hAnsi="仿宋" w:eastAsia="仿宋" w:cs="仿宋"/>
          <w:b w:val="0"/>
          <w:bCs w:val="0"/>
          <w:color w:val="auto"/>
          <w:kern w:val="0"/>
          <w:sz w:val="24"/>
          <w:highlight w:val="none"/>
        </w:rPr>
        <w:t>一次性支付服务费。具体以财政资金到位为准，若当年年底拨付资金不足，不足部分在下一次支付款项时补足。</w:t>
      </w:r>
    </w:p>
    <w:p w14:paraId="7F0A0A5B">
      <w:pPr>
        <w:keepNext w:val="0"/>
        <w:keepLines w:val="0"/>
        <w:pageBreakBefore w:val="0"/>
        <w:widowControl w:val="0"/>
        <w:kinsoku/>
        <w:wordWrap/>
        <w:overflowPunct/>
        <w:topLinePunct w:val="0"/>
        <w:autoSpaceDE/>
        <w:autoSpaceDN/>
        <w:bidi w:val="0"/>
        <w:adjustRightInd/>
        <w:snapToGrid w:val="0"/>
        <w:spacing w:line="480" w:lineRule="exact"/>
        <w:ind w:firstLine="481"/>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涉及中小企业合同的，付款根据浙财采监(2022)3号文件相关规定执行。</w:t>
      </w:r>
    </w:p>
    <w:p w14:paraId="0B187CF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r>
        <w:rPr>
          <w:rFonts w:hint="eastAsia" w:ascii="仿宋" w:hAnsi="仿宋" w:eastAsia="仿宋" w:cs="仿宋"/>
          <w:b/>
          <w:bCs/>
          <w:color w:val="auto"/>
          <w:kern w:val="0"/>
          <w:sz w:val="24"/>
          <w:highlight w:val="none"/>
          <w:lang w:val="en-US" w:eastAsia="zh-CN"/>
        </w:rPr>
        <w:t>4</w:t>
      </w:r>
      <w:r>
        <w:rPr>
          <w:rFonts w:hint="eastAsia" w:ascii="仿宋" w:hAnsi="仿宋" w:eastAsia="仿宋" w:cs="仿宋"/>
          <w:b/>
          <w:bCs/>
          <w:color w:val="auto"/>
          <w:kern w:val="0"/>
          <w:sz w:val="24"/>
          <w:highlight w:val="none"/>
        </w:rPr>
        <w:t>验收</w:t>
      </w:r>
    </w:p>
    <w:p w14:paraId="200D08D6">
      <w:pPr>
        <w:keepNext w:val="0"/>
        <w:keepLines w:val="0"/>
        <w:pageBreakBefore w:val="0"/>
        <w:widowControl w:val="0"/>
        <w:kinsoku/>
        <w:wordWrap/>
        <w:overflowPunct/>
        <w:topLinePunct w:val="0"/>
        <w:autoSpaceDE/>
        <w:autoSpaceDN/>
        <w:bidi w:val="0"/>
        <w:adjustRightInd/>
        <w:snapToGrid w:val="0"/>
        <w:spacing w:line="480" w:lineRule="exact"/>
        <w:ind w:firstLine="481"/>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服务期满后，采购人按照政府采购合同规定的技术、服务、安全标准组织对投标人履约情况进行验收，并出具验收书。出具合格报告，接收采购人及相关部门监督。验收单位包括但不限于人员到位情况、服务响应情况、报告质量情况、完成时间情况等。</w:t>
      </w:r>
    </w:p>
    <w:p w14:paraId="497D043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val="en-US" w:eastAsia="zh-CN"/>
        </w:rPr>
        <w:t>2.5结算原则</w:t>
      </w:r>
    </w:p>
    <w:p w14:paraId="798DBF9A">
      <w:pPr>
        <w:pStyle w:val="3"/>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left="-60" w:leftChars="0" w:firstLine="480" w:firstLineChars="0"/>
        <w:jc w:val="both"/>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bidi="ar-SA"/>
        </w:rPr>
        <w:t>单个项目以</w:t>
      </w:r>
      <w:r>
        <w:rPr>
          <w:rFonts w:hint="eastAsia" w:ascii="仿宋" w:hAnsi="仿宋" w:eastAsia="仿宋" w:cs="仿宋"/>
          <w:b w:val="0"/>
          <w:bCs w:val="0"/>
          <w:color w:val="auto"/>
          <w:kern w:val="0"/>
          <w:sz w:val="24"/>
          <w:highlight w:val="none"/>
        </w:rPr>
        <w:t>现场评定建筑面积</w:t>
      </w:r>
      <w:r>
        <w:rPr>
          <w:rFonts w:hint="eastAsia" w:ascii="仿宋" w:hAnsi="仿宋" w:eastAsia="仿宋" w:cs="仿宋"/>
          <w:b w:val="0"/>
          <w:bCs w:val="0"/>
          <w:color w:val="auto"/>
          <w:kern w:val="0"/>
          <w:sz w:val="24"/>
          <w:highlight w:val="none"/>
          <w:lang w:val="en-US" w:eastAsia="zh-CN" w:bidi="ar-SA"/>
        </w:rPr>
        <w:t>为结算单位，承担前期检查技术服务及验收现场验评技术服务的，结算价款=</w:t>
      </w:r>
      <w:r>
        <w:rPr>
          <w:rFonts w:hint="eastAsia" w:ascii="仿宋" w:hAnsi="仿宋" w:eastAsia="仿宋" w:cs="仿宋"/>
          <w:b w:val="0"/>
          <w:bCs w:val="0"/>
          <w:color w:val="auto"/>
          <w:kern w:val="0"/>
          <w:sz w:val="24"/>
          <w:highlight w:val="none"/>
        </w:rPr>
        <w:t>现场评定建筑面积</w:t>
      </w:r>
      <w:r>
        <w:rPr>
          <w:rFonts w:hint="eastAsia" w:ascii="仿宋" w:hAnsi="仿宋" w:eastAsia="仿宋" w:cs="仿宋"/>
          <w:b w:val="0"/>
          <w:bCs w:val="0"/>
          <w:color w:val="auto"/>
          <w:kern w:val="0"/>
          <w:sz w:val="24"/>
          <w:highlight w:val="none"/>
          <w:lang w:val="en-US" w:eastAsia="zh-CN" w:bidi="ar-SA"/>
        </w:rPr>
        <w:t>×</w:t>
      </w:r>
      <w:r>
        <w:rPr>
          <w:rFonts w:hint="eastAsia" w:ascii="仿宋" w:hAnsi="仿宋" w:cs="仿宋"/>
          <w:b w:val="0"/>
          <w:bCs w:val="0"/>
          <w:color w:val="auto"/>
          <w:kern w:val="0"/>
          <w:sz w:val="24"/>
          <w:highlight w:val="none"/>
          <w:lang w:val="en-US" w:eastAsia="zh-CN" w:bidi="ar-SA"/>
        </w:rPr>
        <w:t>最高限制</w:t>
      </w:r>
      <w:r>
        <w:rPr>
          <w:rFonts w:hint="eastAsia" w:ascii="仿宋" w:hAnsi="仿宋" w:eastAsia="仿宋" w:cs="仿宋"/>
          <w:b w:val="0"/>
          <w:bCs w:val="0"/>
          <w:color w:val="auto"/>
          <w:kern w:val="0"/>
          <w:sz w:val="24"/>
          <w:highlight w:val="none"/>
          <w:lang w:val="en-US" w:eastAsia="zh-CN" w:bidi="ar-SA"/>
        </w:rPr>
        <w:t>单价*</w:t>
      </w:r>
      <w:r>
        <w:rPr>
          <w:rFonts w:hint="eastAsia" w:ascii="仿宋" w:hAnsi="仿宋" w:eastAsia="仿宋" w:cs="仿宋"/>
          <w:b w:val="0"/>
          <w:bCs w:val="0"/>
          <w:color w:val="auto"/>
          <w:kern w:val="0"/>
          <w:sz w:val="24"/>
          <w:highlight w:val="none"/>
        </w:rPr>
        <w:t>中标折扣率</w:t>
      </w:r>
      <w:r>
        <w:rPr>
          <w:rFonts w:hint="eastAsia" w:ascii="仿宋" w:hAnsi="仿宋" w:eastAsia="仿宋" w:cs="仿宋"/>
          <w:b w:val="0"/>
          <w:bCs w:val="0"/>
          <w:color w:val="auto"/>
          <w:kern w:val="0"/>
          <w:sz w:val="24"/>
          <w:highlight w:val="none"/>
          <w:lang w:val="en-US" w:eastAsia="zh-CN" w:bidi="ar-SA"/>
        </w:rPr>
        <w:t>；</w:t>
      </w:r>
      <w:r>
        <w:rPr>
          <w:rFonts w:hint="eastAsia" w:ascii="仿宋" w:hAnsi="仿宋" w:eastAsia="仿宋" w:cs="仿宋"/>
          <w:b w:val="0"/>
          <w:bCs w:val="0"/>
          <w:color w:val="auto"/>
          <w:kern w:val="0"/>
          <w:sz w:val="24"/>
          <w:highlight w:val="none"/>
        </w:rPr>
        <w:t>在结算时按中标单价按实调整,现场评定建筑面积以受理凭证为准。</w:t>
      </w:r>
    </w:p>
    <w:p w14:paraId="6E670EEB">
      <w:pPr>
        <w:pStyle w:val="3"/>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left="-60" w:leftChars="0" w:firstLine="480" w:firstLineChars="0"/>
        <w:jc w:val="both"/>
        <w:textAlignment w:val="auto"/>
        <w:rPr>
          <w:rFonts w:hint="eastAsia" w:ascii="仿宋" w:hAnsi="仿宋" w:eastAsia="仿宋" w:cs="仿宋"/>
          <w:b w:val="0"/>
          <w:bCs w:val="0"/>
          <w:color w:val="auto"/>
          <w:kern w:val="0"/>
          <w:sz w:val="24"/>
          <w:highlight w:val="none"/>
          <w:lang w:val="en-US" w:eastAsia="zh-CN" w:bidi="ar-SA"/>
        </w:rPr>
      </w:pPr>
      <w:r>
        <w:rPr>
          <w:rFonts w:hint="eastAsia" w:ascii="仿宋" w:hAnsi="仿宋" w:eastAsia="仿宋" w:cs="仿宋"/>
          <w:b w:val="0"/>
          <w:bCs w:val="0"/>
          <w:color w:val="auto"/>
          <w:kern w:val="0"/>
          <w:sz w:val="24"/>
          <w:highlight w:val="none"/>
          <w:lang w:val="en-US" w:eastAsia="zh-CN" w:bidi="ar-SA"/>
        </w:rPr>
        <w:t>建设工程经消防验收现场评定不合格，需由项目建设单位负责整改后重新申请消防验收的，服务商应重新开展技术服务，合同价款不予增加。</w:t>
      </w:r>
    </w:p>
    <w:p w14:paraId="22F4187A">
      <w:pPr>
        <w:pStyle w:val="3"/>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left="-60" w:leftChars="0" w:firstLine="480" w:firstLineChars="0"/>
        <w:jc w:val="both"/>
        <w:textAlignment w:val="auto"/>
        <w:rPr>
          <w:rFonts w:hint="eastAsia" w:ascii="仿宋" w:hAnsi="仿宋" w:eastAsia="仿宋" w:cs="仿宋"/>
          <w:b w:val="0"/>
          <w:bCs w:val="0"/>
          <w:color w:val="auto"/>
          <w:kern w:val="0"/>
          <w:sz w:val="24"/>
          <w:highlight w:val="none"/>
        </w:rPr>
      </w:pPr>
      <w:r>
        <w:rPr>
          <w:rFonts w:hint="eastAsia" w:ascii="仿宋" w:hAnsi="仿宋" w:cs="仿宋"/>
          <w:b w:val="0"/>
          <w:bCs w:val="0"/>
          <w:color w:val="auto"/>
          <w:kern w:val="0"/>
          <w:sz w:val="24"/>
          <w:highlight w:val="none"/>
          <w:lang w:eastAsia="zh-CN"/>
        </w:rPr>
        <w:t>当单个项目收费少于8000元的，按8000元计，单个项目上限20万元</w:t>
      </w:r>
      <w:r>
        <w:rPr>
          <w:rFonts w:hint="eastAsia" w:ascii="仿宋" w:hAnsi="仿宋" w:eastAsia="仿宋" w:cs="仿宋"/>
          <w:b w:val="0"/>
          <w:bCs w:val="0"/>
          <w:color w:val="auto"/>
          <w:kern w:val="0"/>
          <w:sz w:val="24"/>
          <w:highlight w:val="none"/>
        </w:rPr>
        <w:t>。</w:t>
      </w:r>
    </w:p>
    <w:p w14:paraId="77A05CD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★2.6检查、考核</w:t>
      </w:r>
    </w:p>
    <w:p w14:paraId="2222DB4F">
      <w:pPr>
        <w:widowControl/>
        <w:snapToGrid w:val="0"/>
        <w:spacing w:line="480" w:lineRule="exact"/>
        <w:ind w:firstLine="482" w:firstLineChars="200"/>
        <w:rPr>
          <w:rFonts w:hint="eastAsia" w:ascii="仿宋" w:hAnsi="仿宋" w:eastAsia="仿宋" w:cs="仿宋"/>
          <w:b/>
          <w:bCs/>
          <w:color w:val="auto"/>
          <w:kern w:val="0"/>
          <w:sz w:val="32"/>
          <w:szCs w:val="22"/>
          <w:highlight w:val="none"/>
          <w:lang w:eastAsia="zh-CN"/>
        </w:rPr>
        <w:sectPr>
          <w:footerReference r:id="rId4" w:type="default"/>
          <w:pgSz w:w="11907" w:h="16840"/>
          <w:pgMar w:top="1440" w:right="1463" w:bottom="1440" w:left="1803" w:header="851" w:footer="992" w:gutter="0"/>
          <w:cols w:space="720" w:num="1"/>
          <w:docGrid w:type="lines" w:linePitch="312" w:charSpace="0"/>
        </w:sectPr>
      </w:pPr>
      <w:r>
        <w:rPr>
          <w:rFonts w:hint="eastAsia" w:ascii="仿宋" w:hAnsi="仿宋" w:eastAsia="仿宋" w:cs="仿宋"/>
          <w:b/>
          <w:bCs/>
          <w:color w:val="auto"/>
          <w:kern w:val="0"/>
          <w:sz w:val="24"/>
          <w:highlight w:val="none"/>
        </w:rPr>
        <w:t>由征集人对入围供应商进行检查和考核，详见《</w:t>
      </w:r>
      <w:r>
        <w:rPr>
          <w:rFonts w:hint="eastAsia" w:ascii="仿宋" w:hAnsi="仿宋" w:eastAsia="仿宋" w:cs="仿宋"/>
          <w:b/>
          <w:bCs/>
          <w:color w:val="auto"/>
          <w:kern w:val="0"/>
          <w:sz w:val="24"/>
          <w:highlight w:val="none"/>
          <w:lang w:eastAsia="zh-CN"/>
        </w:rPr>
        <w:t>关于开展绍兴市建设工程消防验收技术服务机构评定工作的通知</w:t>
      </w:r>
      <w:r>
        <w:rPr>
          <w:rFonts w:hint="eastAsia" w:ascii="仿宋" w:hAnsi="仿宋" w:eastAsia="仿宋" w:cs="仿宋"/>
          <w:b/>
          <w:bCs/>
          <w:color w:val="auto"/>
          <w:kern w:val="0"/>
          <w:sz w:val="24"/>
          <w:highlight w:val="none"/>
        </w:rPr>
        <w:t>》。</w:t>
      </w:r>
    </w:p>
    <w:p w14:paraId="337D36C3">
      <w:pPr>
        <w:pStyle w:val="2"/>
        <w:numPr>
          <w:ilvl w:val="0"/>
          <w:numId w:val="7"/>
        </w:numPr>
        <w:rPr>
          <w:rFonts w:hint="eastAsia" w:ascii="仿宋" w:hAnsi="仿宋" w:eastAsia="仿宋" w:cs="仿宋"/>
          <w:b/>
          <w:color w:val="auto"/>
          <w:spacing w:val="-6"/>
          <w:kern w:val="0"/>
          <w:sz w:val="44"/>
          <w:highlight w:val="none"/>
        </w:rPr>
      </w:pPr>
      <w:bookmarkStart w:id="31" w:name="_Toc2933"/>
      <w:bookmarkStart w:id="32" w:name="_Toc17214"/>
      <w:r>
        <w:rPr>
          <w:rFonts w:hint="eastAsia" w:ascii="仿宋" w:hAnsi="仿宋" w:eastAsia="仿宋" w:cs="仿宋"/>
          <w:b/>
          <w:color w:val="auto"/>
          <w:spacing w:val="-6"/>
          <w:kern w:val="0"/>
          <w:sz w:val="44"/>
          <w:highlight w:val="none"/>
        </w:rPr>
        <w:t>拟签订的框架协议文本</w:t>
      </w:r>
      <w:r>
        <w:rPr>
          <w:rFonts w:hint="eastAsia" w:ascii="仿宋" w:hAnsi="仿宋" w:eastAsia="仿宋" w:cs="仿宋"/>
          <w:b/>
          <w:snapToGrid w:val="0"/>
          <w:color w:val="auto"/>
          <w:spacing w:val="-6"/>
          <w:kern w:val="0"/>
          <w:sz w:val="44"/>
          <w:highlight w:val="none"/>
        </w:rPr>
        <w:t>和</w:t>
      </w:r>
      <w:r>
        <w:rPr>
          <w:rFonts w:hint="eastAsia" w:ascii="仿宋" w:hAnsi="仿宋" w:eastAsia="仿宋" w:cs="仿宋"/>
          <w:b/>
          <w:color w:val="auto"/>
          <w:spacing w:val="-6"/>
          <w:kern w:val="0"/>
          <w:sz w:val="44"/>
          <w:highlight w:val="none"/>
        </w:rPr>
        <w:t>采购合同文本</w:t>
      </w:r>
      <w:bookmarkEnd w:id="31"/>
    </w:p>
    <w:p w14:paraId="65334A5A">
      <w:pPr>
        <w:spacing w:line="440" w:lineRule="exact"/>
        <w:jc w:val="center"/>
        <w:rPr>
          <w:rFonts w:hint="eastAsia" w:ascii="仿宋" w:hAnsi="仿宋" w:eastAsia="仿宋" w:cs="仿宋"/>
          <w:color w:val="auto"/>
          <w:sz w:val="24"/>
          <w:highlight w:val="none"/>
        </w:rPr>
      </w:pPr>
      <w:r>
        <w:rPr>
          <w:rFonts w:hint="eastAsia" w:ascii="仿宋" w:hAnsi="仿宋" w:eastAsia="仿宋" w:cs="仿宋"/>
          <w:b/>
          <w:color w:val="auto"/>
          <w:sz w:val="32"/>
          <w:szCs w:val="32"/>
          <w:highlight w:val="none"/>
        </w:rPr>
        <w:t>封闭式框架协议主要条款</w:t>
      </w:r>
    </w:p>
    <w:bookmarkEnd w:id="32"/>
    <w:p w14:paraId="2B96EDE3">
      <w:pPr>
        <w:pStyle w:val="2"/>
        <w:snapToGrid w:val="0"/>
        <w:rPr>
          <w:rFonts w:hint="eastAsia" w:ascii="仿宋" w:hAnsi="仿宋" w:eastAsia="仿宋" w:cs="仿宋"/>
          <w:bCs/>
          <w:color w:val="auto"/>
          <w:kern w:val="0"/>
          <w:sz w:val="24"/>
          <w:highlight w:val="none"/>
          <w:u w:val="single"/>
        </w:rPr>
      </w:pPr>
      <w:bookmarkStart w:id="33" w:name="_Toc5982"/>
      <w:r>
        <w:rPr>
          <w:rFonts w:hint="eastAsia" w:ascii="仿宋" w:hAnsi="仿宋" w:eastAsia="仿宋" w:cs="仿宋"/>
          <w:bCs/>
          <w:color w:val="auto"/>
          <w:kern w:val="0"/>
          <w:sz w:val="24"/>
          <w:highlight w:val="none"/>
          <w:u w:val="single"/>
        </w:rPr>
        <w:t>（框架协议按征集文件及入围供应商响应文件的内容制定，以下仅为部分主要条款）</w:t>
      </w:r>
      <w:bookmarkEnd w:id="33"/>
    </w:p>
    <w:p w14:paraId="4334683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协议编号：</w:t>
      </w:r>
    </w:p>
    <w:p w14:paraId="0B34AC3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确认书号：</w:t>
      </w:r>
    </w:p>
    <w:p w14:paraId="0C873E65">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甲方（征集人）：                   </w:t>
      </w:r>
    </w:p>
    <w:p w14:paraId="2BFB0CCE">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乙方（入围单位）：                                           </w:t>
      </w:r>
    </w:p>
    <w:p w14:paraId="1EFA7A21">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经过公开征集，确定乙方为绍兴市越城区住房和城乡建设局</w:t>
      </w:r>
      <w:r>
        <w:rPr>
          <w:rFonts w:hint="eastAsia" w:ascii="仿宋" w:hAnsi="仿宋" w:eastAsia="仿宋" w:cs="仿宋"/>
          <w:color w:val="auto"/>
          <w:kern w:val="0"/>
          <w:sz w:val="24"/>
          <w:szCs w:val="24"/>
          <w:highlight w:val="none"/>
          <w:u w:val="single"/>
        </w:rPr>
        <w:t xml:space="preserve">        （项目名称）</w:t>
      </w:r>
      <w:r>
        <w:rPr>
          <w:rFonts w:hint="eastAsia" w:ascii="仿宋" w:hAnsi="仿宋" w:eastAsia="仿宋" w:cs="仿宋"/>
          <w:color w:val="auto"/>
          <w:kern w:val="0"/>
          <w:sz w:val="24"/>
          <w:szCs w:val="24"/>
          <w:highlight w:val="none"/>
        </w:rPr>
        <w:t>的入围单位，为明确双方权利义务，经协商一致，签订本协议书。</w:t>
      </w:r>
    </w:p>
    <w:p w14:paraId="0F58E818">
      <w:pPr>
        <w:pStyle w:val="16"/>
        <w:tabs>
          <w:tab w:val="left" w:pos="840"/>
        </w:tabs>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一、服务内容和范围</w:t>
      </w:r>
    </w:p>
    <w:p w14:paraId="7140FCDE">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绍兴市越城区住房和城乡建设局管辖的消防验收或备案抽查项目。</w:t>
      </w:r>
    </w:p>
    <w:p w14:paraId="0C90C824">
      <w:pPr>
        <w:pStyle w:val="16"/>
        <w:numPr>
          <w:ilvl w:val="0"/>
          <w:numId w:val="8"/>
        </w:numPr>
        <w:tabs>
          <w:tab w:val="left" w:pos="840"/>
        </w:tabs>
        <w:spacing w:line="360" w:lineRule="auto"/>
        <w:ind w:firstLine="482" w:firstLineChars="20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服务要求</w:t>
      </w:r>
    </w:p>
    <w:p w14:paraId="7215E97E">
      <w:pPr>
        <w:keepNext w:val="0"/>
        <w:keepLines w:val="0"/>
        <w:pageBreakBefore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（一）乙方应严格按照绍兴市越城区住房和城乡建设局有关规定和要求开展建设工程消防验收前期检查和现场评定技术服务工作，具体规定和要求另行制定。 </w:t>
      </w:r>
    </w:p>
    <w:p w14:paraId="0AF441D7">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u w:val="single"/>
          <w:lang w:val="en-US" w:eastAsia="zh-CN" w:bidi="ar-SA"/>
        </w:rPr>
      </w:pPr>
      <w:r>
        <w:rPr>
          <w:rFonts w:hint="eastAsia" w:ascii="仿宋" w:hAnsi="仿宋" w:eastAsia="仿宋" w:cs="仿宋"/>
          <w:color w:val="auto"/>
          <w:kern w:val="0"/>
          <w:sz w:val="24"/>
          <w:szCs w:val="24"/>
          <w:highlight w:val="none"/>
          <w:lang w:val="en-US" w:eastAsia="zh-CN" w:bidi="ar-SA"/>
        </w:rPr>
        <w:t>（二）乙方在接到任务书后，应以项目为单位组成技术服务组开展技术服务，技术服务组须明确负责人及成员，其中负责人应具有国家一级注册消防工程师资格或者一级注册建筑师、一级注册结构工程师、注册公用设备工程师（给排水）、注册电气工程师、注册公用设备工程师（暖通空调）、一级注册建造书。单个项目技术服务组成员人数应满足以下要求：建筑面积10万平方米及以上的不少于6人，建筑面积5万（含)-10万的不少于4人，建筑面积5万以下不少于3人。乙方项目负责人：</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u w:val="none"/>
          <w:lang w:val="en-US" w:eastAsia="zh-CN" w:bidi="ar-SA"/>
        </w:rPr>
        <w:t>。</w:t>
      </w:r>
    </w:p>
    <w:p w14:paraId="70C1B005">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单个项目建筑面积10万平方米及以上的4天内完成现场评定，建筑面积5万平方米（含)-10万平方米的3天内完成现场评定，建筑面积5万平方米以下2天内完成现场评定。建设单位问题整改完毕，乙方应在3日内进行复查，检查合格的及时出具纸质评定报告1份、电子文档1份。甲方由于特殊原因需延长工期时，延期赔偿金可不计，也不对乙方作任何赔偿。</w:t>
      </w:r>
    </w:p>
    <w:p w14:paraId="001D1F0A">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(三）乙方需提供一名专业技术人员配合日常检查，每年服务时间不少于三分之一的工作日并提供检查所需交通工具。</w:t>
      </w:r>
    </w:p>
    <w:p w14:paraId="1AF71555">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乙方需配合甲方每年度开展不少于4次项目现场指导服务。</w:t>
      </w:r>
    </w:p>
    <w:p w14:paraId="0AB4A662">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需配合甲方每年度开展不少于4次的消防设计核验咨询服务，乙方要求须配备结构专业技术人员不少于1人（需取得一级注册结构工程师）、建筑专业技术人员不少于1人（需取得一级注册建筑工程师）、暖通专业技术人员不少于1人（需取得注册公用设备工程师（暖通空调））、给排水专业技术人员不少于1人（需取得注册公用设备工程师（给排水））、电气专业技术人员不少于1人（需取得国家注册电气工程师）。</w:t>
      </w:r>
    </w:p>
    <w:p w14:paraId="6C5C94F2">
      <w:pPr>
        <w:keepNext w:val="0"/>
        <w:keepLines w:val="0"/>
        <w:pageBreakBefore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备注：服务人员未经甲方同意不得随意变更。甲方对服务人员的责任心、工作能力、合作性、廉洁性进行考核，如有考核不合格人员需立即更换，直至能满足相应岗位要求，甲方不承担任何人员更换的额外费用，期间不合格服务人员的服务费用不予支付，项目负责人调换处违约金为单个项目中标价的5%，其他人员调换每人处违约金为单个项目中标价的1%，人员未到位扣除每人1000元/次，出具的报告有误视情扣除单个项目中标价的2%至5%。</w:t>
      </w:r>
    </w:p>
    <w:p w14:paraId="44167B7A">
      <w:pPr>
        <w:keepNext w:val="0"/>
        <w:keepLines w:val="0"/>
        <w:pageBreakBefore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（四）乙方应向本项目提供完整的记录和相关资料，并对评估报告的真实性和有效性和时效性负责。</w:t>
      </w:r>
    </w:p>
    <w:p w14:paraId="278ED597">
      <w:pPr>
        <w:keepNext w:val="0"/>
        <w:keepLines w:val="0"/>
        <w:pageBreakBefore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（五）乙方检测期间，必须遵守项目业主或甲方的各项规定。</w:t>
      </w:r>
    </w:p>
    <w:p w14:paraId="6A07DC00">
      <w:pPr>
        <w:keepNext w:val="0"/>
        <w:keepLines w:val="0"/>
        <w:pageBreakBefore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（六）乙方在为本项目服务期间，须与项目业主或甲方做好沟通、协调、配合工作。</w:t>
      </w:r>
    </w:p>
    <w:p w14:paraId="27EC08AA">
      <w:pPr>
        <w:pStyle w:val="8"/>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（七）乙方应按要求记录现场评定（包含功能测试）的相关情况，判断建设工程消防安全状况，并出具消防安全评估咨询意见。</w:t>
      </w:r>
    </w:p>
    <w:p w14:paraId="67B5FFA9">
      <w:pPr>
        <w:pStyle w:val="8"/>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报告要求：乙方严格依据建设工程法律法规、国家工程建设消防技术标准、</w:t>
      </w:r>
      <w:r>
        <w:rPr>
          <w:rFonts w:hint="eastAsia" w:ascii="仿宋" w:hAnsi="仿宋" w:eastAsia="仿宋" w:cs="仿宋"/>
          <w:b w:val="0"/>
          <w:bCs w:val="0"/>
          <w:color w:val="auto"/>
          <w:kern w:val="0"/>
          <w:sz w:val="24"/>
          <w:highlight w:val="none"/>
        </w:rPr>
        <w:t>《建设工程消防设计审查验收管理暂行规定》（住建部令第58号）</w:t>
      </w:r>
      <w:r>
        <w:rPr>
          <w:rFonts w:hint="eastAsia" w:ascii="仿宋" w:hAnsi="仿宋" w:eastAsia="仿宋" w:cs="仿宋"/>
          <w:color w:val="auto"/>
          <w:kern w:val="0"/>
          <w:sz w:val="24"/>
          <w:szCs w:val="24"/>
          <w:highlight w:val="none"/>
          <w:lang w:val="en-US" w:eastAsia="zh-CN" w:bidi="ar-SA"/>
        </w:rPr>
        <w:t>和国家、省、市有关规定和实施细则要求，出具现场评定报告，结论应清晰、明确，并对出具的报告负责。</w:t>
      </w:r>
    </w:p>
    <w:p w14:paraId="68B2B120">
      <w:pPr>
        <w:pStyle w:val="8"/>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jc w:val="both"/>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现场评定规则：</w:t>
      </w:r>
      <w:r>
        <w:rPr>
          <w:rFonts w:hint="eastAsia" w:ascii="仿宋" w:hAnsi="仿宋" w:eastAsia="仿宋" w:cs="仿宋"/>
          <w:b w:val="0"/>
          <w:bCs w:val="0"/>
          <w:color w:val="auto"/>
          <w:kern w:val="0"/>
          <w:sz w:val="24"/>
          <w:highlight w:val="none"/>
        </w:rPr>
        <w:t>《建设工程消防设计审查验收管理暂行规定》（住建部令第58号）</w:t>
      </w:r>
      <w:r>
        <w:rPr>
          <w:rFonts w:hint="eastAsia" w:ascii="仿宋" w:hAnsi="仿宋" w:eastAsia="仿宋" w:cs="仿宋"/>
          <w:color w:val="auto"/>
          <w:kern w:val="0"/>
          <w:sz w:val="24"/>
          <w:szCs w:val="24"/>
          <w:highlight w:val="none"/>
          <w:lang w:val="en-US" w:eastAsia="zh-CN" w:bidi="ar-SA"/>
        </w:rPr>
        <w:t>和国家、省、市有关文件、规定和实施细则要求。现场查验及评定表式按照《浙江省建筑工程消防验收操作技术导则（试行）》执行。</w:t>
      </w:r>
    </w:p>
    <w:p w14:paraId="4D7421BB">
      <w:pPr>
        <w:pStyle w:val="16"/>
        <w:tabs>
          <w:tab w:val="left" w:pos="840"/>
        </w:tabs>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三、框架协议期限</w:t>
      </w:r>
    </w:p>
    <w:p w14:paraId="00A0CDD7">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年 月  日至</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月  日止（实际的服务起始点以项目任务书下达和项目验收合格为准）。如遇上级相关行业主管部门有新规定出台时，可随时终止。</w:t>
      </w:r>
    </w:p>
    <w:p w14:paraId="7E882018">
      <w:pPr>
        <w:pStyle w:val="16"/>
        <w:tabs>
          <w:tab w:val="left" w:pos="840"/>
        </w:tabs>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四、甲方的权利和义务</w:t>
      </w:r>
    </w:p>
    <w:p w14:paraId="7E8763C4">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 xml:space="preserve">负责选定第二阶段成交供应商。 </w:t>
      </w:r>
    </w:p>
    <w:p w14:paraId="737604DE">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负责对</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进行考核。</w:t>
      </w:r>
      <w:r>
        <w:rPr>
          <w:rFonts w:hint="eastAsia" w:ascii="仿宋" w:hAnsi="仿宋" w:eastAsia="仿宋" w:cs="仿宋"/>
          <w:color w:val="auto"/>
          <w:kern w:val="0"/>
          <w:sz w:val="24"/>
          <w:szCs w:val="24"/>
          <w:highlight w:val="none"/>
          <w:lang w:val="en-US" w:eastAsia="zh-CN"/>
        </w:rPr>
        <w:t>在委托项目完成后</w:t>
      </w:r>
      <w:r>
        <w:rPr>
          <w:rFonts w:hint="eastAsia" w:ascii="仿宋" w:hAnsi="仿宋" w:eastAsia="仿宋" w:cs="仿宋"/>
          <w:color w:val="auto"/>
          <w:kern w:val="0"/>
          <w:sz w:val="24"/>
          <w:szCs w:val="24"/>
          <w:highlight w:val="none"/>
        </w:rPr>
        <w:t>根据项目</w:t>
      </w:r>
      <w:r>
        <w:rPr>
          <w:rFonts w:hint="eastAsia" w:ascii="仿宋" w:hAnsi="仿宋" w:eastAsia="仿宋" w:cs="仿宋"/>
          <w:color w:val="auto"/>
          <w:kern w:val="0"/>
          <w:sz w:val="24"/>
          <w:szCs w:val="24"/>
          <w:highlight w:val="none"/>
          <w:lang w:eastAsia="zh-CN"/>
        </w:rPr>
        <w:t>技术服务</w:t>
      </w:r>
      <w:r>
        <w:rPr>
          <w:rFonts w:hint="eastAsia" w:ascii="仿宋" w:hAnsi="仿宋" w:eastAsia="仿宋" w:cs="仿宋"/>
          <w:color w:val="auto"/>
          <w:kern w:val="0"/>
          <w:sz w:val="24"/>
          <w:szCs w:val="24"/>
          <w:highlight w:val="none"/>
        </w:rPr>
        <w:t>情况</w:t>
      </w:r>
      <w:r>
        <w:rPr>
          <w:rFonts w:hint="eastAsia" w:ascii="仿宋" w:hAnsi="仿宋" w:eastAsia="仿宋" w:cs="仿宋"/>
          <w:color w:val="auto"/>
          <w:kern w:val="0"/>
          <w:sz w:val="24"/>
          <w:szCs w:val="24"/>
          <w:highlight w:val="none"/>
          <w:lang w:val="en-US" w:eastAsia="zh-CN"/>
        </w:rPr>
        <w:t>对乙方</w:t>
      </w:r>
      <w:r>
        <w:rPr>
          <w:rFonts w:hint="eastAsia" w:ascii="仿宋" w:hAnsi="仿宋" w:eastAsia="仿宋" w:cs="仿宋"/>
          <w:color w:val="auto"/>
          <w:kern w:val="0"/>
          <w:sz w:val="24"/>
          <w:szCs w:val="24"/>
          <w:highlight w:val="none"/>
        </w:rPr>
        <w:t>进行</w:t>
      </w:r>
      <w:r>
        <w:rPr>
          <w:rFonts w:hint="eastAsia" w:ascii="仿宋" w:hAnsi="仿宋" w:eastAsia="仿宋" w:cs="仿宋"/>
          <w:color w:val="auto"/>
          <w:kern w:val="0"/>
          <w:sz w:val="24"/>
          <w:szCs w:val="24"/>
          <w:highlight w:val="none"/>
          <w:lang w:val="en-US" w:eastAsia="zh-CN"/>
        </w:rPr>
        <w:t>考核</w:t>
      </w:r>
      <w:r>
        <w:rPr>
          <w:rFonts w:hint="eastAsia" w:ascii="仿宋" w:hAnsi="仿宋" w:eastAsia="仿宋" w:cs="仿宋"/>
          <w:color w:val="auto"/>
          <w:kern w:val="0"/>
          <w:sz w:val="24"/>
          <w:szCs w:val="24"/>
          <w:highlight w:val="none"/>
        </w:rPr>
        <w:t>评分，按考核排名、项目特征、专业需求</w:t>
      </w:r>
      <w:r>
        <w:rPr>
          <w:rFonts w:hint="eastAsia" w:ascii="仿宋" w:hAnsi="仿宋" w:eastAsia="仿宋" w:cs="仿宋"/>
          <w:color w:val="auto"/>
          <w:kern w:val="0"/>
          <w:sz w:val="24"/>
          <w:szCs w:val="24"/>
          <w:highlight w:val="none"/>
          <w:lang w:eastAsia="zh-CN"/>
        </w:rPr>
        <w:t>分配项目</w:t>
      </w:r>
      <w:r>
        <w:rPr>
          <w:rFonts w:hint="eastAsia" w:ascii="仿宋" w:hAnsi="仿宋" w:eastAsia="仿宋" w:cs="仿宋"/>
          <w:color w:val="auto"/>
          <w:kern w:val="0"/>
          <w:sz w:val="24"/>
          <w:szCs w:val="24"/>
          <w:highlight w:val="none"/>
        </w:rPr>
        <w:t>，并对连续考核较差单位</w:t>
      </w:r>
      <w:r>
        <w:rPr>
          <w:rFonts w:hint="eastAsia" w:ascii="仿宋" w:hAnsi="仿宋" w:eastAsia="仿宋" w:cs="仿宋"/>
          <w:color w:val="auto"/>
          <w:kern w:val="0"/>
          <w:sz w:val="24"/>
          <w:szCs w:val="24"/>
          <w:highlight w:val="none"/>
          <w:lang w:val="en-US" w:eastAsia="zh-CN"/>
        </w:rPr>
        <w:t>暂停</w:t>
      </w:r>
      <w:r>
        <w:rPr>
          <w:rFonts w:hint="eastAsia" w:ascii="仿宋" w:hAnsi="仿宋" w:eastAsia="仿宋" w:cs="仿宋"/>
          <w:color w:val="auto"/>
          <w:kern w:val="0"/>
          <w:sz w:val="24"/>
          <w:szCs w:val="24"/>
          <w:highlight w:val="none"/>
        </w:rPr>
        <w:t>业务安排</w:t>
      </w:r>
      <w:r>
        <w:rPr>
          <w:rFonts w:hint="eastAsia" w:ascii="仿宋" w:hAnsi="仿宋" w:eastAsia="仿宋" w:cs="仿宋"/>
          <w:color w:val="auto"/>
          <w:kern w:val="0"/>
          <w:sz w:val="24"/>
          <w:szCs w:val="24"/>
          <w:highlight w:val="none"/>
          <w:lang w:val="en-US" w:eastAsia="zh-CN"/>
        </w:rPr>
        <w:t>或</w:t>
      </w:r>
      <w:r>
        <w:rPr>
          <w:rFonts w:hint="eastAsia" w:ascii="仿宋" w:hAnsi="仿宋" w:eastAsia="仿宋" w:cs="仿宋"/>
          <w:color w:val="auto"/>
          <w:kern w:val="0"/>
          <w:sz w:val="24"/>
          <w:szCs w:val="24"/>
          <w:highlight w:val="none"/>
        </w:rPr>
        <w:t xml:space="preserve">清退。 </w:t>
      </w:r>
    </w:p>
    <w:p w14:paraId="3162690E">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负责对乙方及其派出人员完成的</w:t>
      </w:r>
      <w:r>
        <w:rPr>
          <w:rFonts w:hint="eastAsia" w:ascii="仿宋" w:hAnsi="仿宋" w:eastAsia="仿宋" w:cs="仿宋"/>
          <w:color w:val="auto"/>
          <w:kern w:val="0"/>
          <w:sz w:val="24"/>
          <w:szCs w:val="24"/>
          <w:highlight w:val="none"/>
          <w:lang w:eastAsia="zh-CN"/>
        </w:rPr>
        <w:t>技术服务</w:t>
      </w:r>
      <w:r>
        <w:rPr>
          <w:rFonts w:hint="eastAsia" w:ascii="仿宋" w:hAnsi="仿宋" w:eastAsia="仿宋" w:cs="仿宋"/>
          <w:color w:val="auto"/>
          <w:kern w:val="0"/>
          <w:sz w:val="24"/>
          <w:szCs w:val="24"/>
          <w:highlight w:val="none"/>
        </w:rPr>
        <w:t xml:space="preserve">及工作结果进行审核验收评价。 </w:t>
      </w:r>
    </w:p>
    <w:p w14:paraId="4095233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有权要求乙方派出投标书所列人员，并要求乙方及其派出人员协助配合</w:t>
      </w:r>
      <w:r>
        <w:rPr>
          <w:rFonts w:hint="eastAsia" w:ascii="仿宋" w:hAnsi="仿宋" w:eastAsia="仿宋" w:cs="仿宋"/>
          <w:color w:val="auto"/>
          <w:kern w:val="0"/>
          <w:sz w:val="24"/>
          <w:szCs w:val="24"/>
          <w:highlight w:val="none"/>
          <w:lang w:eastAsia="zh-CN"/>
        </w:rPr>
        <w:t>消防技术服务</w:t>
      </w:r>
      <w:r>
        <w:rPr>
          <w:rFonts w:hint="eastAsia" w:ascii="仿宋" w:hAnsi="仿宋" w:eastAsia="仿宋" w:cs="仿宋"/>
          <w:color w:val="auto"/>
          <w:kern w:val="0"/>
          <w:sz w:val="24"/>
          <w:szCs w:val="24"/>
          <w:highlight w:val="none"/>
        </w:rPr>
        <w:t>相关工作。若乙方未按要求派出投标书中项目负责人及项目组成员或未经甲方同意更换人员，甲方有权在</w:t>
      </w:r>
      <w:r>
        <w:rPr>
          <w:rFonts w:hint="eastAsia" w:ascii="仿宋" w:hAnsi="仿宋" w:eastAsia="仿宋" w:cs="仿宋"/>
          <w:color w:val="auto"/>
          <w:kern w:val="0"/>
          <w:sz w:val="24"/>
          <w:szCs w:val="24"/>
          <w:highlight w:val="none"/>
          <w:lang w:eastAsia="zh-CN"/>
        </w:rPr>
        <w:t>项目服务</w:t>
      </w:r>
      <w:r>
        <w:rPr>
          <w:rFonts w:hint="eastAsia" w:ascii="仿宋" w:hAnsi="仿宋" w:eastAsia="仿宋" w:cs="仿宋"/>
          <w:color w:val="auto"/>
          <w:kern w:val="0"/>
          <w:sz w:val="24"/>
          <w:szCs w:val="24"/>
          <w:highlight w:val="none"/>
        </w:rPr>
        <w:t>分配中进行合理调整，取消乙方当轮业务资格及下一轮业务安排资格。</w:t>
      </w:r>
    </w:p>
    <w:p w14:paraId="67FBC935">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、根据乙方的</w:t>
      </w:r>
      <w:r>
        <w:rPr>
          <w:rFonts w:hint="eastAsia" w:ascii="仿宋" w:hAnsi="仿宋" w:eastAsia="仿宋" w:cs="仿宋"/>
          <w:color w:val="auto"/>
          <w:kern w:val="0"/>
          <w:sz w:val="24"/>
          <w:szCs w:val="24"/>
          <w:highlight w:val="none"/>
          <w:lang w:eastAsia="zh-CN"/>
        </w:rPr>
        <w:t>合理</w:t>
      </w:r>
      <w:r>
        <w:rPr>
          <w:rFonts w:hint="eastAsia" w:ascii="仿宋" w:hAnsi="仿宋" w:eastAsia="仿宋" w:cs="仿宋"/>
          <w:color w:val="auto"/>
          <w:kern w:val="0"/>
          <w:sz w:val="24"/>
          <w:szCs w:val="24"/>
          <w:highlight w:val="none"/>
        </w:rPr>
        <w:t>要求，协调处理项目实施中的相关事宜。</w:t>
      </w:r>
    </w:p>
    <w:p w14:paraId="29108C78">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、其他应该由甲方履行的义务和承担的责任。</w:t>
      </w:r>
    </w:p>
    <w:p w14:paraId="7BF40ABF">
      <w:pPr>
        <w:pStyle w:val="16"/>
        <w:tabs>
          <w:tab w:val="left" w:pos="840"/>
        </w:tabs>
        <w:spacing w:line="360" w:lineRule="auto"/>
        <w:ind w:firstLine="480" w:firstLineChars="200"/>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bCs/>
          <w:color w:val="auto"/>
          <w:kern w:val="0"/>
          <w:sz w:val="24"/>
          <w:szCs w:val="24"/>
          <w:highlight w:val="none"/>
        </w:rPr>
        <w:t>五、乙方的权利和义务</w:t>
      </w:r>
    </w:p>
    <w:p w14:paraId="1CCFD4F6">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1.乙方可以要求甲方提供与委托内容有关的资料。</w:t>
      </w:r>
    </w:p>
    <w:p w14:paraId="6D60F12F">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2.乙方可以要求甲方对有关问题作出解释和补充有关资料。</w:t>
      </w:r>
    </w:p>
    <w:p w14:paraId="25FA4BC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color w:val="auto"/>
          <w:kern w:val="0"/>
          <w:sz w:val="24"/>
          <w:szCs w:val="24"/>
          <w:highlight w:val="none"/>
        </w:rPr>
        <w:t>3.乙方在</w:t>
      </w:r>
      <w:r>
        <w:rPr>
          <w:rFonts w:hint="eastAsia" w:ascii="仿宋" w:hAnsi="仿宋" w:eastAsia="仿宋" w:cs="仿宋"/>
          <w:color w:val="auto"/>
          <w:kern w:val="0"/>
          <w:sz w:val="24"/>
          <w:szCs w:val="24"/>
          <w:highlight w:val="none"/>
          <w:lang w:eastAsia="zh-CN"/>
        </w:rPr>
        <w:t>项目技术</w:t>
      </w:r>
      <w:r>
        <w:rPr>
          <w:rFonts w:hint="eastAsia" w:ascii="仿宋" w:hAnsi="仿宋" w:eastAsia="仿宋" w:cs="仿宋"/>
          <w:color w:val="auto"/>
          <w:kern w:val="0"/>
          <w:sz w:val="24"/>
          <w:szCs w:val="24"/>
          <w:highlight w:val="none"/>
        </w:rPr>
        <w:t>服务过程中应</w:t>
      </w:r>
      <w:r>
        <w:rPr>
          <w:rFonts w:hint="eastAsia" w:ascii="仿宋" w:hAnsi="仿宋" w:eastAsia="仿宋" w:cs="仿宋"/>
          <w:color w:val="auto"/>
          <w:kern w:val="0"/>
          <w:sz w:val="24"/>
          <w:szCs w:val="24"/>
          <w:highlight w:val="none"/>
          <w:lang w:eastAsia="zh-CN"/>
        </w:rPr>
        <w:t>严格</w:t>
      </w:r>
      <w:r>
        <w:rPr>
          <w:rFonts w:hint="eastAsia" w:ascii="仿宋" w:hAnsi="仿宋" w:eastAsia="仿宋" w:cs="仿宋"/>
          <w:color w:val="auto"/>
          <w:kern w:val="0"/>
          <w:sz w:val="24"/>
          <w:szCs w:val="24"/>
          <w:highlight w:val="none"/>
        </w:rPr>
        <w:t>遵守</w:t>
      </w:r>
      <w:r>
        <w:rPr>
          <w:rFonts w:hint="eastAsia" w:ascii="仿宋" w:hAnsi="仿宋" w:eastAsia="仿宋" w:cs="仿宋"/>
          <w:color w:val="auto"/>
          <w:kern w:val="0"/>
          <w:sz w:val="24"/>
          <w:szCs w:val="24"/>
          <w:highlight w:val="none"/>
          <w:lang w:eastAsia="zh-CN"/>
        </w:rPr>
        <w:t>廉洁和工作</w:t>
      </w:r>
      <w:r>
        <w:rPr>
          <w:rFonts w:hint="eastAsia" w:ascii="仿宋" w:hAnsi="仿宋" w:eastAsia="仿宋" w:cs="仿宋"/>
          <w:color w:val="auto"/>
          <w:kern w:val="0"/>
          <w:sz w:val="24"/>
          <w:szCs w:val="24"/>
          <w:highlight w:val="none"/>
        </w:rPr>
        <w:t>纪律、规范</w:t>
      </w:r>
      <w:r>
        <w:rPr>
          <w:rFonts w:hint="eastAsia" w:ascii="仿宋" w:hAnsi="仿宋" w:eastAsia="仿宋" w:cs="仿宋"/>
          <w:color w:val="auto"/>
          <w:kern w:val="0"/>
          <w:sz w:val="24"/>
          <w:szCs w:val="24"/>
          <w:highlight w:val="none"/>
          <w:lang w:eastAsia="zh-CN"/>
        </w:rPr>
        <w:t>服务</w:t>
      </w:r>
      <w:r>
        <w:rPr>
          <w:rFonts w:hint="eastAsia" w:ascii="仿宋" w:hAnsi="仿宋" w:eastAsia="仿宋" w:cs="仿宋"/>
          <w:color w:val="auto"/>
          <w:kern w:val="0"/>
          <w:sz w:val="24"/>
          <w:szCs w:val="24"/>
          <w:highlight w:val="none"/>
        </w:rPr>
        <w:t>行为，严格按照</w:t>
      </w:r>
      <w:r>
        <w:rPr>
          <w:rFonts w:hint="eastAsia" w:ascii="仿宋" w:hAnsi="仿宋" w:eastAsia="仿宋" w:cs="仿宋"/>
          <w:color w:val="auto"/>
          <w:kern w:val="0"/>
          <w:sz w:val="24"/>
          <w:szCs w:val="24"/>
          <w:highlight w:val="none"/>
          <w:lang w:eastAsia="zh-CN"/>
        </w:rPr>
        <w:t>消防</w:t>
      </w:r>
      <w:r>
        <w:rPr>
          <w:rFonts w:hint="eastAsia" w:ascii="仿宋" w:hAnsi="仿宋" w:eastAsia="仿宋" w:cs="仿宋"/>
          <w:color w:val="auto"/>
          <w:kern w:val="0"/>
          <w:sz w:val="24"/>
          <w:szCs w:val="24"/>
          <w:highlight w:val="none"/>
        </w:rPr>
        <w:t>规范</w:t>
      </w:r>
      <w:r>
        <w:rPr>
          <w:rFonts w:hint="eastAsia" w:ascii="仿宋" w:hAnsi="仿宋" w:eastAsia="仿宋" w:cs="仿宋"/>
          <w:color w:val="auto"/>
          <w:kern w:val="0"/>
          <w:sz w:val="24"/>
          <w:szCs w:val="24"/>
          <w:highlight w:val="none"/>
          <w:lang w:eastAsia="zh-CN"/>
        </w:rPr>
        <w:t>标准</w:t>
      </w:r>
      <w:r>
        <w:rPr>
          <w:rFonts w:hint="eastAsia" w:ascii="仿宋" w:hAnsi="仿宋" w:eastAsia="仿宋" w:cs="仿宋"/>
          <w:color w:val="auto"/>
          <w:kern w:val="0"/>
          <w:sz w:val="24"/>
          <w:szCs w:val="24"/>
          <w:highlight w:val="none"/>
        </w:rPr>
        <w:t>要求开展工作。</w:t>
      </w:r>
    </w:p>
    <w:p w14:paraId="3234F164">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4.乙方应严格按照甲方的有关规定和要求实施</w:t>
      </w:r>
      <w:r>
        <w:rPr>
          <w:rFonts w:hint="eastAsia" w:ascii="仿宋" w:hAnsi="仿宋" w:eastAsia="仿宋" w:cs="仿宋"/>
          <w:color w:val="auto"/>
          <w:kern w:val="0"/>
          <w:sz w:val="24"/>
          <w:szCs w:val="24"/>
          <w:highlight w:val="none"/>
          <w:lang w:eastAsia="zh-CN"/>
        </w:rPr>
        <w:t>技术</w:t>
      </w:r>
      <w:r>
        <w:rPr>
          <w:rFonts w:hint="eastAsia" w:ascii="仿宋" w:hAnsi="仿宋" w:eastAsia="仿宋" w:cs="仿宋"/>
          <w:color w:val="auto"/>
          <w:kern w:val="0"/>
          <w:sz w:val="24"/>
          <w:szCs w:val="24"/>
          <w:highlight w:val="none"/>
        </w:rPr>
        <w:t>服务，接受甲方的监督，按期完成服务任务，并确保结果真实、合法和准确</w:t>
      </w:r>
      <w:r>
        <w:rPr>
          <w:rFonts w:hint="eastAsia" w:ascii="仿宋" w:hAnsi="仿宋" w:eastAsia="仿宋" w:cs="仿宋"/>
          <w:color w:val="auto"/>
          <w:kern w:val="0"/>
          <w:sz w:val="24"/>
          <w:szCs w:val="24"/>
          <w:highlight w:val="none"/>
          <w:lang w:eastAsia="zh-CN"/>
        </w:rPr>
        <w:t>。</w:t>
      </w:r>
    </w:p>
    <w:p w14:paraId="3B7B42C6">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5.在合同履行期间，乙方应按甲方要求开展工作，在工作中遵循公平、公正、公开、合法、</w:t>
      </w:r>
      <w:r>
        <w:rPr>
          <w:rFonts w:hint="eastAsia" w:ascii="仿宋" w:hAnsi="仿宋" w:eastAsia="仿宋" w:cs="仿宋"/>
          <w:color w:val="auto"/>
          <w:kern w:val="0"/>
          <w:sz w:val="24"/>
          <w:szCs w:val="24"/>
          <w:highlight w:val="none"/>
          <w:lang w:eastAsia="zh-CN"/>
        </w:rPr>
        <w:t>合规、</w:t>
      </w:r>
      <w:r>
        <w:rPr>
          <w:rFonts w:hint="eastAsia" w:ascii="仿宋" w:hAnsi="仿宋" w:eastAsia="仿宋" w:cs="仿宋"/>
          <w:color w:val="auto"/>
          <w:kern w:val="0"/>
          <w:sz w:val="24"/>
          <w:szCs w:val="24"/>
          <w:highlight w:val="none"/>
        </w:rPr>
        <w:t>独立的原则，认真、细致、周到的进行服务。</w:t>
      </w:r>
    </w:p>
    <w:p w14:paraId="171C1A94">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eastAsia="zh-CN"/>
        </w:rPr>
        <w:t>乙方应严格遵守相关安全生产法律法规及操作规程，自行负责服务过程中技术人员的安全，并承担全部责任。</w:t>
      </w:r>
    </w:p>
    <w:p w14:paraId="0407AE8B">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项目</w:t>
      </w:r>
      <w:r>
        <w:rPr>
          <w:rFonts w:hint="eastAsia" w:ascii="仿宋" w:hAnsi="仿宋" w:eastAsia="仿宋" w:cs="仿宋"/>
          <w:color w:val="auto"/>
          <w:kern w:val="0"/>
          <w:sz w:val="24"/>
          <w:szCs w:val="24"/>
          <w:highlight w:val="none"/>
        </w:rPr>
        <w:t>相关资料移交给乙方后，乙方有义务对所有资料进行妥善保管，确保</w:t>
      </w:r>
      <w:r>
        <w:rPr>
          <w:rFonts w:hint="eastAsia" w:ascii="仿宋" w:hAnsi="仿宋" w:eastAsia="仿宋" w:cs="仿宋"/>
          <w:color w:val="auto"/>
          <w:kern w:val="0"/>
          <w:sz w:val="24"/>
          <w:szCs w:val="24"/>
          <w:highlight w:val="none"/>
          <w:lang w:eastAsia="zh-CN"/>
        </w:rPr>
        <w:t>项目技术服务</w:t>
      </w:r>
      <w:r>
        <w:rPr>
          <w:rFonts w:hint="eastAsia" w:ascii="仿宋" w:hAnsi="仿宋" w:eastAsia="仿宋" w:cs="仿宋"/>
          <w:color w:val="auto"/>
          <w:kern w:val="0"/>
          <w:sz w:val="24"/>
          <w:szCs w:val="24"/>
          <w:highlight w:val="none"/>
        </w:rPr>
        <w:t>结束后完整移交</w:t>
      </w:r>
      <w:r>
        <w:rPr>
          <w:rFonts w:hint="eastAsia" w:ascii="仿宋" w:hAnsi="仿宋" w:eastAsia="仿宋" w:cs="仿宋"/>
          <w:color w:val="auto"/>
          <w:kern w:val="0"/>
          <w:sz w:val="24"/>
          <w:szCs w:val="24"/>
          <w:highlight w:val="none"/>
          <w:lang w:eastAsia="zh-CN"/>
        </w:rPr>
        <w:t>档案</w:t>
      </w:r>
      <w:r>
        <w:rPr>
          <w:rFonts w:hint="eastAsia" w:ascii="仿宋" w:hAnsi="仿宋" w:eastAsia="仿宋" w:cs="仿宋"/>
          <w:color w:val="auto"/>
          <w:kern w:val="0"/>
          <w:sz w:val="24"/>
          <w:szCs w:val="24"/>
          <w:highlight w:val="none"/>
        </w:rPr>
        <w:t>资料。乙方及其派出人员不得使用甲方委托事项的资料</w:t>
      </w:r>
      <w:r>
        <w:rPr>
          <w:rFonts w:hint="eastAsia" w:ascii="仿宋" w:hAnsi="仿宋" w:eastAsia="仿宋" w:cs="仿宋"/>
          <w:b w:val="0"/>
          <w:bCs w:val="0"/>
          <w:color w:val="auto"/>
          <w:kern w:val="0"/>
          <w:sz w:val="24"/>
          <w:szCs w:val="24"/>
          <w:highlight w:val="none"/>
        </w:rPr>
        <w:t>和结果，用于与委托事项无关的</w:t>
      </w:r>
      <w:r>
        <w:rPr>
          <w:rFonts w:hint="eastAsia" w:ascii="仿宋" w:hAnsi="仿宋" w:eastAsia="仿宋" w:cs="仿宋"/>
          <w:b w:val="0"/>
          <w:bCs w:val="0"/>
          <w:color w:val="auto"/>
          <w:kern w:val="0"/>
          <w:sz w:val="24"/>
          <w:szCs w:val="24"/>
          <w:highlight w:val="none"/>
          <w:lang w:eastAsia="zh-CN"/>
        </w:rPr>
        <w:t>用途</w:t>
      </w:r>
      <w:r>
        <w:rPr>
          <w:rFonts w:hint="eastAsia" w:ascii="仿宋" w:hAnsi="仿宋" w:eastAsia="仿宋" w:cs="仿宋"/>
          <w:b w:val="0"/>
          <w:bCs w:val="0"/>
          <w:color w:val="auto"/>
          <w:kern w:val="0"/>
          <w:sz w:val="24"/>
          <w:szCs w:val="24"/>
          <w:highlight w:val="none"/>
        </w:rPr>
        <w:t>。</w:t>
      </w:r>
    </w:p>
    <w:p w14:paraId="30AC99F0">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8</w:t>
      </w:r>
      <w:r>
        <w:rPr>
          <w:rFonts w:hint="eastAsia" w:ascii="仿宋" w:hAnsi="仿宋" w:eastAsia="仿宋" w:cs="仿宋"/>
          <w:b w:val="0"/>
          <w:bCs w:val="0"/>
          <w:color w:val="auto"/>
          <w:kern w:val="0"/>
          <w:sz w:val="24"/>
          <w:szCs w:val="24"/>
          <w:highlight w:val="none"/>
        </w:rPr>
        <w:t>.入围供应商无正当理由，不得</w:t>
      </w:r>
      <w:r>
        <w:rPr>
          <w:rFonts w:hint="eastAsia" w:ascii="仿宋" w:hAnsi="仿宋" w:eastAsia="仿宋" w:cs="仿宋"/>
          <w:b w:val="0"/>
          <w:bCs w:val="0"/>
          <w:color w:val="auto"/>
          <w:kern w:val="0"/>
          <w:sz w:val="24"/>
          <w:szCs w:val="24"/>
          <w:highlight w:val="none"/>
          <w:lang w:eastAsia="zh-CN"/>
        </w:rPr>
        <w:t>擅自</w:t>
      </w:r>
      <w:r>
        <w:rPr>
          <w:rFonts w:hint="eastAsia" w:ascii="仿宋" w:hAnsi="仿宋" w:eastAsia="仿宋" w:cs="仿宋"/>
          <w:b w:val="0"/>
          <w:bCs w:val="0"/>
          <w:color w:val="auto"/>
          <w:kern w:val="0"/>
          <w:sz w:val="24"/>
          <w:szCs w:val="24"/>
          <w:highlight w:val="none"/>
        </w:rPr>
        <w:t>放弃入围资格或者退出框架协议。</w:t>
      </w:r>
    </w:p>
    <w:p w14:paraId="6BBFD118">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9</w:t>
      </w:r>
      <w:r>
        <w:rPr>
          <w:rFonts w:hint="eastAsia" w:ascii="仿宋" w:hAnsi="仿宋" w:eastAsia="仿宋" w:cs="仿宋"/>
          <w:b w:val="0"/>
          <w:bCs w:val="0"/>
          <w:color w:val="auto"/>
          <w:kern w:val="0"/>
          <w:sz w:val="24"/>
          <w:szCs w:val="24"/>
          <w:highlight w:val="none"/>
        </w:rPr>
        <w:t>.乙方有义务在本单位中选派投标书中所列的项目组成员（必须要有项目负责人带队）参与服务工作，在本协议履行期间不得</w:t>
      </w:r>
      <w:r>
        <w:rPr>
          <w:rFonts w:hint="eastAsia" w:ascii="仿宋" w:hAnsi="仿宋" w:eastAsia="仿宋" w:cs="仿宋"/>
          <w:b w:val="0"/>
          <w:bCs w:val="0"/>
          <w:color w:val="auto"/>
          <w:kern w:val="0"/>
          <w:sz w:val="24"/>
          <w:szCs w:val="24"/>
          <w:highlight w:val="none"/>
          <w:lang w:eastAsia="zh-CN"/>
        </w:rPr>
        <w:t>擅自</w:t>
      </w:r>
      <w:r>
        <w:rPr>
          <w:rFonts w:hint="eastAsia" w:ascii="仿宋" w:hAnsi="仿宋" w:eastAsia="仿宋" w:cs="仿宋"/>
          <w:b w:val="0"/>
          <w:bCs w:val="0"/>
          <w:color w:val="auto"/>
          <w:kern w:val="0"/>
          <w:sz w:val="24"/>
          <w:szCs w:val="24"/>
          <w:highlight w:val="none"/>
        </w:rPr>
        <w:t>更换服务人员。</w:t>
      </w:r>
    </w:p>
    <w:p w14:paraId="05A9DD80">
      <w:pPr>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10</w:t>
      </w:r>
      <w:r>
        <w:rPr>
          <w:rFonts w:hint="eastAsia" w:ascii="仿宋" w:hAnsi="仿宋" w:eastAsia="仿宋" w:cs="仿宋"/>
          <w:b w:val="0"/>
          <w:bCs w:val="0"/>
          <w:color w:val="auto"/>
          <w:kern w:val="0"/>
          <w:sz w:val="24"/>
          <w:szCs w:val="24"/>
          <w:highlight w:val="none"/>
        </w:rPr>
        <w:t>.乙方对其出具的成果报告真实性、合法性</w:t>
      </w:r>
      <w:r>
        <w:rPr>
          <w:rFonts w:hint="eastAsia" w:ascii="仿宋" w:hAnsi="仿宋" w:eastAsia="仿宋" w:cs="仿宋"/>
          <w:b w:val="0"/>
          <w:bCs w:val="0"/>
          <w:color w:val="auto"/>
          <w:kern w:val="0"/>
          <w:sz w:val="24"/>
          <w:szCs w:val="24"/>
          <w:highlight w:val="none"/>
          <w:lang w:eastAsia="zh-CN"/>
        </w:rPr>
        <w:t>承担法律责任</w:t>
      </w:r>
      <w:r>
        <w:rPr>
          <w:rFonts w:hint="eastAsia" w:ascii="仿宋" w:hAnsi="仿宋" w:eastAsia="仿宋" w:cs="仿宋"/>
          <w:b w:val="0"/>
          <w:bCs w:val="0"/>
          <w:color w:val="auto"/>
          <w:kern w:val="0"/>
          <w:sz w:val="24"/>
          <w:szCs w:val="24"/>
          <w:highlight w:val="none"/>
        </w:rPr>
        <w:t>。</w:t>
      </w:r>
    </w:p>
    <w:p w14:paraId="0C852022">
      <w:pPr>
        <w:pStyle w:val="16"/>
        <w:tabs>
          <w:tab w:val="left" w:pos="840"/>
        </w:tabs>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六、收费标准</w:t>
      </w:r>
    </w:p>
    <w:p w14:paraId="47A8A1AF">
      <w:pPr>
        <w:pStyle w:val="3"/>
        <w:keepNext w:val="0"/>
        <w:keepLines w:val="0"/>
        <w:pageBreakBefore w:val="0"/>
        <w:widowControl w:val="0"/>
        <w:numPr>
          <w:ilvl w:val="0"/>
          <w:numId w:val="9"/>
        </w:numPr>
        <w:kinsoku/>
        <w:wordWrap/>
        <w:overflowPunct/>
        <w:topLinePunct w:val="0"/>
        <w:autoSpaceDE/>
        <w:autoSpaceDN/>
        <w:bidi w:val="0"/>
        <w:adjustRightInd/>
        <w:snapToGrid/>
        <w:spacing w:before="0" w:after="0" w:line="360" w:lineRule="auto"/>
        <w:ind w:left="-60" w:leftChars="0" w:firstLine="480" w:firstLineChars="0"/>
        <w:jc w:val="both"/>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bidi="ar-SA"/>
        </w:rPr>
        <w:t>单个项目以</w:t>
      </w:r>
      <w:r>
        <w:rPr>
          <w:rFonts w:hint="eastAsia" w:ascii="仿宋" w:hAnsi="仿宋" w:eastAsia="仿宋" w:cs="仿宋"/>
          <w:b w:val="0"/>
          <w:bCs w:val="0"/>
          <w:color w:val="auto"/>
          <w:kern w:val="0"/>
          <w:sz w:val="24"/>
          <w:highlight w:val="none"/>
        </w:rPr>
        <w:t>现场评定建筑面积</w:t>
      </w:r>
      <w:r>
        <w:rPr>
          <w:rFonts w:hint="eastAsia" w:ascii="仿宋" w:hAnsi="仿宋" w:eastAsia="仿宋" w:cs="仿宋"/>
          <w:b w:val="0"/>
          <w:bCs w:val="0"/>
          <w:color w:val="auto"/>
          <w:kern w:val="0"/>
          <w:sz w:val="24"/>
          <w:highlight w:val="none"/>
          <w:lang w:val="en-US" w:eastAsia="zh-CN" w:bidi="ar-SA"/>
        </w:rPr>
        <w:t>为结算单位，承担前期检查技术服务及验收现场验评技术服务的，结算价款=</w:t>
      </w:r>
      <w:r>
        <w:rPr>
          <w:rFonts w:hint="eastAsia" w:ascii="仿宋" w:hAnsi="仿宋" w:eastAsia="仿宋" w:cs="仿宋"/>
          <w:b w:val="0"/>
          <w:bCs w:val="0"/>
          <w:color w:val="auto"/>
          <w:kern w:val="0"/>
          <w:sz w:val="24"/>
          <w:highlight w:val="none"/>
        </w:rPr>
        <w:t>现场评定建筑面积</w:t>
      </w:r>
      <w:r>
        <w:rPr>
          <w:rFonts w:hint="eastAsia" w:ascii="仿宋" w:hAnsi="仿宋" w:eastAsia="仿宋" w:cs="仿宋"/>
          <w:b w:val="0"/>
          <w:bCs w:val="0"/>
          <w:color w:val="auto"/>
          <w:kern w:val="0"/>
          <w:sz w:val="24"/>
          <w:highlight w:val="none"/>
          <w:lang w:val="en-US" w:eastAsia="zh-CN" w:bidi="ar-SA"/>
        </w:rPr>
        <w:t>×</w:t>
      </w:r>
      <w:r>
        <w:rPr>
          <w:rFonts w:hint="eastAsia" w:ascii="仿宋" w:hAnsi="仿宋" w:cs="仿宋"/>
          <w:b w:val="0"/>
          <w:bCs w:val="0"/>
          <w:color w:val="auto"/>
          <w:kern w:val="0"/>
          <w:sz w:val="24"/>
          <w:highlight w:val="none"/>
          <w:lang w:val="en-US" w:eastAsia="zh-CN" w:bidi="ar-SA"/>
        </w:rPr>
        <w:t>最高限制</w:t>
      </w:r>
      <w:r>
        <w:rPr>
          <w:rFonts w:hint="eastAsia" w:ascii="仿宋" w:hAnsi="仿宋" w:eastAsia="仿宋" w:cs="仿宋"/>
          <w:b w:val="0"/>
          <w:bCs w:val="0"/>
          <w:color w:val="auto"/>
          <w:kern w:val="0"/>
          <w:sz w:val="24"/>
          <w:highlight w:val="none"/>
          <w:lang w:val="en-US" w:eastAsia="zh-CN" w:bidi="ar-SA"/>
        </w:rPr>
        <w:t>单价*</w:t>
      </w:r>
      <w:r>
        <w:rPr>
          <w:rFonts w:hint="eastAsia" w:ascii="仿宋" w:hAnsi="仿宋" w:eastAsia="仿宋" w:cs="仿宋"/>
          <w:b w:val="0"/>
          <w:bCs w:val="0"/>
          <w:color w:val="auto"/>
          <w:kern w:val="0"/>
          <w:sz w:val="24"/>
          <w:highlight w:val="none"/>
        </w:rPr>
        <w:t>中标折扣率</w:t>
      </w:r>
      <w:r>
        <w:rPr>
          <w:rFonts w:hint="eastAsia" w:ascii="仿宋" w:hAnsi="仿宋" w:eastAsia="仿宋" w:cs="仿宋"/>
          <w:b w:val="0"/>
          <w:bCs w:val="0"/>
          <w:color w:val="auto"/>
          <w:kern w:val="0"/>
          <w:sz w:val="24"/>
          <w:highlight w:val="none"/>
          <w:lang w:val="en-US" w:eastAsia="zh-CN" w:bidi="ar-SA"/>
        </w:rPr>
        <w:t>；</w:t>
      </w:r>
      <w:r>
        <w:rPr>
          <w:rFonts w:hint="eastAsia" w:ascii="仿宋" w:hAnsi="仿宋" w:eastAsia="仿宋" w:cs="仿宋"/>
          <w:b w:val="0"/>
          <w:bCs w:val="0"/>
          <w:color w:val="auto"/>
          <w:kern w:val="0"/>
          <w:sz w:val="24"/>
          <w:highlight w:val="none"/>
        </w:rPr>
        <w:t>在结算时按中标单价按实调整,现场评定建筑面积以受理凭证为准。</w:t>
      </w:r>
    </w:p>
    <w:p w14:paraId="2C37FD10">
      <w:pPr>
        <w:pStyle w:val="3"/>
        <w:keepNext w:val="0"/>
        <w:keepLines w:val="0"/>
        <w:pageBreakBefore w:val="0"/>
        <w:widowControl w:val="0"/>
        <w:numPr>
          <w:ilvl w:val="0"/>
          <w:numId w:val="9"/>
        </w:numPr>
        <w:kinsoku/>
        <w:wordWrap/>
        <w:overflowPunct/>
        <w:topLinePunct w:val="0"/>
        <w:autoSpaceDE/>
        <w:autoSpaceDN/>
        <w:bidi w:val="0"/>
        <w:adjustRightInd/>
        <w:snapToGrid/>
        <w:spacing w:before="0" w:after="0" w:line="360" w:lineRule="auto"/>
        <w:ind w:left="-60" w:leftChars="0" w:firstLine="480" w:firstLineChars="0"/>
        <w:jc w:val="both"/>
        <w:textAlignment w:val="auto"/>
        <w:rPr>
          <w:rFonts w:hint="eastAsia" w:ascii="仿宋" w:hAnsi="仿宋" w:eastAsia="仿宋" w:cs="仿宋"/>
          <w:b w:val="0"/>
          <w:bCs w:val="0"/>
          <w:color w:val="auto"/>
          <w:kern w:val="0"/>
          <w:sz w:val="24"/>
          <w:highlight w:val="none"/>
          <w:lang w:val="en-US" w:eastAsia="zh-CN" w:bidi="ar-SA"/>
        </w:rPr>
      </w:pPr>
      <w:r>
        <w:rPr>
          <w:rFonts w:hint="eastAsia" w:ascii="仿宋" w:hAnsi="仿宋" w:eastAsia="仿宋" w:cs="仿宋"/>
          <w:b w:val="0"/>
          <w:bCs w:val="0"/>
          <w:color w:val="auto"/>
          <w:kern w:val="0"/>
          <w:sz w:val="24"/>
          <w:highlight w:val="none"/>
          <w:lang w:val="en-US" w:eastAsia="zh-CN" w:bidi="ar-SA"/>
        </w:rPr>
        <w:t>建设工程经消防验收现场评定不合格，需由项目建设单位负责整改后重新申请消防验收的，服务商应重新开展技术服务，合同价款不予增加。</w:t>
      </w:r>
    </w:p>
    <w:p w14:paraId="62FA374B">
      <w:pPr>
        <w:pStyle w:val="3"/>
        <w:keepNext w:val="0"/>
        <w:keepLines w:val="0"/>
        <w:pageBreakBefore w:val="0"/>
        <w:widowControl w:val="0"/>
        <w:numPr>
          <w:ilvl w:val="0"/>
          <w:numId w:val="9"/>
        </w:numPr>
        <w:kinsoku/>
        <w:wordWrap/>
        <w:overflowPunct/>
        <w:topLinePunct w:val="0"/>
        <w:autoSpaceDE/>
        <w:autoSpaceDN/>
        <w:bidi w:val="0"/>
        <w:adjustRightInd/>
        <w:snapToGrid/>
        <w:spacing w:before="0" w:after="0" w:line="360" w:lineRule="auto"/>
        <w:ind w:left="-60" w:leftChars="0" w:firstLine="480" w:firstLineChars="0"/>
        <w:jc w:val="both"/>
        <w:textAlignment w:val="auto"/>
        <w:rPr>
          <w:rFonts w:hint="eastAsia" w:ascii="仿宋" w:hAnsi="仿宋" w:eastAsia="仿宋" w:cs="仿宋"/>
          <w:b w:val="0"/>
          <w:bCs w:val="0"/>
          <w:color w:val="auto"/>
          <w:kern w:val="0"/>
          <w:sz w:val="24"/>
          <w:highlight w:val="none"/>
        </w:rPr>
      </w:pPr>
      <w:r>
        <w:rPr>
          <w:rFonts w:hint="eastAsia" w:ascii="仿宋" w:hAnsi="仿宋" w:cs="仿宋"/>
          <w:b w:val="0"/>
          <w:bCs w:val="0"/>
          <w:color w:val="auto"/>
          <w:kern w:val="0"/>
          <w:sz w:val="24"/>
          <w:highlight w:val="none"/>
          <w:lang w:eastAsia="zh-CN"/>
        </w:rPr>
        <w:t>当单个项目收费少于8000元的，按8000元计，单个项目上限20万元</w:t>
      </w:r>
      <w:r>
        <w:rPr>
          <w:rFonts w:hint="eastAsia" w:ascii="仿宋" w:hAnsi="仿宋" w:eastAsia="仿宋" w:cs="仿宋"/>
          <w:b w:val="0"/>
          <w:bCs w:val="0"/>
          <w:color w:val="auto"/>
          <w:kern w:val="0"/>
          <w:sz w:val="24"/>
          <w:highlight w:val="none"/>
        </w:rPr>
        <w:t>。</w:t>
      </w:r>
    </w:p>
    <w:p w14:paraId="780CDF0D">
      <w:pPr>
        <w:pStyle w:val="16"/>
        <w:tabs>
          <w:tab w:val="left" w:pos="840"/>
        </w:tabs>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七、入围供应商的清退和补充规则</w:t>
      </w:r>
    </w:p>
    <w:p w14:paraId="569999F4">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1、清退规则：在下列情形下</w:t>
      </w:r>
      <w:r>
        <w:rPr>
          <w:rFonts w:hint="eastAsia" w:ascii="仿宋" w:hAnsi="仿宋" w:eastAsia="仿宋" w:cs="仿宋"/>
          <w:color w:val="auto"/>
          <w:kern w:val="0"/>
          <w:sz w:val="24"/>
          <w:szCs w:val="24"/>
          <w:highlight w:val="none"/>
          <w:lang w:eastAsia="zh-CN"/>
        </w:rPr>
        <w:t>甲方</w:t>
      </w:r>
      <w:r>
        <w:rPr>
          <w:rFonts w:hint="eastAsia" w:ascii="仿宋" w:hAnsi="仿宋" w:eastAsia="仿宋" w:cs="仿宋"/>
          <w:color w:val="auto"/>
          <w:kern w:val="0"/>
          <w:sz w:val="24"/>
          <w:szCs w:val="24"/>
          <w:highlight w:val="none"/>
        </w:rPr>
        <w:t>有权清退入围供应商，而不需要承担任何责任：</w:t>
      </w:r>
    </w:p>
    <w:p w14:paraId="1CE28367">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1）入围供应商实质性违反本协议约定的；</w:t>
      </w:r>
    </w:p>
    <w:p w14:paraId="695A96DB">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2）入围供应商有违反合同约定或其职责、义务的行为，在</w:t>
      </w:r>
      <w:r>
        <w:rPr>
          <w:rFonts w:hint="eastAsia" w:ascii="仿宋" w:hAnsi="仿宋" w:eastAsia="仿宋" w:cs="仿宋"/>
          <w:color w:val="auto"/>
          <w:kern w:val="0"/>
          <w:sz w:val="24"/>
          <w:szCs w:val="24"/>
          <w:highlight w:val="none"/>
          <w:lang w:eastAsia="zh-CN"/>
        </w:rPr>
        <w:t>甲方</w:t>
      </w:r>
      <w:r>
        <w:rPr>
          <w:rFonts w:hint="eastAsia" w:ascii="仿宋" w:hAnsi="仿宋" w:eastAsia="仿宋" w:cs="仿宋"/>
          <w:color w:val="auto"/>
          <w:kern w:val="0"/>
          <w:sz w:val="24"/>
          <w:szCs w:val="24"/>
          <w:highlight w:val="none"/>
        </w:rPr>
        <w:t xml:space="preserve">指定期限内未予以纠正或补救的； </w:t>
      </w:r>
    </w:p>
    <w:p w14:paraId="435A85A2">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3）入围供应商资质吊销或注销的；</w:t>
      </w:r>
    </w:p>
    <w:p w14:paraId="246BC739">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4）入围供应商未严格执行保密制度，泄漏委托方的秘密或与第三方串通损害</w:t>
      </w:r>
      <w:r>
        <w:rPr>
          <w:rFonts w:hint="eastAsia" w:ascii="仿宋" w:hAnsi="仿宋" w:eastAsia="仿宋" w:cs="仿宋"/>
          <w:color w:val="auto"/>
          <w:kern w:val="0"/>
          <w:sz w:val="24"/>
          <w:szCs w:val="24"/>
          <w:highlight w:val="none"/>
          <w:lang w:eastAsia="zh-CN"/>
        </w:rPr>
        <w:t>甲方</w:t>
      </w:r>
      <w:r>
        <w:rPr>
          <w:rFonts w:hint="eastAsia" w:ascii="仿宋" w:hAnsi="仿宋" w:eastAsia="仿宋" w:cs="仿宋"/>
          <w:color w:val="auto"/>
          <w:kern w:val="0"/>
          <w:sz w:val="24"/>
          <w:szCs w:val="24"/>
          <w:highlight w:val="none"/>
        </w:rPr>
        <w:t>利益的；由此造成的经济损失，入围方应予赔偿；存在违法违规行为的，由相关部门进行处理；</w:t>
      </w:r>
    </w:p>
    <w:p w14:paraId="64BB0115">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5）入围供应商与项目相关单位或个人私下交易，接受财物、吃请等违纪行为经查实的；存在违法违规行为的，由相关部门进行处理；</w:t>
      </w:r>
    </w:p>
    <w:p w14:paraId="6EDC7B7E">
      <w:pPr>
        <w:pStyle w:val="16"/>
        <w:tabs>
          <w:tab w:val="left" w:pos="840"/>
        </w:tabs>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6）入围供应商不能在约定时间内响应消防验收现场评定，影响甲方消防验收工作正常开展的</w:t>
      </w:r>
      <w:r>
        <w:rPr>
          <w:rFonts w:hint="eastAsia" w:ascii="仿宋" w:hAnsi="仿宋" w:eastAsia="仿宋" w:cs="仿宋"/>
          <w:color w:val="auto"/>
          <w:kern w:val="0"/>
          <w:sz w:val="24"/>
          <w:szCs w:val="24"/>
          <w:highlight w:val="none"/>
          <w:lang w:eastAsia="zh-CN"/>
        </w:rPr>
        <w:t>；</w:t>
      </w:r>
    </w:p>
    <w:p w14:paraId="2D84F839">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7）确定入围供应商后，</w:t>
      </w:r>
      <w:r>
        <w:rPr>
          <w:rFonts w:hint="eastAsia" w:ascii="仿宋" w:hAnsi="仿宋" w:eastAsia="仿宋" w:cs="仿宋"/>
          <w:color w:val="auto"/>
          <w:kern w:val="0"/>
          <w:sz w:val="24"/>
          <w:szCs w:val="24"/>
          <w:highlight w:val="none"/>
          <w:lang w:eastAsia="zh-CN"/>
        </w:rPr>
        <w:t>甲方</w:t>
      </w:r>
      <w:r>
        <w:rPr>
          <w:rFonts w:hint="eastAsia" w:ascii="仿宋" w:hAnsi="仿宋" w:eastAsia="仿宋" w:cs="仿宋"/>
          <w:color w:val="auto"/>
          <w:kern w:val="0"/>
          <w:sz w:val="24"/>
          <w:szCs w:val="24"/>
          <w:highlight w:val="none"/>
        </w:rPr>
        <w:t>有权对入围供应商提供的业绩材料等相关资料到相关部门进行核实，如响应文件存在虚假情况，则取消中标候选人的中标资格，存在违法违规行为的，由相关部门进行处理；</w:t>
      </w:r>
    </w:p>
    <w:p w14:paraId="187A9AA4">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8）入围供应商</w:t>
      </w:r>
      <w:r>
        <w:rPr>
          <w:rFonts w:hint="eastAsia" w:ascii="仿宋" w:hAnsi="仿宋" w:eastAsia="仿宋" w:cs="仿宋"/>
          <w:color w:val="auto"/>
          <w:kern w:val="0"/>
          <w:sz w:val="24"/>
          <w:szCs w:val="24"/>
          <w:highlight w:val="none"/>
          <w:lang w:val="en-US" w:eastAsia="zh-CN"/>
        </w:rPr>
        <w:t>出具虚假报告或报告内容与事实明显不符，被指出后仍不改正的；</w:t>
      </w:r>
    </w:p>
    <w:p w14:paraId="4DBA4701">
      <w:pPr>
        <w:pStyle w:val="16"/>
        <w:tabs>
          <w:tab w:val="left" w:pos="840"/>
        </w:tabs>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入围供应商</w:t>
      </w:r>
      <w:r>
        <w:rPr>
          <w:rFonts w:hint="eastAsia" w:ascii="仿宋" w:hAnsi="仿宋" w:eastAsia="仿宋" w:cs="仿宋"/>
          <w:color w:val="auto"/>
          <w:kern w:val="0"/>
          <w:sz w:val="24"/>
          <w:szCs w:val="24"/>
          <w:highlight w:val="none"/>
          <w:lang w:val="en-US" w:eastAsia="zh-CN"/>
        </w:rPr>
        <w:t>在合同约定期限内擅自解除本协议；</w:t>
      </w:r>
    </w:p>
    <w:p w14:paraId="5C983B93">
      <w:pPr>
        <w:pStyle w:val="16"/>
        <w:tabs>
          <w:tab w:val="left" w:pos="840"/>
        </w:tabs>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10）甲方有权根据需要随时检验</w:t>
      </w:r>
      <w:r>
        <w:rPr>
          <w:rFonts w:hint="eastAsia" w:ascii="仿宋" w:hAnsi="仿宋" w:eastAsia="仿宋" w:cs="仿宋"/>
          <w:color w:val="auto"/>
          <w:kern w:val="0"/>
          <w:sz w:val="24"/>
          <w:szCs w:val="24"/>
          <w:highlight w:val="none"/>
        </w:rPr>
        <w:t>入围供应商</w:t>
      </w:r>
      <w:r>
        <w:rPr>
          <w:rFonts w:hint="eastAsia" w:ascii="仿宋" w:hAnsi="仿宋" w:eastAsia="仿宋" w:cs="仿宋"/>
          <w:color w:val="auto"/>
          <w:kern w:val="0"/>
          <w:sz w:val="24"/>
          <w:szCs w:val="24"/>
          <w:highlight w:val="none"/>
          <w:lang w:val="en-US" w:eastAsia="zh-CN"/>
        </w:rPr>
        <w:t>相应能力。如本协议有效期内</w:t>
      </w:r>
      <w:r>
        <w:rPr>
          <w:rFonts w:hint="eastAsia" w:ascii="仿宋" w:hAnsi="仿宋" w:eastAsia="仿宋" w:cs="仿宋"/>
          <w:color w:val="auto"/>
          <w:kern w:val="0"/>
          <w:sz w:val="24"/>
          <w:szCs w:val="24"/>
          <w:highlight w:val="none"/>
        </w:rPr>
        <w:t>入围供应商</w:t>
      </w:r>
      <w:r>
        <w:rPr>
          <w:rFonts w:hint="eastAsia" w:ascii="仿宋" w:hAnsi="仿宋" w:eastAsia="仿宋" w:cs="仿宋"/>
          <w:color w:val="auto"/>
          <w:kern w:val="0"/>
          <w:sz w:val="24"/>
          <w:szCs w:val="24"/>
          <w:highlight w:val="none"/>
          <w:lang w:val="en-US" w:eastAsia="zh-CN"/>
        </w:rPr>
        <w:t>丧失规定具备的相应能力，</w:t>
      </w:r>
      <w:r>
        <w:rPr>
          <w:rFonts w:hint="eastAsia" w:ascii="仿宋" w:hAnsi="仿宋" w:eastAsia="仿宋" w:cs="仿宋"/>
          <w:color w:val="auto"/>
          <w:kern w:val="0"/>
          <w:sz w:val="24"/>
          <w:szCs w:val="24"/>
          <w:highlight w:val="none"/>
        </w:rPr>
        <w:t>入围供应商</w:t>
      </w:r>
      <w:r>
        <w:rPr>
          <w:rFonts w:hint="eastAsia" w:ascii="仿宋" w:hAnsi="仿宋" w:eastAsia="仿宋" w:cs="仿宋"/>
          <w:color w:val="auto"/>
          <w:kern w:val="0"/>
          <w:sz w:val="24"/>
          <w:szCs w:val="24"/>
          <w:highlight w:val="none"/>
          <w:lang w:val="en-US" w:eastAsia="zh-CN"/>
        </w:rPr>
        <w:t>应在收到甲方书面通知后的【15】天内达到甲方要求的标准。</w:t>
      </w:r>
      <w:r>
        <w:rPr>
          <w:rFonts w:hint="eastAsia" w:ascii="仿宋" w:hAnsi="仿宋" w:eastAsia="仿宋" w:cs="仿宋"/>
          <w:color w:val="auto"/>
          <w:kern w:val="0"/>
          <w:sz w:val="24"/>
          <w:szCs w:val="24"/>
          <w:highlight w:val="none"/>
        </w:rPr>
        <w:t>入围供应商</w:t>
      </w:r>
      <w:r>
        <w:rPr>
          <w:rFonts w:hint="eastAsia" w:ascii="仿宋" w:hAnsi="仿宋" w:eastAsia="仿宋" w:cs="仿宋"/>
          <w:color w:val="auto"/>
          <w:kern w:val="0"/>
          <w:sz w:val="24"/>
          <w:szCs w:val="24"/>
          <w:highlight w:val="none"/>
          <w:lang w:val="en-US" w:eastAsia="zh-CN"/>
        </w:rPr>
        <w:t>在收到甲方书面通知后的【15】天内未达到甲方要求的标准，甲方有权解除本协议。</w:t>
      </w:r>
    </w:p>
    <w:p w14:paraId="62995597">
      <w:pPr>
        <w:pStyle w:val="16"/>
        <w:tabs>
          <w:tab w:val="left" w:pos="840"/>
        </w:tabs>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入围供应商</w:t>
      </w:r>
      <w:r>
        <w:rPr>
          <w:rFonts w:hint="eastAsia" w:ascii="仿宋" w:hAnsi="仿宋" w:eastAsia="仿宋" w:cs="仿宋"/>
          <w:color w:val="auto"/>
          <w:kern w:val="0"/>
          <w:sz w:val="24"/>
          <w:szCs w:val="24"/>
          <w:highlight w:val="none"/>
          <w:lang w:val="en-US" w:eastAsia="zh-CN"/>
        </w:rPr>
        <w:t>及员工违反廉洁规定、违反从业规定、被相关部门处理、损害甲方形象声誉，故意拖延或刁难企业消防验收现场评定的，甲方可视情实施惩戒，直至解除合同。</w:t>
      </w:r>
    </w:p>
    <w:p w14:paraId="7DA0609A">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如遇到政策变化或者其他不可抗力因素，本协议自动解除。</w:t>
      </w:r>
    </w:p>
    <w:p w14:paraId="43E02BFB">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2、补充规则：在框架协议有效期内，不再补充征集供应商。</w:t>
      </w:r>
    </w:p>
    <w:p w14:paraId="2BDFB19F">
      <w:pPr>
        <w:pStyle w:val="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合同的变更和终止</w:t>
      </w:r>
    </w:p>
    <w:p w14:paraId="7A585D07">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对本合同的任何变更，须经双方同意，并以书面形式作出方可生效。</w:t>
      </w:r>
    </w:p>
    <w:p w14:paraId="0CAD8311">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本合同按下列方式终止：</w:t>
      </w:r>
    </w:p>
    <w:p w14:paraId="1A4D4E41">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（1）本合同约定的服务期限届满并由甲方在服务期限内委托乙方实施的技术服务全部经甲方认可后；</w:t>
      </w:r>
    </w:p>
    <w:p w14:paraId="3194F120">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（2）本合同任何一方因地震、风暴、灾害、战争等不可抗力丧失继续履行本协议的能力；</w:t>
      </w:r>
    </w:p>
    <w:p w14:paraId="386C33BA">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（3）因政策调整或上级部门出台新规，不再适用本验收评定办法和本合同条款的。</w:t>
      </w:r>
    </w:p>
    <w:p w14:paraId="56E3EC0F">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解除合同应按《浙江省合同管理办法》向财政备案。</w:t>
      </w:r>
    </w:p>
    <w:p w14:paraId="1D2376A0">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双方终止本协议，并不免除乙方在合同约定期间给甲方及第三人造成的任何损失，包括但不限于合同约定期间造成的甲方事后手相关机构处罚、诉讼的，乙方仍需要继续积极补救并对已履行的行为承担一切责任。</w:t>
      </w:r>
    </w:p>
    <w:p w14:paraId="19AA3A1C">
      <w:pPr>
        <w:pStyle w:val="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违约责任及损害赔偿</w:t>
      </w:r>
    </w:p>
    <w:p w14:paraId="1AB75BDF">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如乙方违约的，乙方应赔付甲方除违约金外，还包括但不限于诉讼费、财产保全费、财产保全担保费、公证费、律师费、差旅费、损害赔偿金及其他甲方合理支出的费用。乙方给第三人造成的损失的，甲方保留向乙方追诉的权利。</w:t>
      </w:r>
    </w:p>
    <w:p w14:paraId="74F4B737">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乙方逾期提供服务的，乙方应按逾期交付项目总额每日千分之一向甲方支付违约金，由甲方从合同款项中或从保证金中直接扣除。逾期超过约定日期10个工作日不能交付的，甲方可解除本合同。乙方因逾期交付或因其他违约行为导致甲方解除合同的，甲方有权扣除乙方全部保证金，并且乙方应向甲方支付合同总值5%的违约金，如造成甲方损失超过违约金的，超出部分由乙方继续承担赔偿责任。 </w:t>
      </w:r>
    </w:p>
    <w:p w14:paraId="0F078BCB">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乙方及员工违反廉洁规定、违反从业规定、被相关部门处理、损害甲方形象声誉，故意拖延或刁难企业消防验收现场评定的，甲方可视情实施惩戒，直至解除合同。</w:t>
      </w:r>
    </w:p>
    <w:p w14:paraId="0E92FED5">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任何一方违反本合同约定，另一方可以要求或采纳本合同和法律所允许的补救措施，包括但不限于实际履行和补偿经济损失。</w:t>
      </w:r>
    </w:p>
    <w:p w14:paraId="32F2086C">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甲方无正当理由拒绝验收项目的，甲方向乙方偿付拒收合同总价的5%违约金。</w:t>
      </w:r>
    </w:p>
    <w:p w14:paraId="71A77713">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甲方无故逾期验收和办理合同款项支付手续的,甲方应按逾期付款总额每日万分之五向乙方支付违约金。</w:t>
      </w:r>
    </w:p>
    <w:p w14:paraId="6B31EEE2">
      <w:pPr>
        <w:pStyle w:val="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w:t>
      </w:r>
      <w:r>
        <w:rPr>
          <w:rFonts w:hint="eastAsia" w:ascii="仿宋" w:hAnsi="仿宋" w:eastAsia="仿宋" w:cs="仿宋"/>
          <w:b/>
          <w:bCs/>
          <w:color w:val="auto"/>
          <w:sz w:val="24"/>
          <w:szCs w:val="24"/>
          <w:highlight w:val="none"/>
        </w:rPr>
        <w:t>其它规定</w:t>
      </w:r>
    </w:p>
    <w:p w14:paraId="78C2CC20">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乙方及关联企业在绍兴市越城区管辖项目范围内，不得从事可能影响公正实施消防验收现场评定的中介代办等相关业务。禁止收受建设、设计、施工、监理、检测等相关单位和人员的宴请、有价证券、礼金、礼卡、礼品等，做到公平、公正、廉洁。不得承接绍兴市越城区管辖项目范围内的消防设施检测业务，特殊情况应报甲方进行利害关系评估，并报甲方进行合同备案。发现与建设单位存在直接利害关系的，未主动回避的，暂停当年服务一个月，并取消下一年中标资格。</w:t>
      </w:r>
    </w:p>
    <w:p w14:paraId="1DD32BC5">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乙方及关联企业参与设计、施工、监理、图审、消防设施设备检测、钢结构检测等可能影响验收评定结果的项目，需回避该项目的消防验收现场评定。</w:t>
      </w:r>
    </w:p>
    <w:p w14:paraId="55649560">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建设工程经现场评定后，乙方需配合指导建设单位整改，服务合同价款不予增加。</w:t>
      </w:r>
    </w:p>
    <w:p w14:paraId="74DC9BFB">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如乙方违背文件法规或规章制度，甲方有权终止合同，并要求供应商做出相应赔偿。</w:t>
      </w:r>
    </w:p>
    <w:p w14:paraId="11946849">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本次采用封闭式框架协议，第一阶段入围供应商的评审方法为质量优先法，第二阶段成交供应商的方式为直接选定。</w:t>
      </w:r>
    </w:p>
    <w:p w14:paraId="3414E48C">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7.8直接选定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消防技术服务项目任务书下达后，原则上采用轮流方式在</w:t>
      </w:r>
      <w:r>
        <w:rPr>
          <w:rFonts w:hint="eastAsia" w:ascii="仿宋" w:hAnsi="仿宋" w:eastAsia="仿宋" w:cs="仿宋"/>
          <w:color w:val="auto"/>
          <w:sz w:val="24"/>
          <w:szCs w:val="24"/>
          <w:highlight w:val="none"/>
          <w:lang w:val="en-US" w:eastAsia="zh-CN"/>
        </w:rPr>
        <w:t>入围单位</w:t>
      </w:r>
      <w:r>
        <w:rPr>
          <w:rFonts w:hint="eastAsia" w:ascii="仿宋" w:hAnsi="仿宋" w:eastAsia="仿宋" w:cs="仿宋"/>
          <w:color w:val="auto"/>
          <w:sz w:val="24"/>
          <w:szCs w:val="24"/>
          <w:highlight w:val="none"/>
        </w:rPr>
        <w:t>中确定项目技术服务单位（即第一中标候人、第二中标候选人、第三中标候选人顺序依次轮流），原则上三次单次为一轮；若存在技术服务单位与项目消防业务相关联的情况，在轮流过程中应予以回避，本次机会自动扣除，回避单位将直接开始新一轮，不在本轮增加项目。</w:t>
      </w:r>
    </w:p>
    <w:p w14:paraId="6BCA265F">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p>
    <w:p w14:paraId="076D5CE5">
      <w:pPr>
        <w:pStyle w:val="16"/>
        <w:tabs>
          <w:tab w:val="left" w:pos="840"/>
        </w:tabs>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十一</w:t>
      </w:r>
      <w:r>
        <w:rPr>
          <w:rFonts w:hint="eastAsia" w:ascii="仿宋" w:hAnsi="仿宋" w:eastAsia="仿宋" w:cs="仿宋"/>
          <w:b/>
          <w:bCs/>
          <w:color w:val="auto"/>
          <w:kern w:val="0"/>
          <w:sz w:val="24"/>
          <w:szCs w:val="24"/>
          <w:highlight w:val="none"/>
        </w:rPr>
        <w:t>、争议解决方式</w:t>
      </w:r>
    </w:p>
    <w:p w14:paraId="33E80399">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本协议履行过程中发生的任何争议，双方当事人均可通过和解或者调解解决；不愿和解、调解或者和解、调解不成的，可以选择下列第2种方式解决：</w:t>
      </w:r>
    </w:p>
    <w:p w14:paraId="75C87D8D">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1.将争议提交</w:t>
      </w:r>
      <w:r>
        <w:rPr>
          <w:rFonts w:hint="eastAsia" w:ascii="仿宋" w:hAnsi="仿宋" w:eastAsia="仿宋" w:cs="仿宋"/>
          <w:color w:val="auto"/>
          <w:kern w:val="0"/>
          <w:sz w:val="24"/>
          <w:szCs w:val="24"/>
          <w:highlight w:val="none"/>
          <w:u w:val="single"/>
        </w:rPr>
        <w:t xml:space="preserve">  绍兴市  </w:t>
      </w:r>
      <w:r>
        <w:rPr>
          <w:rFonts w:hint="eastAsia" w:ascii="仿宋" w:hAnsi="仿宋" w:eastAsia="仿宋" w:cs="仿宋"/>
          <w:color w:val="auto"/>
          <w:kern w:val="0"/>
          <w:sz w:val="24"/>
          <w:szCs w:val="24"/>
          <w:highlight w:val="none"/>
        </w:rPr>
        <w:t>仲裁委员会依申请仲裁时其现行有效的仲裁规则裁决；</w:t>
      </w:r>
    </w:p>
    <w:p w14:paraId="5AFB834E">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向甲方所在地的人民法院起诉</w:t>
      </w:r>
      <w:r>
        <w:rPr>
          <w:rFonts w:hint="eastAsia" w:ascii="仿宋" w:hAnsi="仿宋" w:eastAsia="仿宋" w:cs="仿宋"/>
          <w:color w:val="auto"/>
          <w:kern w:val="0"/>
          <w:sz w:val="24"/>
          <w:szCs w:val="24"/>
          <w:highlight w:val="none"/>
        </w:rPr>
        <w:t>。</w:t>
      </w:r>
    </w:p>
    <w:p w14:paraId="4FB505A0">
      <w:pPr>
        <w:pStyle w:val="16"/>
        <w:tabs>
          <w:tab w:val="left" w:pos="840"/>
        </w:tabs>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十二</w:t>
      </w:r>
      <w:r>
        <w:rPr>
          <w:rFonts w:hint="eastAsia" w:ascii="仿宋" w:hAnsi="仿宋" w:eastAsia="仿宋" w:cs="仿宋"/>
          <w:b/>
          <w:bCs/>
          <w:color w:val="auto"/>
          <w:kern w:val="0"/>
          <w:sz w:val="24"/>
          <w:szCs w:val="24"/>
          <w:highlight w:val="none"/>
        </w:rPr>
        <w:t>、合同生效和其他</w:t>
      </w:r>
    </w:p>
    <w:p w14:paraId="5E317770">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1.本协议未尽的事宜，均遵照国家有关法律、法规，双方另行协商议定补充条款。补充协议与本协议具有同等效力。</w:t>
      </w:r>
    </w:p>
    <w:p w14:paraId="5198F7B4">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2.本协议一式三份，甲方二份、乙方一份，具有同等法律效力。</w:t>
      </w:r>
    </w:p>
    <w:p w14:paraId="2C4194F2">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3.本协议经甲方、乙方法定代表人或其授权代表签字并加盖双方公章后生效。</w:t>
      </w:r>
    </w:p>
    <w:p w14:paraId="3D9BA0FE">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p>
    <w:p w14:paraId="6A807710">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甲方（盖章）：                        乙方（盖章）：</w:t>
      </w:r>
    </w:p>
    <w:p w14:paraId="1E8B7FC3">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法人代表或授权代表（签字）：         法人代表或授权代表（签字）：</w:t>
      </w:r>
    </w:p>
    <w:p w14:paraId="4E942E7E">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                            联系电话：</w:t>
      </w:r>
    </w:p>
    <w:p w14:paraId="5EAB0AD4">
      <w:pPr>
        <w:widowControl/>
        <w:snapToGrid w:val="0"/>
        <w:spacing w:line="480" w:lineRule="exact"/>
        <w:ind w:firstLine="480" w:firstLineChars="200"/>
        <w:rPr>
          <w:rFonts w:hint="eastAsia" w:ascii="仿宋" w:hAnsi="仿宋" w:eastAsia="仿宋" w:cs="仿宋"/>
          <w:color w:val="auto"/>
          <w:kern w:val="0"/>
          <w:sz w:val="24"/>
          <w:szCs w:val="24"/>
          <w:highlight w:val="none"/>
        </w:rPr>
        <w:sectPr>
          <w:headerReference r:id="rId5" w:type="default"/>
          <w:footerReference r:id="rId6" w:type="default"/>
          <w:pgSz w:w="11907" w:h="16840"/>
          <w:pgMar w:top="1440" w:right="1440" w:bottom="1440" w:left="1440" w:header="851" w:footer="992" w:gutter="0"/>
          <w:cols w:space="720" w:num="1"/>
          <w:docGrid w:type="lines" w:linePitch="312" w:charSpace="0"/>
        </w:sectPr>
      </w:pPr>
      <w:r>
        <w:rPr>
          <w:rFonts w:hint="eastAsia" w:ascii="仿宋" w:hAnsi="仿宋" w:eastAsia="仿宋" w:cs="仿宋"/>
          <w:color w:val="auto"/>
          <w:kern w:val="0"/>
          <w:sz w:val="24"/>
          <w:szCs w:val="24"/>
          <w:highlight w:val="none"/>
        </w:rPr>
        <w:t>签订日期：     年   月   日           签订日期：     年   月   日</w:t>
      </w:r>
    </w:p>
    <w:p w14:paraId="01856161">
      <w:pPr>
        <w:widowControl/>
        <w:snapToGrid w:val="0"/>
        <w:spacing w:line="480" w:lineRule="exact"/>
        <w:ind w:firstLine="480" w:firstLineChars="200"/>
        <w:rPr>
          <w:rFonts w:hint="eastAsia" w:ascii="仿宋" w:hAnsi="仿宋" w:eastAsia="仿宋" w:cs="仿宋"/>
          <w:color w:val="auto"/>
          <w:kern w:val="0"/>
          <w:sz w:val="24"/>
          <w:szCs w:val="24"/>
          <w:highlight w:val="none"/>
        </w:rPr>
      </w:pPr>
    </w:p>
    <w:p w14:paraId="4866CF31">
      <w:pPr>
        <w:widowControl/>
        <w:snapToGrid w:val="0"/>
        <w:spacing w:line="480" w:lineRule="exact"/>
        <w:ind w:firstLine="480" w:firstLineChars="200"/>
        <w:rPr>
          <w:rFonts w:hint="eastAsia" w:ascii="仿宋" w:hAnsi="仿宋" w:eastAsia="仿宋" w:cs="仿宋"/>
          <w:color w:val="auto"/>
          <w:kern w:val="0"/>
          <w:sz w:val="24"/>
          <w:szCs w:val="24"/>
          <w:highlight w:val="none"/>
        </w:rPr>
      </w:pPr>
    </w:p>
    <w:p w14:paraId="12FCE466">
      <w:pPr>
        <w:pStyle w:val="52"/>
        <w:jc w:val="center"/>
        <w:rPr>
          <w:rFonts w:hint="eastAsia" w:ascii="仿宋" w:hAnsi="仿宋" w:eastAsia="仿宋" w:cs="仿宋"/>
          <w:bCs/>
          <w:color w:val="auto"/>
          <w:spacing w:val="20"/>
          <w:sz w:val="44"/>
          <w:szCs w:val="22"/>
          <w:highlight w:val="none"/>
        </w:rPr>
      </w:pPr>
      <w:bookmarkStart w:id="34" w:name="_Toc2315"/>
      <w:bookmarkStart w:id="35" w:name="_Toc1293"/>
      <w:r>
        <w:rPr>
          <w:rFonts w:hint="eastAsia" w:ascii="仿宋" w:hAnsi="仿宋" w:eastAsia="仿宋" w:cs="仿宋"/>
          <w:bCs/>
          <w:color w:val="auto"/>
          <w:spacing w:val="20"/>
          <w:sz w:val="44"/>
          <w:szCs w:val="22"/>
          <w:highlight w:val="none"/>
        </w:rPr>
        <w:t>消防验收现场评定服务项目结算表</w:t>
      </w:r>
    </w:p>
    <w:p w14:paraId="6236E871">
      <w:pPr>
        <w:pStyle w:val="29"/>
        <w:ind w:firstLine="0" w:firstLine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服务单位：</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服务时段：   年  月  日至  年  月  日</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50"/>
        <w:gridCol w:w="2017"/>
        <w:gridCol w:w="2316"/>
        <w:gridCol w:w="2667"/>
        <w:gridCol w:w="2363"/>
      </w:tblGrid>
      <w:tr w14:paraId="292E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Borders>
              <w:top w:val="single" w:color="auto" w:sz="4" w:space="0"/>
              <w:left w:val="single" w:color="auto" w:sz="4" w:space="0"/>
              <w:bottom w:val="single" w:color="auto" w:sz="4" w:space="0"/>
              <w:right w:val="single" w:color="auto" w:sz="4" w:space="0"/>
            </w:tcBorders>
            <w:noWrap w:val="0"/>
            <w:vAlign w:val="center"/>
          </w:tcPr>
          <w:p w14:paraId="25BE3B6D">
            <w:pPr>
              <w:pStyle w:val="29"/>
              <w:ind w:firstLine="0" w:firstLine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序号</w:t>
            </w:r>
          </w:p>
        </w:tc>
        <w:tc>
          <w:tcPr>
            <w:tcW w:w="3650" w:type="dxa"/>
            <w:tcBorders>
              <w:top w:val="single" w:color="auto" w:sz="4" w:space="0"/>
              <w:left w:val="single" w:color="auto" w:sz="4" w:space="0"/>
              <w:bottom w:val="single" w:color="auto" w:sz="4" w:space="0"/>
              <w:right w:val="single" w:color="auto" w:sz="4" w:space="0"/>
            </w:tcBorders>
            <w:noWrap w:val="0"/>
            <w:vAlign w:val="center"/>
          </w:tcPr>
          <w:p w14:paraId="7A6FD060">
            <w:pPr>
              <w:pStyle w:val="29"/>
              <w:ind w:firstLine="32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项目名称</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362783F6">
            <w:pPr>
              <w:pStyle w:val="29"/>
              <w:ind w:firstLine="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建筑面积</w:t>
            </w:r>
          </w:p>
          <w:p w14:paraId="0920DCEA">
            <w:pPr>
              <w:pStyle w:val="29"/>
              <w:ind w:firstLine="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（平方米）</w:t>
            </w:r>
          </w:p>
        </w:tc>
        <w:tc>
          <w:tcPr>
            <w:tcW w:w="2316" w:type="dxa"/>
            <w:tcBorders>
              <w:top w:val="single" w:color="auto" w:sz="4" w:space="0"/>
              <w:left w:val="single" w:color="auto" w:sz="4" w:space="0"/>
              <w:bottom w:val="single" w:color="auto" w:sz="4" w:space="0"/>
              <w:right w:val="single" w:color="auto" w:sz="4" w:space="0"/>
            </w:tcBorders>
            <w:noWrap w:val="0"/>
            <w:vAlign w:val="center"/>
          </w:tcPr>
          <w:p w14:paraId="3CABE56B">
            <w:pPr>
              <w:pStyle w:val="29"/>
              <w:ind w:firstLine="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单价</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5ADDF8AE">
            <w:pPr>
              <w:pStyle w:val="29"/>
              <w:ind w:firstLine="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服务费用（元）</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284A45D0">
            <w:pPr>
              <w:pStyle w:val="29"/>
              <w:ind w:firstLine="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备注</w:t>
            </w:r>
          </w:p>
        </w:tc>
      </w:tr>
      <w:tr w14:paraId="358E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Borders>
              <w:top w:val="single" w:color="auto" w:sz="4" w:space="0"/>
              <w:left w:val="single" w:color="auto" w:sz="4" w:space="0"/>
              <w:bottom w:val="single" w:color="auto" w:sz="4" w:space="0"/>
              <w:right w:val="single" w:color="auto" w:sz="4" w:space="0"/>
            </w:tcBorders>
            <w:noWrap w:val="0"/>
            <w:vAlign w:val="top"/>
          </w:tcPr>
          <w:p w14:paraId="33D1ADDD">
            <w:pPr>
              <w:pStyle w:val="29"/>
              <w:ind w:firstLine="321"/>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3650" w:type="dxa"/>
            <w:tcBorders>
              <w:top w:val="single" w:color="auto" w:sz="4" w:space="0"/>
              <w:left w:val="single" w:color="auto" w:sz="4" w:space="0"/>
              <w:bottom w:val="single" w:color="auto" w:sz="4" w:space="0"/>
              <w:right w:val="single" w:color="auto" w:sz="4" w:space="0"/>
            </w:tcBorders>
            <w:noWrap w:val="0"/>
            <w:vAlign w:val="top"/>
          </w:tcPr>
          <w:p w14:paraId="524265CA">
            <w:pPr>
              <w:pStyle w:val="29"/>
              <w:ind w:firstLine="321"/>
              <w:jc w:val="both"/>
              <w:rPr>
                <w:rFonts w:hint="eastAsia" w:ascii="仿宋" w:hAnsi="仿宋" w:eastAsia="仿宋" w:cs="仿宋"/>
                <w:color w:val="auto"/>
                <w:sz w:val="32"/>
                <w:szCs w:val="32"/>
                <w:highlight w:val="none"/>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3C4DE416">
            <w:pPr>
              <w:pStyle w:val="29"/>
              <w:ind w:firstLine="321"/>
              <w:jc w:val="both"/>
              <w:rPr>
                <w:rFonts w:hint="eastAsia" w:ascii="仿宋" w:hAnsi="仿宋" w:eastAsia="仿宋" w:cs="仿宋"/>
                <w:color w:val="auto"/>
                <w:sz w:val="32"/>
                <w:szCs w:val="32"/>
                <w:highlight w:val="none"/>
              </w:rPr>
            </w:pPr>
          </w:p>
        </w:tc>
        <w:tc>
          <w:tcPr>
            <w:tcW w:w="2316" w:type="dxa"/>
            <w:tcBorders>
              <w:top w:val="single" w:color="auto" w:sz="4" w:space="0"/>
              <w:left w:val="single" w:color="auto" w:sz="4" w:space="0"/>
              <w:bottom w:val="single" w:color="auto" w:sz="4" w:space="0"/>
              <w:right w:val="single" w:color="auto" w:sz="4" w:space="0"/>
            </w:tcBorders>
            <w:noWrap w:val="0"/>
            <w:vAlign w:val="top"/>
          </w:tcPr>
          <w:p w14:paraId="7CDD6CD6">
            <w:pPr>
              <w:pStyle w:val="29"/>
              <w:ind w:firstLine="321"/>
              <w:jc w:val="both"/>
              <w:rPr>
                <w:rFonts w:hint="eastAsia" w:ascii="仿宋" w:hAnsi="仿宋" w:eastAsia="仿宋" w:cs="仿宋"/>
                <w:color w:val="auto"/>
                <w:sz w:val="32"/>
                <w:szCs w:val="32"/>
                <w:highlight w:val="none"/>
              </w:rPr>
            </w:pPr>
          </w:p>
        </w:tc>
        <w:tc>
          <w:tcPr>
            <w:tcW w:w="2667" w:type="dxa"/>
            <w:tcBorders>
              <w:top w:val="single" w:color="auto" w:sz="4" w:space="0"/>
              <w:left w:val="single" w:color="auto" w:sz="4" w:space="0"/>
              <w:bottom w:val="single" w:color="auto" w:sz="4" w:space="0"/>
              <w:right w:val="single" w:color="auto" w:sz="4" w:space="0"/>
            </w:tcBorders>
            <w:noWrap w:val="0"/>
            <w:vAlign w:val="top"/>
          </w:tcPr>
          <w:p w14:paraId="5E696225">
            <w:pPr>
              <w:pStyle w:val="29"/>
              <w:ind w:firstLine="321"/>
              <w:jc w:val="both"/>
              <w:rPr>
                <w:rFonts w:hint="eastAsia" w:ascii="仿宋" w:hAnsi="仿宋" w:eastAsia="仿宋" w:cs="仿宋"/>
                <w:color w:val="auto"/>
                <w:sz w:val="32"/>
                <w:szCs w:val="32"/>
                <w:highlight w:val="none"/>
              </w:rPr>
            </w:pPr>
          </w:p>
        </w:tc>
        <w:tc>
          <w:tcPr>
            <w:tcW w:w="2363" w:type="dxa"/>
            <w:vMerge w:val="restart"/>
            <w:tcBorders>
              <w:top w:val="single" w:color="auto" w:sz="4" w:space="0"/>
              <w:left w:val="single" w:color="auto" w:sz="4" w:space="0"/>
              <w:bottom w:val="single" w:color="auto" w:sz="4" w:space="0"/>
              <w:right w:val="single" w:color="auto" w:sz="4" w:space="0"/>
            </w:tcBorders>
            <w:noWrap w:val="0"/>
            <w:vAlign w:val="center"/>
          </w:tcPr>
          <w:p w14:paraId="1C341D75">
            <w:pPr>
              <w:autoSpaceDE w:val="0"/>
              <w:autoSpaceDN w:val="0"/>
              <w:adjustRightInd w:val="0"/>
              <w:spacing w:line="340" w:lineRule="exact"/>
              <w:rPr>
                <w:rFonts w:hint="eastAsia" w:ascii="仿宋" w:hAnsi="仿宋" w:eastAsia="仿宋" w:cs="仿宋"/>
                <w:color w:val="auto"/>
                <w:sz w:val="32"/>
                <w:szCs w:val="32"/>
                <w:highlight w:val="none"/>
              </w:rPr>
            </w:pPr>
          </w:p>
        </w:tc>
      </w:tr>
      <w:tr w14:paraId="2C2C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Borders>
              <w:top w:val="single" w:color="auto" w:sz="4" w:space="0"/>
              <w:left w:val="single" w:color="auto" w:sz="4" w:space="0"/>
              <w:bottom w:val="single" w:color="auto" w:sz="4" w:space="0"/>
              <w:right w:val="single" w:color="auto" w:sz="4" w:space="0"/>
            </w:tcBorders>
            <w:noWrap w:val="0"/>
            <w:vAlign w:val="top"/>
          </w:tcPr>
          <w:p w14:paraId="7333F117">
            <w:pPr>
              <w:pStyle w:val="29"/>
              <w:ind w:firstLine="321"/>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3650" w:type="dxa"/>
            <w:tcBorders>
              <w:top w:val="single" w:color="auto" w:sz="4" w:space="0"/>
              <w:left w:val="single" w:color="auto" w:sz="4" w:space="0"/>
              <w:bottom w:val="single" w:color="auto" w:sz="4" w:space="0"/>
              <w:right w:val="single" w:color="auto" w:sz="4" w:space="0"/>
            </w:tcBorders>
            <w:noWrap w:val="0"/>
            <w:vAlign w:val="top"/>
          </w:tcPr>
          <w:p w14:paraId="37F3BE6B">
            <w:pPr>
              <w:pStyle w:val="29"/>
              <w:ind w:firstLine="321"/>
              <w:jc w:val="both"/>
              <w:rPr>
                <w:rFonts w:hint="eastAsia" w:ascii="仿宋" w:hAnsi="仿宋" w:eastAsia="仿宋" w:cs="仿宋"/>
                <w:color w:val="auto"/>
                <w:sz w:val="32"/>
                <w:szCs w:val="32"/>
                <w:highlight w:val="none"/>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35417B92">
            <w:pPr>
              <w:pStyle w:val="29"/>
              <w:ind w:firstLine="321"/>
              <w:jc w:val="both"/>
              <w:rPr>
                <w:rFonts w:hint="eastAsia" w:ascii="仿宋" w:hAnsi="仿宋" w:eastAsia="仿宋" w:cs="仿宋"/>
                <w:color w:val="auto"/>
                <w:sz w:val="32"/>
                <w:szCs w:val="32"/>
                <w:highlight w:val="none"/>
              </w:rPr>
            </w:pPr>
          </w:p>
        </w:tc>
        <w:tc>
          <w:tcPr>
            <w:tcW w:w="2316" w:type="dxa"/>
            <w:tcBorders>
              <w:top w:val="single" w:color="auto" w:sz="4" w:space="0"/>
              <w:left w:val="single" w:color="auto" w:sz="4" w:space="0"/>
              <w:bottom w:val="single" w:color="auto" w:sz="4" w:space="0"/>
              <w:right w:val="single" w:color="auto" w:sz="4" w:space="0"/>
            </w:tcBorders>
            <w:noWrap w:val="0"/>
            <w:vAlign w:val="top"/>
          </w:tcPr>
          <w:p w14:paraId="6EB95AE8">
            <w:pPr>
              <w:pStyle w:val="29"/>
              <w:ind w:firstLine="321"/>
              <w:jc w:val="both"/>
              <w:rPr>
                <w:rFonts w:hint="eastAsia" w:ascii="仿宋" w:hAnsi="仿宋" w:eastAsia="仿宋" w:cs="仿宋"/>
                <w:color w:val="auto"/>
                <w:sz w:val="32"/>
                <w:szCs w:val="32"/>
                <w:highlight w:val="none"/>
              </w:rPr>
            </w:pPr>
          </w:p>
        </w:tc>
        <w:tc>
          <w:tcPr>
            <w:tcW w:w="2667" w:type="dxa"/>
            <w:tcBorders>
              <w:top w:val="single" w:color="auto" w:sz="4" w:space="0"/>
              <w:left w:val="single" w:color="auto" w:sz="4" w:space="0"/>
              <w:bottom w:val="single" w:color="auto" w:sz="4" w:space="0"/>
              <w:right w:val="single" w:color="auto" w:sz="4" w:space="0"/>
            </w:tcBorders>
            <w:noWrap w:val="0"/>
            <w:vAlign w:val="top"/>
          </w:tcPr>
          <w:p w14:paraId="07CD86F1">
            <w:pPr>
              <w:pStyle w:val="29"/>
              <w:ind w:firstLine="321"/>
              <w:jc w:val="both"/>
              <w:rPr>
                <w:rFonts w:hint="eastAsia" w:ascii="仿宋" w:hAnsi="仿宋" w:eastAsia="仿宋" w:cs="仿宋"/>
                <w:color w:val="auto"/>
                <w:sz w:val="32"/>
                <w:szCs w:val="32"/>
                <w:highlight w:val="none"/>
              </w:rPr>
            </w:pPr>
          </w:p>
        </w:tc>
        <w:tc>
          <w:tcPr>
            <w:tcW w:w="2363" w:type="dxa"/>
            <w:vMerge w:val="continue"/>
            <w:tcBorders>
              <w:top w:val="single" w:color="auto" w:sz="4" w:space="0"/>
              <w:left w:val="single" w:color="auto" w:sz="4" w:space="0"/>
              <w:bottom w:val="single" w:color="auto" w:sz="4" w:space="0"/>
              <w:right w:val="single" w:color="auto" w:sz="4" w:space="0"/>
            </w:tcBorders>
            <w:noWrap w:val="0"/>
            <w:vAlign w:val="top"/>
          </w:tcPr>
          <w:p w14:paraId="581DEB3F">
            <w:pPr>
              <w:pStyle w:val="29"/>
              <w:ind w:firstLine="321"/>
              <w:jc w:val="both"/>
              <w:rPr>
                <w:rFonts w:hint="eastAsia" w:ascii="仿宋" w:hAnsi="仿宋" w:eastAsia="仿宋" w:cs="仿宋"/>
                <w:color w:val="auto"/>
                <w:sz w:val="32"/>
                <w:szCs w:val="32"/>
                <w:highlight w:val="none"/>
              </w:rPr>
            </w:pPr>
          </w:p>
        </w:tc>
      </w:tr>
      <w:tr w14:paraId="64B8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Borders>
              <w:top w:val="single" w:color="auto" w:sz="4" w:space="0"/>
              <w:left w:val="single" w:color="auto" w:sz="4" w:space="0"/>
              <w:bottom w:val="single" w:color="auto" w:sz="4" w:space="0"/>
              <w:right w:val="single" w:color="auto" w:sz="4" w:space="0"/>
            </w:tcBorders>
            <w:noWrap w:val="0"/>
            <w:vAlign w:val="top"/>
          </w:tcPr>
          <w:p w14:paraId="68FB1A1A">
            <w:pPr>
              <w:pStyle w:val="29"/>
              <w:ind w:firstLine="321"/>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tc>
        <w:tc>
          <w:tcPr>
            <w:tcW w:w="3650" w:type="dxa"/>
            <w:tcBorders>
              <w:top w:val="single" w:color="auto" w:sz="4" w:space="0"/>
              <w:left w:val="single" w:color="auto" w:sz="4" w:space="0"/>
              <w:bottom w:val="single" w:color="auto" w:sz="4" w:space="0"/>
              <w:right w:val="single" w:color="auto" w:sz="4" w:space="0"/>
            </w:tcBorders>
            <w:noWrap w:val="0"/>
            <w:vAlign w:val="top"/>
          </w:tcPr>
          <w:p w14:paraId="723FAA87">
            <w:pPr>
              <w:pStyle w:val="29"/>
              <w:ind w:firstLine="321"/>
              <w:jc w:val="both"/>
              <w:rPr>
                <w:rFonts w:hint="eastAsia" w:ascii="仿宋" w:hAnsi="仿宋" w:eastAsia="仿宋" w:cs="仿宋"/>
                <w:color w:val="auto"/>
                <w:sz w:val="32"/>
                <w:szCs w:val="32"/>
                <w:highlight w:val="none"/>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412F8341">
            <w:pPr>
              <w:pStyle w:val="29"/>
              <w:ind w:firstLine="321"/>
              <w:jc w:val="both"/>
              <w:rPr>
                <w:rFonts w:hint="eastAsia" w:ascii="仿宋" w:hAnsi="仿宋" w:eastAsia="仿宋" w:cs="仿宋"/>
                <w:color w:val="auto"/>
                <w:sz w:val="32"/>
                <w:szCs w:val="32"/>
                <w:highlight w:val="none"/>
              </w:rPr>
            </w:pPr>
          </w:p>
        </w:tc>
        <w:tc>
          <w:tcPr>
            <w:tcW w:w="2316" w:type="dxa"/>
            <w:tcBorders>
              <w:top w:val="single" w:color="auto" w:sz="4" w:space="0"/>
              <w:left w:val="single" w:color="auto" w:sz="4" w:space="0"/>
              <w:bottom w:val="single" w:color="auto" w:sz="4" w:space="0"/>
              <w:right w:val="single" w:color="auto" w:sz="4" w:space="0"/>
            </w:tcBorders>
            <w:noWrap w:val="0"/>
            <w:vAlign w:val="top"/>
          </w:tcPr>
          <w:p w14:paraId="773B5E8E">
            <w:pPr>
              <w:pStyle w:val="29"/>
              <w:ind w:firstLine="321"/>
              <w:jc w:val="both"/>
              <w:rPr>
                <w:rFonts w:hint="eastAsia" w:ascii="仿宋" w:hAnsi="仿宋" w:eastAsia="仿宋" w:cs="仿宋"/>
                <w:color w:val="auto"/>
                <w:sz w:val="32"/>
                <w:szCs w:val="32"/>
                <w:highlight w:val="none"/>
              </w:rPr>
            </w:pPr>
          </w:p>
        </w:tc>
        <w:tc>
          <w:tcPr>
            <w:tcW w:w="2667" w:type="dxa"/>
            <w:tcBorders>
              <w:top w:val="single" w:color="auto" w:sz="4" w:space="0"/>
              <w:left w:val="single" w:color="auto" w:sz="4" w:space="0"/>
              <w:bottom w:val="single" w:color="auto" w:sz="4" w:space="0"/>
              <w:right w:val="single" w:color="auto" w:sz="4" w:space="0"/>
            </w:tcBorders>
            <w:noWrap w:val="0"/>
            <w:vAlign w:val="top"/>
          </w:tcPr>
          <w:p w14:paraId="117E7C6C">
            <w:pPr>
              <w:pStyle w:val="29"/>
              <w:ind w:firstLine="321"/>
              <w:jc w:val="both"/>
              <w:rPr>
                <w:rFonts w:hint="eastAsia" w:ascii="仿宋" w:hAnsi="仿宋" w:eastAsia="仿宋" w:cs="仿宋"/>
                <w:color w:val="auto"/>
                <w:sz w:val="32"/>
                <w:szCs w:val="32"/>
                <w:highlight w:val="none"/>
              </w:rPr>
            </w:pPr>
          </w:p>
        </w:tc>
        <w:tc>
          <w:tcPr>
            <w:tcW w:w="2363" w:type="dxa"/>
            <w:vMerge w:val="continue"/>
            <w:tcBorders>
              <w:top w:val="single" w:color="auto" w:sz="4" w:space="0"/>
              <w:left w:val="single" w:color="auto" w:sz="4" w:space="0"/>
              <w:bottom w:val="single" w:color="auto" w:sz="4" w:space="0"/>
              <w:right w:val="single" w:color="auto" w:sz="4" w:space="0"/>
            </w:tcBorders>
            <w:noWrap w:val="0"/>
            <w:vAlign w:val="top"/>
          </w:tcPr>
          <w:p w14:paraId="45E41D68">
            <w:pPr>
              <w:pStyle w:val="29"/>
              <w:ind w:firstLine="321"/>
              <w:jc w:val="both"/>
              <w:rPr>
                <w:rFonts w:hint="eastAsia" w:ascii="仿宋" w:hAnsi="仿宋" w:eastAsia="仿宋" w:cs="仿宋"/>
                <w:color w:val="auto"/>
                <w:sz w:val="32"/>
                <w:szCs w:val="32"/>
                <w:highlight w:val="none"/>
              </w:rPr>
            </w:pPr>
          </w:p>
        </w:tc>
      </w:tr>
      <w:tr w14:paraId="5F83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Borders>
              <w:top w:val="single" w:color="auto" w:sz="4" w:space="0"/>
              <w:left w:val="single" w:color="auto" w:sz="4" w:space="0"/>
              <w:bottom w:val="single" w:color="auto" w:sz="4" w:space="0"/>
              <w:right w:val="single" w:color="auto" w:sz="4" w:space="0"/>
            </w:tcBorders>
            <w:noWrap w:val="0"/>
            <w:vAlign w:val="top"/>
          </w:tcPr>
          <w:p w14:paraId="6432FE8D">
            <w:pPr>
              <w:pStyle w:val="29"/>
              <w:ind w:firstLine="0" w:firstLine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合计</w:t>
            </w:r>
          </w:p>
        </w:tc>
        <w:tc>
          <w:tcPr>
            <w:tcW w:w="3650" w:type="dxa"/>
            <w:tcBorders>
              <w:top w:val="single" w:color="auto" w:sz="4" w:space="0"/>
              <w:left w:val="single" w:color="auto" w:sz="4" w:space="0"/>
              <w:bottom w:val="single" w:color="auto" w:sz="4" w:space="0"/>
              <w:right w:val="single" w:color="auto" w:sz="4" w:space="0"/>
            </w:tcBorders>
            <w:noWrap w:val="0"/>
            <w:vAlign w:val="top"/>
          </w:tcPr>
          <w:p w14:paraId="249233C6">
            <w:pPr>
              <w:pStyle w:val="29"/>
              <w:ind w:firstLine="321"/>
              <w:jc w:val="both"/>
              <w:rPr>
                <w:rFonts w:hint="eastAsia" w:ascii="仿宋" w:hAnsi="仿宋" w:eastAsia="仿宋" w:cs="仿宋"/>
                <w:color w:val="auto"/>
                <w:sz w:val="32"/>
                <w:szCs w:val="32"/>
                <w:highlight w:val="none"/>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4A0950B8">
            <w:pPr>
              <w:pStyle w:val="29"/>
              <w:ind w:firstLine="321"/>
              <w:jc w:val="both"/>
              <w:rPr>
                <w:rFonts w:hint="eastAsia" w:ascii="仿宋" w:hAnsi="仿宋" w:eastAsia="仿宋" w:cs="仿宋"/>
                <w:color w:val="auto"/>
                <w:sz w:val="32"/>
                <w:szCs w:val="32"/>
                <w:highlight w:val="none"/>
              </w:rPr>
            </w:pPr>
          </w:p>
        </w:tc>
        <w:tc>
          <w:tcPr>
            <w:tcW w:w="2316" w:type="dxa"/>
            <w:tcBorders>
              <w:top w:val="single" w:color="auto" w:sz="4" w:space="0"/>
              <w:left w:val="single" w:color="auto" w:sz="4" w:space="0"/>
              <w:bottom w:val="single" w:color="auto" w:sz="4" w:space="0"/>
              <w:right w:val="single" w:color="auto" w:sz="4" w:space="0"/>
            </w:tcBorders>
            <w:noWrap w:val="0"/>
            <w:vAlign w:val="top"/>
          </w:tcPr>
          <w:p w14:paraId="068BD08A">
            <w:pPr>
              <w:pStyle w:val="29"/>
              <w:ind w:firstLine="321"/>
              <w:jc w:val="both"/>
              <w:rPr>
                <w:rFonts w:hint="eastAsia" w:ascii="仿宋" w:hAnsi="仿宋" w:eastAsia="仿宋" w:cs="仿宋"/>
                <w:color w:val="auto"/>
                <w:sz w:val="32"/>
                <w:szCs w:val="32"/>
                <w:highlight w:val="none"/>
              </w:rPr>
            </w:pPr>
          </w:p>
        </w:tc>
        <w:tc>
          <w:tcPr>
            <w:tcW w:w="2667" w:type="dxa"/>
            <w:tcBorders>
              <w:top w:val="single" w:color="auto" w:sz="4" w:space="0"/>
              <w:left w:val="single" w:color="auto" w:sz="4" w:space="0"/>
              <w:bottom w:val="single" w:color="auto" w:sz="4" w:space="0"/>
              <w:right w:val="single" w:color="auto" w:sz="4" w:space="0"/>
            </w:tcBorders>
            <w:noWrap w:val="0"/>
            <w:vAlign w:val="top"/>
          </w:tcPr>
          <w:p w14:paraId="5159865F">
            <w:pPr>
              <w:pStyle w:val="29"/>
              <w:ind w:firstLine="321"/>
              <w:jc w:val="both"/>
              <w:rPr>
                <w:rFonts w:hint="eastAsia" w:ascii="仿宋" w:hAnsi="仿宋" w:eastAsia="仿宋" w:cs="仿宋"/>
                <w:color w:val="auto"/>
                <w:sz w:val="32"/>
                <w:szCs w:val="32"/>
                <w:highlight w:val="none"/>
              </w:rPr>
            </w:pPr>
          </w:p>
        </w:tc>
        <w:tc>
          <w:tcPr>
            <w:tcW w:w="2363" w:type="dxa"/>
            <w:vMerge w:val="continue"/>
            <w:tcBorders>
              <w:top w:val="single" w:color="auto" w:sz="4" w:space="0"/>
              <w:left w:val="single" w:color="auto" w:sz="4" w:space="0"/>
              <w:bottom w:val="single" w:color="auto" w:sz="4" w:space="0"/>
              <w:right w:val="single" w:color="auto" w:sz="4" w:space="0"/>
            </w:tcBorders>
            <w:noWrap w:val="0"/>
            <w:vAlign w:val="top"/>
          </w:tcPr>
          <w:p w14:paraId="03B9D136">
            <w:pPr>
              <w:pStyle w:val="29"/>
              <w:ind w:firstLine="321"/>
              <w:jc w:val="both"/>
              <w:rPr>
                <w:rFonts w:hint="eastAsia" w:ascii="仿宋" w:hAnsi="仿宋" w:eastAsia="仿宋" w:cs="仿宋"/>
                <w:color w:val="auto"/>
                <w:sz w:val="32"/>
                <w:szCs w:val="32"/>
                <w:highlight w:val="none"/>
              </w:rPr>
            </w:pPr>
          </w:p>
        </w:tc>
      </w:tr>
    </w:tbl>
    <w:p w14:paraId="678E41E8">
      <w:pPr>
        <w:pStyle w:val="29"/>
        <w:ind w:firstLine="0" w:firstLineChars="0"/>
        <w:jc w:val="both"/>
        <w:rPr>
          <w:rFonts w:hint="eastAsia" w:ascii="仿宋" w:hAnsi="仿宋" w:eastAsia="仿宋" w:cs="仿宋"/>
          <w:color w:val="auto"/>
          <w:sz w:val="32"/>
          <w:szCs w:val="32"/>
          <w:highlight w:val="none"/>
        </w:rPr>
      </w:pPr>
    </w:p>
    <w:p w14:paraId="23139F72">
      <w:pPr>
        <w:rPr>
          <w:rFonts w:hint="eastAsia" w:ascii="仿宋" w:hAnsi="仿宋" w:eastAsia="仿宋" w:cs="仿宋"/>
          <w:b/>
          <w:bCs/>
          <w:color w:val="auto"/>
          <w:sz w:val="30"/>
          <w:szCs w:val="30"/>
          <w:highlight w:val="none"/>
          <w:lang w:eastAsia="zh-CN"/>
        </w:rPr>
      </w:pPr>
      <w:r>
        <w:rPr>
          <w:rFonts w:hint="eastAsia" w:ascii="仿宋" w:hAnsi="仿宋" w:eastAsia="仿宋" w:cs="仿宋"/>
          <w:color w:val="auto"/>
          <w:sz w:val="32"/>
          <w:szCs w:val="32"/>
          <w:highlight w:val="none"/>
        </w:rPr>
        <w:t>经办人：                                          科室负责人：</w:t>
      </w:r>
    </w:p>
    <w:p w14:paraId="439545BB">
      <w:pPr>
        <w:rPr>
          <w:rFonts w:hint="eastAsia" w:ascii="仿宋" w:hAnsi="仿宋" w:eastAsia="仿宋" w:cs="仿宋"/>
          <w:b/>
          <w:bCs/>
          <w:color w:val="auto"/>
          <w:sz w:val="30"/>
          <w:szCs w:val="30"/>
          <w:highlight w:val="none"/>
          <w:lang w:eastAsia="zh-CN"/>
        </w:rPr>
        <w:sectPr>
          <w:headerReference r:id="rId7" w:type="default"/>
          <w:footerReference r:id="rId8" w:type="default"/>
          <w:pgSz w:w="16840" w:h="11907" w:orient="landscape"/>
          <w:pgMar w:top="1803" w:right="1440" w:bottom="1236" w:left="1440" w:header="851" w:footer="992" w:gutter="0"/>
          <w:cols w:space="720" w:num="1"/>
          <w:docGrid w:type="lines" w:linePitch="312" w:charSpace="0"/>
        </w:sectPr>
      </w:pPr>
      <w:r>
        <w:rPr>
          <w:rFonts w:hint="eastAsia" w:ascii="仿宋" w:hAnsi="仿宋" w:eastAsia="仿宋" w:cs="仿宋"/>
          <w:b/>
          <w:bCs/>
          <w:color w:val="auto"/>
          <w:sz w:val="30"/>
          <w:szCs w:val="30"/>
          <w:highlight w:val="none"/>
          <w:lang w:eastAsia="zh-CN"/>
        </w:rPr>
        <w:br w:type="page"/>
      </w:r>
    </w:p>
    <w:p w14:paraId="732EC5E6">
      <w:pPr>
        <w:rPr>
          <w:rFonts w:hint="eastAsia" w:ascii="仿宋" w:hAnsi="仿宋" w:eastAsia="仿宋" w:cs="仿宋"/>
          <w:b/>
          <w:bCs/>
          <w:color w:val="auto"/>
          <w:sz w:val="30"/>
          <w:szCs w:val="30"/>
          <w:highlight w:val="none"/>
          <w:lang w:eastAsia="zh-CN"/>
        </w:rPr>
      </w:pPr>
    </w:p>
    <w:p w14:paraId="0932DBB6">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关于</w:t>
      </w:r>
      <w:r>
        <w:rPr>
          <w:rFonts w:hint="eastAsia" w:ascii="仿宋" w:hAnsi="仿宋" w:eastAsia="仿宋" w:cs="仿宋"/>
          <w:b/>
          <w:bCs/>
          <w:color w:val="auto"/>
          <w:sz w:val="44"/>
          <w:szCs w:val="44"/>
          <w:highlight w:val="none"/>
          <w:lang w:eastAsia="zh-CN"/>
        </w:rPr>
        <w:t>开展绍兴市建设工程消防验收技术服务机构评定工作</w:t>
      </w:r>
      <w:r>
        <w:rPr>
          <w:rFonts w:hint="eastAsia" w:ascii="仿宋" w:hAnsi="仿宋" w:eastAsia="仿宋" w:cs="仿宋"/>
          <w:b/>
          <w:bCs/>
          <w:color w:val="auto"/>
          <w:sz w:val="44"/>
          <w:szCs w:val="44"/>
          <w:highlight w:val="none"/>
        </w:rPr>
        <w:t>的通知</w:t>
      </w:r>
    </w:p>
    <w:p w14:paraId="69E7B835">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32"/>
          <w:szCs w:val="32"/>
          <w:highlight w:val="none"/>
        </w:rPr>
      </w:pPr>
    </w:p>
    <w:p w14:paraId="5B2CD1D0">
      <w:pPr>
        <w:pStyle w:val="53"/>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各区、县（市）建设局，滨海新区</w:t>
      </w:r>
      <w:r>
        <w:rPr>
          <w:rFonts w:hint="eastAsia" w:ascii="仿宋" w:hAnsi="仿宋" w:eastAsia="仿宋" w:cs="仿宋"/>
          <w:color w:val="auto"/>
          <w:sz w:val="32"/>
          <w:szCs w:val="32"/>
          <w:highlight w:val="none"/>
          <w:lang w:eastAsia="zh-CN"/>
        </w:rPr>
        <w:t>规建局、</w:t>
      </w:r>
      <w:r>
        <w:rPr>
          <w:rFonts w:hint="eastAsia" w:ascii="仿宋" w:hAnsi="仿宋" w:eastAsia="仿宋" w:cs="仿宋"/>
          <w:b w:val="0"/>
          <w:bCs w:val="0"/>
          <w:color w:val="auto"/>
          <w:sz w:val="32"/>
          <w:szCs w:val="32"/>
          <w:highlight w:val="none"/>
        </w:rPr>
        <w:t>镜湖新区</w:t>
      </w:r>
      <w:r>
        <w:rPr>
          <w:rFonts w:hint="eastAsia" w:ascii="仿宋" w:hAnsi="仿宋" w:eastAsia="仿宋" w:cs="仿宋"/>
          <w:b w:val="0"/>
          <w:bCs w:val="0"/>
          <w:color w:val="auto"/>
          <w:sz w:val="32"/>
          <w:szCs w:val="32"/>
          <w:highlight w:val="none"/>
          <w:lang w:eastAsia="zh-CN"/>
        </w:rPr>
        <w:t>开发办综合事务部、市质安中心，各有关单位</w:t>
      </w:r>
      <w:r>
        <w:rPr>
          <w:rFonts w:hint="eastAsia" w:ascii="仿宋" w:hAnsi="仿宋" w:eastAsia="仿宋" w:cs="仿宋"/>
          <w:color w:val="auto"/>
          <w:sz w:val="32"/>
          <w:szCs w:val="32"/>
          <w:highlight w:val="none"/>
        </w:rPr>
        <w:t>：</w:t>
      </w:r>
    </w:p>
    <w:p w14:paraId="39D0E97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为规范消防验收技术服务机构服务行为，提升消防验收技术服务质量，根据《建设工程消防设计审查验收管理暂行规定》（住建部令第5</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号）《浙江省建设工程消防设计审查验收管理暂行办法》等有关规定</w:t>
      </w:r>
      <w:r>
        <w:rPr>
          <w:rFonts w:hint="eastAsia" w:ascii="仿宋" w:hAnsi="仿宋" w:eastAsia="仿宋" w:cs="仿宋"/>
          <w:color w:val="auto"/>
          <w:sz w:val="32"/>
          <w:szCs w:val="32"/>
          <w:highlight w:val="none"/>
          <w:lang w:eastAsia="zh-CN"/>
        </w:rPr>
        <w:t>，对</w:t>
      </w:r>
      <w:r>
        <w:rPr>
          <w:rFonts w:hint="eastAsia" w:ascii="仿宋" w:hAnsi="仿宋" w:eastAsia="仿宋" w:cs="仿宋"/>
          <w:color w:val="auto"/>
          <w:kern w:val="0"/>
          <w:sz w:val="32"/>
          <w:szCs w:val="32"/>
          <w:highlight w:val="none"/>
          <w:u w:val="none"/>
          <w:lang w:val="en-US" w:eastAsia="zh-CN" w:bidi="ar-SA"/>
        </w:rPr>
        <w:t>全市建设主管部门公开招投标中标的</w:t>
      </w:r>
      <w:r>
        <w:rPr>
          <w:rFonts w:hint="eastAsia" w:ascii="仿宋" w:hAnsi="仿宋" w:eastAsia="仿宋" w:cs="仿宋"/>
          <w:color w:val="auto"/>
          <w:sz w:val="32"/>
          <w:szCs w:val="32"/>
          <w:highlight w:val="none"/>
          <w:u w:val="none"/>
        </w:rPr>
        <w:t>第三方</w:t>
      </w:r>
      <w:r>
        <w:rPr>
          <w:rFonts w:hint="eastAsia" w:ascii="仿宋" w:hAnsi="仿宋" w:eastAsia="仿宋" w:cs="仿宋"/>
          <w:color w:val="auto"/>
          <w:sz w:val="32"/>
          <w:szCs w:val="32"/>
          <w:highlight w:val="none"/>
          <w:u w:val="none"/>
          <w:lang w:eastAsia="zh-CN"/>
        </w:rPr>
        <w:t>消防验收技术服务</w:t>
      </w:r>
      <w:r>
        <w:rPr>
          <w:rFonts w:hint="eastAsia" w:ascii="仿宋" w:hAnsi="仿宋" w:eastAsia="仿宋" w:cs="仿宋"/>
          <w:color w:val="auto"/>
          <w:sz w:val="32"/>
          <w:szCs w:val="32"/>
          <w:highlight w:val="none"/>
          <w:u w:val="none"/>
        </w:rPr>
        <w:t>机构</w:t>
      </w:r>
      <w:r>
        <w:rPr>
          <w:rFonts w:hint="eastAsia" w:ascii="仿宋" w:hAnsi="仿宋" w:eastAsia="仿宋" w:cs="仿宋"/>
          <w:color w:val="auto"/>
          <w:sz w:val="32"/>
          <w:szCs w:val="32"/>
          <w:highlight w:val="none"/>
        </w:rPr>
        <w:t>（以下简称“第三方机构”）</w:t>
      </w:r>
      <w:r>
        <w:rPr>
          <w:rFonts w:hint="eastAsia" w:ascii="仿宋" w:hAnsi="仿宋" w:eastAsia="仿宋" w:cs="仿宋"/>
          <w:color w:val="auto"/>
          <w:sz w:val="32"/>
          <w:szCs w:val="32"/>
          <w:highlight w:val="none"/>
          <w:lang w:eastAsia="zh-CN"/>
        </w:rPr>
        <w:t>开展评定工作</w:t>
      </w:r>
      <w:r>
        <w:rPr>
          <w:rFonts w:hint="eastAsia" w:ascii="仿宋" w:hAnsi="仿宋" w:eastAsia="仿宋" w:cs="仿宋"/>
          <w:color w:val="auto"/>
          <w:sz w:val="32"/>
          <w:szCs w:val="32"/>
          <w:highlight w:val="none"/>
        </w:rPr>
        <w:t>。</w:t>
      </w:r>
    </w:p>
    <w:p w14:paraId="4C40B19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一、评定对象</w:t>
      </w:r>
    </w:p>
    <w:p w14:paraId="4B2A4FC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kern w:val="0"/>
          <w:sz w:val="32"/>
          <w:szCs w:val="32"/>
          <w:highlight w:val="none"/>
          <w:u w:val="none"/>
          <w:lang w:val="en-US" w:eastAsia="zh-CN" w:bidi="ar-SA"/>
        </w:rPr>
        <w:t>全市建设主管部门公开招投标中标的</w:t>
      </w:r>
      <w:r>
        <w:rPr>
          <w:rFonts w:hint="eastAsia" w:ascii="仿宋" w:hAnsi="仿宋" w:eastAsia="仿宋" w:cs="仿宋"/>
          <w:color w:val="auto"/>
          <w:sz w:val="32"/>
          <w:szCs w:val="32"/>
          <w:highlight w:val="none"/>
          <w:u w:val="none"/>
        </w:rPr>
        <w:t>第三方</w:t>
      </w:r>
      <w:r>
        <w:rPr>
          <w:rFonts w:hint="eastAsia" w:ascii="仿宋" w:hAnsi="仿宋" w:eastAsia="仿宋" w:cs="仿宋"/>
          <w:color w:val="auto"/>
          <w:sz w:val="32"/>
          <w:szCs w:val="32"/>
          <w:highlight w:val="none"/>
          <w:u w:val="none"/>
          <w:lang w:eastAsia="zh-CN"/>
        </w:rPr>
        <w:t>消防验收技术服务</w:t>
      </w:r>
      <w:r>
        <w:rPr>
          <w:rFonts w:hint="eastAsia" w:ascii="仿宋" w:hAnsi="仿宋" w:eastAsia="仿宋" w:cs="仿宋"/>
          <w:color w:val="auto"/>
          <w:sz w:val="32"/>
          <w:szCs w:val="32"/>
          <w:highlight w:val="none"/>
          <w:u w:val="none"/>
        </w:rPr>
        <w:t>机构。</w:t>
      </w:r>
    </w:p>
    <w:p w14:paraId="221EBF0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二、评定周期</w:t>
      </w:r>
    </w:p>
    <w:p w14:paraId="7E0089AA">
      <w:pPr>
        <w:pStyle w:val="53"/>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lang w:eastAsia="zh-CN"/>
        </w:rPr>
        <w:t>建设主管部门每季度</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eastAsia="zh-CN"/>
        </w:rPr>
        <w:t>第三方机构</w:t>
      </w:r>
      <w:r>
        <w:rPr>
          <w:rFonts w:hint="eastAsia" w:ascii="仿宋" w:hAnsi="仿宋" w:eastAsia="仿宋" w:cs="仿宋"/>
          <w:color w:val="auto"/>
          <w:sz w:val="32"/>
          <w:szCs w:val="32"/>
          <w:highlight w:val="none"/>
        </w:rPr>
        <w:t>的服务情况进行</w:t>
      </w:r>
      <w:r>
        <w:rPr>
          <w:rFonts w:hint="eastAsia" w:ascii="仿宋" w:hAnsi="仿宋" w:eastAsia="仿宋" w:cs="仿宋"/>
          <w:color w:val="auto"/>
          <w:sz w:val="32"/>
          <w:szCs w:val="32"/>
          <w:highlight w:val="none"/>
          <w:lang w:eastAsia="zh-CN"/>
        </w:rPr>
        <w:t>季</w:t>
      </w:r>
      <w:r>
        <w:rPr>
          <w:rFonts w:hint="eastAsia" w:ascii="仿宋" w:hAnsi="仿宋" w:eastAsia="仿宋" w:cs="仿宋"/>
          <w:color w:val="auto"/>
          <w:sz w:val="32"/>
          <w:szCs w:val="32"/>
          <w:highlight w:val="none"/>
        </w:rPr>
        <w:t>度</w:t>
      </w:r>
      <w:r>
        <w:rPr>
          <w:rFonts w:hint="eastAsia" w:ascii="仿宋" w:hAnsi="仿宋" w:eastAsia="仿宋" w:cs="仿宋"/>
          <w:color w:val="auto"/>
          <w:sz w:val="32"/>
          <w:szCs w:val="32"/>
          <w:highlight w:val="none"/>
          <w:lang w:eastAsia="zh-CN"/>
        </w:rPr>
        <w:t>评定（市本级一月一次）</w:t>
      </w:r>
      <w:r>
        <w:rPr>
          <w:rFonts w:hint="eastAsia" w:ascii="仿宋" w:hAnsi="仿宋" w:eastAsia="仿宋" w:cs="仿宋"/>
          <w:color w:val="auto"/>
          <w:sz w:val="32"/>
          <w:szCs w:val="32"/>
          <w:highlight w:val="none"/>
        </w:rPr>
        <w:t>，于每个自然年年底</w:t>
      </w:r>
      <w:r>
        <w:rPr>
          <w:rFonts w:hint="eastAsia" w:ascii="仿宋" w:hAnsi="仿宋" w:eastAsia="仿宋" w:cs="仿宋"/>
          <w:color w:val="auto"/>
          <w:sz w:val="32"/>
          <w:szCs w:val="32"/>
          <w:highlight w:val="none"/>
          <w:lang w:eastAsia="zh-CN"/>
        </w:rPr>
        <w:t>（或合同结束前）</w:t>
      </w:r>
      <w:r>
        <w:rPr>
          <w:rFonts w:hint="eastAsia" w:ascii="仿宋" w:hAnsi="仿宋" w:eastAsia="仿宋" w:cs="仿宋"/>
          <w:color w:val="auto"/>
          <w:sz w:val="32"/>
          <w:szCs w:val="32"/>
          <w:highlight w:val="none"/>
        </w:rPr>
        <w:t>对全年的服务情况进行年度</w:t>
      </w:r>
      <w:r>
        <w:rPr>
          <w:rFonts w:hint="eastAsia" w:ascii="仿宋" w:hAnsi="仿宋" w:eastAsia="仿宋" w:cs="仿宋"/>
          <w:color w:val="auto"/>
          <w:sz w:val="32"/>
          <w:szCs w:val="32"/>
          <w:highlight w:val="none"/>
          <w:lang w:eastAsia="zh-CN"/>
        </w:rPr>
        <w:t>（阶段）评定，评定</w:t>
      </w:r>
      <w:r>
        <w:rPr>
          <w:rFonts w:hint="eastAsia" w:ascii="仿宋" w:hAnsi="仿宋" w:eastAsia="仿宋" w:cs="仿宋"/>
          <w:color w:val="auto"/>
          <w:sz w:val="32"/>
          <w:szCs w:val="32"/>
          <w:highlight w:val="none"/>
          <w:u w:val="none"/>
          <w:lang w:eastAsia="zh-CN"/>
        </w:rPr>
        <w:t>结果每季度公布一次。</w:t>
      </w:r>
    </w:p>
    <w:p w14:paraId="6039D2B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要求</w:t>
      </w:r>
    </w:p>
    <w:p w14:paraId="0ADD05F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（一）评定</w:t>
      </w:r>
      <w:r>
        <w:rPr>
          <w:rFonts w:hint="eastAsia" w:ascii="仿宋" w:hAnsi="仿宋" w:eastAsia="仿宋" w:cs="仿宋"/>
          <w:color w:val="auto"/>
          <w:sz w:val="32"/>
          <w:szCs w:val="32"/>
          <w:highlight w:val="none"/>
        </w:rPr>
        <w:t>工作应遵循客观、严格的原则进行，确保</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工作公平、公正、公开。被</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的第三方机构应遵守</w:t>
      </w:r>
      <w:r>
        <w:rPr>
          <w:rFonts w:hint="eastAsia" w:ascii="仿宋" w:hAnsi="仿宋" w:eastAsia="仿宋" w:cs="仿宋"/>
          <w:color w:val="auto"/>
          <w:sz w:val="32"/>
          <w:szCs w:val="32"/>
          <w:highlight w:val="none"/>
          <w:lang w:eastAsia="zh-CN"/>
        </w:rPr>
        <w:t>建设主管部门</w:t>
      </w:r>
      <w:r>
        <w:rPr>
          <w:rFonts w:hint="eastAsia" w:ascii="仿宋" w:hAnsi="仿宋" w:eastAsia="仿宋" w:cs="仿宋"/>
          <w:color w:val="auto"/>
          <w:sz w:val="32"/>
          <w:szCs w:val="32"/>
          <w:highlight w:val="none"/>
        </w:rPr>
        <w:t>的工作要求，积极配合</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工作，及时准确提供相关资料。</w:t>
      </w:r>
    </w:p>
    <w:p w14:paraId="28F1677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（二）建设主管部门</w:t>
      </w:r>
      <w:r>
        <w:rPr>
          <w:rFonts w:hint="eastAsia" w:ascii="仿宋" w:hAnsi="仿宋" w:eastAsia="仿宋" w:cs="仿宋"/>
          <w:color w:val="auto"/>
          <w:sz w:val="32"/>
          <w:szCs w:val="32"/>
          <w:highlight w:val="none"/>
        </w:rPr>
        <w:t>应在</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后</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个工作日内生成各第三方机构的</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意见</w:t>
      </w:r>
      <w:r>
        <w:rPr>
          <w:rFonts w:hint="eastAsia" w:ascii="仿宋" w:hAnsi="仿宋" w:eastAsia="仿宋" w:cs="仿宋"/>
          <w:color w:val="auto"/>
          <w:sz w:val="32"/>
          <w:szCs w:val="32"/>
          <w:highlight w:val="none"/>
          <w:lang w:eastAsia="zh-CN"/>
        </w:rPr>
        <w:t>，第三方机构</w:t>
      </w:r>
      <w:r>
        <w:rPr>
          <w:rFonts w:hint="eastAsia" w:ascii="仿宋" w:hAnsi="仿宋" w:eastAsia="仿宋" w:cs="仿宋"/>
          <w:color w:val="auto"/>
          <w:sz w:val="32"/>
          <w:szCs w:val="32"/>
          <w:highlight w:val="none"/>
        </w:rPr>
        <w:t>在收到书面</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意见后5个工作日内将</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报告中所提问题</w:t>
      </w:r>
      <w:r>
        <w:rPr>
          <w:rFonts w:hint="eastAsia" w:ascii="仿宋" w:hAnsi="仿宋" w:eastAsia="仿宋" w:cs="仿宋"/>
          <w:color w:val="auto"/>
          <w:sz w:val="32"/>
          <w:szCs w:val="32"/>
          <w:highlight w:val="none"/>
          <w:lang w:eastAsia="zh-CN"/>
        </w:rPr>
        <w:t>书面</w:t>
      </w:r>
      <w:r>
        <w:rPr>
          <w:rFonts w:hint="eastAsia" w:ascii="仿宋" w:hAnsi="仿宋" w:eastAsia="仿宋" w:cs="仿宋"/>
          <w:color w:val="auto"/>
          <w:sz w:val="32"/>
          <w:szCs w:val="32"/>
          <w:highlight w:val="none"/>
        </w:rPr>
        <w:t>整改回复。</w:t>
      </w:r>
    </w:p>
    <w:p w14:paraId="127A55E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结果</w:t>
      </w:r>
    </w:p>
    <w:p w14:paraId="3E804B9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第三方机构的</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lang w:val="en-US" w:eastAsia="zh-CN"/>
        </w:rPr>
        <w:t>基准分</w:t>
      </w:r>
      <w:r>
        <w:rPr>
          <w:rFonts w:hint="eastAsia" w:ascii="仿宋" w:hAnsi="仿宋" w:eastAsia="仿宋" w:cs="仿宋"/>
          <w:color w:val="auto"/>
          <w:sz w:val="32"/>
          <w:szCs w:val="32"/>
          <w:highlight w:val="none"/>
        </w:rPr>
        <w:t>为100分，</w:t>
      </w:r>
      <w:r>
        <w:rPr>
          <w:rFonts w:hint="eastAsia" w:ascii="仿宋" w:hAnsi="仿宋" w:eastAsia="仿宋" w:cs="仿宋"/>
          <w:color w:val="auto"/>
          <w:sz w:val="32"/>
          <w:szCs w:val="32"/>
          <w:highlight w:val="none"/>
          <w:lang w:val="en-US" w:eastAsia="zh-CN"/>
        </w:rPr>
        <w:t>附加分20分。</w:t>
      </w:r>
      <w:r>
        <w:rPr>
          <w:rFonts w:hint="eastAsia" w:ascii="仿宋" w:hAnsi="仿宋" w:eastAsia="仿宋" w:cs="仿宋"/>
          <w:b w:val="0"/>
          <w:bCs w:val="0"/>
          <w:color w:val="auto"/>
          <w:sz w:val="32"/>
          <w:szCs w:val="32"/>
          <w:highlight w:val="none"/>
          <w:lang w:val="en-US" w:eastAsia="zh-CN"/>
        </w:rPr>
        <w:t>针对执业行为和综合管理中违反有关规定的行为予以扣分；针对行政支撑中发挥有效作用的行为予以加分。评定</w:t>
      </w:r>
      <w:r>
        <w:rPr>
          <w:rFonts w:hint="eastAsia" w:ascii="仿宋" w:hAnsi="仿宋" w:eastAsia="仿宋" w:cs="仿宋"/>
          <w:color w:val="auto"/>
          <w:sz w:val="32"/>
          <w:szCs w:val="32"/>
          <w:highlight w:val="none"/>
        </w:rPr>
        <w:t>结果</w:t>
      </w:r>
      <w:r>
        <w:rPr>
          <w:rFonts w:hint="eastAsia" w:ascii="仿宋" w:hAnsi="仿宋" w:eastAsia="仿宋" w:cs="仿宋"/>
          <w:color w:val="auto"/>
          <w:sz w:val="32"/>
          <w:szCs w:val="32"/>
          <w:highlight w:val="none"/>
          <w:lang w:val="en-US" w:eastAsia="zh-CN"/>
        </w:rPr>
        <w:t>95</w:t>
      </w:r>
      <w:r>
        <w:rPr>
          <w:rFonts w:hint="eastAsia" w:ascii="仿宋" w:hAnsi="仿宋" w:eastAsia="仿宋" w:cs="仿宋"/>
          <w:color w:val="auto"/>
          <w:sz w:val="32"/>
          <w:szCs w:val="32"/>
          <w:highlight w:val="none"/>
        </w:rPr>
        <w:t>分（含）以上的为</w:t>
      </w:r>
      <w:r>
        <w:rPr>
          <w:rFonts w:hint="eastAsia" w:ascii="仿宋" w:hAnsi="仿宋" w:eastAsia="仿宋" w:cs="仿宋"/>
          <w:color w:val="auto"/>
          <w:sz w:val="32"/>
          <w:szCs w:val="32"/>
          <w:highlight w:val="none"/>
          <w:lang w:val="en-US" w:eastAsia="zh-CN"/>
        </w:rPr>
        <w:t>优秀</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结果</w:t>
      </w:r>
      <w:r>
        <w:rPr>
          <w:rFonts w:hint="eastAsia" w:ascii="仿宋" w:hAnsi="仿宋" w:eastAsia="仿宋" w:cs="仿宋"/>
          <w:color w:val="auto"/>
          <w:sz w:val="32"/>
          <w:szCs w:val="32"/>
          <w:highlight w:val="none"/>
          <w:lang w:val="en-US" w:eastAsia="zh-CN"/>
        </w:rPr>
        <w:t>85</w:t>
      </w:r>
      <w:r>
        <w:rPr>
          <w:rFonts w:hint="eastAsia" w:ascii="仿宋" w:hAnsi="仿宋" w:eastAsia="仿宋" w:cs="仿宋"/>
          <w:color w:val="auto"/>
          <w:sz w:val="32"/>
          <w:szCs w:val="32"/>
          <w:highlight w:val="none"/>
        </w:rPr>
        <w:t>分（含）以上的为</w:t>
      </w:r>
      <w:r>
        <w:rPr>
          <w:rFonts w:hint="eastAsia" w:ascii="仿宋" w:hAnsi="仿宋" w:eastAsia="仿宋" w:cs="仿宋"/>
          <w:color w:val="auto"/>
          <w:sz w:val="32"/>
          <w:szCs w:val="32"/>
          <w:highlight w:val="none"/>
          <w:lang w:val="en-US" w:eastAsia="zh-CN"/>
        </w:rPr>
        <w:t>良好</w:t>
      </w:r>
      <w:r>
        <w:rPr>
          <w:rFonts w:hint="eastAsia" w:ascii="仿宋" w:hAnsi="仿宋" w:eastAsia="仿宋" w:cs="仿宋"/>
          <w:color w:val="auto"/>
          <w:sz w:val="32"/>
          <w:szCs w:val="32"/>
          <w:highlight w:val="none"/>
        </w:rPr>
        <w:t>；70分（含）至8</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分为合格；70分以下为不合格。</w:t>
      </w:r>
      <w:r>
        <w:rPr>
          <w:rFonts w:hint="eastAsia" w:ascii="仿宋" w:hAnsi="仿宋" w:eastAsia="仿宋" w:cs="仿宋"/>
          <w:color w:val="auto"/>
          <w:sz w:val="32"/>
          <w:szCs w:val="32"/>
          <w:highlight w:val="none"/>
          <w:lang w:val="en-US" w:eastAsia="zh-CN"/>
        </w:rPr>
        <w:t xml:space="preserve">  </w:t>
      </w:r>
    </w:p>
    <w:p w14:paraId="0D39E84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（二）评定</w:t>
      </w:r>
      <w:r>
        <w:rPr>
          <w:rFonts w:hint="eastAsia" w:ascii="仿宋" w:hAnsi="仿宋" w:eastAsia="仿宋" w:cs="仿宋"/>
          <w:color w:val="auto"/>
          <w:sz w:val="32"/>
          <w:szCs w:val="32"/>
          <w:highlight w:val="none"/>
        </w:rPr>
        <w:t>结果8</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分（含）以上时，按照合同约定支付该阶段的进度款；</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结果8</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分以下时，</w:t>
      </w:r>
      <w:r>
        <w:rPr>
          <w:rFonts w:hint="eastAsia" w:ascii="仿宋" w:hAnsi="仿宋" w:eastAsia="仿宋" w:cs="仿宋"/>
          <w:strike w:val="0"/>
          <w:dstrike w:val="0"/>
          <w:color w:val="auto"/>
          <w:sz w:val="32"/>
          <w:szCs w:val="32"/>
          <w:highlight w:val="none"/>
          <w:u w:val="none"/>
        </w:rPr>
        <w:t>由</w:t>
      </w:r>
      <w:r>
        <w:rPr>
          <w:rFonts w:hint="eastAsia" w:ascii="仿宋" w:hAnsi="仿宋" w:eastAsia="仿宋" w:cs="仿宋"/>
          <w:strike w:val="0"/>
          <w:dstrike w:val="0"/>
          <w:color w:val="auto"/>
          <w:sz w:val="32"/>
          <w:szCs w:val="32"/>
          <w:highlight w:val="none"/>
          <w:u w:val="none"/>
          <w:lang w:eastAsia="zh-CN"/>
        </w:rPr>
        <w:t>建设主管部门相关业务部门</w:t>
      </w:r>
      <w:r>
        <w:rPr>
          <w:rFonts w:hint="eastAsia" w:ascii="仿宋" w:hAnsi="仿宋" w:eastAsia="仿宋" w:cs="仿宋"/>
          <w:color w:val="auto"/>
          <w:sz w:val="32"/>
          <w:szCs w:val="32"/>
          <w:highlight w:val="none"/>
        </w:rPr>
        <w:t>进行约谈。第三方机构如涉及招标文件及合同约定的扣款条款或其他违约行为的，按照招标文件及合同执行。</w:t>
      </w:r>
    </w:p>
    <w:p w14:paraId="3021901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有下列情形之一的，实行一票否决，直接</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为不合格，涉及违法违规的，按有关法律法规执行：</w:t>
      </w:r>
    </w:p>
    <w:p w14:paraId="4973FE2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出具虚假消防技术服务报告的；</w:t>
      </w:r>
    </w:p>
    <w:p w14:paraId="1DBDBB1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出具合格的消防技术服务报告后仍发现存在重大消防安全问题的；</w:t>
      </w:r>
    </w:p>
    <w:p w14:paraId="15112DC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存在与建设、设计、施工等单位相互勾结、利益交换现象的；</w:t>
      </w:r>
    </w:p>
    <w:p w14:paraId="43F10F6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出具合格消防技术服务报告的建设工程</w:t>
      </w:r>
      <w:r>
        <w:rPr>
          <w:rFonts w:hint="eastAsia" w:ascii="仿宋" w:hAnsi="仿宋" w:eastAsia="仿宋" w:cs="仿宋"/>
          <w:color w:val="auto"/>
          <w:sz w:val="32"/>
          <w:szCs w:val="32"/>
          <w:highlight w:val="none"/>
          <w:lang w:eastAsia="zh-CN"/>
        </w:rPr>
        <w:t>因未发现消防安全隐患</w:t>
      </w:r>
      <w:r>
        <w:rPr>
          <w:rFonts w:hint="eastAsia" w:ascii="仿宋" w:hAnsi="仿宋" w:eastAsia="仿宋" w:cs="仿宋"/>
          <w:color w:val="auto"/>
          <w:sz w:val="32"/>
          <w:szCs w:val="32"/>
          <w:highlight w:val="none"/>
        </w:rPr>
        <w:t>发生火灾事故的。</w:t>
      </w:r>
    </w:p>
    <w:p w14:paraId="524E874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五</w:t>
      </w:r>
      <w:r>
        <w:rPr>
          <w:rFonts w:hint="eastAsia" w:ascii="仿宋" w:hAnsi="仿宋" w:eastAsia="仿宋" w:cs="仿宋"/>
          <w:color w:val="auto"/>
          <w:sz w:val="32"/>
          <w:szCs w:val="32"/>
          <w:highlight w:val="none"/>
        </w:rPr>
        <w:t>、年度</w:t>
      </w:r>
      <w:r>
        <w:rPr>
          <w:rFonts w:hint="eastAsia" w:ascii="仿宋" w:hAnsi="仿宋" w:eastAsia="仿宋" w:cs="仿宋"/>
          <w:color w:val="auto"/>
          <w:sz w:val="32"/>
          <w:szCs w:val="32"/>
          <w:highlight w:val="none"/>
          <w:lang w:eastAsia="zh-CN"/>
        </w:rPr>
        <w:t>（阶段）评定</w:t>
      </w:r>
    </w:p>
    <w:p w14:paraId="2DBA45A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建设主管部门</w:t>
      </w:r>
      <w:r>
        <w:rPr>
          <w:rFonts w:hint="eastAsia" w:ascii="仿宋" w:hAnsi="仿宋" w:eastAsia="仿宋" w:cs="仿宋"/>
          <w:color w:val="auto"/>
          <w:sz w:val="32"/>
          <w:szCs w:val="32"/>
          <w:highlight w:val="none"/>
        </w:rPr>
        <w:t>根据上一自然年度</w:t>
      </w:r>
      <w:r>
        <w:rPr>
          <w:rFonts w:hint="eastAsia" w:ascii="仿宋" w:hAnsi="仿宋" w:eastAsia="仿宋" w:cs="仿宋"/>
          <w:color w:val="auto"/>
          <w:sz w:val="32"/>
          <w:szCs w:val="32"/>
          <w:highlight w:val="none"/>
          <w:lang w:eastAsia="zh-CN"/>
        </w:rPr>
        <w:t>（或合同结束前）</w:t>
      </w:r>
      <w:r>
        <w:rPr>
          <w:rFonts w:hint="eastAsia" w:ascii="仿宋" w:hAnsi="仿宋" w:eastAsia="仿宋" w:cs="仿宋"/>
          <w:color w:val="auto"/>
          <w:sz w:val="32"/>
          <w:szCs w:val="32"/>
          <w:highlight w:val="none"/>
        </w:rPr>
        <w:t>第三方机构的</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情况开展年度</w:t>
      </w:r>
      <w:r>
        <w:rPr>
          <w:rFonts w:hint="eastAsia" w:ascii="仿宋" w:hAnsi="仿宋" w:eastAsia="仿宋" w:cs="仿宋"/>
          <w:color w:val="auto"/>
          <w:sz w:val="32"/>
          <w:szCs w:val="32"/>
          <w:highlight w:val="none"/>
          <w:lang w:eastAsia="zh-CN"/>
        </w:rPr>
        <w:t>（或阶段）评定</w:t>
      </w:r>
      <w:r>
        <w:rPr>
          <w:rFonts w:hint="eastAsia" w:ascii="仿宋" w:hAnsi="仿宋" w:eastAsia="仿宋" w:cs="仿宋"/>
          <w:color w:val="auto"/>
          <w:sz w:val="32"/>
          <w:szCs w:val="32"/>
          <w:highlight w:val="none"/>
        </w:rPr>
        <w:t>，并做出评</w:t>
      </w:r>
      <w:r>
        <w:rPr>
          <w:rFonts w:hint="eastAsia" w:ascii="仿宋" w:hAnsi="仿宋" w:eastAsia="仿宋" w:cs="仿宋"/>
          <w:color w:val="auto"/>
          <w:sz w:val="32"/>
          <w:szCs w:val="32"/>
          <w:highlight w:val="none"/>
          <w:lang w:eastAsia="zh-CN"/>
        </w:rPr>
        <w:t>定</w:t>
      </w:r>
      <w:r>
        <w:rPr>
          <w:rFonts w:hint="eastAsia" w:ascii="仿宋" w:hAnsi="仿宋" w:eastAsia="仿宋" w:cs="仿宋"/>
          <w:color w:val="auto"/>
          <w:sz w:val="32"/>
          <w:szCs w:val="32"/>
          <w:highlight w:val="none"/>
        </w:rPr>
        <w:t>等级，实行差别化监管。具体内容为：</w:t>
      </w:r>
    </w:p>
    <w:p w14:paraId="35DFED8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color w:val="auto"/>
          <w:sz w:val="32"/>
          <w:szCs w:val="32"/>
          <w:highlight w:val="none"/>
          <w:lang w:val="en-US" w:eastAsia="zh-CN"/>
        </w:rPr>
        <w:t>（一）年度（阶段）优秀：</w:t>
      </w:r>
      <w:r>
        <w:rPr>
          <w:rFonts w:hint="eastAsia" w:ascii="仿宋" w:hAnsi="仿宋" w:eastAsia="仿宋" w:cs="仿宋"/>
          <w:color w:val="auto"/>
          <w:sz w:val="32"/>
          <w:szCs w:val="32"/>
          <w:highlight w:val="none"/>
          <w:lang w:eastAsia="zh-CN"/>
        </w:rPr>
        <w:t>季度（月度）</w:t>
      </w:r>
      <w:r>
        <w:rPr>
          <w:rFonts w:hint="eastAsia" w:ascii="仿宋" w:hAnsi="仿宋" w:eastAsia="仿宋" w:cs="仿宋"/>
          <w:color w:val="auto"/>
          <w:sz w:val="32"/>
          <w:szCs w:val="32"/>
          <w:highlight w:val="none"/>
          <w:lang w:val="en-US" w:eastAsia="zh-CN"/>
        </w:rPr>
        <w:t>评定平均分95分以上（含）；或各区、县（市）及开发区季</w:t>
      </w:r>
      <w:r>
        <w:rPr>
          <w:rFonts w:hint="eastAsia" w:ascii="仿宋" w:hAnsi="仿宋" w:eastAsia="仿宋" w:cs="仿宋"/>
          <w:color w:val="auto"/>
          <w:sz w:val="32"/>
          <w:szCs w:val="32"/>
          <w:highlight w:val="none"/>
        </w:rPr>
        <w:t>度</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lang w:val="en-US" w:eastAsia="zh-CN"/>
        </w:rPr>
        <w:t>至少2次以上（含）为优秀；或市本级月度评定优秀至少4次以上（含），</w:t>
      </w:r>
      <w:r>
        <w:rPr>
          <w:rFonts w:hint="eastAsia" w:ascii="仿宋" w:hAnsi="仿宋" w:eastAsia="仿宋" w:cs="仿宋"/>
          <w:color w:val="auto"/>
          <w:sz w:val="32"/>
          <w:szCs w:val="32"/>
          <w:highlight w:val="none"/>
        </w:rPr>
        <w:t>其他均为</w:t>
      </w:r>
      <w:r>
        <w:rPr>
          <w:rFonts w:hint="eastAsia" w:ascii="仿宋" w:hAnsi="仿宋" w:eastAsia="仿宋" w:cs="仿宋"/>
          <w:color w:val="auto"/>
          <w:sz w:val="32"/>
          <w:szCs w:val="32"/>
          <w:highlight w:val="none"/>
          <w:lang w:val="en-US" w:eastAsia="zh-CN"/>
        </w:rPr>
        <w:t>良好以上</w:t>
      </w:r>
      <w:r>
        <w:rPr>
          <w:rFonts w:hint="eastAsia" w:ascii="仿宋" w:hAnsi="仿宋" w:eastAsia="仿宋" w:cs="仿宋"/>
          <w:color w:val="auto"/>
          <w:sz w:val="32"/>
          <w:szCs w:val="32"/>
          <w:highlight w:val="none"/>
        </w:rPr>
        <w:t>；无被主管部门约谈或者警告的记录</w:t>
      </w:r>
      <w:r>
        <w:rPr>
          <w:rFonts w:hint="eastAsia" w:ascii="仿宋" w:hAnsi="仿宋" w:eastAsia="仿宋" w:cs="仿宋"/>
          <w:b w:val="0"/>
          <w:bCs w:val="0"/>
          <w:color w:val="auto"/>
          <w:sz w:val="32"/>
          <w:szCs w:val="32"/>
          <w:highlight w:val="none"/>
        </w:rPr>
        <w:t>。</w:t>
      </w:r>
    </w:p>
    <w:p w14:paraId="4764CF6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lang w:val="en-US" w:eastAsia="zh-CN"/>
        </w:rPr>
        <w:t>监管措施：</w:t>
      </w:r>
      <w:r>
        <w:rPr>
          <w:rFonts w:hint="eastAsia" w:ascii="仿宋" w:hAnsi="仿宋" w:eastAsia="仿宋" w:cs="仿宋"/>
          <w:b w:val="0"/>
          <w:bCs w:val="0"/>
          <w:color w:val="auto"/>
          <w:sz w:val="32"/>
          <w:szCs w:val="32"/>
          <w:highlight w:val="none"/>
          <w:lang w:val="en-US" w:eastAsia="zh-CN"/>
        </w:rPr>
        <w:t>实行激励机制，</w:t>
      </w:r>
      <w:r>
        <w:rPr>
          <w:rFonts w:hint="eastAsia" w:ascii="仿宋" w:hAnsi="仿宋" w:eastAsia="仿宋" w:cs="仿宋"/>
          <w:b w:val="0"/>
          <w:bCs w:val="0"/>
          <w:color w:val="auto"/>
          <w:sz w:val="32"/>
          <w:szCs w:val="32"/>
          <w:highlight w:val="none"/>
        </w:rPr>
        <w:t>以支持发展为主，</w:t>
      </w:r>
      <w:r>
        <w:rPr>
          <w:rFonts w:hint="eastAsia" w:ascii="仿宋" w:hAnsi="仿宋" w:eastAsia="仿宋" w:cs="仿宋"/>
          <w:b w:val="0"/>
          <w:bCs w:val="0"/>
          <w:color w:val="auto"/>
          <w:sz w:val="32"/>
          <w:szCs w:val="32"/>
          <w:highlight w:val="none"/>
          <w:lang w:val="en-US" w:eastAsia="zh-CN"/>
        </w:rPr>
        <w:t>优先考虑作为类似项目的服务供应商</w:t>
      </w:r>
      <w:r>
        <w:rPr>
          <w:rFonts w:hint="eastAsia" w:ascii="仿宋" w:hAnsi="仿宋" w:eastAsia="仿宋" w:cs="仿宋"/>
          <w:b w:val="0"/>
          <w:bCs w:val="0"/>
          <w:color w:val="auto"/>
          <w:sz w:val="32"/>
          <w:szCs w:val="32"/>
          <w:highlight w:val="none"/>
          <w:u w:val="none"/>
        </w:rPr>
        <w:t>。</w:t>
      </w:r>
    </w:p>
    <w:p w14:paraId="52A07B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lang w:val="en-US"/>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）年度</w:t>
      </w:r>
      <w:r>
        <w:rPr>
          <w:rFonts w:hint="eastAsia" w:ascii="仿宋" w:hAnsi="仿宋" w:eastAsia="仿宋" w:cs="仿宋"/>
          <w:color w:val="auto"/>
          <w:sz w:val="32"/>
          <w:szCs w:val="32"/>
          <w:highlight w:val="none"/>
          <w:lang w:val="en-US" w:eastAsia="zh-CN"/>
        </w:rPr>
        <w:t>（阶段）良好</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季度（月度）评定</w:t>
      </w:r>
      <w:r>
        <w:rPr>
          <w:rFonts w:hint="eastAsia" w:ascii="仿宋" w:hAnsi="仿宋" w:eastAsia="仿宋" w:cs="仿宋"/>
          <w:color w:val="auto"/>
          <w:sz w:val="32"/>
          <w:szCs w:val="32"/>
          <w:highlight w:val="none"/>
          <w:lang w:val="en-US" w:eastAsia="zh-CN"/>
        </w:rPr>
        <w:t>平均分85分以上（含）；或各区、县（市）及开发区季</w:t>
      </w:r>
      <w:r>
        <w:rPr>
          <w:rFonts w:hint="eastAsia" w:ascii="仿宋" w:hAnsi="仿宋" w:eastAsia="仿宋" w:cs="仿宋"/>
          <w:color w:val="auto"/>
          <w:sz w:val="32"/>
          <w:szCs w:val="32"/>
          <w:highlight w:val="none"/>
        </w:rPr>
        <w:t>度</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最多1次为</w:t>
      </w:r>
      <w:r>
        <w:rPr>
          <w:rFonts w:hint="eastAsia" w:ascii="仿宋" w:hAnsi="仿宋" w:eastAsia="仿宋" w:cs="仿宋"/>
          <w:color w:val="auto"/>
          <w:sz w:val="32"/>
          <w:szCs w:val="32"/>
          <w:highlight w:val="none"/>
          <w:lang w:val="en-US" w:eastAsia="zh-CN"/>
        </w:rPr>
        <w:t>合格</w:t>
      </w:r>
      <w:r>
        <w:rPr>
          <w:rFonts w:hint="eastAsia" w:ascii="仿宋" w:hAnsi="仿宋" w:eastAsia="仿宋" w:cs="仿宋"/>
          <w:color w:val="auto"/>
          <w:sz w:val="32"/>
          <w:szCs w:val="32"/>
          <w:highlight w:val="none"/>
        </w:rPr>
        <w:t>，其他均为</w:t>
      </w:r>
      <w:r>
        <w:rPr>
          <w:rFonts w:hint="eastAsia" w:ascii="仿宋" w:hAnsi="仿宋" w:eastAsia="仿宋" w:cs="仿宋"/>
          <w:color w:val="auto"/>
          <w:sz w:val="32"/>
          <w:szCs w:val="32"/>
          <w:highlight w:val="none"/>
          <w:lang w:val="en-US" w:eastAsia="zh-CN"/>
        </w:rPr>
        <w:t>良好以上；或市本级月度评定最多2次为合格，其他均为良好以上。</w:t>
      </w:r>
    </w:p>
    <w:p w14:paraId="38D649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监管措施：实行引导机制，帮扶、督促与监管并重；依法可提供的其他政策扶持或帮助。</w:t>
      </w:r>
    </w:p>
    <w:p w14:paraId="103CA2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）年度</w:t>
      </w:r>
      <w:r>
        <w:rPr>
          <w:rFonts w:hint="eastAsia" w:ascii="仿宋" w:hAnsi="仿宋" w:eastAsia="仿宋" w:cs="仿宋"/>
          <w:color w:val="auto"/>
          <w:sz w:val="32"/>
          <w:szCs w:val="32"/>
          <w:highlight w:val="none"/>
          <w:lang w:val="en-US" w:eastAsia="zh-CN"/>
        </w:rPr>
        <w:t>（阶段）</w:t>
      </w:r>
      <w:r>
        <w:rPr>
          <w:rFonts w:hint="eastAsia" w:ascii="仿宋" w:hAnsi="仿宋" w:eastAsia="仿宋" w:cs="仿宋"/>
          <w:color w:val="auto"/>
          <w:sz w:val="32"/>
          <w:szCs w:val="32"/>
          <w:highlight w:val="none"/>
        </w:rPr>
        <w:t>合格：</w:t>
      </w:r>
      <w:r>
        <w:rPr>
          <w:rFonts w:hint="eastAsia" w:ascii="仿宋" w:hAnsi="仿宋" w:eastAsia="仿宋" w:cs="仿宋"/>
          <w:color w:val="auto"/>
          <w:sz w:val="32"/>
          <w:szCs w:val="32"/>
          <w:highlight w:val="none"/>
          <w:lang w:val="en-US" w:eastAsia="zh-CN"/>
        </w:rPr>
        <w:t>季度（月度）</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lang w:val="en-US" w:eastAsia="zh-CN"/>
        </w:rPr>
        <w:t>平均分70分以上（含）；或各区、县（市）及开发区季</w:t>
      </w:r>
      <w:r>
        <w:rPr>
          <w:rFonts w:hint="eastAsia" w:ascii="仿宋" w:hAnsi="仿宋" w:eastAsia="仿宋" w:cs="仿宋"/>
          <w:color w:val="auto"/>
          <w:sz w:val="32"/>
          <w:szCs w:val="32"/>
          <w:highlight w:val="none"/>
        </w:rPr>
        <w:t>度</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次</w:t>
      </w:r>
      <w:r>
        <w:rPr>
          <w:rFonts w:hint="eastAsia" w:ascii="仿宋" w:hAnsi="仿宋" w:eastAsia="仿宋" w:cs="仿宋"/>
          <w:color w:val="auto"/>
          <w:sz w:val="32"/>
          <w:szCs w:val="32"/>
          <w:highlight w:val="none"/>
          <w:lang w:val="en-US" w:eastAsia="zh-CN"/>
        </w:rPr>
        <w:t>以内</w:t>
      </w:r>
      <w:r>
        <w:rPr>
          <w:rFonts w:hint="eastAsia" w:ascii="仿宋" w:hAnsi="仿宋" w:eastAsia="仿宋" w:cs="仿宋"/>
          <w:color w:val="auto"/>
          <w:sz w:val="32"/>
          <w:szCs w:val="32"/>
          <w:highlight w:val="none"/>
        </w:rPr>
        <w:t>为合格，其他均为</w:t>
      </w:r>
      <w:r>
        <w:rPr>
          <w:rFonts w:hint="eastAsia" w:ascii="仿宋" w:hAnsi="仿宋" w:eastAsia="仿宋" w:cs="仿宋"/>
          <w:color w:val="auto"/>
          <w:sz w:val="32"/>
          <w:szCs w:val="32"/>
          <w:highlight w:val="none"/>
          <w:lang w:val="en-US" w:eastAsia="zh-CN"/>
        </w:rPr>
        <w:t>良好</w:t>
      </w:r>
      <w:r>
        <w:rPr>
          <w:rFonts w:hint="eastAsia" w:ascii="仿宋" w:hAnsi="仿宋" w:eastAsia="仿宋" w:cs="仿宋"/>
          <w:color w:val="auto"/>
          <w:sz w:val="32"/>
          <w:szCs w:val="32"/>
          <w:highlight w:val="none"/>
        </w:rPr>
        <w:t>及以上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被</w:t>
      </w:r>
      <w:r>
        <w:rPr>
          <w:rFonts w:hint="eastAsia" w:ascii="仿宋" w:hAnsi="仿宋" w:eastAsia="仿宋" w:cs="仿宋"/>
          <w:color w:val="auto"/>
          <w:sz w:val="32"/>
          <w:szCs w:val="32"/>
          <w:highlight w:val="none"/>
          <w:lang w:eastAsia="zh-CN"/>
        </w:rPr>
        <w:t>建设</w:t>
      </w:r>
      <w:r>
        <w:rPr>
          <w:rFonts w:hint="eastAsia" w:ascii="仿宋" w:hAnsi="仿宋" w:eastAsia="仿宋" w:cs="仿宋"/>
          <w:color w:val="auto"/>
          <w:sz w:val="32"/>
          <w:szCs w:val="32"/>
          <w:highlight w:val="none"/>
        </w:rPr>
        <w:t>主管部门</w:t>
      </w:r>
      <w:r>
        <w:rPr>
          <w:rFonts w:hint="eastAsia" w:ascii="仿宋" w:hAnsi="仿宋" w:eastAsia="仿宋" w:cs="仿宋"/>
          <w:color w:val="auto"/>
          <w:sz w:val="32"/>
          <w:szCs w:val="32"/>
          <w:highlight w:val="none"/>
          <w:lang w:val="en-US" w:eastAsia="zh-CN"/>
        </w:rPr>
        <w:t>最多1</w:t>
      </w:r>
      <w:r>
        <w:rPr>
          <w:rFonts w:hint="eastAsia" w:ascii="仿宋" w:hAnsi="仿宋" w:eastAsia="仿宋" w:cs="仿宋"/>
          <w:color w:val="auto"/>
          <w:sz w:val="32"/>
          <w:szCs w:val="32"/>
          <w:highlight w:val="none"/>
        </w:rPr>
        <w:t>次约谈或警告的记录；</w:t>
      </w:r>
      <w:r>
        <w:rPr>
          <w:rFonts w:hint="eastAsia" w:ascii="仿宋" w:hAnsi="仿宋" w:eastAsia="仿宋" w:cs="仿宋"/>
          <w:color w:val="auto"/>
          <w:sz w:val="32"/>
          <w:szCs w:val="32"/>
          <w:highlight w:val="none"/>
          <w:lang w:val="en-US" w:eastAsia="zh-CN"/>
        </w:rPr>
        <w:t>或市本级月度评定最多3次为合格，其他均为良好以上，</w:t>
      </w:r>
      <w:r>
        <w:rPr>
          <w:rFonts w:hint="eastAsia" w:ascii="仿宋" w:hAnsi="仿宋" w:eastAsia="仿宋" w:cs="仿宋"/>
          <w:color w:val="auto"/>
          <w:sz w:val="32"/>
          <w:szCs w:val="32"/>
          <w:highlight w:val="none"/>
        </w:rPr>
        <w:t>被</w:t>
      </w:r>
      <w:r>
        <w:rPr>
          <w:rFonts w:hint="eastAsia" w:ascii="仿宋" w:hAnsi="仿宋" w:eastAsia="仿宋" w:cs="仿宋"/>
          <w:color w:val="auto"/>
          <w:sz w:val="32"/>
          <w:szCs w:val="32"/>
          <w:highlight w:val="none"/>
          <w:lang w:eastAsia="zh-CN"/>
        </w:rPr>
        <w:t>建设</w:t>
      </w:r>
      <w:r>
        <w:rPr>
          <w:rFonts w:hint="eastAsia" w:ascii="仿宋" w:hAnsi="仿宋" w:eastAsia="仿宋" w:cs="仿宋"/>
          <w:color w:val="auto"/>
          <w:sz w:val="32"/>
          <w:szCs w:val="32"/>
          <w:highlight w:val="none"/>
        </w:rPr>
        <w:t>主管部门</w:t>
      </w:r>
      <w:r>
        <w:rPr>
          <w:rFonts w:hint="eastAsia" w:ascii="仿宋" w:hAnsi="仿宋" w:eastAsia="仿宋" w:cs="仿宋"/>
          <w:color w:val="auto"/>
          <w:sz w:val="32"/>
          <w:szCs w:val="32"/>
          <w:highlight w:val="none"/>
          <w:lang w:val="en-US" w:eastAsia="zh-CN"/>
        </w:rPr>
        <w:t>最多1</w:t>
      </w:r>
      <w:r>
        <w:rPr>
          <w:rFonts w:hint="eastAsia" w:ascii="仿宋" w:hAnsi="仿宋" w:eastAsia="仿宋" w:cs="仿宋"/>
          <w:color w:val="auto"/>
          <w:sz w:val="32"/>
          <w:szCs w:val="32"/>
          <w:highlight w:val="none"/>
        </w:rPr>
        <w:t>次约谈或警告的记录</w:t>
      </w:r>
      <w:r>
        <w:rPr>
          <w:rFonts w:hint="eastAsia" w:ascii="仿宋" w:hAnsi="仿宋" w:eastAsia="仿宋" w:cs="仿宋"/>
          <w:color w:val="auto"/>
          <w:sz w:val="32"/>
          <w:szCs w:val="32"/>
          <w:highlight w:val="none"/>
          <w:lang w:val="en-US" w:eastAsia="zh-CN"/>
        </w:rPr>
        <w:t>。</w:t>
      </w:r>
    </w:p>
    <w:p w14:paraId="7BB3C4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监管措施：防范与监管并重；定期对机构管理人员进行法律法规教育；其他方面的防范性措施。</w:t>
      </w:r>
    </w:p>
    <w:p w14:paraId="71DAEB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）年度</w:t>
      </w:r>
      <w:r>
        <w:rPr>
          <w:rFonts w:hint="eastAsia" w:ascii="仿宋" w:hAnsi="仿宋" w:eastAsia="仿宋" w:cs="仿宋"/>
          <w:color w:val="auto"/>
          <w:sz w:val="32"/>
          <w:szCs w:val="32"/>
          <w:highlight w:val="none"/>
          <w:lang w:val="en-US" w:eastAsia="zh-CN"/>
        </w:rPr>
        <w:t>（阶段）</w:t>
      </w:r>
      <w:r>
        <w:rPr>
          <w:rFonts w:hint="eastAsia" w:ascii="仿宋" w:hAnsi="仿宋" w:eastAsia="仿宋" w:cs="仿宋"/>
          <w:color w:val="auto"/>
          <w:sz w:val="32"/>
          <w:szCs w:val="32"/>
          <w:highlight w:val="none"/>
        </w:rPr>
        <w:t>不合格：</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有</w:t>
      </w:r>
      <w:r>
        <w:rPr>
          <w:rFonts w:hint="eastAsia" w:ascii="仿宋" w:hAnsi="仿宋" w:eastAsia="仿宋" w:cs="仿宋"/>
          <w:color w:val="auto"/>
          <w:sz w:val="32"/>
          <w:szCs w:val="32"/>
          <w:highlight w:val="none"/>
          <w:lang w:val="en-US" w:eastAsia="zh-CN"/>
        </w:rPr>
        <w:t>不</w:t>
      </w:r>
      <w:r>
        <w:rPr>
          <w:rFonts w:hint="eastAsia" w:ascii="仿宋" w:hAnsi="仿宋" w:eastAsia="仿宋" w:cs="仿宋"/>
          <w:color w:val="auto"/>
          <w:sz w:val="32"/>
          <w:szCs w:val="32"/>
          <w:highlight w:val="none"/>
        </w:rPr>
        <w:t>合格</w:t>
      </w:r>
      <w:r>
        <w:rPr>
          <w:rFonts w:hint="eastAsia" w:ascii="仿宋" w:hAnsi="仿宋" w:eastAsia="仿宋" w:cs="仿宋"/>
          <w:color w:val="auto"/>
          <w:sz w:val="32"/>
          <w:szCs w:val="32"/>
          <w:highlight w:val="none"/>
          <w:lang w:val="en-US" w:eastAsia="zh-CN"/>
        </w:rPr>
        <w:t>记录</w:t>
      </w:r>
      <w:r>
        <w:rPr>
          <w:rFonts w:hint="eastAsia" w:ascii="仿宋" w:hAnsi="仿宋" w:eastAsia="仿宋" w:cs="仿宋"/>
          <w:color w:val="auto"/>
          <w:sz w:val="32"/>
          <w:szCs w:val="32"/>
          <w:highlight w:val="none"/>
        </w:rPr>
        <w:t>；被主管部门</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次及以上约谈或警告的；存在其他重大违约违规情况。</w:t>
      </w:r>
    </w:p>
    <w:p w14:paraId="2543AE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auto"/>
          <w:sz w:val="32"/>
          <w:szCs w:val="32"/>
          <w:highlight w:val="none"/>
          <w:u w:val="none"/>
        </w:rPr>
      </w:pPr>
      <w:r>
        <w:rPr>
          <w:rFonts w:hint="eastAsia" w:ascii="仿宋" w:hAnsi="仿宋" w:eastAsia="仿宋" w:cs="仿宋"/>
          <w:color w:val="auto"/>
          <w:sz w:val="32"/>
          <w:szCs w:val="32"/>
          <w:highlight w:val="none"/>
        </w:rPr>
        <w:t>监管措施：</w:t>
      </w:r>
      <w:r>
        <w:rPr>
          <w:rFonts w:hint="eastAsia" w:ascii="仿宋" w:hAnsi="仿宋" w:eastAsia="仿宋" w:cs="仿宋"/>
          <w:color w:val="auto"/>
          <w:sz w:val="32"/>
          <w:szCs w:val="32"/>
          <w:highlight w:val="none"/>
          <w:lang w:eastAsia="zh-CN"/>
        </w:rPr>
        <w:t>市建设局</w:t>
      </w:r>
      <w:r>
        <w:rPr>
          <w:rFonts w:hint="eastAsia" w:ascii="仿宋" w:hAnsi="仿宋" w:eastAsia="仿宋" w:cs="仿宋"/>
          <w:color w:val="auto"/>
          <w:sz w:val="32"/>
          <w:szCs w:val="32"/>
          <w:highlight w:val="none"/>
        </w:rPr>
        <w:t>及时将有关情况抄送市消防救援</w:t>
      </w:r>
      <w:r>
        <w:rPr>
          <w:rFonts w:hint="eastAsia" w:ascii="仿宋" w:hAnsi="仿宋" w:eastAsia="仿宋" w:cs="仿宋"/>
          <w:color w:val="auto"/>
          <w:sz w:val="32"/>
          <w:szCs w:val="32"/>
          <w:highlight w:val="none"/>
          <w:lang w:eastAsia="zh-CN"/>
        </w:rPr>
        <w:t>部门</w:t>
      </w:r>
      <w:r>
        <w:rPr>
          <w:rFonts w:hint="eastAsia" w:ascii="仿宋" w:hAnsi="仿宋" w:eastAsia="仿宋" w:cs="仿宋"/>
          <w:color w:val="auto"/>
          <w:sz w:val="32"/>
          <w:szCs w:val="32"/>
          <w:highlight w:val="none"/>
        </w:rPr>
        <w:t>，实行联合惩戒</w:t>
      </w:r>
      <w:r>
        <w:rPr>
          <w:rFonts w:hint="eastAsia" w:ascii="仿宋" w:hAnsi="仿宋" w:eastAsia="仿宋" w:cs="仿宋"/>
          <w:color w:val="auto"/>
          <w:sz w:val="32"/>
          <w:szCs w:val="32"/>
          <w:highlight w:val="none"/>
          <w:lang w:eastAsia="zh-CN"/>
        </w:rPr>
        <w:t>，不建议各区、县（市）建设主管部门继续采购此服务机构服务，同时</w:t>
      </w:r>
      <w:r>
        <w:rPr>
          <w:rFonts w:hint="eastAsia" w:ascii="仿宋" w:hAnsi="仿宋" w:eastAsia="仿宋" w:cs="仿宋"/>
          <w:color w:val="auto"/>
          <w:sz w:val="32"/>
          <w:szCs w:val="32"/>
          <w:highlight w:val="none"/>
        </w:rPr>
        <w:t>提醒建设单位谨慎选择</w:t>
      </w:r>
      <w:r>
        <w:rPr>
          <w:rFonts w:hint="eastAsia" w:ascii="仿宋" w:hAnsi="仿宋" w:eastAsia="仿宋" w:cs="仿宋"/>
          <w:color w:val="auto"/>
          <w:sz w:val="32"/>
          <w:szCs w:val="32"/>
          <w:highlight w:val="none"/>
          <w:lang w:eastAsia="zh-CN"/>
        </w:rPr>
        <w:t>年度（阶段）评定不合格</w:t>
      </w:r>
      <w:r>
        <w:rPr>
          <w:rFonts w:hint="eastAsia" w:ascii="仿宋" w:hAnsi="仿宋" w:eastAsia="仿宋" w:cs="仿宋"/>
          <w:color w:val="auto"/>
          <w:sz w:val="32"/>
          <w:szCs w:val="32"/>
          <w:highlight w:val="none"/>
        </w:rPr>
        <w:t>的消防查验机构开展消防查验。</w:t>
      </w:r>
    </w:p>
    <w:p w14:paraId="680FBB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p>
    <w:p w14:paraId="23387E04">
      <w:pPr>
        <w:keepNext w:val="0"/>
        <w:keepLines w:val="0"/>
        <w:pageBreakBefore w:val="0"/>
        <w:widowControl w:val="0"/>
        <w:kinsoku/>
        <w:wordWrap/>
        <w:overflowPunct/>
        <w:topLinePunct w:val="0"/>
        <w:bidi w:val="0"/>
        <w:snapToGrid/>
        <w:spacing w:line="560" w:lineRule="exact"/>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w:t>
      </w:r>
      <w:r>
        <w:rPr>
          <w:rFonts w:hint="eastAsia" w:ascii="仿宋" w:hAnsi="仿宋" w:eastAsia="仿宋" w:cs="仿宋"/>
          <w:color w:val="auto"/>
          <w:sz w:val="32"/>
          <w:szCs w:val="32"/>
          <w:highlight w:val="none"/>
          <w:lang w:eastAsia="zh-CN"/>
        </w:rPr>
        <w:t>件</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第三方</w:t>
      </w:r>
      <w:r>
        <w:rPr>
          <w:rFonts w:hint="eastAsia" w:ascii="仿宋" w:hAnsi="仿宋" w:eastAsia="仿宋" w:cs="仿宋"/>
          <w:color w:val="auto"/>
          <w:sz w:val="32"/>
          <w:szCs w:val="32"/>
          <w:highlight w:val="none"/>
        </w:rPr>
        <w:t>消防验收技术服务</w:t>
      </w:r>
      <w:r>
        <w:rPr>
          <w:rFonts w:hint="eastAsia" w:ascii="仿宋" w:hAnsi="仿宋" w:eastAsia="仿宋" w:cs="仿宋"/>
          <w:color w:val="auto"/>
          <w:sz w:val="32"/>
          <w:szCs w:val="32"/>
          <w:highlight w:val="none"/>
          <w:lang w:eastAsia="zh-CN"/>
        </w:rPr>
        <w:t>机构评定</w:t>
      </w:r>
      <w:r>
        <w:rPr>
          <w:rFonts w:hint="eastAsia" w:ascii="仿宋" w:hAnsi="仿宋" w:eastAsia="仿宋" w:cs="仿宋"/>
          <w:color w:val="auto"/>
          <w:sz w:val="32"/>
          <w:szCs w:val="32"/>
          <w:highlight w:val="none"/>
        </w:rPr>
        <w:t>表</w:t>
      </w:r>
    </w:p>
    <w:p w14:paraId="29EE126E">
      <w:pPr>
        <w:keepNext w:val="0"/>
        <w:keepLines w:val="0"/>
        <w:pageBreakBefore w:val="0"/>
        <w:widowControl w:val="0"/>
        <w:kinsoku/>
        <w:wordWrap/>
        <w:overflowPunct/>
        <w:topLinePunct w:val="0"/>
        <w:bidi w:val="0"/>
        <w:snapToGrid/>
        <w:spacing w:line="560" w:lineRule="exact"/>
        <w:ind w:firstLine="640"/>
        <w:textAlignment w:val="auto"/>
        <w:rPr>
          <w:rFonts w:hint="eastAsia" w:ascii="仿宋" w:hAnsi="仿宋" w:eastAsia="仿宋" w:cs="仿宋"/>
          <w:color w:val="auto"/>
          <w:sz w:val="32"/>
          <w:szCs w:val="32"/>
          <w:highlight w:val="none"/>
        </w:rPr>
      </w:pPr>
    </w:p>
    <w:p w14:paraId="7BBEDEC6">
      <w:pPr>
        <w:keepNext w:val="0"/>
        <w:keepLines w:val="0"/>
        <w:pageBreakBefore w:val="0"/>
        <w:widowControl w:val="0"/>
        <w:kinsoku/>
        <w:wordWrap/>
        <w:overflowPunct/>
        <w:topLinePunct w:val="0"/>
        <w:bidi w:val="0"/>
        <w:snapToGrid/>
        <w:spacing w:line="560" w:lineRule="exact"/>
        <w:ind w:firstLine="640"/>
        <w:textAlignment w:val="auto"/>
        <w:rPr>
          <w:rFonts w:hint="eastAsia" w:ascii="仿宋" w:hAnsi="仿宋" w:eastAsia="仿宋" w:cs="仿宋"/>
          <w:color w:val="auto"/>
          <w:sz w:val="32"/>
          <w:szCs w:val="32"/>
          <w:highlight w:val="none"/>
        </w:rPr>
      </w:pPr>
    </w:p>
    <w:p w14:paraId="5B00D5AE">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绍兴市住房和城乡建设局</w:t>
      </w:r>
      <w:r>
        <w:rPr>
          <w:rFonts w:hint="eastAsia" w:ascii="仿宋" w:hAnsi="仿宋" w:eastAsia="仿宋" w:cs="仿宋"/>
          <w:color w:val="auto"/>
          <w:sz w:val="32"/>
          <w:szCs w:val="32"/>
          <w:highlight w:val="none"/>
          <w:lang w:eastAsia="zh-CN"/>
        </w:rPr>
        <w:t>办公室</w:t>
      </w:r>
    </w:p>
    <w:p w14:paraId="17AD1134">
      <w:pPr>
        <w:keepNext w:val="0"/>
        <w:keepLines w:val="0"/>
        <w:pageBreakBefore w:val="0"/>
        <w:widowControl w:val="0"/>
        <w:kinsoku/>
        <w:wordWrap/>
        <w:overflowPunct/>
        <w:topLinePunct w:val="0"/>
        <w:bidi w:val="0"/>
        <w:snapToGrid/>
        <w:spacing w:line="560" w:lineRule="exact"/>
        <w:ind w:firstLine="5120" w:firstLineChars="16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2025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14</w:t>
      </w:r>
      <w:r>
        <w:rPr>
          <w:rFonts w:hint="eastAsia" w:ascii="仿宋" w:hAnsi="仿宋" w:eastAsia="仿宋" w:cs="仿宋"/>
          <w:color w:val="auto"/>
          <w:sz w:val="32"/>
          <w:szCs w:val="32"/>
          <w:highlight w:val="none"/>
        </w:rPr>
        <w:t>日</w:t>
      </w:r>
    </w:p>
    <w:p w14:paraId="69518B67">
      <w:pPr>
        <w:keepNext w:val="0"/>
        <w:keepLines w:val="0"/>
        <w:pageBreakBefore w:val="0"/>
        <w:widowControl w:val="0"/>
        <w:kinsoku/>
        <w:wordWrap/>
        <w:overflowPunct/>
        <w:topLinePunct w:val="0"/>
        <w:bidi w:val="0"/>
        <w:snapToGrid/>
        <w:spacing w:line="560" w:lineRule="exact"/>
        <w:ind w:firstLine="5120" w:firstLineChars="1600"/>
        <w:textAlignment w:val="auto"/>
        <w:rPr>
          <w:rFonts w:hint="eastAsia" w:ascii="仿宋" w:hAnsi="仿宋" w:eastAsia="仿宋" w:cs="仿宋"/>
          <w:color w:val="auto"/>
          <w:sz w:val="32"/>
          <w:szCs w:val="32"/>
          <w:highlight w:val="none"/>
        </w:rPr>
      </w:pPr>
    </w:p>
    <w:p w14:paraId="05325755">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rPr>
      </w:pPr>
    </w:p>
    <w:p w14:paraId="3F453A9C">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rPr>
      </w:pPr>
    </w:p>
    <w:p w14:paraId="7D220BF9">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rPr>
      </w:pPr>
    </w:p>
    <w:p w14:paraId="7FBD8016">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rPr>
      </w:pPr>
    </w:p>
    <w:p w14:paraId="63C07BD7">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rPr>
      </w:pPr>
    </w:p>
    <w:p w14:paraId="1267E1E5">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rPr>
      </w:pPr>
    </w:p>
    <w:p w14:paraId="25656C5C">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rPr>
      </w:pPr>
    </w:p>
    <w:p w14:paraId="6FE36671">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rPr>
      </w:pPr>
    </w:p>
    <w:p w14:paraId="19EA827A">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rPr>
      </w:pPr>
    </w:p>
    <w:p w14:paraId="1525B6E8">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rPr>
      </w:pPr>
    </w:p>
    <w:p w14:paraId="392015B5">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auto"/>
          <w:sz w:val="32"/>
          <w:szCs w:val="32"/>
          <w:highlight w:val="none"/>
        </w:rPr>
      </w:pPr>
    </w:p>
    <w:p w14:paraId="4ADEB2C9">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简体" w:cs="Times New Roman"/>
          <w:bCs/>
          <w:color w:val="auto"/>
          <w:sz w:val="44"/>
          <w:szCs w:val="44"/>
          <w:highlight w:val="none"/>
          <w:lang w:eastAsia="zh-CN"/>
        </w:rPr>
      </w:pPr>
    </w:p>
    <w:p w14:paraId="484595A4">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简体" w:cs="Times New Roman"/>
          <w:bCs/>
          <w:color w:val="auto"/>
          <w:sz w:val="44"/>
          <w:szCs w:val="44"/>
          <w:highlight w:val="none"/>
          <w:lang w:eastAsia="zh-CN"/>
        </w:rPr>
      </w:pPr>
    </w:p>
    <w:p w14:paraId="4B2255CA">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简体" w:cs="Times New Roman"/>
          <w:bCs/>
          <w:color w:val="auto"/>
          <w:sz w:val="44"/>
          <w:szCs w:val="44"/>
          <w:highlight w:val="none"/>
          <w:lang w:eastAsia="zh-CN"/>
        </w:rPr>
      </w:pPr>
    </w:p>
    <w:p w14:paraId="0D39F169">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lang w:eastAsia="zh-CN"/>
        </w:rPr>
        <w:t>第三方</w:t>
      </w:r>
      <w:r>
        <w:rPr>
          <w:rFonts w:hint="eastAsia" w:ascii="仿宋" w:hAnsi="仿宋" w:eastAsia="仿宋" w:cs="仿宋"/>
          <w:bCs/>
          <w:color w:val="auto"/>
          <w:sz w:val="44"/>
          <w:szCs w:val="44"/>
          <w:highlight w:val="none"/>
        </w:rPr>
        <w:t>消防验收技术服务</w:t>
      </w:r>
      <w:r>
        <w:rPr>
          <w:rFonts w:hint="eastAsia" w:ascii="仿宋" w:hAnsi="仿宋" w:eastAsia="仿宋" w:cs="仿宋"/>
          <w:bCs/>
          <w:color w:val="auto"/>
          <w:sz w:val="44"/>
          <w:szCs w:val="44"/>
          <w:highlight w:val="none"/>
          <w:lang w:eastAsia="zh-CN"/>
        </w:rPr>
        <w:t>机构评定</w:t>
      </w:r>
      <w:r>
        <w:rPr>
          <w:rFonts w:hint="eastAsia" w:ascii="仿宋" w:hAnsi="仿宋" w:eastAsia="仿宋" w:cs="仿宋"/>
          <w:bCs/>
          <w:color w:val="auto"/>
          <w:sz w:val="44"/>
          <w:szCs w:val="44"/>
          <w:highlight w:val="none"/>
        </w:rPr>
        <w:t>表</w:t>
      </w:r>
    </w:p>
    <w:p w14:paraId="228559FF">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w:t>
      </w:r>
      <w:r>
        <w:rPr>
          <w:rFonts w:hint="eastAsia" w:ascii="仿宋" w:hAnsi="仿宋" w:eastAsia="仿宋" w:cs="仿宋"/>
          <w:color w:val="auto"/>
          <w:sz w:val="24"/>
          <w:highlight w:val="none"/>
          <w:lang w:eastAsia="zh-CN"/>
        </w:rPr>
        <w:t>评定</w:t>
      </w:r>
      <w:r>
        <w:rPr>
          <w:rFonts w:hint="eastAsia" w:ascii="仿宋" w:hAnsi="仿宋" w:eastAsia="仿宋" w:cs="仿宋"/>
          <w:color w:val="auto"/>
          <w:sz w:val="24"/>
          <w:highlight w:val="none"/>
        </w:rPr>
        <w:t>单位：                                          日期：</w:t>
      </w:r>
    </w:p>
    <w:tbl>
      <w:tblPr>
        <w:tblStyle w:val="31"/>
        <w:tblW w:w="8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36"/>
        <w:gridCol w:w="816"/>
        <w:gridCol w:w="4573"/>
        <w:gridCol w:w="1014"/>
        <w:gridCol w:w="833"/>
      </w:tblGrid>
      <w:tr w14:paraId="02E1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071DCA7E">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评定</w:t>
            </w:r>
            <w:r>
              <w:rPr>
                <w:rFonts w:hint="eastAsia" w:ascii="仿宋" w:hAnsi="仿宋" w:eastAsia="仿宋" w:cs="仿宋"/>
                <w:color w:val="auto"/>
                <w:sz w:val="24"/>
                <w:highlight w:val="none"/>
              </w:rPr>
              <w:t>指标</w:t>
            </w:r>
          </w:p>
        </w:tc>
        <w:tc>
          <w:tcPr>
            <w:tcW w:w="736" w:type="dxa"/>
            <w:noWrap w:val="0"/>
            <w:vAlign w:val="center"/>
          </w:tcPr>
          <w:p w14:paraId="643B6B3E">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分值</w:t>
            </w:r>
          </w:p>
        </w:tc>
        <w:tc>
          <w:tcPr>
            <w:tcW w:w="816" w:type="dxa"/>
            <w:noWrap w:val="0"/>
            <w:vAlign w:val="center"/>
          </w:tcPr>
          <w:p w14:paraId="743C4375">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评定</w:t>
            </w:r>
            <w:r>
              <w:rPr>
                <w:rFonts w:hint="eastAsia" w:ascii="仿宋" w:hAnsi="仿宋" w:eastAsia="仿宋" w:cs="仿宋"/>
                <w:color w:val="auto"/>
                <w:sz w:val="24"/>
                <w:highlight w:val="none"/>
              </w:rPr>
              <w:t>内容</w:t>
            </w:r>
          </w:p>
        </w:tc>
        <w:tc>
          <w:tcPr>
            <w:tcW w:w="4573" w:type="dxa"/>
            <w:noWrap w:val="0"/>
            <w:vAlign w:val="center"/>
          </w:tcPr>
          <w:p w14:paraId="0EC0E980">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记分项与标准（扣完为止）</w:t>
            </w:r>
          </w:p>
        </w:tc>
        <w:tc>
          <w:tcPr>
            <w:tcW w:w="1014" w:type="dxa"/>
            <w:noWrap w:val="0"/>
            <w:vAlign w:val="center"/>
          </w:tcPr>
          <w:p w14:paraId="37B1BAC3">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扣</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加）</w:t>
            </w:r>
            <w:r>
              <w:rPr>
                <w:rFonts w:hint="eastAsia" w:ascii="仿宋" w:hAnsi="仿宋" w:eastAsia="仿宋" w:cs="仿宋"/>
                <w:color w:val="auto"/>
                <w:sz w:val="24"/>
                <w:highlight w:val="none"/>
              </w:rPr>
              <w:t>分数</w:t>
            </w:r>
          </w:p>
        </w:tc>
        <w:tc>
          <w:tcPr>
            <w:tcW w:w="833" w:type="dxa"/>
            <w:noWrap w:val="0"/>
            <w:vAlign w:val="center"/>
          </w:tcPr>
          <w:p w14:paraId="56AF9A63">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实得分数</w:t>
            </w:r>
          </w:p>
        </w:tc>
      </w:tr>
      <w:tr w14:paraId="1B8D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noWrap w:val="0"/>
            <w:vAlign w:val="center"/>
          </w:tcPr>
          <w:p w14:paraId="4CBD35C5">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执业行为（60）</w:t>
            </w:r>
          </w:p>
        </w:tc>
        <w:tc>
          <w:tcPr>
            <w:tcW w:w="736" w:type="dxa"/>
            <w:noWrap w:val="0"/>
            <w:vAlign w:val="center"/>
          </w:tcPr>
          <w:p w14:paraId="5462517E">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16" w:type="dxa"/>
            <w:noWrap w:val="0"/>
            <w:vAlign w:val="center"/>
          </w:tcPr>
          <w:p w14:paraId="3BCE3090">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图纸复核及技术交底</w:t>
            </w:r>
          </w:p>
        </w:tc>
        <w:tc>
          <w:tcPr>
            <w:tcW w:w="4573" w:type="dxa"/>
            <w:noWrap w:val="0"/>
            <w:vAlign w:val="top"/>
          </w:tcPr>
          <w:p w14:paraId="7E10A4D8">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1.未及时复核相关施工图纸，每次扣</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14:paraId="4C3B4B53">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2.未及时组织技术交底，每次扣</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14:paraId="24BCF366">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3.应当发现而未发现施工图违反国家工程建设消防技术标准强制性条款的（以下简称“强条”），每条扣</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14:paraId="1AA78C89">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4.应当发现而未发现施工图违反其他设计条款的，每条扣</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w:t>
            </w:r>
          </w:p>
        </w:tc>
        <w:tc>
          <w:tcPr>
            <w:tcW w:w="1014" w:type="dxa"/>
            <w:noWrap w:val="0"/>
            <w:vAlign w:val="top"/>
          </w:tcPr>
          <w:p w14:paraId="1F23D6BB">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c>
          <w:tcPr>
            <w:tcW w:w="833" w:type="dxa"/>
            <w:vMerge w:val="restart"/>
            <w:noWrap w:val="0"/>
            <w:vAlign w:val="top"/>
          </w:tcPr>
          <w:p w14:paraId="36521D0E">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r>
      <w:tr w14:paraId="7606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14:paraId="6E81944A">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p>
        </w:tc>
        <w:tc>
          <w:tcPr>
            <w:tcW w:w="736" w:type="dxa"/>
            <w:noWrap w:val="0"/>
            <w:vAlign w:val="center"/>
          </w:tcPr>
          <w:p w14:paraId="25DB6DF9">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816" w:type="dxa"/>
            <w:noWrap w:val="0"/>
            <w:vAlign w:val="center"/>
          </w:tcPr>
          <w:p w14:paraId="48C77976">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过程检查服务</w:t>
            </w:r>
          </w:p>
        </w:tc>
        <w:tc>
          <w:tcPr>
            <w:tcW w:w="4573" w:type="dxa"/>
            <w:noWrap w:val="0"/>
            <w:vAlign w:val="top"/>
          </w:tcPr>
          <w:p w14:paraId="2A523703">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1.在服务过程中应当发现而未发现违反强条，以及其他与消防安全密切相关的总平面布局、防火防烟分区、安全疏散、灭火救援等问题，每条扣</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14:paraId="3AD30BCB">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2.在服务过程中应当发现而未发现其他一般消防问题的，每条扣</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14:paraId="62A23F6B">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3.在服务过程中，第三方机构提出的问题、意见或建议不合理的，经核查情况属实的，每次扣</w:t>
            </w:r>
            <w:r>
              <w:rPr>
                <w:rFonts w:hint="eastAsia" w:ascii="仿宋" w:hAnsi="仿宋" w:eastAsia="仿宋" w:cs="仿宋"/>
                <w:color w:val="auto"/>
                <w:sz w:val="24"/>
                <w:highlight w:val="none"/>
                <w:u w:val="none"/>
                <w:lang w:val="en-US" w:eastAsia="zh-CN"/>
              </w:rPr>
              <w:t>3</w:t>
            </w:r>
            <w:r>
              <w:rPr>
                <w:rFonts w:hint="eastAsia" w:ascii="仿宋" w:hAnsi="仿宋" w:eastAsia="仿宋" w:cs="仿宋"/>
                <w:color w:val="auto"/>
                <w:sz w:val="24"/>
                <w:highlight w:val="none"/>
                <w:u w:val="none"/>
              </w:rPr>
              <w:t>分</w:t>
            </w:r>
            <w:r>
              <w:rPr>
                <w:rFonts w:hint="eastAsia" w:ascii="仿宋" w:hAnsi="仿宋" w:eastAsia="仿宋" w:cs="仿宋"/>
                <w:color w:val="auto"/>
                <w:sz w:val="24"/>
                <w:highlight w:val="none"/>
                <w:u w:val="none"/>
                <w:lang w:eastAsia="zh-CN"/>
              </w:rPr>
              <w:t>；</w:t>
            </w:r>
          </w:p>
          <w:p w14:paraId="4C0DB615">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评定</w:t>
            </w:r>
            <w:r>
              <w:rPr>
                <w:rFonts w:hint="eastAsia" w:ascii="仿宋" w:hAnsi="仿宋" w:eastAsia="仿宋" w:cs="仿宋"/>
                <w:color w:val="auto"/>
                <w:sz w:val="24"/>
                <w:highlight w:val="none"/>
              </w:rPr>
              <w:t>单位应对施工单位的整改情况进行复查，</w:t>
            </w:r>
            <w:r>
              <w:rPr>
                <w:rFonts w:hint="eastAsia" w:ascii="仿宋" w:hAnsi="仿宋" w:eastAsia="仿宋" w:cs="仿宋"/>
                <w:color w:val="auto"/>
                <w:sz w:val="24"/>
                <w:highlight w:val="none"/>
                <w:lang w:val="en-US" w:eastAsia="zh-CN"/>
              </w:rPr>
              <w:t>未及时闭合问题</w:t>
            </w:r>
            <w:r>
              <w:rPr>
                <w:rFonts w:hint="eastAsia" w:ascii="仿宋" w:hAnsi="仿宋" w:eastAsia="仿宋" w:cs="仿宋"/>
                <w:color w:val="auto"/>
                <w:sz w:val="24"/>
                <w:highlight w:val="none"/>
              </w:rPr>
              <w:t>而造成后续影响的，每条扣</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51AF4A32">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.项目负责人未到现场实际地点开展工作，每次扣5分</w:t>
            </w:r>
            <w:r>
              <w:rPr>
                <w:rFonts w:hint="eastAsia" w:ascii="仿宋" w:hAnsi="仿宋" w:eastAsia="仿宋" w:cs="仿宋"/>
                <w:color w:val="auto"/>
                <w:sz w:val="24"/>
                <w:highlight w:val="none"/>
                <w:lang w:eastAsia="zh-CN"/>
              </w:rPr>
              <w:t>；</w:t>
            </w:r>
          </w:p>
          <w:p w14:paraId="0D0F30FA">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lang w:val="en" w:eastAsia="zh-CN"/>
              </w:rPr>
            </w:pPr>
            <w:r>
              <w:rPr>
                <w:rFonts w:hint="eastAsia" w:ascii="仿宋" w:hAnsi="仿宋" w:eastAsia="仿宋" w:cs="仿宋"/>
                <w:color w:val="auto"/>
                <w:sz w:val="24"/>
                <w:highlight w:val="none"/>
                <w:lang w:val="en-US" w:eastAsia="zh-CN"/>
              </w:rPr>
              <w:t>6.出具的书面检查文件存在失实情况的，每条扣6分。</w:t>
            </w:r>
          </w:p>
        </w:tc>
        <w:tc>
          <w:tcPr>
            <w:tcW w:w="1014" w:type="dxa"/>
            <w:noWrap w:val="0"/>
            <w:vAlign w:val="top"/>
          </w:tcPr>
          <w:p w14:paraId="6C88965C">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c>
          <w:tcPr>
            <w:tcW w:w="833" w:type="dxa"/>
            <w:vMerge w:val="continue"/>
            <w:noWrap w:val="0"/>
            <w:vAlign w:val="top"/>
          </w:tcPr>
          <w:p w14:paraId="61BFF720">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r>
      <w:tr w14:paraId="7469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14:paraId="6A2BEA47">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p>
        </w:tc>
        <w:tc>
          <w:tcPr>
            <w:tcW w:w="736" w:type="dxa"/>
            <w:noWrap w:val="0"/>
            <w:vAlign w:val="center"/>
          </w:tcPr>
          <w:p w14:paraId="59BB539C">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816" w:type="dxa"/>
            <w:noWrap w:val="0"/>
            <w:vAlign w:val="center"/>
          </w:tcPr>
          <w:p w14:paraId="12F26269">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现场评定服务</w:t>
            </w:r>
          </w:p>
        </w:tc>
        <w:tc>
          <w:tcPr>
            <w:tcW w:w="4573" w:type="dxa"/>
            <w:noWrap w:val="0"/>
            <w:vAlign w:val="top"/>
          </w:tcPr>
          <w:p w14:paraId="32C851E8">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在现场评定工作任务交办后，未按规定时间完成现场评定的，每次扣</w:t>
            </w:r>
            <w:r>
              <w:rPr>
                <w:rFonts w:hint="eastAsia" w:ascii="仿宋" w:hAnsi="仿宋" w:eastAsia="仿宋" w:cs="仿宋"/>
                <w:color w:val="auto"/>
                <w:sz w:val="24"/>
                <w:highlight w:val="none"/>
                <w:lang w:val="en-US" w:eastAsia="zh-CN"/>
              </w:rPr>
              <w:t>6分；现场评定后未按规定时间形成完整有效意见报告的，每次扣6分；对服务机构恶意拖延时间、借故加价收费行为</w:t>
            </w:r>
            <w:r>
              <w:rPr>
                <w:rFonts w:hint="eastAsia" w:ascii="仿宋" w:hAnsi="仿宋" w:eastAsia="仿宋" w:cs="仿宋"/>
                <w:b w:val="0"/>
                <w:bCs w:val="0"/>
                <w:color w:val="auto"/>
                <w:sz w:val="24"/>
                <w:highlight w:val="none"/>
              </w:rPr>
              <w:t>当期</w:t>
            </w:r>
            <w:r>
              <w:rPr>
                <w:rFonts w:hint="eastAsia" w:ascii="仿宋" w:hAnsi="仿宋" w:eastAsia="仿宋" w:cs="仿宋"/>
                <w:b w:val="0"/>
                <w:bCs w:val="0"/>
                <w:color w:val="auto"/>
                <w:sz w:val="24"/>
                <w:highlight w:val="none"/>
                <w:lang w:eastAsia="zh-CN"/>
              </w:rPr>
              <w:t>评定</w:t>
            </w:r>
            <w:r>
              <w:rPr>
                <w:rFonts w:hint="eastAsia" w:ascii="仿宋" w:hAnsi="仿宋" w:eastAsia="仿宋" w:cs="仿宋"/>
                <w:b w:val="0"/>
                <w:bCs w:val="0"/>
                <w:color w:val="auto"/>
                <w:sz w:val="24"/>
                <w:highlight w:val="none"/>
              </w:rPr>
              <w:t>直接判定为不合格</w:t>
            </w:r>
            <w:r>
              <w:rPr>
                <w:rFonts w:hint="eastAsia" w:ascii="仿宋" w:hAnsi="仿宋" w:eastAsia="仿宋" w:cs="仿宋"/>
                <w:b w:val="0"/>
                <w:bCs w:val="0"/>
                <w:color w:val="auto"/>
                <w:sz w:val="24"/>
                <w:highlight w:val="none"/>
                <w:lang w:eastAsia="zh-CN"/>
              </w:rPr>
              <w:t>。</w:t>
            </w:r>
          </w:p>
          <w:p w14:paraId="12375FBD">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出具的书面结论文件未经技术负责人、项目负责人签字、盖章或未加盖技术服务机构印章，或由他人代签或代为盖章，每次扣</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p w14:paraId="45493C96">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3.出具的消防验收现场评定报告不规范或有明显错误的，视情扣5-10分；</w:t>
            </w:r>
          </w:p>
          <w:p w14:paraId="4658DC79">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.出具的书面结论文件存在失实情况的，每次扣1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b w:val="0"/>
                <w:bCs w:val="0"/>
                <w:color w:val="auto"/>
                <w:sz w:val="24"/>
                <w:highlight w:val="none"/>
              </w:rPr>
              <w:t>情节严重的，当期</w:t>
            </w:r>
            <w:r>
              <w:rPr>
                <w:rFonts w:hint="eastAsia" w:ascii="仿宋" w:hAnsi="仿宋" w:eastAsia="仿宋" w:cs="仿宋"/>
                <w:b w:val="0"/>
                <w:bCs w:val="0"/>
                <w:color w:val="auto"/>
                <w:sz w:val="24"/>
                <w:highlight w:val="none"/>
                <w:lang w:eastAsia="zh-CN"/>
              </w:rPr>
              <w:t>评定</w:t>
            </w:r>
            <w:r>
              <w:rPr>
                <w:rFonts w:hint="eastAsia" w:ascii="仿宋" w:hAnsi="仿宋" w:eastAsia="仿宋" w:cs="仿宋"/>
                <w:b w:val="0"/>
                <w:bCs w:val="0"/>
                <w:color w:val="auto"/>
                <w:sz w:val="24"/>
                <w:highlight w:val="none"/>
              </w:rPr>
              <w:t>直接判定为不合格</w:t>
            </w:r>
            <w:r>
              <w:rPr>
                <w:rFonts w:hint="eastAsia" w:ascii="仿宋" w:hAnsi="仿宋" w:eastAsia="仿宋" w:cs="仿宋"/>
                <w:color w:val="auto"/>
                <w:sz w:val="24"/>
                <w:highlight w:val="none"/>
              </w:rPr>
              <w:t>；</w:t>
            </w:r>
          </w:p>
          <w:p w14:paraId="5341B59E">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.出具合格消防技术服务报告</w:t>
            </w:r>
            <w:r>
              <w:rPr>
                <w:rFonts w:hint="eastAsia" w:ascii="仿宋" w:hAnsi="仿宋" w:eastAsia="仿宋" w:cs="仿宋"/>
                <w:color w:val="auto"/>
                <w:sz w:val="24"/>
                <w:highlight w:val="none"/>
                <w:lang w:eastAsia="zh-CN"/>
              </w:rPr>
              <w:t>因未发现消防安全隐患导致</w:t>
            </w:r>
            <w:r>
              <w:rPr>
                <w:rFonts w:hint="eastAsia" w:ascii="仿宋" w:hAnsi="仿宋" w:eastAsia="仿宋" w:cs="仿宋"/>
                <w:color w:val="auto"/>
                <w:sz w:val="24"/>
                <w:highlight w:val="none"/>
              </w:rPr>
              <w:t>发生火灾事故的</w:t>
            </w:r>
            <w:r>
              <w:rPr>
                <w:rFonts w:hint="eastAsia" w:ascii="仿宋" w:hAnsi="仿宋" w:eastAsia="仿宋" w:cs="仿宋"/>
                <w:b w:val="0"/>
                <w:bCs w:val="0"/>
                <w:color w:val="auto"/>
                <w:sz w:val="24"/>
                <w:highlight w:val="none"/>
              </w:rPr>
              <w:t>，当期</w:t>
            </w:r>
            <w:r>
              <w:rPr>
                <w:rFonts w:hint="eastAsia" w:ascii="仿宋" w:hAnsi="仿宋" w:eastAsia="仿宋" w:cs="仿宋"/>
                <w:b w:val="0"/>
                <w:bCs w:val="0"/>
                <w:color w:val="auto"/>
                <w:sz w:val="24"/>
                <w:highlight w:val="none"/>
                <w:lang w:eastAsia="zh-CN"/>
              </w:rPr>
              <w:t>评定</w:t>
            </w:r>
            <w:r>
              <w:rPr>
                <w:rFonts w:hint="eastAsia" w:ascii="仿宋" w:hAnsi="仿宋" w:eastAsia="仿宋" w:cs="仿宋"/>
                <w:b w:val="0"/>
                <w:bCs w:val="0"/>
                <w:color w:val="auto"/>
                <w:sz w:val="24"/>
                <w:highlight w:val="none"/>
              </w:rPr>
              <w:t>判定为不合格</w:t>
            </w:r>
            <w:r>
              <w:rPr>
                <w:rFonts w:hint="eastAsia" w:ascii="仿宋" w:hAnsi="仿宋" w:eastAsia="仿宋" w:cs="仿宋"/>
                <w:color w:val="auto"/>
                <w:sz w:val="24"/>
                <w:highlight w:val="none"/>
              </w:rPr>
              <w:t>。</w:t>
            </w:r>
          </w:p>
        </w:tc>
        <w:tc>
          <w:tcPr>
            <w:tcW w:w="1014" w:type="dxa"/>
            <w:noWrap w:val="0"/>
            <w:vAlign w:val="top"/>
          </w:tcPr>
          <w:p w14:paraId="7E2B370F">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c>
          <w:tcPr>
            <w:tcW w:w="833" w:type="dxa"/>
            <w:vMerge w:val="continue"/>
            <w:noWrap w:val="0"/>
            <w:vAlign w:val="top"/>
          </w:tcPr>
          <w:p w14:paraId="35170904">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r>
      <w:tr w14:paraId="4A08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14:paraId="2F5F9FB2">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p>
        </w:tc>
        <w:tc>
          <w:tcPr>
            <w:tcW w:w="736" w:type="dxa"/>
            <w:noWrap w:val="0"/>
            <w:vAlign w:val="center"/>
          </w:tcPr>
          <w:p w14:paraId="1CAEF75F">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16" w:type="dxa"/>
            <w:noWrap w:val="0"/>
            <w:vAlign w:val="center"/>
          </w:tcPr>
          <w:p w14:paraId="4D339A02">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档案</w:t>
            </w:r>
            <w:r>
              <w:rPr>
                <w:rFonts w:hint="eastAsia" w:ascii="仿宋" w:hAnsi="仿宋" w:eastAsia="仿宋" w:cs="仿宋"/>
                <w:color w:val="auto"/>
                <w:sz w:val="24"/>
                <w:highlight w:val="none"/>
                <w:lang w:eastAsia="zh-CN"/>
              </w:rPr>
              <w:t>资料</w:t>
            </w:r>
            <w:r>
              <w:rPr>
                <w:rFonts w:hint="eastAsia" w:ascii="仿宋" w:hAnsi="仿宋" w:eastAsia="仿宋" w:cs="仿宋"/>
                <w:color w:val="auto"/>
                <w:sz w:val="24"/>
                <w:highlight w:val="none"/>
              </w:rPr>
              <w:t>管理</w:t>
            </w:r>
          </w:p>
        </w:tc>
        <w:tc>
          <w:tcPr>
            <w:tcW w:w="4573" w:type="dxa"/>
            <w:noWrap w:val="0"/>
            <w:vAlign w:val="top"/>
          </w:tcPr>
          <w:p w14:paraId="1085019D">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1.未按照合同约定建立技术服务资料管理制度，未及时录入整理存档，未及时报送相关资料，每处扣</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14:paraId="7260E691">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2.未及时准确报送相关检查资料，造成影响或者损失的，每处扣</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14:paraId="037BB932">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未协助采购人及时对所承办的消防验收的相关资料进行收集、整理、归档，每</w:t>
            </w:r>
            <w:r>
              <w:rPr>
                <w:rFonts w:hint="eastAsia" w:ascii="仿宋" w:hAnsi="仿宋" w:eastAsia="仿宋" w:cs="仿宋"/>
                <w:color w:val="auto"/>
                <w:sz w:val="24"/>
                <w:highlight w:val="none"/>
                <w:lang w:eastAsia="zh-CN"/>
              </w:rPr>
              <w:t>次</w:t>
            </w:r>
            <w:r>
              <w:rPr>
                <w:rFonts w:hint="eastAsia" w:ascii="仿宋" w:hAnsi="仿宋" w:eastAsia="仿宋" w:cs="仿宋"/>
                <w:color w:val="auto"/>
                <w:sz w:val="24"/>
                <w:highlight w:val="none"/>
              </w:rPr>
              <w:t>扣5分。</w:t>
            </w:r>
          </w:p>
        </w:tc>
        <w:tc>
          <w:tcPr>
            <w:tcW w:w="1014" w:type="dxa"/>
            <w:noWrap w:val="0"/>
            <w:vAlign w:val="top"/>
          </w:tcPr>
          <w:p w14:paraId="784869CC">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c>
          <w:tcPr>
            <w:tcW w:w="833" w:type="dxa"/>
            <w:vMerge w:val="continue"/>
            <w:noWrap w:val="0"/>
            <w:vAlign w:val="top"/>
          </w:tcPr>
          <w:p w14:paraId="009FEDBA">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r>
      <w:tr w14:paraId="1BEE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noWrap w:val="0"/>
            <w:vAlign w:val="center"/>
          </w:tcPr>
          <w:p w14:paraId="1CE7D794">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综合管理（</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w:t>
            </w:r>
          </w:p>
        </w:tc>
        <w:tc>
          <w:tcPr>
            <w:tcW w:w="736" w:type="dxa"/>
            <w:noWrap w:val="0"/>
            <w:vAlign w:val="center"/>
          </w:tcPr>
          <w:p w14:paraId="206CE797">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16" w:type="dxa"/>
            <w:noWrap w:val="0"/>
            <w:vAlign w:val="center"/>
          </w:tcPr>
          <w:p w14:paraId="7C16F78B">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w:t>
            </w:r>
          </w:p>
        </w:tc>
        <w:tc>
          <w:tcPr>
            <w:tcW w:w="4573" w:type="dxa"/>
            <w:noWrap w:val="0"/>
            <w:vAlign w:val="top"/>
          </w:tcPr>
          <w:p w14:paraId="27EAC964">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w:t>
            </w:r>
            <w:r>
              <w:rPr>
                <w:rFonts w:hint="eastAsia" w:ascii="仿宋" w:hAnsi="仿宋" w:eastAsia="仿宋" w:cs="仿宋"/>
                <w:color w:val="auto"/>
                <w:sz w:val="24"/>
                <w:highlight w:val="none"/>
                <w:lang w:eastAsia="zh-CN"/>
              </w:rPr>
              <w:t>评定</w:t>
            </w:r>
            <w:r>
              <w:rPr>
                <w:rFonts w:hint="eastAsia" w:ascii="仿宋" w:hAnsi="仿宋" w:eastAsia="仿宋" w:cs="仿宋"/>
                <w:color w:val="auto"/>
                <w:sz w:val="24"/>
                <w:highlight w:val="none"/>
              </w:rPr>
              <w:t>方质保体系不完善，未使用齐全且性能符合要求的检测仪器，每次扣</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c>
        <w:tc>
          <w:tcPr>
            <w:tcW w:w="1014" w:type="dxa"/>
            <w:noWrap w:val="0"/>
            <w:vAlign w:val="top"/>
          </w:tcPr>
          <w:p w14:paraId="5F74294E">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c>
          <w:tcPr>
            <w:tcW w:w="833" w:type="dxa"/>
            <w:vMerge w:val="restart"/>
            <w:noWrap w:val="0"/>
            <w:vAlign w:val="top"/>
          </w:tcPr>
          <w:p w14:paraId="12571C2B">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r>
      <w:tr w14:paraId="2899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11" w:type="dxa"/>
            <w:vMerge w:val="continue"/>
            <w:noWrap w:val="0"/>
            <w:vAlign w:val="center"/>
          </w:tcPr>
          <w:p w14:paraId="3AEE71F8">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p>
        </w:tc>
        <w:tc>
          <w:tcPr>
            <w:tcW w:w="736" w:type="dxa"/>
            <w:noWrap w:val="0"/>
            <w:vAlign w:val="center"/>
          </w:tcPr>
          <w:p w14:paraId="66B8B6FE">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16" w:type="dxa"/>
            <w:noWrap w:val="0"/>
            <w:vAlign w:val="center"/>
          </w:tcPr>
          <w:p w14:paraId="4460B5C1">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联合监管</w:t>
            </w:r>
          </w:p>
        </w:tc>
        <w:tc>
          <w:tcPr>
            <w:tcW w:w="4573" w:type="dxa"/>
            <w:noWrap w:val="0"/>
            <w:vAlign w:val="top"/>
          </w:tcPr>
          <w:p w14:paraId="37ADFE41">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1.被省、市或县级消防救援部门处罚并通报的，每次扣10分；</w:t>
            </w:r>
          </w:p>
          <w:p w14:paraId="029F47FB">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2.被招投标管理部门处罚并通报的，每次扣10分；</w:t>
            </w:r>
          </w:p>
          <w:p w14:paraId="3B5B72EC">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bCs/>
                <w:color w:val="auto"/>
                <w:sz w:val="24"/>
                <w:highlight w:val="none"/>
                <w:u w:val="single"/>
                <w:lang w:val="en-US" w:eastAsia="zh-CN"/>
              </w:rPr>
            </w:pPr>
            <w:r>
              <w:rPr>
                <w:rFonts w:hint="eastAsia" w:ascii="仿宋" w:hAnsi="仿宋" w:eastAsia="仿宋" w:cs="仿宋"/>
                <w:color w:val="auto"/>
                <w:sz w:val="24"/>
                <w:highlight w:val="none"/>
                <w:u w:val="none"/>
                <w:lang w:val="en-US" w:eastAsia="zh-CN"/>
              </w:rPr>
              <w:t>3.在浙江省消防技术服务管理平台上被列入黑榜的，扣10分，并自次月起暂停委托。</w:t>
            </w:r>
          </w:p>
        </w:tc>
        <w:tc>
          <w:tcPr>
            <w:tcW w:w="1014" w:type="dxa"/>
            <w:noWrap w:val="0"/>
            <w:vAlign w:val="top"/>
          </w:tcPr>
          <w:p w14:paraId="0DCD644C">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c>
          <w:tcPr>
            <w:tcW w:w="833" w:type="dxa"/>
            <w:vMerge w:val="continue"/>
            <w:noWrap w:val="0"/>
            <w:vAlign w:val="top"/>
          </w:tcPr>
          <w:p w14:paraId="5C47EE21">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r>
      <w:tr w14:paraId="4949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14:paraId="3EFECEF7">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p>
        </w:tc>
        <w:tc>
          <w:tcPr>
            <w:tcW w:w="736" w:type="dxa"/>
            <w:noWrap w:val="0"/>
            <w:vAlign w:val="center"/>
          </w:tcPr>
          <w:p w14:paraId="03615483">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16" w:type="dxa"/>
            <w:noWrap w:val="0"/>
            <w:vAlign w:val="center"/>
          </w:tcPr>
          <w:p w14:paraId="48CEC5A8">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工作效能</w:t>
            </w:r>
          </w:p>
        </w:tc>
        <w:tc>
          <w:tcPr>
            <w:tcW w:w="4573" w:type="dxa"/>
            <w:noWrap w:val="0"/>
            <w:vAlign w:val="top"/>
          </w:tcPr>
          <w:p w14:paraId="5B37070A">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1.未按照合同约定完成相应工作，参与审查规范性文件和技术标准编制，有效提供行政管理支撑等情况，全面配合</w:t>
            </w:r>
            <w:r>
              <w:rPr>
                <w:rFonts w:hint="eastAsia" w:ascii="仿宋" w:hAnsi="仿宋" w:eastAsia="仿宋" w:cs="仿宋"/>
                <w:color w:val="auto"/>
                <w:sz w:val="24"/>
                <w:highlight w:val="none"/>
                <w:lang w:eastAsia="zh-CN"/>
              </w:rPr>
              <w:t>评定</w:t>
            </w:r>
            <w:r>
              <w:rPr>
                <w:rFonts w:hint="eastAsia" w:ascii="仿宋" w:hAnsi="仿宋" w:eastAsia="仿宋" w:cs="仿宋"/>
                <w:color w:val="auto"/>
                <w:sz w:val="24"/>
                <w:highlight w:val="none"/>
              </w:rPr>
              <w:t>单位及上级部门工作，每处扣</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14:paraId="66031D9C">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2.被主管部门约谈、警告或处罚的，视情节轻重，每次扣10分。</w:t>
            </w:r>
          </w:p>
          <w:p w14:paraId="205B4CA1">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3.在技术服务过程中未与建设主管部门及时沟通、反馈情况，不积极配合主管部门检查，每次扣5分。</w:t>
            </w:r>
          </w:p>
          <w:p w14:paraId="07C35BB6">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4、项目交底、服务、和验收评定未按时参加，或未按规定流程擅自开展的，每次扣10分。</w:t>
            </w:r>
          </w:p>
          <w:p w14:paraId="71E2F748">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5.未及时在全省一体化网上中介超市入驻的，发现后扣5分。</w:t>
            </w:r>
          </w:p>
        </w:tc>
        <w:tc>
          <w:tcPr>
            <w:tcW w:w="1014" w:type="dxa"/>
            <w:noWrap w:val="0"/>
            <w:vAlign w:val="top"/>
          </w:tcPr>
          <w:p w14:paraId="2299C641">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c>
          <w:tcPr>
            <w:tcW w:w="833" w:type="dxa"/>
            <w:vMerge w:val="continue"/>
            <w:noWrap w:val="0"/>
            <w:vAlign w:val="top"/>
          </w:tcPr>
          <w:p w14:paraId="6BB6D98A">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r>
      <w:tr w14:paraId="43F4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14:paraId="711173A3">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p>
        </w:tc>
        <w:tc>
          <w:tcPr>
            <w:tcW w:w="736" w:type="dxa"/>
            <w:noWrap w:val="0"/>
            <w:vAlign w:val="center"/>
          </w:tcPr>
          <w:p w14:paraId="313BF82F">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16" w:type="dxa"/>
            <w:noWrap w:val="0"/>
            <w:vAlign w:val="center"/>
          </w:tcPr>
          <w:p w14:paraId="1F667460">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廉政建设</w:t>
            </w:r>
          </w:p>
        </w:tc>
        <w:tc>
          <w:tcPr>
            <w:tcW w:w="4573" w:type="dxa"/>
            <w:noWrap w:val="0"/>
            <w:vAlign w:val="top"/>
          </w:tcPr>
          <w:p w14:paraId="6FE42E7A">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1.据被服务对象投诉，经查证属实的，视情节轻重，每次扣</w:t>
            </w:r>
            <w:r>
              <w:rPr>
                <w:rFonts w:hint="eastAsia" w:ascii="仿宋" w:hAnsi="仿宋" w:eastAsia="仿宋" w:cs="仿宋"/>
                <w:color w:val="auto"/>
                <w:sz w:val="24"/>
                <w:highlight w:val="none"/>
                <w:lang w:val="en-US" w:eastAsia="zh-CN"/>
              </w:rPr>
              <w:t>6-15</w:t>
            </w:r>
            <w:r>
              <w:rPr>
                <w:rFonts w:hint="eastAsia" w:ascii="仿宋" w:hAnsi="仿宋" w:eastAsia="仿宋" w:cs="仿宋"/>
                <w:color w:val="auto"/>
                <w:sz w:val="24"/>
                <w:highlight w:val="none"/>
              </w:rPr>
              <w:t>分；</w:t>
            </w:r>
          </w:p>
          <w:p w14:paraId="6EA13DEC">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2.据相关单位举证反映，</w:t>
            </w:r>
            <w:r>
              <w:rPr>
                <w:rFonts w:hint="eastAsia" w:ascii="仿宋" w:hAnsi="仿宋" w:eastAsia="仿宋" w:cs="仿宋"/>
                <w:color w:val="auto"/>
                <w:sz w:val="24"/>
                <w:highlight w:val="none"/>
                <w:lang w:eastAsia="zh-CN"/>
              </w:rPr>
              <w:t>评定</w:t>
            </w:r>
            <w:r>
              <w:rPr>
                <w:rFonts w:hint="eastAsia" w:ascii="仿宋" w:hAnsi="仿宋" w:eastAsia="仿宋" w:cs="仿宋"/>
                <w:color w:val="auto"/>
                <w:sz w:val="24"/>
                <w:highlight w:val="none"/>
              </w:rPr>
              <w:t>单位违反廉洁规定，经查证属实的，</w:t>
            </w:r>
            <w:r>
              <w:rPr>
                <w:rFonts w:hint="eastAsia" w:ascii="仿宋" w:hAnsi="仿宋" w:eastAsia="仿宋" w:cs="仿宋"/>
                <w:b w:val="0"/>
                <w:bCs w:val="0"/>
                <w:color w:val="auto"/>
                <w:sz w:val="24"/>
                <w:highlight w:val="none"/>
              </w:rPr>
              <w:t>当期</w:t>
            </w:r>
            <w:r>
              <w:rPr>
                <w:rFonts w:hint="eastAsia" w:ascii="仿宋" w:hAnsi="仿宋" w:eastAsia="仿宋" w:cs="仿宋"/>
                <w:b w:val="0"/>
                <w:bCs w:val="0"/>
                <w:color w:val="auto"/>
                <w:sz w:val="24"/>
                <w:highlight w:val="none"/>
                <w:lang w:eastAsia="zh-CN"/>
              </w:rPr>
              <w:t>评定</w:t>
            </w:r>
            <w:r>
              <w:rPr>
                <w:rFonts w:hint="eastAsia" w:ascii="仿宋" w:hAnsi="仿宋" w:eastAsia="仿宋" w:cs="仿宋"/>
                <w:b w:val="0"/>
                <w:bCs w:val="0"/>
                <w:color w:val="auto"/>
                <w:sz w:val="24"/>
                <w:highlight w:val="none"/>
              </w:rPr>
              <w:t>判定为不合格</w:t>
            </w:r>
            <w:r>
              <w:rPr>
                <w:rFonts w:hint="eastAsia" w:ascii="仿宋" w:hAnsi="仿宋" w:eastAsia="仿宋" w:cs="仿宋"/>
                <w:color w:val="auto"/>
                <w:sz w:val="24"/>
                <w:highlight w:val="none"/>
              </w:rPr>
              <w:t>；</w:t>
            </w:r>
          </w:p>
          <w:p w14:paraId="02F0ED01">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rPr>
              <w:t>3.存在与建设、设计、施工等单位相互勾结、利益交换现象的，当期</w:t>
            </w:r>
            <w:r>
              <w:rPr>
                <w:rFonts w:hint="eastAsia" w:ascii="仿宋" w:hAnsi="仿宋" w:eastAsia="仿宋" w:cs="仿宋"/>
                <w:b w:val="0"/>
                <w:bCs w:val="0"/>
                <w:color w:val="auto"/>
                <w:sz w:val="24"/>
                <w:highlight w:val="none"/>
                <w:lang w:eastAsia="zh-CN"/>
              </w:rPr>
              <w:t>评定</w:t>
            </w:r>
            <w:r>
              <w:rPr>
                <w:rFonts w:hint="eastAsia" w:ascii="仿宋" w:hAnsi="仿宋" w:eastAsia="仿宋" w:cs="仿宋"/>
                <w:b w:val="0"/>
                <w:bCs w:val="0"/>
                <w:color w:val="auto"/>
                <w:sz w:val="24"/>
                <w:highlight w:val="none"/>
              </w:rPr>
              <w:t>判定为不合格</w:t>
            </w:r>
            <w:r>
              <w:rPr>
                <w:rFonts w:hint="eastAsia" w:ascii="仿宋" w:hAnsi="仿宋" w:eastAsia="仿宋" w:cs="仿宋"/>
                <w:color w:val="auto"/>
                <w:sz w:val="24"/>
                <w:highlight w:val="none"/>
              </w:rPr>
              <w:t>。</w:t>
            </w:r>
          </w:p>
          <w:p w14:paraId="2E3FE97E">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4.对违反廉政建设的情况按合同处理。</w:t>
            </w:r>
          </w:p>
        </w:tc>
        <w:tc>
          <w:tcPr>
            <w:tcW w:w="1014" w:type="dxa"/>
            <w:noWrap w:val="0"/>
            <w:vAlign w:val="top"/>
          </w:tcPr>
          <w:p w14:paraId="5C7CD33F">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c>
          <w:tcPr>
            <w:tcW w:w="833" w:type="dxa"/>
            <w:vMerge w:val="continue"/>
            <w:noWrap w:val="0"/>
            <w:vAlign w:val="top"/>
          </w:tcPr>
          <w:p w14:paraId="1851838D">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r>
      <w:tr w14:paraId="156A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noWrap w:val="0"/>
            <w:vAlign w:val="center"/>
          </w:tcPr>
          <w:p w14:paraId="349B8C13">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行政支撑</w:t>
            </w:r>
          </w:p>
          <w:p w14:paraId="08D66063">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736" w:type="dxa"/>
            <w:noWrap w:val="0"/>
            <w:vAlign w:val="center"/>
          </w:tcPr>
          <w:p w14:paraId="26830596">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16" w:type="dxa"/>
            <w:noWrap w:val="0"/>
            <w:vAlign w:val="center"/>
          </w:tcPr>
          <w:p w14:paraId="124130A6">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日常工作</w:t>
            </w:r>
          </w:p>
        </w:tc>
        <w:tc>
          <w:tcPr>
            <w:tcW w:w="4573" w:type="dxa"/>
            <w:noWrap w:val="0"/>
            <w:vAlign w:val="top"/>
          </w:tcPr>
          <w:p w14:paraId="1B3FF24D">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1.协助出台规范建设工程消防设计审查验收工作的相关文件，每次加5</w:t>
            </w:r>
            <w:r>
              <w:rPr>
                <w:rFonts w:hint="eastAsia" w:ascii="仿宋" w:hAnsi="仿宋" w:eastAsia="仿宋" w:cs="仿宋"/>
                <w:b w:val="0"/>
                <w:bCs w:val="0"/>
                <w:color w:val="auto"/>
                <w:sz w:val="24"/>
                <w:highlight w:val="none"/>
              </w:rPr>
              <w:t>分</w:t>
            </w:r>
            <w:r>
              <w:rPr>
                <w:rFonts w:hint="eastAsia" w:ascii="仿宋" w:hAnsi="仿宋" w:eastAsia="仿宋" w:cs="仿宋"/>
                <w:b w:val="0"/>
                <w:bCs w:val="0"/>
                <w:color w:val="auto"/>
                <w:sz w:val="24"/>
                <w:highlight w:val="none"/>
                <w:lang w:eastAsia="zh-CN"/>
              </w:rPr>
              <w:t>。</w:t>
            </w:r>
          </w:p>
          <w:p w14:paraId="2AB20DFA">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2.协助组织开展建设工程消防验收质量监督抽查检查工作的，每次加1-5分。</w:t>
            </w:r>
          </w:p>
          <w:p w14:paraId="0C24911F">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3.协助开展建设工程消防设计审查验收相关宣贯培训的，每次加1-5分。</w:t>
            </w:r>
          </w:p>
          <w:p w14:paraId="72AE8CB5">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4.协助组织召开建设工程消防验收专题论证会议，解决消防验收疑难问题的，每次加1-5分。</w:t>
            </w:r>
          </w:p>
          <w:p w14:paraId="672995B4">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5.为市住建局提供消防设计审查验收法规政策咨询，视工作难度每次加1-5</w:t>
            </w:r>
            <w:r>
              <w:rPr>
                <w:rFonts w:hint="eastAsia" w:ascii="仿宋" w:hAnsi="仿宋" w:eastAsia="仿宋" w:cs="仿宋"/>
                <w:b w:val="0"/>
                <w:bCs w:val="0"/>
                <w:color w:val="auto"/>
                <w:sz w:val="24"/>
                <w:highlight w:val="none"/>
              </w:rPr>
              <w:t>分</w:t>
            </w:r>
            <w:r>
              <w:rPr>
                <w:rFonts w:hint="eastAsia" w:ascii="仿宋" w:hAnsi="仿宋" w:eastAsia="仿宋" w:cs="仿宋"/>
                <w:b w:val="0"/>
                <w:bCs w:val="0"/>
                <w:color w:val="auto"/>
                <w:sz w:val="24"/>
                <w:highlight w:val="none"/>
                <w:lang w:eastAsia="zh-CN"/>
              </w:rPr>
              <w:t>。</w:t>
            </w:r>
          </w:p>
          <w:p w14:paraId="0CE61F8B">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6.在服务过程中发现重大消防隐患，并提出切实可行的解决方案，每次加2分。</w:t>
            </w:r>
          </w:p>
          <w:p w14:paraId="241FB004">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7.积极参与课题研究，每次成功申报并完成结题加5分。</w:t>
            </w:r>
          </w:p>
        </w:tc>
        <w:tc>
          <w:tcPr>
            <w:tcW w:w="1014" w:type="dxa"/>
            <w:noWrap w:val="0"/>
            <w:vAlign w:val="top"/>
          </w:tcPr>
          <w:p w14:paraId="6C4134D8">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c>
          <w:tcPr>
            <w:tcW w:w="833" w:type="dxa"/>
            <w:noWrap w:val="0"/>
            <w:vAlign w:val="top"/>
          </w:tcPr>
          <w:p w14:paraId="4DC65940">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r>
      <w:tr w14:paraId="2762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14:paraId="48269AC1">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lang w:val="en-US" w:eastAsia="zh-CN"/>
              </w:rPr>
            </w:pPr>
          </w:p>
        </w:tc>
        <w:tc>
          <w:tcPr>
            <w:tcW w:w="736" w:type="dxa"/>
            <w:noWrap w:val="0"/>
            <w:vAlign w:val="center"/>
          </w:tcPr>
          <w:p w14:paraId="1A43BE17">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16" w:type="dxa"/>
            <w:noWrap w:val="0"/>
            <w:vAlign w:val="center"/>
          </w:tcPr>
          <w:p w14:paraId="6D186BE1">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社会荣誉</w:t>
            </w:r>
          </w:p>
        </w:tc>
        <w:tc>
          <w:tcPr>
            <w:tcW w:w="4573" w:type="dxa"/>
            <w:noWrap w:val="0"/>
            <w:vAlign w:val="top"/>
          </w:tcPr>
          <w:p w14:paraId="556400C2">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企业</w:t>
            </w:r>
            <w:r>
              <w:rPr>
                <w:rFonts w:hint="eastAsia" w:ascii="仿宋" w:hAnsi="仿宋" w:eastAsia="仿宋" w:cs="仿宋"/>
                <w:b w:val="0"/>
                <w:bCs w:val="0"/>
                <w:color w:val="auto"/>
                <w:sz w:val="24"/>
                <w:highlight w:val="none"/>
                <w:lang w:val="en-US" w:eastAsia="zh-CN"/>
              </w:rPr>
              <w:t>或其</w:t>
            </w:r>
            <w:r>
              <w:rPr>
                <w:rFonts w:hint="eastAsia" w:ascii="仿宋" w:hAnsi="仿宋" w:eastAsia="仿宋" w:cs="仿宋"/>
                <w:b w:val="0"/>
                <w:bCs w:val="0"/>
                <w:color w:val="auto"/>
                <w:sz w:val="24"/>
                <w:highlight w:val="none"/>
              </w:rPr>
              <w:t>所属人员获政府、主管部门及行业协会表彰</w:t>
            </w:r>
            <w:r>
              <w:rPr>
                <w:rFonts w:hint="eastAsia" w:ascii="仿宋" w:hAnsi="仿宋" w:eastAsia="仿宋" w:cs="仿宋"/>
                <w:b w:val="0"/>
                <w:bCs w:val="0"/>
                <w:color w:val="auto"/>
                <w:sz w:val="24"/>
                <w:highlight w:val="none"/>
                <w:lang w:val="en-US" w:eastAsia="zh-CN"/>
              </w:rPr>
              <w:t>，视荣誉等级</w:t>
            </w:r>
            <w:r>
              <w:rPr>
                <w:rFonts w:hint="eastAsia" w:ascii="仿宋" w:hAnsi="仿宋" w:eastAsia="仿宋" w:cs="仿宋"/>
                <w:b w:val="0"/>
                <w:bCs w:val="0"/>
                <w:color w:val="auto"/>
                <w:sz w:val="24"/>
                <w:highlight w:val="none"/>
              </w:rPr>
              <w:t>每人次加</w:t>
            </w:r>
            <w:r>
              <w:rPr>
                <w:rFonts w:hint="eastAsia" w:ascii="仿宋" w:hAnsi="仿宋" w:eastAsia="仿宋" w:cs="仿宋"/>
                <w:b w:val="0"/>
                <w:bCs w:val="0"/>
                <w:color w:val="auto"/>
                <w:sz w:val="24"/>
                <w:highlight w:val="none"/>
                <w:lang w:val="en-US" w:eastAsia="zh-CN"/>
              </w:rPr>
              <w:t>1-3分。</w:t>
            </w:r>
          </w:p>
          <w:p w14:paraId="336A2E32">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企业</w:t>
            </w:r>
            <w:r>
              <w:rPr>
                <w:rFonts w:hint="eastAsia" w:ascii="仿宋" w:hAnsi="仿宋" w:eastAsia="仿宋" w:cs="仿宋"/>
                <w:b w:val="0"/>
                <w:bCs w:val="0"/>
                <w:color w:val="auto"/>
                <w:sz w:val="24"/>
                <w:highlight w:val="none"/>
                <w:lang w:val="en-US" w:eastAsia="zh-CN"/>
              </w:rPr>
              <w:t>或其</w:t>
            </w:r>
            <w:r>
              <w:rPr>
                <w:rFonts w:hint="eastAsia" w:ascii="仿宋" w:hAnsi="仿宋" w:eastAsia="仿宋" w:cs="仿宋"/>
                <w:b w:val="0"/>
                <w:bCs w:val="0"/>
                <w:color w:val="auto"/>
                <w:sz w:val="24"/>
                <w:highlight w:val="none"/>
              </w:rPr>
              <w:t>所属人员参与消防工程相关规范行业标准文件编制工作</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每人次</w:t>
            </w:r>
            <w:r>
              <w:rPr>
                <w:rFonts w:hint="eastAsia" w:ascii="仿宋" w:hAnsi="仿宋" w:eastAsia="仿宋" w:cs="仿宋"/>
                <w:b w:val="0"/>
                <w:bCs w:val="0"/>
                <w:color w:val="auto"/>
                <w:sz w:val="24"/>
                <w:highlight w:val="none"/>
              </w:rPr>
              <w:t>加</w:t>
            </w:r>
            <w:r>
              <w:rPr>
                <w:rFonts w:hint="eastAsia" w:ascii="仿宋" w:hAnsi="仿宋" w:eastAsia="仿宋" w:cs="仿宋"/>
                <w:b w:val="0"/>
                <w:bCs w:val="0"/>
                <w:color w:val="auto"/>
                <w:sz w:val="24"/>
                <w:highlight w:val="none"/>
                <w:lang w:val="en-US" w:eastAsia="zh-CN"/>
              </w:rPr>
              <w:t>2分。</w:t>
            </w:r>
          </w:p>
          <w:p w14:paraId="2BB2C1BD">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企业</w:t>
            </w:r>
            <w:r>
              <w:rPr>
                <w:rFonts w:hint="eastAsia" w:ascii="仿宋" w:hAnsi="仿宋" w:eastAsia="仿宋" w:cs="仿宋"/>
                <w:b w:val="0"/>
                <w:bCs w:val="0"/>
                <w:color w:val="auto"/>
                <w:sz w:val="24"/>
                <w:highlight w:val="none"/>
                <w:lang w:val="en-US" w:eastAsia="zh-CN"/>
              </w:rPr>
              <w:t>或其</w:t>
            </w:r>
            <w:r>
              <w:rPr>
                <w:rFonts w:hint="eastAsia" w:ascii="仿宋" w:hAnsi="仿宋" w:eastAsia="仿宋" w:cs="仿宋"/>
                <w:b w:val="0"/>
                <w:bCs w:val="0"/>
                <w:color w:val="auto"/>
                <w:sz w:val="24"/>
                <w:highlight w:val="none"/>
              </w:rPr>
              <w:t>所属人员参与国家级、省级、市级消防课题研究</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取得相应成果，视课题等级</w:t>
            </w:r>
            <w:r>
              <w:rPr>
                <w:rFonts w:hint="eastAsia" w:ascii="仿宋" w:hAnsi="仿宋" w:eastAsia="仿宋" w:cs="仿宋"/>
                <w:b w:val="0"/>
                <w:bCs w:val="0"/>
                <w:color w:val="auto"/>
                <w:sz w:val="24"/>
                <w:highlight w:val="none"/>
              </w:rPr>
              <w:t>每人次加</w:t>
            </w:r>
            <w:r>
              <w:rPr>
                <w:rFonts w:hint="eastAsia" w:ascii="仿宋" w:hAnsi="仿宋" w:eastAsia="仿宋" w:cs="仿宋"/>
                <w:b w:val="0"/>
                <w:bCs w:val="0"/>
                <w:color w:val="auto"/>
                <w:sz w:val="24"/>
                <w:highlight w:val="none"/>
                <w:lang w:val="en-US" w:eastAsia="zh-CN"/>
              </w:rPr>
              <w:t>1-3分。</w:t>
            </w:r>
          </w:p>
          <w:p w14:paraId="7934FD42">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rPr>
            </w:pPr>
          </w:p>
        </w:tc>
        <w:tc>
          <w:tcPr>
            <w:tcW w:w="1014" w:type="dxa"/>
            <w:noWrap w:val="0"/>
            <w:vAlign w:val="top"/>
          </w:tcPr>
          <w:p w14:paraId="250DA215">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lang w:eastAsia="zh-CN"/>
              </w:rPr>
            </w:pPr>
          </w:p>
        </w:tc>
        <w:tc>
          <w:tcPr>
            <w:tcW w:w="833" w:type="dxa"/>
            <w:noWrap w:val="0"/>
            <w:vAlign w:val="top"/>
          </w:tcPr>
          <w:p w14:paraId="26F3CA20">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r>
      <w:tr w14:paraId="549B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783" w:type="dxa"/>
            <w:gridSpan w:val="6"/>
            <w:noWrap w:val="0"/>
            <w:vAlign w:val="top"/>
          </w:tcPr>
          <w:p w14:paraId="3B26ADCA">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其他整改事项：</w:t>
            </w:r>
          </w:p>
        </w:tc>
      </w:tr>
    </w:tbl>
    <w:p w14:paraId="6FB9D1C5">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bCs/>
          <w:color w:val="auto"/>
          <w:sz w:val="44"/>
          <w:szCs w:val="44"/>
          <w:highlight w:val="none"/>
        </w:rPr>
      </w:pPr>
    </w:p>
    <w:p w14:paraId="75EFA8B5">
      <w:pPr>
        <w:keepNext w:val="0"/>
        <w:keepLines w:val="0"/>
        <w:pageBreakBefore w:val="0"/>
        <w:widowControl w:val="0"/>
        <w:kinsoku/>
        <w:wordWrap/>
        <w:overflowPunct/>
        <w:topLinePunct w:val="0"/>
        <w:bidi w:val="0"/>
        <w:snapToGrid/>
        <w:spacing w:line="560" w:lineRule="exact"/>
        <w:jc w:val="left"/>
        <w:textAlignment w:val="auto"/>
        <w:rPr>
          <w:rFonts w:hint="eastAsia" w:ascii="仿宋" w:hAnsi="仿宋" w:eastAsia="仿宋" w:cs="仿宋"/>
          <w:color w:val="auto"/>
          <w:szCs w:val="21"/>
          <w:highlight w:val="none"/>
        </w:rPr>
      </w:pPr>
    </w:p>
    <w:p w14:paraId="0EC0935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E11D315">
      <w:pPr>
        <w:pStyle w:val="2"/>
        <w:keepNext w:val="0"/>
        <w:keepLines w:val="0"/>
        <w:spacing w:line="579" w:lineRule="auto"/>
        <w:rPr>
          <w:rFonts w:hint="eastAsia" w:ascii="仿宋" w:hAnsi="仿宋" w:eastAsia="仿宋" w:cs="仿宋"/>
          <w:color w:val="auto"/>
          <w:highlight w:val="none"/>
        </w:rPr>
      </w:pPr>
      <w:r>
        <w:rPr>
          <w:rFonts w:hint="eastAsia" w:ascii="仿宋" w:hAnsi="仿宋" w:eastAsia="仿宋" w:cs="仿宋"/>
          <w:color w:val="auto"/>
          <w:highlight w:val="none"/>
        </w:rPr>
        <w:t>第五章  确定第一阶段入围供应商的评审方法</w:t>
      </w:r>
      <w:bookmarkEnd w:id="34"/>
      <w:bookmarkEnd w:id="35"/>
    </w:p>
    <w:p w14:paraId="1D423D09">
      <w:pPr>
        <w:pStyle w:val="12"/>
        <w:keepNext w:val="0"/>
        <w:keepLines w:val="0"/>
        <w:pageBreakBefore w:val="0"/>
        <w:widowControl w:val="0"/>
        <w:kinsoku/>
        <w:wordWrap/>
        <w:overflowPunct/>
        <w:topLinePunct w:val="0"/>
        <w:autoSpaceDE w:val="0"/>
        <w:autoSpaceDN w:val="0"/>
        <w:bidi w:val="0"/>
        <w:adjustRightInd w:val="0"/>
        <w:snapToGrid/>
        <w:ind w:firstLine="482" w:firstLineChars="200"/>
        <w:textAlignment w:val="auto"/>
        <w:rPr>
          <w:rFonts w:hint="eastAsia" w:ascii="仿宋" w:hAnsi="仿宋" w:eastAsia="仿宋" w:cs="仿宋"/>
          <w:bCs/>
          <w:color w:val="auto"/>
          <w:highlight w:val="none"/>
          <w:lang w:val="en-US"/>
        </w:rPr>
      </w:pPr>
      <w:r>
        <w:rPr>
          <w:rFonts w:hint="eastAsia" w:ascii="仿宋" w:hAnsi="仿宋" w:eastAsia="仿宋" w:cs="仿宋"/>
          <w:b/>
          <w:color w:val="auto"/>
          <w:highlight w:val="none"/>
          <w:lang w:val="en-US"/>
        </w:rPr>
        <w:t>1.评标方法：</w:t>
      </w:r>
      <w:r>
        <w:rPr>
          <w:rFonts w:hint="eastAsia" w:ascii="仿宋" w:hAnsi="仿宋" w:eastAsia="仿宋" w:cs="仿宋"/>
          <w:b/>
          <w:color w:val="auto"/>
          <w:highlight w:val="none"/>
          <w:lang w:val="en-US"/>
        </w:rPr>
        <w:br w:type="textWrapping"/>
      </w:r>
      <w:r>
        <w:rPr>
          <w:rFonts w:hint="eastAsia" w:ascii="仿宋" w:hAnsi="仿宋" w:eastAsia="仿宋" w:cs="仿宋"/>
          <w:bCs/>
          <w:color w:val="auto"/>
          <w:highlight w:val="none"/>
          <w:lang w:val="en-US"/>
        </w:rPr>
        <w:t>本项目采用封闭式框架协议，第一阶段入围供应商的评审方法为质量优先法，对满足采购需求且响应报价不超过最高限制单价的货物、服务进行质量综合评分，按照质量评分从高到低排序，根据征集文件规定的淘汰率或者入围供应商数量上限，确定入围供应商。第二阶段供应商选定方式：直接选定。</w:t>
      </w:r>
    </w:p>
    <w:p w14:paraId="3F3AACDC">
      <w:pPr>
        <w:pStyle w:val="12"/>
        <w:keepNext w:val="0"/>
        <w:keepLines w:val="0"/>
        <w:pageBreakBefore w:val="0"/>
        <w:widowControl w:val="0"/>
        <w:kinsoku/>
        <w:wordWrap/>
        <w:overflowPunct/>
        <w:topLinePunct w:val="0"/>
        <w:autoSpaceDE w:val="0"/>
        <w:autoSpaceDN w:val="0"/>
        <w:bidi w:val="0"/>
        <w:adjustRightInd w:val="0"/>
        <w:snapToGrid/>
        <w:ind w:firstLine="482" w:firstLineChars="200"/>
        <w:textAlignment w:val="auto"/>
        <w:rPr>
          <w:rFonts w:hint="eastAsia" w:ascii="仿宋" w:hAnsi="仿宋" w:eastAsia="仿宋" w:cs="仿宋"/>
          <w:bCs/>
          <w:color w:val="auto"/>
          <w:highlight w:val="none"/>
          <w:lang w:val="en-US"/>
        </w:rPr>
      </w:pPr>
      <w:r>
        <w:rPr>
          <w:rFonts w:hint="eastAsia" w:ascii="仿宋" w:hAnsi="仿宋" w:eastAsia="仿宋" w:cs="仿宋"/>
          <w:b/>
          <w:color w:val="auto"/>
          <w:highlight w:val="none"/>
          <w:lang w:val="en-US"/>
        </w:rPr>
        <w:t>2.入围规则：</w:t>
      </w:r>
    </w:p>
    <w:p w14:paraId="2A678B73">
      <w:pPr>
        <w:pStyle w:val="1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bCs/>
          <w:color w:val="auto"/>
          <w:highlight w:val="none"/>
          <w:lang w:val="en-US"/>
        </w:rPr>
      </w:pPr>
      <w:r>
        <w:rPr>
          <w:rFonts w:hint="eastAsia" w:ascii="仿宋" w:hAnsi="仿宋" w:eastAsia="仿宋" w:cs="仿宋"/>
          <w:bCs/>
          <w:color w:val="auto"/>
          <w:highlight w:val="none"/>
          <w:lang w:val="en-US"/>
        </w:rPr>
        <w:t>本项目第一阶段标项淘汰率为20%，</w:t>
      </w:r>
      <w:r>
        <w:rPr>
          <w:rFonts w:hint="eastAsia" w:ascii="仿宋" w:hAnsi="仿宋" w:eastAsia="仿宋" w:cs="仿宋"/>
          <w:bCs/>
          <w:color w:val="auto"/>
          <w:highlight w:val="none"/>
          <w:lang w:val="en-US" w:eastAsia="zh-CN"/>
        </w:rPr>
        <w:t>且</w:t>
      </w:r>
      <w:r>
        <w:rPr>
          <w:rFonts w:hint="eastAsia" w:ascii="仿宋" w:hAnsi="仿宋" w:eastAsia="仿宋" w:cs="仿宋"/>
          <w:bCs/>
          <w:color w:val="auto"/>
          <w:highlight w:val="none"/>
          <w:lang w:val="en-US"/>
        </w:rPr>
        <w:t>当有效响应单位&gt;3家时，根据排名顺序确定3家入围供应商；有效响应单位=3家时，根据排名顺序确定2家入围供应商；当有效响应单位&lt;3家时重新组织采购。</w:t>
      </w:r>
    </w:p>
    <w:p w14:paraId="5EDEE409">
      <w:pPr>
        <w:pStyle w:val="1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bCs/>
          <w:color w:val="auto"/>
          <w:highlight w:val="none"/>
          <w:lang w:val="en-US"/>
        </w:rPr>
      </w:pPr>
      <w:r>
        <w:rPr>
          <w:rFonts w:hint="eastAsia" w:ascii="仿宋" w:hAnsi="仿宋" w:eastAsia="仿宋" w:cs="仿宋"/>
          <w:bCs/>
          <w:color w:val="auto"/>
          <w:highlight w:val="none"/>
          <w:lang w:val="en-US"/>
        </w:rPr>
        <w:t>对符合资格条件、实质性要求且低于最高限制单价的供应商，按照评审总得分从高到低排序。若商务技术汇总得分一致的，则根据供应商报价进行排序（报价低者排名在前）。若结果仍一致的，由</w:t>
      </w:r>
      <w:r>
        <w:rPr>
          <w:rFonts w:hint="eastAsia" w:ascii="仿宋" w:hAnsi="仿宋" w:eastAsia="仿宋" w:cs="仿宋"/>
          <w:bCs/>
          <w:color w:val="auto"/>
          <w:highlight w:val="none"/>
          <w:lang w:val="en-US" w:eastAsia="zh-CN"/>
        </w:rPr>
        <w:t>征集人代表</w:t>
      </w:r>
      <w:r>
        <w:rPr>
          <w:rFonts w:hint="eastAsia" w:ascii="仿宋" w:hAnsi="仿宋" w:eastAsia="仿宋" w:cs="仿宋"/>
          <w:bCs/>
          <w:color w:val="auto"/>
          <w:highlight w:val="none"/>
          <w:lang w:val="en-US"/>
        </w:rPr>
        <w:t>随机抽取的方式确定。入围公示期间入围供应商被取消入围资格后，入围名额不进行递补。</w:t>
      </w:r>
    </w:p>
    <w:p w14:paraId="798344C6">
      <w:pPr>
        <w:pStyle w:val="12"/>
        <w:keepNext w:val="0"/>
        <w:keepLines w:val="0"/>
        <w:pageBreakBefore w:val="0"/>
        <w:widowControl w:val="0"/>
        <w:kinsoku/>
        <w:wordWrap/>
        <w:overflowPunct/>
        <w:topLinePunct w:val="0"/>
        <w:autoSpaceDE w:val="0"/>
        <w:autoSpaceDN w:val="0"/>
        <w:bidi w:val="0"/>
        <w:adjustRightInd w:val="0"/>
        <w:snapToGrid/>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lang w:val="en-US"/>
        </w:rPr>
        <w:t>3.征集</w:t>
      </w:r>
      <w:r>
        <w:rPr>
          <w:rFonts w:hint="eastAsia" w:ascii="仿宋" w:hAnsi="仿宋" w:eastAsia="仿宋" w:cs="仿宋"/>
          <w:b/>
          <w:color w:val="auto"/>
          <w:highlight w:val="none"/>
        </w:rPr>
        <w:t>标准：</w:t>
      </w:r>
      <w:r>
        <w:rPr>
          <w:rFonts w:hint="eastAsia" w:ascii="仿宋" w:hAnsi="仿宋" w:eastAsia="仿宋" w:cs="仿宋"/>
          <w:color w:val="auto"/>
          <w:highlight w:val="none"/>
        </w:rPr>
        <w:t>总分100分。下述所列为评分依据，分值如下（计算分值时，按其算术平均值保留小数2位）。</w:t>
      </w:r>
    </w:p>
    <w:tbl>
      <w:tblPr>
        <w:tblStyle w:val="31"/>
        <w:tblpPr w:leftFromText="180" w:rightFromText="180" w:vertAnchor="text" w:horzAnchor="page" w:tblpX="2050" w:tblpY="284"/>
        <w:tblOverlap w:val="never"/>
        <w:tblW w:w="8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94"/>
        <w:gridCol w:w="6144"/>
        <w:gridCol w:w="834"/>
      </w:tblGrid>
      <w:tr w14:paraId="5377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1" w:type="dxa"/>
            <w:noWrap/>
            <w:vAlign w:val="center"/>
          </w:tcPr>
          <w:p w14:paraId="32170E3F">
            <w:pPr>
              <w:keepNext w:val="0"/>
              <w:keepLines w:val="0"/>
              <w:pageBreakBefore w:val="0"/>
              <w:wordWrap/>
              <w:overflowPunct/>
              <w:topLinePunct w:val="0"/>
              <w:bidi w:val="0"/>
              <w:adjustRightInd/>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94" w:type="dxa"/>
            <w:noWrap/>
            <w:vAlign w:val="center"/>
          </w:tcPr>
          <w:p w14:paraId="5FABC296">
            <w:pPr>
              <w:keepNext w:val="0"/>
              <w:keepLines w:val="0"/>
              <w:pageBreakBefore w:val="0"/>
              <w:wordWrap/>
              <w:overflowPunct/>
              <w:topLinePunct w:val="0"/>
              <w:bidi w:val="0"/>
              <w:adjustRightInd/>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评分项目</w:t>
            </w:r>
          </w:p>
        </w:tc>
        <w:tc>
          <w:tcPr>
            <w:tcW w:w="6144" w:type="dxa"/>
            <w:noWrap/>
            <w:vAlign w:val="center"/>
          </w:tcPr>
          <w:p w14:paraId="721DD401">
            <w:pPr>
              <w:keepNext w:val="0"/>
              <w:keepLines w:val="0"/>
              <w:pageBreakBefore w:val="0"/>
              <w:wordWrap/>
              <w:overflowPunct/>
              <w:topLinePunct w:val="0"/>
              <w:bidi w:val="0"/>
              <w:adjustRightInd/>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得分标准</w:t>
            </w:r>
          </w:p>
        </w:tc>
        <w:tc>
          <w:tcPr>
            <w:tcW w:w="834" w:type="dxa"/>
            <w:noWrap/>
            <w:vAlign w:val="center"/>
          </w:tcPr>
          <w:p w14:paraId="7E03056E">
            <w:pPr>
              <w:keepNext w:val="0"/>
              <w:keepLines w:val="0"/>
              <w:pageBreakBefore w:val="0"/>
              <w:wordWrap/>
              <w:overflowPunct/>
              <w:topLinePunct w:val="0"/>
              <w:bidi w:val="0"/>
              <w:adjustRightInd/>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1342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noWrap/>
            <w:vAlign w:val="center"/>
          </w:tcPr>
          <w:p w14:paraId="0730BD58">
            <w:pPr>
              <w:keepNext w:val="0"/>
              <w:keepLines w:val="0"/>
              <w:pageBreakBefore w:val="0"/>
              <w:wordWrap/>
              <w:overflowPunct/>
              <w:topLinePunct w:val="0"/>
              <w:bidi w:val="0"/>
              <w:adjustRightInd/>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94" w:type="dxa"/>
            <w:noWrap/>
            <w:vAlign w:val="center"/>
          </w:tcPr>
          <w:p w14:paraId="1E21C890">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jc w:val="center"/>
              <w:textAlignment w:val="baseline"/>
              <w:rPr>
                <w:rFonts w:hint="eastAsia" w:ascii="仿宋" w:hAnsi="仿宋" w:eastAsia="仿宋" w:cs="仿宋"/>
                <w:strike w:val="0"/>
                <w:dstrike w:val="0"/>
                <w:color w:val="auto"/>
                <w:kern w:val="0"/>
                <w:sz w:val="24"/>
                <w:szCs w:val="24"/>
                <w:highlight w:val="none"/>
                <w:lang w:val="en-US" w:eastAsia="zh-CN" w:bidi="ar-SA"/>
              </w:rPr>
            </w:pPr>
            <w:r>
              <w:rPr>
                <w:rFonts w:hint="eastAsia" w:ascii="仿宋" w:hAnsi="仿宋" w:eastAsia="仿宋" w:cs="仿宋"/>
                <w:strike w:val="0"/>
                <w:dstrike w:val="0"/>
                <w:color w:val="auto"/>
                <w:sz w:val="24"/>
                <w:szCs w:val="24"/>
                <w:highlight w:val="none"/>
              </w:rPr>
              <w:t>企业实力</w:t>
            </w:r>
          </w:p>
        </w:tc>
        <w:tc>
          <w:tcPr>
            <w:tcW w:w="6144" w:type="dxa"/>
            <w:noWrap/>
            <w:vAlign w:val="center"/>
          </w:tcPr>
          <w:p w14:paraId="3C7A357F">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2021年1月1日至今，供应商参编过省级及以上消防相关技术标准(或技术导则)的得4分，参编过市级消防相关技术标准(或技术导则)的得2分，本项最多只能提供2份证明文件（消防产品类标准除外）。</w:t>
            </w:r>
          </w:p>
          <w:p w14:paraId="66656AB7">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投标文件中提供相关证明文件扫描件并加盖单位公章，联合体投标的，提供联合体任一成员的相关证明文件扫描件并加盖牵头单位公章。</w:t>
            </w:r>
          </w:p>
        </w:tc>
        <w:tc>
          <w:tcPr>
            <w:tcW w:w="834" w:type="dxa"/>
            <w:noWrap/>
            <w:vAlign w:val="center"/>
          </w:tcPr>
          <w:p w14:paraId="1D9D9781">
            <w:pPr>
              <w:keepNext w:val="0"/>
              <w:keepLines w:val="0"/>
              <w:pageBreakBefore w:val="0"/>
              <w:widowControl/>
              <w:wordWrap/>
              <w:overflowPunct/>
              <w:topLinePunct w:val="0"/>
              <w:bidi w:val="0"/>
              <w:adjustRightInd/>
              <w:spacing w:line="440" w:lineRule="exact"/>
              <w:jc w:val="center"/>
              <w:rPr>
                <w:rFonts w:hint="eastAsia" w:ascii="仿宋" w:hAnsi="仿宋" w:eastAsia="仿宋" w:cs="仿宋"/>
                <w:strike w:val="0"/>
                <w:dstrike w:val="0"/>
                <w:color w:val="auto"/>
                <w:kern w:val="2"/>
                <w:sz w:val="24"/>
                <w:szCs w:val="24"/>
                <w:highlight w:val="none"/>
                <w:lang w:val="en-US" w:eastAsia="zh-CN" w:bidi="ar-SA"/>
              </w:rPr>
            </w:pPr>
            <w:r>
              <w:rPr>
                <w:rFonts w:hint="eastAsia" w:ascii="仿宋" w:hAnsi="仿宋" w:eastAsia="仿宋" w:cs="仿宋"/>
                <w:strike w:val="0"/>
                <w:dstrike w:val="0"/>
                <w:color w:val="auto"/>
                <w:sz w:val="24"/>
                <w:szCs w:val="24"/>
                <w:highlight w:val="none"/>
              </w:rPr>
              <w:t>6</w:t>
            </w:r>
          </w:p>
        </w:tc>
      </w:tr>
      <w:tr w14:paraId="7348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19941573">
            <w:pPr>
              <w:keepNext w:val="0"/>
              <w:keepLines w:val="0"/>
              <w:pageBreakBefore w:val="0"/>
              <w:wordWrap/>
              <w:overflowPunct/>
              <w:topLinePunct w:val="0"/>
              <w:bidi w:val="0"/>
              <w:adjustRightInd/>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w:t>
            </w:r>
          </w:p>
        </w:tc>
        <w:tc>
          <w:tcPr>
            <w:tcW w:w="1294" w:type="dxa"/>
            <w:noWrap/>
            <w:vAlign w:val="center"/>
          </w:tcPr>
          <w:p w14:paraId="371685DB">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企业业绩</w:t>
            </w:r>
          </w:p>
        </w:tc>
        <w:tc>
          <w:tcPr>
            <w:tcW w:w="6144" w:type="dxa"/>
            <w:noWrap/>
            <w:vAlign w:val="center"/>
          </w:tcPr>
          <w:p w14:paraId="322C11E5">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strike w:val="0"/>
                <w:dstrike w:val="0"/>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年1月1日至今（以合同签订时间为准）承接过政府消防验收主管部门委托的消防验收技术服务，每个得2分，本项最高6分</w:t>
            </w:r>
            <w:r>
              <w:rPr>
                <w:rFonts w:hint="eastAsia" w:ascii="仿宋" w:hAnsi="仿宋" w:eastAsia="仿宋" w:cs="仿宋"/>
                <w:strike w:val="0"/>
                <w:dstrike w:val="0"/>
                <w:color w:val="auto"/>
                <w:sz w:val="24"/>
                <w:szCs w:val="24"/>
                <w:highlight w:val="none"/>
              </w:rPr>
              <w:t>。</w:t>
            </w:r>
          </w:p>
          <w:p w14:paraId="72D109AD">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strike w:val="0"/>
                <w:dstrike w:val="0"/>
                <w:color w:val="auto"/>
                <w:sz w:val="24"/>
                <w:szCs w:val="24"/>
                <w:highlight w:val="none"/>
                <w:lang w:val="en-US" w:eastAsia="zh-CN"/>
              </w:rPr>
              <w:t>投标文件中提供合同</w:t>
            </w:r>
            <w:r>
              <w:rPr>
                <w:rFonts w:hint="eastAsia" w:ascii="仿宋" w:hAnsi="仿宋" w:eastAsia="仿宋" w:cs="仿宋"/>
                <w:strike w:val="0"/>
                <w:dstrike w:val="0"/>
                <w:color w:val="auto"/>
                <w:sz w:val="24"/>
                <w:szCs w:val="24"/>
                <w:highlight w:val="none"/>
              </w:rPr>
              <w:t>复印件</w:t>
            </w:r>
            <w:r>
              <w:rPr>
                <w:rFonts w:hint="eastAsia" w:ascii="仿宋" w:hAnsi="仿宋" w:eastAsia="仿宋" w:cs="仿宋"/>
                <w:strike w:val="0"/>
                <w:dstrike w:val="0"/>
                <w:color w:val="auto"/>
                <w:sz w:val="24"/>
                <w:szCs w:val="24"/>
                <w:highlight w:val="none"/>
                <w:lang w:val="en-US" w:eastAsia="zh-CN"/>
              </w:rPr>
              <w:t>并加盖单位公章，联合体投标的，提供联合体任一成员的中标通知书和合同扫描件并加盖牵头单位公章。</w:t>
            </w:r>
          </w:p>
        </w:tc>
        <w:tc>
          <w:tcPr>
            <w:tcW w:w="834" w:type="dxa"/>
            <w:noWrap/>
            <w:vAlign w:val="center"/>
          </w:tcPr>
          <w:p w14:paraId="3051FCAE">
            <w:pPr>
              <w:keepNext w:val="0"/>
              <w:keepLines w:val="0"/>
              <w:pageBreakBefore w:val="0"/>
              <w:wordWrap/>
              <w:overflowPunct/>
              <w:topLinePunct w:val="0"/>
              <w:bidi w:val="0"/>
              <w:adjustRightInd/>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14:paraId="55EC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5983ACE8">
            <w:pPr>
              <w:keepNext w:val="0"/>
              <w:keepLines w:val="0"/>
              <w:pageBreakBefore w:val="0"/>
              <w:wordWrap/>
              <w:overflowPunct/>
              <w:topLinePunct w:val="0"/>
              <w:bidi w:val="0"/>
              <w:adjustRightInd/>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294" w:type="dxa"/>
            <w:vMerge w:val="restart"/>
            <w:noWrap/>
            <w:vAlign w:val="center"/>
          </w:tcPr>
          <w:p w14:paraId="2F7D43B2">
            <w:pPr>
              <w:keepNext w:val="0"/>
              <w:keepLines w:val="0"/>
              <w:pageBreakBefore w:val="0"/>
              <w:wordWrap/>
              <w:overflowPunct/>
              <w:topLinePunct w:val="0"/>
              <w:bidi w:val="0"/>
              <w:adjustRightInd/>
              <w:spacing w:line="440" w:lineRule="exact"/>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技术实力</w:t>
            </w:r>
          </w:p>
        </w:tc>
        <w:tc>
          <w:tcPr>
            <w:tcW w:w="6144" w:type="dxa"/>
            <w:noWrap/>
            <w:vAlign w:val="center"/>
          </w:tcPr>
          <w:p w14:paraId="34FA71D2">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配置4名国家一级注册消防工程师和2名一级注册建筑师为基数，每超过1名注册类工程师（一级消防、一级结构、一级建筑、安全、暖通、给排水、电气）得1分,最高得6分。投标文件中提供相关人员证书及供应商为其缴纳的包含有2025年2-4月社保证明扫描件加盖单位公章，联合体投标的，提供联合体任一成员的相关人员证书及供应商为其缴纳的包含有2025年2-4月社保证明扫描件并加盖牵头单位公章。</w:t>
            </w:r>
          </w:p>
        </w:tc>
        <w:tc>
          <w:tcPr>
            <w:tcW w:w="834" w:type="dxa"/>
            <w:noWrap/>
            <w:vAlign w:val="center"/>
          </w:tcPr>
          <w:p w14:paraId="712CEC35">
            <w:pPr>
              <w:keepNext w:val="0"/>
              <w:keepLines w:val="0"/>
              <w:pageBreakBefore w:val="0"/>
              <w:widowControl/>
              <w:wordWrap/>
              <w:overflowPunct/>
              <w:topLinePunct w:val="0"/>
              <w:bidi w:val="0"/>
              <w:adjustRightInd/>
              <w:spacing w:line="440" w:lineRule="exact"/>
              <w:jc w:val="cente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6</w:t>
            </w:r>
          </w:p>
        </w:tc>
      </w:tr>
      <w:tr w14:paraId="53A4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56658504">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w:t>
            </w:r>
          </w:p>
        </w:tc>
        <w:tc>
          <w:tcPr>
            <w:tcW w:w="1294" w:type="dxa"/>
            <w:vMerge w:val="continue"/>
            <w:noWrap/>
            <w:vAlign w:val="center"/>
          </w:tcPr>
          <w:p w14:paraId="09C39673">
            <w:pPr>
              <w:keepNext w:val="0"/>
              <w:keepLines w:val="0"/>
              <w:pageBreakBefore w:val="0"/>
              <w:widowControl/>
              <w:wordWrap/>
              <w:overflowPunct/>
              <w:topLinePunct w:val="0"/>
              <w:bidi w:val="0"/>
              <w:adjustRightInd/>
              <w:snapToGrid w:val="0"/>
              <w:spacing w:line="440" w:lineRule="exact"/>
              <w:jc w:val="center"/>
              <w:rPr>
                <w:rFonts w:hint="eastAsia" w:ascii="仿宋" w:hAnsi="仿宋" w:eastAsia="仿宋" w:cs="仿宋"/>
                <w:bCs/>
                <w:color w:val="auto"/>
                <w:sz w:val="24"/>
                <w:szCs w:val="24"/>
                <w:highlight w:val="none"/>
              </w:rPr>
            </w:pPr>
          </w:p>
        </w:tc>
        <w:tc>
          <w:tcPr>
            <w:tcW w:w="6144" w:type="dxa"/>
            <w:noWrap/>
            <w:vAlign w:val="center"/>
          </w:tcPr>
          <w:p w14:paraId="75A1A905">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具有省级及以上建设工程消防技术专家库专家的得3分，本项最高得3分。</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注：投标文件中提供相关证明文件扫描件及供应商为其缴纳的包含有2025年2-4月社保证明扫描件加盖单位公章，联合体投标的，提供联合体任一成员的相关证明文件扫描件及供应商为其缴纳的包含有2025年2-4月社保证明扫描件并加盖牵头单位公章。其中离退休返聘人员的，需提供退休证明及单位聘用证明；部队自主择业人员的，需提供自主择业证明及单位聘用证明。</w:t>
            </w:r>
          </w:p>
        </w:tc>
        <w:tc>
          <w:tcPr>
            <w:tcW w:w="834" w:type="dxa"/>
            <w:noWrap/>
            <w:vAlign w:val="center"/>
          </w:tcPr>
          <w:p w14:paraId="6DC4077E">
            <w:pPr>
              <w:keepNext w:val="0"/>
              <w:keepLines w:val="0"/>
              <w:pageBreakBefore w:val="0"/>
              <w:widowControl/>
              <w:wordWrap/>
              <w:overflowPunct/>
              <w:topLinePunct w:val="0"/>
              <w:bidi w:val="0"/>
              <w:adjustRightInd/>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r>
      <w:tr w14:paraId="338A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4799951A">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1294" w:type="dxa"/>
            <w:vMerge w:val="restart"/>
            <w:noWrap/>
            <w:vAlign w:val="center"/>
          </w:tcPr>
          <w:p w14:paraId="1F0F0B2B">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项目技术服务组成员</w:t>
            </w:r>
          </w:p>
        </w:tc>
        <w:tc>
          <w:tcPr>
            <w:tcW w:w="6144" w:type="dxa"/>
            <w:noWrap/>
            <w:vAlign w:val="center"/>
          </w:tcPr>
          <w:p w14:paraId="54826D88">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技术服务组项目负责人和技术负责人：具有不少于5年建设工程消防设计或施工经历各得1分，以验收组长身份主持过不少于3项竣工验收消防查验或者以项目负责人身份承接过现场评定工作各得1分，具有高级及以上建筑类相关的工程师职称各得1分，本项最高得6分。项目负责人和技术负责人各为一人，多项目负责人或多技术负责人按一人对应最高分计算。</w:t>
            </w:r>
          </w:p>
          <w:p w14:paraId="5D394B27">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注：投标文件中提供相关证明文件扫描件加盖单位公章，联合体投标的，提供联合体任一成员的相关证明文件扫描件并加盖牵头单位公章。若证明材料中不能体现项目负责人或技术负责人信息或项目特征的，另行提供业主单位证明材料。</w:t>
            </w:r>
          </w:p>
        </w:tc>
        <w:tc>
          <w:tcPr>
            <w:tcW w:w="834" w:type="dxa"/>
            <w:noWrap/>
            <w:vAlign w:val="center"/>
          </w:tcPr>
          <w:p w14:paraId="15C65E50">
            <w:pPr>
              <w:keepNext w:val="0"/>
              <w:keepLines w:val="0"/>
              <w:pageBreakBefore w:val="0"/>
              <w:widowControl/>
              <w:wordWrap/>
              <w:overflowPunct/>
              <w:topLinePunct w:val="0"/>
              <w:bidi w:val="0"/>
              <w:adjustRightInd/>
              <w:spacing w:line="440" w:lineRule="exact"/>
              <w:jc w:val="cente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rPr>
              <w:t>6</w:t>
            </w:r>
          </w:p>
        </w:tc>
      </w:tr>
      <w:tr w14:paraId="3EC5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3ADF80B1">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6</w:t>
            </w:r>
          </w:p>
        </w:tc>
        <w:tc>
          <w:tcPr>
            <w:tcW w:w="1294" w:type="dxa"/>
            <w:vMerge w:val="continue"/>
            <w:noWrap/>
            <w:vAlign w:val="center"/>
          </w:tcPr>
          <w:p w14:paraId="7553C7A4">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sz w:val="24"/>
                <w:szCs w:val="24"/>
                <w:highlight w:val="none"/>
              </w:rPr>
            </w:pPr>
          </w:p>
        </w:tc>
        <w:tc>
          <w:tcPr>
            <w:tcW w:w="6144" w:type="dxa"/>
            <w:noWrap/>
            <w:vAlign w:val="center"/>
          </w:tcPr>
          <w:p w14:paraId="3C9089CB">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拟派遣技术服务组成员中除项目负责人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技术负责人</w:t>
            </w:r>
            <w:r>
              <w:rPr>
                <w:rFonts w:hint="eastAsia" w:ascii="仿宋" w:hAnsi="仿宋" w:eastAsia="仿宋" w:cs="仿宋"/>
                <w:color w:val="auto"/>
                <w:sz w:val="24"/>
                <w:szCs w:val="24"/>
                <w:highlight w:val="none"/>
              </w:rPr>
              <w:t>以外，</w:t>
            </w:r>
            <w:r>
              <w:rPr>
                <w:rFonts w:hint="eastAsia" w:ascii="仿宋" w:hAnsi="仿宋" w:eastAsia="仿宋" w:cs="仿宋"/>
                <w:color w:val="auto"/>
                <w:sz w:val="24"/>
                <w:szCs w:val="24"/>
                <w:highlight w:val="none"/>
                <w:lang w:val="en-US" w:eastAsia="zh-CN"/>
              </w:rPr>
              <w:t>同时</w:t>
            </w:r>
            <w:r>
              <w:rPr>
                <w:rFonts w:hint="eastAsia" w:ascii="仿宋" w:hAnsi="仿宋" w:eastAsia="仿宋" w:cs="仿宋"/>
                <w:color w:val="auto"/>
                <w:sz w:val="24"/>
                <w:szCs w:val="24"/>
                <w:highlight w:val="none"/>
              </w:rPr>
              <w:t>具有不少于5年建设工程消防设计</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或施工或验收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经历</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建筑类相关的工程师职称</w:t>
            </w:r>
            <w:r>
              <w:rPr>
                <w:rFonts w:hint="eastAsia" w:ascii="仿宋" w:hAnsi="仿宋" w:eastAsia="仿宋" w:cs="仿宋"/>
                <w:color w:val="auto"/>
                <w:sz w:val="24"/>
                <w:szCs w:val="24"/>
                <w:highlight w:val="none"/>
                <w:lang w:val="en-US" w:eastAsia="zh-CN"/>
              </w:rPr>
              <w:t>的每人各得2</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p w14:paraId="13DF1BF4">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注：投标文件中提供</w:t>
            </w:r>
            <w:r>
              <w:rPr>
                <w:rFonts w:hint="eastAsia" w:ascii="仿宋" w:hAnsi="仿宋" w:eastAsia="仿宋" w:cs="仿宋"/>
                <w:color w:val="auto"/>
                <w:sz w:val="24"/>
                <w:szCs w:val="24"/>
                <w:highlight w:val="none"/>
                <w:lang w:val="en-US" w:eastAsia="zh-CN"/>
              </w:rPr>
              <w:t>相关证明文件</w:t>
            </w:r>
            <w:r>
              <w:rPr>
                <w:rFonts w:hint="eastAsia" w:ascii="仿宋" w:hAnsi="仿宋" w:eastAsia="仿宋" w:cs="仿宋"/>
                <w:strike w:val="0"/>
                <w:dstrike w:val="0"/>
                <w:color w:val="auto"/>
                <w:sz w:val="24"/>
                <w:szCs w:val="24"/>
                <w:highlight w:val="none"/>
                <w:lang w:val="en-US" w:eastAsia="zh-CN"/>
              </w:rPr>
              <w:t>及供应商为其缴纳的包含有2025年2-4月社保证明扫描件加盖单位公章，联合体投标的，提供联合体任一成员的</w:t>
            </w:r>
            <w:r>
              <w:rPr>
                <w:rFonts w:hint="eastAsia" w:ascii="仿宋" w:hAnsi="仿宋" w:eastAsia="仿宋" w:cs="仿宋"/>
                <w:color w:val="auto"/>
                <w:sz w:val="24"/>
                <w:szCs w:val="24"/>
                <w:highlight w:val="none"/>
                <w:lang w:val="en-US" w:eastAsia="zh-CN"/>
              </w:rPr>
              <w:t>相关证明文件</w:t>
            </w:r>
            <w:r>
              <w:rPr>
                <w:rFonts w:hint="eastAsia" w:ascii="仿宋" w:hAnsi="仿宋" w:eastAsia="仿宋" w:cs="仿宋"/>
                <w:strike w:val="0"/>
                <w:dstrike w:val="0"/>
                <w:color w:val="auto"/>
                <w:sz w:val="24"/>
                <w:szCs w:val="24"/>
                <w:highlight w:val="none"/>
                <w:lang w:val="en-US" w:eastAsia="zh-CN"/>
              </w:rPr>
              <w:t>及供应商为其缴纳的包含有2025年2-4月社保证明扫扫描件并加盖牵头单位公章。若证明材料中不能体现成员信息或项目特征的，另行提供业主单位证明材料。</w:t>
            </w:r>
          </w:p>
        </w:tc>
        <w:tc>
          <w:tcPr>
            <w:tcW w:w="834" w:type="dxa"/>
            <w:noWrap/>
            <w:vAlign w:val="center"/>
          </w:tcPr>
          <w:p w14:paraId="6D4022E1">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ind w:firstLine="240" w:firstLineChars="100"/>
              <w:textAlignment w:val="baseline"/>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r>
      <w:tr w14:paraId="79FA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718F7A05">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7</w:t>
            </w:r>
          </w:p>
        </w:tc>
        <w:tc>
          <w:tcPr>
            <w:tcW w:w="1294" w:type="dxa"/>
            <w:vMerge w:val="restart"/>
            <w:noWrap/>
            <w:vAlign w:val="center"/>
          </w:tcPr>
          <w:p w14:paraId="1E387BFA">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项目技术服务方案</w:t>
            </w:r>
          </w:p>
        </w:tc>
        <w:tc>
          <w:tcPr>
            <w:tcW w:w="6144" w:type="dxa"/>
            <w:noWrap/>
            <w:vAlign w:val="center"/>
          </w:tcPr>
          <w:p w14:paraId="0C3EA971">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服务内容认知：根据</w:t>
            </w:r>
            <w:r>
              <w:rPr>
                <w:rFonts w:hint="eastAsia" w:ascii="仿宋" w:hAnsi="仿宋" w:eastAsia="仿宋" w:cs="仿宋"/>
                <w:color w:val="auto"/>
                <w:sz w:val="24"/>
                <w:szCs w:val="24"/>
                <w:highlight w:val="none"/>
                <w:lang w:eastAsia="zh-CN"/>
              </w:rPr>
              <w:t>征集文件</w:t>
            </w:r>
            <w:r>
              <w:rPr>
                <w:rFonts w:hint="eastAsia" w:ascii="仿宋" w:hAnsi="仿宋" w:eastAsia="仿宋" w:cs="仿宋"/>
                <w:color w:val="auto"/>
                <w:sz w:val="24"/>
                <w:szCs w:val="24"/>
                <w:highlight w:val="none"/>
              </w:rPr>
              <w:t>要求，分析服务内容，确定服务重点，明确服务目标，落实实施思路。</w:t>
            </w:r>
          </w:p>
          <w:p w14:paraId="3D9D42DB">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服务内容认知优于征集文件要求的得</w:t>
            </w:r>
            <w:r>
              <w:rPr>
                <w:rFonts w:hint="eastAsia" w:ascii="仿宋" w:hAnsi="仿宋" w:eastAsia="仿宋" w:cs="仿宋"/>
                <w:color w:val="auto"/>
                <w:sz w:val="24"/>
                <w:szCs w:val="24"/>
                <w:highlight w:val="none"/>
                <w:lang w:val="en-US" w:eastAsia="zh-CN"/>
              </w:rPr>
              <w:t>5.1-8</w:t>
            </w:r>
            <w:r>
              <w:rPr>
                <w:rFonts w:hint="eastAsia" w:ascii="仿宋" w:hAnsi="仿宋" w:eastAsia="仿宋" w:cs="仿宋"/>
                <w:color w:val="auto"/>
                <w:sz w:val="24"/>
                <w:szCs w:val="24"/>
                <w:highlight w:val="none"/>
              </w:rPr>
              <w:t>分，方案内容基本满足征集文件要求的得</w:t>
            </w:r>
            <w:r>
              <w:rPr>
                <w:rFonts w:hint="eastAsia" w:ascii="仿宋" w:hAnsi="仿宋" w:eastAsia="仿宋" w:cs="仿宋"/>
                <w:color w:val="auto"/>
                <w:sz w:val="24"/>
                <w:szCs w:val="24"/>
                <w:highlight w:val="none"/>
                <w:lang w:eastAsia="zh-CN"/>
              </w:rPr>
              <w:t>2.6-5</w:t>
            </w:r>
            <w:r>
              <w:rPr>
                <w:rFonts w:hint="eastAsia" w:ascii="仿宋" w:hAnsi="仿宋" w:eastAsia="仿宋" w:cs="仿宋"/>
                <w:color w:val="auto"/>
                <w:sz w:val="24"/>
                <w:szCs w:val="24"/>
                <w:highlight w:val="none"/>
              </w:rPr>
              <w:t>分，方案内容部分满足征集文件要求的得</w:t>
            </w:r>
            <w:r>
              <w:rPr>
                <w:rFonts w:hint="eastAsia" w:ascii="仿宋" w:hAnsi="仿宋" w:eastAsia="仿宋" w:cs="仿宋"/>
                <w:color w:val="auto"/>
                <w:sz w:val="24"/>
                <w:szCs w:val="24"/>
                <w:highlight w:val="none"/>
                <w:lang w:val="en-US" w:eastAsia="zh-CN"/>
              </w:rPr>
              <w:t>0-2.5</w:t>
            </w:r>
            <w:r>
              <w:rPr>
                <w:rFonts w:hint="eastAsia" w:ascii="仿宋" w:hAnsi="仿宋" w:eastAsia="仿宋" w:cs="仿宋"/>
                <w:color w:val="auto"/>
                <w:sz w:val="24"/>
                <w:szCs w:val="24"/>
                <w:highlight w:val="none"/>
              </w:rPr>
              <w:t>分，未提供不得分。</w:t>
            </w:r>
          </w:p>
        </w:tc>
        <w:tc>
          <w:tcPr>
            <w:tcW w:w="834" w:type="dxa"/>
            <w:noWrap/>
            <w:vAlign w:val="center"/>
          </w:tcPr>
          <w:p w14:paraId="183E1E6C">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ind w:firstLine="240" w:firstLineChars="100"/>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r>
      <w:tr w14:paraId="402E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01CEC1FD">
            <w:pPr>
              <w:keepNext w:val="0"/>
              <w:keepLines w:val="0"/>
              <w:pageBreakBefore w:val="0"/>
              <w:wordWrap/>
              <w:overflowPunct/>
              <w:topLinePunct w:val="0"/>
              <w:bidi w:val="0"/>
              <w:adjustRightInd/>
              <w:spacing w:line="440" w:lineRule="exact"/>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8</w:t>
            </w:r>
          </w:p>
        </w:tc>
        <w:tc>
          <w:tcPr>
            <w:tcW w:w="1294" w:type="dxa"/>
            <w:vMerge w:val="continue"/>
            <w:noWrap/>
            <w:vAlign w:val="center"/>
          </w:tcPr>
          <w:p w14:paraId="40A3CF6B">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sz w:val="24"/>
                <w:szCs w:val="24"/>
                <w:highlight w:val="none"/>
              </w:rPr>
            </w:pPr>
          </w:p>
        </w:tc>
        <w:tc>
          <w:tcPr>
            <w:tcW w:w="6144" w:type="dxa"/>
            <w:noWrap/>
            <w:vAlign w:val="center"/>
          </w:tcPr>
          <w:p w14:paraId="79C00043">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服务质量保障：按照</w:t>
            </w:r>
            <w:r>
              <w:rPr>
                <w:rFonts w:hint="eastAsia" w:ascii="仿宋" w:hAnsi="仿宋" w:eastAsia="仿宋" w:cs="仿宋"/>
                <w:color w:val="auto"/>
                <w:sz w:val="24"/>
                <w:szCs w:val="24"/>
                <w:highlight w:val="none"/>
                <w:lang w:eastAsia="zh-CN"/>
              </w:rPr>
              <w:t>征集文件</w:t>
            </w:r>
            <w:r>
              <w:rPr>
                <w:rFonts w:hint="eastAsia" w:ascii="仿宋" w:hAnsi="仿宋" w:eastAsia="仿宋" w:cs="仿宋"/>
                <w:color w:val="auto"/>
                <w:sz w:val="24"/>
                <w:szCs w:val="24"/>
                <w:highlight w:val="none"/>
              </w:rPr>
              <w:t>要求，强化服务质量，合理配置技术力量、运用检测仪器，明确服务质量保障措施。</w:t>
            </w:r>
          </w:p>
          <w:p w14:paraId="0AFBEBD9">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服务质量保障方案优于征集文件要求的得</w:t>
            </w:r>
            <w:r>
              <w:rPr>
                <w:rFonts w:hint="eastAsia" w:ascii="仿宋" w:hAnsi="仿宋" w:eastAsia="仿宋" w:cs="仿宋"/>
                <w:color w:val="auto"/>
                <w:sz w:val="24"/>
                <w:szCs w:val="24"/>
                <w:highlight w:val="none"/>
                <w:lang w:val="en-US" w:eastAsia="zh-CN"/>
              </w:rPr>
              <w:t>5.1-7</w:t>
            </w:r>
            <w:r>
              <w:rPr>
                <w:rFonts w:hint="eastAsia" w:ascii="仿宋" w:hAnsi="仿宋" w:eastAsia="仿宋" w:cs="仿宋"/>
                <w:color w:val="auto"/>
                <w:sz w:val="24"/>
                <w:szCs w:val="24"/>
                <w:highlight w:val="none"/>
              </w:rPr>
              <w:t>分，方案内容基本满足征集文件要求的得</w:t>
            </w:r>
            <w:r>
              <w:rPr>
                <w:rFonts w:hint="eastAsia" w:ascii="仿宋" w:hAnsi="仿宋" w:eastAsia="仿宋" w:cs="仿宋"/>
                <w:color w:val="auto"/>
                <w:sz w:val="24"/>
                <w:szCs w:val="24"/>
                <w:highlight w:val="none"/>
                <w:lang w:eastAsia="zh-CN"/>
              </w:rPr>
              <w:t>2.6-5</w:t>
            </w:r>
            <w:r>
              <w:rPr>
                <w:rFonts w:hint="eastAsia" w:ascii="仿宋" w:hAnsi="仿宋" w:eastAsia="仿宋" w:cs="仿宋"/>
                <w:color w:val="auto"/>
                <w:sz w:val="24"/>
                <w:szCs w:val="24"/>
                <w:highlight w:val="none"/>
              </w:rPr>
              <w:t>分，方案内容部分满足征集文件要求的得</w:t>
            </w:r>
            <w:r>
              <w:rPr>
                <w:rFonts w:hint="eastAsia" w:ascii="仿宋" w:hAnsi="仿宋" w:eastAsia="仿宋" w:cs="仿宋"/>
                <w:color w:val="auto"/>
                <w:sz w:val="24"/>
                <w:szCs w:val="24"/>
                <w:highlight w:val="none"/>
                <w:lang w:eastAsia="zh-CN"/>
              </w:rPr>
              <w:t>0-2.5</w:t>
            </w:r>
            <w:r>
              <w:rPr>
                <w:rFonts w:hint="eastAsia" w:ascii="仿宋" w:hAnsi="仿宋" w:eastAsia="仿宋" w:cs="仿宋"/>
                <w:color w:val="auto"/>
                <w:sz w:val="24"/>
                <w:szCs w:val="24"/>
                <w:highlight w:val="none"/>
              </w:rPr>
              <w:t>分，未提供不得分。</w:t>
            </w:r>
          </w:p>
        </w:tc>
        <w:tc>
          <w:tcPr>
            <w:tcW w:w="834" w:type="dxa"/>
            <w:noWrap/>
            <w:vAlign w:val="center"/>
          </w:tcPr>
          <w:p w14:paraId="2A620FFD">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ind w:firstLine="240" w:firstLineChars="100"/>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r>
      <w:tr w14:paraId="7FF2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23971CEB">
            <w:pPr>
              <w:keepNext w:val="0"/>
              <w:keepLines w:val="0"/>
              <w:pageBreakBefore w:val="0"/>
              <w:wordWrap/>
              <w:overflowPunct/>
              <w:topLinePunct w:val="0"/>
              <w:bidi w:val="0"/>
              <w:adjustRightInd/>
              <w:spacing w:line="440" w:lineRule="exact"/>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9</w:t>
            </w:r>
          </w:p>
        </w:tc>
        <w:tc>
          <w:tcPr>
            <w:tcW w:w="1294" w:type="dxa"/>
            <w:vMerge w:val="continue"/>
            <w:noWrap/>
            <w:vAlign w:val="center"/>
          </w:tcPr>
          <w:p w14:paraId="380AAA57">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sz w:val="24"/>
                <w:szCs w:val="24"/>
                <w:highlight w:val="none"/>
              </w:rPr>
            </w:pPr>
          </w:p>
        </w:tc>
        <w:tc>
          <w:tcPr>
            <w:tcW w:w="6144" w:type="dxa"/>
            <w:noWrap/>
            <w:vAlign w:val="center"/>
          </w:tcPr>
          <w:p w14:paraId="24D02B23">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服务方案编制：项目技术方案应明确技术服务力量配置，技术服务内容、技术服务时间节点、根据项目特点的相关建议等，根据建设项目性质和特点，识别消防安全风险，做到重点突出、依据充分。</w:t>
            </w:r>
          </w:p>
          <w:p w14:paraId="37083FB2">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服务方案编制方案优于征集文件要求的得</w:t>
            </w:r>
            <w:r>
              <w:rPr>
                <w:rFonts w:hint="eastAsia" w:ascii="仿宋" w:hAnsi="仿宋" w:eastAsia="仿宋" w:cs="仿宋"/>
                <w:color w:val="auto"/>
                <w:sz w:val="24"/>
                <w:szCs w:val="24"/>
                <w:highlight w:val="none"/>
                <w:lang w:val="en-US" w:eastAsia="zh-CN"/>
              </w:rPr>
              <w:t>5.1-7</w:t>
            </w:r>
            <w:r>
              <w:rPr>
                <w:rFonts w:hint="eastAsia" w:ascii="仿宋" w:hAnsi="仿宋" w:eastAsia="仿宋" w:cs="仿宋"/>
                <w:color w:val="auto"/>
                <w:sz w:val="24"/>
                <w:szCs w:val="24"/>
                <w:highlight w:val="none"/>
              </w:rPr>
              <w:t>分，方案内容基本满足征集文件要求的得</w:t>
            </w:r>
            <w:r>
              <w:rPr>
                <w:rFonts w:hint="eastAsia" w:ascii="仿宋" w:hAnsi="仿宋" w:eastAsia="仿宋" w:cs="仿宋"/>
                <w:color w:val="auto"/>
                <w:sz w:val="24"/>
                <w:szCs w:val="24"/>
                <w:highlight w:val="none"/>
                <w:lang w:eastAsia="zh-CN"/>
              </w:rPr>
              <w:t>2.6-5</w:t>
            </w:r>
            <w:r>
              <w:rPr>
                <w:rFonts w:hint="eastAsia" w:ascii="仿宋" w:hAnsi="仿宋" w:eastAsia="仿宋" w:cs="仿宋"/>
                <w:color w:val="auto"/>
                <w:sz w:val="24"/>
                <w:szCs w:val="24"/>
                <w:highlight w:val="none"/>
              </w:rPr>
              <w:t>分，方案内容部分满足征集文件要求的得</w:t>
            </w:r>
            <w:r>
              <w:rPr>
                <w:rFonts w:hint="eastAsia" w:ascii="仿宋" w:hAnsi="仿宋" w:eastAsia="仿宋" w:cs="仿宋"/>
                <w:color w:val="auto"/>
                <w:sz w:val="24"/>
                <w:szCs w:val="24"/>
                <w:highlight w:val="none"/>
                <w:lang w:eastAsia="zh-CN"/>
              </w:rPr>
              <w:t>0-2.5</w:t>
            </w:r>
            <w:r>
              <w:rPr>
                <w:rFonts w:hint="eastAsia" w:ascii="仿宋" w:hAnsi="仿宋" w:eastAsia="仿宋" w:cs="仿宋"/>
                <w:color w:val="auto"/>
                <w:sz w:val="24"/>
                <w:szCs w:val="24"/>
                <w:highlight w:val="none"/>
              </w:rPr>
              <w:t>分，未提供不得分。</w:t>
            </w:r>
          </w:p>
        </w:tc>
        <w:tc>
          <w:tcPr>
            <w:tcW w:w="834" w:type="dxa"/>
            <w:noWrap/>
            <w:vAlign w:val="center"/>
          </w:tcPr>
          <w:p w14:paraId="0AAC8BC2">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ind w:firstLine="240" w:firstLineChars="100"/>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r>
      <w:tr w14:paraId="0FB3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1A1DD6EF">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10</w:t>
            </w:r>
          </w:p>
        </w:tc>
        <w:tc>
          <w:tcPr>
            <w:tcW w:w="1294" w:type="dxa"/>
            <w:vMerge w:val="continue"/>
            <w:noWrap/>
            <w:vAlign w:val="center"/>
          </w:tcPr>
          <w:p w14:paraId="5A5BCDEF">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sz w:val="24"/>
                <w:szCs w:val="24"/>
                <w:highlight w:val="none"/>
              </w:rPr>
            </w:pPr>
          </w:p>
        </w:tc>
        <w:tc>
          <w:tcPr>
            <w:tcW w:w="6144" w:type="dxa"/>
            <w:noWrap/>
            <w:vAlign w:val="center"/>
          </w:tcPr>
          <w:p w14:paraId="2E5C97D8">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进度计划安排：根据服务方案，快速合理安排工作，按规定时间完成技术服务，提交服务成果。</w:t>
            </w:r>
          </w:p>
          <w:p w14:paraId="3B53CAEC">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进度计划安排优于征集文件要求的得</w:t>
            </w:r>
            <w:r>
              <w:rPr>
                <w:rFonts w:hint="eastAsia" w:ascii="仿宋" w:hAnsi="仿宋" w:eastAsia="仿宋" w:cs="仿宋"/>
                <w:color w:val="auto"/>
                <w:sz w:val="24"/>
                <w:szCs w:val="24"/>
                <w:highlight w:val="none"/>
                <w:lang w:val="en-US" w:eastAsia="zh-CN"/>
              </w:rPr>
              <w:t>5.1-7</w:t>
            </w:r>
            <w:r>
              <w:rPr>
                <w:rFonts w:hint="eastAsia" w:ascii="仿宋" w:hAnsi="仿宋" w:eastAsia="仿宋" w:cs="仿宋"/>
                <w:color w:val="auto"/>
                <w:sz w:val="24"/>
                <w:szCs w:val="24"/>
                <w:highlight w:val="none"/>
              </w:rPr>
              <w:t>分，方案内容基本满足征集文件要求的得</w:t>
            </w:r>
            <w:r>
              <w:rPr>
                <w:rFonts w:hint="eastAsia" w:ascii="仿宋" w:hAnsi="仿宋" w:eastAsia="仿宋" w:cs="仿宋"/>
                <w:color w:val="auto"/>
                <w:sz w:val="24"/>
                <w:szCs w:val="24"/>
                <w:highlight w:val="none"/>
                <w:lang w:eastAsia="zh-CN"/>
              </w:rPr>
              <w:t>2.6-5</w:t>
            </w:r>
            <w:r>
              <w:rPr>
                <w:rFonts w:hint="eastAsia" w:ascii="仿宋" w:hAnsi="仿宋" w:eastAsia="仿宋" w:cs="仿宋"/>
                <w:color w:val="auto"/>
                <w:sz w:val="24"/>
                <w:szCs w:val="24"/>
                <w:highlight w:val="none"/>
              </w:rPr>
              <w:t>分，方案内容部分满足征集文件要求的得</w:t>
            </w:r>
            <w:r>
              <w:rPr>
                <w:rFonts w:hint="eastAsia" w:ascii="仿宋" w:hAnsi="仿宋" w:eastAsia="仿宋" w:cs="仿宋"/>
                <w:color w:val="auto"/>
                <w:sz w:val="24"/>
                <w:szCs w:val="24"/>
                <w:highlight w:val="none"/>
                <w:lang w:eastAsia="zh-CN"/>
              </w:rPr>
              <w:t>0-2.5</w:t>
            </w:r>
            <w:r>
              <w:rPr>
                <w:rFonts w:hint="eastAsia" w:ascii="仿宋" w:hAnsi="仿宋" w:eastAsia="仿宋" w:cs="仿宋"/>
                <w:color w:val="auto"/>
                <w:sz w:val="24"/>
                <w:szCs w:val="24"/>
                <w:highlight w:val="none"/>
              </w:rPr>
              <w:t>分，未提供不得分。</w:t>
            </w:r>
          </w:p>
        </w:tc>
        <w:tc>
          <w:tcPr>
            <w:tcW w:w="834" w:type="dxa"/>
            <w:noWrap/>
            <w:vAlign w:val="center"/>
          </w:tcPr>
          <w:p w14:paraId="33640B30">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ind w:firstLine="240" w:firstLineChars="100"/>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7</w:t>
            </w:r>
          </w:p>
        </w:tc>
      </w:tr>
      <w:tr w14:paraId="0E67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6A327E6B">
            <w:pPr>
              <w:keepNext w:val="0"/>
              <w:keepLines w:val="0"/>
              <w:pageBreakBefore w:val="0"/>
              <w:wordWrap/>
              <w:overflowPunct/>
              <w:topLinePunct w:val="0"/>
              <w:bidi w:val="0"/>
              <w:adjustRightInd/>
              <w:spacing w:line="440" w:lineRule="exact"/>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11</w:t>
            </w:r>
          </w:p>
        </w:tc>
        <w:tc>
          <w:tcPr>
            <w:tcW w:w="1294" w:type="dxa"/>
            <w:vMerge w:val="continue"/>
            <w:noWrap/>
            <w:vAlign w:val="center"/>
          </w:tcPr>
          <w:p w14:paraId="7B86E3D6">
            <w:pPr>
              <w:keepNext w:val="0"/>
              <w:keepLines w:val="0"/>
              <w:pageBreakBefore w:val="0"/>
              <w:wordWrap/>
              <w:overflowPunct/>
              <w:topLinePunct w:val="0"/>
              <w:bidi w:val="0"/>
              <w:adjustRightInd/>
              <w:spacing w:line="440" w:lineRule="exact"/>
              <w:jc w:val="center"/>
              <w:rPr>
                <w:rFonts w:hint="eastAsia" w:ascii="仿宋" w:hAnsi="仿宋" w:eastAsia="仿宋" w:cs="仿宋"/>
                <w:color w:val="auto"/>
                <w:sz w:val="24"/>
                <w:szCs w:val="24"/>
                <w:highlight w:val="none"/>
              </w:rPr>
            </w:pPr>
          </w:p>
        </w:tc>
        <w:tc>
          <w:tcPr>
            <w:tcW w:w="6144" w:type="dxa"/>
            <w:noWrap/>
            <w:vAlign w:val="center"/>
          </w:tcPr>
          <w:p w14:paraId="2B2B380C">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服务成果提交：理解和落实服务内容及要求，突出关键和重点，体现技术服务成效，编制相关技术服务报告。要求提供技术服务报告的文本模板。</w:t>
            </w:r>
          </w:p>
          <w:p w14:paraId="2AADD5CA">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服务成果提交方案优于征集文件要求的得</w:t>
            </w:r>
            <w:r>
              <w:rPr>
                <w:rFonts w:hint="eastAsia" w:ascii="仿宋" w:hAnsi="仿宋" w:eastAsia="仿宋" w:cs="仿宋"/>
                <w:color w:val="auto"/>
                <w:sz w:val="24"/>
                <w:szCs w:val="24"/>
                <w:highlight w:val="none"/>
                <w:lang w:eastAsia="zh-CN"/>
              </w:rPr>
              <w:t>5.1-7</w:t>
            </w:r>
            <w:r>
              <w:rPr>
                <w:rFonts w:hint="eastAsia" w:ascii="仿宋" w:hAnsi="仿宋" w:eastAsia="仿宋" w:cs="仿宋"/>
                <w:color w:val="auto"/>
                <w:sz w:val="24"/>
                <w:szCs w:val="24"/>
                <w:highlight w:val="none"/>
              </w:rPr>
              <w:t>分，方案内容基本满足征集文件要求的得</w:t>
            </w:r>
            <w:r>
              <w:rPr>
                <w:rFonts w:hint="eastAsia" w:ascii="仿宋" w:hAnsi="仿宋" w:eastAsia="仿宋" w:cs="仿宋"/>
                <w:color w:val="auto"/>
                <w:sz w:val="24"/>
                <w:szCs w:val="24"/>
                <w:highlight w:val="none"/>
                <w:lang w:eastAsia="zh-CN"/>
              </w:rPr>
              <w:t>2.6-5</w:t>
            </w:r>
            <w:r>
              <w:rPr>
                <w:rFonts w:hint="eastAsia" w:ascii="仿宋" w:hAnsi="仿宋" w:eastAsia="仿宋" w:cs="仿宋"/>
                <w:color w:val="auto"/>
                <w:sz w:val="24"/>
                <w:szCs w:val="24"/>
                <w:highlight w:val="none"/>
              </w:rPr>
              <w:t>分，方案内容部分满足征集文件要求的得</w:t>
            </w:r>
            <w:r>
              <w:rPr>
                <w:rFonts w:hint="eastAsia" w:ascii="仿宋" w:hAnsi="仿宋" w:eastAsia="仿宋" w:cs="仿宋"/>
                <w:color w:val="auto"/>
                <w:sz w:val="24"/>
                <w:szCs w:val="24"/>
                <w:highlight w:val="none"/>
                <w:lang w:eastAsia="zh-CN"/>
              </w:rPr>
              <w:t>0-2.5</w:t>
            </w:r>
            <w:r>
              <w:rPr>
                <w:rFonts w:hint="eastAsia" w:ascii="仿宋" w:hAnsi="仿宋" w:eastAsia="仿宋" w:cs="仿宋"/>
                <w:color w:val="auto"/>
                <w:sz w:val="24"/>
                <w:szCs w:val="24"/>
                <w:highlight w:val="none"/>
              </w:rPr>
              <w:t>分，未提供不得分。</w:t>
            </w:r>
          </w:p>
        </w:tc>
        <w:tc>
          <w:tcPr>
            <w:tcW w:w="834" w:type="dxa"/>
            <w:noWrap/>
            <w:vAlign w:val="center"/>
          </w:tcPr>
          <w:p w14:paraId="4EC84863">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ind w:firstLine="240" w:firstLineChars="100"/>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7</w:t>
            </w:r>
          </w:p>
        </w:tc>
      </w:tr>
      <w:tr w14:paraId="0D7B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4BB5DFE3">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12</w:t>
            </w:r>
          </w:p>
        </w:tc>
        <w:tc>
          <w:tcPr>
            <w:tcW w:w="1294" w:type="dxa"/>
            <w:vMerge w:val="continue"/>
            <w:noWrap/>
            <w:vAlign w:val="center"/>
          </w:tcPr>
          <w:p w14:paraId="5D9A830F">
            <w:pPr>
              <w:keepNext w:val="0"/>
              <w:keepLines w:val="0"/>
              <w:pageBreakBefore w:val="0"/>
              <w:wordWrap/>
              <w:overflowPunct/>
              <w:topLinePunct w:val="0"/>
              <w:bidi w:val="0"/>
              <w:adjustRightInd/>
              <w:spacing w:line="440" w:lineRule="exact"/>
              <w:jc w:val="center"/>
              <w:rPr>
                <w:rFonts w:hint="eastAsia" w:ascii="仿宋" w:hAnsi="仿宋" w:eastAsia="仿宋" w:cs="仿宋"/>
                <w:color w:val="auto"/>
                <w:sz w:val="24"/>
                <w:szCs w:val="24"/>
                <w:highlight w:val="none"/>
              </w:rPr>
            </w:pPr>
          </w:p>
        </w:tc>
        <w:tc>
          <w:tcPr>
            <w:tcW w:w="6144" w:type="dxa"/>
            <w:noWrap/>
            <w:vAlign w:val="center"/>
          </w:tcPr>
          <w:p w14:paraId="5F989A20">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技术服务支撑:提出与消防验收评定相关的工作建议意见，提供技术咨询和疑难问题处理支撑服务，协助采购人做好消防行政管理工作。</w:t>
            </w:r>
          </w:p>
          <w:p w14:paraId="2EDEB90A">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技术服务支撑方案优于征集文件要求的得</w:t>
            </w:r>
            <w:r>
              <w:rPr>
                <w:rFonts w:hint="eastAsia" w:ascii="仿宋" w:hAnsi="仿宋" w:eastAsia="仿宋" w:cs="仿宋"/>
                <w:color w:val="auto"/>
                <w:sz w:val="24"/>
                <w:szCs w:val="24"/>
                <w:highlight w:val="none"/>
                <w:lang w:eastAsia="zh-CN"/>
              </w:rPr>
              <w:t>5.1-7</w:t>
            </w:r>
            <w:r>
              <w:rPr>
                <w:rFonts w:hint="eastAsia" w:ascii="仿宋" w:hAnsi="仿宋" w:eastAsia="仿宋" w:cs="仿宋"/>
                <w:color w:val="auto"/>
                <w:sz w:val="24"/>
                <w:szCs w:val="24"/>
                <w:highlight w:val="none"/>
              </w:rPr>
              <w:t>分，方案内容基本满足征集文件要求的得</w:t>
            </w:r>
            <w:r>
              <w:rPr>
                <w:rFonts w:hint="eastAsia" w:ascii="仿宋" w:hAnsi="仿宋" w:eastAsia="仿宋" w:cs="仿宋"/>
                <w:color w:val="auto"/>
                <w:sz w:val="24"/>
                <w:szCs w:val="24"/>
                <w:highlight w:val="none"/>
                <w:lang w:eastAsia="zh-CN"/>
              </w:rPr>
              <w:t>2.6-5</w:t>
            </w:r>
            <w:r>
              <w:rPr>
                <w:rFonts w:hint="eastAsia" w:ascii="仿宋" w:hAnsi="仿宋" w:eastAsia="仿宋" w:cs="仿宋"/>
                <w:color w:val="auto"/>
                <w:sz w:val="24"/>
                <w:szCs w:val="24"/>
                <w:highlight w:val="none"/>
              </w:rPr>
              <w:t>分，方案内容部分满足征集文件要求的得</w:t>
            </w:r>
            <w:r>
              <w:rPr>
                <w:rFonts w:hint="eastAsia" w:ascii="仿宋" w:hAnsi="仿宋" w:eastAsia="仿宋" w:cs="仿宋"/>
                <w:color w:val="auto"/>
                <w:sz w:val="24"/>
                <w:szCs w:val="24"/>
                <w:highlight w:val="none"/>
                <w:lang w:eastAsia="zh-CN"/>
              </w:rPr>
              <w:t>0-2.5</w:t>
            </w:r>
            <w:r>
              <w:rPr>
                <w:rFonts w:hint="eastAsia" w:ascii="仿宋" w:hAnsi="仿宋" w:eastAsia="仿宋" w:cs="仿宋"/>
                <w:color w:val="auto"/>
                <w:sz w:val="24"/>
                <w:szCs w:val="24"/>
                <w:highlight w:val="none"/>
              </w:rPr>
              <w:t>分，未提供不得分。</w:t>
            </w:r>
          </w:p>
        </w:tc>
        <w:tc>
          <w:tcPr>
            <w:tcW w:w="834" w:type="dxa"/>
            <w:noWrap/>
            <w:vAlign w:val="center"/>
          </w:tcPr>
          <w:p w14:paraId="22E9C3D7">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ind w:firstLine="240" w:firstLineChars="100"/>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7</w:t>
            </w:r>
          </w:p>
        </w:tc>
      </w:tr>
      <w:tr w14:paraId="747D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3FD3648B">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p>
        </w:tc>
        <w:tc>
          <w:tcPr>
            <w:tcW w:w="1294" w:type="dxa"/>
            <w:vMerge w:val="continue"/>
            <w:noWrap/>
            <w:vAlign w:val="center"/>
          </w:tcPr>
          <w:p w14:paraId="29545B58">
            <w:pPr>
              <w:keepNext w:val="0"/>
              <w:keepLines w:val="0"/>
              <w:pageBreakBefore w:val="0"/>
              <w:wordWrap/>
              <w:overflowPunct/>
              <w:topLinePunct w:val="0"/>
              <w:bidi w:val="0"/>
              <w:adjustRightInd/>
              <w:spacing w:line="440" w:lineRule="exact"/>
              <w:jc w:val="center"/>
              <w:rPr>
                <w:rFonts w:hint="eastAsia" w:ascii="仿宋" w:hAnsi="仿宋" w:eastAsia="仿宋" w:cs="仿宋"/>
                <w:color w:val="auto"/>
                <w:sz w:val="24"/>
                <w:szCs w:val="24"/>
                <w:highlight w:val="none"/>
              </w:rPr>
            </w:pPr>
          </w:p>
        </w:tc>
        <w:tc>
          <w:tcPr>
            <w:tcW w:w="6144" w:type="dxa"/>
            <w:noWrap/>
            <w:vAlign w:val="center"/>
          </w:tcPr>
          <w:p w14:paraId="1EF102BA">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风险防控措施：制定明确风险控制预案、廉政防控预案和保障措施。</w:t>
            </w:r>
          </w:p>
          <w:p w14:paraId="21253672">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风险防控措施优于征集文件要求的得</w:t>
            </w:r>
            <w:r>
              <w:rPr>
                <w:rFonts w:hint="eastAsia" w:ascii="仿宋" w:hAnsi="仿宋" w:eastAsia="仿宋" w:cs="仿宋"/>
                <w:color w:val="auto"/>
                <w:sz w:val="24"/>
                <w:szCs w:val="24"/>
                <w:highlight w:val="none"/>
                <w:lang w:eastAsia="zh-CN"/>
              </w:rPr>
              <w:t>5.1-7</w:t>
            </w:r>
            <w:r>
              <w:rPr>
                <w:rFonts w:hint="eastAsia" w:ascii="仿宋" w:hAnsi="仿宋" w:eastAsia="仿宋" w:cs="仿宋"/>
                <w:color w:val="auto"/>
                <w:sz w:val="24"/>
                <w:szCs w:val="24"/>
                <w:highlight w:val="none"/>
              </w:rPr>
              <w:t>分，方案内容基本满足征集文件要求的得</w:t>
            </w:r>
            <w:r>
              <w:rPr>
                <w:rFonts w:hint="eastAsia" w:ascii="仿宋" w:hAnsi="仿宋" w:eastAsia="仿宋" w:cs="仿宋"/>
                <w:color w:val="auto"/>
                <w:sz w:val="24"/>
                <w:szCs w:val="24"/>
                <w:highlight w:val="none"/>
                <w:lang w:eastAsia="zh-CN"/>
              </w:rPr>
              <w:t>2.6-5</w:t>
            </w:r>
            <w:r>
              <w:rPr>
                <w:rFonts w:hint="eastAsia" w:ascii="仿宋" w:hAnsi="仿宋" w:eastAsia="仿宋" w:cs="仿宋"/>
                <w:color w:val="auto"/>
                <w:sz w:val="24"/>
                <w:szCs w:val="24"/>
                <w:highlight w:val="none"/>
              </w:rPr>
              <w:t>分，方案内容部分满足征集文件要求的得</w:t>
            </w:r>
            <w:r>
              <w:rPr>
                <w:rFonts w:hint="eastAsia" w:ascii="仿宋" w:hAnsi="仿宋" w:eastAsia="仿宋" w:cs="仿宋"/>
                <w:color w:val="auto"/>
                <w:sz w:val="24"/>
                <w:szCs w:val="24"/>
                <w:highlight w:val="none"/>
                <w:lang w:eastAsia="zh-CN"/>
              </w:rPr>
              <w:t>0-2.5</w:t>
            </w:r>
            <w:r>
              <w:rPr>
                <w:rFonts w:hint="eastAsia" w:ascii="仿宋" w:hAnsi="仿宋" w:eastAsia="仿宋" w:cs="仿宋"/>
                <w:color w:val="auto"/>
                <w:sz w:val="24"/>
                <w:szCs w:val="24"/>
                <w:highlight w:val="none"/>
              </w:rPr>
              <w:t>分，未提供不得分。</w:t>
            </w:r>
          </w:p>
        </w:tc>
        <w:tc>
          <w:tcPr>
            <w:tcW w:w="834" w:type="dxa"/>
            <w:noWrap/>
            <w:vAlign w:val="center"/>
          </w:tcPr>
          <w:p w14:paraId="105678BD">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ind w:firstLine="240" w:firstLineChars="100"/>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7</w:t>
            </w:r>
          </w:p>
        </w:tc>
      </w:tr>
      <w:tr w14:paraId="1C85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66BCE203">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4</w:t>
            </w:r>
          </w:p>
        </w:tc>
        <w:tc>
          <w:tcPr>
            <w:tcW w:w="1294" w:type="dxa"/>
            <w:noWrap/>
            <w:vAlign w:val="center"/>
          </w:tcPr>
          <w:p w14:paraId="29BFEB18">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培训</w:t>
            </w:r>
          </w:p>
        </w:tc>
        <w:tc>
          <w:tcPr>
            <w:tcW w:w="6144" w:type="dxa"/>
            <w:noWrap/>
            <w:vAlign w:val="center"/>
          </w:tcPr>
          <w:p w14:paraId="6D20D5F2">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提供消防技术相关业务培训2次（含）以上的，得2分，否则不得分。</w:t>
            </w:r>
          </w:p>
        </w:tc>
        <w:tc>
          <w:tcPr>
            <w:tcW w:w="834" w:type="dxa"/>
            <w:noWrap/>
            <w:vAlign w:val="center"/>
          </w:tcPr>
          <w:p w14:paraId="44D370EB">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ind w:firstLine="240" w:firstLineChars="100"/>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2</w:t>
            </w:r>
          </w:p>
        </w:tc>
      </w:tr>
      <w:tr w14:paraId="1A92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145DE632">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15</w:t>
            </w:r>
          </w:p>
        </w:tc>
        <w:tc>
          <w:tcPr>
            <w:tcW w:w="1294" w:type="dxa"/>
            <w:noWrap/>
            <w:vAlign w:val="center"/>
          </w:tcPr>
          <w:p w14:paraId="0F3C77B4">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服务响</w:t>
            </w:r>
          </w:p>
          <w:p w14:paraId="3E43C319">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应能力</w:t>
            </w:r>
          </w:p>
        </w:tc>
        <w:tc>
          <w:tcPr>
            <w:tcW w:w="6144" w:type="dxa"/>
            <w:noWrap/>
            <w:vAlign w:val="center"/>
          </w:tcPr>
          <w:p w14:paraId="4B86E565">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具有较强售后服务能力，提供快速的服务响应，在接到采购单位服务指令后，能快速到达现场，</w:t>
            </w:r>
            <w:r>
              <w:rPr>
                <w:rFonts w:hint="eastAsia" w:ascii="仿宋" w:hAnsi="仿宋" w:eastAsia="仿宋" w:cs="仿宋"/>
                <w:color w:val="auto"/>
                <w:sz w:val="24"/>
                <w:szCs w:val="24"/>
                <w:highlight w:val="none"/>
                <w:lang w:val="en-US" w:eastAsia="zh-CN"/>
              </w:rPr>
              <w:t>服务能力强、响应速度快得6.4-9分，服务能力较强、响应速度较快得3.1-6分，服务能力一般、响应速度缓慢得0-3分。</w:t>
            </w:r>
          </w:p>
        </w:tc>
        <w:tc>
          <w:tcPr>
            <w:tcW w:w="834" w:type="dxa"/>
            <w:noWrap/>
            <w:vAlign w:val="center"/>
          </w:tcPr>
          <w:p w14:paraId="019B9AD6">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ind w:firstLine="240" w:firstLineChars="100"/>
              <w:textAlignment w:val="baseline"/>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r>
    </w:tbl>
    <w:p w14:paraId="5D7AFFC8">
      <w:pPr>
        <w:spacing w:line="5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注：所有证书都应在</w:t>
      </w:r>
      <w:r>
        <w:rPr>
          <w:rFonts w:hint="eastAsia" w:ascii="仿宋" w:hAnsi="仿宋" w:eastAsia="仿宋" w:cs="仿宋"/>
          <w:b/>
          <w:iCs/>
          <w:color w:val="auto"/>
          <w:sz w:val="24"/>
          <w:highlight w:val="none"/>
        </w:rPr>
        <w:t>有效期内，逾期不得分。</w:t>
      </w:r>
    </w:p>
    <w:p w14:paraId="2A607033">
      <w:pPr>
        <w:pStyle w:val="12"/>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val="en-US"/>
        </w:rPr>
        <w:t>第二阶段供应商选定方式：直接选定。</w:t>
      </w:r>
    </w:p>
    <w:p w14:paraId="2DC5D4EC">
      <w:pPr>
        <w:pStyle w:val="12"/>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直接选定：消防技术服务项目任务书下达后，原则上采用轮流方式在入围单位中确定项目技术服务单位（即第一入围候选人、第二入围候选人、第三入围候选人顺序依次轮流），原则上三次单次为一轮；若存在技术服务单位与项目消防业务相关联的情况，在轮流过程中应予以回避，本次机会自动扣除，回避单位将直接开始新一轮，不在本轮增加项目。</w:t>
      </w:r>
    </w:p>
    <w:p w14:paraId="79CF492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3F3BA59">
      <w:pPr>
        <w:pStyle w:val="2"/>
        <w:rPr>
          <w:rFonts w:hint="eastAsia" w:ascii="仿宋" w:hAnsi="仿宋" w:eastAsia="仿宋" w:cs="仿宋"/>
          <w:color w:val="auto"/>
          <w:highlight w:val="none"/>
        </w:rPr>
      </w:pPr>
      <w:bookmarkStart w:id="36" w:name="_Toc2486"/>
      <w:bookmarkStart w:id="37" w:name="_Toc10425"/>
      <w:r>
        <w:rPr>
          <w:rFonts w:hint="eastAsia" w:ascii="仿宋" w:hAnsi="仿宋" w:eastAsia="仿宋" w:cs="仿宋"/>
          <w:color w:val="auto"/>
          <w:highlight w:val="none"/>
        </w:rPr>
        <w:t>第六章  响应文件格式附件</w:t>
      </w:r>
      <w:bookmarkEnd w:id="36"/>
      <w:bookmarkEnd w:id="37"/>
    </w:p>
    <w:p w14:paraId="5F08AC6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响应文件制作请按照本征集文件“第二章 供应商须知”第三部分“响应文件”的规定制作，有关格式附件如下：</w:t>
      </w:r>
    </w:p>
    <w:p w14:paraId="3C074A16">
      <w:pPr>
        <w:widowControl/>
        <w:snapToGrid w:val="0"/>
        <w:spacing w:line="480" w:lineRule="exact"/>
        <w:ind w:firstLine="480" w:firstLineChars="200"/>
        <w:rPr>
          <w:rFonts w:hint="eastAsia" w:ascii="仿宋" w:hAnsi="仿宋" w:eastAsia="仿宋" w:cs="仿宋"/>
          <w:color w:val="auto"/>
          <w:kern w:val="0"/>
          <w:sz w:val="24"/>
          <w:highlight w:val="none"/>
        </w:rPr>
      </w:pPr>
    </w:p>
    <w:p w14:paraId="149EA24B">
      <w:pPr>
        <w:widowControl/>
        <w:snapToGrid w:val="0"/>
        <w:spacing w:line="480" w:lineRule="exact"/>
        <w:ind w:firstLine="480" w:firstLineChars="200"/>
        <w:rPr>
          <w:rFonts w:hint="eastAsia" w:ascii="仿宋" w:hAnsi="仿宋" w:eastAsia="仿宋" w:cs="仿宋"/>
          <w:color w:val="auto"/>
          <w:kern w:val="0"/>
          <w:sz w:val="24"/>
          <w:highlight w:val="none"/>
        </w:rPr>
      </w:pPr>
    </w:p>
    <w:p w14:paraId="3648362A">
      <w:pPr>
        <w:widowControl/>
        <w:snapToGrid w:val="0"/>
        <w:spacing w:line="480" w:lineRule="exact"/>
        <w:ind w:firstLine="480" w:firstLineChars="200"/>
        <w:rPr>
          <w:rFonts w:hint="eastAsia" w:ascii="仿宋" w:hAnsi="仿宋" w:eastAsia="仿宋" w:cs="仿宋"/>
          <w:color w:val="auto"/>
          <w:kern w:val="0"/>
          <w:sz w:val="24"/>
          <w:highlight w:val="none"/>
        </w:rPr>
      </w:pPr>
    </w:p>
    <w:p w14:paraId="6615134D">
      <w:pPr>
        <w:widowControl/>
        <w:snapToGrid w:val="0"/>
        <w:spacing w:line="480" w:lineRule="exact"/>
        <w:ind w:firstLine="480" w:firstLineChars="200"/>
        <w:rPr>
          <w:rFonts w:hint="eastAsia" w:ascii="仿宋" w:hAnsi="仿宋" w:eastAsia="仿宋" w:cs="仿宋"/>
          <w:color w:val="auto"/>
          <w:kern w:val="0"/>
          <w:sz w:val="24"/>
          <w:highlight w:val="none"/>
        </w:rPr>
      </w:pPr>
    </w:p>
    <w:p w14:paraId="59BB3C2A">
      <w:pPr>
        <w:widowControl/>
        <w:snapToGrid w:val="0"/>
        <w:spacing w:line="480" w:lineRule="exact"/>
        <w:ind w:firstLine="480" w:firstLineChars="200"/>
        <w:rPr>
          <w:rFonts w:hint="eastAsia" w:ascii="仿宋" w:hAnsi="仿宋" w:eastAsia="仿宋" w:cs="仿宋"/>
          <w:color w:val="auto"/>
          <w:kern w:val="0"/>
          <w:sz w:val="24"/>
          <w:highlight w:val="none"/>
        </w:rPr>
      </w:pPr>
    </w:p>
    <w:p w14:paraId="3934AA91">
      <w:pPr>
        <w:widowControl/>
        <w:snapToGrid w:val="0"/>
        <w:spacing w:line="480" w:lineRule="exact"/>
        <w:ind w:firstLine="480" w:firstLineChars="200"/>
        <w:rPr>
          <w:rFonts w:hint="eastAsia" w:ascii="仿宋" w:hAnsi="仿宋" w:eastAsia="仿宋" w:cs="仿宋"/>
          <w:color w:val="auto"/>
          <w:kern w:val="0"/>
          <w:sz w:val="24"/>
          <w:highlight w:val="none"/>
        </w:rPr>
      </w:pPr>
    </w:p>
    <w:p w14:paraId="6FD0834C">
      <w:pPr>
        <w:widowControl/>
        <w:snapToGrid w:val="0"/>
        <w:spacing w:line="480" w:lineRule="exact"/>
        <w:ind w:firstLine="480" w:firstLineChars="200"/>
        <w:rPr>
          <w:rFonts w:hint="eastAsia" w:ascii="仿宋" w:hAnsi="仿宋" w:eastAsia="仿宋" w:cs="仿宋"/>
          <w:color w:val="auto"/>
          <w:kern w:val="0"/>
          <w:sz w:val="24"/>
          <w:highlight w:val="none"/>
        </w:rPr>
      </w:pPr>
    </w:p>
    <w:p w14:paraId="48765483">
      <w:pPr>
        <w:widowControl/>
        <w:snapToGrid w:val="0"/>
        <w:spacing w:line="480" w:lineRule="exact"/>
        <w:ind w:firstLine="480" w:firstLineChars="200"/>
        <w:rPr>
          <w:rFonts w:hint="eastAsia" w:ascii="仿宋" w:hAnsi="仿宋" w:eastAsia="仿宋" w:cs="仿宋"/>
          <w:color w:val="auto"/>
          <w:kern w:val="0"/>
          <w:sz w:val="24"/>
          <w:highlight w:val="none"/>
        </w:rPr>
      </w:pPr>
    </w:p>
    <w:p w14:paraId="3F3DB9A9">
      <w:pPr>
        <w:widowControl/>
        <w:snapToGrid w:val="0"/>
        <w:spacing w:line="480" w:lineRule="exact"/>
        <w:ind w:firstLine="480" w:firstLineChars="200"/>
        <w:rPr>
          <w:rFonts w:hint="eastAsia" w:ascii="仿宋" w:hAnsi="仿宋" w:eastAsia="仿宋" w:cs="仿宋"/>
          <w:color w:val="auto"/>
          <w:kern w:val="0"/>
          <w:sz w:val="24"/>
          <w:highlight w:val="none"/>
        </w:rPr>
      </w:pPr>
    </w:p>
    <w:p w14:paraId="37D50BE2">
      <w:pPr>
        <w:widowControl/>
        <w:snapToGrid w:val="0"/>
        <w:spacing w:line="480" w:lineRule="exact"/>
        <w:ind w:firstLine="480" w:firstLineChars="200"/>
        <w:rPr>
          <w:rFonts w:hint="eastAsia" w:ascii="仿宋" w:hAnsi="仿宋" w:eastAsia="仿宋" w:cs="仿宋"/>
          <w:color w:val="auto"/>
          <w:kern w:val="0"/>
          <w:sz w:val="24"/>
          <w:highlight w:val="none"/>
        </w:rPr>
      </w:pPr>
    </w:p>
    <w:p w14:paraId="07176175">
      <w:pPr>
        <w:widowControl/>
        <w:snapToGrid w:val="0"/>
        <w:spacing w:line="480" w:lineRule="exact"/>
        <w:ind w:firstLine="480" w:firstLineChars="200"/>
        <w:rPr>
          <w:rFonts w:hint="eastAsia" w:ascii="仿宋" w:hAnsi="仿宋" w:eastAsia="仿宋" w:cs="仿宋"/>
          <w:color w:val="auto"/>
          <w:kern w:val="0"/>
          <w:sz w:val="24"/>
          <w:highlight w:val="none"/>
        </w:rPr>
      </w:pPr>
    </w:p>
    <w:p w14:paraId="5976E3F0">
      <w:pPr>
        <w:widowControl/>
        <w:snapToGrid w:val="0"/>
        <w:spacing w:line="480" w:lineRule="exact"/>
        <w:ind w:firstLine="480" w:firstLineChars="200"/>
        <w:rPr>
          <w:rFonts w:hint="eastAsia" w:ascii="仿宋" w:hAnsi="仿宋" w:eastAsia="仿宋" w:cs="仿宋"/>
          <w:color w:val="auto"/>
          <w:kern w:val="0"/>
          <w:sz w:val="24"/>
          <w:highlight w:val="none"/>
        </w:rPr>
      </w:pPr>
    </w:p>
    <w:p w14:paraId="32D5BF26">
      <w:pPr>
        <w:widowControl/>
        <w:snapToGrid w:val="0"/>
        <w:spacing w:line="480" w:lineRule="exact"/>
        <w:ind w:firstLine="480" w:firstLineChars="200"/>
        <w:rPr>
          <w:rFonts w:hint="eastAsia" w:ascii="仿宋" w:hAnsi="仿宋" w:eastAsia="仿宋" w:cs="仿宋"/>
          <w:color w:val="auto"/>
          <w:kern w:val="0"/>
          <w:sz w:val="24"/>
          <w:highlight w:val="none"/>
        </w:rPr>
      </w:pPr>
    </w:p>
    <w:p w14:paraId="145D71D3">
      <w:pPr>
        <w:widowControl/>
        <w:snapToGrid w:val="0"/>
        <w:spacing w:line="480" w:lineRule="exact"/>
        <w:ind w:firstLine="480" w:firstLineChars="200"/>
        <w:rPr>
          <w:rFonts w:hint="eastAsia" w:ascii="仿宋" w:hAnsi="仿宋" w:eastAsia="仿宋" w:cs="仿宋"/>
          <w:color w:val="auto"/>
          <w:kern w:val="0"/>
          <w:sz w:val="24"/>
          <w:highlight w:val="none"/>
        </w:rPr>
      </w:pPr>
    </w:p>
    <w:p w14:paraId="671B735F">
      <w:pPr>
        <w:widowControl/>
        <w:snapToGrid w:val="0"/>
        <w:spacing w:line="480" w:lineRule="exact"/>
        <w:ind w:firstLine="480" w:firstLineChars="200"/>
        <w:rPr>
          <w:rFonts w:hint="eastAsia" w:ascii="仿宋" w:hAnsi="仿宋" w:eastAsia="仿宋" w:cs="仿宋"/>
          <w:color w:val="auto"/>
          <w:kern w:val="0"/>
          <w:sz w:val="24"/>
          <w:highlight w:val="none"/>
        </w:rPr>
      </w:pPr>
    </w:p>
    <w:p w14:paraId="4EB3D036">
      <w:pPr>
        <w:widowControl/>
        <w:snapToGrid w:val="0"/>
        <w:spacing w:line="480" w:lineRule="exact"/>
        <w:ind w:firstLine="480" w:firstLineChars="200"/>
        <w:rPr>
          <w:rFonts w:hint="eastAsia" w:ascii="仿宋" w:hAnsi="仿宋" w:eastAsia="仿宋" w:cs="仿宋"/>
          <w:color w:val="auto"/>
          <w:kern w:val="0"/>
          <w:sz w:val="24"/>
          <w:highlight w:val="none"/>
        </w:rPr>
      </w:pPr>
    </w:p>
    <w:p w14:paraId="4D862507">
      <w:pPr>
        <w:widowControl/>
        <w:snapToGrid w:val="0"/>
        <w:spacing w:line="480" w:lineRule="exact"/>
        <w:ind w:firstLine="480" w:firstLineChars="200"/>
        <w:rPr>
          <w:rFonts w:hint="eastAsia" w:ascii="仿宋" w:hAnsi="仿宋" w:eastAsia="仿宋" w:cs="仿宋"/>
          <w:color w:val="auto"/>
          <w:kern w:val="0"/>
          <w:sz w:val="24"/>
          <w:highlight w:val="none"/>
        </w:rPr>
      </w:pPr>
    </w:p>
    <w:p w14:paraId="355265DD">
      <w:pPr>
        <w:widowControl/>
        <w:snapToGrid w:val="0"/>
        <w:spacing w:line="480" w:lineRule="exact"/>
        <w:ind w:firstLine="480" w:firstLineChars="200"/>
        <w:rPr>
          <w:rFonts w:hint="eastAsia" w:ascii="仿宋" w:hAnsi="仿宋" w:eastAsia="仿宋" w:cs="仿宋"/>
          <w:color w:val="auto"/>
          <w:kern w:val="0"/>
          <w:sz w:val="24"/>
          <w:highlight w:val="none"/>
        </w:rPr>
      </w:pPr>
    </w:p>
    <w:p w14:paraId="7A78A28A">
      <w:pPr>
        <w:widowControl/>
        <w:snapToGrid w:val="0"/>
        <w:spacing w:line="480" w:lineRule="exact"/>
        <w:ind w:firstLine="480" w:firstLineChars="200"/>
        <w:rPr>
          <w:rFonts w:hint="eastAsia" w:ascii="仿宋" w:hAnsi="仿宋" w:eastAsia="仿宋" w:cs="仿宋"/>
          <w:color w:val="auto"/>
          <w:kern w:val="0"/>
          <w:sz w:val="24"/>
          <w:highlight w:val="none"/>
        </w:rPr>
      </w:pPr>
    </w:p>
    <w:p w14:paraId="2F9A408B">
      <w:pPr>
        <w:widowControl/>
        <w:snapToGrid w:val="0"/>
        <w:spacing w:line="480" w:lineRule="exact"/>
        <w:ind w:firstLine="480" w:firstLineChars="200"/>
        <w:rPr>
          <w:rFonts w:hint="eastAsia" w:ascii="仿宋" w:hAnsi="仿宋" w:eastAsia="仿宋" w:cs="仿宋"/>
          <w:color w:val="auto"/>
          <w:kern w:val="0"/>
          <w:sz w:val="24"/>
          <w:highlight w:val="none"/>
        </w:rPr>
      </w:pPr>
    </w:p>
    <w:p w14:paraId="0BFD3449">
      <w:pPr>
        <w:widowControl/>
        <w:snapToGrid w:val="0"/>
        <w:spacing w:line="480" w:lineRule="exact"/>
        <w:ind w:firstLine="480" w:firstLineChars="200"/>
        <w:rPr>
          <w:rFonts w:hint="eastAsia" w:ascii="仿宋" w:hAnsi="仿宋" w:eastAsia="仿宋" w:cs="仿宋"/>
          <w:color w:val="auto"/>
          <w:kern w:val="0"/>
          <w:sz w:val="24"/>
          <w:highlight w:val="none"/>
        </w:rPr>
      </w:pPr>
    </w:p>
    <w:p w14:paraId="1D0125FD">
      <w:pPr>
        <w:widowControl/>
        <w:snapToGrid w:val="0"/>
        <w:spacing w:line="480" w:lineRule="exact"/>
        <w:ind w:firstLine="480" w:firstLineChars="200"/>
        <w:rPr>
          <w:rFonts w:hint="eastAsia" w:ascii="仿宋" w:hAnsi="仿宋" w:eastAsia="仿宋" w:cs="仿宋"/>
          <w:color w:val="auto"/>
          <w:kern w:val="0"/>
          <w:sz w:val="24"/>
          <w:highlight w:val="none"/>
        </w:rPr>
      </w:pPr>
    </w:p>
    <w:p w14:paraId="11461226">
      <w:pPr>
        <w:widowControl/>
        <w:snapToGrid w:val="0"/>
        <w:spacing w:line="480" w:lineRule="exact"/>
        <w:ind w:firstLine="480" w:firstLineChars="200"/>
        <w:rPr>
          <w:rFonts w:hint="eastAsia" w:ascii="仿宋" w:hAnsi="仿宋" w:eastAsia="仿宋" w:cs="仿宋"/>
          <w:color w:val="auto"/>
          <w:kern w:val="0"/>
          <w:sz w:val="24"/>
          <w:highlight w:val="none"/>
        </w:rPr>
      </w:pPr>
    </w:p>
    <w:p w14:paraId="33CC3264">
      <w:pPr>
        <w:widowControl/>
        <w:snapToGrid w:val="0"/>
        <w:spacing w:line="480" w:lineRule="exact"/>
        <w:ind w:firstLine="480" w:firstLineChars="200"/>
        <w:rPr>
          <w:rFonts w:hint="eastAsia" w:ascii="仿宋" w:hAnsi="仿宋" w:eastAsia="仿宋" w:cs="仿宋"/>
          <w:color w:val="auto"/>
          <w:kern w:val="0"/>
          <w:sz w:val="24"/>
          <w:highlight w:val="none"/>
        </w:rPr>
      </w:pPr>
    </w:p>
    <w:p w14:paraId="4ACE6377">
      <w:pPr>
        <w:snapToGrid w:val="0"/>
        <w:spacing w:beforeLines="50" w:after="50"/>
        <w:jc w:val="lef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color w:val="auto"/>
          <w:sz w:val="30"/>
          <w:szCs w:val="30"/>
          <w:highlight w:val="none"/>
        </w:rPr>
        <w:t>资格文件封面</w:t>
      </w:r>
    </w:p>
    <w:p w14:paraId="18A171AE">
      <w:pPr>
        <w:snapToGrid w:val="0"/>
        <w:spacing w:beforeLines="50" w:after="50"/>
        <w:jc w:val="right"/>
        <w:rPr>
          <w:rFonts w:hint="eastAsia" w:ascii="仿宋" w:hAnsi="仿宋" w:eastAsia="仿宋" w:cs="仿宋"/>
          <w:b/>
          <w:color w:val="auto"/>
          <w:sz w:val="30"/>
          <w:szCs w:val="30"/>
          <w:highlight w:val="none"/>
        </w:rPr>
      </w:pPr>
    </w:p>
    <w:p w14:paraId="56DBEB69">
      <w:pPr>
        <w:snapToGrid w:val="0"/>
        <w:spacing w:beforeLines="50" w:after="50"/>
        <w:jc w:val="right"/>
        <w:rPr>
          <w:rFonts w:hint="eastAsia" w:ascii="仿宋" w:hAnsi="仿宋" w:eastAsia="仿宋" w:cs="仿宋"/>
          <w:bCs/>
          <w:color w:val="auto"/>
          <w:sz w:val="30"/>
          <w:szCs w:val="30"/>
          <w:highlight w:val="none"/>
        </w:rPr>
      </w:pPr>
    </w:p>
    <w:p w14:paraId="1527741B">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p>
    <w:p w14:paraId="46B0C15F">
      <w:pPr>
        <w:spacing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p>
    <w:p w14:paraId="6D2EF17D">
      <w:pPr>
        <w:spacing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p>
    <w:p w14:paraId="758A3F85">
      <w:pPr>
        <w:spacing w:line="1200" w:lineRule="exact"/>
        <w:ind w:right="6"/>
        <w:jc w:val="center"/>
        <w:rPr>
          <w:rFonts w:hint="eastAsia" w:ascii="仿宋" w:hAnsi="仿宋" w:eastAsia="仿宋" w:cs="仿宋"/>
          <w:color w:val="auto"/>
          <w:sz w:val="72"/>
          <w:szCs w:val="72"/>
          <w:highlight w:val="none"/>
        </w:rPr>
      </w:pPr>
    </w:p>
    <w:p w14:paraId="3085E27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资</w:t>
      </w:r>
    </w:p>
    <w:p w14:paraId="23ED820A">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格</w:t>
      </w:r>
    </w:p>
    <w:p w14:paraId="665B2D60">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4D67049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46DD829B">
      <w:pPr>
        <w:spacing w:line="1200" w:lineRule="exact"/>
        <w:ind w:right="6"/>
        <w:jc w:val="center"/>
        <w:rPr>
          <w:rFonts w:hint="eastAsia" w:ascii="仿宋" w:hAnsi="仿宋" w:eastAsia="仿宋" w:cs="仿宋"/>
          <w:color w:val="auto"/>
          <w:sz w:val="72"/>
          <w:szCs w:val="72"/>
          <w:highlight w:val="none"/>
        </w:rPr>
      </w:pPr>
    </w:p>
    <w:p w14:paraId="6667037F">
      <w:pPr>
        <w:spacing w:line="500" w:lineRule="exact"/>
        <w:ind w:right="7"/>
        <w:jc w:val="center"/>
        <w:rPr>
          <w:rFonts w:hint="eastAsia" w:ascii="仿宋" w:hAnsi="仿宋" w:eastAsia="仿宋" w:cs="仿宋"/>
          <w:color w:val="auto"/>
          <w:sz w:val="36"/>
          <w:szCs w:val="36"/>
          <w:highlight w:val="none"/>
        </w:rPr>
      </w:pPr>
    </w:p>
    <w:p w14:paraId="276E7B4F">
      <w:pPr>
        <w:spacing w:line="500" w:lineRule="exact"/>
        <w:ind w:right="7"/>
        <w:jc w:val="center"/>
        <w:rPr>
          <w:rFonts w:hint="eastAsia" w:ascii="仿宋" w:hAnsi="仿宋" w:eastAsia="仿宋" w:cs="仿宋"/>
          <w:color w:val="auto"/>
          <w:sz w:val="36"/>
          <w:szCs w:val="36"/>
          <w:highlight w:val="none"/>
        </w:rPr>
      </w:pPr>
    </w:p>
    <w:p w14:paraId="6921AE58">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供应商名称（盖章）：</w:t>
      </w:r>
    </w:p>
    <w:p w14:paraId="4407E782">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0901BEE3">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258F9FDE">
      <w:pPr>
        <w:snapToGrid w:val="0"/>
        <w:spacing w:beforeLines="50" w:after="50"/>
        <w:jc w:val="left"/>
        <w:rPr>
          <w:rFonts w:hint="eastAsia" w:ascii="仿宋" w:hAnsi="仿宋" w:eastAsia="仿宋" w:cs="仿宋"/>
          <w:b/>
          <w:bCs/>
          <w:color w:val="auto"/>
          <w:sz w:val="30"/>
          <w:szCs w:val="30"/>
          <w:highlight w:val="none"/>
        </w:rPr>
      </w:pPr>
    </w:p>
    <w:p w14:paraId="171BF7E3">
      <w:pPr>
        <w:snapToGrid w:val="0"/>
        <w:spacing w:beforeLines="50" w:after="50"/>
        <w:jc w:val="left"/>
        <w:rPr>
          <w:rFonts w:hint="eastAsia" w:ascii="仿宋" w:hAnsi="仿宋" w:eastAsia="仿宋" w:cs="仿宋"/>
          <w:b/>
          <w:bCs/>
          <w:color w:val="auto"/>
          <w:sz w:val="30"/>
          <w:szCs w:val="30"/>
          <w:highlight w:val="none"/>
        </w:rPr>
      </w:pPr>
    </w:p>
    <w:p w14:paraId="1DA825B8">
      <w:pPr>
        <w:snapToGrid w:val="0"/>
        <w:spacing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附件2：资格文件目录</w:t>
      </w:r>
    </w:p>
    <w:p w14:paraId="4D26AA9E">
      <w:pPr>
        <w:snapToGrid w:val="0"/>
        <w:spacing w:beforeLines="50" w:after="50"/>
        <w:jc w:val="center"/>
        <w:rPr>
          <w:rFonts w:hint="eastAsia" w:ascii="仿宋" w:hAnsi="仿宋" w:eastAsia="仿宋" w:cs="仿宋"/>
          <w:color w:val="auto"/>
          <w:sz w:val="30"/>
          <w:szCs w:val="30"/>
          <w:highlight w:val="none"/>
        </w:rPr>
      </w:pPr>
      <w:bookmarkStart w:id="38" w:name="_Toc64369786"/>
      <w:r>
        <w:rPr>
          <w:rFonts w:hint="eastAsia" w:ascii="仿宋" w:hAnsi="仿宋" w:eastAsia="仿宋" w:cs="仿宋"/>
          <w:color w:val="auto"/>
          <w:sz w:val="30"/>
          <w:szCs w:val="30"/>
          <w:highlight w:val="none"/>
        </w:rPr>
        <w:t>目 录</w:t>
      </w:r>
      <w:bookmarkEnd w:id="38"/>
    </w:p>
    <w:p w14:paraId="573B10E3">
      <w:pPr>
        <w:pStyle w:val="44"/>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1.投标声明函 …………………………………………………………………（页码）</w:t>
      </w:r>
    </w:p>
    <w:p w14:paraId="455DBA00">
      <w:pPr>
        <w:pStyle w:val="44"/>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2.联合体协议书（如有）……………………………………………………（页码）</w:t>
      </w:r>
    </w:p>
    <w:p w14:paraId="42B6EE80">
      <w:pPr>
        <w:pStyle w:val="44"/>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3.分包意向协议（如有）………………………………………………………（页码）</w:t>
      </w:r>
    </w:p>
    <w:p w14:paraId="01325F2A">
      <w:pPr>
        <w:pStyle w:val="44"/>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4.法定代表人授权委托书……………………………………………………（页码）</w:t>
      </w:r>
    </w:p>
    <w:p w14:paraId="61166671">
      <w:pPr>
        <w:pStyle w:val="44"/>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5.法定代表人及其授权代表身份证…………………………………………（页码）</w:t>
      </w:r>
    </w:p>
    <w:p w14:paraId="105FD79C">
      <w:pPr>
        <w:pStyle w:val="44"/>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6.资格条件证明材料</w:t>
      </w:r>
    </w:p>
    <w:p w14:paraId="1707D3BC">
      <w:pPr>
        <w:pStyle w:val="44"/>
        <w:spacing w:line="360" w:lineRule="auto"/>
        <w:ind w:firstLine="240" w:firstLineChars="100"/>
        <w:jc w:val="left"/>
        <w:rPr>
          <w:rFonts w:hint="eastAsia" w:ascii="仿宋" w:hAnsi="仿宋" w:eastAsia="仿宋" w:cs="仿宋"/>
          <w:color w:val="auto"/>
          <w:highlight w:val="none"/>
        </w:rPr>
      </w:pPr>
      <w:bookmarkStart w:id="39" w:name="_Toc64369787"/>
      <w:r>
        <w:rPr>
          <w:rFonts w:hint="eastAsia" w:ascii="仿宋" w:hAnsi="仿宋" w:eastAsia="仿宋" w:cs="仿宋"/>
          <w:color w:val="auto"/>
          <w:highlight w:val="none"/>
        </w:rPr>
        <w:t>6.1营业执照(或事业法人登记证书)………………………………………（页码）</w:t>
      </w:r>
      <w:bookmarkEnd w:id="39"/>
    </w:p>
    <w:p w14:paraId="70CEB4D2">
      <w:pPr>
        <w:pStyle w:val="44"/>
        <w:spacing w:line="360" w:lineRule="auto"/>
        <w:ind w:firstLine="240" w:firstLineChars="100"/>
        <w:jc w:val="left"/>
        <w:rPr>
          <w:rFonts w:hint="eastAsia" w:ascii="仿宋" w:hAnsi="仿宋" w:eastAsia="仿宋" w:cs="仿宋"/>
          <w:color w:val="auto"/>
          <w:highlight w:val="none"/>
        </w:rPr>
      </w:pPr>
      <w:r>
        <w:rPr>
          <w:rFonts w:hint="eastAsia" w:ascii="仿宋" w:hAnsi="仿宋" w:eastAsia="仿宋" w:cs="仿宋"/>
          <w:color w:val="auto"/>
          <w:highlight w:val="none"/>
        </w:rPr>
        <w:t>6.2</w:t>
      </w:r>
      <w:bookmarkStart w:id="40" w:name="_Toc64369788"/>
      <w:r>
        <w:rPr>
          <w:rFonts w:hint="eastAsia" w:ascii="仿宋" w:hAnsi="仿宋" w:eastAsia="仿宋" w:cs="仿宋"/>
          <w:color w:val="auto"/>
          <w:highlight w:val="none"/>
        </w:rPr>
        <w:t>特定资格条件的有关证明材料（如有）………………………………（页码）</w:t>
      </w:r>
      <w:bookmarkEnd w:id="40"/>
    </w:p>
    <w:p w14:paraId="05E92855">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注：以上文件按征集文件提供的格式制作，投标供应商根据内容做好加密电子响应文件的关联点设置。</w:t>
      </w:r>
    </w:p>
    <w:p w14:paraId="7BD0C238">
      <w:pPr>
        <w:pageBreakBefore/>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附件3：投标声明函</w:t>
      </w:r>
    </w:p>
    <w:p w14:paraId="30DCC3D4">
      <w:pPr>
        <w:pStyle w:val="39"/>
        <w:spacing w:afterLines="0" w:line="440" w:lineRule="exact"/>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rPr>
        <w:t xml:space="preserve"> （填写采购代理机构或征集人名称） </w:t>
      </w:r>
      <w:r>
        <w:rPr>
          <w:rFonts w:hint="eastAsia" w:ascii="仿宋" w:hAnsi="仿宋" w:eastAsia="仿宋" w:cs="仿宋"/>
          <w:color w:val="auto"/>
          <w:szCs w:val="24"/>
          <w:highlight w:val="none"/>
        </w:rPr>
        <w:t xml:space="preserve">： </w:t>
      </w:r>
    </w:p>
    <w:p w14:paraId="576B7C42">
      <w:pPr>
        <w:pStyle w:val="39"/>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w:t>
      </w:r>
      <w:r>
        <w:rPr>
          <w:rFonts w:hint="eastAsia" w:ascii="仿宋" w:hAnsi="仿宋" w:eastAsia="仿宋" w:cs="仿宋"/>
          <w:color w:val="auto"/>
          <w:szCs w:val="24"/>
          <w:highlight w:val="none"/>
          <w:u w:val="single"/>
        </w:rPr>
        <w:t xml:space="preserve">  （填写供应商全称；联合体投标的写全部联合体成员）   </w:t>
      </w:r>
      <w:r>
        <w:rPr>
          <w:rFonts w:hint="eastAsia" w:ascii="仿宋" w:hAnsi="仿宋" w:eastAsia="仿宋" w:cs="仿宋"/>
          <w:color w:val="auto"/>
          <w:szCs w:val="24"/>
          <w:highlight w:val="none"/>
        </w:rPr>
        <w:t>愿意参加贵方组织的</w:t>
      </w:r>
      <w:r>
        <w:rPr>
          <w:rFonts w:hint="eastAsia" w:ascii="仿宋" w:hAnsi="仿宋" w:eastAsia="仿宋" w:cs="仿宋"/>
          <w:color w:val="auto"/>
          <w:szCs w:val="24"/>
          <w:highlight w:val="none"/>
          <w:u w:val="single"/>
        </w:rPr>
        <w:t>（填写征集项目名称）（采购编号：    ）</w:t>
      </w:r>
      <w:r>
        <w:rPr>
          <w:rFonts w:hint="eastAsia" w:ascii="仿宋" w:hAnsi="仿宋" w:eastAsia="仿宋" w:cs="仿宋"/>
          <w:color w:val="auto"/>
          <w:szCs w:val="24"/>
          <w:highlight w:val="none"/>
        </w:rPr>
        <w:t>的投标，为此，我方就本次投标有关事项郑重声明如下：</w:t>
      </w:r>
    </w:p>
    <w:p w14:paraId="2696B8E8">
      <w:pPr>
        <w:pStyle w:val="39"/>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1.我方已详细审查全部征集文件，同意征集文件的各项要求。</w:t>
      </w:r>
    </w:p>
    <w:p w14:paraId="734F5D45">
      <w:pPr>
        <w:pStyle w:val="6"/>
        <w:tabs>
          <w:tab w:val="clear" w:pos="1697"/>
        </w:tabs>
        <w:spacing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2.若我方中标，承诺按征集文件、响应文件和合同的规定履行责任和义务。</w:t>
      </w:r>
    </w:p>
    <w:p w14:paraId="0C1D1902">
      <w:pPr>
        <w:pStyle w:val="39"/>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b/>
          <w:bCs/>
          <w:color w:val="auto"/>
          <w:highlight w:val="none"/>
          <w:lang w:val="zh-CN"/>
        </w:rPr>
        <w:t>我方</w:t>
      </w:r>
      <w:r>
        <w:rPr>
          <w:rFonts w:hint="eastAsia" w:ascii="仿宋" w:hAnsi="仿宋" w:eastAsia="仿宋" w:cs="仿宋"/>
          <w:b/>
          <w:bCs/>
          <w:color w:val="auto"/>
          <w:highlight w:val="none"/>
        </w:rPr>
        <w:t>声明参加本次政府采购活动前三年内，在经营活动中没有重大违法记录。我方通过“信用中国”网站（www.creditchina.gov.cn）、中国政府采购网（www.ccgp.gov.cn）查询，未被列入失信被执行人、</w:t>
      </w:r>
      <w:r>
        <w:rPr>
          <w:rFonts w:hint="eastAsia" w:ascii="仿宋" w:hAnsi="仿宋" w:eastAsia="仿宋" w:cs="仿宋"/>
          <w:b/>
          <w:bCs/>
          <w:color w:val="auto"/>
          <w:highlight w:val="none"/>
          <w:lang w:eastAsia="zh-CN"/>
        </w:rPr>
        <w:t>重大税收违法失信主体</w:t>
      </w:r>
      <w:r>
        <w:rPr>
          <w:rFonts w:hint="eastAsia" w:ascii="仿宋" w:hAnsi="仿宋" w:eastAsia="仿宋" w:cs="仿宋"/>
          <w:b/>
          <w:bCs/>
          <w:color w:val="auto"/>
          <w:highlight w:val="none"/>
        </w:rPr>
        <w:t>、政府采购严重违法失信行为记录名单。</w:t>
      </w:r>
    </w:p>
    <w:p w14:paraId="61676B3E">
      <w:pPr>
        <w:pStyle w:val="39"/>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4.我方响应文件中填列的技术参数、配置、服务、数量等相关内容都是真实、准确的。保证在本次项目中所提供的资料全部真实和合法。同意向采购代理机构提供可能另外要求的与投标有关且合法的任何数据或资料。</w:t>
      </w:r>
    </w:p>
    <w:p w14:paraId="5D85855B">
      <w:pPr>
        <w:pStyle w:val="39"/>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5.我方保证所供货物质量符合国家强制性规范和标准，达到征集文件规定的要求；</w:t>
      </w:r>
    </w:p>
    <w:p w14:paraId="02F5F5E3">
      <w:pPr>
        <w:pStyle w:val="6"/>
        <w:tabs>
          <w:tab w:val="clear" w:pos="1697"/>
        </w:tabs>
        <w:spacing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6.</w:t>
      </w:r>
      <w:r>
        <w:rPr>
          <w:rFonts w:hint="eastAsia" w:ascii="仿宋" w:hAnsi="仿宋" w:eastAsia="仿宋" w:cs="仿宋"/>
          <w:color w:val="auto"/>
          <w:szCs w:val="24"/>
          <w:highlight w:val="none"/>
        </w:rPr>
        <w:t>我方承诺具备良好的财务制度并且没有税收缴纳、社会保障等方面的失信记录。</w:t>
      </w:r>
    </w:p>
    <w:p w14:paraId="17AD0EC7">
      <w:pPr>
        <w:pStyle w:val="39"/>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7.我方对所投产品、方案、技术、服务等拥有合法的占有和处置权，并对涉及项目的所有内容可能侵权行为指控负责，保证不伤害征集人的利益。我方为执行本项目合同而提供的技术资料等归征集人所有。</w:t>
      </w:r>
    </w:p>
    <w:p w14:paraId="67EF4C71">
      <w:pPr>
        <w:snapToGrid w:val="0"/>
        <w:spacing w:line="440" w:lineRule="exact"/>
        <w:ind w:firstLine="480" w:firstLineChars="200"/>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rPr>
        <w:t>8.我方承诺若违反《中华人民共和国政府采购法》第七十七条规定，愿接受依法处理。</w:t>
      </w:r>
    </w:p>
    <w:p w14:paraId="1F2F8857">
      <w:pPr>
        <w:pStyle w:val="39"/>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法定代表人或其授权代表(签字或</w:t>
      </w:r>
      <w:r>
        <w:rPr>
          <w:rFonts w:hint="eastAsia" w:ascii="仿宋" w:hAnsi="仿宋" w:eastAsia="仿宋" w:cs="仿宋"/>
          <w:color w:val="auto"/>
          <w:szCs w:val="24"/>
          <w:highlight w:val="none"/>
          <w:lang w:val="en-US" w:eastAsia="zh-CN"/>
        </w:rPr>
        <w:t>盖</w:t>
      </w:r>
      <w:r>
        <w:rPr>
          <w:rFonts w:hint="eastAsia" w:ascii="仿宋" w:hAnsi="仿宋" w:eastAsia="仿宋" w:cs="仿宋"/>
          <w:color w:val="auto"/>
          <w:szCs w:val="24"/>
          <w:highlight w:val="none"/>
        </w:rPr>
        <w:t>章)：</w:t>
      </w:r>
    </w:p>
    <w:p w14:paraId="5BF06A17">
      <w:pPr>
        <w:pStyle w:val="39"/>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供应商(盖章)：　　　　　　　　　　　　　　　　　　　　日期：     </w:t>
      </w:r>
    </w:p>
    <w:p w14:paraId="20A4DF02">
      <w:pPr>
        <w:pStyle w:val="39"/>
        <w:spacing w:afterLines="0" w:line="440" w:lineRule="exact"/>
        <w:ind w:firstLine="480"/>
        <w:rPr>
          <w:rFonts w:hint="eastAsia" w:ascii="仿宋" w:hAnsi="仿宋" w:eastAsia="仿宋" w:cs="仿宋"/>
          <w:color w:val="auto"/>
          <w:szCs w:val="24"/>
          <w:highlight w:val="none"/>
        </w:rPr>
      </w:pPr>
    </w:p>
    <w:p w14:paraId="5FAF94AD">
      <w:pPr>
        <w:pStyle w:val="39"/>
        <w:spacing w:afterLines="0" w:line="440" w:lineRule="exact"/>
        <w:ind w:firstLine="480"/>
        <w:rPr>
          <w:rFonts w:hint="eastAsia" w:ascii="仿宋" w:hAnsi="仿宋" w:eastAsia="仿宋" w:cs="仿宋"/>
          <w:color w:val="auto"/>
          <w:szCs w:val="24"/>
          <w:highlight w:val="none"/>
        </w:rPr>
      </w:pPr>
    </w:p>
    <w:p w14:paraId="2E156FBC">
      <w:pPr>
        <w:pStyle w:val="39"/>
        <w:spacing w:afterLines="0" w:line="440" w:lineRule="exact"/>
        <w:ind w:firstLine="480"/>
        <w:rPr>
          <w:rFonts w:hint="eastAsia" w:ascii="仿宋" w:hAnsi="仿宋" w:eastAsia="仿宋" w:cs="仿宋"/>
          <w:color w:val="auto"/>
          <w:szCs w:val="24"/>
          <w:highlight w:val="none"/>
        </w:rPr>
      </w:pPr>
    </w:p>
    <w:p w14:paraId="21F531D9">
      <w:pPr>
        <w:pStyle w:val="39"/>
        <w:spacing w:afterLines="0" w:line="440" w:lineRule="exact"/>
        <w:ind w:firstLine="480"/>
        <w:rPr>
          <w:rFonts w:hint="eastAsia" w:ascii="仿宋" w:hAnsi="仿宋" w:eastAsia="仿宋" w:cs="仿宋"/>
          <w:color w:val="auto"/>
          <w:szCs w:val="24"/>
          <w:highlight w:val="none"/>
        </w:rPr>
      </w:pPr>
    </w:p>
    <w:p w14:paraId="5FA338A6">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7D46FBC">
      <w:pPr>
        <w:pStyle w:val="39"/>
        <w:spacing w:afterLines="0"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附件4：联合体协议书（如有）</w:t>
      </w:r>
    </w:p>
    <w:p w14:paraId="0B98CBF4">
      <w:pPr>
        <w:pStyle w:val="8"/>
        <w:overflowPunct w:val="0"/>
        <w:spacing w:line="360" w:lineRule="auto"/>
        <w:ind w:firstLine="0"/>
        <w:jc w:val="center"/>
        <w:rPr>
          <w:rFonts w:hint="eastAsia" w:ascii="仿宋" w:hAnsi="仿宋" w:eastAsia="仿宋" w:cs="仿宋"/>
          <w:b/>
          <w:color w:val="auto"/>
          <w:spacing w:val="40"/>
          <w:kern w:val="0"/>
          <w:sz w:val="24"/>
          <w:szCs w:val="24"/>
          <w:highlight w:val="none"/>
        </w:rPr>
      </w:pPr>
      <w:r>
        <w:rPr>
          <w:rFonts w:hint="eastAsia" w:ascii="仿宋" w:hAnsi="仿宋" w:eastAsia="仿宋" w:cs="仿宋"/>
          <w:b/>
          <w:color w:val="auto"/>
          <w:spacing w:val="40"/>
          <w:kern w:val="0"/>
          <w:sz w:val="24"/>
          <w:szCs w:val="24"/>
          <w:highlight w:val="none"/>
        </w:rPr>
        <w:t>联合体协议书</w:t>
      </w:r>
    </w:p>
    <w:p w14:paraId="68EA0A9B">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4ABE1FBD">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14:paraId="4D4BFF84">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（如果有的话，可按甲、乙、丙、丁…序列增加）</w:t>
      </w:r>
    </w:p>
    <w:p w14:paraId="4632BAD0">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各方经协商，就响应 </w:t>
      </w:r>
      <w:r>
        <w:rPr>
          <w:rFonts w:hint="eastAsia" w:ascii="仿宋" w:hAnsi="仿宋" w:eastAsia="仿宋" w:cs="仿宋"/>
          <w:color w:val="auto"/>
          <w:sz w:val="24"/>
          <w:szCs w:val="24"/>
          <w:highlight w:val="none"/>
          <w:u w:val="single"/>
        </w:rPr>
        <w:t xml:space="preserve">  （填写采购代理机构名称）         </w:t>
      </w:r>
      <w:r>
        <w:rPr>
          <w:rFonts w:hint="eastAsia" w:ascii="仿宋" w:hAnsi="仿宋" w:eastAsia="仿宋" w:cs="仿宋"/>
          <w:color w:val="auto"/>
          <w:sz w:val="24"/>
          <w:szCs w:val="24"/>
          <w:highlight w:val="none"/>
        </w:rPr>
        <w:t>组织实施的</w:t>
      </w:r>
      <w:r>
        <w:rPr>
          <w:rFonts w:hint="eastAsia" w:ascii="仿宋" w:hAnsi="仿宋" w:eastAsia="仿宋" w:cs="仿宋"/>
          <w:color w:val="auto"/>
          <w:sz w:val="24"/>
          <w:szCs w:val="24"/>
          <w:highlight w:val="none"/>
          <w:u w:val="single"/>
        </w:rPr>
        <w:t xml:space="preserve"> （填写项目名称）  </w:t>
      </w:r>
      <w:r>
        <w:rPr>
          <w:rFonts w:hint="eastAsia" w:ascii="仿宋" w:hAnsi="仿宋" w:eastAsia="仿宋" w:cs="仿宋"/>
          <w:color w:val="auto"/>
          <w:sz w:val="24"/>
          <w:szCs w:val="24"/>
          <w:highlight w:val="none"/>
        </w:rPr>
        <w:t>项目编号为的征集活动联合进行投标之事宜，达成如下协议：</w:t>
      </w:r>
    </w:p>
    <w:p w14:paraId="61477515">
      <w:pPr>
        <w:pStyle w:val="8"/>
        <w:numPr>
          <w:ilvl w:val="0"/>
          <w:numId w:val="10"/>
        </w:numPr>
        <w:overflowPunct w:val="0"/>
        <w:spacing w:line="460" w:lineRule="exact"/>
        <w:ind w:left="0" w:firstLine="5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各方一致决定组成一个联合体，以一个供应商的身份共同参加本项目政府采购。</w:t>
      </w:r>
    </w:p>
    <w:p w14:paraId="04CB0CE7">
      <w:pPr>
        <w:pStyle w:val="8"/>
        <w:numPr>
          <w:ilvl w:val="0"/>
          <w:numId w:val="10"/>
        </w:numPr>
        <w:overflowPunct w:val="0"/>
        <w:spacing w:line="460" w:lineRule="exact"/>
        <w:ind w:left="0" w:firstLine="5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以 </w:t>
      </w:r>
      <w:r>
        <w:rPr>
          <w:rFonts w:hint="eastAsia" w:ascii="仿宋" w:hAnsi="仿宋" w:eastAsia="仿宋" w:cs="仿宋"/>
          <w:color w:val="auto"/>
          <w:sz w:val="24"/>
          <w:szCs w:val="24"/>
          <w:highlight w:val="none"/>
          <w:u w:val="single"/>
        </w:rPr>
        <w:t xml:space="preserve">  （填写联合体牵头人名称）  </w:t>
      </w:r>
      <w:r>
        <w:rPr>
          <w:rFonts w:hint="eastAsia" w:ascii="仿宋" w:hAnsi="仿宋" w:eastAsia="仿宋" w:cs="仿宋"/>
          <w:color w:val="auto"/>
          <w:sz w:val="24"/>
          <w:szCs w:val="24"/>
          <w:highlight w:val="none"/>
        </w:rPr>
        <w:t xml:space="preserve"> 为联合体牵头人，负责包括但不仅限于投标、配合处理质疑投诉等一切和采购活动相关的事宜。</w:t>
      </w:r>
    </w:p>
    <w:p w14:paraId="3E521781">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三、联合体各方对响应文件及开标过程中的各种书面承诺、澄清等均予以认可，对联合投标各方均产生约束力。</w:t>
      </w:r>
    </w:p>
    <w:p w14:paraId="2B365459">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四、如果中标，联合投标各方共同与征集人签订采购合同，共同履行对征集人所负有的全部义务并就采购合同约定的事项对征集人承担连带责任。</w:t>
      </w:r>
    </w:p>
    <w:p w14:paraId="704C7815">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五、联合体各方不再单独参加或与其他供应商另外组成联合体参加同一标项（项目）的政府采购活动，否则均被视为无效投标。</w:t>
      </w:r>
    </w:p>
    <w:p w14:paraId="3DB52B62">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六、如果中标，联合体各方在项目实施过程中承担的货物和服务为：</w:t>
      </w:r>
    </w:p>
    <w:p w14:paraId="7B752012">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乙方：…</w:t>
      </w:r>
    </w:p>
    <w:p w14:paraId="5373389C">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2F73CFF">
      <w:pPr>
        <w:pStyle w:val="8"/>
        <w:overflowPunct w:val="0"/>
        <w:spacing w:line="460" w:lineRule="exact"/>
        <w:ind w:firstLine="513" w:firstLineChars="214"/>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七、联合体各方在本项目实施过程中承担的</w:t>
      </w:r>
      <w:r>
        <w:rPr>
          <w:rFonts w:hint="eastAsia" w:ascii="仿宋" w:hAnsi="仿宋" w:eastAsia="仿宋" w:cs="仿宋"/>
          <w:color w:val="auto"/>
          <w:sz w:val="24"/>
          <w:highlight w:val="none"/>
        </w:rPr>
        <w:t>合同比例分别为：</w:t>
      </w:r>
    </w:p>
    <w:p w14:paraId="7BCE73B9">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乙方：…</w:t>
      </w:r>
    </w:p>
    <w:p w14:paraId="75D7C69D">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1E57F0F">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八、本协议签约各方各持一份，并作为响应文件的一部分。</w:t>
      </w:r>
    </w:p>
    <w:p w14:paraId="1EFADBAA">
      <w:pPr>
        <w:pStyle w:val="8"/>
        <w:overflowPunct w:val="0"/>
        <w:spacing w:line="460" w:lineRule="exact"/>
        <w:ind w:firstLine="513" w:firstLineChars="214"/>
        <w:rPr>
          <w:rFonts w:hint="eastAsia" w:ascii="仿宋" w:hAnsi="仿宋" w:eastAsia="仿宋" w:cs="仿宋"/>
          <w:color w:val="auto"/>
          <w:sz w:val="24"/>
          <w:szCs w:val="24"/>
          <w:highlight w:val="none"/>
        </w:rPr>
      </w:pPr>
    </w:p>
    <w:p w14:paraId="25A5D830">
      <w:pPr>
        <w:pStyle w:val="8"/>
        <w:overflowPunct w:val="0"/>
        <w:spacing w:line="460" w:lineRule="exact"/>
        <w:ind w:firstLine="513" w:firstLineChars="214"/>
        <w:rPr>
          <w:rFonts w:hint="eastAsia" w:ascii="仿宋" w:hAnsi="仿宋" w:eastAsia="仿宋" w:cs="仿宋"/>
          <w:color w:val="auto"/>
          <w:sz w:val="24"/>
          <w:szCs w:val="24"/>
          <w:highlight w:val="none"/>
        </w:rPr>
      </w:pPr>
    </w:p>
    <w:tbl>
      <w:tblPr>
        <w:tblStyle w:val="31"/>
        <w:tblW w:w="0" w:type="auto"/>
        <w:jc w:val="center"/>
        <w:tblLayout w:type="fixed"/>
        <w:tblCellMar>
          <w:top w:w="0" w:type="dxa"/>
          <w:left w:w="108" w:type="dxa"/>
          <w:bottom w:w="0" w:type="dxa"/>
          <w:right w:w="108" w:type="dxa"/>
        </w:tblCellMar>
      </w:tblPr>
      <w:tblGrid>
        <w:gridCol w:w="4264"/>
        <w:gridCol w:w="4264"/>
      </w:tblGrid>
      <w:tr w14:paraId="142AB95E">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45E4CEA3">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甲方单位：       （公章）</w:t>
            </w:r>
          </w:p>
          <w:p w14:paraId="61E7FFCC">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w:t>
            </w:r>
            <w:r>
              <w:rPr>
                <w:rFonts w:hint="eastAsia" w:ascii="仿宋" w:hAnsi="仿宋" w:eastAsia="仿宋" w:cs="仿宋"/>
                <w:color w:val="auto"/>
                <w:sz w:val="24"/>
                <w:szCs w:val="24"/>
                <w:highlight w:val="none"/>
                <w:lang w:val="en-US" w:eastAsia="zh-CN"/>
              </w:rPr>
              <w:t>签字或盖</w:t>
            </w:r>
            <w:r>
              <w:rPr>
                <w:rFonts w:hint="eastAsia" w:ascii="仿宋" w:hAnsi="仿宋" w:eastAsia="仿宋" w:cs="仿宋"/>
                <w:color w:val="auto"/>
                <w:sz w:val="24"/>
                <w:szCs w:val="24"/>
                <w:highlight w:val="none"/>
              </w:rPr>
              <w:t>章）</w:t>
            </w:r>
          </w:p>
          <w:p w14:paraId="267C0E34">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tc>
        <w:tc>
          <w:tcPr>
            <w:tcW w:w="4264" w:type="dxa"/>
            <w:tcBorders>
              <w:top w:val="nil"/>
              <w:left w:val="nil"/>
              <w:bottom w:val="nil"/>
              <w:right w:val="nil"/>
            </w:tcBorders>
            <w:noWrap/>
          </w:tcPr>
          <w:p w14:paraId="29C14611">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乙方单位：       （公章）</w:t>
            </w:r>
          </w:p>
          <w:p w14:paraId="519FFD9C">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w:t>
            </w:r>
            <w:r>
              <w:rPr>
                <w:rFonts w:hint="eastAsia" w:ascii="仿宋" w:hAnsi="仿宋" w:eastAsia="仿宋" w:cs="仿宋"/>
                <w:color w:val="auto"/>
                <w:sz w:val="24"/>
                <w:szCs w:val="24"/>
                <w:highlight w:val="none"/>
                <w:lang w:val="en-US" w:eastAsia="zh-CN"/>
              </w:rPr>
              <w:t>签字或盖</w:t>
            </w:r>
            <w:r>
              <w:rPr>
                <w:rFonts w:hint="eastAsia" w:ascii="仿宋" w:hAnsi="仿宋" w:eastAsia="仿宋" w:cs="仿宋"/>
                <w:color w:val="auto"/>
                <w:sz w:val="24"/>
                <w:szCs w:val="24"/>
                <w:highlight w:val="none"/>
              </w:rPr>
              <w:t>章）</w:t>
            </w:r>
          </w:p>
          <w:p w14:paraId="2884B688">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tc>
      </w:tr>
    </w:tbl>
    <w:p w14:paraId="051E1406">
      <w:pPr>
        <w:pStyle w:val="39"/>
        <w:spacing w:afterLines="0" w:line="440" w:lineRule="exact"/>
        <w:ind w:firstLine="0" w:firstLineChars="0"/>
        <w:rPr>
          <w:rFonts w:hint="eastAsia" w:ascii="仿宋" w:hAnsi="仿宋" w:eastAsia="仿宋" w:cs="仿宋"/>
          <w:b/>
          <w:bCs/>
          <w:color w:val="auto"/>
          <w:sz w:val="28"/>
          <w:szCs w:val="28"/>
          <w:highlight w:val="none"/>
        </w:rPr>
      </w:pPr>
    </w:p>
    <w:p w14:paraId="39DB0FB4">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7F5C48A2">
      <w:pPr>
        <w:pStyle w:val="39"/>
        <w:spacing w:afterLines="0"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附件5：分包意向协议（如有）</w:t>
      </w:r>
    </w:p>
    <w:p w14:paraId="5D52E28F">
      <w:pPr>
        <w:spacing w:line="588"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分包意向协议</w:t>
      </w:r>
    </w:p>
    <w:p w14:paraId="6881A155">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（填写投标供应商名称    ）</w:t>
      </w:r>
      <w:r>
        <w:rPr>
          <w:rFonts w:hint="eastAsia" w:ascii="仿宋" w:hAnsi="仿宋" w:eastAsia="仿宋" w:cs="仿宋"/>
          <w:color w:val="auto"/>
          <w:sz w:val="24"/>
          <w:szCs w:val="24"/>
          <w:highlight w:val="none"/>
          <w:lang w:val="zh-CN"/>
        </w:rPr>
        <w:t>若成为</w:t>
      </w:r>
      <w:r>
        <w:rPr>
          <w:rFonts w:hint="eastAsia" w:ascii="仿宋" w:hAnsi="仿宋" w:eastAsia="仿宋" w:cs="仿宋"/>
          <w:color w:val="auto"/>
          <w:sz w:val="24"/>
          <w:szCs w:val="24"/>
          <w:highlight w:val="none"/>
          <w:u w:val="single"/>
        </w:rPr>
        <w:t>（项目名称     ）(项目编号：   ）</w:t>
      </w:r>
      <w:r>
        <w:rPr>
          <w:rFonts w:hint="eastAsia" w:ascii="仿宋" w:hAnsi="仿宋" w:eastAsia="仿宋" w:cs="仿宋"/>
          <w:color w:val="auto"/>
          <w:sz w:val="24"/>
          <w:szCs w:val="24"/>
          <w:highlight w:val="none"/>
          <w:lang w:val="zh-CN"/>
        </w:rPr>
        <w:t>的中标（成交）供应商，将依法采取分包方式履行合同。</w:t>
      </w:r>
      <w:r>
        <w:rPr>
          <w:rFonts w:hint="eastAsia" w:ascii="仿宋" w:hAnsi="仿宋" w:eastAsia="仿宋" w:cs="仿宋"/>
          <w:color w:val="auto"/>
          <w:sz w:val="24"/>
          <w:szCs w:val="24"/>
          <w:highlight w:val="none"/>
          <w:u w:val="single"/>
        </w:rPr>
        <w:t>（填写投标供应商名称    ）</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u w:val="single"/>
        </w:rPr>
        <w:t>（所有分包供应商名称    ）</w:t>
      </w:r>
      <w:r>
        <w:rPr>
          <w:rFonts w:hint="eastAsia" w:ascii="仿宋" w:hAnsi="仿宋" w:eastAsia="仿宋" w:cs="仿宋"/>
          <w:color w:val="auto"/>
          <w:sz w:val="24"/>
          <w:szCs w:val="24"/>
          <w:highlight w:val="none"/>
        </w:rPr>
        <w:t>达成分包意向协议</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u w:val="single"/>
        </w:rPr>
        <w:t>（填写投标供应商名称    ）</w:t>
      </w:r>
      <w:r>
        <w:rPr>
          <w:rFonts w:hint="eastAsia" w:ascii="仿宋" w:hAnsi="仿宋" w:eastAsia="仿宋" w:cs="仿宋"/>
          <w:color w:val="auto"/>
          <w:sz w:val="24"/>
          <w:szCs w:val="24"/>
          <w:highlight w:val="none"/>
        </w:rPr>
        <w:t>负责签署响应文件，其所有承诺均认为代表了</w:t>
      </w:r>
      <w:r>
        <w:rPr>
          <w:rFonts w:hint="eastAsia" w:ascii="仿宋" w:hAnsi="仿宋" w:eastAsia="仿宋" w:cs="仿宋"/>
          <w:color w:val="auto"/>
          <w:sz w:val="24"/>
          <w:szCs w:val="24"/>
          <w:highlight w:val="none"/>
          <w:u w:val="single"/>
        </w:rPr>
        <w:t>（填写所有分包供应商名称       ）</w:t>
      </w:r>
      <w:r>
        <w:rPr>
          <w:rFonts w:hint="eastAsia" w:ascii="仿宋" w:hAnsi="仿宋" w:eastAsia="仿宋" w:cs="仿宋"/>
          <w:color w:val="auto"/>
          <w:sz w:val="24"/>
          <w:szCs w:val="24"/>
          <w:highlight w:val="none"/>
        </w:rPr>
        <w:t>意愿。</w:t>
      </w:r>
    </w:p>
    <w:p w14:paraId="029C26E6">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一、分包内容在征集文件分包要求的范围内，并符合相关法律规定等</w:t>
      </w:r>
    </w:p>
    <w:p w14:paraId="4F0E3367">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二、分包标的及合同占比</w:t>
      </w:r>
    </w:p>
    <w:p w14:paraId="14575CD9">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（填写投标供应商名称    ）</w:t>
      </w:r>
      <w:r>
        <w:rPr>
          <w:rFonts w:hint="eastAsia" w:ascii="仿宋" w:hAnsi="仿宋" w:eastAsia="仿宋" w:cs="仿宋"/>
          <w:color w:val="auto"/>
          <w:sz w:val="24"/>
          <w:szCs w:val="24"/>
          <w:highlight w:val="none"/>
          <w:lang w:val="zh-CN"/>
        </w:rPr>
        <w:t>将</w:t>
      </w:r>
      <w:r>
        <w:rPr>
          <w:rFonts w:hint="eastAsia" w:ascii="仿宋" w:hAnsi="仿宋" w:eastAsia="仿宋" w:cs="仿宋"/>
          <w:color w:val="auto"/>
          <w:sz w:val="24"/>
          <w:szCs w:val="24"/>
          <w:highlight w:val="none"/>
          <w:u w:val="single"/>
        </w:rPr>
        <w:t xml:space="preserve">   工作内容1</w:t>
      </w:r>
      <w:r>
        <w:rPr>
          <w:rFonts w:hint="eastAsia" w:ascii="仿宋" w:hAnsi="仿宋" w:eastAsia="仿宋" w:cs="仿宋"/>
          <w:color w:val="auto"/>
          <w:sz w:val="24"/>
          <w:szCs w:val="24"/>
          <w:highlight w:val="none"/>
        </w:rPr>
        <w:t>分包给（填写分包供应商1名称      ）</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rPr>
        <w:t>（填写分包供应商1名称       ）</w:t>
      </w:r>
      <w:r>
        <w:rPr>
          <w:rFonts w:hint="eastAsia" w:ascii="仿宋" w:hAnsi="仿宋" w:eastAsia="仿宋" w:cs="仿宋"/>
          <w:color w:val="auto"/>
          <w:sz w:val="24"/>
          <w:szCs w:val="24"/>
          <w:highlight w:val="none"/>
          <w:lang w:val="zh-CN"/>
        </w:rPr>
        <w:t>具备承</w:t>
      </w:r>
      <w:r>
        <w:rPr>
          <w:rFonts w:hint="eastAsia" w:ascii="仿宋" w:hAnsi="仿宋" w:eastAsia="仿宋" w:cs="仿宋"/>
          <w:color w:val="auto"/>
          <w:sz w:val="24"/>
          <w:szCs w:val="24"/>
          <w:highlight w:val="none"/>
        </w:rPr>
        <w:t>担</w:t>
      </w:r>
      <w:r>
        <w:rPr>
          <w:rFonts w:hint="eastAsia" w:ascii="仿宋" w:hAnsi="仿宋" w:eastAsia="仿宋" w:cs="仿宋"/>
          <w:color w:val="auto"/>
          <w:sz w:val="24"/>
          <w:szCs w:val="24"/>
          <w:highlight w:val="none"/>
          <w:lang w:val="zh-CN"/>
        </w:rPr>
        <w:t>该工作内容的相应资质条件且不再次分包，分包合同份额占到合同总金额%。</w:t>
      </w:r>
    </w:p>
    <w:p w14:paraId="2FB74571">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（填写投标供应商名称    ）</w:t>
      </w:r>
      <w:r>
        <w:rPr>
          <w:rFonts w:hint="eastAsia" w:ascii="仿宋" w:hAnsi="仿宋" w:eastAsia="仿宋" w:cs="仿宋"/>
          <w:color w:val="auto"/>
          <w:sz w:val="24"/>
          <w:szCs w:val="24"/>
          <w:highlight w:val="none"/>
          <w:lang w:val="zh-CN"/>
        </w:rPr>
        <w:t>将</w:t>
      </w:r>
      <w:r>
        <w:rPr>
          <w:rFonts w:hint="eastAsia" w:ascii="仿宋" w:hAnsi="仿宋" w:eastAsia="仿宋" w:cs="仿宋"/>
          <w:color w:val="auto"/>
          <w:sz w:val="24"/>
          <w:szCs w:val="24"/>
          <w:highlight w:val="none"/>
          <w:u w:val="single"/>
        </w:rPr>
        <w:t xml:space="preserve">   工作内容2</w:t>
      </w:r>
      <w:r>
        <w:rPr>
          <w:rFonts w:hint="eastAsia" w:ascii="仿宋" w:hAnsi="仿宋" w:eastAsia="仿宋" w:cs="仿宋"/>
          <w:color w:val="auto"/>
          <w:sz w:val="24"/>
          <w:szCs w:val="24"/>
          <w:highlight w:val="none"/>
        </w:rPr>
        <w:t>分包给（填写分包供应商2名称      ）</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rPr>
        <w:t>（填写分包供应商2名称       ）</w:t>
      </w:r>
      <w:r>
        <w:rPr>
          <w:rFonts w:hint="eastAsia" w:ascii="仿宋" w:hAnsi="仿宋" w:eastAsia="仿宋" w:cs="仿宋"/>
          <w:color w:val="auto"/>
          <w:sz w:val="24"/>
          <w:szCs w:val="24"/>
          <w:highlight w:val="none"/>
          <w:lang w:val="zh-CN"/>
        </w:rPr>
        <w:t>具备承</w:t>
      </w:r>
      <w:r>
        <w:rPr>
          <w:rFonts w:hint="eastAsia" w:ascii="仿宋" w:hAnsi="仿宋" w:eastAsia="仿宋" w:cs="仿宋"/>
          <w:color w:val="auto"/>
          <w:sz w:val="24"/>
          <w:szCs w:val="24"/>
          <w:highlight w:val="none"/>
        </w:rPr>
        <w:t>担</w:t>
      </w:r>
      <w:r>
        <w:rPr>
          <w:rFonts w:hint="eastAsia" w:ascii="仿宋" w:hAnsi="仿宋" w:eastAsia="仿宋" w:cs="仿宋"/>
          <w:color w:val="auto"/>
          <w:sz w:val="24"/>
          <w:szCs w:val="24"/>
          <w:highlight w:val="none"/>
          <w:lang w:val="zh-CN"/>
        </w:rPr>
        <w:t>该工作内容的相应资质条件且不再次分包，分包合同份额占到合同总金额%。</w:t>
      </w:r>
    </w:p>
    <w:p w14:paraId="14CCCC21">
      <w:pPr>
        <w:pStyle w:val="8"/>
        <w:overflowPunct w:val="0"/>
        <w:spacing w:line="460" w:lineRule="exact"/>
        <w:ind w:left="479" w:leftChars="228" w:firstLine="31" w:firstLineChars="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p>
    <w:p w14:paraId="6111FA75">
      <w:pPr>
        <w:pStyle w:val="8"/>
        <w:overflowPunct w:val="0"/>
        <w:spacing w:line="460" w:lineRule="exact"/>
        <w:ind w:left="479" w:leftChars="228" w:firstLine="31" w:firstLineChars="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以上所有分包合同份额合计占到合同总金额的</w:t>
      </w:r>
      <w:r>
        <w:rPr>
          <w:rFonts w:hint="eastAsia" w:ascii="仿宋" w:hAnsi="仿宋" w:eastAsia="仿宋" w:cs="仿宋"/>
          <w:color w:val="auto"/>
          <w:sz w:val="24"/>
          <w:szCs w:val="24"/>
          <w:highlight w:val="none"/>
          <w:lang w:val="zh-CN"/>
        </w:rPr>
        <w:t>%</w:t>
      </w:r>
    </w:p>
    <w:p w14:paraId="414C9A84">
      <w:pPr>
        <w:pStyle w:val="8"/>
        <w:overflowPunct w:val="0"/>
        <w:spacing w:line="460" w:lineRule="exact"/>
        <w:ind w:left="479" w:leftChars="228" w:firstLine="31" w:firstLineChars="13"/>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三、特别约定</w:t>
      </w:r>
    </w:p>
    <w:p w14:paraId="5089FA56">
      <w:pPr>
        <w:pStyle w:val="8"/>
        <w:overflowPunct w:val="0"/>
        <w:spacing w:line="46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本协议为意向协议，正式协议待中标（成交）后签署，正式协议不再对分包标的和合同占比进行调整。</w:t>
      </w:r>
    </w:p>
    <w:p w14:paraId="7300EF91">
      <w:pPr>
        <w:pStyle w:val="8"/>
        <w:overflowPunct w:val="0"/>
        <w:spacing w:line="460" w:lineRule="exact"/>
        <w:ind w:firstLine="513" w:firstLineChars="214"/>
        <w:rPr>
          <w:rFonts w:hint="eastAsia" w:ascii="仿宋" w:hAnsi="仿宋" w:eastAsia="仿宋" w:cs="仿宋"/>
          <w:color w:val="auto"/>
          <w:sz w:val="24"/>
          <w:szCs w:val="24"/>
          <w:highlight w:val="none"/>
          <w:lang w:val="zh-CN"/>
        </w:rPr>
      </w:pPr>
    </w:p>
    <w:p w14:paraId="2799BA69">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投标供应商名称</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p>
    <w:p w14:paraId="0D901407">
      <w:pPr>
        <w:pStyle w:val="8"/>
        <w:overflowPunct w:val="0"/>
        <w:spacing w:line="460" w:lineRule="exact"/>
        <w:ind w:firstLine="513" w:firstLineChars="214"/>
        <w:rPr>
          <w:rFonts w:hint="eastAsia" w:ascii="仿宋" w:hAnsi="仿宋" w:eastAsia="仿宋" w:cs="仿宋"/>
          <w:color w:val="auto"/>
          <w:sz w:val="24"/>
          <w:szCs w:val="24"/>
          <w:highlight w:val="none"/>
          <w:lang w:val="zh-CN"/>
        </w:rPr>
      </w:pPr>
    </w:p>
    <w:p w14:paraId="03DBF387">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分包供应商</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名称（</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p>
    <w:p w14:paraId="2153D952">
      <w:pPr>
        <w:pStyle w:val="8"/>
        <w:overflowPunct w:val="0"/>
        <w:spacing w:line="460" w:lineRule="exact"/>
        <w:ind w:firstLine="513" w:firstLineChars="214"/>
        <w:rPr>
          <w:rFonts w:hint="eastAsia" w:ascii="仿宋" w:hAnsi="仿宋" w:eastAsia="仿宋" w:cs="仿宋"/>
          <w:color w:val="auto"/>
          <w:sz w:val="24"/>
          <w:szCs w:val="24"/>
          <w:highlight w:val="none"/>
          <w:lang w:val="zh-CN"/>
        </w:rPr>
      </w:pPr>
    </w:p>
    <w:p w14:paraId="29162E9E">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分包供应商</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名称（</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p>
    <w:p w14:paraId="4965FDDB">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p>
    <w:p w14:paraId="33C02303">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日期：  年  月   日</w:t>
      </w:r>
    </w:p>
    <w:p w14:paraId="6FA26798">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59A1FD88">
      <w:pPr>
        <w:pStyle w:val="39"/>
        <w:spacing w:afterLines="0"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附件6：法定代表人授权委托书</w:t>
      </w:r>
    </w:p>
    <w:p w14:paraId="21F94C3A">
      <w:pPr>
        <w:snapToGrid w:val="0"/>
        <w:spacing w:before="50" w:after="50"/>
        <w:jc w:val="center"/>
        <w:rPr>
          <w:rFonts w:hint="eastAsia" w:ascii="仿宋" w:hAnsi="仿宋" w:eastAsia="仿宋" w:cs="仿宋"/>
          <w:b/>
          <w:color w:val="auto"/>
          <w:sz w:val="36"/>
          <w:szCs w:val="36"/>
          <w:highlight w:val="none"/>
        </w:rPr>
      </w:pPr>
    </w:p>
    <w:p w14:paraId="6B41791E">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法定代表人授权委托书</w:t>
      </w:r>
    </w:p>
    <w:p w14:paraId="15C6BDF3">
      <w:pPr>
        <w:snapToGrid w:val="0"/>
        <w:spacing w:beforeLines="50" w:after="50" w:line="460" w:lineRule="exact"/>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（采购代理机构或征集人名称）</w:t>
      </w:r>
      <w:r>
        <w:rPr>
          <w:rFonts w:hint="eastAsia" w:ascii="仿宋" w:hAnsi="仿宋" w:eastAsia="仿宋" w:cs="仿宋"/>
          <w:bCs/>
          <w:color w:val="auto"/>
          <w:sz w:val="24"/>
          <w:szCs w:val="24"/>
          <w:highlight w:val="none"/>
        </w:rPr>
        <w:t>：</w:t>
      </w:r>
    </w:p>
    <w:p w14:paraId="719EE2CC">
      <w:pPr>
        <w:snapToGrid w:val="0"/>
        <w:spacing w:beforeLines="50" w:after="50" w:line="46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（供应商或联合体牵头人全称） </w:t>
      </w:r>
      <w:r>
        <w:rPr>
          <w:rFonts w:hint="eastAsia" w:ascii="仿宋" w:hAnsi="仿宋" w:eastAsia="仿宋" w:cs="仿宋"/>
          <w:color w:val="auto"/>
          <w:sz w:val="24"/>
          <w:szCs w:val="24"/>
          <w:highlight w:val="none"/>
        </w:rPr>
        <w:t xml:space="preserve">的法定代表人，现授权委托 </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为授权代表，以我方的名义参加</w:t>
      </w:r>
      <w:r>
        <w:rPr>
          <w:rFonts w:hint="eastAsia" w:ascii="仿宋" w:hAnsi="仿宋" w:eastAsia="仿宋" w:cs="仿宋"/>
          <w:color w:val="auto"/>
          <w:sz w:val="24"/>
          <w:szCs w:val="24"/>
          <w:highlight w:val="none"/>
          <w:u w:val="single"/>
        </w:rPr>
        <w:t xml:space="preserve">   （项目名称及编号）    </w:t>
      </w:r>
      <w:r>
        <w:rPr>
          <w:rFonts w:hint="eastAsia" w:ascii="仿宋" w:hAnsi="仿宋" w:eastAsia="仿宋" w:cs="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21B2696C">
      <w:pPr>
        <w:snapToGrid w:val="0"/>
        <w:spacing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在撤销授权的书面通知以前，本授权书一直有效。授权代表在授权书有效期内签署的所有文件不因授权的撤销而失效。</w:t>
      </w:r>
    </w:p>
    <w:p w14:paraId="09AD3456">
      <w:pPr>
        <w:snapToGrid w:val="0"/>
        <w:spacing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授权代表无转委托权，特此委托。</w:t>
      </w:r>
    </w:p>
    <w:p w14:paraId="596BBE83">
      <w:pPr>
        <w:snapToGrid w:val="0"/>
        <w:spacing w:beforeLines="50" w:after="50" w:line="460" w:lineRule="exact"/>
        <w:ind w:firstLine="480"/>
        <w:rPr>
          <w:rFonts w:hint="eastAsia" w:ascii="仿宋" w:hAnsi="仿宋" w:eastAsia="仿宋" w:cs="仿宋"/>
          <w:color w:val="auto"/>
          <w:sz w:val="24"/>
          <w:szCs w:val="24"/>
          <w:highlight w:val="none"/>
        </w:rPr>
      </w:pPr>
    </w:p>
    <w:p w14:paraId="2C8EC10B">
      <w:pPr>
        <w:snapToGrid w:val="0"/>
        <w:spacing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授权代表签字（或盖章）：      </w:t>
      </w:r>
    </w:p>
    <w:p w14:paraId="3946ACFA">
      <w:pPr>
        <w:snapToGrid w:val="0"/>
        <w:spacing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授权代表身份证号码：</w:t>
      </w:r>
    </w:p>
    <w:p w14:paraId="60C33AD7">
      <w:pPr>
        <w:snapToGrid w:val="0"/>
        <w:spacing w:beforeLines="50" w:after="50" w:line="460" w:lineRule="exact"/>
        <w:rPr>
          <w:rFonts w:hint="eastAsia" w:ascii="仿宋" w:hAnsi="仿宋" w:eastAsia="仿宋" w:cs="仿宋"/>
          <w:color w:val="auto"/>
          <w:sz w:val="24"/>
          <w:szCs w:val="24"/>
          <w:highlight w:val="none"/>
        </w:rPr>
      </w:pPr>
    </w:p>
    <w:p w14:paraId="0BEE2B00">
      <w:pPr>
        <w:snapToGrid w:val="0"/>
        <w:spacing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法定代表人签字（或盖章）：</w:t>
      </w:r>
    </w:p>
    <w:p w14:paraId="06F67809">
      <w:pPr>
        <w:snapToGrid w:val="0"/>
        <w:spacing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法定代表人身份证号码：</w:t>
      </w:r>
    </w:p>
    <w:p w14:paraId="2B30361B">
      <w:pPr>
        <w:snapToGrid w:val="0"/>
        <w:spacing w:beforeLines="50" w:after="50" w:line="460" w:lineRule="exact"/>
        <w:rPr>
          <w:rFonts w:hint="eastAsia" w:ascii="仿宋" w:hAnsi="仿宋" w:eastAsia="仿宋" w:cs="仿宋"/>
          <w:color w:val="auto"/>
          <w:sz w:val="24"/>
          <w:szCs w:val="24"/>
          <w:highlight w:val="none"/>
        </w:rPr>
      </w:pPr>
    </w:p>
    <w:p w14:paraId="10F784D1">
      <w:pPr>
        <w:snapToGrid w:val="0"/>
        <w:spacing w:beforeLines="50" w:after="50" w:line="460" w:lineRule="exact"/>
        <w:rPr>
          <w:rFonts w:hint="eastAsia" w:ascii="仿宋" w:hAnsi="仿宋" w:eastAsia="仿宋" w:cs="仿宋"/>
          <w:color w:val="auto"/>
          <w:sz w:val="24"/>
          <w:szCs w:val="24"/>
          <w:highlight w:val="none"/>
        </w:rPr>
      </w:pPr>
    </w:p>
    <w:p w14:paraId="2120EE16">
      <w:pPr>
        <w:snapToGrid w:val="0"/>
        <w:spacing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供应商全称（盖公章）：            日  期：</w:t>
      </w:r>
      <w:r>
        <w:rPr>
          <w:rFonts w:hint="eastAsia" w:ascii="仿宋" w:hAnsi="仿宋" w:eastAsia="仿宋" w:cs="仿宋"/>
          <w:color w:val="auto"/>
          <w:sz w:val="24"/>
          <w:szCs w:val="24"/>
          <w:highlight w:val="none"/>
          <w:u w:val="single"/>
        </w:rPr>
        <w:t xml:space="preserve">     年   月  日</w:t>
      </w:r>
    </w:p>
    <w:p w14:paraId="16C250A8">
      <w:pPr>
        <w:widowControl/>
        <w:jc w:val="left"/>
        <w:rPr>
          <w:rFonts w:hint="eastAsia" w:ascii="仿宋" w:hAnsi="仿宋" w:eastAsia="仿宋" w:cs="仿宋"/>
          <w:color w:val="auto"/>
          <w:sz w:val="24"/>
          <w:szCs w:val="24"/>
          <w:highlight w:val="none"/>
          <w:u w:val="single"/>
        </w:rPr>
      </w:pPr>
    </w:p>
    <w:p w14:paraId="4D734429">
      <w:pPr>
        <w:snapToGrid w:val="0"/>
        <w:spacing w:before="50" w:after="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友情提示：</w:t>
      </w:r>
      <w:r>
        <w:rPr>
          <w:rFonts w:hint="eastAsia" w:ascii="仿宋" w:hAnsi="仿宋" w:eastAsia="仿宋" w:cs="仿宋"/>
          <w:b/>
          <w:bCs/>
          <w:color w:val="auto"/>
          <w:sz w:val="24"/>
          <w:szCs w:val="24"/>
          <w:highlight w:val="none"/>
          <w:u w:val="single"/>
        </w:rPr>
        <w:t>1、请仔细核对身份证号码，若填写错误，作无效投标处理。</w:t>
      </w:r>
    </w:p>
    <w:p w14:paraId="120A6BFD">
      <w:pPr>
        <w:snapToGrid w:val="0"/>
        <w:spacing w:before="50" w:after="50"/>
        <w:ind w:left="1558" w:leftChars="570" w:hanging="361" w:hangingChars="1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2、联合体投标的，需提供联合体牵头人的法定代表人授权委托书，否则作无效投标处理。</w:t>
      </w:r>
    </w:p>
    <w:p w14:paraId="4163A2E3">
      <w:pPr>
        <w:snapToGrid w:val="0"/>
        <w:spacing w:before="50" w:after="50"/>
        <w:jc w:val="left"/>
        <w:rPr>
          <w:rFonts w:hint="eastAsia" w:ascii="仿宋" w:hAnsi="仿宋" w:eastAsia="仿宋" w:cs="仿宋"/>
          <w:b/>
          <w:color w:val="auto"/>
          <w:sz w:val="36"/>
          <w:szCs w:val="36"/>
          <w:highlight w:val="none"/>
        </w:rPr>
      </w:pPr>
    </w:p>
    <w:p w14:paraId="6B5D1CCE">
      <w:pPr>
        <w:snapToGrid w:val="0"/>
        <w:spacing w:before="50" w:after="50"/>
        <w:jc w:val="left"/>
        <w:rPr>
          <w:rFonts w:hint="eastAsia" w:ascii="仿宋" w:hAnsi="仿宋" w:eastAsia="仿宋" w:cs="仿宋"/>
          <w:b/>
          <w:color w:val="auto"/>
          <w:sz w:val="36"/>
          <w:szCs w:val="36"/>
          <w:highlight w:val="none"/>
        </w:rPr>
      </w:pPr>
    </w:p>
    <w:p w14:paraId="569E8942">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BDD5E55">
      <w:pPr>
        <w:pStyle w:val="39"/>
        <w:spacing w:afterLines="0"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附件7：法定代表人及其授权代表身份证</w:t>
      </w:r>
    </w:p>
    <w:p w14:paraId="6B819F85">
      <w:pPr>
        <w:pStyle w:val="39"/>
        <w:spacing w:afterLines="0" w:line="440" w:lineRule="exact"/>
        <w:ind w:firstLine="0" w:firstLineChars="0"/>
        <w:rPr>
          <w:rFonts w:hint="eastAsia" w:ascii="仿宋" w:hAnsi="仿宋" w:eastAsia="仿宋" w:cs="仿宋"/>
          <w:b/>
          <w:bCs/>
          <w:color w:val="auto"/>
          <w:sz w:val="28"/>
          <w:szCs w:val="28"/>
          <w:highlight w:val="none"/>
        </w:rPr>
      </w:pPr>
    </w:p>
    <w:p w14:paraId="1B5447E5">
      <w:pPr>
        <w:pStyle w:val="39"/>
        <w:spacing w:afterLines="0" w:line="440" w:lineRule="exact"/>
        <w:ind w:firstLine="0" w:firstLineChars="0"/>
        <w:rPr>
          <w:rFonts w:hint="eastAsia" w:ascii="仿宋" w:hAnsi="仿宋" w:eastAsia="仿宋" w:cs="仿宋"/>
          <w:b/>
          <w:bCs/>
          <w:color w:val="auto"/>
          <w:sz w:val="28"/>
          <w:szCs w:val="28"/>
          <w:highlight w:val="none"/>
        </w:rPr>
      </w:pPr>
    </w:p>
    <w:p w14:paraId="1C23D7A4">
      <w:pPr>
        <w:pStyle w:val="39"/>
        <w:spacing w:afterLines="0" w:line="440"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制作说明：</w:t>
      </w:r>
    </w:p>
    <w:p w14:paraId="47AFE885">
      <w:pPr>
        <w:pStyle w:val="39"/>
        <w:numPr>
          <w:ilvl w:val="0"/>
          <w:numId w:val="11"/>
        </w:numPr>
        <w:spacing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提供身份证原件正反两面的彩色图片，内容清晰可辨，加盖单位CA签章，否则视为无效投标。</w:t>
      </w:r>
    </w:p>
    <w:p w14:paraId="766E2B8B">
      <w:pPr>
        <w:pStyle w:val="39"/>
        <w:numPr>
          <w:ilvl w:val="0"/>
          <w:numId w:val="11"/>
        </w:numPr>
        <w:spacing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联合体投标的，提供联合体牵头人的法定代表人及其授权代表身份证。</w:t>
      </w:r>
    </w:p>
    <w:p w14:paraId="641A891C">
      <w:pPr>
        <w:pStyle w:val="39"/>
        <w:numPr>
          <w:ilvl w:val="0"/>
          <w:numId w:val="11"/>
        </w:numPr>
        <w:spacing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个体工商户参与投标的提供经营者本人的身份证。</w:t>
      </w:r>
    </w:p>
    <w:p w14:paraId="3633688D">
      <w:pPr>
        <w:pStyle w:val="39"/>
        <w:spacing w:afterLines="0" w:line="440" w:lineRule="exact"/>
        <w:ind w:firstLine="0" w:firstLineChars="0"/>
        <w:rPr>
          <w:rFonts w:hint="eastAsia" w:ascii="仿宋" w:hAnsi="仿宋" w:eastAsia="仿宋" w:cs="仿宋"/>
          <w:color w:val="auto"/>
          <w:sz w:val="28"/>
          <w:szCs w:val="28"/>
          <w:highlight w:val="none"/>
        </w:rPr>
      </w:pPr>
    </w:p>
    <w:p w14:paraId="18DBEA2F">
      <w:pPr>
        <w:pStyle w:val="39"/>
        <w:spacing w:afterLines="0" w:line="440" w:lineRule="exact"/>
        <w:ind w:firstLine="0" w:firstLineChars="0"/>
        <w:rPr>
          <w:rFonts w:hint="eastAsia" w:ascii="仿宋" w:hAnsi="仿宋" w:eastAsia="仿宋" w:cs="仿宋"/>
          <w:color w:val="auto"/>
          <w:sz w:val="28"/>
          <w:szCs w:val="28"/>
          <w:highlight w:val="none"/>
        </w:rPr>
      </w:pPr>
    </w:p>
    <w:p w14:paraId="4A1A2DD3">
      <w:pPr>
        <w:pStyle w:val="39"/>
        <w:spacing w:afterLines="0" w:line="440" w:lineRule="exact"/>
        <w:ind w:firstLine="0" w:firstLineChars="0"/>
        <w:rPr>
          <w:rFonts w:hint="eastAsia" w:ascii="仿宋" w:hAnsi="仿宋" w:eastAsia="仿宋" w:cs="仿宋"/>
          <w:color w:val="auto"/>
          <w:sz w:val="28"/>
          <w:szCs w:val="28"/>
          <w:highlight w:val="none"/>
        </w:rPr>
      </w:pPr>
    </w:p>
    <w:p w14:paraId="41BE8A64">
      <w:pPr>
        <w:pStyle w:val="39"/>
        <w:spacing w:afterLines="0" w:line="440" w:lineRule="exact"/>
        <w:ind w:firstLine="0" w:firstLineChars="0"/>
        <w:rPr>
          <w:rFonts w:hint="eastAsia" w:ascii="仿宋" w:hAnsi="仿宋" w:eastAsia="仿宋" w:cs="仿宋"/>
          <w:color w:val="auto"/>
          <w:sz w:val="28"/>
          <w:szCs w:val="28"/>
          <w:highlight w:val="none"/>
        </w:rPr>
      </w:pPr>
    </w:p>
    <w:p w14:paraId="4D2B42CE">
      <w:pPr>
        <w:pStyle w:val="39"/>
        <w:spacing w:afterLines="0" w:line="440" w:lineRule="exact"/>
        <w:ind w:firstLine="0" w:firstLineChars="0"/>
        <w:rPr>
          <w:rFonts w:hint="eastAsia" w:ascii="仿宋" w:hAnsi="仿宋" w:eastAsia="仿宋" w:cs="仿宋"/>
          <w:color w:val="auto"/>
          <w:sz w:val="28"/>
          <w:szCs w:val="28"/>
          <w:highlight w:val="none"/>
        </w:rPr>
      </w:pPr>
    </w:p>
    <w:p w14:paraId="5776AF23">
      <w:pPr>
        <w:pStyle w:val="39"/>
        <w:spacing w:afterLines="0" w:line="440" w:lineRule="exact"/>
        <w:ind w:firstLine="0" w:firstLineChars="0"/>
        <w:rPr>
          <w:rFonts w:hint="eastAsia" w:ascii="仿宋" w:hAnsi="仿宋" w:eastAsia="仿宋" w:cs="仿宋"/>
          <w:color w:val="auto"/>
          <w:sz w:val="28"/>
          <w:szCs w:val="28"/>
          <w:highlight w:val="none"/>
        </w:rPr>
      </w:pPr>
    </w:p>
    <w:p w14:paraId="514D40CC">
      <w:pPr>
        <w:pStyle w:val="39"/>
        <w:spacing w:afterLines="0" w:line="440" w:lineRule="exact"/>
        <w:ind w:firstLine="0" w:firstLineChars="0"/>
        <w:rPr>
          <w:rFonts w:hint="eastAsia" w:ascii="仿宋" w:hAnsi="仿宋" w:eastAsia="仿宋" w:cs="仿宋"/>
          <w:color w:val="auto"/>
          <w:sz w:val="28"/>
          <w:szCs w:val="28"/>
          <w:highlight w:val="none"/>
        </w:rPr>
      </w:pPr>
    </w:p>
    <w:p w14:paraId="5C97B7D4">
      <w:pPr>
        <w:pStyle w:val="39"/>
        <w:spacing w:afterLines="0" w:line="440" w:lineRule="exact"/>
        <w:ind w:firstLine="0" w:firstLineChars="0"/>
        <w:rPr>
          <w:rFonts w:hint="eastAsia" w:ascii="仿宋" w:hAnsi="仿宋" w:eastAsia="仿宋" w:cs="仿宋"/>
          <w:color w:val="auto"/>
          <w:sz w:val="28"/>
          <w:szCs w:val="28"/>
          <w:highlight w:val="none"/>
        </w:rPr>
      </w:pPr>
    </w:p>
    <w:p w14:paraId="337EA3DE">
      <w:pPr>
        <w:pStyle w:val="39"/>
        <w:spacing w:afterLines="0" w:line="440" w:lineRule="exact"/>
        <w:ind w:firstLine="0" w:firstLineChars="0"/>
        <w:rPr>
          <w:rFonts w:hint="eastAsia" w:ascii="仿宋" w:hAnsi="仿宋" w:eastAsia="仿宋" w:cs="仿宋"/>
          <w:color w:val="auto"/>
          <w:sz w:val="28"/>
          <w:szCs w:val="28"/>
          <w:highlight w:val="none"/>
        </w:rPr>
      </w:pPr>
    </w:p>
    <w:p w14:paraId="0A40AC24">
      <w:pPr>
        <w:pStyle w:val="39"/>
        <w:spacing w:afterLines="0" w:line="440" w:lineRule="exact"/>
        <w:ind w:firstLine="0" w:firstLineChars="0"/>
        <w:rPr>
          <w:rFonts w:hint="eastAsia" w:ascii="仿宋" w:hAnsi="仿宋" w:eastAsia="仿宋" w:cs="仿宋"/>
          <w:color w:val="auto"/>
          <w:sz w:val="28"/>
          <w:szCs w:val="28"/>
          <w:highlight w:val="none"/>
        </w:rPr>
      </w:pPr>
    </w:p>
    <w:p w14:paraId="3DB843F6">
      <w:pPr>
        <w:pStyle w:val="39"/>
        <w:spacing w:afterLines="0" w:line="440" w:lineRule="exact"/>
        <w:ind w:firstLine="0" w:firstLineChars="0"/>
        <w:rPr>
          <w:rFonts w:hint="eastAsia" w:ascii="仿宋" w:hAnsi="仿宋" w:eastAsia="仿宋" w:cs="仿宋"/>
          <w:color w:val="auto"/>
          <w:sz w:val="28"/>
          <w:szCs w:val="28"/>
          <w:highlight w:val="none"/>
        </w:rPr>
      </w:pPr>
    </w:p>
    <w:p w14:paraId="20FAF38E">
      <w:pPr>
        <w:pStyle w:val="39"/>
        <w:spacing w:afterLines="0" w:line="440" w:lineRule="exact"/>
        <w:ind w:firstLine="0" w:firstLineChars="0"/>
        <w:rPr>
          <w:rFonts w:hint="eastAsia" w:ascii="仿宋" w:hAnsi="仿宋" w:eastAsia="仿宋" w:cs="仿宋"/>
          <w:color w:val="auto"/>
          <w:sz w:val="28"/>
          <w:szCs w:val="28"/>
          <w:highlight w:val="none"/>
        </w:rPr>
      </w:pPr>
    </w:p>
    <w:p w14:paraId="6EF9009F">
      <w:pPr>
        <w:pStyle w:val="39"/>
        <w:spacing w:afterLines="0" w:line="440" w:lineRule="exact"/>
        <w:ind w:firstLine="0" w:firstLineChars="0"/>
        <w:rPr>
          <w:rFonts w:hint="eastAsia" w:ascii="仿宋" w:hAnsi="仿宋" w:eastAsia="仿宋" w:cs="仿宋"/>
          <w:color w:val="auto"/>
          <w:sz w:val="28"/>
          <w:szCs w:val="28"/>
          <w:highlight w:val="none"/>
        </w:rPr>
      </w:pPr>
    </w:p>
    <w:p w14:paraId="6A3D38B7">
      <w:pPr>
        <w:pStyle w:val="39"/>
        <w:spacing w:afterLines="0" w:line="440" w:lineRule="exact"/>
        <w:ind w:firstLine="0" w:firstLineChars="0"/>
        <w:rPr>
          <w:rFonts w:hint="eastAsia" w:ascii="仿宋" w:hAnsi="仿宋" w:eastAsia="仿宋" w:cs="仿宋"/>
          <w:color w:val="auto"/>
          <w:sz w:val="28"/>
          <w:szCs w:val="28"/>
          <w:highlight w:val="none"/>
        </w:rPr>
      </w:pPr>
    </w:p>
    <w:p w14:paraId="771BA8E8">
      <w:pPr>
        <w:pStyle w:val="39"/>
        <w:spacing w:afterLines="0" w:line="440" w:lineRule="exact"/>
        <w:ind w:firstLine="0" w:firstLineChars="0"/>
        <w:rPr>
          <w:rFonts w:hint="eastAsia" w:ascii="仿宋" w:hAnsi="仿宋" w:eastAsia="仿宋" w:cs="仿宋"/>
          <w:color w:val="auto"/>
          <w:sz w:val="28"/>
          <w:szCs w:val="28"/>
          <w:highlight w:val="none"/>
        </w:rPr>
      </w:pPr>
    </w:p>
    <w:p w14:paraId="05EB13E3">
      <w:pPr>
        <w:wordWrap w:val="0"/>
        <w:adjustRightInd w:val="0"/>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sz w:val="30"/>
          <w:szCs w:val="30"/>
          <w:highlight w:val="none"/>
        </w:rPr>
        <w:br w:type="page"/>
      </w:r>
    </w:p>
    <w:p w14:paraId="3D73B8F9">
      <w:pPr>
        <w:snapToGrid w:val="0"/>
        <w:spacing w:beforeLines="50" w:after="50"/>
        <w:jc w:val="lef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附件9：</w:t>
      </w:r>
      <w:r>
        <w:rPr>
          <w:rFonts w:hint="eastAsia" w:ascii="仿宋" w:hAnsi="仿宋" w:eastAsia="仿宋" w:cs="仿宋"/>
          <w:b/>
          <w:color w:val="auto"/>
          <w:sz w:val="30"/>
          <w:szCs w:val="30"/>
          <w:highlight w:val="none"/>
        </w:rPr>
        <w:t>商务和技术文件封面</w:t>
      </w:r>
    </w:p>
    <w:p w14:paraId="049129C0">
      <w:pPr>
        <w:snapToGrid w:val="0"/>
        <w:spacing w:beforeLines="50" w:after="50"/>
        <w:jc w:val="center"/>
        <w:rPr>
          <w:rFonts w:hint="eastAsia" w:ascii="仿宋" w:hAnsi="仿宋" w:eastAsia="仿宋" w:cs="仿宋"/>
          <w:b/>
          <w:color w:val="auto"/>
          <w:sz w:val="30"/>
          <w:szCs w:val="30"/>
          <w:highlight w:val="none"/>
        </w:rPr>
      </w:pPr>
    </w:p>
    <w:p w14:paraId="4E600784">
      <w:pPr>
        <w:snapToGrid w:val="0"/>
        <w:spacing w:beforeLines="50" w:after="50"/>
        <w:jc w:val="right"/>
        <w:rPr>
          <w:rFonts w:hint="eastAsia" w:ascii="仿宋" w:hAnsi="仿宋" w:eastAsia="仿宋" w:cs="仿宋"/>
          <w:bCs/>
          <w:color w:val="auto"/>
          <w:sz w:val="30"/>
          <w:szCs w:val="30"/>
          <w:highlight w:val="none"/>
        </w:rPr>
      </w:pPr>
    </w:p>
    <w:p w14:paraId="7CD9DA47">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p>
    <w:p w14:paraId="247CA00A">
      <w:pPr>
        <w:spacing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p>
    <w:p w14:paraId="3BB95F0F">
      <w:pPr>
        <w:spacing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p>
    <w:p w14:paraId="6337C9AE">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商</w:t>
      </w:r>
    </w:p>
    <w:p w14:paraId="04736B67">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务</w:t>
      </w:r>
    </w:p>
    <w:p w14:paraId="1525CC53">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和</w:t>
      </w:r>
    </w:p>
    <w:p w14:paraId="7E9B9411">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技</w:t>
      </w:r>
    </w:p>
    <w:p w14:paraId="57C30BE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术</w:t>
      </w:r>
    </w:p>
    <w:p w14:paraId="6B8F6FE8">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5B48CB8A">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6A1BAAD2">
      <w:pPr>
        <w:spacing w:line="500" w:lineRule="exact"/>
        <w:ind w:right="7"/>
        <w:jc w:val="center"/>
        <w:rPr>
          <w:rFonts w:hint="eastAsia" w:ascii="仿宋" w:hAnsi="仿宋" w:eastAsia="仿宋" w:cs="仿宋"/>
          <w:color w:val="auto"/>
          <w:sz w:val="36"/>
          <w:szCs w:val="36"/>
          <w:highlight w:val="none"/>
        </w:rPr>
      </w:pPr>
    </w:p>
    <w:p w14:paraId="76962ABF">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供应商名称（盖章）：</w:t>
      </w:r>
    </w:p>
    <w:p w14:paraId="5AB1D7D9">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00A7FC93">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日期：</w:t>
      </w:r>
    </w:p>
    <w:p w14:paraId="73D67B4A">
      <w:pPr>
        <w:snapToGrid w:val="0"/>
        <w:spacing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附件10：商务和技术文件目录</w:t>
      </w:r>
    </w:p>
    <w:p w14:paraId="5E4D51AE">
      <w:pPr>
        <w:snapToGrid w:val="0"/>
        <w:spacing w:beforeLines="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目 录</w:t>
      </w:r>
    </w:p>
    <w:p w14:paraId="6A7618FD">
      <w:pPr>
        <w:pStyle w:val="44"/>
        <w:spacing w:line="360" w:lineRule="auto"/>
        <w:ind w:firstLine="0" w:firstLineChars="0"/>
        <w:jc w:val="left"/>
        <w:rPr>
          <w:rFonts w:hint="eastAsia" w:ascii="仿宋" w:hAnsi="仿宋" w:eastAsia="仿宋" w:cs="仿宋"/>
          <w:color w:val="auto"/>
          <w:highlight w:val="none"/>
        </w:rPr>
      </w:pPr>
      <w:bookmarkStart w:id="41" w:name="_Toc64369789"/>
      <w:r>
        <w:rPr>
          <w:rFonts w:hint="eastAsia" w:ascii="仿宋" w:hAnsi="仿宋" w:eastAsia="仿宋" w:cs="仿宋"/>
          <w:color w:val="auto"/>
          <w:highlight w:val="none"/>
        </w:rPr>
        <w:t>1.项目明细清单……………………………………………………</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41"/>
    </w:p>
    <w:p w14:paraId="7AD22187">
      <w:pPr>
        <w:pStyle w:val="44"/>
        <w:spacing w:line="360" w:lineRule="auto"/>
        <w:ind w:firstLine="0" w:firstLineChars="0"/>
        <w:jc w:val="left"/>
        <w:rPr>
          <w:rFonts w:hint="eastAsia" w:ascii="仿宋" w:hAnsi="仿宋" w:eastAsia="仿宋" w:cs="仿宋"/>
          <w:color w:val="auto"/>
          <w:highlight w:val="none"/>
        </w:rPr>
      </w:pPr>
      <w:bookmarkStart w:id="42" w:name="_Toc64369790"/>
      <w:r>
        <w:rPr>
          <w:rFonts w:hint="eastAsia" w:ascii="仿宋" w:hAnsi="仿宋" w:eastAsia="仿宋" w:cs="仿宋"/>
          <w:color w:val="auto"/>
          <w:highlight w:val="none"/>
        </w:rPr>
        <w:t>2.技术响应表…………………………………………………………………（页码）</w:t>
      </w:r>
      <w:bookmarkEnd w:id="42"/>
    </w:p>
    <w:p w14:paraId="43FEF2A5">
      <w:pPr>
        <w:pStyle w:val="44"/>
        <w:spacing w:line="360" w:lineRule="auto"/>
        <w:ind w:firstLine="0" w:firstLineChars="0"/>
        <w:jc w:val="left"/>
        <w:rPr>
          <w:rFonts w:hint="eastAsia" w:ascii="仿宋" w:hAnsi="仿宋" w:eastAsia="仿宋" w:cs="仿宋"/>
          <w:color w:val="auto"/>
          <w:highlight w:val="none"/>
        </w:rPr>
      </w:pPr>
      <w:bookmarkStart w:id="43" w:name="_Toc64369791"/>
      <w:r>
        <w:rPr>
          <w:rFonts w:hint="eastAsia" w:ascii="仿宋" w:hAnsi="仿宋" w:eastAsia="仿宋" w:cs="仿宋"/>
          <w:color w:val="auto"/>
          <w:highlight w:val="none"/>
        </w:rPr>
        <w:t>3.商务响应表…………………………………………………………………（页码）</w:t>
      </w:r>
      <w:bookmarkEnd w:id="43"/>
    </w:p>
    <w:p w14:paraId="10092FAB">
      <w:pPr>
        <w:pStyle w:val="44"/>
        <w:spacing w:line="360" w:lineRule="auto"/>
        <w:ind w:firstLine="0" w:firstLineChars="0"/>
        <w:jc w:val="left"/>
        <w:rPr>
          <w:rFonts w:hint="eastAsia" w:ascii="仿宋" w:hAnsi="仿宋" w:eastAsia="仿宋" w:cs="仿宋"/>
          <w:color w:val="auto"/>
          <w:highlight w:val="none"/>
        </w:rPr>
      </w:pPr>
      <w:bookmarkStart w:id="44" w:name="_Toc64369792"/>
      <w:r>
        <w:rPr>
          <w:rFonts w:hint="eastAsia" w:ascii="仿宋" w:hAnsi="仿宋" w:eastAsia="仿宋" w:cs="仿宋"/>
          <w:color w:val="auto"/>
          <w:highlight w:val="none"/>
        </w:rPr>
        <w:t>4.项目实施方案……………………………………………………</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44"/>
    </w:p>
    <w:p w14:paraId="024B8E9E">
      <w:pPr>
        <w:pStyle w:val="44"/>
        <w:spacing w:line="360" w:lineRule="auto"/>
        <w:ind w:firstLine="0" w:firstLineChars="0"/>
        <w:jc w:val="left"/>
        <w:rPr>
          <w:rFonts w:hint="eastAsia" w:ascii="仿宋" w:hAnsi="仿宋" w:eastAsia="仿宋" w:cs="仿宋"/>
          <w:color w:val="auto"/>
          <w:highlight w:val="none"/>
        </w:rPr>
      </w:pPr>
      <w:bookmarkStart w:id="45" w:name="_Toc64369793"/>
      <w:r>
        <w:rPr>
          <w:rFonts w:hint="eastAsia" w:ascii="仿宋" w:hAnsi="仿宋" w:eastAsia="仿宋" w:cs="仿宋"/>
          <w:color w:val="auto"/>
          <w:highlight w:val="none"/>
        </w:rPr>
        <w:t>5.项目实施人员清单………………………………………………</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45"/>
    </w:p>
    <w:p w14:paraId="51DB4B48">
      <w:pPr>
        <w:pStyle w:val="44"/>
        <w:spacing w:line="360" w:lineRule="auto"/>
        <w:ind w:firstLine="0" w:firstLineChars="0"/>
        <w:jc w:val="left"/>
        <w:rPr>
          <w:rFonts w:hint="eastAsia" w:ascii="仿宋" w:hAnsi="仿宋" w:eastAsia="仿宋" w:cs="仿宋"/>
          <w:color w:val="auto"/>
          <w:highlight w:val="none"/>
        </w:rPr>
      </w:pPr>
      <w:bookmarkStart w:id="46" w:name="_Toc64369796"/>
      <w:r>
        <w:rPr>
          <w:rFonts w:hint="eastAsia" w:ascii="仿宋" w:hAnsi="仿宋" w:eastAsia="仿宋" w:cs="仿宋"/>
          <w:color w:val="auto"/>
          <w:highlight w:val="none"/>
        </w:rPr>
        <w:t>6.类似业绩一览表（附业绩证明材料）</w:t>
      </w:r>
      <w:r>
        <w:rPr>
          <w:rFonts w:hint="eastAsia" w:ascii="仿宋" w:hAnsi="仿宋" w:eastAsia="仿宋" w:cs="仿宋"/>
          <w:color w:val="auto"/>
          <w:szCs w:val="20"/>
          <w:highlight w:val="none"/>
        </w:rPr>
        <w:t>（如有）</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46"/>
    </w:p>
    <w:p w14:paraId="63D15B66">
      <w:pPr>
        <w:pStyle w:val="42"/>
        <w:numPr>
          <w:ilvl w:val="0"/>
          <w:numId w:val="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7.享受政府采购政策性规定情况表（如有）………………………………（页码）</w:t>
      </w:r>
    </w:p>
    <w:p w14:paraId="4BCDF141">
      <w:pPr>
        <w:pStyle w:val="44"/>
        <w:spacing w:line="360" w:lineRule="auto"/>
        <w:ind w:firstLine="0" w:firstLineChars="0"/>
        <w:jc w:val="left"/>
        <w:rPr>
          <w:rFonts w:hint="eastAsia" w:ascii="仿宋" w:hAnsi="仿宋" w:eastAsia="仿宋" w:cs="仿宋"/>
          <w:color w:val="auto"/>
          <w:highlight w:val="none"/>
        </w:rPr>
      </w:pPr>
      <w:bookmarkStart w:id="47" w:name="_Toc64369797"/>
      <w:r>
        <w:rPr>
          <w:rFonts w:hint="eastAsia" w:ascii="仿宋" w:hAnsi="仿宋" w:eastAsia="仿宋" w:cs="仿宋"/>
          <w:color w:val="auto"/>
          <w:highlight w:val="none"/>
          <w:lang w:val="zh-CN"/>
        </w:rPr>
        <w:t>8.优惠条件及其他额外承诺………………………………</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47"/>
    </w:p>
    <w:p w14:paraId="4346D773">
      <w:pPr>
        <w:pStyle w:val="44"/>
        <w:spacing w:line="360" w:lineRule="auto"/>
        <w:ind w:firstLine="0" w:firstLineChars="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9.</w:t>
      </w:r>
      <w:r>
        <w:rPr>
          <w:rFonts w:hint="eastAsia" w:ascii="仿宋" w:hAnsi="仿宋" w:eastAsia="仿宋" w:cs="仿宋"/>
          <w:bCs/>
          <w:color w:val="auto"/>
          <w:highlight w:val="none"/>
          <w:lang w:val="zh-CN"/>
        </w:rPr>
        <w:t>评分细则中要求提供的其他资料</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34733168">
      <w:pPr>
        <w:pStyle w:val="44"/>
        <w:spacing w:line="360" w:lineRule="auto"/>
        <w:ind w:firstLine="0" w:firstLineChars="0"/>
        <w:jc w:val="left"/>
        <w:rPr>
          <w:rFonts w:hint="eastAsia" w:ascii="仿宋" w:hAnsi="仿宋" w:eastAsia="仿宋" w:cs="仿宋"/>
          <w:color w:val="auto"/>
          <w:highlight w:val="none"/>
        </w:rPr>
      </w:pPr>
      <w:bookmarkStart w:id="48" w:name="_Toc64369798"/>
      <w:r>
        <w:rPr>
          <w:rFonts w:hint="eastAsia" w:ascii="仿宋" w:hAnsi="仿宋" w:eastAsia="仿宋" w:cs="仿宋"/>
          <w:color w:val="auto"/>
          <w:highlight w:val="none"/>
          <w:lang w:val="zh-CN"/>
        </w:rPr>
        <w:t>10.其他商务技术（资信）文件或说明……………………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48"/>
    </w:p>
    <w:p w14:paraId="2225CFD4">
      <w:pPr>
        <w:pStyle w:val="42"/>
        <w:numPr>
          <w:ilvl w:val="0"/>
          <w:numId w:val="0"/>
        </w:numPr>
        <w:rPr>
          <w:rFonts w:hint="eastAsia" w:ascii="仿宋" w:hAnsi="仿宋" w:eastAsia="仿宋" w:cs="仿宋"/>
          <w:color w:val="auto"/>
          <w:highlight w:val="none"/>
        </w:rPr>
      </w:pPr>
    </w:p>
    <w:p w14:paraId="37207973">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注：以上文件投标供应商可以在本征集文件提供的格式范本基础上适当微调，使得内容更加完备。制作加密电子响应文件时做好关联点设置。</w:t>
      </w:r>
    </w:p>
    <w:p w14:paraId="07B3AAF7">
      <w:pPr>
        <w:rPr>
          <w:rFonts w:hint="eastAsia" w:ascii="仿宋" w:hAnsi="仿宋" w:eastAsia="仿宋" w:cs="仿宋"/>
          <w:color w:val="auto"/>
          <w:highlight w:val="none"/>
        </w:rPr>
      </w:pPr>
    </w:p>
    <w:p w14:paraId="438739BD">
      <w:pPr>
        <w:rPr>
          <w:rFonts w:hint="eastAsia" w:ascii="仿宋" w:hAnsi="仿宋" w:eastAsia="仿宋" w:cs="仿宋"/>
          <w:color w:val="auto"/>
          <w:highlight w:val="none"/>
        </w:rPr>
      </w:pPr>
    </w:p>
    <w:p w14:paraId="4AA77311">
      <w:pPr>
        <w:rPr>
          <w:rFonts w:hint="eastAsia" w:ascii="仿宋" w:hAnsi="仿宋" w:eastAsia="仿宋" w:cs="仿宋"/>
          <w:color w:val="auto"/>
          <w:highlight w:val="none"/>
        </w:rPr>
      </w:pPr>
    </w:p>
    <w:p w14:paraId="3660EADB">
      <w:pPr>
        <w:rPr>
          <w:rFonts w:hint="eastAsia" w:ascii="仿宋" w:hAnsi="仿宋" w:eastAsia="仿宋" w:cs="仿宋"/>
          <w:color w:val="auto"/>
          <w:highlight w:val="none"/>
        </w:rPr>
      </w:pPr>
    </w:p>
    <w:p w14:paraId="755CDECA">
      <w:pPr>
        <w:rPr>
          <w:rFonts w:hint="eastAsia" w:ascii="仿宋" w:hAnsi="仿宋" w:eastAsia="仿宋" w:cs="仿宋"/>
          <w:color w:val="auto"/>
          <w:highlight w:val="none"/>
        </w:rPr>
      </w:pPr>
    </w:p>
    <w:p w14:paraId="309C07F7">
      <w:pPr>
        <w:rPr>
          <w:rFonts w:hint="eastAsia" w:ascii="仿宋" w:hAnsi="仿宋" w:eastAsia="仿宋" w:cs="仿宋"/>
          <w:color w:val="auto"/>
          <w:highlight w:val="none"/>
        </w:rPr>
      </w:pPr>
    </w:p>
    <w:p w14:paraId="55C80E05">
      <w:pPr>
        <w:rPr>
          <w:rFonts w:hint="eastAsia" w:ascii="仿宋" w:hAnsi="仿宋" w:eastAsia="仿宋" w:cs="仿宋"/>
          <w:color w:val="auto"/>
          <w:highlight w:val="none"/>
        </w:rPr>
      </w:pPr>
    </w:p>
    <w:p w14:paraId="74931EFD">
      <w:pPr>
        <w:rPr>
          <w:rFonts w:hint="eastAsia" w:ascii="仿宋" w:hAnsi="仿宋" w:eastAsia="仿宋" w:cs="仿宋"/>
          <w:color w:val="auto"/>
          <w:highlight w:val="none"/>
        </w:rPr>
      </w:pPr>
    </w:p>
    <w:p w14:paraId="23065F1B">
      <w:pPr>
        <w:rPr>
          <w:rFonts w:hint="eastAsia" w:ascii="仿宋" w:hAnsi="仿宋" w:eastAsia="仿宋" w:cs="仿宋"/>
          <w:color w:val="auto"/>
          <w:highlight w:val="none"/>
        </w:rPr>
      </w:pPr>
    </w:p>
    <w:p w14:paraId="06B42FE9">
      <w:pPr>
        <w:rPr>
          <w:rFonts w:hint="eastAsia" w:ascii="仿宋" w:hAnsi="仿宋" w:eastAsia="仿宋" w:cs="仿宋"/>
          <w:color w:val="auto"/>
          <w:highlight w:val="none"/>
        </w:rPr>
      </w:pPr>
    </w:p>
    <w:p w14:paraId="5C1DF843">
      <w:pPr>
        <w:rPr>
          <w:rFonts w:hint="eastAsia" w:ascii="仿宋" w:hAnsi="仿宋" w:eastAsia="仿宋" w:cs="仿宋"/>
          <w:color w:val="auto"/>
          <w:highlight w:val="none"/>
        </w:rPr>
      </w:pPr>
    </w:p>
    <w:p w14:paraId="182DD5C3">
      <w:pPr>
        <w:rPr>
          <w:rFonts w:hint="eastAsia" w:ascii="仿宋" w:hAnsi="仿宋" w:eastAsia="仿宋" w:cs="仿宋"/>
          <w:color w:val="auto"/>
          <w:highlight w:val="none"/>
        </w:rPr>
      </w:pPr>
    </w:p>
    <w:p w14:paraId="00D2AEF5">
      <w:pPr>
        <w:rPr>
          <w:rFonts w:hint="eastAsia" w:ascii="仿宋" w:hAnsi="仿宋" w:eastAsia="仿宋" w:cs="仿宋"/>
          <w:color w:val="auto"/>
          <w:highlight w:val="none"/>
        </w:rPr>
      </w:pPr>
    </w:p>
    <w:p w14:paraId="18C8FB4B">
      <w:pPr>
        <w:rPr>
          <w:rFonts w:hint="eastAsia" w:ascii="仿宋" w:hAnsi="仿宋" w:eastAsia="仿宋" w:cs="仿宋"/>
          <w:color w:val="auto"/>
          <w:highlight w:val="none"/>
        </w:rPr>
      </w:pPr>
    </w:p>
    <w:p w14:paraId="68F984A2">
      <w:pPr>
        <w:rPr>
          <w:rFonts w:hint="eastAsia" w:ascii="仿宋" w:hAnsi="仿宋" w:eastAsia="仿宋" w:cs="仿宋"/>
          <w:color w:val="auto"/>
          <w:highlight w:val="none"/>
        </w:rPr>
      </w:pPr>
    </w:p>
    <w:p w14:paraId="347E8468">
      <w:pPr>
        <w:rPr>
          <w:rFonts w:hint="eastAsia" w:ascii="仿宋" w:hAnsi="仿宋" w:eastAsia="仿宋" w:cs="仿宋"/>
          <w:color w:val="auto"/>
          <w:highlight w:val="none"/>
        </w:rPr>
      </w:pPr>
    </w:p>
    <w:p w14:paraId="33F83C4F">
      <w:pPr>
        <w:rPr>
          <w:rFonts w:hint="eastAsia" w:ascii="仿宋" w:hAnsi="仿宋" w:eastAsia="仿宋" w:cs="仿宋"/>
          <w:color w:val="auto"/>
          <w:highlight w:val="none"/>
        </w:rPr>
      </w:pPr>
    </w:p>
    <w:p w14:paraId="500D6715">
      <w:pPr>
        <w:rPr>
          <w:rFonts w:hint="eastAsia" w:ascii="仿宋" w:hAnsi="仿宋" w:eastAsia="仿宋" w:cs="仿宋"/>
          <w:color w:val="auto"/>
          <w:highlight w:val="none"/>
        </w:rPr>
      </w:pPr>
    </w:p>
    <w:p w14:paraId="5D832998">
      <w:pPr>
        <w:rPr>
          <w:rFonts w:hint="eastAsia" w:ascii="仿宋" w:hAnsi="仿宋" w:eastAsia="仿宋" w:cs="仿宋"/>
          <w:color w:val="auto"/>
          <w:highlight w:val="none"/>
        </w:rPr>
      </w:pPr>
    </w:p>
    <w:p w14:paraId="1D6EFA76">
      <w:pPr>
        <w:rPr>
          <w:rFonts w:hint="eastAsia" w:ascii="仿宋" w:hAnsi="仿宋" w:eastAsia="仿宋" w:cs="仿宋"/>
          <w:color w:val="auto"/>
          <w:highlight w:val="none"/>
        </w:rPr>
      </w:pPr>
    </w:p>
    <w:p w14:paraId="6730AF15">
      <w:pPr>
        <w:rPr>
          <w:rFonts w:hint="eastAsia" w:ascii="仿宋" w:hAnsi="仿宋" w:eastAsia="仿宋" w:cs="仿宋"/>
          <w:color w:val="auto"/>
          <w:highlight w:val="none"/>
        </w:rPr>
      </w:pPr>
    </w:p>
    <w:p w14:paraId="5E0523C7">
      <w:pPr>
        <w:rPr>
          <w:rFonts w:hint="eastAsia" w:ascii="仿宋" w:hAnsi="仿宋" w:eastAsia="仿宋" w:cs="仿宋"/>
          <w:color w:val="auto"/>
          <w:highlight w:val="none"/>
        </w:rPr>
      </w:pPr>
    </w:p>
    <w:p w14:paraId="66ABCFDC">
      <w:pPr>
        <w:rPr>
          <w:rFonts w:hint="eastAsia" w:ascii="仿宋" w:hAnsi="仿宋" w:eastAsia="仿宋" w:cs="仿宋"/>
          <w:color w:val="auto"/>
          <w:highlight w:val="none"/>
        </w:rPr>
      </w:pPr>
    </w:p>
    <w:p w14:paraId="06446A92">
      <w:pPr>
        <w:rPr>
          <w:rFonts w:hint="eastAsia" w:ascii="仿宋" w:hAnsi="仿宋" w:eastAsia="仿宋" w:cs="仿宋"/>
          <w:color w:val="auto"/>
          <w:highlight w:val="none"/>
        </w:rPr>
      </w:pPr>
    </w:p>
    <w:p w14:paraId="1ED66DCF">
      <w:pPr>
        <w:pStyle w:val="39"/>
        <w:spacing w:afterLines="0"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附件11：项目明细清单</w:t>
      </w:r>
    </w:p>
    <w:p w14:paraId="6A14CF3A">
      <w:pPr>
        <w:snapToGrid w:val="0"/>
        <w:spacing w:before="50"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项目明细清单</w:t>
      </w:r>
    </w:p>
    <w:p w14:paraId="6CABBD5B">
      <w:pPr>
        <w:snapToGrid w:val="0"/>
        <w:spacing w:before="50" w:afterLines="50"/>
        <w:jc w:val="center"/>
        <w:rPr>
          <w:rFonts w:hint="eastAsia" w:ascii="仿宋" w:hAnsi="仿宋" w:eastAsia="仿宋" w:cs="仿宋"/>
          <w:b/>
          <w:color w:val="auto"/>
          <w:spacing w:val="40"/>
          <w:kern w:val="0"/>
          <w:sz w:val="36"/>
          <w:szCs w:val="36"/>
          <w:highlight w:val="none"/>
        </w:rPr>
      </w:pPr>
    </w:p>
    <w:p w14:paraId="77DBBBD0">
      <w:pPr>
        <w:pStyle w:val="9"/>
        <w:snapToGrid w:val="0"/>
        <w:rPr>
          <w:rFonts w:hint="eastAsia" w:ascii="仿宋" w:hAnsi="仿宋" w:eastAsia="仿宋" w:cs="仿宋"/>
          <w:color w:val="auto"/>
          <w:kern w:val="0"/>
          <w:sz w:val="30"/>
          <w:szCs w:val="30"/>
          <w:highlight w:val="none"/>
          <w:u w:val="single"/>
        </w:rPr>
      </w:pPr>
      <w:r>
        <w:rPr>
          <w:rFonts w:hint="eastAsia" w:ascii="仿宋" w:hAnsi="仿宋" w:eastAsia="仿宋" w:cs="仿宋"/>
          <w:color w:val="auto"/>
          <w:sz w:val="30"/>
          <w:szCs w:val="30"/>
          <w:highlight w:val="none"/>
        </w:rPr>
        <w:t>供应商全称（公章）：           标项：</w:t>
      </w:r>
    </w:p>
    <w:p w14:paraId="173E53E0">
      <w:pPr>
        <w:snapToGrid w:val="0"/>
        <w:spacing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服务部分</w:t>
      </w:r>
    </w:p>
    <w:tbl>
      <w:tblPr>
        <w:tblStyle w:val="31"/>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7352E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F631627">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28C868E7">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5A9E6FCB">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服务人员</w:t>
            </w:r>
          </w:p>
          <w:p w14:paraId="72E8FFD0">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1F9BB78E">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服务内容</w:t>
            </w:r>
          </w:p>
        </w:tc>
      </w:tr>
      <w:tr w14:paraId="3B6E3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53B406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4E6C7E8E">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FD2E680">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402E5DDD">
            <w:pPr>
              <w:snapToGrid w:val="0"/>
              <w:spacing w:before="50" w:after="50"/>
              <w:jc w:val="center"/>
              <w:rPr>
                <w:rFonts w:hint="eastAsia" w:ascii="仿宋" w:hAnsi="仿宋" w:eastAsia="仿宋" w:cs="仿宋"/>
                <w:color w:val="auto"/>
                <w:sz w:val="30"/>
                <w:szCs w:val="30"/>
                <w:highlight w:val="none"/>
              </w:rPr>
            </w:pPr>
          </w:p>
        </w:tc>
      </w:tr>
      <w:tr w14:paraId="6C854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11F8C08">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2111EF8D">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E30C964">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E3055C9">
            <w:pPr>
              <w:snapToGrid w:val="0"/>
              <w:spacing w:before="50" w:after="50"/>
              <w:jc w:val="center"/>
              <w:rPr>
                <w:rFonts w:hint="eastAsia" w:ascii="仿宋" w:hAnsi="仿宋" w:eastAsia="仿宋" w:cs="仿宋"/>
                <w:color w:val="auto"/>
                <w:sz w:val="30"/>
                <w:szCs w:val="30"/>
                <w:highlight w:val="none"/>
              </w:rPr>
            </w:pPr>
          </w:p>
        </w:tc>
      </w:tr>
      <w:tr w14:paraId="16219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AAB09D9">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4B3B5B7B">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253A9D7">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1562D33">
            <w:pPr>
              <w:snapToGrid w:val="0"/>
              <w:spacing w:before="50" w:after="50"/>
              <w:jc w:val="center"/>
              <w:rPr>
                <w:rFonts w:hint="eastAsia" w:ascii="仿宋" w:hAnsi="仿宋" w:eastAsia="仿宋" w:cs="仿宋"/>
                <w:color w:val="auto"/>
                <w:sz w:val="30"/>
                <w:szCs w:val="30"/>
                <w:highlight w:val="none"/>
              </w:rPr>
            </w:pPr>
          </w:p>
        </w:tc>
      </w:tr>
    </w:tbl>
    <w:p w14:paraId="74BC0CFE">
      <w:pPr>
        <w:snapToGrid w:val="0"/>
        <w:spacing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注：在填写时，如上表不适合本项目的实际情况，可在确保内容完整的情况下，对上表进行细化。</w:t>
      </w:r>
    </w:p>
    <w:p w14:paraId="71F9C5A8">
      <w:pPr>
        <w:snapToGrid w:val="0"/>
        <w:spacing w:beforeLines="50"/>
        <w:rPr>
          <w:rFonts w:hint="eastAsia" w:ascii="仿宋" w:hAnsi="仿宋" w:eastAsia="仿宋" w:cs="仿宋"/>
          <w:color w:val="auto"/>
          <w:sz w:val="30"/>
          <w:szCs w:val="30"/>
          <w:highlight w:val="none"/>
        </w:rPr>
      </w:pPr>
    </w:p>
    <w:p w14:paraId="25F4C5D9">
      <w:pPr>
        <w:snapToGrid w:val="0"/>
        <w:spacing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法定代表人或其授权代表（签字或盖章）：          </w:t>
      </w:r>
    </w:p>
    <w:p w14:paraId="2B06A382">
      <w:pPr>
        <w:snapToGrid w:val="0"/>
        <w:spacing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日期： </w:t>
      </w:r>
    </w:p>
    <w:p w14:paraId="1DD82D08">
      <w:pPr>
        <w:snapToGrid w:val="0"/>
        <w:spacing w:before="50" w:after="50"/>
        <w:rPr>
          <w:rFonts w:hint="eastAsia" w:ascii="仿宋" w:hAnsi="仿宋" w:eastAsia="仿宋" w:cs="仿宋"/>
          <w:color w:val="auto"/>
          <w:spacing w:val="20"/>
          <w:sz w:val="30"/>
          <w:szCs w:val="30"/>
          <w:highlight w:val="none"/>
        </w:rPr>
      </w:pPr>
    </w:p>
    <w:p w14:paraId="6AFF6C1A">
      <w:pPr>
        <w:pStyle w:val="3"/>
        <w:rPr>
          <w:rFonts w:hint="eastAsia" w:ascii="仿宋" w:hAnsi="仿宋" w:eastAsia="仿宋" w:cs="仿宋"/>
          <w:color w:val="auto"/>
          <w:spacing w:val="20"/>
          <w:sz w:val="30"/>
          <w:szCs w:val="30"/>
          <w:highlight w:val="none"/>
        </w:rPr>
      </w:pPr>
    </w:p>
    <w:p w14:paraId="5ECA1091">
      <w:pPr>
        <w:rPr>
          <w:rFonts w:hint="eastAsia" w:ascii="仿宋" w:hAnsi="仿宋" w:eastAsia="仿宋" w:cs="仿宋"/>
          <w:color w:val="auto"/>
          <w:spacing w:val="20"/>
          <w:sz w:val="30"/>
          <w:szCs w:val="30"/>
          <w:highlight w:val="none"/>
        </w:rPr>
      </w:pPr>
    </w:p>
    <w:p w14:paraId="777BB4AC">
      <w:pPr>
        <w:pStyle w:val="3"/>
        <w:rPr>
          <w:rFonts w:hint="eastAsia" w:ascii="仿宋" w:hAnsi="仿宋" w:eastAsia="仿宋" w:cs="仿宋"/>
          <w:color w:val="auto"/>
          <w:spacing w:val="20"/>
          <w:sz w:val="30"/>
          <w:szCs w:val="30"/>
          <w:highlight w:val="none"/>
        </w:rPr>
      </w:pPr>
    </w:p>
    <w:p w14:paraId="1F59ABBB">
      <w:pPr>
        <w:rPr>
          <w:rFonts w:hint="eastAsia" w:ascii="仿宋" w:hAnsi="仿宋" w:eastAsia="仿宋" w:cs="仿宋"/>
          <w:color w:val="auto"/>
          <w:spacing w:val="20"/>
          <w:sz w:val="30"/>
          <w:szCs w:val="30"/>
          <w:highlight w:val="none"/>
        </w:rPr>
      </w:pPr>
    </w:p>
    <w:p w14:paraId="1926992A">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09D17564">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附件12：技术响应表</w:t>
      </w:r>
    </w:p>
    <w:p w14:paraId="69AAD2CF">
      <w:pPr>
        <w:snapToGrid w:val="0"/>
        <w:spacing w:before="50" w:after="50"/>
        <w:rPr>
          <w:rFonts w:hint="eastAsia" w:ascii="仿宋" w:hAnsi="仿宋" w:eastAsia="仿宋" w:cs="仿宋"/>
          <w:b/>
          <w:bCs/>
          <w:color w:val="auto"/>
          <w:sz w:val="30"/>
          <w:szCs w:val="30"/>
          <w:highlight w:val="none"/>
        </w:rPr>
      </w:pPr>
    </w:p>
    <w:p w14:paraId="1223170F">
      <w:pPr>
        <w:snapToGrid w:val="0"/>
        <w:spacing w:before="50"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技 术 响 应 表</w:t>
      </w:r>
    </w:p>
    <w:p w14:paraId="67E84602">
      <w:pPr>
        <w:snapToGrid w:val="0"/>
        <w:spacing w:before="50" w:afterLines="50"/>
        <w:jc w:val="center"/>
        <w:rPr>
          <w:rFonts w:hint="eastAsia" w:ascii="仿宋" w:hAnsi="仿宋" w:eastAsia="仿宋" w:cs="仿宋"/>
          <w:b/>
          <w:color w:val="auto"/>
          <w:spacing w:val="40"/>
          <w:kern w:val="0"/>
          <w:sz w:val="36"/>
          <w:szCs w:val="36"/>
          <w:highlight w:val="none"/>
        </w:rPr>
      </w:pPr>
    </w:p>
    <w:p w14:paraId="35D20294">
      <w:pPr>
        <w:pStyle w:val="9"/>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供应商全称（公章）：</w:t>
      </w:r>
    </w:p>
    <w:p w14:paraId="2851B068">
      <w:pPr>
        <w:pStyle w:val="9"/>
        <w:snapToGrid w:val="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标项：</w:t>
      </w:r>
    </w:p>
    <w:tbl>
      <w:tblPr>
        <w:tblStyle w:val="31"/>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14:paraId="6FC1C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5786A87E">
            <w:pPr>
              <w:snapToGrid w:val="0"/>
              <w:spacing w:before="50" w:after="50"/>
              <w:rPr>
                <w:rFonts w:hint="eastAsia" w:ascii="仿宋" w:hAnsi="仿宋" w:eastAsia="仿宋" w:cs="仿宋"/>
                <w:color w:val="auto"/>
                <w:spacing w:val="20"/>
                <w:sz w:val="24"/>
                <w:szCs w:val="24"/>
                <w:highlight w:val="none"/>
              </w:rPr>
            </w:pPr>
            <w:bookmarkStart w:id="49" w:name="_Toc64369807"/>
            <w:r>
              <w:rPr>
                <w:rFonts w:hint="eastAsia" w:ascii="仿宋" w:hAnsi="仿宋" w:eastAsia="仿宋" w:cs="仿宋"/>
                <w:color w:val="auto"/>
                <w:spacing w:val="20"/>
                <w:sz w:val="24"/>
                <w:szCs w:val="24"/>
                <w:highlight w:val="none"/>
              </w:rPr>
              <w:t>服务部分</w:t>
            </w:r>
            <w:bookmarkEnd w:id="49"/>
          </w:p>
        </w:tc>
      </w:tr>
      <w:tr w14:paraId="12C3A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465979C3">
            <w:pPr>
              <w:snapToGrid w:val="0"/>
              <w:spacing w:before="50" w:after="50"/>
              <w:jc w:val="center"/>
              <w:rPr>
                <w:rFonts w:hint="eastAsia" w:ascii="仿宋" w:hAnsi="仿宋" w:eastAsia="仿宋" w:cs="仿宋"/>
                <w:color w:val="auto"/>
                <w:spacing w:val="20"/>
                <w:sz w:val="24"/>
                <w:szCs w:val="24"/>
                <w:highlight w:val="none"/>
              </w:rPr>
            </w:pPr>
            <w:bookmarkStart w:id="50" w:name="_Toc64369800"/>
            <w:r>
              <w:rPr>
                <w:rFonts w:hint="eastAsia" w:ascii="仿宋" w:hAnsi="仿宋" w:eastAsia="仿宋" w:cs="仿宋"/>
                <w:color w:val="auto"/>
                <w:spacing w:val="20"/>
                <w:sz w:val="24"/>
                <w:szCs w:val="24"/>
                <w:highlight w:val="none"/>
              </w:rPr>
              <w:t>序号</w:t>
            </w:r>
            <w:bookmarkEnd w:id="50"/>
          </w:p>
        </w:tc>
        <w:tc>
          <w:tcPr>
            <w:tcW w:w="1861" w:type="dxa"/>
            <w:tcBorders>
              <w:top w:val="single" w:color="auto" w:sz="4" w:space="0"/>
              <w:left w:val="single" w:color="auto" w:sz="4" w:space="0"/>
              <w:bottom w:val="single" w:color="auto" w:sz="4" w:space="0"/>
              <w:right w:val="single" w:color="auto" w:sz="4" w:space="0"/>
            </w:tcBorders>
            <w:noWrap/>
            <w:vAlign w:val="center"/>
          </w:tcPr>
          <w:p w14:paraId="555F8F08">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5477A790">
            <w:pPr>
              <w:snapToGrid w:val="0"/>
              <w:spacing w:before="50" w:after="50"/>
              <w:jc w:val="center"/>
              <w:rPr>
                <w:rFonts w:hint="eastAsia" w:ascii="仿宋" w:hAnsi="仿宋" w:eastAsia="仿宋" w:cs="仿宋"/>
                <w:color w:val="auto"/>
                <w:spacing w:val="20"/>
                <w:sz w:val="24"/>
                <w:szCs w:val="24"/>
                <w:highlight w:val="none"/>
              </w:rPr>
            </w:pPr>
            <w:bookmarkStart w:id="51" w:name="_Toc64369801"/>
            <w:bookmarkStart w:id="52" w:name="_Toc64369802"/>
            <w:r>
              <w:rPr>
                <w:rFonts w:hint="eastAsia" w:ascii="仿宋" w:hAnsi="仿宋" w:eastAsia="仿宋" w:cs="仿宋"/>
                <w:color w:val="auto"/>
                <w:spacing w:val="20"/>
                <w:sz w:val="24"/>
                <w:szCs w:val="24"/>
                <w:highlight w:val="none"/>
              </w:rPr>
              <w:t>征集文件</w:t>
            </w:r>
          </w:p>
          <w:p w14:paraId="6219C386">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要求</w:t>
            </w:r>
            <w:bookmarkEnd w:id="51"/>
          </w:p>
        </w:tc>
        <w:tc>
          <w:tcPr>
            <w:tcW w:w="2105" w:type="dxa"/>
            <w:tcBorders>
              <w:top w:val="single" w:color="auto" w:sz="4" w:space="0"/>
              <w:left w:val="single" w:color="auto" w:sz="4" w:space="0"/>
              <w:bottom w:val="single" w:color="auto" w:sz="4" w:space="0"/>
              <w:right w:val="single" w:color="auto" w:sz="4" w:space="0"/>
            </w:tcBorders>
            <w:noWrap/>
            <w:vAlign w:val="center"/>
          </w:tcPr>
          <w:p w14:paraId="50571D1B">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响应文件</w:t>
            </w:r>
          </w:p>
          <w:p w14:paraId="21F3D0DB">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响应</w:t>
            </w:r>
            <w:bookmarkEnd w:id="52"/>
          </w:p>
        </w:tc>
        <w:tc>
          <w:tcPr>
            <w:tcW w:w="1396" w:type="dxa"/>
            <w:tcBorders>
              <w:top w:val="single" w:color="auto" w:sz="4" w:space="0"/>
              <w:left w:val="single" w:color="auto" w:sz="4" w:space="0"/>
              <w:bottom w:val="single" w:color="auto" w:sz="4" w:space="0"/>
              <w:right w:val="single" w:color="auto" w:sz="4" w:space="0"/>
            </w:tcBorders>
            <w:noWrap/>
            <w:vAlign w:val="center"/>
          </w:tcPr>
          <w:p w14:paraId="7F76C3CF">
            <w:pPr>
              <w:snapToGrid w:val="0"/>
              <w:spacing w:before="50" w:after="50"/>
              <w:jc w:val="center"/>
              <w:rPr>
                <w:rFonts w:hint="eastAsia" w:ascii="仿宋" w:hAnsi="仿宋" w:eastAsia="仿宋" w:cs="仿宋"/>
                <w:color w:val="auto"/>
                <w:spacing w:val="20"/>
                <w:sz w:val="24"/>
                <w:szCs w:val="24"/>
                <w:highlight w:val="none"/>
              </w:rPr>
            </w:pPr>
            <w:bookmarkStart w:id="53" w:name="_Toc64369803"/>
            <w:r>
              <w:rPr>
                <w:rFonts w:hint="eastAsia" w:ascii="仿宋" w:hAnsi="仿宋" w:eastAsia="仿宋" w:cs="仿宋"/>
                <w:color w:val="auto"/>
                <w:spacing w:val="20"/>
                <w:sz w:val="24"/>
                <w:szCs w:val="24"/>
                <w:highlight w:val="none"/>
              </w:rPr>
              <w:t>偏离</w:t>
            </w:r>
          </w:p>
          <w:p w14:paraId="30D41E96">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情况</w:t>
            </w:r>
            <w:bookmarkEnd w:id="53"/>
          </w:p>
        </w:tc>
      </w:tr>
      <w:tr w14:paraId="76DA4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65659807">
            <w:pPr>
              <w:snapToGrid w:val="0"/>
              <w:spacing w:before="50" w:after="50"/>
              <w:rPr>
                <w:rFonts w:hint="eastAsia" w:ascii="仿宋" w:hAnsi="仿宋" w:eastAsia="仿宋" w:cs="仿宋"/>
                <w:color w:val="auto"/>
                <w:spacing w:val="20"/>
                <w:sz w:val="24"/>
                <w:szCs w:val="24"/>
                <w:highlight w:val="none"/>
              </w:rPr>
            </w:pPr>
            <w:bookmarkStart w:id="54" w:name="_Toc64369804"/>
            <w:r>
              <w:rPr>
                <w:rFonts w:hint="eastAsia" w:ascii="仿宋" w:hAnsi="仿宋" w:eastAsia="仿宋" w:cs="仿宋"/>
                <w:color w:val="auto"/>
                <w:spacing w:val="20"/>
                <w:sz w:val="24"/>
                <w:szCs w:val="24"/>
                <w:highlight w:val="none"/>
              </w:rPr>
              <w:t>1</w:t>
            </w:r>
            <w:bookmarkEnd w:id="5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F60B72B">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B25DA1B">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40A34413">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F69079B">
            <w:pPr>
              <w:snapToGrid w:val="0"/>
              <w:spacing w:before="50" w:after="50"/>
              <w:rPr>
                <w:rFonts w:hint="eastAsia" w:ascii="仿宋" w:hAnsi="仿宋" w:eastAsia="仿宋" w:cs="仿宋"/>
                <w:color w:val="auto"/>
                <w:spacing w:val="20"/>
                <w:sz w:val="24"/>
                <w:szCs w:val="24"/>
                <w:highlight w:val="none"/>
              </w:rPr>
            </w:pPr>
          </w:p>
        </w:tc>
      </w:tr>
      <w:tr w14:paraId="41A52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3363B4CE">
            <w:pPr>
              <w:snapToGrid w:val="0"/>
              <w:spacing w:before="50" w:after="50"/>
              <w:rPr>
                <w:rFonts w:hint="eastAsia" w:ascii="仿宋" w:hAnsi="仿宋" w:eastAsia="仿宋" w:cs="仿宋"/>
                <w:color w:val="auto"/>
                <w:spacing w:val="20"/>
                <w:sz w:val="24"/>
                <w:szCs w:val="24"/>
                <w:highlight w:val="none"/>
              </w:rPr>
            </w:pPr>
            <w:bookmarkStart w:id="55" w:name="_Toc64369805"/>
            <w:r>
              <w:rPr>
                <w:rFonts w:hint="eastAsia" w:ascii="仿宋" w:hAnsi="仿宋" w:eastAsia="仿宋" w:cs="仿宋"/>
                <w:color w:val="auto"/>
                <w:spacing w:val="20"/>
                <w:sz w:val="24"/>
                <w:szCs w:val="24"/>
                <w:highlight w:val="none"/>
              </w:rPr>
              <w:t>2</w:t>
            </w:r>
            <w:bookmarkEnd w:id="5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991BE97">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621BDF4">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107440E8">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6E8F9487">
            <w:pPr>
              <w:snapToGrid w:val="0"/>
              <w:spacing w:before="50" w:after="50"/>
              <w:rPr>
                <w:rFonts w:hint="eastAsia" w:ascii="仿宋" w:hAnsi="仿宋" w:eastAsia="仿宋" w:cs="仿宋"/>
                <w:color w:val="auto"/>
                <w:spacing w:val="20"/>
                <w:sz w:val="24"/>
                <w:szCs w:val="24"/>
                <w:highlight w:val="none"/>
              </w:rPr>
            </w:pPr>
          </w:p>
        </w:tc>
      </w:tr>
      <w:tr w14:paraId="75E49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43A6B609">
            <w:pPr>
              <w:snapToGrid w:val="0"/>
              <w:spacing w:before="50" w:after="50"/>
              <w:rPr>
                <w:rFonts w:hint="eastAsia" w:ascii="仿宋" w:hAnsi="仿宋" w:eastAsia="仿宋" w:cs="仿宋"/>
                <w:color w:val="auto"/>
                <w:spacing w:val="20"/>
                <w:sz w:val="24"/>
                <w:szCs w:val="24"/>
                <w:highlight w:val="none"/>
              </w:rPr>
            </w:pPr>
            <w:bookmarkStart w:id="56" w:name="_Toc64369806"/>
            <w:bookmarkEnd w:id="56"/>
            <w:r>
              <w:rPr>
                <w:rFonts w:hint="eastAsia" w:ascii="仿宋" w:hAnsi="仿宋" w:eastAsia="仿宋" w:cs="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EDD92F3">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8D7638F">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03E9B351">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F707F5C">
            <w:pPr>
              <w:snapToGrid w:val="0"/>
              <w:spacing w:before="50" w:after="50"/>
              <w:rPr>
                <w:rFonts w:hint="eastAsia" w:ascii="仿宋" w:hAnsi="仿宋" w:eastAsia="仿宋" w:cs="仿宋"/>
                <w:color w:val="auto"/>
                <w:spacing w:val="20"/>
                <w:sz w:val="24"/>
                <w:szCs w:val="24"/>
                <w:highlight w:val="none"/>
              </w:rPr>
            </w:pPr>
          </w:p>
        </w:tc>
      </w:tr>
      <w:tr w14:paraId="15A46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0EE9457C">
            <w:pPr>
              <w:snapToGrid w:val="0"/>
              <w:spacing w:before="50" w:after="50"/>
              <w:rPr>
                <w:rFonts w:hint="eastAsia" w:ascii="仿宋" w:hAnsi="仿宋" w:eastAsia="仿宋" w:cs="仿宋"/>
                <w:color w:val="auto"/>
                <w:spacing w:val="20"/>
                <w:sz w:val="24"/>
                <w:szCs w:val="24"/>
                <w:highlight w:val="none"/>
              </w:rPr>
            </w:pPr>
            <w:bookmarkStart w:id="57" w:name="_Toc64369799"/>
            <w:r>
              <w:rPr>
                <w:rFonts w:hint="eastAsia" w:ascii="仿宋" w:hAnsi="仿宋" w:eastAsia="仿宋" w:cs="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B50E1AC">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A523839">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0A6DD4A8">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A0F2632">
            <w:pPr>
              <w:snapToGrid w:val="0"/>
              <w:spacing w:before="50" w:after="50"/>
              <w:rPr>
                <w:rFonts w:hint="eastAsia" w:ascii="仿宋" w:hAnsi="仿宋" w:eastAsia="仿宋" w:cs="仿宋"/>
                <w:color w:val="auto"/>
                <w:spacing w:val="20"/>
                <w:sz w:val="24"/>
                <w:szCs w:val="24"/>
                <w:highlight w:val="none"/>
              </w:rPr>
            </w:pPr>
          </w:p>
        </w:tc>
      </w:tr>
      <w:tr w14:paraId="313C4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582F8890">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20C67C2">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7D0B757">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061341DC">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E73E146">
            <w:pPr>
              <w:snapToGrid w:val="0"/>
              <w:spacing w:before="50" w:after="50"/>
              <w:rPr>
                <w:rFonts w:hint="eastAsia" w:ascii="仿宋" w:hAnsi="仿宋" w:eastAsia="仿宋" w:cs="仿宋"/>
                <w:color w:val="auto"/>
                <w:spacing w:val="20"/>
                <w:sz w:val="24"/>
                <w:szCs w:val="24"/>
                <w:highlight w:val="none"/>
              </w:rPr>
            </w:pPr>
          </w:p>
        </w:tc>
      </w:tr>
      <w:tr w14:paraId="0B168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20233FCB">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29B82D8">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BC51CC0">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3BE68C82">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5B5D526">
            <w:pPr>
              <w:snapToGrid w:val="0"/>
              <w:spacing w:before="50" w:after="50"/>
              <w:rPr>
                <w:rFonts w:hint="eastAsia" w:ascii="仿宋" w:hAnsi="仿宋" w:eastAsia="仿宋" w:cs="仿宋"/>
                <w:color w:val="auto"/>
                <w:spacing w:val="20"/>
                <w:sz w:val="24"/>
                <w:szCs w:val="24"/>
                <w:highlight w:val="none"/>
              </w:rPr>
            </w:pPr>
          </w:p>
        </w:tc>
      </w:tr>
      <w:tr w14:paraId="11120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34E51D0B">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164DDFD9">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5DDDB17">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696C73A7">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031452E">
            <w:pPr>
              <w:snapToGrid w:val="0"/>
              <w:spacing w:before="50" w:after="50"/>
              <w:rPr>
                <w:rFonts w:hint="eastAsia" w:ascii="仿宋" w:hAnsi="仿宋" w:eastAsia="仿宋" w:cs="仿宋"/>
                <w:color w:val="auto"/>
                <w:spacing w:val="20"/>
                <w:sz w:val="24"/>
                <w:szCs w:val="24"/>
                <w:highlight w:val="none"/>
              </w:rPr>
            </w:pPr>
          </w:p>
        </w:tc>
      </w:tr>
      <w:bookmarkEnd w:id="57"/>
    </w:tbl>
    <w:p w14:paraId="2FF6FA2F">
      <w:pPr>
        <w:pStyle w:val="11"/>
        <w:rPr>
          <w:rFonts w:hint="eastAsia" w:ascii="仿宋" w:hAnsi="仿宋" w:eastAsia="仿宋" w:cs="仿宋"/>
          <w:b w:val="0"/>
          <w:bCs w:val="0"/>
          <w:color w:val="auto"/>
          <w:spacing w:val="20"/>
          <w:kern w:val="0"/>
          <w:szCs w:val="24"/>
          <w:highlight w:val="none"/>
        </w:rPr>
      </w:pPr>
      <w:r>
        <w:rPr>
          <w:rFonts w:hint="eastAsia" w:ascii="仿宋" w:hAnsi="仿宋" w:eastAsia="仿宋" w:cs="仿宋"/>
          <w:b w:val="0"/>
          <w:bCs w:val="0"/>
          <w:color w:val="auto"/>
          <w:szCs w:val="24"/>
          <w:highlight w:val="none"/>
        </w:rPr>
        <w:t>注：1、供应商应对照征集文件要求和响应文件响应情况在“偏离情况”栏注明“正偏离”、“负偏离”或“无偏离”。若正偏离的，需详细说明或提供证明材料。</w:t>
      </w:r>
    </w:p>
    <w:p w14:paraId="504A7910">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2、“征集文件要求”一列按采购需求中的“服务清单及要求”填写。</w:t>
      </w:r>
    </w:p>
    <w:p w14:paraId="13F784EE">
      <w:pPr>
        <w:snapToGrid w:val="0"/>
        <w:spacing w:before="50" w:after="50"/>
        <w:rPr>
          <w:rFonts w:hint="eastAsia" w:ascii="仿宋" w:hAnsi="仿宋" w:eastAsia="仿宋" w:cs="仿宋"/>
          <w:color w:val="auto"/>
          <w:spacing w:val="20"/>
          <w:sz w:val="30"/>
          <w:szCs w:val="30"/>
          <w:highlight w:val="none"/>
        </w:rPr>
      </w:pPr>
    </w:p>
    <w:p w14:paraId="7A7A5E59">
      <w:pPr>
        <w:snapToGrid w:val="0"/>
        <w:spacing w:before="50" w:after="50"/>
        <w:rPr>
          <w:rFonts w:hint="eastAsia" w:ascii="仿宋" w:hAnsi="仿宋" w:eastAsia="仿宋" w:cs="仿宋"/>
          <w:color w:val="auto"/>
          <w:spacing w:val="20"/>
          <w:sz w:val="30"/>
          <w:szCs w:val="30"/>
          <w:highlight w:val="none"/>
        </w:rPr>
      </w:pPr>
    </w:p>
    <w:p w14:paraId="39334FF1">
      <w:pPr>
        <w:snapToGrid w:val="0"/>
        <w:spacing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法定代表人或其授权代表（签字或盖章）：          </w:t>
      </w:r>
    </w:p>
    <w:p w14:paraId="37B18D92">
      <w:pPr>
        <w:snapToGrid w:val="0"/>
        <w:spacing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720FB7EF">
      <w:pPr>
        <w:snapToGrid w:val="0"/>
        <w:spacing w:beforeLines="50"/>
        <w:rPr>
          <w:rFonts w:hint="eastAsia" w:ascii="仿宋" w:hAnsi="仿宋" w:eastAsia="仿宋" w:cs="仿宋"/>
          <w:color w:val="auto"/>
          <w:sz w:val="24"/>
          <w:szCs w:val="24"/>
          <w:highlight w:val="none"/>
        </w:rPr>
      </w:pPr>
    </w:p>
    <w:p w14:paraId="4E13D5A8">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30A4D7E2">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附件13：商务响应表</w:t>
      </w:r>
    </w:p>
    <w:p w14:paraId="73DF5342">
      <w:pPr>
        <w:snapToGrid w:val="0"/>
        <w:spacing w:before="50" w:afterLines="50"/>
        <w:jc w:val="center"/>
        <w:rPr>
          <w:rFonts w:hint="eastAsia" w:ascii="仿宋" w:hAnsi="仿宋" w:eastAsia="仿宋" w:cs="仿宋"/>
          <w:b/>
          <w:color w:val="auto"/>
          <w:spacing w:val="40"/>
          <w:kern w:val="0"/>
          <w:sz w:val="36"/>
          <w:szCs w:val="36"/>
          <w:highlight w:val="none"/>
        </w:rPr>
      </w:pPr>
    </w:p>
    <w:p w14:paraId="7303BAC8">
      <w:pPr>
        <w:snapToGrid w:val="0"/>
        <w:spacing w:before="50"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商 务 响 应 表</w:t>
      </w:r>
    </w:p>
    <w:p w14:paraId="750E20E3">
      <w:pPr>
        <w:snapToGrid w:val="0"/>
        <w:spacing w:before="50" w:afterLines="50"/>
        <w:jc w:val="center"/>
        <w:rPr>
          <w:rFonts w:hint="eastAsia" w:ascii="仿宋" w:hAnsi="仿宋" w:eastAsia="仿宋" w:cs="仿宋"/>
          <w:b/>
          <w:color w:val="auto"/>
          <w:sz w:val="32"/>
          <w:szCs w:val="32"/>
          <w:highlight w:val="none"/>
        </w:rPr>
      </w:pPr>
    </w:p>
    <w:p w14:paraId="118F0BFE">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供应商全称（公章）：</w:t>
      </w:r>
    </w:p>
    <w:p w14:paraId="7332A855">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p>
    <w:tbl>
      <w:tblPr>
        <w:tblStyle w:val="31"/>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701E5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8C785ED">
            <w:pPr>
              <w:snapToGrid w:val="0"/>
              <w:spacing w:before="50" w:after="50"/>
              <w:jc w:val="center"/>
              <w:rPr>
                <w:rFonts w:hint="eastAsia" w:ascii="仿宋" w:hAnsi="仿宋" w:eastAsia="仿宋" w:cs="仿宋"/>
                <w:color w:val="auto"/>
                <w:spacing w:val="20"/>
                <w:sz w:val="28"/>
                <w:szCs w:val="28"/>
                <w:highlight w:val="none"/>
              </w:rPr>
            </w:pPr>
            <w:bookmarkStart w:id="58" w:name="_Toc64369815"/>
            <w:r>
              <w:rPr>
                <w:rFonts w:hint="eastAsia" w:ascii="仿宋" w:hAnsi="仿宋" w:eastAsia="仿宋" w:cs="仿宋"/>
                <w:color w:val="auto"/>
                <w:spacing w:val="20"/>
                <w:sz w:val="28"/>
                <w:szCs w:val="28"/>
                <w:highlight w:val="none"/>
              </w:rPr>
              <w:t>类别</w:t>
            </w:r>
            <w:bookmarkEnd w:id="58"/>
          </w:p>
        </w:tc>
        <w:tc>
          <w:tcPr>
            <w:tcW w:w="2626" w:type="dxa"/>
            <w:tcBorders>
              <w:top w:val="single" w:color="auto" w:sz="4" w:space="0"/>
              <w:left w:val="single" w:color="auto" w:sz="4" w:space="0"/>
              <w:bottom w:val="single" w:color="auto" w:sz="4" w:space="0"/>
              <w:right w:val="single" w:color="auto" w:sz="4" w:space="0"/>
            </w:tcBorders>
            <w:noWrap/>
            <w:vAlign w:val="center"/>
          </w:tcPr>
          <w:p w14:paraId="56208E00">
            <w:pPr>
              <w:snapToGrid w:val="0"/>
              <w:spacing w:beforeLines="50" w:after="50"/>
              <w:jc w:val="center"/>
              <w:rPr>
                <w:rFonts w:hint="eastAsia" w:ascii="仿宋" w:hAnsi="仿宋" w:eastAsia="仿宋" w:cs="仿宋"/>
                <w:color w:val="auto"/>
                <w:sz w:val="30"/>
                <w:szCs w:val="30"/>
                <w:highlight w:val="none"/>
              </w:rPr>
            </w:pPr>
            <w:bookmarkStart w:id="59" w:name="_Toc64369816"/>
            <w:r>
              <w:rPr>
                <w:rFonts w:hint="eastAsia" w:ascii="仿宋" w:hAnsi="仿宋" w:eastAsia="仿宋" w:cs="仿宋"/>
                <w:color w:val="auto"/>
                <w:sz w:val="30"/>
                <w:szCs w:val="30"/>
                <w:highlight w:val="none"/>
              </w:rPr>
              <w:t>征集文件要求</w:t>
            </w:r>
            <w:bookmarkEnd w:id="59"/>
          </w:p>
        </w:tc>
        <w:tc>
          <w:tcPr>
            <w:tcW w:w="2737" w:type="dxa"/>
            <w:tcBorders>
              <w:top w:val="single" w:color="auto" w:sz="4" w:space="0"/>
              <w:left w:val="single" w:color="auto" w:sz="4" w:space="0"/>
              <w:bottom w:val="single" w:color="auto" w:sz="4" w:space="0"/>
              <w:right w:val="single" w:color="auto" w:sz="4" w:space="0"/>
            </w:tcBorders>
            <w:noWrap/>
            <w:vAlign w:val="center"/>
          </w:tcPr>
          <w:p w14:paraId="1F7AB2D3">
            <w:pPr>
              <w:snapToGrid w:val="0"/>
              <w:spacing w:beforeLines="50" w:after="50"/>
              <w:jc w:val="center"/>
              <w:rPr>
                <w:rFonts w:hint="eastAsia" w:ascii="仿宋" w:hAnsi="仿宋" w:eastAsia="仿宋" w:cs="仿宋"/>
                <w:color w:val="auto"/>
                <w:sz w:val="30"/>
                <w:szCs w:val="30"/>
                <w:highlight w:val="none"/>
              </w:rPr>
            </w:pPr>
            <w:bookmarkStart w:id="60" w:name="_Toc64369817"/>
            <w:r>
              <w:rPr>
                <w:rFonts w:hint="eastAsia" w:ascii="仿宋" w:hAnsi="仿宋" w:eastAsia="仿宋" w:cs="仿宋"/>
                <w:color w:val="auto"/>
                <w:sz w:val="30"/>
                <w:szCs w:val="30"/>
                <w:highlight w:val="none"/>
              </w:rPr>
              <w:t>响应文件响应</w:t>
            </w:r>
            <w:bookmarkEnd w:id="60"/>
          </w:p>
        </w:tc>
        <w:tc>
          <w:tcPr>
            <w:tcW w:w="1886" w:type="dxa"/>
            <w:tcBorders>
              <w:top w:val="single" w:color="auto" w:sz="4" w:space="0"/>
              <w:left w:val="single" w:color="auto" w:sz="4" w:space="0"/>
              <w:bottom w:val="single" w:color="auto" w:sz="4" w:space="0"/>
              <w:right w:val="single" w:color="auto" w:sz="4" w:space="0"/>
            </w:tcBorders>
            <w:noWrap/>
            <w:vAlign w:val="center"/>
          </w:tcPr>
          <w:p w14:paraId="5CCD6BCD">
            <w:pPr>
              <w:snapToGrid w:val="0"/>
              <w:spacing w:beforeLines="50" w:after="50"/>
              <w:jc w:val="center"/>
              <w:rPr>
                <w:rFonts w:hint="eastAsia" w:ascii="仿宋" w:hAnsi="仿宋" w:eastAsia="仿宋" w:cs="仿宋"/>
                <w:color w:val="auto"/>
                <w:sz w:val="30"/>
                <w:szCs w:val="30"/>
                <w:highlight w:val="none"/>
              </w:rPr>
            </w:pPr>
            <w:bookmarkStart w:id="61" w:name="_Toc64369818"/>
            <w:r>
              <w:rPr>
                <w:rFonts w:hint="eastAsia" w:ascii="仿宋" w:hAnsi="仿宋" w:eastAsia="仿宋" w:cs="仿宋"/>
                <w:color w:val="auto"/>
                <w:sz w:val="30"/>
                <w:szCs w:val="30"/>
                <w:highlight w:val="none"/>
              </w:rPr>
              <w:t>偏离情况</w:t>
            </w:r>
            <w:bookmarkEnd w:id="61"/>
          </w:p>
        </w:tc>
      </w:tr>
      <w:tr w14:paraId="31BCC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D2C080D">
            <w:pPr>
              <w:snapToGrid w:val="0"/>
              <w:spacing w:before="50" w:after="50"/>
              <w:rPr>
                <w:rFonts w:hint="eastAsia" w:ascii="仿宋" w:hAnsi="仿宋" w:eastAsia="仿宋" w:cs="仿宋"/>
                <w:color w:val="auto"/>
                <w:spacing w:val="20"/>
                <w:sz w:val="28"/>
                <w:szCs w:val="28"/>
                <w:highlight w:val="none"/>
              </w:rPr>
            </w:pPr>
          </w:p>
        </w:tc>
        <w:tc>
          <w:tcPr>
            <w:tcW w:w="2626" w:type="dxa"/>
            <w:tcBorders>
              <w:top w:val="single" w:color="auto" w:sz="4" w:space="0"/>
              <w:left w:val="single" w:color="auto" w:sz="4" w:space="0"/>
              <w:bottom w:val="single" w:color="auto" w:sz="4" w:space="0"/>
              <w:right w:val="single" w:color="auto" w:sz="4" w:space="0"/>
            </w:tcBorders>
            <w:noWrap/>
            <w:vAlign w:val="center"/>
          </w:tcPr>
          <w:p w14:paraId="53C6F64D">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A792DF4">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E14DB9B">
            <w:pPr>
              <w:pStyle w:val="16"/>
              <w:snapToGrid w:val="0"/>
              <w:spacing w:before="120" w:after="120"/>
              <w:outlineLvl w:val="0"/>
              <w:rPr>
                <w:rFonts w:hint="eastAsia" w:ascii="仿宋" w:hAnsi="仿宋" w:eastAsia="仿宋" w:cs="仿宋"/>
                <w:color w:val="auto"/>
                <w:sz w:val="28"/>
                <w:szCs w:val="28"/>
                <w:highlight w:val="none"/>
              </w:rPr>
            </w:pPr>
          </w:p>
        </w:tc>
      </w:tr>
      <w:tr w14:paraId="127C4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13CBF0E">
            <w:pPr>
              <w:snapToGrid w:val="0"/>
              <w:spacing w:before="50" w:after="50"/>
              <w:rPr>
                <w:rFonts w:hint="eastAsia" w:ascii="仿宋" w:hAnsi="仿宋" w:eastAsia="仿宋" w:cs="仿宋"/>
                <w:color w:val="auto"/>
                <w:spacing w:val="20"/>
                <w:sz w:val="28"/>
                <w:szCs w:val="28"/>
                <w:highlight w:val="none"/>
              </w:rPr>
            </w:pPr>
          </w:p>
        </w:tc>
        <w:tc>
          <w:tcPr>
            <w:tcW w:w="2626" w:type="dxa"/>
            <w:tcBorders>
              <w:top w:val="single" w:color="auto" w:sz="4" w:space="0"/>
              <w:left w:val="single" w:color="auto" w:sz="4" w:space="0"/>
              <w:bottom w:val="single" w:color="auto" w:sz="4" w:space="0"/>
              <w:right w:val="single" w:color="auto" w:sz="4" w:space="0"/>
            </w:tcBorders>
            <w:noWrap/>
            <w:vAlign w:val="center"/>
          </w:tcPr>
          <w:p w14:paraId="088E4944">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308F29E">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39B50207">
            <w:pPr>
              <w:pStyle w:val="16"/>
              <w:snapToGrid w:val="0"/>
              <w:spacing w:before="120" w:after="120"/>
              <w:outlineLvl w:val="0"/>
              <w:rPr>
                <w:rFonts w:hint="eastAsia" w:ascii="仿宋" w:hAnsi="仿宋" w:eastAsia="仿宋" w:cs="仿宋"/>
                <w:color w:val="auto"/>
                <w:sz w:val="28"/>
                <w:szCs w:val="28"/>
                <w:highlight w:val="none"/>
              </w:rPr>
            </w:pPr>
          </w:p>
        </w:tc>
      </w:tr>
      <w:tr w14:paraId="7E067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EB7D1CD">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9730489">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1C35971">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0A33814">
            <w:pPr>
              <w:pStyle w:val="16"/>
              <w:snapToGrid w:val="0"/>
              <w:spacing w:before="120" w:after="120"/>
              <w:outlineLvl w:val="0"/>
              <w:rPr>
                <w:rFonts w:hint="eastAsia" w:ascii="仿宋" w:hAnsi="仿宋" w:eastAsia="仿宋" w:cs="仿宋"/>
                <w:color w:val="auto"/>
                <w:sz w:val="28"/>
                <w:szCs w:val="28"/>
                <w:highlight w:val="none"/>
              </w:rPr>
            </w:pPr>
          </w:p>
        </w:tc>
      </w:tr>
      <w:tr w14:paraId="1C5FF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DF4EF43">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491A757">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42E2138">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4AF7FE6">
            <w:pPr>
              <w:pStyle w:val="16"/>
              <w:snapToGrid w:val="0"/>
              <w:spacing w:before="120" w:after="120"/>
              <w:outlineLvl w:val="0"/>
              <w:rPr>
                <w:rFonts w:hint="eastAsia" w:ascii="仿宋" w:hAnsi="仿宋" w:eastAsia="仿宋" w:cs="仿宋"/>
                <w:color w:val="auto"/>
                <w:sz w:val="28"/>
                <w:szCs w:val="28"/>
                <w:highlight w:val="none"/>
              </w:rPr>
            </w:pPr>
          </w:p>
        </w:tc>
      </w:tr>
    </w:tbl>
    <w:p w14:paraId="75D46003">
      <w:pPr>
        <w:pStyle w:val="11"/>
        <w:rPr>
          <w:rFonts w:hint="eastAsia" w:ascii="仿宋" w:hAnsi="仿宋" w:eastAsia="仿宋" w:cs="仿宋"/>
          <w:b w:val="0"/>
          <w:bCs w:val="0"/>
          <w:color w:val="auto"/>
          <w:spacing w:val="20"/>
          <w:kern w:val="0"/>
          <w:sz w:val="28"/>
          <w:szCs w:val="28"/>
          <w:highlight w:val="none"/>
        </w:rPr>
      </w:pPr>
      <w:r>
        <w:rPr>
          <w:rFonts w:hint="eastAsia" w:ascii="仿宋" w:hAnsi="仿宋" w:eastAsia="仿宋" w:cs="仿宋"/>
          <w:b w:val="0"/>
          <w:bCs w:val="0"/>
          <w:color w:val="auto"/>
          <w:sz w:val="28"/>
          <w:szCs w:val="28"/>
          <w:highlight w:val="none"/>
        </w:rPr>
        <w:t>注：1、供应商应对照征集文件要求和响应文件响应情况在“偏离情况”栏注明“正偏离”、“负偏离”或“无偏离”。若正偏离的，需详细说明或提供证明材料。</w:t>
      </w:r>
    </w:p>
    <w:p w14:paraId="2AE0CC5A">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2、“类别”一栏按征集文件第三章中商务要求的分类填写。</w:t>
      </w:r>
    </w:p>
    <w:p w14:paraId="420FA7CE">
      <w:pPr>
        <w:snapToGrid w:val="0"/>
        <w:spacing w:before="50" w:after="50"/>
        <w:rPr>
          <w:rFonts w:hint="eastAsia" w:ascii="仿宋" w:hAnsi="仿宋" w:eastAsia="仿宋" w:cs="仿宋"/>
          <w:color w:val="auto"/>
          <w:spacing w:val="20"/>
          <w:sz w:val="28"/>
          <w:szCs w:val="28"/>
          <w:highlight w:val="none"/>
        </w:rPr>
      </w:pPr>
    </w:p>
    <w:p w14:paraId="783B7F03">
      <w:pPr>
        <w:snapToGrid w:val="0"/>
        <w:spacing w:before="50" w:after="50"/>
        <w:rPr>
          <w:rFonts w:hint="eastAsia" w:ascii="仿宋" w:hAnsi="仿宋" w:eastAsia="仿宋" w:cs="仿宋"/>
          <w:color w:val="auto"/>
          <w:spacing w:val="20"/>
          <w:sz w:val="28"/>
          <w:szCs w:val="28"/>
          <w:highlight w:val="none"/>
        </w:rPr>
      </w:pPr>
    </w:p>
    <w:p w14:paraId="70C02742">
      <w:pPr>
        <w:snapToGrid w:val="0"/>
        <w:spacing w:before="50" w:after="50"/>
        <w:rPr>
          <w:rFonts w:hint="eastAsia" w:ascii="仿宋" w:hAnsi="仿宋" w:eastAsia="仿宋" w:cs="仿宋"/>
          <w:color w:val="auto"/>
          <w:spacing w:val="20"/>
          <w:sz w:val="28"/>
          <w:szCs w:val="28"/>
          <w:highlight w:val="none"/>
        </w:rPr>
      </w:pPr>
    </w:p>
    <w:p w14:paraId="646B7B87">
      <w:pPr>
        <w:snapToGrid w:val="0"/>
        <w:spacing w:before="50" w:after="50"/>
        <w:rPr>
          <w:rFonts w:hint="eastAsia" w:ascii="仿宋" w:hAnsi="仿宋" w:eastAsia="仿宋" w:cs="仿宋"/>
          <w:color w:val="auto"/>
          <w:spacing w:val="20"/>
          <w:sz w:val="28"/>
          <w:szCs w:val="28"/>
          <w:highlight w:val="none"/>
        </w:rPr>
      </w:pPr>
    </w:p>
    <w:p w14:paraId="46394E11">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754DF801">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612783FD">
      <w:pPr>
        <w:snapToGrid w:val="0"/>
        <w:spacing w:beforeLines="50"/>
        <w:rPr>
          <w:rFonts w:hint="eastAsia" w:ascii="仿宋" w:hAnsi="仿宋" w:eastAsia="仿宋" w:cs="仿宋"/>
          <w:color w:val="auto"/>
          <w:sz w:val="28"/>
          <w:szCs w:val="28"/>
          <w:highlight w:val="none"/>
        </w:rPr>
      </w:pPr>
    </w:p>
    <w:p w14:paraId="461DBE95">
      <w:pPr>
        <w:snapToGrid w:val="0"/>
        <w:spacing w:beforeLines="50"/>
        <w:rPr>
          <w:rFonts w:hint="eastAsia" w:ascii="仿宋" w:hAnsi="仿宋" w:eastAsia="仿宋" w:cs="仿宋"/>
          <w:color w:val="auto"/>
          <w:sz w:val="28"/>
          <w:szCs w:val="28"/>
          <w:highlight w:val="none"/>
        </w:rPr>
      </w:pPr>
    </w:p>
    <w:p w14:paraId="573B64D6">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附件14：项目实施人员清单</w:t>
      </w:r>
    </w:p>
    <w:p w14:paraId="489E14DB">
      <w:pPr>
        <w:snapToGrid w:val="0"/>
        <w:spacing w:before="50" w:afterLines="50"/>
        <w:jc w:val="center"/>
        <w:rPr>
          <w:rFonts w:hint="eastAsia" w:ascii="仿宋" w:hAnsi="仿宋" w:eastAsia="仿宋" w:cs="仿宋"/>
          <w:b/>
          <w:color w:val="auto"/>
          <w:kern w:val="0"/>
          <w:sz w:val="36"/>
          <w:szCs w:val="36"/>
          <w:highlight w:val="none"/>
        </w:rPr>
      </w:pPr>
    </w:p>
    <w:p w14:paraId="569658E0">
      <w:pPr>
        <w:snapToGrid w:val="0"/>
        <w:spacing w:before="50"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项目实施人员清单</w:t>
      </w:r>
    </w:p>
    <w:p w14:paraId="59F7E0C5">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供应商全称（公章）：</w:t>
      </w:r>
    </w:p>
    <w:p w14:paraId="5544051B">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p>
    <w:tbl>
      <w:tblPr>
        <w:tblStyle w:val="31"/>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7876D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66ABBA78">
            <w:pPr>
              <w:snapToGrid w:val="0"/>
              <w:spacing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676515D6">
            <w:pPr>
              <w:snapToGrid w:val="0"/>
              <w:spacing w:beforeLines="50" w:after="50" w:line="460" w:lineRule="exact"/>
              <w:ind w:right="-11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86CD41B">
            <w:pPr>
              <w:snapToGrid w:val="0"/>
              <w:spacing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专业技术</w:t>
            </w:r>
          </w:p>
          <w:p w14:paraId="14CCC8C2">
            <w:pPr>
              <w:snapToGrid w:val="0"/>
              <w:spacing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CB29BFB">
            <w:pPr>
              <w:snapToGrid w:val="0"/>
              <w:spacing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本项目工作内容</w:t>
            </w:r>
          </w:p>
        </w:tc>
      </w:tr>
      <w:tr w14:paraId="5C45F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B1BDC7A">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8B9C93D">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F8F7EEA">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1850A4A">
            <w:pPr>
              <w:snapToGrid w:val="0"/>
              <w:spacing w:beforeLines="50" w:after="50" w:line="460" w:lineRule="exact"/>
              <w:rPr>
                <w:rFonts w:hint="eastAsia" w:ascii="仿宋" w:hAnsi="仿宋" w:eastAsia="仿宋" w:cs="仿宋"/>
                <w:color w:val="auto"/>
                <w:sz w:val="28"/>
                <w:szCs w:val="28"/>
                <w:highlight w:val="none"/>
              </w:rPr>
            </w:pPr>
          </w:p>
        </w:tc>
      </w:tr>
      <w:tr w14:paraId="2262B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AA09A52">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8803718">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F79859A">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CCEFB26">
            <w:pPr>
              <w:snapToGrid w:val="0"/>
              <w:spacing w:beforeLines="50" w:after="50" w:line="460" w:lineRule="exact"/>
              <w:rPr>
                <w:rFonts w:hint="eastAsia" w:ascii="仿宋" w:hAnsi="仿宋" w:eastAsia="仿宋" w:cs="仿宋"/>
                <w:color w:val="auto"/>
                <w:sz w:val="28"/>
                <w:szCs w:val="28"/>
                <w:highlight w:val="none"/>
              </w:rPr>
            </w:pPr>
          </w:p>
        </w:tc>
      </w:tr>
      <w:tr w14:paraId="082B9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CD272AC">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C60D7C5">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782DBE3">
            <w:pPr>
              <w:pStyle w:val="17"/>
              <w:snapToGrid w:val="0"/>
              <w:spacing w:beforeLines="50" w:after="50" w:line="460" w:lineRule="exact"/>
              <w:ind w:left="5250"/>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F540632">
            <w:pPr>
              <w:snapToGrid w:val="0"/>
              <w:spacing w:beforeLines="50" w:after="50" w:line="460" w:lineRule="exact"/>
              <w:rPr>
                <w:rFonts w:hint="eastAsia" w:ascii="仿宋" w:hAnsi="仿宋" w:eastAsia="仿宋" w:cs="仿宋"/>
                <w:color w:val="auto"/>
                <w:sz w:val="28"/>
                <w:szCs w:val="28"/>
                <w:highlight w:val="none"/>
              </w:rPr>
            </w:pPr>
          </w:p>
        </w:tc>
      </w:tr>
      <w:tr w14:paraId="5A13D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4F0C3B3">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39C920A">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4995538">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41E4908">
            <w:pPr>
              <w:snapToGrid w:val="0"/>
              <w:spacing w:beforeLines="50" w:after="50" w:line="460" w:lineRule="exact"/>
              <w:rPr>
                <w:rFonts w:hint="eastAsia" w:ascii="仿宋" w:hAnsi="仿宋" w:eastAsia="仿宋" w:cs="仿宋"/>
                <w:color w:val="auto"/>
                <w:sz w:val="28"/>
                <w:szCs w:val="28"/>
                <w:highlight w:val="none"/>
              </w:rPr>
            </w:pPr>
          </w:p>
        </w:tc>
      </w:tr>
      <w:tr w14:paraId="0430D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E7C3B2C">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C04B358">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F897B67">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94EF958">
            <w:pPr>
              <w:snapToGrid w:val="0"/>
              <w:spacing w:beforeLines="50" w:after="50" w:line="460" w:lineRule="exact"/>
              <w:rPr>
                <w:rFonts w:hint="eastAsia" w:ascii="仿宋" w:hAnsi="仿宋" w:eastAsia="仿宋" w:cs="仿宋"/>
                <w:color w:val="auto"/>
                <w:sz w:val="28"/>
                <w:szCs w:val="28"/>
                <w:highlight w:val="none"/>
              </w:rPr>
            </w:pPr>
          </w:p>
        </w:tc>
      </w:tr>
      <w:tr w14:paraId="2CB41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F53ED8D">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14EE7AA">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C0A4D1F">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E41E412">
            <w:pPr>
              <w:snapToGrid w:val="0"/>
              <w:spacing w:beforeLines="50" w:after="50" w:line="460" w:lineRule="exact"/>
              <w:rPr>
                <w:rFonts w:hint="eastAsia" w:ascii="仿宋" w:hAnsi="仿宋" w:eastAsia="仿宋" w:cs="仿宋"/>
                <w:color w:val="auto"/>
                <w:sz w:val="28"/>
                <w:szCs w:val="28"/>
                <w:highlight w:val="none"/>
              </w:rPr>
            </w:pPr>
          </w:p>
        </w:tc>
      </w:tr>
      <w:tr w14:paraId="19B99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DE08AB0">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62C0813">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637E6AA">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1256E4D">
            <w:pPr>
              <w:snapToGrid w:val="0"/>
              <w:spacing w:beforeLines="50" w:after="50" w:line="460" w:lineRule="exact"/>
              <w:rPr>
                <w:rFonts w:hint="eastAsia" w:ascii="仿宋" w:hAnsi="仿宋" w:eastAsia="仿宋" w:cs="仿宋"/>
                <w:color w:val="auto"/>
                <w:sz w:val="28"/>
                <w:szCs w:val="28"/>
                <w:highlight w:val="none"/>
              </w:rPr>
            </w:pPr>
          </w:p>
        </w:tc>
      </w:tr>
      <w:tr w14:paraId="0EB8E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979384A">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D548634">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AD91D5A">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FF112B6">
            <w:pPr>
              <w:snapToGrid w:val="0"/>
              <w:spacing w:beforeLines="50" w:after="50" w:line="460" w:lineRule="exact"/>
              <w:rPr>
                <w:rFonts w:hint="eastAsia" w:ascii="仿宋" w:hAnsi="仿宋" w:eastAsia="仿宋" w:cs="仿宋"/>
                <w:color w:val="auto"/>
                <w:sz w:val="28"/>
                <w:szCs w:val="28"/>
                <w:highlight w:val="none"/>
              </w:rPr>
            </w:pPr>
          </w:p>
        </w:tc>
      </w:tr>
      <w:tr w14:paraId="526DC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5B8CE65">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EFBC043">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08B9D77">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CC09F93">
            <w:pPr>
              <w:snapToGrid w:val="0"/>
              <w:spacing w:beforeLines="50" w:after="50" w:line="460" w:lineRule="exact"/>
              <w:rPr>
                <w:rFonts w:hint="eastAsia" w:ascii="仿宋" w:hAnsi="仿宋" w:eastAsia="仿宋" w:cs="仿宋"/>
                <w:color w:val="auto"/>
                <w:sz w:val="28"/>
                <w:szCs w:val="28"/>
                <w:highlight w:val="none"/>
              </w:rPr>
            </w:pPr>
          </w:p>
        </w:tc>
      </w:tr>
    </w:tbl>
    <w:p w14:paraId="51538612">
      <w:pPr>
        <w:snapToGrid w:val="0"/>
        <w:spacing w:before="50" w:afterLines="50" w:line="46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注：在填写时，如本表格不适合投标单位的实际情况，可根据本表格式自行划表填写。 </w:t>
      </w:r>
    </w:p>
    <w:p w14:paraId="38E6EC1B">
      <w:pPr>
        <w:snapToGrid w:val="0"/>
        <w:spacing w:before="50" w:afterLines="50" w:line="460" w:lineRule="exact"/>
        <w:jc w:val="left"/>
        <w:rPr>
          <w:rFonts w:hint="eastAsia" w:ascii="仿宋" w:hAnsi="仿宋" w:eastAsia="仿宋" w:cs="仿宋"/>
          <w:color w:val="auto"/>
          <w:sz w:val="28"/>
          <w:szCs w:val="28"/>
          <w:highlight w:val="none"/>
        </w:rPr>
      </w:pPr>
    </w:p>
    <w:p w14:paraId="5197EF6C">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5C248903">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192DDDB2">
      <w:pPr>
        <w:snapToGrid w:val="0"/>
        <w:spacing w:before="50" w:afterLines="50" w:line="460" w:lineRule="exact"/>
        <w:jc w:val="left"/>
        <w:rPr>
          <w:rFonts w:hint="eastAsia" w:ascii="仿宋" w:hAnsi="仿宋" w:eastAsia="仿宋" w:cs="仿宋"/>
          <w:color w:val="auto"/>
          <w:sz w:val="28"/>
          <w:szCs w:val="28"/>
          <w:highlight w:val="none"/>
        </w:rPr>
      </w:pPr>
    </w:p>
    <w:p w14:paraId="5E457734">
      <w:pPr>
        <w:rPr>
          <w:rFonts w:hint="eastAsia" w:ascii="仿宋" w:hAnsi="仿宋" w:eastAsia="仿宋" w:cs="仿宋"/>
          <w:color w:val="auto"/>
          <w:sz w:val="28"/>
          <w:szCs w:val="28"/>
          <w:highlight w:val="none"/>
        </w:rPr>
      </w:pPr>
    </w:p>
    <w:p w14:paraId="2D91957F">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附件15：类似业绩一览表（如有）</w:t>
      </w:r>
    </w:p>
    <w:p w14:paraId="00B4EBF4">
      <w:pPr>
        <w:snapToGrid w:val="0"/>
        <w:spacing w:before="50" w:after="50"/>
        <w:jc w:val="left"/>
        <w:rPr>
          <w:rFonts w:hint="eastAsia" w:ascii="仿宋" w:hAnsi="仿宋" w:eastAsia="仿宋" w:cs="仿宋"/>
          <w:color w:val="auto"/>
          <w:sz w:val="30"/>
          <w:szCs w:val="30"/>
          <w:highlight w:val="none"/>
        </w:rPr>
      </w:pPr>
    </w:p>
    <w:p w14:paraId="12CB300A">
      <w:pPr>
        <w:snapToGrid w:val="0"/>
        <w:spacing w:before="50"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类似业绩一览表</w:t>
      </w:r>
    </w:p>
    <w:p w14:paraId="47A007C0">
      <w:pPr>
        <w:pStyle w:val="9"/>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供应商全称（公章）：</w:t>
      </w:r>
    </w:p>
    <w:p w14:paraId="70551099">
      <w:pPr>
        <w:pStyle w:val="9"/>
        <w:snapToGrid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标项：</w:t>
      </w:r>
    </w:p>
    <w:p w14:paraId="0B99F795">
      <w:pPr>
        <w:rPr>
          <w:rFonts w:hint="eastAsia" w:ascii="仿宋" w:hAnsi="仿宋" w:eastAsia="仿宋" w:cs="仿宋"/>
          <w:color w:val="auto"/>
          <w:highlight w:val="none"/>
        </w:rPr>
      </w:pPr>
    </w:p>
    <w:tbl>
      <w:tblPr>
        <w:tblStyle w:val="31"/>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2A2F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5F2CC9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6A38EE6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征集人名称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7951455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62D8541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w:t>
            </w:r>
          </w:p>
          <w:p w14:paraId="630D82F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397E449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0012BB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验收报告</w:t>
            </w:r>
          </w:p>
          <w:p w14:paraId="485B67D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（有/无）</w:t>
            </w:r>
          </w:p>
        </w:tc>
      </w:tr>
      <w:tr w14:paraId="1EE3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97E41A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4D62777">
            <w:pPr>
              <w:jc w:val="center"/>
              <w:rPr>
                <w:rFonts w:hint="eastAsia" w:ascii="仿宋" w:hAnsi="仿宋" w:eastAsia="仿宋" w:cs="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FAC389F">
            <w:pPr>
              <w:jc w:val="center"/>
              <w:rPr>
                <w:rFonts w:hint="eastAsia" w:ascii="仿宋" w:hAnsi="仿宋" w:eastAsia="仿宋" w:cs="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0FF04CB">
            <w:pPr>
              <w:jc w:val="center"/>
              <w:rPr>
                <w:rFonts w:hint="eastAsia" w:ascii="仿宋" w:hAnsi="仿宋" w:eastAsia="仿宋" w:cs="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73D5653">
            <w:pPr>
              <w:jc w:val="center"/>
              <w:rPr>
                <w:rFonts w:hint="eastAsia" w:ascii="仿宋" w:hAnsi="仿宋" w:eastAsia="仿宋" w:cs="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7CE5074">
            <w:pPr>
              <w:jc w:val="center"/>
              <w:rPr>
                <w:rFonts w:hint="eastAsia" w:ascii="仿宋" w:hAnsi="仿宋" w:eastAsia="仿宋" w:cs="仿宋"/>
                <w:color w:val="auto"/>
                <w:sz w:val="24"/>
                <w:highlight w:val="none"/>
              </w:rPr>
            </w:pPr>
          </w:p>
        </w:tc>
      </w:tr>
      <w:tr w14:paraId="2E86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ECA735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19A9447">
            <w:pPr>
              <w:jc w:val="center"/>
              <w:rPr>
                <w:rFonts w:hint="eastAsia" w:ascii="仿宋" w:hAnsi="仿宋" w:eastAsia="仿宋" w:cs="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C953BB3">
            <w:pPr>
              <w:jc w:val="center"/>
              <w:rPr>
                <w:rFonts w:hint="eastAsia" w:ascii="仿宋" w:hAnsi="仿宋" w:eastAsia="仿宋" w:cs="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2366483">
            <w:pPr>
              <w:jc w:val="center"/>
              <w:rPr>
                <w:rFonts w:hint="eastAsia" w:ascii="仿宋" w:hAnsi="仿宋" w:eastAsia="仿宋" w:cs="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B0C3043">
            <w:pPr>
              <w:jc w:val="center"/>
              <w:rPr>
                <w:rFonts w:hint="eastAsia" w:ascii="仿宋" w:hAnsi="仿宋" w:eastAsia="仿宋" w:cs="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CDAE6BF">
            <w:pPr>
              <w:jc w:val="center"/>
              <w:rPr>
                <w:rFonts w:hint="eastAsia" w:ascii="仿宋" w:hAnsi="仿宋" w:eastAsia="仿宋" w:cs="仿宋"/>
                <w:color w:val="auto"/>
                <w:sz w:val="24"/>
                <w:highlight w:val="none"/>
              </w:rPr>
            </w:pPr>
          </w:p>
        </w:tc>
      </w:tr>
      <w:tr w14:paraId="692D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DC04C8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2E2DA1AF">
            <w:pPr>
              <w:jc w:val="center"/>
              <w:rPr>
                <w:rFonts w:hint="eastAsia" w:ascii="仿宋" w:hAnsi="仿宋" w:eastAsia="仿宋" w:cs="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9AB57B7">
            <w:pPr>
              <w:jc w:val="center"/>
              <w:rPr>
                <w:rFonts w:hint="eastAsia" w:ascii="仿宋" w:hAnsi="仿宋" w:eastAsia="仿宋" w:cs="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FAD18FD">
            <w:pPr>
              <w:jc w:val="center"/>
              <w:rPr>
                <w:rFonts w:hint="eastAsia" w:ascii="仿宋" w:hAnsi="仿宋" w:eastAsia="仿宋" w:cs="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80F3931">
            <w:pPr>
              <w:jc w:val="center"/>
              <w:rPr>
                <w:rFonts w:hint="eastAsia" w:ascii="仿宋" w:hAnsi="仿宋" w:eastAsia="仿宋" w:cs="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6647ACA">
            <w:pPr>
              <w:jc w:val="center"/>
              <w:rPr>
                <w:rFonts w:hint="eastAsia" w:ascii="仿宋" w:hAnsi="仿宋" w:eastAsia="仿宋" w:cs="仿宋"/>
                <w:color w:val="auto"/>
                <w:sz w:val="24"/>
                <w:highlight w:val="none"/>
              </w:rPr>
            </w:pPr>
          </w:p>
        </w:tc>
      </w:tr>
    </w:tbl>
    <w:p w14:paraId="3D48A4ED">
      <w:pP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7795CBCE">
      <w:pPr>
        <w:numPr>
          <w:ilvl w:val="0"/>
          <w:numId w:val="12"/>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请在此表后附上类似业绩的合同、验收报告原件扫描件或彩色图片（如有）。</w:t>
      </w:r>
    </w:p>
    <w:p w14:paraId="042052E0">
      <w:pPr>
        <w:numPr>
          <w:ilvl w:val="0"/>
          <w:numId w:val="12"/>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所投核心产品中有被省级及省级以上主管部门认定为“首台套产品”或“制造精品”的，自认定之日起2年内视同已具备相应销售业绩，参加政府采购活动时该供应商的业绩分为满分。提供相关证明文件彩色扫描件或图片。</w:t>
      </w:r>
    </w:p>
    <w:p w14:paraId="43733CDC">
      <w:pPr>
        <w:rPr>
          <w:rFonts w:hint="eastAsia" w:ascii="仿宋" w:hAnsi="仿宋" w:eastAsia="仿宋" w:cs="仿宋"/>
          <w:color w:val="auto"/>
          <w:sz w:val="24"/>
          <w:highlight w:val="none"/>
        </w:rPr>
      </w:pPr>
    </w:p>
    <w:p w14:paraId="4EA237E3">
      <w:pPr>
        <w:rPr>
          <w:rFonts w:hint="eastAsia" w:ascii="仿宋" w:hAnsi="仿宋" w:eastAsia="仿宋" w:cs="仿宋"/>
          <w:color w:val="auto"/>
          <w:sz w:val="24"/>
          <w:highlight w:val="none"/>
        </w:rPr>
      </w:pPr>
    </w:p>
    <w:p w14:paraId="3DF5D310">
      <w:pPr>
        <w:rPr>
          <w:rFonts w:hint="eastAsia" w:ascii="仿宋" w:hAnsi="仿宋" w:eastAsia="仿宋" w:cs="仿宋"/>
          <w:color w:val="auto"/>
          <w:sz w:val="24"/>
          <w:highlight w:val="none"/>
        </w:rPr>
      </w:pPr>
    </w:p>
    <w:p w14:paraId="3646C43D">
      <w:pPr>
        <w:rPr>
          <w:rFonts w:hint="eastAsia" w:ascii="仿宋" w:hAnsi="仿宋" w:eastAsia="仿宋" w:cs="仿宋"/>
          <w:color w:val="auto"/>
          <w:sz w:val="24"/>
          <w:highlight w:val="none"/>
        </w:rPr>
      </w:pPr>
    </w:p>
    <w:p w14:paraId="42EADEC6">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78BE3D13">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7C7EC71F">
      <w:pPr>
        <w:rPr>
          <w:rFonts w:hint="eastAsia" w:ascii="仿宋" w:hAnsi="仿宋" w:eastAsia="仿宋" w:cs="仿宋"/>
          <w:color w:val="auto"/>
          <w:sz w:val="24"/>
          <w:highlight w:val="none"/>
        </w:rPr>
      </w:pPr>
    </w:p>
    <w:p w14:paraId="04606D9C">
      <w:pPr>
        <w:rPr>
          <w:rFonts w:hint="eastAsia" w:ascii="仿宋" w:hAnsi="仿宋" w:eastAsia="仿宋" w:cs="仿宋"/>
          <w:color w:val="auto"/>
          <w:sz w:val="24"/>
          <w:highlight w:val="none"/>
        </w:rPr>
      </w:pPr>
    </w:p>
    <w:p w14:paraId="18AC7519">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23A9DA8C">
      <w:pPr>
        <w:snapToGrid w:val="0"/>
        <w:spacing w:before="50" w:after="50" w:line="360" w:lineRule="auto"/>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附件16（如有）：</w:t>
      </w:r>
    </w:p>
    <w:p w14:paraId="4879B01A">
      <w:pPr>
        <w:snapToGrid w:val="0"/>
        <w:spacing w:before="50" w:after="50"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享受政府采购政策性规定情况表</w:t>
      </w:r>
    </w:p>
    <w:p w14:paraId="6E94F274">
      <w:pPr>
        <w:pStyle w:val="16"/>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供应商名称：</w:t>
      </w:r>
    </w:p>
    <w:p w14:paraId="4CFE09FB">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项目编号：</w:t>
      </w:r>
    </w:p>
    <w:tbl>
      <w:tblPr>
        <w:tblStyle w:val="31"/>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1DB3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19B125C">
            <w:pPr>
              <w:pStyle w:val="45"/>
              <w:tabs>
                <w:tab w:val="left" w:pos="1260"/>
              </w:tabs>
              <w:snapToGrid w:val="0"/>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A994FC3">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核心产品</w:t>
            </w:r>
          </w:p>
          <w:p w14:paraId="5864632C">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6990E4F">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404F6C9">
            <w:pPr>
              <w:pStyle w:val="45"/>
              <w:tabs>
                <w:tab w:val="left" w:pos="1260"/>
              </w:tabs>
              <w:snapToGrid w:val="0"/>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制造商</w:t>
            </w:r>
          </w:p>
        </w:tc>
      </w:tr>
      <w:tr w14:paraId="6E9F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C4FE4F">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FE63A65">
            <w:pPr>
              <w:pStyle w:val="45"/>
              <w:tabs>
                <w:tab w:val="left" w:pos="1260"/>
              </w:tabs>
              <w:snapToGrid w:val="0"/>
              <w:spacing w:line="360" w:lineRule="auto"/>
              <w:jc w:val="center"/>
              <w:rPr>
                <w:rFonts w:hint="eastAsia" w:ascii="仿宋" w:hAnsi="仿宋" w:eastAsia="仿宋" w:cs="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75AC30A">
            <w:pPr>
              <w:pStyle w:val="45"/>
              <w:tabs>
                <w:tab w:val="left" w:pos="1260"/>
              </w:tabs>
              <w:snapToGrid w:val="0"/>
              <w:spacing w:line="360" w:lineRule="auto"/>
              <w:jc w:val="center"/>
              <w:rPr>
                <w:rFonts w:hint="eastAsia" w:ascii="仿宋" w:hAnsi="仿宋" w:eastAsia="仿宋" w:cs="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8EA821A">
            <w:pPr>
              <w:pStyle w:val="45"/>
              <w:tabs>
                <w:tab w:val="left" w:pos="1260"/>
              </w:tabs>
              <w:snapToGrid w:val="0"/>
              <w:spacing w:line="360" w:lineRule="auto"/>
              <w:jc w:val="center"/>
              <w:rPr>
                <w:rFonts w:hint="eastAsia" w:ascii="仿宋" w:hAnsi="仿宋" w:eastAsia="仿宋" w:cs="仿宋"/>
                <w:color w:val="auto"/>
                <w:sz w:val="24"/>
                <w:highlight w:val="none"/>
              </w:rPr>
            </w:pPr>
          </w:p>
        </w:tc>
      </w:tr>
      <w:tr w14:paraId="62FB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ABB7199">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A067F4A">
            <w:pPr>
              <w:pStyle w:val="45"/>
              <w:tabs>
                <w:tab w:val="left" w:pos="1260"/>
              </w:tabs>
              <w:snapToGrid w:val="0"/>
              <w:spacing w:line="360" w:lineRule="auto"/>
              <w:jc w:val="center"/>
              <w:rPr>
                <w:rFonts w:hint="eastAsia" w:ascii="仿宋" w:hAnsi="仿宋" w:eastAsia="仿宋" w:cs="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59510D1">
            <w:pPr>
              <w:pStyle w:val="45"/>
              <w:tabs>
                <w:tab w:val="left" w:pos="1260"/>
              </w:tabs>
              <w:snapToGrid w:val="0"/>
              <w:spacing w:line="360" w:lineRule="auto"/>
              <w:jc w:val="center"/>
              <w:rPr>
                <w:rFonts w:hint="eastAsia" w:ascii="仿宋" w:hAnsi="仿宋" w:eastAsia="仿宋" w:cs="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5BBE67E">
            <w:pPr>
              <w:pStyle w:val="45"/>
              <w:tabs>
                <w:tab w:val="left" w:pos="1260"/>
              </w:tabs>
              <w:snapToGrid w:val="0"/>
              <w:spacing w:line="360" w:lineRule="auto"/>
              <w:jc w:val="center"/>
              <w:rPr>
                <w:rFonts w:hint="eastAsia" w:ascii="仿宋" w:hAnsi="仿宋" w:eastAsia="仿宋" w:cs="仿宋"/>
                <w:color w:val="auto"/>
                <w:sz w:val="24"/>
                <w:highlight w:val="none"/>
              </w:rPr>
            </w:pPr>
          </w:p>
        </w:tc>
      </w:tr>
      <w:tr w14:paraId="10A0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E480EE6">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57DD98E">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BC1665">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418D863">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90AFDF1">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节能认证</w:t>
            </w:r>
          </w:p>
          <w:p w14:paraId="3F6D6E5F">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证书编号</w:t>
            </w:r>
          </w:p>
        </w:tc>
      </w:tr>
      <w:tr w14:paraId="26F6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949421">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B0D343B">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FFD739">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19A3EA8">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B53F31E">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r>
      <w:tr w14:paraId="7F3C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29B4B2F">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CB296A">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91C578">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54AFF8B">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D57F062">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r>
      <w:tr w14:paraId="3A2C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C56E367">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环境标</w:t>
            </w:r>
          </w:p>
          <w:p w14:paraId="77D46DAB">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6087818">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F101286">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76BA3E9">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F4B0F46">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环境标志认</w:t>
            </w:r>
          </w:p>
          <w:p w14:paraId="18650BF0">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证证书编号</w:t>
            </w:r>
          </w:p>
        </w:tc>
      </w:tr>
      <w:tr w14:paraId="560E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4C485DA">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E1779D3">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3F07F9">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D6F1B7A">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F5AAFC7">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r>
      <w:tr w14:paraId="7893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5CDA8D0">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F71C74">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ADE482A">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14283FA">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9F4E1DE">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r>
    </w:tbl>
    <w:p w14:paraId="5605839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备注：1、本表的产品名称、品牌型号、制造商应与《开标一览表》、《项目明细清单》中的相应产品一致。</w:t>
      </w:r>
    </w:p>
    <w:p w14:paraId="583729D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2、享受政府采购政策性规定的需要提供相关证明材料，具体详见第二章“供应商须知”第二部分“征集文件”，否则不予认可。</w:t>
      </w:r>
    </w:p>
    <w:p w14:paraId="5EA24B9E">
      <w:pPr>
        <w:pStyle w:val="1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特别提示：供应商务必仔细阅读征集文件“政府采购政策性规定”中关于无效投标的内容。</w:t>
      </w:r>
    </w:p>
    <w:p w14:paraId="7701AA44">
      <w:pPr>
        <w:rPr>
          <w:rFonts w:hint="eastAsia" w:ascii="仿宋" w:hAnsi="仿宋" w:eastAsia="仿宋" w:cs="仿宋"/>
          <w:color w:val="auto"/>
          <w:spacing w:val="20"/>
          <w:sz w:val="24"/>
          <w:szCs w:val="24"/>
          <w:highlight w:val="none"/>
        </w:rPr>
      </w:pPr>
    </w:p>
    <w:p w14:paraId="55959798">
      <w:pPr>
        <w:rPr>
          <w:rFonts w:hint="eastAsia" w:ascii="仿宋" w:hAnsi="仿宋" w:eastAsia="仿宋" w:cs="仿宋"/>
          <w:color w:val="auto"/>
          <w:spacing w:val="20"/>
          <w:sz w:val="24"/>
          <w:szCs w:val="24"/>
          <w:highlight w:val="none"/>
        </w:rPr>
      </w:pPr>
    </w:p>
    <w:p w14:paraId="0B819E93">
      <w:pPr>
        <w:rPr>
          <w:rFonts w:hint="eastAsia" w:ascii="仿宋" w:hAnsi="仿宋" w:eastAsia="仿宋" w:cs="仿宋"/>
          <w:color w:val="auto"/>
          <w:spacing w:val="20"/>
          <w:sz w:val="24"/>
          <w:szCs w:val="24"/>
          <w:highlight w:val="none"/>
        </w:rPr>
      </w:pPr>
    </w:p>
    <w:p w14:paraId="1C84E6C0">
      <w:pPr>
        <w:rPr>
          <w:rFonts w:hint="eastAsia" w:ascii="仿宋" w:hAnsi="仿宋" w:eastAsia="仿宋" w:cs="仿宋"/>
          <w:color w:val="auto"/>
          <w:spacing w:val="20"/>
          <w:sz w:val="24"/>
          <w:szCs w:val="24"/>
          <w:highlight w:val="none"/>
        </w:rPr>
      </w:pPr>
    </w:p>
    <w:p w14:paraId="44837322">
      <w:pPr>
        <w:rPr>
          <w:rFonts w:hint="eastAsia" w:ascii="仿宋" w:hAnsi="仿宋" w:eastAsia="仿宋" w:cs="仿宋"/>
          <w:color w:val="auto"/>
          <w:spacing w:val="20"/>
          <w:sz w:val="24"/>
          <w:szCs w:val="24"/>
          <w:highlight w:val="none"/>
        </w:rPr>
      </w:pPr>
    </w:p>
    <w:p w14:paraId="4EBA6EC8">
      <w:pPr>
        <w:rPr>
          <w:rFonts w:hint="eastAsia" w:ascii="仿宋" w:hAnsi="仿宋" w:eastAsia="仿宋" w:cs="仿宋"/>
          <w:color w:val="auto"/>
          <w:spacing w:val="20"/>
          <w:sz w:val="24"/>
          <w:szCs w:val="24"/>
          <w:highlight w:val="none"/>
        </w:rPr>
      </w:pPr>
    </w:p>
    <w:p w14:paraId="0D4523C1">
      <w:pPr>
        <w:rPr>
          <w:rFonts w:hint="eastAsia" w:ascii="仿宋" w:hAnsi="仿宋" w:eastAsia="仿宋" w:cs="仿宋"/>
          <w:color w:val="auto"/>
          <w:spacing w:val="20"/>
          <w:sz w:val="24"/>
          <w:szCs w:val="24"/>
          <w:highlight w:val="none"/>
        </w:rPr>
      </w:pPr>
    </w:p>
    <w:p w14:paraId="01380D0E">
      <w:pPr>
        <w:rPr>
          <w:rFonts w:hint="eastAsia" w:ascii="仿宋" w:hAnsi="仿宋" w:eastAsia="仿宋" w:cs="仿宋"/>
          <w:color w:val="auto"/>
          <w:spacing w:val="20"/>
          <w:sz w:val="24"/>
          <w:szCs w:val="24"/>
          <w:highlight w:val="none"/>
        </w:rPr>
      </w:pPr>
    </w:p>
    <w:p w14:paraId="5198A66A">
      <w:pPr>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法定代表人或授权委托人</w:t>
      </w:r>
      <w:r>
        <w:rPr>
          <w:rFonts w:hint="eastAsia" w:ascii="仿宋" w:hAnsi="仿宋" w:eastAsia="仿宋" w:cs="仿宋"/>
          <w:color w:val="auto"/>
          <w:spacing w:val="20"/>
          <w:sz w:val="24"/>
          <w:szCs w:val="24"/>
          <w:highlight w:val="none"/>
        </w:rPr>
        <w:t>签名：</w:t>
      </w:r>
    </w:p>
    <w:p w14:paraId="1EE01E4F">
      <w:pPr>
        <w:rPr>
          <w:rFonts w:hint="eastAsia" w:ascii="仿宋" w:hAnsi="仿宋" w:eastAsia="仿宋" w:cs="仿宋"/>
          <w:color w:val="auto"/>
          <w:spacing w:val="20"/>
          <w:sz w:val="24"/>
          <w:szCs w:val="24"/>
          <w:highlight w:val="none"/>
        </w:rPr>
      </w:pPr>
    </w:p>
    <w:p w14:paraId="1CF58EAB">
      <w:pPr>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日  期：</w:t>
      </w:r>
    </w:p>
    <w:p w14:paraId="1CC4F1E5">
      <w:pPr>
        <w:rPr>
          <w:rFonts w:hint="eastAsia" w:ascii="仿宋" w:hAnsi="仿宋" w:eastAsia="仿宋" w:cs="仿宋"/>
          <w:color w:val="auto"/>
          <w:spacing w:val="20"/>
          <w:sz w:val="24"/>
          <w:szCs w:val="24"/>
          <w:highlight w:val="none"/>
          <w:u w:val="single"/>
        </w:rPr>
      </w:pPr>
    </w:p>
    <w:p w14:paraId="4133B036">
      <w:pPr>
        <w:snapToGrid w:val="0"/>
        <w:spacing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附件17：报价文件封面</w:t>
      </w:r>
    </w:p>
    <w:p w14:paraId="511E2AE8">
      <w:pPr>
        <w:snapToGrid w:val="0"/>
        <w:spacing w:beforeLines="50" w:after="50"/>
        <w:jc w:val="right"/>
        <w:rPr>
          <w:rFonts w:hint="eastAsia" w:ascii="仿宋" w:hAnsi="仿宋" w:eastAsia="仿宋" w:cs="仿宋"/>
          <w:b/>
          <w:color w:val="auto"/>
          <w:sz w:val="30"/>
          <w:szCs w:val="30"/>
          <w:highlight w:val="none"/>
        </w:rPr>
      </w:pPr>
    </w:p>
    <w:p w14:paraId="1FCD0809">
      <w:pPr>
        <w:snapToGrid w:val="0"/>
        <w:spacing w:beforeLines="50" w:after="50"/>
        <w:jc w:val="right"/>
        <w:rPr>
          <w:rFonts w:hint="eastAsia" w:ascii="仿宋" w:hAnsi="仿宋" w:eastAsia="仿宋" w:cs="仿宋"/>
          <w:bCs/>
          <w:color w:val="auto"/>
          <w:sz w:val="30"/>
          <w:szCs w:val="30"/>
          <w:highlight w:val="none"/>
        </w:rPr>
      </w:pPr>
    </w:p>
    <w:p w14:paraId="15074144">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p>
    <w:p w14:paraId="31AE0D1B">
      <w:pPr>
        <w:spacing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p>
    <w:p w14:paraId="29CD8000">
      <w:pPr>
        <w:spacing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p>
    <w:p w14:paraId="1B061B03">
      <w:pPr>
        <w:spacing w:line="1200" w:lineRule="exact"/>
        <w:ind w:right="6"/>
        <w:jc w:val="center"/>
        <w:rPr>
          <w:rFonts w:hint="eastAsia" w:ascii="仿宋" w:hAnsi="仿宋" w:eastAsia="仿宋" w:cs="仿宋"/>
          <w:color w:val="auto"/>
          <w:sz w:val="72"/>
          <w:szCs w:val="72"/>
          <w:highlight w:val="none"/>
        </w:rPr>
      </w:pPr>
    </w:p>
    <w:p w14:paraId="3C4CA7D8">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报</w:t>
      </w:r>
    </w:p>
    <w:p w14:paraId="5E58C537">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价</w:t>
      </w:r>
    </w:p>
    <w:p w14:paraId="094BCB2E">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550FE174">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247824D8">
      <w:pPr>
        <w:spacing w:line="1200" w:lineRule="exact"/>
        <w:ind w:right="6"/>
        <w:jc w:val="center"/>
        <w:rPr>
          <w:rFonts w:hint="eastAsia" w:ascii="仿宋" w:hAnsi="仿宋" w:eastAsia="仿宋" w:cs="仿宋"/>
          <w:color w:val="auto"/>
          <w:sz w:val="72"/>
          <w:szCs w:val="72"/>
          <w:highlight w:val="none"/>
        </w:rPr>
      </w:pPr>
    </w:p>
    <w:p w14:paraId="3DD68B89">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供应商名称（盖章）：</w:t>
      </w:r>
    </w:p>
    <w:p w14:paraId="7CF86405">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4EA44E63">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693CE155">
      <w:pPr>
        <w:rPr>
          <w:rFonts w:hint="eastAsia" w:ascii="仿宋" w:hAnsi="仿宋" w:eastAsia="仿宋" w:cs="仿宋"/>
          <w:color w:val="auto"/>
          <w:sz w:val="24"/>
          <w:highlight w:val="none"/>
        </w:rPr>
      </w:pPr>
    </w:p>
    <w:p w14:paraId="01E6D049">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7941176C">
      <w:pPr>
        <w:snapToGrid w:val="0"/>
        <w:spacing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附件18：报价文件目录</w:t>
      </w:r>
    </w:p>
    <w:p w14:paraId="505EECA8">
      <w:pPr>
        <w:snapToGrid w:val="0"/>
        <w:spacing w:beforeLines="50" w:after="50"/>
        <w:jc w:val="left"/>
        <w:rPr>
          <w:rFonts w:hint="eastAsia" w:ascii="仿宋" w:hAnsi="仿宋" w:eastAsia="仿宋" w:cs="仿宋"/>
          <w:color w:val="auto"/>
          <w:sz w:val="30"/>
          <w:szCs w:val="30"/>
          <w:highlight w:val="none"/>
        </w:rPr>
      </w:pPr>
    </w:p>
    <w:p w14:paraId="1C97DBF8">
      <w:pPr>
        <w:pStyle w:val="44"/>
        <w:spacing w:line="360" w:lineRule="auto"/>
        <w:ind w:firstLine="0" w:firstLineChars="0"/>
        <w:jc w:val="center"/>
        <w:rPr>
          <w:rFonts w:hint="eastAsia" w:ascii="仿宋" w:hAnsi="仿宋" w:eastAsia="仿宋" w:cs="仿宋"/>
          <w:color w:val="auto"/>
          <w:highlight w:val="none"/>
        </w:rPr>
      </w:pPr>
      <w:bookmarkStart w:id="62" w:name="_Toc64369825"/>
      <w:r>
        <w:rPr>
          <w:rFonts w:hint="eastAsia" w:ascii="仿宋" w:hAnsi="仿宋" w:eastAsia="仿宋" w:cs="仿宋"/>
          <w:color w:val="auto"/>
          <w:highlight w:val="none"/>
        </w:rPr>
        <w:t>目 录</w:t>
      </w:r>
      <w:bookmarkEnd w:id="62"/>
    </w:p>
    <w:p w14:paraId="54ADA832">
      <w:pPr>
        <w:pStyle w:val="44"/>
        <w:numPr>
          <w:ilvl w:val="0"/>
          <w:numId w:val="13"/>
        </w:numPr>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第一阶段响应报价表 ……………………………………………………（页码）</w:t>
      </w:r>
    </w:p>
    <w:p w14:paraId="5955D7E7">
      <w:pPr>
        <w:pStyle w:val="44"/>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2.关于报价的其他说明（如有，自拟）……………………………………（页码）</w:t>
      </w:r>
    </w:p>
    <w:p w14:paraId="07910B2F">
      <w:pPr>
        <w:snapToGrid w:val="0"/>
        <w:spacing w:before="50" w:after="50"/>
        <w:jc w:val="left"/>
        <w:rPr>
          <w:rFonts w:hint="eastAsia" w:ascii="仿宋" w:hAnsi="仿宋" w:eastAsia="仿宋" w:cs="仿宋"/>
          <w:b/>
          <w:color w:val="auto"/>
          <w:sz w:val="36"/>
          <w:szCs w:val="36"/>
          <w:highlight w:val="none"/>
        </w:rPr>
      </w:pPr>
    </w:p>
    <w:p w14:paraId="70F57D68">
      <w:pPr>
        <w:snapToGrid w:val="0"/>
        <w:spacing w:before="50" w:after="50"/>
        <w:jc w:val="left"/>
        <w:rPr>
          <w:rFonts w:hint="eastAsia" w:ascii="仿宋" w:hAnsi="仿宋" w:eastAsia="仿宋" w:cs="仿宋"/>
          <w:b/>
          <w:color w:val="auto"/>
          <w:sz w:val="36"/>
          <w:szCs w:val="36"/>
          <w:highlight w:val="none"/>
        </w:rPr>
      </w:pPr>
    </w:p>
    <w:p w14:paraId="45FE20E1">
      <w:pPr>
        <w:snapToGrid w:val="0"/>
        <w:spacing w:before="50" w:after="50"/>
        <w:jc w:val="left"/>
        <w:rPr>
          <w:rFonts w:hint="eastAsia" w:ascii="仿宋" w:hAnsi="仿宋" w:eastAsia="仿宋" w:cs="仿宋"/>
          <w:b/>
          <w:color w:val="auto"/>
          <w:sz w:val="36"/>
          <w:szCs w:val="36"/>
          <w:highlight w:val="none"/>
        </w:rPr>
      </w:pPr>
    </w:p>
    <w:p w14:paraId="7B0BEB30">
      <w:pPr>
        <w:snapToGrid w:val="0"/>
        <w:spacing w:before="50" w:after="50"/>
        <w:jc w:val="left"/>
        <w:rPr>
          <w:rFonts w:hint="eastAsia" w:ascii="仿宋" w:hAnsi="仿宋" w:eastAsia="仿宋" w:cs="仿宋"/>
          <w:b/>
          <w:color w:val="auto"/>
          <w:sz w:val="36"/>
          <w:szCs w:val="36"/>
          <w:highlight w:val="none"/>
        </w:rPr>
      </w:pPr>
    </w:p>
    <w:p w14:paraId="14E18C79">
      <w:pPr>
        <w:snapToGrid w:val="0"/>
        <w:spacing w:before="50" w:after="50"/>
        <w:jc w:val="left"/>
        <w:rPr>
          <w:rFonts w:hint="eastAsia" w:ascii="仿宋" w:hAnsi="仿宋" w:eastAsia="仿宋" w:cs="仿宋"/>
          <w:b/>
          <w:color w:val="auto"/>
          <w:sz w:val="36"/>
          <w:szCs w:val="36"/>
          <w:highlight w:val="none"/>
        </w:rPr>
      </w:pPr>
    </w:p>
    <w:p w14:paraId="37426C80">
      <w:pPr>
        <w:snapToGrid w:val="0"/>
        <w:spacing w:before="50" w:after="50"/>
        <w:jc w:val="left"/>
        <w:rPr>
          <w:rFonts w:hint="eastAsia" w:ascii="仿宋" w:hAnsi="仿宋" w:eastAsia="仿宋" w:cs="仿宋"/>
          <w:b/>
          <w:color w:val="auto"/>
          <w:sz w:val="36"/>
          <w:szCs w:val="36"/>
          <w:highlight w:val="none"/>
        </w:rPr>
      </w:pPr>
    </w:p>
    <w:p w14:paraId="26BB4820">
      <w:pPr>
        <w:snapToGrid w:val="0"/>
        <w:spacing w:before="50" w:after="50"/>
        <w:jc w:val="left"/>
        <w:rPr>
          <w:rFonts w:hint="eastAsia" w:ascii="仿宋" w:hAnsi="仿宋" w:eastAsia="仿宋" w:cs="仿宋"/>
          <w:b/>
          <w:color w:val="auto"/>
          <w:sz w:val="36"/>
          <w:szCs w:val="36"/>
          <w:highlight w:val="none"/>
        </w:rPr>
      </w:pPr>
    </w:p>
    <w:p w14:paraId="0533D03A">
      <w:pPr>
        <w:snapToGrid w:val="0"/>
        <w:spacing w:before="50" w:after="50"/>
        <w:jc w:val="left"/>
        <w:rPr>
          <w:rFonts w:hint="eastAsia" w:ascii="仿宋" w:hAnsi="仿宋" w:eastAsia="仿宋" w:cs="仿宋"/>
          <w:b/>
          <w:color w:val="auto"/>
          <w:sz w:val="36"/>
          <w:szCs w:val="36"/>
          <w:highlight w:val="none"/>
        </w:rPr>
      </w:pPr>
    </w:p>
    <w:p w14:paraId="6D5D1E8D">
      <w:pPr>
        <w:snapToGrid w:val="0"/>
        <w:spacing w:before="50" w:after="50"/>
        <w:jc w:val="left"/>
        <w:rPr>
          <w:rFonts w:hint="eastAsia" w:ascii="仿宋" w:hAnsi="仿宋" w:eastAsia="仿宋" w:cs="仿宋"/>
          <w:b/>
          <w:color w:val="auto"/>
          <w:sz w:val="36"/>
          <w:szCs w:val="36"/>
          <w:highlight w:val="none"/>
        </w:rPr>
      </w:pPr>
    </w:p>
    <w:p w14:paraId="21795E1C">
      <w:pPr>
        <w:snapToGrid w:val="0"/>
        <w:spacing w:before="50" w:after="50"/>
        <w:jc w:val="left"/>
        <w:rPr>
          <w:rFonts w:hint="eastAsia" w:ascii="仿宋" w:hAnsi="仿宋" w:eastAsia="仿宋" w:cs="仿宋"/>
          <w:b/>
          <w:color w:val="auto"/>
          <w:sz w:val="36"/>
          <w:szCs w:val="36"/>
          <w:highlight w:val="none"/>
        </w:rPr>
      </w:pPr>
    </w:p>
    <w:p w14:paraId="460A1719">
      <w:pPr>
        <w:snapToGrid w:val="0"/>
        <w:spacing w:before="50" w:after="50"/>
        <w:jc w:val="left"/>
        <w:rPr>
          <w:rFonts w:hint="eastAsia" w:ascii="仿宋" w:hAnsi="仿宋" w:eastAsia="仿宋" w:cs="仿宋"/>
          <w:b/>
          <w:color w:val="auto"/>
          <w:sz w:val="36"/>
          <w:szCs w:val="36"/>
          <w:highlight w:val="none"/>
        </w:rPr>
      </w:pPr>
    </w:p>
    <w:p w14:paraId="2FDF4876">
      <w:pPr>
        <w:snapToGrid w:val="0"/>
        <w:spacing w:before="50" w:after="50"/>
        <w:jc w:val="left"/>
        <w:rPr>
          <w:rFonts w:hint="eastAsia" w:ascii="仿宋" w:hAnsi="仿宋" w:eastAsia="仿宋" w:cs="仿宋"/>
          <w:b/>
          <w:color w:val="auto"/>
          <w:sz w:val="36"/>
          <w:szCs w:val="36"/>
          <w:highlight w:val="none"/>
        </w:rPr>
      </w:pPr>
    </w:p>
    <w:p w14:paraId="5BC09546">
      <w:pPr>
        <w:snapToGrid w:val="0"/>
        <w:spacing w:before="50" w:after="50"/>
        <w:jc w:val="left"/>
        <w:rPr>
          <w:rFonts w:hint="eastAsia" w:ascii="仿宋" w:hAnsi="仿宋" w:eastAsia="仿宋" w:cs="仿宋"/>
          <w:b/>
          <w:color w:val="auto"/>
          <w:sz w:val="36"/>
          <w:szCs w:val="36"/>
          <w:highlight w:val="none"/>
        </w:rPr>
      </w:pPr>
    </w:p>
    <w:p w14:paraId="2B712CF1">
      <w:pPr>
        <w:snapToGrid w:val="0"/>
        <w:spacing w:before="50" w:after="50"/>
        <w:jc w:val="left"/>
        <w:rPr>
          <w:rFonts w:hint="eastAsia" w:ascii="仿宋" w:hAnsi="仿宋" w:eastAsia="仿宋" w:cs="仿宋"/>
          <w:b/>
          <w:color w:val="auto"/>
          <w:sz w:val="36"/>
          <w:szCs w:val="36"/>
          <w:highlight w:val="none"/>
        </w:rPr>
      </w:pPr>
    </w:p>
    <w:p w14:paraId="4588D115">
      <w:pPr>
        <w:snapToGrid w:val="0"/>
        <w:spacing w:before="50" w:after="50"/>
        <w:jc w:val="left"/>
        <w:rPr>
          <w:rFonts w:hint="eastAsia" w:ascii="仿宋" w:hAnsi="仿宋" w:eastAsia="仿宋" w:cs="仿宋"/>
          <w:b/>
          <w:color w:val="auto"/>
          <w:sz w:val="36"/>
          <w:szCs w:val="36"/>
          <w:highlight w:val="none"/>
        </w:rPr>
      </w:pPr>
    </w:p>
    <w:p w14:paraId="644E792B">
      <w:pPr>
        <w:snapToGrid w:val="0"/>
        <w:spacing w:before="50" w:after="50"/>
        <w:jc w:val="left"/>
        <w:rPr>
          <w:rFonts w:hint="eastAsia" w:ascii="仿宋" w:hAnsi="仿宋" w:eastAsia="仿宋" w:cs="仿宋"/>
          <w:b/>
          <w:color w:val="auto"/>
          <w:sz w:val="36"/>
          <w:szCs w:val="36"/>
          <w:highlight w:val="none"/>
        </w:rPr>
      </w:pPr>
    </w:p>
    <w:p w14:paraId="0C260E56">
      <w:pPr>
        <w:snapToGrid w:val="0"/>
        <w:spacing w:before="50" w:after="50"/>
        <w:jc w:val="left"/>
        <w:rPr>
          <w:rFonts w:hint="eastAsia" w:ascii="仿宋" w:hAnsi="仿宋" w:eastAsia="仿宋" w:cs="仿宋"/>
          <w:b/>
          <w:color w:val="auto"/>
          <w:sz w:val="36"/>
          <w:szCs w:val="36"/>
          <w:highlight w:val="none"/>
        </w:rPr>
      </w:pPr>
    </w:p>
    <w:p w14:paraId="6892DA85">
      <w:pPr>
        <w:snapToGrid w:val="0"/>
        <w:spacing w:before="50" w:after="50"/>
        <w:jc w:val="left"/>
        <w:rPr>
          <w:rFonts w:hint="eastAsia" w:ascii="仿宋" w:hAnsi="仿宋" w:eastAsia="仿宋" w:cs="仿宋"/>
          <w:b/>
          <w:color w:val="auto"/>
          <w:sz w:val="36"/>
          <w:szCs w:val="36"/>
          <w:highlight w:val="none"/>
        </w:rPr>
      </w:pPr>
    </w:p>
    <w:p w14:paraId="014999E3">
      <w:pPr>
        <w:snapToGrid w:val="0"/>
        <w:spacing w:before="50" w:after="50"/>
        <w:jc w:val="left"/>
        <w:rPr>
          <w:rFonts w:hint="eastAsia" w:ascii="仿宋" w:hAnsi="仿宋" w:eastAsia="仿宋" w:cs="仿宋"/>
          <w:b/>
          <w:color w:val="auto"/>
          <w:sz w:val="36"/>
          <w:szCs w:val="36"/>
          <w:highlight w:val="none"/>
        </w:rPr>
      </w:pPr>
    </w:p>
    <w:p w14:paraId="6F405B66">
      <w:pPr>
        <w:snapToGrid w:val="0"/>
        <w:spacing w:before="50" w:after="50"/>
        <w:jc w:val="left"/>
        <w:rPr>
          <w:rFonts w:hint="eastAsia" w:ascii="仿宋" w:hAnsi="仿宋" w:eastAsia="仿宋" w:cs="仿宋"/>
          <w:b/>
          <w:color w:val="auto"/>
          <w:sz w:val="36"/>
          <w:szCs w:val="36"/>
          <w:highlight w:val="none"/>
        </w:rPr>
      </w:pPr>
    </w:p>
    <w:p w14:paraId="0018D4E4">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0FF3B504">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附件19：</w:t>
      </w:r>
    </w:p>
    <w:p w14:paraId="292710D2">
      <w:pPr>
        <w:spacing w:line="40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第一阶段响应报价表（标项一）</w:t>
      </w:r>
    </w:p>
    <w:p w14:paraId="257AD40F">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供应商地址：</w:t>
      </w:r>
    </w:p>
    <w:p w14:paraId="093CD444">
      <w:pPr>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标项：</w:t>
      </w:r>
    </w:p>
    <w:p w14:paraId="54390A36">
      <w:pPr>
        <w:snapToGrid w:val="0"/>
        <w:spacing w:line="400" w:lineRule="exact"/>
        <w:rPr>
          <w:rFonts w:hint="eastAsia" w:ascii="仿宋" w:hAnsi="仿宋" w:eastAsia="仿宋" w:cs="仿宋"/>
          <w:color w:val="auto"/>
          <w:sz w:val="24"/>
          <w:highlight w:val="none"/>
          <w:u w:val="single"/>
        </w:rPr>
      </w:pPr>
    </w:p>
    <w:tbl>
      <w:tblPr>
        <w:tblStyle w:val="31"/>
        <w:tblW w:w="8976"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197"/>
        <w:gridCol w:w="1483"/>
        <w:gridCol w:w="1502"/>
        <w:gridCol w:w="2115"/>
      </w:tblGrid>
      <w:tr w14:paraId="7CB8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76" w:type="dxa"/>
            <w:gridSpan w:val="5"/>
            <w:noWrap w:val="0"/>
            <w:vAlign w:val="bottom"/>
          </w:tcPr>
          <w:p w14:paraId="6B52C9AB">
            <w:pP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服务类</w:t>
            </w:r>
          </w:p>
        </w:tc>
      </w:tr>
      <w:tr w14:paraId="631F817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73" w:hRule="atLeast"/>
        </w:trPr>
        <w:tc>
          <w:tcPr>
            <w:tcW w:w="679" w:type="dxa"/>
            <w:tcBorders>
              <w:top w:val="single" w:color="auto" w:sz="6" w:space="0"/>
              <w:left w:val="single" w:color="auto" w:sz="6" w:space="0"/>
              <w:bottom w:val="single" w:color="auto" w:sz="6" w:space="0"/>
              <w:right w:val="single" w:color="auto" w:sz="6" w:space="0"/>
            </w:tcBorders>
            <w:noWrap w:val="0"/>
            <w:vAlign w:val="center"/>
          </w:tcPr>
          <w:p w14:paraId="1ACA99B7">
            <w:pPr>
              <w:autoSpaceDE w:val="0"/>
              <w:autoSpaceDN w:val="0"/>
              <w:spacing w:line="360" w:lineRule="exact"/>
              <w:jc w:val="center"/>
              <w:rPr>
                <w:rFonts w:hint="eastAsia" w:ascii="仿宋" w:hAnsi="仿宋" w:eastAsia="仿宋" w:cs="仿宋"/>
                <w:b/>
                <w:bCs/>
                <w:strike/>
                <w:color w:val="auto"/>
                <w:sz w:val="24"/>
                <w:highlight w:val="none"/>
              </w:rPr>
            </w:pPr>
            <w:r>
              <w:rPr>
                <w:rFonts w:hint="eastAsia" w:ascii="仿宋" w:hAnsi="仿宋" w:eastAsia="仿宋" w:cs="仿宋"/>
                <w:b/>
                <w:bCs/>
                <w:color w:val="auto"/>
                <w:sz w:val="24"/>
                <w:highlight w:val="none"/>
                <w:lang w:val="zh-CN"/>
              </w:rPr>
              <w:t>序号</w:t>
            </w:r>
          </w:p>
        </w:tc>
        <w:tc>
          <w:tcPr>
            <w:tcW w:w="3197" w:type="dxa"/>
            <w:tcBorders>
              <w:top w:val="single" w:color="auto" w:sz="6" w:space="0"/>
              <w:left w:val="single" w:color="auto" w:sz="6" w:space="0"/>
              <w:bottom w:val="single" w:color="auto" w:sz="6" w:space="0"/>
              <w:right w:val="single" w:color="auto" w:sz="6" w:space="0"/>
            </w:tcBorders>
            <w:noWrap w:val="0"/>
            <w:vAlign w:val="center"/>
          </w:tcPr>
          <w:p w14:paraId="7E7BC86E">
            <w:pPr>
              <w:autoSpaceDE w:val="0"/>
              <w:autoSpaceDN w:val="0"/>
              <w:spacing w:line="36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zh-CN"/>
              </w:rPr>
              <w:t>项目内容</w:t>
            </w:r>
          </w:p>
        </w:tc>
        <w:tc>
          <w:tcPr>
            <w:tcW w:w="1483" w:type="dxa"/>
            <w:tcBorders>
              <w:top w:val="single" w:color="auto" w:sz="6" w:space="0"/>
              <w:left w:val="single" w:color="auto" w:sz="6" w:space="0"/>
              <w:bottom w:val="single" w:color="auto" w:sz="6" w:space="0"/>
              <w:right w:val="single" w:color="auto" w:sz="6" w:space="0"/>
            </w:tcBorders>
            <w:noWrap w:val="0"/>
            <w:vAlign w:val="center"/>
          </w:tcPr>
          <w:p w14:paraId="1B5AA8F2">
            <w:pPr>
              <w:snapToGrid w:val="0"/>
              <w:ind w:left="-107" w:leftChars="-51" w:right="-107" w:rightChars="-51"/>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建筑面积</w:t>
            </w:r>
          </w:p>
        </w:tc>
        <w:tc>
          <w:tcPr>
            <w:tcW w:w="1502" w:type="dxa"/>
            <w:tcBorders>
              <w:top w:val="single" w:color="auto" w:sz="6" w:space="0"/>
              <w:left w:val="single" w:color="auto" w:sz="6" w:space="0"/>
              <w:bottom w:val="single" w:color="auto" w:sz="6" w:space="0"/>
              <w:right w:val="single" w:color="auto" w:sz="6" w:space="0"/>
            </w:tcBorders>
            <w:noWrap w:val="0"/>
            <w:vAlign w:val="center"/>
          </w:tcPr>
          <w:p w14:paraId="54F7BF90">
            <w:pPr>
              <w:snapToGrid w:val="0"/>
              <w:ind w:left="-107" w:leftChars="-51" w:right="-107" w:rightChars="-51"/>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最高限制单价</w:t>
            </w:r>
            <w:r>
              <w:rPr>
                <w:rFonts w:hint="eastAsia" w:ascii="仿宋" w:hAnsi="仿宋" w:eastAsia="仿宋" w:cs="仿宋"/>
                <w:b/>
                <w:bCs/>
                <w:color w:val="auto"/>
                <w:sz w:val="24"/>
                <w:highlight w:val="none"/>
              </w:rPr>
              <w:t>（元/㎡）</w:t>
            </w:r>
          </w:p>
        </w:tc>
        <w:tc>
          <w:tcPr>
            <w:tcW w:w="2115" w:type="dxa"/>
            <w:tcBorders>
              <w:top w:val="single" w:color="auto" w:sz="6" w:space="0"/>
              <w:left w:val="single" w:color="auto" w:sz="6" w:space="0"/>
              <w:bottom w:val="single" w:color="auto" w:sz="6" w:space="0"/>
              <w:right w:val="single" w:color="auto" w:sz="6" w:space="0"/>
            </w:tcBorders>
            <w:noWrap w:val="0"/>
            <w:vAlign w:val="center"/>
          </w:tcPr>
          <w:p w14:paraId="32AC47A6">
            <w:pPr>
              <w:autoSpaceDE w:val="0"/>
              <w:autoSpaceDN w:val="0"/>
              <w:spacing w:line="360" w:lineRule="exact"/>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响应报价（折扣率）</w:t>
            </w:r>
          </w:p>
        </w:tc>
      </w:tr>
      <w:tr w14:paraId="705244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14" w:hRule="atLeast"/>
        </w:trPr>
        <w:tc>
          <w:tcPr>
            <w:tcW w:w="679" w:type="dxa"/>
            <w:tcBorders>
              <w:top w:val="single" w:color="auto" w:sz="6" w:space="0"/>
              <w:left w:val="single" w:color="auto" w:sz="6" w:space="0"/>
              <w:bottom w:val="single" w:color="auto" w:sz="6" w:space="0"/>
              <w:right w:val="single" w:color="auto" w:sz="6" w:space="0"/>
            </w:tcBorders>
            <w:noWrap w:val="0"/>
            <w:vAlign w:val="center"/>
          </w:tcPr>
          <w:p w14:paraId="764289D8">
            <w:pPr>
              <w:autoSpaceDE w:val="0"/>
              <w:autoSpaceDN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197" w:type="dxa"/>
            <w:tcBorders>
              <w:top w:val="single" w:color="auto" w:sz="6" w:space="0"/>
              <w:left w:val="single" w:color="auto" w:sz="6" w:space="0"/>
              <w:bottom w:val="single" w:color="auto" w:sz="6" w:space="0"/>
              <w:right w:val="single" w:color="auto" w:sz="6" w:space="0"/>
            </w:tcBorders>
            <w:noWrap w:val="0"/>
            <w:vAlign w:val="center"/>
          </w:tcPr>
          <w:p w14:paraId="41EFD406">
            <w:pPr>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2025年度消防技术服务框架协议（封闭式）采购项目</w:t>
            </w:r>
          </w:p>
        </w:tc>
        <w:tc>
          <w:tcPr>
            <w:tcW w:w="1483" w:type="dxa"/>
            <w:tcBorders>
              <w:top w:val="single" w:color="auto" w:sz="6" w:space="0"/>
              <w:left w:val="single" w:color="auto" w:sz="6" w:space="0"/>
              <w:bottom w:val="single" w:color="auto" w:sz="6" w:space="0"/>
              <w:right w:val="single" w:color="auto" w:sz="6" w:space="0"/>
            </w:tcBorders>
            <w:noWrap w:val="0"/>
            <w:vAlign w:val="center"/>
          </w:tcPr>
          <w:p w14:paraId="79846147">
            <w:pPr>
              <w:snapToGrid w:val="0"/>
              <w:ind w:left="-107" w:leftChars="-51" w:right="-107" w:rightChars="-51" w:firstLine="1"/>
              <w:jc w:val="center"/>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不执行分段累进</w:t>
            </w:r>
          </w:p>
        </w:tc>
        <w:tc>
          <w:tcPr>
            <w:tcW w:w="1502" w:type="dxa"/>
            <w:tcBorders>
              <w:top w:val="single" w:color="auto" w:sz="6" w:space="0"/>
              <w:left w:val="single" w:color="auto" w:sz="6" w:space="0"/>
              <w:bottom w:val="single" w:color="auto" w:sz="6" w:space="0"/>
              <w:right w:val="single" w:color="auto" w:sz="6" w:space="0"/>
            </w:tcBorders>
            <w:noWrap w:val="0"/>
            <w:vAlign w:val="center"/>
          </w:tcPr>
          <w:p w14:paraId="5227926F">
            <w:pPr>
              <w:snapToGrid w:val="0"/>
              <w:ind w:left="-107" w:leftChars="-51" w:right="-107" w:rightChars="-51" w:firstLine="1"/>
              <w:jc w:val="center"/>
              <w:rPr>
                <w:rFonts w:hint="eastAsia" w:ascii="仿宋" w:hAnsi="仿宋" w:eastAsia="仿宋" w:cs="仿宋"/>
                <w:color w:val="auto"/>
                <w:sz w:val="24"/>
                <w:highlight w:val="none"/>
                <w:lang w:eastAsia="zh-CN"/>
              </w:rPr>
            </w:pPr>
            <w:r>
              <w:rPr>
                <w:rFonts w:hint="eastAsia" w:ascii="仿宋" w:hAnsi="仿宋" w:eastAsia="仿宋" w:cs="仿宋"/>
                <w:color w:val="auto"/>
                <w:spacing w:val="20"/>
                <w:sz w:val="24"/>
                <w:highlight w:val="none"/>
                <w:lang w:eastAsia="zh-CN"/>
              </w:rPr>
              <w:t>1.2</w:t>
            </w:r>
          </w:p>
        </w:tc>
        <w:tc>
          <w:tcPr>
            <w:tcW w:w="2115" w:type="dxa"/>
            <w:tcBorders>
              <w:top w:val="single" w:color="auto" w:sz="6" w:space="0"/>
              <w:left w:val="single" w:color="auto" w:sz="6" w:space="0"/>
              <w:bottom w:val="single" w:color="auto" w:sz="6" w:space="0"/>
              <w:right w:val="single" w:color="auto" w:sz="6" w:space="0"/>
            </w:tcBorders>
            <w:noWrap w:val="0"/>
            <w:vAlign w:val="center"/>
          </w:tcPr>
          <w:p w14:paraId="6EB77311">
            <w:pPr>
              <w:autoSpaceDE w:val="0"/>
              <w:autoSpaceDN w:val="0"/>
              <w:spacing w:line="340" w:lineRule="exact"/>
              <w:rPr>
                <w:rFonts w:hint="eastAsia" w:ascii="仿宋" w:hAnsi="仿宋" w:eastAsia="仿宋" w:cs="仿宋"/>
                <w:color w:val="auto"/>
                <w:sz w:val="24"/>
                <w:highlight w:val="none"/>
              </w:rPr>
            </w:pPr>
          </w:p>
        </w:tc>
      </w:tr>
      <w:tr w14:paraId="2AC80AD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14" w:hRule="atLeast"/>
        </w:trPr>
        <w:tc>
          <w:tcPr>
            <w:tcW w:w="5359" w:type="dxa"/>
            <w:gridSpan w:val="3"/>
            <w:tcBorders>
              <w:top w:val="single" w:color="auto" w:sz="6" w:space="0"/>
              <w:left w:val="single" w:color="auto" w:sz="6" w:space="0"/>
              <w:bottom w:val="single" w:color="auto" w:sz="6" w:space="0"/>
              <w:right w:val="single" w:color="auto" w:sz="6" w:space="0"/>
            </w:tcBorders>
            <w:noWrap w:val="0"/>
            <w:vAlign w:val="center"/>
          </w:tcPr>
          <w:p w14:paraId="57DFDA11">
            <w:pPr>
              <w:snapToGrid w:val="0"/>
              <w:ind w:left="-107" w:leftChars="-51" w:right="-107" w:rightChars="-51" w:firstLine="1"/>
              <w:jc w:val="center"/>
              <w:rPr>
                <w:rFonts w:hint="eastAsia" w:ascii="仿宋" w:hAnsi="仿宋" w:eastAsia="仿宋" w:cs="仿宋"/>
                <w:color w:val="auto"/>
                <w:spacing w:val="20"/>
                <w:sz w:val="24"/>
                <w:highlight w:val="none"/>
              </w:rPr>
            </w:pPr>
            <w:r>
              <w:rPr>
                <w:rFonts w:hint="eastAsia" w:ascii="仿宋" w:hAnsi="仿宋" w:eastAsia="仿宋" w:cs="仿宋"/>
                <w:b/>
                <w:snapToGrid w:val="0"/>
                <w:color w:val="auto"/>
                <w:kern w:val="0"/>
                <w:sz w:val="22"/>
                <w:highlight w:val="none"/>
              </w:rPr>
              <w:t>响应报价（折扣率）</w:t>
            </w:r>
          </w:p>
        </w:tc>
        <w:tc>
          <w:tcPr>
            <w:tcW w:w="3617" w:type="dxa"/>
            <w:gridSpan w:val="2"/>
            <w:tcBorders>
              <w:top w:val="single" w:color="auto" w:sz="6" w:space="0"/>
              <w:left w:val="single" w:color="auto" w:sz="6" w:space="0"/>
              <w:bottom w:val="single" w:color="auto" w:sz="6" w:space="0"/>
              <w:right w:val="single" w:color="auto" w:sz="6" w:space="0"/>
            </w:tcBorders>
            <w:noWrap w:val="0"/>
            <w:vAlign w:val="center"/>
          </w:tcPr>
          <w:p w14:paraId="45F83B44">
            <w:pPr>
              <w:autoSpaceDE w:val="0"/>
              <w:autoSpaceDN w:val="0"/>
              <w:spacing w:line="340" w:lineRule="exact"/>
              <w:rPr>
                <w:rFonts w:hint="eastAsia" w:ascii="仿宋" w:hAnsi="仿宋" w:eastAsia="仿宋" w:cs="仿宋"/>
                <w:color w:val="auto"/>
                <w:sz w:val="24"/>
                <w:highlight w:val="none"/>
              </w:rPr>
            </w:pPr>
            <w:r>
              <w:rPr>
                <w:rFonts w:hint="eastAsia" w:ascii="仿宋" w:hAnsi="仿宋" w:eastAsia="仿宋" w:cs="仿宋"/>
                <w:bCs/>
                <w:snapToGrid w:val="0"/>
                <w:color w:val="auto"/>
                <w:kern w:val="0"/>
                <w:sz w:val="22"/>
                <w:highlight w:val="none"/>
              </w:rPr>
              <w:t xml:space="preserve">大写：    </w:t>
            </w:r>
          </w:p>
        </w:tc>
      </w:tr>
    </w:tbl>
    <w:p w14:paraId="27D1CC0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rPr>
        <w:t>注：</w:t>
      </w:r>
      <w:r>
        <w:rPr>
          <w:rFonts w:hint="eastAsia" w:ascii="仿宋" w:hAnsi="仿宋" w:eastAsia="仿宋" w:cs="仿宋"/>
          <w:bCs/>
          <w:color w:val="auto"/>
          <w:kern w:val="0"/>
          <w:sz w:val="24"/>
          <w:szCs w:val="24"/>
          <w:highlight w:val="none"/>
          <w:lang w:val="en-US" w:eastAsia="zh-CN"/>
        </w:rPr>
        <w:t>1.</w:t>
      </w:r>
      <w:r>
        <w:rPr>
          <w:rFonts w:hint="eastAsia" w:ascii="仿宋" w:hAnsi="仿宋" w:eastAsia="仿宋" w:cs="仿宋"/>
          <w:bCs/>
          <w:color w:val="auto"/>
          <w:kern w:val="0"/>
          <w:sz w:val="24"/>
          <w:szCs w:val="24"/>
          <w:highlight w:val="none"/>
          <w:lang w:val="zh-CN"/>
        </w:rPr>
        <w:t>政采云投标客户端第一阶段响应报价表内容与响应文件第一阶段响应报价表相应内容不一致的，以响应文件第一阶段响应报价表(报价表)为准。</w:t>
      </w:r>
    </w:p>
    <w:p w14:paraId="23092378">
      <w:pPr>
        <w:pStyle w:val="3"/>
        <w:keepNext w:val="0"/>
        <w:keepLines w:val="0"/>
        <w:pageBreakBefore w:val="0"/>
        <w:widowControl w:val="0"/>
        <w:kinsoku/>
        <w:wordWrap/>
        <w:overflowPunct/>
        <w:topLinePunct w:val="0"/>
        <w:autoSpaceDE/>
        <w:autoSpaceDN/>
        <w:bidi w:val="0"/>
        <w:adjustRightInd/>
        <w:spacing w:before="0" w:after="0" w:line="440" w:lineRule="exact"/>
        <w:ind w:firstLine="480" w:firstLineChars="200"/>
        <w:jc w:val="left"/>
        <w:textAlignment w:val="auto"/>
        <w:rPr>
          <w:rFonts w:hint="eastAsia" w:ascii="仿宋" w:hAnsi="仿宋" w:eastAsia="仿宋" w:cs="仿宋"/>
          <w:b w:val="0"/>
          <w:bCs/>
          <w:color w:val="auto"/>
          <w:kern w:val="0"/>
          <w:sz w:val="24"/>
          <w:szCs w:val="24"/>
          <w:highlight w:val="none"/>
          <w:lang w:val="zh-CN" w:eastAsia="zh-CN" w:bidi="ar-SA"/>
        </w:rPr>
      </w:pPr>
      <w:r>
        <w:rPr>
          <w:rFonts w:hint="eastAsia" w:ascii="仿宋" w:hAnsi="仿宋" w:cs="仿宋"/>
          <w:b w:val="0"/>
          <w:bCs/>
          <w:color w:val="auto"/>
          <w:kern w:val="0"/>
          <w:sz w:val="24"/>
          <w:szCs w:val="24"/>
          <w:highlight w:val="none"/>
          <w:lang w:val="en-US" w:eastAsia="zh-CN" w:bidi="ar-SA"/>
        </w:rPr>
        <w:t>2.</w:t>
      </w:r>
      <w:r>
        <w:rPr>
          <w:rFonts w:hint="eastAsia" w:ascii="仿宋" w:hAnsi="仿宋" w:eastAsia="仿宋" w:cs="仿宋"/>
          <w:b w:val="0"/>
          <w:bCs/>
          <w:color w:val="auto"/>
          <w:kern w:val="0"/>
          <w:sz w:val="24"/>
          <w:szCs w:val="24"/>
          <w:highlight w:val="none"/>
          <w:lang w:val="zh-CN" w:eastAsia="zh-CN" w:bidi="ar-SA"/>
        </w:rPr>
        <w:t>★响应报价（折扣率）小数位</w:t>
      </w:r>
      <w:r>
        <w:rPr>
          <w:rFonts w:hint="eastAsia" w:ascii="仿宋" w:hAnsi="仿宋" w:cs="仿宋"/>
          <w:b w:val="0"/>
          <w:bCs/>
          <w:color w:val="auto"/>
          <w:kern w:val="0"/>
          <w:sz w:val="24"/>
          <w:szCs w:val="24"/>
          <w:highlight w:val="none"/>
          <w:lang w:val="en-US" w:eastAsia="zh-CN" w:bidi="ar-SA"/>
        </w:rPr>
        <w:t>最多</w:t>
      </w:r>
      <w:r>
        <w:rPr>
          <w:rFonts w:hint="eastAsia" w:ascii="仿宋" w:hAnsi="仿宋" w:eastAsia="仿宋" w:cs="仿宋"/>
          <w:b w:val="0"/>
          <w:bCs/>
          <w:color w:val="auto"/>
          <w:kern w:val="0"/>
          <w:sz w:val="24"/>
          <w:szCs w:val="24"/>
          <w:highlight w:val="none"/>
          <w:lang w:val="zh-CN" w:eastAsia="zh-CN" w:bidi="ar-SA"/>
        </w:rPr>
        <w:t>保留</w:t>
      </w:r>
      <w:r>
        <w:rPr>
          <w:rFonts w:hint="eastAsia" w:ascii="仿宋" w:hAnsi="仿宋" w:cs="仿宋"/>
          <w:b w:val="0"/>
          <w:bCs/>
          <w:color w:val="auto"/>
          <w:kern w:val="0"/>
          <w:sz w:val="24"/>
          <w:szCs w:val="24"/>
          <w:highlight w:val="none"/>
          <w:lang w:val="en-US" w:eastAsia="zh-CN" w:bidi="ar-SA"/>
        </w:rPr>
        <w:t>2</w:t>
      </w:r>
      <w:r>
        <w:rPr>
          <w:rFonts w:hint="eastAsia" w:ascii="仿宋" w:hAnsi="仿宋" w:eastAsia="仿宋" w:cs="仿宋"/>
          <w:b w:val="0"/>
          <w:bCs/>
          <w:color w:val="auto"/>
          <w:kern w:val="0"/>
          <w:sz w:val="24"/>
          <w:szCs w:val="24"/>
          <w:highlight w:val="none"/>
          <w:lang w:val="zh-CN" w:eastAsia="zh-CN" w:bidi="ar-SA"/>
        </w:rPr>
        <w:t>位小数，否则按无效标处理。</w:t>
      </w:r>
    </w:p>
    <w:p w14:paraId="72A2EADB">
      <w:pPr>
        <w:pStyle w:val="3"/>
        <w:keepNext w:val="0"/>
        <w:keepLines w:val="0"/>
        <w:pageBreakBefore w:val="0"/>
        <w:widowControl w:val="0"/>
        <w:kinsoku/>
        <w:wordWrap/>
        <w:overflowPunct/>
        <w:topLinePunct w:val="0"/>
        <w:autoSpaceDE/>
        <w:autoSpaceDN/>
        <w:bidi w:val="0"/>
        <w:adjustRightInd/>
        <w:spacing w:before="0" w:after="0" w:line="440" w:lineRule="exact"/>
        <w:ind w:firstLine="480" w:firstLineChars="200"/>
        <w:jc w:val="left"/>
        <w:textAlignment w:val="auto"/>
        <w:rPr>
          <w:rFonts w:hint="eastAsia" w:ascii="仿宋" w:hAnsi="仿宋" w:eastAsia="仿宋" w:cs="仿宋"/>
          <w:b w:val="0"/>
          <w:bCs/>
          <w:color w:val="auto"/>
          <w:kern w:val="0"/>
          <w:sz w:val="24"/>
          <w:szCs w:val="24"/>
          <w:highlight w:val="none"/>
          <w:lang w:val="zh-CN" w:eastAsia="zh-CN" w:bidi="ar-SA"/>
        </w:rPr>
      </w:pPr>
      <w:r>
        <w:rPr>
          <w:rFonts w:hint="eastAsia" w:ascii="仿宋" w:hAnsi="仿宋" w:cs="仿宋"/>
          <w:b w:val="0"/>
          <w:bCs/>
          <w:color w:val="auto"/>
          <w:kern w:val="0"/>
          <w:sz w:val="24"/>
          <w:szCs w:val="24"/>
          <w:highlight w:val="none"/>
          <w:lang w:val="en-US" w:eastAsia="zh-CN" w:bidi="ar-SA"/>
        </w:rPr>
        <w:t>3.</w:t>
      </w:r>
      <w:r>
        <w:rPr>
          <w:rFonts w:hint="eastAsia" w:ascii="仿宋" w:hAnsi="仿宋" w:eastAsia="仿宋" w:cs="仿宋"/>
          <w:b w:val="0"/>
          <w:bCs/>
          <w:color w:val="auto"/>
          <w:kern w:val="0"/>
          <w:sz w:val="24"/>
          <w:szCs w:val="24"/>
          <w:highlight w:val="none"/>
          <w:lang w:val="zh-CN" w:eastAsia="zh-CN" w:bidi="ar-SA"/>
        </w:rPr>
        <w:t>报价采用折扣率，最高限价以征集人制定的收费标准为基础，以该基准的100%为最高限制单价（或最高限制折扣率），高于该报价按无效标处理。报价不作为评分依据，但作为供应商得分相同时的排序依据。</w:t>
      </w:r>
    </w:p>
    <w:p w14:paraId="679A7BF7">
      <w:pPr>
        <w:pStyle w:val="3"/>
        <w:keepNext w:val="0"/>
        <w:keepLines w:val="0"/>
        <w:pageBreakBefore w:val="0"/>
        <w:widowControl w:val="0"/>
        <w:kinsoku/>
        <w:wordWrap/>
        <w:overflowPunct/>
        <w:topLinePunct w:val="0"/>
        <w:autoSpaceDE/>
        <w:autoSpaceDN/>
        <w:bidi w:val="0"/>
        <w:adjustRightInd/>
        <w:spacing w:before="0" w:after="0" w:line="440" w:lineRule="exact"/>
        <w:ind w:firstLine="480" w:firstLineChars="200"/>
        <w:jc w:val="left"/>
        <w:textAlignment w:val="auto"/>
        <w:rPr>
          <w:rFonts w:hint="eastAsia" w:ascii="仿宋" w:hAnsi="仿宋" w:eastAsia="仿宋" w:cs="仿宋"/>
          <w:b w:val="0"/>
          <w:bCs/>
          <w:color w:val="auto"/>
          <w:kern w:val="0"/>
          <w:sz w:val="24"/>
          <w:szCs w:val="24"/>
          <w:highlight w:val="none"/>
          <w:lang w:val="zh-CN" w:eastAsia="zh-CN" w:bidi="ar-SA"/>
        </w:rPr>
      </w:pPr>
      <w:r>
        <w:rPr>
          <w:rFonts w:hint="eastAsia" w:ascii="仿宋" w:hAnsi="仿宋" w:cs="仿宋"/>
          <w:b w:val="0"/>
          <w:bCs/>
          <w:color w:val="auto"/>
          <w:kern w:val="0"/>
          <w:sz w:val="24"/>
          <w:szCs w:val="24"/>
          <w:highlight w:val="none"/>
          <w:lang w:val="en-US" w:eastAsia="zh-CN" w:bidi="ar-SA"/>
        </w:rPr>
        <w:t>4</w:t>
      </w:r>
      <w:r>
        <w:rPr>
          <w:rFonts w:hint="eastAsia" w:ascii="仿宋" w:hAnsi="仿宋" w:eastAsia="仿宋" w:cs="仿宋"/>
          <w:b w:val="0"/>
          <w:bCs/>
          <w:color w:val="auto"/>
          <w:kern w:val="0"/>
          <w:sz w:val="24"/>
          <w:szCs w:val="24"/>
          <w:highlight w:val="none"/>
          <w:lang w:val="zh-CN" w:eastAsia="zh-CN" w:bidi="ar-SA"/>
        </w:rPr>
        <w:t>.例：如填报响应报价（折扣率）为60.0%，则最结算价款=现场评定建筑面积×最高限制单价*</w:t>
      </w:r>
      <w:r>
        <w:rPr>
          <w:rFonts w:hint="eastAsia" w:ascii="仿宋" w:hAnsi="仿宋" w:cs="仿宋"/>
          <w:b w:val="0"/>
          <w:bCs/>
          <w:color w:val="auto"/>
          <w:kern w:val="0"/>
          <w:sz w:val="24"/>
          <w:szCs w:val="24"/>
          <w:highlight w:val="none"/>
          <w:lang w:val="en-US" w:eastAsia="zh-CN" w:bidi="ar-SA"/>
        </w:rPr>
        <w:t>60%</w:t>
      </w:r>
      <w:r>
        <w:rPr>
          <w:rFonts w:hint="eastAsia" w:ascii="仿宋" w:hAnsi="仿宋" w:cs="仿宋"/>
          <w:b w:val="0"/>
          <w:bCs/>
          <w:color w:val="auto"/>
          <w:kern w:val="0"/>
          <w:sz w:val="24"/>
          <w:szCs w:val="24"/>
          <w:highlight w:val="none"/>
          <w:lang w:val="zh-CN" w:eastAsia="zh-CN" w:bidi="ar-SA"/>
        </w:rPr>
        <w:t>。</w:t>
      </w:r>
    </w:p>
    <w:p w14:paraId="27CE960F">
      <w:pPr>
        <w:pStyle w:val="3"/>
        <w:keepNext w:val="0"/>
        <w:keepLines w:val="0"/>
        <w:pageBreakBefore w:val="0"/>
        <w:widowControl w:val="0"/>
        <w:kinsoku/>
        <w:wordWrap/>
        <w:overflowPunct/>
        <w:topLinePunct w:val="0"/>
        <w:autoSpaceDE/>
        <w:autoSpaceDN/>
        <w:bidi w:val="0"/>
        <w:adjustRightInd/>
        <w:spacing w:before="0" w:after="0" w:line="440" w:lineRule="exact"/>
        <w:ind w:firstLine="480" w:firstLineChars="200"/>
        <w:jc w:val="left"/>
        <w:textAlignment w:val="auto"/>
        <w:rPr>
          <w:rFonts w:hint="eastAsia"/>
          <w:color w:val="auto"/>
          <w:highlight w:val="none"/>
          <w:lang w:val="zh-CN"/>
        </w:rPr>
      </w:pPr>
      <w:r>
        <w:rPr>
          <w:rFonts w:hint="eastAsia" w:ascii="仿宋" w:hAnsi="仿宋" w:cs="仿宋"/>
          <w:b w:val="0"/>
          <w:bCs/>
          <w:color w:val="auto"/>
          <w:kern w:val="0"/>
          <w:sz w:val="24"/>
          <w:szCs w:val="24"/>
          <w:highlight w:val="none"/>
          <w:lang w:val="en-US" w:eastAsia="zh-CN" w:bidi="ar-SA"/>
        </w:rPr>
        <w:t>5</w:t>
      </w:r>
      <w:r>
        <w:rPr>
          <w:rFonts w:hint="eastAsia" w:ascii="仿宋" w:hAnsi="仿宋" w:eastAsia="仿宋" w:cs="仿宋"/>
          <w:b w:val="0"/>
          <w:bCs/>
          <w:color w:val="auto"/>
          <w:kern w:val="0"/>
          <w:sz w:val="24"/>
          <w:szCs w:val="24"/>
          <w:highlight w:val="none"/>
          <w:lang w:val="zh-CN" w:eastAsia="zh-CN" w:bidi="ar-SA"/>
        </w:rPr>
        <w:t>.通过政采云填写报价明细表时需注意：优惠率即为折扣率。</w:t>
      </w:r>
    </w:p>
    <w:p w14:paraId="52853B32">
      <w:pPr>
        <w:snapToGrid w:val="0"/>
        <w:ind w:firstLine="480" w:firstLineChars="200"/>
        <w:jc w:val="right"/>
        <w:rPr>
          <w:rFonts w:hint="eastAsia" w:ascii="仿宋" w:hAnsi="仿宋" w:eastAsia="仿宋" w:cs="仿宋"/>
          <w:color w:val="auto"/>
          <w:sz w:val="24"/>
          <w:highlight w:val="none"/>
        </w:rPr>
      </w:pPr>
      <w:bookmarkStart w:id="63" w:name="_Toc64369827"/>
    </w:p>
    <w:p w14:paraId="2A4F90C8">
      <w:pPr>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法定代表人或其授权代表签字（或盖章）</w:t>
      </w:r>
    </w:p>
    <w:p w14:paraId="2462856E">
      <w:pPr>
        <w:snapToGrid w:val="0"/>
        <w:jc w:val="right"/>
        <w:rPr>
          <w:rFonts w:hint="eastAsia" w:ascii="仿宋" w:hAnsi="仿宋" w:eastAsia="仿宋" w:cs="仿宋"/>
          <w:color w:val="auto"/>
          <w:sz w:val="24"/>
          <w:highlight w:val="none"/>
        </w:rPr>
      </w:pPr>
    </w:p>
    <w:p w14:paraId="0AA037CD">
      <w:pPr>
        <w:snapToGrid w:val="0"/>
        <w:ind w:firstLine="720" w:firstLineChars="3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bookmarkEnd w:id="63"/>
    </w:p>
    <w:p w14:paraId="7CDC2B1F">
      <w:pPr>
        <w:snapToGrid w:val="0"/>
        <w:ind w:firstLine="480" w:firstLineChars="200"/>
        <w:jc w:val="left"/>
        <w:rPr>
          <w:rFonts w:hint="eastAsia" w:ascii="仿宋" w:hAnsi="仿宋" w:eastAsia="仿宋" w:cs="仿宋"/>
          <w:color w:val="auto"/>
          <w:sz w:val="24"/>
          <w:highlight w:val="none"/>
        </w:rPr>
      </w:pPr>
    </w:p>
    <w:p w14:paraId="21AB93CB">
      <w:pPr>
        <w:pStyle w:val="3"/>
        <w:rPr>
          <w:rFonts w:hint="eastAsia" w:ascii="仿宋" w:hAnsi="仿宋" w:eastAsia="仿宋" w:cs="仿宋"/>
          <w:color w:val="auto"/>
          <w:sz w:val="24"/>
          <w:highlight w:val="none"/>
        </w:rPr>
      </w:pPr>
    </w:p>
    <w:p w14:paraId="0608D3C8">
      <w:pPr>
        <w:rPr>
          <w:rFonts w:hint="eastAsia" w:ascii="仿宋" w:hAnsi="仿宋" w:eastAsia="仿宋" w:cs="仿宋"/>
          <w:color w:val="auto"/>
          <w:sz w:val="24"/>
          <w:highlight w:val="none"/>
        </w:rPr>
      </w:pPr>
    </w:p>
    <w:p w14:paraId="35ECB65E">
      <w:pPr>
        <w:pStyle w:val="3"/>
        <w:rPr>
          <w:rFonts w:hint="eastAsia" w:ascii="仿宋" w:hAnsi="仿宋" w:eastAsia="仿宋" w:cs="仿宋"/>
          <w:color w:val="auto"/>
          <w:sz w:val="24"/>
          <w:highlight w:val="none"/>
        </w:rPr>
      </w:pPr>
    </w:p>
    <w:p w14:paraId="58E51F29">
      <w:pPr>
        <w:rPr>
          <w:rFonts w:hint="eastAsia" w:ascii="仿宋" w:hAnsi="仿宋" w:eastAsia="仿宋" w:cs="仿宋"/>
          <w:color w:val="auto"/>
          <w:sz w:val="24"/>
          <w:highlight w:val="none"/>
        </w:rPr>
      </w:pPr>
    </w:p>
    <w:p w14:paraId="24E9161B">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B747AA5">
      <w:pPr>
        <w:pStyle w:val="2"/>
        <w:rPr>
          <w:rFonts w:hint="eastAsia" w:ascii="仿宋" w:hAnsi="仿宋" w:eastAsia="仿宋" w:cs="仿宋"/>
          <w:color w:val="auto"/>
          <w:highlight w:val="none"/>
        </w:rPr>
      </w:pPr>
      <w:bookmarkStart w:id="64" w:name="_Toc12011"/>
      <w:bookmarkStart w:id="65" w:name="_Toc3261"/>
      <w:r>
        <w:rPr>
          <w:rFonts w:hint="eastAsia" w:ascii="仿宋" w:hAnsi="仿宋" w:eastAsia="仿宋" w:cs="仿宋"/>
          <w:color w:val="auto"/>
          <w:highlight w:val="none"/>
        </w:rPr>
        <w:t>第七章  询问、质疑及投诉</w:t>
      </w:r>
      <w:bookmarkEnd w:id="64"/>
      <w:bookmarkEnd w:id="65"/>
    </w:p>
    <w:p w14:paraId="2D1C9B99">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7CDD0932">
      <w:pPr>
        <w:pStyle w:val="3"/>
        <w:rPr>
          <w:rFonts w:hint="eastAsia" w:ascii="仿宋" w:hAnsi="仿宋" w:eastAsia="仿宋" w:cs="仿宋"/>
          <w:color w:val="auto"/>
          <w:highlight w:val="none"/>
        </w:rPr>
      </w:pPr>
      <w:bookmarkStart w:id="66" w:name="_Toc12655"/>
      <w:bookmarkStart w:id="67" w:name="_Toc29690"/>
      <w:r>
        <w:rPr>
          <w:rFonts w:hint="eastAsia" w:ascii="仿宋" w:hAnsi="仿宋" w:eastAsia="仿宋" w:cs="仿宋"/>
          <w:color w:val="auto"/>
          <w:highlight w:val="none"/>
        </w:rPr>
        <w:t>一、供应商询问</w:t>
      </w:r>
      <w:bookmarkEnd w:id="66"/>
      <w:bookmarkEnd w:id="67"/>
    </w:p>
    <w:p w14:paraId="4378C208">
      <w:pPr>
        <w:pStyle w:val="16"/>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供应商对征集文件、采购活动事项有疑问需要解释的，在政采云系统内可以向征集机构提出在线询问（加盖单位CA章），征集机构将在3个工作日内对供应商依法提出的询问作出答复，但答复的内容不得涉及商业秘密。</w:t>
      </w:r>
    </w:p>
    <w:p w14:paraId="0868380C">
      <w:pPr>
        <w:pStyle w:val="16"/>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1.2征集机构一般通过与询问相同的形式答复。</w:t>
      </w:r>
    </w:p>
    <w:p w14:paraId="3F6B5613">
      <w:pPr>
        <w:pStyle w:val="3"/>
        <w:rPr>
          <w:rFonts w:hint="eastAsia" w:ascii="仿宋" w:hAnsi="仿宋" w:eastAsia="仿宋" w:cs="仿宋"/>
          <w:color w:val="auto"/>
          <w:highlight w:val="none"/>
        </w:rPr>
      </w:pPr>
      <w:bookmarkStart w:id="68" w:name="_Toc28779"/>
      <w:bookmarkStart w:id="69" w:name="_Toc12050"/>
      <w:r>
        <w:rPr>
          <w:rFonts w:hint="eastAsia" w:ascii="仿宋" w:hAnsi="仿宋" w:eastAsia="仿宋" w:cs="仿宋"/>
          <w:color w:val="auto"/>
          <w:highlight w:val="none"/>
        </w:rPr>
        <w:t>二、供应商质疑</w:t>
      </w:r>
      <w:bookmarkEnd w:id="68"/>
      <w:bookmarkEnd w:id="69"/>
    </w:p>
    <w:p w14:paraId="44238968">
      <w:pPr>
        <w:pStyle w:val="16"/>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2.1质疑有效期：</w:t>
      </w:r>
    </w:p>
    <w:p w14:paraId="6445ACAD">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供应商可以在知道或者应知其权益受到损害之日起七个工作日内，以加盖供应商电子签章的数据电文形式，在政采云系统内向征集机构提出在线质疑：</w:t>
      </w:r>
    </w:p>
    <w:p w14:paraId="22760E8B">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（1）征集公告中的资格条件、获取征集文件时间设定等不符合有关规定，致使供应商不能参与本项目采购活动的，质疑期限自征集公告发布之日起计算。</w:t>
      </w:r>
    </w:p>
    <w:p w14:paraId="7B63A996">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对征集文件提出质疑的，质疑期限为供应商获得征集文件之日或者征集公告期限届满之日起计算，但征集文件在征集公告期限届满之日后获得的，应当自征集公告截止之日起计算，且应当在采购响应截止时间之前提出。</w:t>
      </w:r>
    </w:p>
    <w:p w14:paraId="6FA1749D">
      <w:pPr>
        <w:pStyle w:val="16"/>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（3）对采购过程提出质疑的，质疑期限为各采购程序环节结束之日起计算。</w:t>
      </w:r>
    </w:p>
    <w:p w14:paraId="3C49869F">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（4）对采购结果提出质疑的，质疑期限自采购结果公告（包括公示、预公告、结果更正公告等）期限届满之日起计算。</w:t>
      </w:r>
    </w:p>
    <w:p w14:paraId="4B51C2E5">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（5）供应商应在法定质疑期内一次性提出针对同一采购程序环节的质疑。提供新的事实或证据的除外。</w:t>
      </w:r>
    </w:p>
    <w:p w14:paraId="78240724">
      <w:pPr>
        <w:pStyle w:val="16"/>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2.2质疑主体的有效性：</w:t>
      </w:r>
    </w:p>
    <w:p w14:paraId="1C5DA650">
      <w:pPr>
        <w:pStyle w:val="16"/>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2.2.1提出质疑的供应商应当是参与所质疑项目采购活动的供应商。</w:t>
      </w:r>
    </w:p>
    <w:p w14:paraId="20C182DF">
      <w:pPr>
        <w:pStyle w:val="16"/>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2.2.2质疑人应当与质疑事项存在利害关系,不得提出“自杀式质疑”。</w:t>
      </w:r>
    </w:p>
    <w:p w14:paraId="441A0A25">
      <w:pPr>
        <w:pStyle w:val="16"/>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2.3质疑的答复</w:t>
      </w:r>
    </w:p>
    <w:p w14:paraId="0EAF87D9">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征集机构将在收到供应商的质疑后七个工作日内作出答复，但答复的内容不得涉及商业秘密。征集机构视情以变更公告等形式通知其他与质疑处理结果有利害关系的政府采购当事人。</w:t>
      </w:r>
    </w:p>
    <w:p w14:paraId="517A5019">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询问或者质疑事项可能影响采购结果的，征集人应当暂停签订合同，已经签订合同的，应当中止履行合同。</w:t>
      </w:r>
    </w:p>
    <w:p w14:paraId="301F9661">
      <w:pPr>
        <w:pStyle w:val="16"/>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2.4质疑的撤回</w:t>
      </w:r>
    </w:p>
    <w:p w14:paraId="79DE60F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供应商可以通过政采云系统撤回已经被受理的质疑书。</w:t>
      </w:r>
    </w:p>
    <w:p w14:paraId="373D705F">
      <w:pPr>
        <w:pStyle w:val="3"/>
        <w:rPr>
          <w:rFonts w:hint="eastAsia" w:ascii="仿宋" w:hAnsi="仿宋" w:eastAsia="仿宋" w:cs="仿宋"/>
          <w:color w:val="auto"/>
          <w:highlight w:val="none"/>
        </w:rPr>
      </w:pPr>
      <w:bookmarkStart w:id="70" w:name="_Toc18701"/>
      <w:bookmarkStart w:id="71" w:name="_Toc27469"/>
      <w:r>
        <w:rPr>
          <w:rFonts w:hint="eastAsia" w:ascii="仿宋" w:hAnsi="仿宋" w:eastAsia="仿宋" w:cs="仿宋"/>
          <w:color w:val="auto"/>
          <w:highlight w:val="none"/>
        </w:rPr>
        <w:t>三、供应商投诉</w:t>
      </w:r>
      <w:bookmarkEnd w:id="70"/>
      <w:bookmarkEnd w:id="71"/>
    </w:p>
    <w:p w14:paraId="7B969F99">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3.1投诉有效期</w:t>
      </w:r>
    </w:p>
    <w:p w14:paraId="64276C8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质疑供应商对征集人、采购代理机构的答复不满意，或者征集人、采购代理机构未在规定时间内作出答复的，可以在答复期满后 15 个工作日内向采购监督部门提起投诉。</w:t>
      </w:r>
    </w:p>
    <w:p w14:paraId="5C74DB67">
      <w:pPr>
        <w:widowControl/>
        <w:snapToGrid w:val="0"/>
        <w:spacing w:line="480" w:lineRule="exact"/>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特别提醒：质疑是投诉的前置程序，供应商必须先质疑后投诉。</w:t>
      </w:r>
    </w:p>
    <w:p w14:paraId="0576CA8F">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3.2投诉内容</w:t>
      </w:r>
    </w:p>
    <w:p w14:paraId="320C466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供应商投诉的事项不得超出已质疑事项的范围，但基于质疑答复内容提出的投诉事项除外。</w:t>
      </w:r>
    </w:p>
    <w:p w14:paraId="416024E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投诉书需包括以下内容：</w:t>
      </w:r>
    </w:p>
    <w:p w14:paraId="4EF3B2F0">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（一）投诉人和被投诉人的姓名或者名称、通讯地址、邮编、联系人及联系电话；</w:t>
      </w:r>
    </w:p>
    <w:p w14:paraId="17B2376C">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（二）质疑和质疑答复情况说明及相关证明材料；</w:t>
      </w:r>
    </w:p>
    <w:p w14:paraId="471CA7E9">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（三）具体、明确的投诉事项和与投诉事项相关的投诉请求；</w:t>
      </w:r>
    </w:p>
    <w:p w14:paraId="552A74C1">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（四）事实依据；</w:t>
      </w:r>
    </w:p>
    <w:p w14:paraId="1F68DA9C">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（五）法律依据；</w:t>
      </w:r>
    </w:p>
    <w:p w14:paraId="09C29408">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（六）提起投诉的日期。</w:t>
      </w:r>
    </w:p>
    <w:p w14:paraId="508AA14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投诉人为自然人的，应当由本人签字；投诉人为法人或者其他组织的，应当由法定代表人、主要负责人，或者其授权代表签字或者盖章，并加盖公章。</w:t>
      </w:r>
    </w:p>
    <w:p w14:paraId="3CE0711B">
      <w:pPr>
        <w:widowControl/>
        <w:snapToGrid w:val="0"/>
        <w:spacing w:line="480" w:lineRule="exact"/>
        <w:rPr>
          <w:rFonts w:hint="eastAsia" w:ascii="仿宋" w:hAnsi="仿宋" w:eastAsia="仿宋" w:cs="仿宋"/>
          <w:color w:val="auto"/>
          <w:kern w:val="0"/>
          <w:sz w:val="24"/>
          <w:highlight w:val="none"/>
        </w:rPr>
      </w:pPr>
    </w:p>
    <w:p w14:paraId="39C46F1C">
      <w:pPr>
        <w:widowControl/>
        <w:snapToGrid w:val="0"/>
        <w:spacing w:line="480" w:lineRule="exact"/>
        <w:rPr>
          <w:rFonts w:hint="eastAsia" w:ascii="仿宋" w:hAnsi="仿宋" w:eastAsia="仿宋" w:cs="仿宋"/>
          <w:color w:val="auto"/>
          <w:kern w:val="0"/>
          <w:sz w:val="24"/>
          <w:highlight w:val="none"/>
        </w:rPr>
      </w:pPr>
    </w:p>
    <w:p w14:paraId="3CA9FAC5">
      <w:pPr>
        <w:widowControl/>
        <w:snapToGrid w:val="0"/>
        <w:spacing w:line="480" w:lineRule="exact"/>
        <w:rPr>
          <w:rFonts w:hint="eastAsia" w:ascii="仿宋" w:hAnsi="仿宋" w:eastAsia="仿宋" w:cs="仿宋"/>
          <w:color w:val="auto"/>
          <w:kern w:val="0"/>
          <w:sz w:val="24"/>
          <w:highlight w:val="none"/>
        </w:rPr>
      </w:pPr>
    </w:p>
    <w:p w14:paraId="4170AEC6">
      <w:pPr>
        <w:widowControl/>
        <w:snapToGrid w:val="0"/>
        <w:spacing w:line="480" w:lineRule="exact"/>
        <w:rPr>
          <w:rFonts w:hint="eastAsia" w:ascii="仿宋" w:hAnsi="仿宋" w:eastAsia="仿宋" w:cs="仿宋"/>
          <w:color w:val="auto"/>
          <w:kern w:val="0"/>
          <w:sz w:val="24"/>
          <w:highlight w:val="none"/>
        </w:rPr>
      </w:pPr>
    </w:p>
    <w:p w14:paraId="51FD7EA3">
      <w:pPr>
        <w:widowControl/>
        <w:snapToGrid w:val="0"/>
        <w:spacing w:line="480" w:lineRule="exact"/>
        <w:rPr>
          <w:rFonts w:hint="eastAsia" w:ascii="仿宋" w:hAnsi="仿宋" w:eastAsia="仿宋" w:cs="仿宋"/>
          <w:color w:val="auto"/>
          <w:kern w:val="0"/>
          <w:sz w:val="24"/>
          <w:highlight w:val="none"/>
        </w:rPr>
      </w:pPr>
    </w:p>
    <w:p w14:paraId="70A510B3">
      <w:pPr>
        <w:widowControl/>
        <w:snapToGrid w:val="0"/>
        <w:spacing w:line="480" w:lineRule="exact"/>
        <w:rPr>
          <w:rFonts w:hint="eastAsia" w:ascii="仿宋" w:hAnsi="仿宋" w:eastAsia="仿宋" w:cs="仿宋"/>
          <w:color w:val="auto"/>
          <w:kern w:val="0"/>
          <w:sz w:val="24"/>
          <w:highlight w:val="none"/>
        </w:rPr>
      </w:pPr>
    </w:p>
    <w:p w14:paraId="74744464">
      <w:pPr>
        <w:widowControl/>
        <w:snapToGrid w:val="0"/>
        <w:spacing w:line="480" w:lineRule="exact"/>
        <w:rPr>
          <w:rFonts w:hint="eastAsia" w:ascii="仿宋" w:hAnsi="仿宋" w:eastAsia="仿宋" w:cs="仿宋"/>
          <w:color w:val="auto"/>
          <w:kern w:val="0"/>
          <w:sz w:val="24"/>
          <w:highlight w:val="none"/>
        </w:rPr>
      </w:pPr>
    </w:p>
    <w:p w14:paraId="3523F223">
      <w:pPr>
        <w:widowControl/>
        <w:snapToGrid w:val="0"/>
        <w:spacing w:line="480" w:lineRule="exact"/>
        <w:rPr>
          <w:rFonts w:hint="eastAsia" w:ascii="仿宋" w:hAnsi="仿宋" w:eastAsia="仿宋" w:cs="仿宋"/>
          <w:color w:val="auto"/>
          <w:kern w:val="0"/>
          <w:sz w:val="24"/>
          <w:highlight w:val="none"/>
        </w:rPr>
      </w:pPr>
    </w:p>
    <w:p w14:paraId="3EF8442B">
      <w:pPr>
        <w:widowControl/>
        <w:snapToGrid w:val="0"/>
        <w:spacing w:line="480" w:lineRule="exact"/>
        <w:rPr>
          <w:rFonts w:hint="eastAsia" w:ascii="仿宋" w:hAnsi="仿宋" w:eastAsia="仿宋" w:cs="仿宋"/>
          <w:color w:val="auto"/>
          <w:kern w:val="0"/>
          <w:sz w:val="24"/>
          <w:highlight w:val="none"/>
        </w:rPr>
      </w:pPr>
    </w:p>
    <w:p w14:paraId="606E3DB8">
      <w:pPr>
        <w:widowControl/>
        <w:snapToGrid w:val="0"/>
        <w:spacing w:line="480" w:lineRule="exact"/>
        <w:rPr>
          <w:rFonts w:hint="eastAsia" w:ascii="仿宋" w:hAnsi="仿宋" w:eastAsia="仿宋" w:cs="仿宋"/>
          <w:color w:val="auto"/>
          <w:kern w:val="0"/>
          <w:sz w:val="24"/>
          <w:highlight w:val="none"/>
        </w:rPr>
      </w:pPr>
    </w:p>
    <w:p w14:paraId="37505189">
      <w:pPr>
        <w:widowControl/>
        <w:snapToGrid w:val="0"/>
        <w:spacing w:line="480" w:lineRule="exact"/>
        <w:rPr>
          <w:rFonts w:hint="eastAsia" w:ascii="仿宋" w:hAnsi="仿宋" w:eastAsia="仿宋" w:cs="仿宋"/>
          <w:color w:val="auto"/>
          <w:kern w:val="0"/>
          <w:sz w:val="24"/>
          <w:highlight w:val="none"/>
        </w:rPr>
      </w:pPr>
    </w:p>
    <w:p w14:paraId="759B611E">
      <w:pPr>
        <w:widowControl/>
        <w:snapToGrid w:val="0"/>
        <w:spacing w:line="480" w:lineRule="exact"/>
        <w:rPr>
          <w:rFonts w:hint="eastAsia" w:ascii="仿宋" w:hAnsi="仿宋" w:eastAsia="仿宋" w:cs="仿宋"/>
          <w:color w:val="auto"/>
          <w:kern w:val="0"/>
          <w:sz w:val="24"/>
          <w:highlight w:val="none"/>
        </w:rPr>
      </w:pPr>
    </w:p>
    <w:p w14:paraId="140483A1">
      <w:pPr>
        <w:widowControl/>
        <w:snapToGrid w:val="0"/>
        <w:spacing w:line="480" w:lineRule="exact"/>
        <w:rPr>
          <w:rFonts w:hint="eastAsia" w:ascii="仿宋" w:hAnsi="仿宋" w:eastAsia="仿宋" w:cs="仿宋"/>
          <w:color w:val="auto"/>
          <w:kern w:val="0"/>
          <w:sz w:val="24"/>
          <w:highlight w:val="none"/>
        </w:rPr>
      </w:pPr>
    </w:p>
    <w:p w14:paraId="179EE5DC">
      <w:pPr>
        <w:widowControl/>
        <w:snapToGrid w:val="0"/>
        <w:spacing w:line="480" w:lineRule="exact"/>
        <w:rPr>
          <w:rFonts w:hint="eastAsia" w:ascii="仿宋" w:hAnsi="仿宋" w:eastAsia="仿宋" w:cs="仿宋"/>
          <w:color w:val="auto"/>
          <w:kern w:val="0"/>
          <w:sz w:val="24"/>
          <w:highlight w:val="none"/>
        </w:rPr>
      </w:pPr>
    </w:p>
    <w:p w14:paraId="75F4FBCA">
      <w:pPr>
        <w:widowControl/>
        <w:snapToGrid w:val="0"/>
        <w:spacing w:line="480" w:lineRule="exact"/>
        <w:rPr>
          <w:rFonts w:hint="eastAsia" w:ascii="仿宋" w:hAnsi="仿宋" w:eastAsia="仿宋" w:cs="仿宋"/>
          <w:color w:val="auto"/>
          <w:kern w:val="0"/>
          <w:sz w:val="24"/>
          <w:highlight w:val="none"/>
        </w:rPr>
      </w:pPr>
    </w:p>
    <w:p w14:paraId="1DE1C92D">
      <w:pPr>
        <w:widowControl/>
        <w:snapToGrid w:val="0"/>
        <w:spacing w:line="480" w:lineRule="exact"/>
        <w:rPr>
          <w:rFonts w:hint="eastAsia" w:ascii="仿宋" w:hAnsi="仿宋" w:eastAsia="仿宋" w:cs="仿宋"/>
          <w:color w:val="auto"/>
          <w:kern w:val="0"/>
          <w:sz w:val="24"/>
          <w:highlight w:val="none"/>
        </w:rPr>
      </w:pPr>
    </w:p>
    <w:p w14:paraId="6956324C">
      <w:pPr>
        <w:widowControl/>
        <w:snapToGrid w:val="0"/>
        <w:spacing w:line="480" w:lineRule="exact"/>
        <w:rPr>
          <w:rFonts w:hint="eastAsia" w:ascii="仿宋" w:hAnsi="仿宋" w:eastAsia="仿宋" w:cs="仿宋"/>
          <w:color w:val="auto"/>
          <w:kern w:val="0"/>
          <w:sz w:val="24"/>
          <w:highlight w:val="none"/>
        </w:rPr>
      </w:pPr>
    </w:p>
    <w:p w14:paraId="7D9F8202">
      <w:pPr>
        <w:widowControl/>
        <w:snapToGrid w:val="0"/>
        <w:spacing w:line="480" w:lineRule="exact"/>
        <w:rPr>
          <w:rFonts w:hint="eastAsia" w:ascii="仿宋" w:hAnsi="仿宋" w:eastAsia="仿宋" w:cs="仿宋"/>
          <w:color w:val="auto"/>
          <w:kern w:val="0"/>
          <w:sz w:val="24"/>
          <w:highlight w:val="none"/>
        </w:rPr>
      </w:pPr>
    </w:p>
    <w:p w14:paraId="5992DDA2">
      <w:pPr>
        <w:widowControl/>
        <w:snapToGrid w:val="0"/>
        <w:spacing w:line="480" w:lineRule="exact"/>
        <w:rPr>
          <w:rFonts w:hint="eastAsia" w:ascii="仿宋" w:hAnsi="仿宋" w:eastAsia="仿宋" w:cs="仿宋"/>
          <w:color w:val="auto"/>
          <w:kern w:val="0"/>
          <w:sz w:val="24"/>
          <w:highlight w:val="none"/>
        </w:rPr>
      </w:pPr>
    </w:p>
    <w:p w14:paraId="11BF4E85">
      <w:pPr>
        <w:widowControl/>
        <w:snapToGrid w:val="0"/>
        <w:spacing w:line="480" w:lineRule="exact"/>
        <w:rPr>
          <w:rFonts w:hint="eastAsia" w:ascii="仿宋" w:hAnsi="仿宋" w:eastAsia="仿宋" w:cs="仿宋"/>
          <w:color w:val="auto"/>
          <w:kern w:val="0"/>
          <w:sz w:val="24"/>
          <w:highlight w:val="none"/>
        </w:rPr>
      </w:pPr>
    </w:p>
    <w:p w14:paraId="1CF4074A">
      <w:pPr>
        <w:widowControl/>
        <w:snapToGrid w:val="0"/>
        <w:spacing w:line="480" w:lineRule="exact"/>
        <w:rPr>
          <w:rFonts w:hint="eastAsia" w:ascii="仿宋" w:hAnsi="仿宋" w:eastAsia="仿宋" w:cs="仿宋"/>
          <w:color w:val="auto"/>
          <w:kern w:val="0"/>
          <w:sz w:val="24"/>
          <w:highlight w:val="none"/>
        </w:rPr>
      </w:pPr>
    </w:p>
    <w:p w14:paraId="2D093131">
      <w:pPr>
        <w:widowControl/>
        <w:snapToGrid w:val="0"/>
        <w:spacing w:line="480" w:lineRule="exact"/>
        <w:rPr>
          <w:rFonts w:hint="eastAsia" w:ascii="仿宋" w:hAnsi="仿宋" w:eastAsia="仿宋" w:cs="仿宋"/>
          <w:color w:val="auto"/>
          <w:kern w:val="0"/>
          <w:sz w:val="24"/>
          <w:highlight w:val="none"/>
        </w:rPr>
      </w:pPr>
    </w:p>
    <w:p w14:paraId="08D58D7E">
      <w:pPr>
        <w:widowControl/>
        <w:snapToGrid w:val="0"/>
        <w:spacing w:line="480" w:lineRule="exact"/>
        <w:rPr>
          <w:rFonts w:hint="eastAsia" w:ascii="仿宋" w:hAnsi="仿宋" w:eastAsia="仿宋" w:cs="仿宋"/>
          <w:color w:val="auto"/>
          <w:kern w:val="0"/>
          <w:sz w:val="24"/>
          <w:highlight w:val="none"/>
        </w:rPr>
      </w:pPr>
    </w:p>
    <w:p w14:paraId="0A2D3BAA">
      <w:pPr>
        <w:widowControl/>
        <w:snapToGrid w:val="0"/>
        <w:spacing w:line="480" w:lineRule="exact"/>
        <w:rPr>
          <w:rFonts w:hint="eastAsia" w:ascii="仿宋" w:hAnsi="仿宋" w:eastAsia="仿宋" w:cs="仿宋"/>
          <w:color w:val="auto"/>
          <w:kern w:val="0"/>
          <w:sz w:val="24"/>
          <w:highlight w:val="none"/>
        </w:rPr>
      </w:pPr>
    </w:p>
    <w:p w14:paraId="0C604C46">
      <w:pPr>
        <w:widowControl/>
        <w:snapToGrid w:val="0"/>
        <w:spacing w:line="480" w:lineRule="exact"/>
        <w:rPr>
          <w:rFonts w:hint="eastAsia" w:ascii="仿宋" w:hAnsi="仿宋" w:eastAsia="仿宋" w:cs="仿宋"/>
          <w:color w:val="auto"/>
          <w:kern w:val="0"/>
          <w:sz w:val="24"/>
          <w:highlight w:val="none"/>
        </w:rPr>
      </w:pPr>
    </w:p>
    <w:p w14:paraId="446E31F7">
      <w:pPr>
        <w:widowControl/>
        <w:snapToGrid w:val="0"/>
        <w:spacing w:line="480" w:lineRule="exact"/>
        <w:rPr>
          <w:rFonts w:hint="eastAsia" w:ascii="仿宋" w:hAnsi="仿宋" w:eastAsia="仿宋" w:cs="仿宋"/>
          <w:color w:val="auto"/>
          <w:kern w:val="0"/>
          <w:sz w:val="24"/>
          <w:highlight w:val="none"/>
        </w:rPr>
      </w:pPr>
    </w:p>
    <w:p w14:paraId="1A4EA01C">
      <w:pPr>
        <w:widowControl/>
        <w:snapToGrid w:val="0"/>
        <w:spacing w:line="480" w:lineRule="exact"/>
        <w:rPr>
          <w:rFonts w:hint="eastAsia" w:ascii="仿宋" w:hAnsi="仿宋" w:eastAsia="仿宋" w:cs="仿宋"/>
          <w:color w:val="auto"/>
          <w:kern w:val="0"/>
          <w:sz w:val="24"/>
          <w:highlight w:val="none"/>
        </w:rPr>
      </w:pPr>
    </w:p>
    <w:p w14:paraId="5E68FFA7">
      <w:pPr>
        <w:widowControl/>
        <w:snapToGrid w:val="0"/>
        <w:spacing w:line="48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附件：质疑函范本</w:t>
      </w:r>
    </w:p>
    <w:p w14:paraId="4E058B5A">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w:t>
      </w:r>
    </w:p>
    <w:p w14:paraId="787D02C9">
      <w:pPr>
        <w:adjustRightInd w:val="0"/>
        <w:snapToGrid w:val="0"/>
        <w:spacing w:beforeLines="10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0FDCF56B">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p>
    <w:p w14:paraId="249EA66B">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地址：邮编：</w:t>
      </w:r>
    </w:p>
    <w:p w14:paraId="7B7EF0F3">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授权代表：联系电话：</w:t>
      </w:r>
    </w:p>
    <w:p w14:paraId="530B8264">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邮箱：</w:t>
      </w:r>
    </w:p>
    <w:p w14:paraId="7EACF44C">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6C79D473">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p>
    <w:p w14:paraId="028B6385">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质疑项目的编号：标项：</w:t>
      </w:r>
    </w:p>
    <w:p w14:paraId="105FD7D3">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征集人名称：</w:t>
      </w:r>
    </w:p>
    <w:p w14:paraId="336F4A69">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征集文件获取日期：</w:t>
      </w:r>
    </w:p>
    <w:p w14:paraId="3E29B044">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23F54622">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p>
    <w:p w14:paraId="233DA8CA">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p>
    <w:p w14:paraId="0E70AD06">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p>
    <w:p w14:paraId="1E685011">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1760BC8F">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34620767">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四、与质疑事项相关的请求</w:t>
      </w:r>
    </w:p>
    <w:p w14:paraId="564C1056">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请求1：</w:t>
      </w:r>
    </w:p>
    <w:p w14:paraId="5E5F10EA">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请求2：</w:t>
      </w:r>
    </w:p>
    <w:p w14:paraId="1033A240">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8B8780C">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本公司承诺接受数据电文形式的质疑答复，视为书面答复。</w:t>
      </w:r>
    </w:p>
    <w:p w14:paraId="1A8C40E4">
      <w:pPr>
        <w:adjustRightInd w:val="0"/>
        <w:snapToGrid w:val="0"/>
        <w:spacing w:line="360" w:lineRule="auto"/>
        <w:rPr>
          <w:rFonts w:hint="eastAsia" w:ascii="仿宋" w:hAnsi="仿宋" w:eastAsia="仿宋" w:cs="仿宋"/>
          <w:b/>
          <w:bCs/>
          <w:color w:val="auto"/>
          <w:sz w:val="24"/>
          <w:szCs w:val="24"/>
          <w:highlight w:val="none"/>
          <w:u w:val="double"/>
        </w:rPr>
      </w:pPr>
      <w:r>
        <w:rPr>
          <w:rFonts w:hint="eastAsia" w:ascii="仿宋" w:hAnsi="仿宋" w:eastAsia="仿宋" w:cs="仿宋"/>
          <w:b/>
          <w:bCs/>
          <w:color w:val="auto"/>
          <w:sz w:val="24"/>
          <w:szCs w:val="24"/>
          <w:highlight w:val="none"/>
          <w:u w:val="double"/>
        </w:rPr>
        <w:t>（需附供应商法定代表人的授权委托书，以委托授权代表提出质疑，格式自拟）</w:t>
      </w:r>
    </w:p>
    <w:p w14:paraId="0F9A1823">
      <w:pPr>
        <w:adjustRightInd w:val="0"/>
        <w:snapToGrid w:val="0"/>
        <w:spacing w:line="360" w:lineRule="auto"/>
        <w:rPr>
          <w:rFonts w:hint="eastAsia" w:ascii="仿宋" w:hAnsi="仿宋" w:eastAsia="仿宋" w:cs="仿宋"/>
          <w:color w:val="auto"/>
          <w:sz w:val="24"/>
          <w:szCs w:val="24"/>
          <w:highlight w:val="none"/>
          <w:u w:val="dotted"/>
        </w:rPr>
      </w:pPr>
    </w:p>
    <w:p w14:paraId="5DDB7D5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授权代表签字(签章)：                 供应商签章：                      </w:t>
      </w:r>
    </w:p>
    <w:p w14:paraId="4CE548F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252F648B">
      <w:pPr>
        <w:adjustRightInd w:val="0"/>
        <w:snapToGrid w:val="0"/>
        <w:spacing w:line="360" w:lineRule="auto"/>
        <w:rPr>
          <w:rFonts w:hint="eastAsia" w:ascii="仿宋" w:hAnsi="仿宋" w:eastAsia="仿宋" w:cs="仿宋"/>
          <w:color w:val="auto"/>
          <w:sz w:val="24"/>
          <w:szCs w:val="24"/>
          <w:highlight w:val="none"/>
        </w:rPr>
      </w:pPr>
    </w:p>
    <w:p w14:paraId="3655557C">
      <w:pPr>
        <w:adjustRightInd w:val="0"/>
        <w:snapToGrid w:val="0"/>
        <w:spacing w:line="360" w:lineRule="auto"/>
        <w:rPr>
          <w:rFonts w:hint="eastAsia" w:ascii="仿宋" w:hAnsi="仿宋" w:eastAsia="仿宋" w:cs="仿宋"/>
          <w:color w:val="auto"/>
          <w:kern w:val="0"/>
          <w:sz w:val="24"/>
          <w:szCs w:val="24"/>
          <w:highlight w:val="none"/>
        </w:rPr>
      </w:pPr>
    </w:p>
    <w:p w14:paraId="62CFA14D">
      <w:pPr>
        <w:adjustRightInd w:val="0"/>
        <w:snapToGrid w:val="0"/>
        <w:spacing w:line="360" w:lineRule="auto"/>
        <w:rPr>
          <w:rFonts w:hint="eastAsia" w:ascii="仿宋" w:hAnsi="仿宋" w:eastAsia="仿宋" w:cs="仿宋"/>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7BA4A">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32F18A">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F32F18A">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A1B58">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A23963">
                          <w:pPr>
                            <w:pStyle w:val="19"/>
                          </w:pPr>
                          <w:r>
                            <w:rPr>
                              <w:rStyle w:val="35"/>
                            </w:rPr>
                            <w:fldChar w:fldCharType="begin"/>
                          </w:r>
                          <w:r>
                            <w:rPr>
                              <w:rStyle w:val="35"/>
                            </w:rPr>
                            <w:instrText xml:space="preserve">Page</w:instrText>
                          </w:r>
                          <w:r>
                            <w:rPr>
                              <w:rStyle w:val="35"/>
                            </w:rPr>
                            <w:fldChar w:fldCharType="separate"/>
                          </w:r>
                          <w:r>
                            <w:rPr>
                              <w:rStyle w:val="35"/>
                            </w:rPr>
                            <w:t>26</w:t>
                          </w:r>
                          <w:r>
                            <w:rPr>
                              <w:rStyle w:val="3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7A23963">
                    <w:pPr>
                      <w:pStyle w:val="19"/>
                    </w:pPr>
                    <w:r>
                      <w:rPr>
                        <w:rStyle w:val="35"/>
                      </w:rPr>
                      <w:fldChar w:fldCharType="begin"/>
                    </w:r>
                    <w:r>
                      <w:rPr>
                        <w:rStyle w:val="35"/>
                      </w:rPr>
                      <w:instrText xml:space="preserve">Page</w:instrText>
                    </w:r>
                    <w:r>
                      <w:rPr>
                        <w:rStyle w:val="35"/>
                      </w:rPr>
                      <w:fldChar w:fldCharType="separate"/>
                    </w:r>
                    <w:r>
                      <w:rPr>
                        <w:rStyle w:val="35"/>
                      </w:rPr>
                      <w:t>26</w:t>
                    </w:r>
                    <w:r>
                      <w:rPr>
                        <w:rStyle w:val="35"/>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99A60">
    <w:pPr>
      <w:pStyle w:val="19"/>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FFBE8E">
                          <w:pPr>
                            <w:pStyle w:val="1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9FFBE8E">
                    <w:pPr>
                      <w:pStyle w:val="1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5462B">
    <w:pPr>
      <w:pStyle w:val="1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CD545F">
                          <w:pPr>
                            <w:pStyle w:val="1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0CD545F">
                    <w:pPr>
                      <w:pStyle w:val="1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4FCF1">
    <w:pPr>
      <w:pStyle w:val="20"/>
      <w:pBdr>
        <w:bottom w:val="none" w:color="auto" w:sz="0" w:space="1"/>
      </w:pBdr>
      <w:tabs>
        <w:tab w:val="right" w:pos="8306"/>
        <w:tab w:val="clear" w:pos="8307"/>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A37E9">
    <w:pPr>
      <w:pStyle w:val="20"/>
      <w:pBdr>
        <w:bottom w:val="none" w:color="auto" w:sz="0" w:space="1"/>
      </w:pBdr>
      <w:tabs>
        <w:tab w:val="right" w:pos="8306"/>
        <w:tab w:val="clear" w:pos="8307"/>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D4A6E99"/>
    <w:multiLevelType w:val="singleLevel"/>
    <w:tmpl w:val="BD4A6E99"/>
    <w:lvl w:ilvl="0" w:tentative="0">
      <w:start w:val="1"/>
      <w:numFmt w:val="decimal"/>
      <w:lvlText w:val="%1."/>
      <w:lvlJc w:val="left"/>
      <w:pPr>
        <w:tabs>
          <w:tab w:val="left" w:pos="312"/>
        </w:tabs>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5AA1616"/>
    <w:multiLevelType w:val="singleLevel"/>
    <w:tmpl w:val="D5AA1616"/>
    <w:lvl w:ilvl="0" w:tentative="0">
      <w:start w:val="1"/>
      <w:numFmt w:val="decimal"/>
      <w:suff w:val="nothing"/>
      <w:lvlText w:val="%1、"/>
      <w:lvlJc w:val="left"/>
      <w:pPr>
        <w:ind w:left="-6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15B262C8"/>
    <w:multiLevelType w:val="singleLevel"/>
    <w:tmpl w:val="15B262C8"/>
    <w:lvl w:ilvl="0" w:tentative="0">
      <w:start w:val="5"/>
      <w:numFmt w:val="decimal"/>
      <w:suff w:val="nothing"/>
      <w:lvlText w:val="%1、"/>
      <w:lvlJc w:val="left"/>
    </w:lvl>
  </w:abstractNum>
  <w:abstractNum w:abstractNumId="7">
    <w:nsid w:val="1E070CDA"/>
    <w:multiLevelType w:val="singleLevel"/>
    <w:tmpl w:val="1E070CDA"/>
    <w:lvl w:ilvl="0" w:tentative="0">
      <w:start w:val="4"/>
      <w:numFmt w:val="chineseCounting"/>
      <w:suff w:val="space"/>
      <w:lvlText w:val="第%1章"/>
      <w:lvlJc w:val="left"/>
      <w:rPr>
        <w:rFonts w:hint="eastAsia"/>
      </w:rPr>
    </w:lvl>
  </w:abstractNum>
  <w:abstractNum w:abstractNumId="8">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9">
    <w:nsid w:val="3F89CCE3"/>
    <w:multiLevelType w:val="singleLevel"/>
    <w:tmpl w:val="3F89CCE3"/>
    <w:lvl w:ilvl="0" w:tentative="0">
      <w:start w:val="1"/>
      <w:numFmt w:val="decimal"/>
      <w:suff w:val="nothing"/>
      <w:lvlText w:val="%1、"/>
      <w:lvlJc w:val="left"/>
      <w:pPr>
        <w:ind w:left="-60"/>
      </w:pPr>
    </w:lvl>
  </w:abstractNum>
  <w:abstractNum w:abstractNumId="10">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1">
    <w:nsid w:val="6C8C28BD"/>
    <w:multiLevelType w:val="singleLevel"/>
    <w:tmpl w:val="6C8C28BD"/>
    <w:lvl w:ilvl="0" w:tentative="0">
      <w:start w:val="2"/>
      <w:numFmt w:val="chineseCounting"/>
      <w:suff w:val="nothing"/>
      <w:lvlText w:val="%1、"/>
      <w:lvlJc w:val="left"/>
      <w:rPr>
        <w:rFonts w:hint="eastAsia"/>
      </w:rPr>
    </w:lvl>
  </w:abstractNum>
  <w:abstractNum w:abstractNumId="12">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8"/>
  </w:num>
  <w:num w:numId="2">
    <w:abstractNumId w:val="3"/>
  </w:num>
  <w:num w:numId="3">
    <w:abstractNumId w:val="1"/>
  </w:num>
  <w:num w:numId="4">
    <w:abstractNumId w:val="12"/>
  </w:num>
  <w:num w:numId="5">
    <w:abstractNumId w:val="6"/>
  </w:num>
  <w:num w:numId="6">
    <w:abstractNumId w:val="4"/>
  </w:num>
  <w:num w:numId="7">
    <w:abstractNumId w:val="7"/>
  </w:num>
  <w:num w:numId="8">
    <w:abstractNumId w:val="11"/>
  </w:num>
  <w:num w:numId="9">
    <w:abstractNumId w:val="9"/>
  </w:num>
  <w:num w:numId="10">
    <w:abstractNumId w:val="5"/>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Mjk0NDM4ZGE3N2FiNmUwNGRmYjA2MzNkODY0OTAifQ=="/>
  </w:docVars>
  <w:rsids>
    <w:rsidRoot w:val="002D026F"/>
    <w:rsid w:val="00031430"/>
    <w:rsid w:val="00066553"/>
    <w:rsid w:val="000B439B"/>
    <w:rsid w:val="002D026F"/>
    <w:rsid w:val="002E691E"/>
    <w:rsid w:val="0046278D"/>
    <w:rsid w:val="00474A56"/>
    <w:rsid w:val="005328D9"/>
    <w:rsid w:val="006514B3"/>
    <w:rsid w:val="00664BAF"/>
    <w:rsid w:val="006710C0"/>
    <w:rsid w:val="006C703E"/>
    <w:rsid w:val="00711093"/>
    <w:rsid w:val="00780EDF"/>
    <w:rsid w:val="007B6278"/>
    <w:rsid w:val="008129F0"/>
    <w:rsid w:val="008218A0"/>
    <w:rsid w:val="00853407"/>
    <w:rsid w:val="008E37FC"/>
    <w:rsid w:val="00967EC2"/>
    <w:rsid w:val="00974D29"/>
    <w:rsid w:val="009B415E"/>
    <w:rsid w:val="009C6D3F"/>
    <w:rsid w:val="00AD2CF0"/>
    <w:rsid w:val="00C740C8"/>
    <w:rsid w:val="00DD516C"/>
    <w:rsid w:val="00E105CB"/>
    <w:rsid w:val="00E504FC"/>
    <w:rsid w:val="00F042B8"/>
    <w:rsid w:val="00F81728"/>
    <w:rsid w:val="01395308"/>
    <w:rsid w:val="02B500E6"/>
    <w:rsid w:val="030C0A35"/>
    <w:rsid w:val="033A0C2B"/>
    <w:rsid w:val="0375666D"/>
    <w:rsid w:val="037732C7"/>
    <w:rsid w:val="039974D7"/>
    <w:rsid w:val="049A4077"/>
    <w:rsid w:val="04BC5D9C"/>
    <w:rsid w:val="04D43B27"/>
    <w:rsid w:val="050375E0"/>
    <w:rsid w:val="050E1DC6"/>
    <w:rsid w:val="060D05C0"/>
    <w:rsid w:val="068C5C42"/>
    <w:rsid w:val="06FD1B7F"/>
    <w:rsid w:val="07334CB8"/>
    <w:rsid w:val="07437D0A"/>
    <w:rsid w:val="078E7DCD"/>
    <w:rsid w:val="086C1058"/>
    <w:rsid w:val="08CD7283"/>
    <w:rsid w:val="091066B6"/>
    <w:rsid w:val="09B010F7"/>
    <w:rsid w:val="09F2525B"/>
    <w:rsid w:val="0A796391"/>
    <w:rsid w:val="0AC73BF8"/>
    <w:rsid w:val="0AFF46CE"/>
    <w:rsid w:val="0C1B5A9E"/>
    <w:rsid w:val="0C345751"/>
    <w:rsid w:val="0CC31380"/>
    <w:rsid w:val="0E6F1FF4"/>
    <w:rsid w:val="0EAE051E"/>
    <w:rsid w:val="0F0C257F"/>
    <w:rsid w:val="0F933B9D"/>
    <w:rsid w:val="0FD44424"/>
    <w:rsid w:val="10111814"/>
    <w:rsid w:val="116A4F9F"/>
    <w:rsid w:val="125F245C"/>
    <w:rsid w:val="12CD1384"/>
    <w:rsid w:val="12F246BB"/>
    <w:rsid w:val="12FD3720"/>
    <w:rsid w:val="132A0CBC"/>
    <w:rsid w:val="13402CD9"/>
    <w:rsid w:val="13531FC1"/>
    <w:rsid w:val="13761404"/>
    <w:rsid w:val="138E2FF9"/>
    <w:rsid w:val="145D4544"/>
    <w:rsid w:val="15606C3C"/>
    <w:rsid w:val="15A547C9"/>
    <w:rsid w:val="163D25A3"/>
    <w:rsid w:val="16A60B8F"/>
    <w:rsid w:val="16EA7435"/>
    <w:rsid w:val="1705647D"/>
    <w:rsid w:val="173739A8"/>
    <w:rsid w:val="17593954"/>
    <w:rsid w:val="178963E1"/>
    <w:rsid w:val="179E2A7B"/>
    <w:rsid w:val="18453C60"/>
    <w:rsid w:val="187D53EA"/>
    <w:rsid w:val="18860E6A"/>
    <w:rsid w:val="192D5062"/>
    <w:rsid w:val="1AFC0BA0"/>
    <w:rsid w:val="1B981258"/>
    <w:rsid w:val="1C2F16F7"/>
    <w:rsid w:val="1C4457DD"/>
    <w:rsid w:val="1CA90EA4"/>
    <w:rsid w:val="1D3B4399"/>
    <w:rsid w:val="1D5C799E"/>
    <w:rsid w:val="1D6A7BA9"/>
    <w:rsid w:val="1D810520"/>
    <w:rsid w:val="1E6C0409"/>
    <w:rsid w:val="1EA5569B"/>
    <w:rsid w:val="1EB458DE"/>
    <w:rsid w:val="1EF30D34"/>
    <w:rsid w:val="1F6A2B6C"/>
    <w:rsid w:val="1F6E63A9"/>
    <w:rsid w:val="20DF30E6"/>
    <w:rsid w:val="20F37C9C"/>
    <w:rsid w:val="217001E2"/>
    <w:rsid w:val="21B2349D"/>
    <w:rsid w:val="21CC52FC"/>
    <w:rsid w:val="223C360D"/>
    <w:rsid w:val="22A04AD7"/>
    <w:rsid w:val="235B6688"/>
    <w:rsid w:val="2476774E"/>
    <w:rsid w:val="24DC6BA4"/>
    <w:rsid w:val="25A96E66"/>
    <w:rsid w:val="27117D71"/>
    <w:rsid w:val="271E0DFC"/>
    <w:rsid w:val="27982240"/>
    <w:rsid w:val="28463A4A"/>
    <w:rsid w:val="29027A4A"/>
    <w:rsid w:val="298E3F12"/>
    <w:rsid w:val="2A044406"/>
    <w:rsid w:val="2A413BAD"/>
    <w:rsid w:val="2B464577"/>
    <w:rsid w:val="2B522706"/>
    <w:rsid w:val="2BC576F6"/>
    <w:rsid w:val="2C2A2CA4"/>
    <w:rsid w:val="2C862667"/>
    <w:rsid w:val="2D7846A8"/>
    <w:rsid w:val="2DBE28B1"/>
    <w:rsid w:val="2E7A444E"/>
    <w:rsid w:val="2F0E4B96"/>
    <w:rsid w:val="2F2820FC"/>
    <w:rsid w:val="2F370591"/>
    <w:rsid w:val="2F6A6270"/>
    <w:rsid w:val="2F755F6A"/>
    <w:rsid w:val="2F792957"/>
    <w:rsid w:val="2FD650B3"/>
    <w:rsid w:val="2FE671C2"/>
    <w:rsid w:val="311012E8"/>
    <w:rsid w:val="3213359C"/>
    <w:rsid w:val="32456D0C"/>
    <w:rsid w:val="327D5A3A"/>
    <w:rsid w:val="32EE71B8"/>
    <w:rsid w:val="331D70F8"/>
    <w:rsid w:val="340173AA"/>
    <w:rsid w:val="346A0AC1"/>
    <w:rsid w:val="34EE43E8"/>
    <w:rsid w:val="353D1F52"/>
    <w:rsid w:val="355C48AD"/>
    <w:rsid w:val="35B50293"/>
    <w:rsid w:val="360D2352"/>
    <w:rsid w:val="365A4FDB"/>
    <w:rsid w:val="36922B60"/>
    <w:rsid w:val="36A007CA"/>
    <w:rsid w:val="36FD79CA"/>
    <w:rsid w:val="371C19C6"/>
    <w:rsid w:val="372907BF"/>
    <w:rsid w:val="3778771F"/>
    <w:rsid w:val="37C808F9"/>
    <w:rsid w:val="37CE270A"/>
    <w:rsid w:val="380C3D81"/>
    <w:rsid w:val="38675A43"/>
    <w:rsid w:val="391815C9"/>
    <w:rsid w:val="39355B41"/>
    <w:rsid w:val="39C40C73"/>
    <w:rsid w:val="39CD36E7"/>
    <w:rsid w:val="39DD11D9"/>
    <w:rsid w:val="39E64DFB"/>
    <w:rsid w:val="3A9D4117"/>
    <w:rsid w:val="3AF257DD"/>
    <w:rsid w:val="3BCC2061"/>
    <w:rsid w:val="3BCD5481"/>
    <w:rsid w:val="3C4A7A6A"/>
    <w:rsid w:val="3D26256C"/>
    <w:rsid w:val="3DDD61ED"/>
    <w:rsid w:val="3EB43B01"/>
    <w:rsid w:val="3F024919"/>
    <w:rsid w:val="3F171845"/>
    <w:rsid w:val="3F4C0963"/>
    <w:rsid w:val="3F531DDA"/>
    <w:rsid w:val="3F7204C9"/>
    <w:rsid w:val="3F9D1D4A"/>
    <w:rsid w:val="3FC714BD"/>
    <w:rsid w:val="40251D40"/>
    <w:rsid w:val="41D57EC1"/>
    <w:rsid w:val="42165DE4"/>
    <w:rsid w:val="422B5DAF"/>
    <w:rsid w:val="42820698"/>
    <w:rsid w:val="42AE4DF5"/>
    <w:rsid w:val="42C10446"/>
    <w:rsid w:val="42D876F6"/>
    <w:rsid w:val="43542C61"/>
    <w:rsid w:val="44CD4E80"/>
    <w:rsid w:val="44D44B97"/>
    <w:rsid w:val="454809AA"/>
    <w:rsid w:val="45A22C16"/>
    <w:rsid w:val="45EF3AA8"/>
    <w:rsid w:val="4667228E"/>
    <w:rsid w:val="46D729A5"/>
    <w:rsid w:val="48631C44"/>
    <w:rsid w:val="48934632"/>
    <w:rsid w:val="489D7E63"/>
    <w:rsid w:val="49EC4051"/>
    <w:rsid w:val="4A314CB7"/>
    <w:rsid w:val="4A6240E0"/>
    <w:rsid w:val="4AC659E2"/>
    <w:rsid w:val="4AC7411F"/>
    <w:rsid w:val="4B120C92"/>
    <w:rsid w:val="4B2832DF"/>
    <w:rsid w:val="4B7A3592"/>
    <w:rsid w:val="4BAB1E8D"/>
    <w:rsid w:val="4C067046"/>
    <w:rsid w:val="4C2F01CE"/>
    <w:rsid w:val="4D601A64"/>
    <w:rsid w:val="4ECA68D4"/>
    <w:rsid w:val="4F0911AA"/>
    <w:rsid w:val="4FAB2261"/>
    <w:rsid w:val="502D0652"/>
    <w:rsid w:val="50393DA6"/>
    <w:rsid w:val="50B67110"/>
    <w:rsid w:val="51915487"/>
    <w:rsid w:val="51BB15F7"/>
    <w:rsid w:val="51CA0865"/>
    <w:rsid w:val="51D535C6"/>
    <w:rsid w:val="527058F2"/>
    <w:rsid w:val="52BB6C5F"/>
    <w:rsid w:val="52C432FB"/>
    <w:rsid w:val="53312A7E"/>
    <w:rsid w:val="53591FD4"/>
    <w:rsid w:val="53D328B4"/>
    <w:rsid w:val="554D5900"/>
    <w:rsid w:val="557A0ED2"/>
    <w:rsid w:val="56552978"/>
    <w:rsid w:val="56B21243"/>
    <w:rsid w:val="574E07C7"/>
    <w:rsid w:val="58020E8D"/>
    <w:rsid w:val="58BC54DF"/>
    <w:rsid w:val="59F81C0A"/>
    <w:rsid w:val="5A1C0A47"/>
    <w:rsid w:val="5A843E47"/>
    <w:rsid w:val="5B834092"/>
    <w:rsid w:val="5BFB1FF7"/>
    <w:rsid w:val="5C240901"/>
    <w:rsid w:val="5C957F91"/>
    <w:rsid w:val="5D7A3273"/>
    <w:rsid w:val="5D861C18"/>
    <w:rsid w:val="5DD24E5D"/>
    <w:rsid w:val="5E924316"/>
    <w:rsid w:val="5FA32F55"/>
    <w:rsid w:val="5FE5356E"/>
    <w:rsid w:val="61433E39"/>
    <w:rsid w:val="61ED495B"/>
    <w:rsid w:val="621F273B"/>
    <w:rsid w:val="62E6604F"/>
    <w:rsid w:val="634B4836"/>
    <w:rsid w:val="63A41E75"/>
    <w:rsid w:val="64C61D10"/>
    <w:rsid w:val="651346D9"/>
    <w:rsid w:val="655A2308"/>
    <w:rsid w:val="656960A7"/>
    <w:rsid w:val="65A65FB1"/>
    <w:rsid w:val="65E10333"/>
    <w:rsid w:val="663A7CA6"/>
    <w:rsid w:val="6659677A"/>
    <w:rsid w:val="668A2F6D"/>
    <w:rsid w:val="66B47C92"/>
    <w:rsid w:val="66FB3677"/>
    <w:rsid w:val="67135C6C"/>
    <w:rsid w:val="680D76C2"/>
    <w:rsid w:val="68270D00"/>
    <w:rsid w:val="688E7863"/>
    <w:rsid w:val="6915497D"/>
    <w:rsid w:val="6972446D"/>
    <w:rsid w:val="69A25812"/>
    <w:rsid w:val="6A88233D"/>
    <w:rsid w:val="6ACD4147"/>
    <w:rsid w:val="6B550C19"/>
    <w:rsid w:val="6B8F24EF"/>
    <w:rsid w:val="6C316E88"/>
    <w:rsid w:val="6C9E6F7E"/>
    <w:rsid w:val="6CAB51F7"/>
    <w:rsid w:val="6CBF6EF4"/>
    <w:rsid w:val="6CD40032"/>
    <w:rsid w:val="6CFF414A"/>
    <w:rsid w:val="6D5E733D"/>
    <w:rsid w:val="6DF606F4"/>
    <w:rsid w:val="6E423939"/>
    <w:rsid w:val="6E727808"/>
    <w:rsid w:val="6EA939B8"/>
    <w:rsid w:val="6FA9085B"/>
    <w:rsid w:val="6FC1421C"/>
    <w:rsid w:val="707D035D"/>
    <w:rsid w:val="70AF26F8"/>
    <w:rsid w:val="70F152FC"/>
    <w:rsid w:val="712D3565"/>
    <w:rsid w:val="725D3437"/>
    <w:rsid w:val="725F674C"/>
    <w:rsid w:val="729D5922"/>
    <w:rsid w:val="734D122A"/>
    <w:rsid w:val="74DC60D9"/>
    <w:rsid w:val="75114065"/>
    <w:rsid w:val="753F46B3"/>
    <w:rsid w:val="755E585A"/>
    <w:rsid w:val="75BB6B8A"/>
    <w:rsid w:val="7626071A"/>
    <w:rsid w:val="778B45A3"/>
    <w:rsid w:val="77BE6726"/>
    <w:rsid w:val="77E65C7D"/>
    <w:rsid w:val="78622770"/>
    <w:rsid w:val="78757AE0"/>
    <w:rsid w:val="793B5BAB"/>
    <w:rsid w:val="796C3F60"/>
    <w:rsid w:val="798C015E"/>
    <w:rsid w:val="79AA3AC4"/>
    <w:rsid w:val="79B47516"/>
    <w:rsid w:val="7A23296F"/>
    <w:rsid w:val="7A537BE0"/>
    <w:rsid w:val="7A9B2D4F"/>
    <w:rsid w:val="7AA620F8"/>
    <w:rsid w:val="7AC371F6"/>
    <w:rsid w:val="7AE96B7F"/>
    <w:rsid w:val="7B7632E5"/>
    <w:rsid w:val="7C2D79D7"/>
    <w:rsid w:val="7D160888"/>
    <w:rsid w:val="7D341239"/>
    <w:rsid w:val="7D630A43"/>
    <w:rsid w:val="7DAC0DCF"/>
    <w:rsid w:val="7E7773E1"/>
    <w:rsid w:val="7E847099"/>
    <w:rsid w:val="7E9170C5"/>
    <w:rsid w:val="7F5F54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autoSpaceDE w:val="0"/>
      <w:autoSpaceDN w:val="0"/>
      <w:adjustRightInd w:val="0"/>
      <w:spacing w:line="360" w:lineRule="auto"/>
    </w:pPr>
    <w:rPr>
      <w:rFonts w:ascii="宋体" w:hAnsi="Arial" w:cs="Arial"/>
      <w:snapToGrid w:val="0"/>
      <w:sz w:val="24"/>
      <w:szCs w:val="21"/>
      <w:lang w:val="zh-CN"/>
    </w:rPr>
  </w:style>
  <w:style w:type="paragraph" w:styleId="13">
    <w:name w:val="Body Text Indent"/>
    <w:basedOn w:val="1"/>
    <w:qFormat/>
    <w:uiPriority w:val="0"/>
    <w:pPr>
      <w:spacing w:after="120"/>
      <w:ind w:left="200" w:leftChars="200"/>
    </w:pPr>
    <w:rPr>
      <w:szCs w:val="24"/>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basedOn w:val="1"/>
    <w:next w:val="8"/>
    <w:qFormat/>
    <w:uiPriority w:val="0"/>
    <w:rPr>
      <w:rFonts w:ascii="宋体"/>
    </w:rPr>
  </w:style>
  <w:style w:type="paragraph" w:styleId="17">
    <w:name w:val="Date"/>
    <w:basedOn w:val="1"/>
    <w:next w:val="1"/>
    <w:qFormat/>
    <w:uiPriority w:val="0"/>
    <w:pPr>
      <w:ind w:left="2500" w:leftChars="2500"/>
    </w:pPr>
  </w:style>
  <w:style w:type="paragraph" w:styleId="18">
    <w:name w:val="Balloon Text"/>
    <w:basedOn w:val="1"/>
    <w:link w:val="49"/>
    <w:qFormat/>
    <w:uiPriority w:val="0"/>
    <w:rPr>
      <w:sz w:val="18"/>
      <w:szCs w:val="18"/>
    </w:rPr>
  </w:style>
  <w:style w:type="paragraph" w:styleId="19">
    <w:name w:val="footer"/>
    <w:basedOn w:val="1"/>
    <w:qFormat/>
    <w:uiPriority w:val="0"/>
    <w:pPr>
      <w:tabs>
        <w:tab w:val="center" w:pos="4153"/>
        <w:tab w:val="right" w:pos="8306"/>
      </w:tabs>
      <w:snapToGrid w:val="0"/>
      <w:jc w:val="left"/>
    </w:pPr>
    <w:rPr>
      <w:rFonts w:ascii="Calibri" w:hAnsi="Calibri"/>
      <w:sz w:val="18"/>
      <w:szCs w:val="18"/>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footnote text"/>
    <w:basedOn w:val="1"/>
    <w:qFormat/>
    <w:uiPriority w:val="99"/>
    <w:rPr>
      <w:sz w:val="18"/>
      <w:szCs w:val="18"/>
    </w:rPr>
  </w:style>
  <w:style w:type="paragraph" w:styleId="24">
    <w:name w:val="toc 6"/>
    <w:basedOn w:val="1"/>
    <w:next w:val="1"/>
    <w:qFormat/>
    <w:uiPriority w:val="0"/>
    <w:pPr>
      <w:ind w:left="2100" w:leftChars="1000"/>
    </w:pPr>
  </w:style>
  <w:style w:type="paragraph" w:styleId="25">
    <w:name w:val="toc 2"/>
    <w:basedOn w:val="1"/>
    <w:next w:val="1"/>
    <w:qFormat/>
    <w:uiPriority w:val="0"/>
    <w:pPr>
      <w:ind w:left="420"/>
    </w:pPr>
  </w:style>
  <w:style w:type="paragraph" w:styleId="26">
    <w:name w:val="Normal (Web)"/>
    <w:basedOn w:val="1"/>
    <w:qFormat/>
    <w:uiPriority w:val="0"/>
    <w:pPr>
      <w:spacing w:beforeAutospacing="1" w:afterAutospacing="1"/>
      <w:jc w:val="left"/>
    </w:pPr>
    <w:rPr>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8">
    <w:name w:val="annotation subject"/>
    <w:basedOn w:val="10"/>
    <w:next w:val="10"/>
    <w:qFormat/>
    <w:uiPriority w:val="0"/>
    <w:rPr>
      <w:b/>
    </w:rPr>
  </w:style>
  <w:style w:type="paragraph" w:styleId="29">
    <w:name w:val="Body Text First Indent"/>
    <w:basedOn w:val="12"/>
    <w:qFormat/>
    <w:uiPriority w:val="0"/>
    <w:pPr>
      <w:ind w:firstLine="420"/>
    </w:pPr>
    <w:rPr>
      <w:rFonts w:hAnsi="Times New Roman" w:cs="Times New Roman"/>
      <w:snapToGrid/>
      <w:szCs w:val="20"/>
    </w:rPr>
  </w:style>
  <w:style w:type="paragraph" w:styleId="30">
    <w:name w:val="Body Text First Indent 2"/>
    <w:basedOn w:val="13"/>
    <w:qFormat/>
    <w:uiPriority w:val="0"/>
    <w:pPr>
      <w:ind w:firstLine="420" w:firstLineChars="2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0"/>
    <w:rPr>
      <w:b/>
    </w:rPr>
  </w:style>
  <w:style w:type="character" w:styleId="35">
    <w:name w:val="page number"/>
    <w:basedOn w:val="33"/>
    <w:qFormat/>
    <w:uiPriority w:val="0"/>
  </w:style>
  <w:style w:type="character" w:styleId="36">
    <w:name w:val="FollowedHyperlink"/>
    <w:basedOn w:val="33"/>
    <w:qFormat/>
    <w:uiPriority w:val="0"/>
    <w:rPr>
      <w:color w:val="800080"/>
      <w:u w:val="single"/>
    </w:rPr>
  </w:style>
  <w:style w:type="character" w:styleId="37">
    <w:name w:val="Hyperlink"/>
    <w:qFormat/>
    <w:uiPriority w:val="0"/>
    <w:rPr>
      <w:color w:val="0000FF"/>
      <w:u w:val="single"/>
    </w:rPr>
  </w:style>
  <w:style w:type="character" w:styleId="38">
    <w:name w:val="annotation reference"/>
    <w:basedOn w:val="33"/>
    <w:qFormat/>
    <w:uiPriority w:val="0"/>
    <w:rPr>
      <w:sz w:val="21"/>
      <w:szCs w:val="21"/>
    </w:rPr>
  </w:style>
  <w:style w:type="paragraph" w:customStyle="1" w:styleId="39">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40">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41">
    <w:name w:val="正文文字 7"/>
    <w:basedOn w:val="1"/>
    <w:next w:val="1"/>
    <w:qFormat/>
    <w:uiPriority w:val="0"/>
    <w:pPr>
      <w:ind w:left="240"/>
    </w:pPr>
    <w:rPr>
      <w:sz w:val="20"/>
    </w:rPr>
  </w:style>
  <w:style w:type="paragraph" w:customStyle="1" w:styleId="42">
    <w:name w:val="正文文字 8"/>
    <w:basedOn w:val="1"/>
    <w:next w:val="1"/>
    <w:qFormat/>
    <w:uiPriority w:val="0"/>
    <w:pPr>
      <w:numPr>
        <w:ilvl w:val="1"/>
        <w:numId w:val="2"/>
      </w:numPr>
      <w:ind w:left="805"/>
    </w:pPr>
    <w:rPr>
      <w:sz w:val="16"/>
    </w:rPr>
  </w:style>
  <w:style w:type="paragraph" w:customStyle="1" w:styleId="43">
    <w:name w:val="列出段落1"/>
    <w:next w:val="4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4">
    <w:name w:val="样式5"/>
    <w:next w:val="4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样式6"/>
    <w:basedOn w:val="16"/>
    <w:qFormat/>
    <w:uiPriority w:val="0"/>
    <w:pPr>
      <w:adjustRightInd w:val="0"/>
      <w:snapToGrid w:val="0"/>
      <w:spacing w:line="460" w:lineRule="exact"/>
      <w:outlineLvl w:val="2"/>
    </w:pPr>
    <w:rPr>
      <w:rFonts w:ascii="仿宋_GB2312" w:hAnsi="宋体" w:eastAsia="仿宋_GB2312" w:cs="Arial"/>
      <w:b/>
      <w:bCs/>
      <w:sz w:val="24"/>
      <w:szCs w:val="24"/>
    </w:rPr>
  </w:style>
  <w:style w:type="paragraph" w:customStyle="1" w:styleId="48">
    <w:name w:val="正文2"/>
    <w:basedOn w:val="1"/>
    <w:qFormat/>
    <w:uiPriority w:val="0"/>
    <w:pPr>
      <w:spacing w:before="156" w:line="360" w:lineRule="auto"/>
      <w:ind w:firstLine="510" w:firstLineChars="200"/>
    </w:pPr>
    <w:rPr>
      <w:sz w:val="24"/>
    </w:rPr>
  </w:style>
  <w:style w:type="character" w:customStyle="1" w:styleId="49">
    <w:name w:val="批注框文本 Char"/>
    <w:basedOn w:val="33"/>
    <w:link w:val="18"/>
    <w:qFormat/>
    <w:uiPriority w:val="0"/>
    <w:rPr>
      <w:kern w:val="2"/>
      <w:sz w:val="18"/>
      <w:szCs w:val="18"/>
    </w:rPr>
  </w:style>
  <w:style w:type="paragraph" w:customStyle="1" w:styleId="50">
    <w:name w:val="Table Text"/>
    <w:basedOn w:val="1"/>
    <w:qFormat/>
    <w:uiPriority w:val="0"/>
    <w:pPr>
      <w:widowControl/>
      <w:spacing w:before="60" w:beforeLines="0" w:after="60" w:afterLines="0"/>
      <w:jc w:val="left"/>
    </w:pPr>
    <w:rPr>
      <w:kern w:val="0"/>
      <w:sz w:val="24"/>
    </w:rPr>
  </w:style>
  <w:style w:type="paragraph" w:customStyle="1" w:styleId="51">
    <w:name w:val="List Paragraph"/>
    <w:basedOn w:val="1"/>
    <w:qFormat/>
    <w:uiPriority w:val="0"/>
    <w:pPr>
      <w:ind w:firstLine="420" w:firstLineChars="200"/>
    </w:pPr>
    <w:rPr>
      <w:rFonts w:ascii="Times New Roman" w:hAnsi="Times New Roman" w:eastAsia="宋体" w:cs="Times New Roman"/>
    </w:rPr>
  </w:style>
  <w:style w:type="paragraph" w:customStyle="1" w:styleId="52">
    <w:name w:val="正文1"/>
    <w:basedOn w:val="15"/>
    <w:next w:val="1"/>
    <w:qFormat/>
    <w:uiPriority w:val="0"/>
    <w:pPr>
      <w:widowControl w:val="0"/>
      <w:tabs>
        <w:tab w:val="right" w:leader="dot" w:pos="8268"/>
      </w:tabs>
      <w:adjustRightInd w:val="0"/>
      <w:spacing w:line="312" w:lineRule="atLeast"/>
      <w:jc w:val="both"/>
    </w:pPr>
    <w:rPr>
      <w:rFonts w:ascii="宋体" w:hAnsi="Times New Roman" w:eastAsia="等线" w:cs="Times New Roman"/>
      <w:sz w:val="34"/>
      <w:lang w:val="en-US" w:eastAsia="zh-CN" w:bidi="ar-SA"/>
    </w:rPr>
  </w:style>
  <w:style w:type="paragraph" w:customStyle="1" w:styleId="53">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1943</Words>
  <Characters>2318</Characters>
  <Lines>288</Lines>
  <Paragraphs>81</Paragraphs>
  <TotalTime>3</TotalTime>
  <ScaleCrop>false</ScaleCrop>
  <LinksUpToDate>false</LinksUpToDate>
  <CharactersWithSpaces>2461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sunli</cp:lastModifiedBy>
  <cp:lastPrinted>2024-08-17T01:16:00Z</cp:lastPrinted>
  <dcterms:modified xsi:type="dcterms:W3CDTF">2025-07-01T01:17:57Z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29CAA6EEF6B54076962626797A16EA13_13</vt:lpwstr>
  </property>
  <property fmtid="{D5CDD505-2E9C-101B-9397-08002B2CF9AE}" pid="4" name="KSOTemplateDocerSaveRecord">
    <vt:lpwstr>eyJoZGlkIjoiYWJmMjk0NDM4ZGE3N2FiNmUwNGRmYjA2MzNkODY0OTAiLCJ1c2VySWQiOiIzMjM0NDU0MTkifQ==</vt:lpwstr>
  </property>
</Properties>
</file>