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宋体" w:hAnsi="宋体" w:cs="宋体"/>
          <w:b/>
          <w:sz w:val="24"/>
        </w:rPr>
      </w:pPr>
    </w:p>
    <w:p>
      <w:pPr>
        <w:wordWrap w:val="0"/>
        <w:adjustRightInd/>
        <w:spacing w:line="360" w:lineRule="auto"/>
        <w:jc w:val="center"/>
        <w:rPr>
          <w:rFonts w:ascii="隶书" w:hAnsi="Arial" w:eastAsia="隶书" w:cs="Arial"/>
          <w:b/>
          <w:spacing w:val="-12"/>
          <w:sz w:val="48"/>
          <w:szCs w:val="48"/>
        </w:rPr>
      </w:pPr>
      <w:bookmarkStart w:id="0" w:name="_Hlt67893495"/>
      <w:bookmarkEnd w:id="0"/>
      <w:r>
        <w:rPr>
          <w:rFonts w:hint="eastAsia" w:ascii="隶书" w:hAnsi="Arial" w:eastAsia="隶书" w:cs="Arial"/>
          <w:b/>
          <w:spacing w:val="-12"/>
          <w:sz w:val="48"/>
          <w:szCs w:val="48"/>
        </w:rPr>
        <w:t>绍兴文理学院</w:t>
      </w:r>
    </w:p>
    <w:p>
      <w:pPr>
        <w:wordWrap w:val="0"/>
        <w:adjustRightInd/>
        <w:spacing w:line="360" w:lineRule="auto"/>
        <w:jc w:val="center"/>
        <w:rPr>
          <w:rFonts w:ascii="隶书" w:hAnsi="Arial" w:eastAsia="隶书" w:cs="Arial"/>
          <w:b/>
          <w:spacing w:val="-12"/>
          <w:sz w:val="48"/>
          <w:szCs w:val="48"/>
        </w:rPr>
      </w:pPr>
      <w:r>
        <w:rPr>
          <w:rFonts w:hint="eastAsia" w:ascii="隶书" w:hAnsi="Arial" w:eastAsia="隶书" w:cs="Arial"/>
          <w:b/>
          <w:spacing w:val="-12"/>
          <w:sz w:val="48"/>
          <w:szCs w:val="48"/>
        </w:rPr>
        <w:t>商学院新大楼家具采购项目</w:t>
      </w:r>
    </w:p>
    <w:p>
      <w:pPr>
        <w:wordWrap w:val="0"/>
        <w:jc w:val="center"/>
        <w:outlineLvl w:val="0"/>
        <w:rPr>
          <w:rFonts w:ascii="仿宋" w:hAnsi="仿宋" w:eastAsia="仿宋" w:cs="仿宋"/>
          <w:b/>
          <w:sz w:val="72"/>
          <w:szCs w:val="72"/>
        </w:rPr>
      </w:pP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公</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开</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招</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标</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文</w:t>
      </w:r>
    </w:p>
    <w:p>
      <w:pPr>
        <w:wordWrap w:val="0"/>
        <w:jc w:val="center"/>
        <w:outlineLvl w:val="0"/>
        <w:rPr>
          <w:rFonts w:ascii="隶书" w:hAnsi="隶书" w:eastAsia="隶书" w:cs="隶书"/>
          <w:sz w:val="44"/>
        </w:rPr>
      </w:pPr>
      <w:r>
        <w:rPr>
          <w:rFonts w:hint="eastAsia" w:ascii="隶书" w:hAnsi="隶书" w:eastAsia="隶书" w:cs="隶书"/>
          <w:b/>
          <w:sz w:val="72"/>
          <w:szCs w:val="72"/>
        </w:rPr>
        <w:t>件</w:t>
      </w:r>
    </w:p>
    <w:p>
      <w:pPr>
        <w:wordWrap w:val="0"/>
        <w:adjustRightInd/>
        <w:spacing w:line="360" w:lineRule="auto"/>
        <w:jc w:val="center"/>
        <w:rPr>
          <w:rFonts w:ascii="隶书" w:hAnsi="隶书" w:eastAsia="隶书" w:cs="隶书"/>
          <w:b/>
          <w:sz w:val="44"/>
          <w:szCs w:val="44"/>
        </w:rPr>
      </w:pPr>
      <w:r>
        <w:rPr>
          <w:rFonts w:hint="eastAsia" w:ascii="隶书" w:hAnsi="隶书" w:eastAsia="隶书" w:cs="隶书"/>
          <w:b/>
          <w:sz w:val="44"/>
          <w:szCs w:val="44"/>
        </w:rPr>
        <w:t>（电子招投标）</w:t>
      </w:r>
    </w:p>
    <w:p>
      <w:pPr>
        <w:wordWrap w:val="0"/>
        <w:spacing w:line="360" w:lineRule="auto"/>
        <w:rPr>
          <w:rFonts w:ascii="隶书" w:hAnsi="隶书" w:eastAsia="隶书" w:cs="隶书"/>
          <w:b/>
          <w:sz w:val="44"/>
          <w:szCs w:val="44"/>
        </w:rPr>
      </w:pPr>
      <w:r>
        <w:rPr>
          <w:rFonts w:hint="eastAsia" w:ascii="隶书" w:hAnsi="隶书" w:eastAsia="隶书" w:cs="隶书"/>
          <w:b/>
          <w:sz w:val="44"/>
          <w:szCs w:val="44"/>
        </w:rPr>
        <w:t xml:space="preserve"> </w:t>
      </w:r>
    </w:p>
    <w:p>
      <w:pPr>
        <w:wordWrap w:val="0"/>
        <w:jc w:val="center"/>
        <w:rPr>
          <w:rFonts w:ascii="隶书" w:hAnsi="隶书" w:eastAsia="隶书" w:cs="隶书"/>
          <w:bCs/>
          <w:sz w:val="28"/>
          <w:szCs w:val="28"/>
        </w:rPr>
      </w:pPr>
      <w:r>
        <w:rPr>
          <w:rFonts w:hint="eastAsia" w:ascii="隶书" w:hAnsi="隶书" w:eastAsia="隶书" w:cs="隶书"/>
          <w:bCs/>
          <w:sz w:val="28"/>
          <w:szCs w:val="28"/>
        </w:rPr>
        <w:t>招标编号:</w:t>
      </w:r>
      <w:r>
        <w:rPr>
          <w:rFonts w:hint="eastAsia" w:ascii="隶书" w:hAnsi="隶书" w:eastAsia="隶书" w:cs="隶书"/>
          <w:b/>
          <w:sz w:val="28"/>
          <w:szCs w:val="28"/>
        </w:rPr>
        <w:t>2025-06-0052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rPr>
              <w:t>采购单</w:t>
            </w:r>
            <w:r>
              <w:rPr>
                <w:rFonts w:hint="eastAsia" w:ascii="隶书" w:hAnsi="隶书" w:eastAsia="隶书" w:cs="隶书"/>
                <w:spacing w:val="1"/>
                <w:kern w:val="0"/>
                <w:sz w:val="28"/>
                <w:szCs w:val="28"/>
              </w:rPr>
              <w:t>位</w:t>
            </w:r>
            <w:r>
              <w:rPr>
                <w:rFonts w:hint="eastAsia" w:ascii="隶书" w:hAnsi="隶书" w:eastAsia="隶书" w:cs="隶书"/>
                <w:sz w:val="28"/>
                <w:szCs w:val="28"/>
              </w:rPr>
              <w:t>：</w:t>
            </w:r>
          </w:p>
        </w:tc>
        <w:tc>
          <w:tcPr>
            <w:tcW w:w="5445" w:type="dxa"/>
            <w:vAlign w:val="center"/>
          </w:tcPr>
          <w:p>
            <w:pPr>
              <w:wordWrap w:val="0"/>
              <w:spacing w:line="320" w:lineRule="exact"/>
              <w:outlineLvl w:val="0"/>
              <w:rPr>
                <w:rFonts w:ascii="隶书" w:hAnsi="隶书" w:eastAsia="隶书" w:cs="隶书"/>
                <w:sz w:val="28"/>
                <w:szCs w:val="28"/>
              </w:rPr>
            </w:pPr>
            <w:r>
              <w:rPr>
                <w:rFonts w:hint="eastAsia" w:ascii="隶书" w:hAnsi="隶书" w:eastAsia="隶书" w:cs="隶书"/>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0"/>
                <w:w w:val="100"/>
                <w:kern w:val="0"/>
                <w:sz w:val="28"/>
                <w:szCs w:val="28"/>
                <w:fitText w:val="1680" w:id="-1368503609"/>
              </w:rPr>
              <w:t>采购代理机构</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fitText w:val="1680" w:id="1"/>
              </w:rPr>
              <w:t>监督单</w:t>
            </w:r>
            <w:r>
              <w:rPr>
                <w:rFonts w:hint="eastAsia" w:ascii="隶书" w:hAnsi="隶书" w:eastAsia="隶书" w:cs="隶书"/>
                <w:spacing w:val="1"/>
                <w:kern w:val="0"/>
                <w:sz w:val="28"/>
                <w:szCs w:val="28"/>
                <w:fitText w:val="1680" w:id="1"/>
              </w:rPr>
              <w:t>位</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spacing w:val="1400"/>
                <w:kern w:val="0"/>
                <w:sz w:val="28"/>
                <w:szCs w:val="28"/>
              </w:rPr>
            </w:pP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sz w:val="28"/>
                <w:szCs w:val="28"/>
              </w:rPr>
            </w:pPr>
            <w:r>
              <w:rPr>
                <w:rFonts w:hint="eastAsia" w:ascii="隶书" w:hAnsi="隶书" w:eastAsia="隶书" w:cs="隶书"/>
                <w:sz w:val="28"/>
                <w:szCs w:val="28"/>
              </w:rPr>
              <w:t>二○二五年</w:t>
            </w:r>
            <w:r>
              <w:rPr>
                <w:rFonts w:hint="eastAsia" w:ascii="隶书" w:hAnsi="隶书" w:eastAsia="隶书" w:cs="隶书"/>
                <w:sz w:val="28"/>
                <w:szCs w:val="28"/>
                <w:lang w:val="en-US" w:eastAsia="zh-CN"/>
              </w:rPr>
              <w:t>七</w:t>
            </w:r>
            <w:r>
              <w:rPr>
                <w:rFonts w:hint="eastAsia" w:ascii="隶书" w:hAnsi="隶书" w:eastAsia="隶书" w:cs="隶书"/>
                <w:sz w:val="28"/>
                <w:szCs w:val="28"/>
              </w:rPr>
              <w:t>月</w:t>
            </w:r>
          </w:p>
        </w:tc>
      </w:tr>
    </w:tbl>
    <w:p>
      <w:pPr>
        <w:pStyle w:val="637"/>
        <w:wordWrap w:val="0"/>
        <w:rPr>
          <w:rFonts w:ascii="隶书" w:hAnsi="隶书" w:eastAsia="隶书" w:cs="隶书"/>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 w:hAnsi="仿宋" w:eastAsia="仿宋" w:cs="仿宋"/>
          <w:sz w:val="24"/>
        </w:rPr>
      </w:pPr>
    </w:p>
    <w:p>
      <w:pPr>
        <w:wordWrap w:val="0"/>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wordWrap w:val="0"/>
        <w:spacing w:line="360" w:lineRule="auto"/>
        <w:jc w:val="center"/>
        <w:rPr>
          <w:rFonts w:ascii="仿宋" w:hAnsi="仿宋" w:eastAsia="仿宋" w:cs="仿宋"/>
          <w:b/>
          <w:sz w:val="44"/>
          <w:szCs w:val="44"/>
        </w:rPr>
      </w:pPr>
    </w:p>
    <w:p>
      <w:pPr>
        <w:wordWrap w:val="0"/>
        <w:spacing w:line="360" w:lineRule="auto"/>
        <w:jc w:val="center"/>
        <w:rPr>
          <w:rFonts w:ascii="仿宋" w:hAnsi="仿宋" w:eastAsia="仿宋" w:cs="仿宋"/>
        </w:rPr>
      </w:pP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rPr>
          <w:rFonts w:ascii="仿宋" w:hAnsi="仿宋" w:eastAsia="仿宋" w:cs="仿宋"/>
          <w:sz w:val="24"/>
        </w:rPr>
      </w:pPr>
    </w:p>
    <w:bookmarkEnd w:id="2"/>
    <w:p>
      <w:pPr>
        <w:wordWrap w:val="0"/>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绍兴文理学院商学院新大楼家具采购项目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"https://www.zcygov.cn/）获取（下载）招标文件，并于2025%20年7%20月22%20日9%20点00%20分00秒" </w:instrText>
      </w:r>
      <w:r>
        <w:fldChar w:fldCharType="separate"/>
      </w:r>
      <w:r>
        <w:rPr>
          <w:rStyle w:val="77"/>
          <w:rFonts w:hint="eastAsia" w:ascii="仿宋_GB2312" w:hAnsi="仿宋_GB2312" w:eastAsia="仿宋_GB2312" w:cs="仿宋_GB2312"/>
          <w:snapToGrid/>
          <w:kern w:val="2"/>
          <w:sz w:val="24"/>
          <w:szCs w:val="24"/>
        </w:rPr>
        <w:t>https://www.zcygov.cn/）获取（下载）招标文件，并于2025 年7 月22 日</w:t>
      </w:r>
      <w:r>
        <w:rPr>
          <w:rStyle w:val="77"/>
          <w:rFonts w:hint="eastAsia" w:ascii="仿宋_GB2312" w:hAnsi="仿宋_GB2312" w:eastAsia="仿宋_GB2312" w:cs="仿宋_GB2312"/>
          <w:snapToGrid/>
          <w:kern w:val="2"/>
          <w:sz w:val="24"/>
          <w:szCs w:val="24"/>
          <w:lang w:val="en-US" w:eastAsia="zh-CN"/>
        </w:rPr>
        <w:t>10</w:t>
      </w:r>
      <w:r>
        <w:rPr>
          <w:rStyle w:val="77"/>
          <w:rFonts w:hint="eastAsia" w:ascii="仿宋_GB2312" w:hAnsi="仿宋_GB2312" w:eastAsia="仿宋_GB2312" w:cs="仿宋_GB2312"/>
          <w:snapToGrid/>
          <w:kern w:val="2"/>
          <w:sz w:val="24"/>
          <w:szCs w:val="24"/>
        </w:rPr>
        <w:t xml:space="preserve"> 点00 分</w:t>
      </w:r>
      <w:r>
        <w:rPr>
          <w:rStyle w:val="77"/>
          <w:rFonts w:hint="eastAsia" w:ascii="仿宋_GB2312" w:hAnsi="仿宋_GB2312" w:eastAsia="仿宋_GB2312" w:cs="仿宋_GB2312"/>
          <w:bCs/>
          <w:snapToGrid/>
          <w:kern w:val="2"/>
          <w:sz w:val="24"/>
          <w:szCs w:val="24"/>
        </w:rPr>
        <w:t>00秒</w:t>
      </w:r>
      <w:r>
        <w:rPr>
          <w:rStyle w:val="77"/>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rPr>
        <w:t>2025-06-0052</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rPr>
        <w:t>绍兴文理学院商学院新大楼家具采购项目</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预算金额（元）：</w:t>
      </w:r>
      <w:r>
        <w:rPr>
          <w:rFonts w:hint="eastAsia" w:ascii="仿宋_GB2312" w:hAnsi="仿宋_GB2312" w:eastAsia="仿宋_GB2312" w:cs="仿宋_GB2312"/>
          <w:bCs/>
          <w:sz w:val="24"/>
        </w:rPr>
        <w:t>791660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最高限价（元）：</w:t>
      </w:r>
      <w:r>
        <w:rPr>
          <w:rFonts w:hint="eastAsia" w:ascii="仿宋_GB2312" w:hAnsi="仿宋_GB2312" w:eastAsia="仿宋_GB2312" w:cs="仿宋_GB2312"/>
          <w:bCs/>
          <w:sz w:val="24"/>
        </w:rPr>
        <w:t>791660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标项名称：商学院新大楼家具采购项目</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预算金额（元）：791660</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sz w:val="24"/>
          <w:u w:val="single"/>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b/>
          <w:sz w:val="24"/>
        </w:rPr>
        <w:t>是，☐否。</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无</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wordWrap w:val="0"/>
        <w:spacing w:line="440" w:lineRule="exact"/>
        <w:ind w:firstLine="897" w:firstLineChars="374"/>
        <w:rPr>
          <w:rFonts w:ascii="仿宋_GB2312" w:hAnsi="仿宋_GB2312" w:eastAsia="仿宋_GB2312" w:cs="仿宋_GB2312"/>
          <w:sz w:val="24"/>
          <w:u w:val="singl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bookmarkStart w:id="10" w:name="_Hlk101132524"/>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0"/>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4.本项目的特定资格要求：无；</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年7 月22 日</w:t>
      </w:r>
      <w:r>
        <w:rPr>
          <w:rFonts w:hint="eastAsia" w:ascii="仿宋_GB2312" w:hAnsi="仿宋_GB2312" w:eastAsia="仿宋_GB2312" w:cs="仿宋_GB2312"/>
          <w:sz w:val="24"/>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年7 月22 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点00 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年7 月22 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 xml:space="preserve"> 点00 分00秒</w:t>
      </w:r>
      <w:r>
        <w:rPr>
          <w:rFonts w:hint="eastAsia" w:ascii="仿宋_GB2312" w:hAnsi="仿宋_GB2312" w:eastAsia="仿宋_GB2312" w:cs="仿宋_GB2312"/>
          <w:bCs/>
          <w:sz w:val="24"/>
          <w:u w:val="single"/>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bookmarkStart w:id="53" w:name="_GoBack"/>
      <w:bookmarkEnd w:id="53"/>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pPr>
        <w:pStyle w:val="7"/>
        <w:wordWrap w:val="0"/>
        <w:spacing w:line="440" w:lineRule="exact"/>
        <w:ind w:left="0" w:firstLine="482" w:firstLineChars="200"/>
        <w:rPr>
          <w:rFonts w:hAnsi="仿宋_GB2312" w:cs="仿宋_GB2312"/>
          <w:sz w:val="24"/>
          <w:szCs w:val="24"/>
        </w:rPr>
      </w:pPr>
      <w:bookmarkStart w:id="11" w:name="_Toc35393637"/>
      <w:bookmarkStart w:id="12" w:name="_Toc35393806"/>
      <w:bookmarkStart w:id="13" w:name="_Toc28359096"/>
      <w:bookmarkStart w:id="14" w:name="_Toc28359019"/>
      <w:r>
        <w:rPr>
          <w:rFonts w:hint="eastAsia" w:hAnsi="仿宋_GB2312" w:cs="仿宋_GB2312"/>
          <w:sz w:val="24"/>
          <w:szCs w:val="24"/>
        </w:rPr>
        <w:t>1.采购人信息</w:t>
      </w:r>
      <w:bookmarkEnd w:id="11"/>
      <w:bookmarkEnd w:id="12"/>
      <w:bookmarkEnd w:id="13"/>
      <w:bookmarkEnd w:id="14"/>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 绍兴文理学院</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 绍兴市越城区环城西路508号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 聂玉冰</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项目联系方式（询问）：0575-88342889</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质疑联系人：杨路华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质疑联系方式：0575-88341862</w:t>
      </w:r>
    </w:p>
    <w:p>
      <w:pPr>
        <w:pStyle w:val="7"/>
        <w:wordWrap w:val="0"/>
        <w:spacing w:line="440" w:lineRule="exact"/>
        <w:ind w:left="0" w:firstLine="482" w:firstLineChars="200"/>
        <w:rPr>
          <w:rFonts w:hAnsi="仿宋_GB2312" w:cs="仿宋_GB2312"/>
          <w:sz w:val="24"/>
        </w:rPr>
      </w:pPr>
      <w:bookmarkStart w:id="15" w:name="_Toc35393638"/>
      <w:bookmarkStart w:id="16" w:name="_Toc28359097"/>
      <w:bookmarkStart w:id="17" w:name="_Toc35393807"/>
      <w:bookmarkStart w:id="18" w:name="_Toc28359020"/>
      <w:r>
        <w:rPr>
          <w:rFonts w:hint="eastAsia" w:hAnsi="仿宋_GB2312" w:cs="仿宋_GB2312"/>
          <w:sz w:val="24"/>
          <w:szCs w:val="24"/>
        </w:rPr>
        <w:t>2.采购代理机构信息</w:t>
      </w:r>
      <w:bookmarkEnd w:id="15"/>
      <w:bookmarkEnd w:id="16"/>
      <w:bookmarkEnd w:id="17"/>
      <w:bookmarkEnd w:id="18"/>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bookmarkStart w:id="19" w:name="_Toc35393639"/>
      <w:bookmarkStart w:id="20" w:name="_Toc28359098"/>
      <w:bookmarkStart w:id="21" w:name="_Toc28359021"/>
      <w:bookmarkStart w:id="22" w:name="_Toc35393808"/>
      <w:r>
        <w:rPr>
          <w:rFonts w:hint="eastAsia" w:ascii="仿宋_GB2312" w:hAnsi="仿宋_GB2312" w:eastAsia="仿宋_GB2312" w:cs="仿宋_GB2312"/>
          <w:sz w:val="24"/>
        </w:rPr>
        <w:t>名称：绍兴市公共资源交易中心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地址：绍兴市越城区洋江西路699号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项目联系人（询问）：黄世杰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项目联系方式（询问）：0575-88307028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质疑联系人：顾梁杰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质疑联系方式：0575-88307026 　　</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bCs/>
          <w:sz w:val="24"/>
        </w:rPr>
        <w:t>3.</w:t>
      </w:r>
      <w:r>
        <w:rPr>
          <w:rFonts w:hint="eastAsia" w:ascii="仿宋_GB2312" w:hAnsi="仿宋_GB2312" w:eastAsia="仿宋_GB2312" w:cs="仿宋_GB2312"/>
          <w:b/>
          <w:sz w:val="24"/>
        </w:rPr>
        <w:t xml:space="preserve">同级政府采购监督管理部门：            </w:t>
      </w:r>
    </w:p>
    <w:bookmarkEnd w:id="19"/>
    <w:bookmarkEnd w:id="20"/>
    <w:bookmarkEnd w:id="21"/>
    <w:bookmarkEnd w:id="22"/>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名称：绍兴市财政局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地址：绍兴市越城区凤林西路151号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联系人 ：张婷婷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pPr>
        <w:widowControl/>
        <w:wordWrap w:val="0"/>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wordWrap w:val="0"/>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493" w:type="dxa"/>
            <w:gridSpan w:val="2"/>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493" w:type="dxa"/>
            <w:gridSpan w:val="2"/>
            <w:vAlign w:val="center"/>
          </w:tcPr>
          <w:p>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493" w:type="dxa"/>
            <w:gridSpan w:val="2"/>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493" w:type="dxa"/>
            <w:gridSpan w:val="2"/>
            <w:vAlign w:val="center"/>
          </w:tcPr>
          <w:p>
            <w:pPr>
              <w:wordWrap w:val="0"/>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A8"/>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493" w:type="dxa"/>
            <w:gridSpan w:val="2"/>
            <w:vAlign w:val="center"/>
          </w:tcPr>
          <w:p>
            <w:pPr>
              <w:wordWrap w:val="0"/>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wordWrap w:val="0"/>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hint="eastAsia" w:ascii="仿宋_GB2312" w:hAnsi="仿宋_GB2312" w:eastAsia="仿宋_GB2312" w:cs="仿宋_GB2312"/>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wordWrap w:val="0"/>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二人折叠活动桌（本项目的货物清单中序号第18项）、多功能电子讲台（本项目的货物清单中序号第19项）、学生实训桌（本项目的货物清单中序号第20项）各一张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提供完整样品，具体标准详见货物清单及技术要求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否；</w:t>
            </w: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投标截止时间2025年7月22日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 xml:space="preserve">时前提交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绍兴文理学院南山校区14号楼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侯丽丽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kern w:val="28"/>
                <w:sz w:val="24"/>
                <w:u w:val="single"/>
              </w:rPr>
              <w:t>13177056781</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pPr>
              <w:pStyle w:val="81"/>
              <w:wordWrap w:val="0"/>
              <w:rPr>
                <w:rFonts w:hAnsi="仿宋_GB2312"/>
                <w:color w:val="auto"/>
              </w:rPr>
            </w:pPr>
            <w:r>
              <w:rPr>
                <w:rFonts w:hint="eastAsia" w:hAnsi="仿宋_GB2312"/>
                <w:b/>
                <w:bCs/>
                <w:color w:val="auto"/>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pPr>
              <w:tabs>
                <w:tab w:val="center" w:pos="4077"/>
              </w:tabs>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A无方案讲解演示。</w:t>
            </w:r>
            <w:r>
              <w:rPr>
                <w:rFonts w:hint="eastAsia" w:ascii="仿宋_GB2312" w:hAnsi="仿宋_GB2312" w:eastAsia="仿宋_GB2312" w:cs="仿宋_GB2312"/>
                <w:sz w:val="24"/>
              </w:rPr>
              <w:tab/>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38" w:type="dxa"/>
            <w:vAlign w:val="center"/>
          </w:tcPr>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本项目不允许采购进口产品。</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38" w:type="dxa"/>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学生实训桌    </w:t>
            </w:r>
            <w:r>
              <w:rPr>
                <w:rFonts w:hint="eastAsia" w:ascii="仿宋_GB2312" w:hAnsi="仿宋_GB2312" w:eastAsia="仿宋_GB2312" w:cs="仿宋_GB2312"/>
                <w:sz w:val="24"/>
              </w:rPr>
              <w:t>。</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638" w:type="dxa"/>
            <w:vAlign w:val="center"/>
          </w:tcPr>
          <w:p>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工业   </w:t>
            </w:r>
            <w:r>
              <w:rPr>
                <w:rFonts w:hint="eastAsia" w:ascii="仿宋_GB2312" w:hAnsi="仿宋_GB2312" w:eastAsia="仿宋_GB2312" w:cs="仿宋_GB2312"/>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sz w:val="24"/>
              </w:rPr>
            </w:pPr>
          </w:p>
        </w:tc>
        <w:tc>
          <w:tcPr>
            <w:tcW w:w="8493" w:type="dxa"/>
            <w:gridSpan w:val="2"/>
            <w:vAlign w:val="center"/>
          </w:tcPr>
          <w:p>
            <w:pPr>
              <w:wordWrap w:val="0"/>
              <w:spacing w:line="440" w:lineRule="exact"/>
              <w:rPr>
                <w:rFonts w:ascii="仿宋_GB2312" w:hAnsi="仿宋_GB2312" w:eastAsia="仿宋_GB2312" w:cs="仿宋_GB2312"/>
                <w:snapToGrid w:val="0"/>
                <w:kern w:val="28"/>
                <w:sz w:val="24"/>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493" w:type="dxa"/>
            <w:gridSpan w:val="2"/>
            <w:vAlign w:val="center"/>
          </w:tcPr>
          <w:p>
            <w:pPr>
              <w:wordWrap w:val="0"/>
              <w:spacing w:line="440" w:lineRule="exact"/>
              <w:rPr>
                <w:rFonts w:ascii="仿宋_GB2312" w:hAnsi="仿宋_GB2312" w:eastAsia="仿宋_GB2312" w:cs="仿宋_GB2312"/>
                <w:kern w:val="0"/>
                <w:sz w:val="24"/>
                <w:szCs w:val="21"/>
              </w:rPr>
            </w:pPr>
            <w:r>
              <w:rPr>
                <w:rFonts w:hint="eastAsia" w:ascii="仿宋_GB2312" w:hAnsi="仿宋_GB2312" w:eastAsia="仿宋_GB2312" w:cs="仿宋_GB2312"/>
                <w:b/>
                <w:sz w:val="24"/>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sz w:val="32"/>
          <w:szCs w:val="32"/>
        </w:rPr>
      </w:pPr>
      <w:bookmarkStart w:id="23" w:name="_Hlt68057669"/>
      <w:bookmarkEnd w:id="23"/>
      <w:bookmarkStart w:id="24" w:name="_Hlt74730295"/>
      <w:bookmarkEnd w:id="24"/>
      <w:bookmarkStart w:id="25" w:name="_Hlt75236011"/>
      <w:bookmarkEnd w:id="25"/>
      <w:bookmarkStart w:id="26" w:name="_Hlt75236290"/>
      <w:bookmarkEnd w:id="26"/>
      <w:bookmarkStart w:id="27" w:name="_Hlt68073093"/>
      <w:bookmarkEnd w:id="27"/>
      <w:bookmarkStart w:id="28" w:name="_Hlt68072990"/>
      <w:bookmarkEnd w:id="28"/>
      <w:bookmarkStart w:id="29" w:name="_Hlt74729768"/>
      <w:bookmarkEnd w:id="29"/>
      <w:bookmarkStart w:id="30" w:name="_Hlt68403820"/>
      <w:bookmarkEnd w:id="30"/>
      <w:bookmarkStart w:id="31" w:name="_Hlt74707468"/>
      <w:bookmarkEnd w:id="31"/>
      <w:bookmarkStart w:id="32" w:name="_Hlt74714665"/>
      <w:bookmarkEnd w:id="32"/>
      <w:bookmarkStart w:id="33" w:name="_Hlt75236101"/>
      <w:bookmarkEnd w:id="33"/>
      <w:bookmarkStart w:id="34" w:name="_Hlt68072998"/>
      <w:bookmarkEnd w:id="34"/>
      <w:bookmarkStart w:id="35" w:name="第三部分"/>
      <w:bookmarkStart w:id="36" w:name="_Toc164416483"/>
      <w:r>
        <w:rPr>
          <w:rFonts w:hint="eastAsia" w:ascii="仿宋_GB2312" w:hAnsi="仿宋_GB2312" w:eastAsia="仿宋_GB2312" w:cs="仿宋_GB2312"/>
          <w:b/>
          <w:sz w:val="32"/>
          <w:szCs w:val="32"/>
        </w:rPr>
        <w:t>一、总则</w:t>
      </w:r>
    </w:p>
    <w:p>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3.4支持科技创新发展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wordWrap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wordWrap w:val="0"/>
        <w:rPr>
          <w:rFonts w:hAnsi="仿宋_GB2312"/>
          <w:color w:val="auto"/>
        </w:rPr>
      </w:pPr>
    </w:p>
    <w:p>
      <w:pPr>
        <w:pStyle w:val="132"/>
        <w:wordWrap w:val="0"/>
        <w:snapToGrid w:val="0"/>
        <w:spacing w:before="0" w:line="440" w:lineRule="exact"/>
        <w:ind w:firstLine="640"/>
        <w:rPr>
          <w:rFonts w:ascii="仿宋_GB2312" w:hAnsi="仿宋_GB2312" w:eastAsia="仿宋_GB2312" w:cs="仿宋_GB2312"/>
          <w:sz w:val="32"/>
          <w:szCs w:val="32"/>
        </w:rPr>
      </w:pP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3"/>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wordWrap w:val="0"/>
        <w:snapToGrid w:val="0"/>
        <w:spacing w:line="336" w:lineRule="auto"/>
        <w:ind w:firstLine="480" w:firstLineChars="200"/>
        <w:rPr>
          <w:rFonts w:ascii="仿宋_GB2312" w:hAnsi="仿宋_GB2312" w:eastAsia="仿宋_GB2312" w:cs="仿宋_GB2312"/>
          <w:b/>
          <w:bCs/>
        </w:rPr>
      </w:pPr>
      <w:r>
        <w:rPr>
          <w:rFonts w:hint="eastAsia" w:ascii="仿宋_GB2312" w:hAnsi="仿宋_GB2312" w:eastAsia="仿宋_GB2312" w:cs="仿宋_GB2312"/>
          <w:sz w:val="24"/>
        </w:rPr>
        <w:t>2.2.3法定代表人及其授权代表身份证复印件；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2.3.1开标一览表（报价表）；</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2.3.2中小企业声明函（如有）。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napToGrid w:val="0"/>
          <w:sz w:val="24"/>
        </w:rPr>
        <w:t>2.3.3 残疾人福利性单位声明函（如有）</w:t>
      </w:r>
    </w:p>
    <w:p>
      <w:pPr>
        <w:wordWrap w:val="0"/>
        <w:snapToGrid w:val="0"/>
        <w:spacing w:line="440" w:lineRule="exact"/>
        <w:ind w:firstLine="482" w:firstLineChars="200"/>
        <w:rPr>
          <w:rFonts w:ascii="仿宋_GB2312" w:hAnsi="仿宋_GB2312" w:eastAsia="仿宋_GB2312" w:cs="仿宋_GB2312"/>
          <w:b/>
          <w:bCs/>
          <w:sz w:val="32"/>
        </w:rPr>
      </w:pPr>
      <w:r>
        <w:rPr>
          <w:rFonts w:hint="eastAsia" w:ascii="仿宋_GB2312" w:hAnsi="仿宋_GB2312" w:eastAsia="仿宋_GB2312" w:cs="仿宋_GB2312"/>
          <w:b/>
          <w:bCs/>
          <w:sz w:val="24"/>
          <w:szCs w:val="20"/>
        </w:rPr>
        <w:t>3.投标报价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3.4投标人提供虚假材料投标的，投标无效。</w:t>
      </w:r>
    </w:p>
    <w:p>
      <w:pPr>
        <w:pStyle w:val="132"/>
        <w:wordWrap w:val="0"/>
        <w:snapToGrid w:val="0"/>
        <w:spacing w:before="0" w:line="440" w:lineRule="exact"/>
        <w:ind w:firstLine="482"/>
        <w:outlineLvl w:val="0"/>
        <w:rPr>
          <w:rFonts w:ascii="仿宋_GB2312" w:hAnsi="仿宋_GB2312" w:eastAsia="仿宋_GB2312" w:cs="仿宋_GB2312"/>
          <w:b/>
          <w:szCs w:val="24"/>
        </w:rPr>
      </w:pP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32"/>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6.2投标文件合格投递后，自投标截止日期起，在投标有效期内有效。在投标截止时间起至投标有效期届满，供应商投标文件不可撤销。</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sz w:val="32"/>
          <w:szCs w:val="32"/>
        </w:rPr>
      </w:pPr>
      <w:bookmarkStart w:id="37" w:name="_Toc91899903"/>
      <w:r>
        <w:rPr>
          <w:rFonts w:hint="eastAsia" w:ascii="仿宋_GB2312" w:hAnsi="仿宋_GB2312" w:eastAsia="仿宋_GB2312" w:cs="仿宋_GB2312"/>
          <w:b/>
          <w:sz w:val="32"/>
          <w:szCs w:val="32"/>
        </w:rPr>
        <w:t>四、开标和评标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sz w:val="32"/>
        </w:rPr>
      </w:pPr>
    </w:p>
    <w:bookmarkEnd w:id="37"/>
    <w:p>
      <w:pPr>
        <w:pStyle w:val="34"/>
        <w:wordWrap w:val="0"/>
        <w:spacing w:line="360" w:lineRule="auto"/>
        <w:ind w:firstLine="726"/>
        <w:jc w:val="center"/>
        <w:rPr>
          <w:rFonts w:ascii="仿宋_GB2312" w:hAnsi="仿宋_GB2312" w:eastAsia="仿宋_GB2312" w:cs="仿宋_GB2312"/>
          <w:b/>
          <w:sz w:val="32"/>
          <w:szCs w:val="32"/>
        </w:rPr>
      </w:pPr>
      <w:bookmarkStart w:id="38" w:name="_Toc81372776"/>
      <w:bookmarkStart w:id="39" w:name="_Toc84325929"/>
      <w:bookmarkStart w:id="40" w:name="_Toc81372953"/>
      <w:r>
        <w:rPr>
          <w:rFonts w:hint="eastAsia" w:ascii="仿宋_GB2312" w:hAnsi="仿宋_GB2312" w:eastAsia="仿宋_GB2312" w:cs="仿宋_GB2312"/>
          <w:b/>
          <w:sz w:val="32"/>
          <w:szCs w:val="32"/>
        </w:rPr>
        <w:t>五、授予合同</w:t>
      </w:r>
    </w:p>
    <w:bookmarkEnd w:id="38"/>
    <w:bookmarkEnd w:id="39"/>
    <w:bookmarkEnd w:id="40"/>
    <w:p>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kern w:val="0"/>
          <w:sz w:val="24"/>
        </w:rPr>
      </w:pPr>
    </w:p>
    <w:p>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2.供应商询问</w:t>
      </w:r>
    </w:p>
    <w:p>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3.供应商质疑</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pStyle w:val="4"/>
        <w:wordWrap w:val="0"/>
        <w:spacing w:line="440" w:lineRule="exact"/>
        <w:ind w:firstLine="480" w:firstLineChars="200"/>
        <w:rPr>
          <w:rFonts w:ascii="仿宋_GB2312" w:hAnsi="仿宋_GB2312" w:eastAsia="仿宋_GB2312" w:cs="仿宋_GB2312"/>
          <w:kern w:val="0"/>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pPr>
        <w:wordWrap w:val="0"/>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wordWrap w:val="0"/>
        <w:spacing w:line="360" w:lineRule="auto"/>
        <w:jc w:val="left"/>
        <w:outlineLvl w:val="0"/>
        <w:rPr>
          <w:rFonts w:ascii="仿宋" w:hAnsi="仿宋" w:eastAsia="仿宋_GB2312" w:cs="仿宋"/>
          <w:b/>
          <w:sz w:val="36"/>
          <w:szCs w:val="36"/>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商学院新大楼家具采购项目</w:t>
      </w:r>
    </w:p>
    <w:p>
      <w:pPr>
        <w:spacing w:line="36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一、货物清单及技术要求</w:t>
      </w:r>
    </w:p>
    <w:tbl>
      <w:tblPr>
        <w:tblStyle w:val="64"/>
        <w:tblW w:w="139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35"/>
        <w:gridCol w:w="8257"/>
        <w:gridCol w:w="967"/>
        <w:gridCol w:w="91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54"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序号</w:t>
            </w:r>
          </w:p>
        </w:tc>
        <w:tc>
          <w:tcPr>
            <w:tcW w:w="1335"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设备名称</w:t>
            </w:r>
          </w:p>
        </w:tc>
        <w:tc>
          <w:tcPr>
            <w:tcW w:w="8257"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技术参数</w:t>
            </w:r>
          </w:p>
        </w:tc>
        <w:tc>
          <w:tcPr>
            <w:tcW w:w="967"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数量</w:t>
            </w:r>
          </w:p>
        </w:tc>
        <w:tc>
          <w:tcPr>
            <w:tcW w:w="915"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单位</w:t>
            </w:r>
          </w:p>
        </w:tc>
        <w:tc>
          <w:tcPr>
            <w:tcW w:w="1530" w:type="dxa"/>
            <w:vAlign w:val="center"/>
          </w:tcPr>
          <w:p>
            <w:pPr>
              <w:spacing w:line="36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954" w:type="dxa"/>
            <w:vAlign w:val="center"/>
          </w:tcPr>
          <w:p>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工位桌</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1、基材采用≥18mm 厚度，环保等级≥E0级环保刨花板，甲醛释放量≤0.05mg/m³，表面浸渍胶膜纸饰面，防水耐磨。</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2、封边条采用优质 PVC 封边，厚度≥1.0mm，（符合 QB/T4463-2013《家具封边条技术要求》），有效防止碰撞及长时间使用后的脱落问题。</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3、封边胶水采用热熔胶。</w:t>
            </w:r>
          </w:p>
          <w:p>
            <w:pPr>
              <w:pStyle w:val="4"/>
              <w:autoSpaceDE/>
              <w:autoSpaceDN/>
              <w:spacing w:line="360" w:lineRule="exact"/>
              <w:rPr>
                <w:rFonts w:ascii="仿宋_GB2312" w:hAnsi="仿宋_GB2312" w:eastAsia="仿宋_GB2312" w:cs="仿宋_GB2312"/>
                <w:szCs w:val="24"/>
              </w:rPr>
            </w:pPr>
            <w:r>
              <w:rPr>
                <w:rFonts w:hint="eastAsia" w:ascii="仿宋_GB2312" w:hAnsi="仿宋_GB2312" w:eastAsia="仿宋_GB2312" w:cs="仿宋_GB2312"/>
                <w:szCs w:val="24"/>
              </w:rPr>
              <w:t>★</w:t>
            </w:r>
            <w:r>
              <w:rPr>
                <w:rFonts w:hint="eastAsia" w:ascii="仿宋_GB2312" w:hAnsi="仿宋_GB2312" w:eastAsia="仿宋_GB2312" w:cs="仿宋_GB2312"/>
                <w:kern w:val="0"/>
                <w:szCs w:val="24"/>
              </w:rPr>
              <w:t>4.每两人中间具有3个国标五孔10A插座（固定于桌面上）。</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4、单人位尺寸约为：800*600*1400（mm），桌面高度约为750mm，所投产品需符合实际空间尺寸需求，颜色与整体氛围匹配,最终按采购人认可的方案为准。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714375</wp:posOffset>
                  </wp:positionV>
                  <wp:extent cx="833120" cy="619760"/>
                  <wp:effectExtent l="0" t="0" r="5080" b="889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cstate="print"/>
                          <a:stretch>
                            <a:fillRect/>
                          </a:stretch>
                        </pic:blipFill>
                        <pic:spPr>
                          <a:xfrm>
                            <a:off x="0" y="0"/>
                            <a:ext cx="833120" cy="6197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工位椅</w:t>
            </w:r>
          </w:p>
        </w:tc>
        <w:tc>
          <w:tcPr>
            <w:tcW w:w="8257" w:type="dxa"/>
            <w:shd w:val="clear" w:color="auto" w:fill="auto"/>
            <w:vAlign w:val="center"/>
          </w:tcPr>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1、椅背：背框全新PP+30%玻纤材质，耐磨透气网布，提供背部舒适支撑。</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2、椅座：高弹力舒适海绵，弹力透气网布，搭配PP工程塑料防尘底壳可翻转。</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3、扶手：PA+15%玻纤，前后滑动扶手，有效减轻手臂疲劳感。</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4、椅架：约32.5*20.5*T1.5（mm）Q235碳素钢管脚架，高速打砂除锈，表面喷涂烤漆处理，具有防腐，抗老化等性能。</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5、功能：椅架可折叠收纳，节省摆放空间，尼龙材质防滑脚垫。</w:t>
            </w:r>
          </w:p>
          <w:p>
            <w:pPr>
              <w:widowControl/>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6、尺寸约为640*580*850（mm），所投产品需符合实际空间尺寸需求，颜色与整体氛围匹配,最终按采购人认可的方案为准。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314325</wp:posOffset>
                  </wp:positionV>
                  <wp:extent cx="833755" cy="958215"/>
                  <wp:effectExtent l="0" t="0" r="4445" b="133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cstate="print"/>
                          <a:stretch>
                            <a:fillRect/>
                          </a:stretch>
                        </pic:blipFill>
                        <pic:spPr>
                          <a:xfrm>
                            <a:off x="0" y="0"/>
                            <a:ext cx="83375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茶水柜</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1、基材为≥15mm，环保等级≥E1级密度板。</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2、表面油漆工艺，美观大方。</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3、拉手采用铝合金材质，明装拉手。</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4、柜体设计一个对开门，内部一个层板。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5、尺寸约为：800*400*850（mm），所投产品需符合实际空间尺寸需求，颜色与整体氛围匹配,最终按采购人认可的方案为准。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834390" cy="895985"/>
                  <wp:effectExtent l="0" t="0" r="3810" b="184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cstate="print"/>
                          <a:stretch>
                            <a:fillRect/>
                          </a:stretch>
                        </pic:blipFill>
                        <pic:spPr>
                          <a:xfrm>
                            <a:off x="0" y="0"/>
                            <a:ext cx="834390" cy="8959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办公桌</w:t>
            </w:r>
          </w:p>
        </w:tc>
        <w:tc>
          <w:tcPr>
            <w:tcW w:w="8257" w:type="dxa"/>
            <w:shd w:val="clear" w:color="auto" w:fill="auto"/>
            <w:vAlign w:val="center"/>
          </w:tcPr>
          <w:p>
            <w:pPr>
              <w:pStyle w:val="4"/>
              <w:autoSpaceDE/>
              <w:autoSpaceDN/>
              <w:spacing w:line="360" w:lineRule="exact"/>
              <w:rPr>
                <w:rFonts w:ascii="仿宋_GB2312" w:hAnsi="仿宋_GB2312" w:eastAsia="仿宋_GB2312" w:cs="仿宋_GB2312"/>
                <w:kern w:val="0"/>
                <w:szCs w:val="24"/>
              </w:rPr>
            </w:pPr>
            <w:r>
              <w:rPr>
                <w:rFonts w:hint="eastAsia" w:ascii="仿宋_GB2312" w:hAnsi="仿宋_GB2312" w:eastAsia="仿宋_GB2312" w:cs="仿宋_GB2312"/>
                <w:kern w:val="0"/>
                <w:szCs w:val="24"/>
              </w:rPr>
              <w:t>1、桌板基材采用≥25mm厚的E0级多层板，甲醛释放量≤0.05mg/m³。封边采用PVC封边，厚度≥1.5mm，有效防止使用过程中脱落的问题。</w:t>
            </w:r>
          </w:p>
          <w:p>
            <w:pPr>
              <w:pStyle w:val="4"/>
              <w:autoSpaceDE/>
              <w:autoSpaceDN/>
              <w:spacing w:line="360" w:lineRule="exact"/>
              <w:rPr>
                <w:rFonts w:ascii="仿宋_GB2312" w:hAnsi="仿宋_GB2312" w:eastAsia="仿宋_GB2312" w:cs="仿宋_GB2312"/>
                <w:kern w:val="0"/>
                <w:szCs w:val="24"/>
              </w:rPr>
            </w:pPr>
            <w:r>
              <w:rPr>
                <w:rFonts w:hint="eastAsia" w:ascii="仿宋_GB2312" w:hAnsi="仿宋_GB2312" w:eastAsia="仿宋_GB2312" w:cs="仿宋_GB2312"/>
                <w:kern w:val="0"/>
                <w:szCs w:val="24"/>
              </w:rPr>
              <w:t>2、桌架：采用≥1.5mm壁厚的铝型材。</w:t>
            </w:r>
          </w:p>
          <w:p>
            <w:pPr>
              <w:pStyle w:val="4"/>
              <w:autoSpaceDE/>
              <w:autoSpaceDN/>
              <w:spacing w:line="360" w:lineRule="exact"/>
              <w:rPr>
                <w:rFonts w:ascii="仿宋_GB2312" w:hAnsi="仿宋_GB2312" w:eastAsia="仿宋_GB2312" w:cs="仿宋_GB2312"/>
                <w:kern w:val="0"/>
                <w:szCs w:val="24"/>
              </w:rPr>
            </w:pPr>
            <w:r>
              <w:rPr>
                <w:rFonts w:hint="eastAsia" w:ascii="仿宋_GB2312" w:hAnsi="仿宋_GB2312" w:eastAsia="仿宋_GB2312" w:cs="仿宋_GB2312"/>
                <w:kern w:val="0"/>
                <w:szCs w:val="24"/>
              </w:rPr>
              <w:t>3、桌板带有一个穿线孔，具备走线功能。</w:t>
            </w:r>
          </w:p>
          <w:p>
            <w:pPr>
              <w:pStyle w:val="4"/>
              <w:autoSpaceDE/>
              <w:autoSpaceDN/>
              <w:spacing w:line="360" w:lineRule="exact"/>
              <w:rPr>
                <w:rFonts w:ascii="仿宋_GB2312" w:hAnsi="仿宋_GB2312" w:eastAsia="仿宋_GB2312" w:cs="仿宋_GB2312"/>
                <w:kern w:val="0"/>
                <w:szCs w:val="24"/>
              </w:rPr>
            </w:pPr>
            <w:r>
              <w:rPr>
                <w:rFonts w:hint="eastAsia" w:ascii="仿宋_GB2312" w:hAnsi="仿宋_GB2312" w:eastAsia="仿宋_GB2312" w:cs="仿宋_GB2312"/>
                <w:kern w:val="0"/>
                <w:szCs w:val="24"/>
              </w:rPr>
              <w:t>4、桌下带≥2个国标五孔电源插座</w:t>
            </w:r>
          </w:p>
          <w:p>
            <w:pPr>
              <w:pStyle w:val="4"/>
              <w:spacing w:line="360" w:lineRule="exact"/>
              <w:rPr>
                <w:rFonts w:ascii="仿宋_GB2312" w:hAnsi="仿宋_GB2312" w:eastAsia="仿宋_GB2312" w:cs="仿宋_GB2312"/>
                <w:szCs w:val="24"/>
              </w:rPr>
            </w:pPr>
            <w:r>
              <w:rPr>
                <w:rFonts w:hint="eastAsia" w:ascii="仿宋_GB2312" w:hAnsi="仿宋_GB2312" w:eastAsia="仿宋_GB2312" w:cs="仿宋_GB2312"/>
                <w:kern w:val="0"/>
                <w:szCs w:val="24"/>
              </w:rPr>
              <w:t>5、尺寸约为1200*600*1100（mm），桌面高度约为750mm，所投产品需符合实际空间尺寸需求，颜色与整体氛围匹配,最终按采购人认可的方案为准。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60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419100</wp:posOffset>
                  </wp:positionV>
                  <wp:extent cx="833755" cy="753110"/>
                  <wp:effectExtent l="0" t="0" r="4445"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cstate="print"/>
                          <a:stretch>
                            <a:fillRect/>
                          </a:stretch>
                        </pic:blipFill>
                        <pic:spPr>
                          <a:xfrm>
                            <a:off x="0" y="0"/>
                            <a:ext cx="833755" cy="753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办公椅</w:t>
            </w:r>
          </w:p>
        </w:tc>
        <w:tc>
          <w:tcPr>
            <w:tcW w:w="8257" w:type="dxa"/>
            <w:shd w:val="clear" w:color="auto" w:fill="auto"/>
            <w:vAlign w:val="center"/>
          </w:tcPr>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1、椅背材质为PP，GF30%的背框</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2、椅座采用优质高密度定型绵</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3、扶手：材质为黑色PP+GF30%固定扶手配扶手面</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4、底盘：≥二档锁定底盘</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5、气杆：上下行程≥100mm，≥三级气杆</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6、椅脚：≥330mmPP五星脚</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7、椅轮：带刹车、≥50mm，PA静音轮，可移动，不伤地板。</w:t>
            </w:r>
          </w:p>
          <w:p>
            <w:pPr>
              <w:widowControl/>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8、尺寸约为600*600*（890-990）（mm），所投产品需符合实际空间尺寸需求，颜色与整体氛围匹配,最终按采购人认可的方案为准。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96</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4384" behindDoc="0" locked="0" layoutInCell="1" allowOverlap="1">
                  <wp:simplePos x="0" y="0"/>
                  <wp:positionH relativeFrom="column">
                    <wp:posOffset>55245</wp:posOffset>
                  </wp:positionH>
                  <wp:positionV relativeFrom="paragraph">
                    <wp:posOffset>428625</wp:posOffset>
                  </wp:positionV>
                  <wp:extent cx="723900" cy="958215"/>
                  <wp:effectExtent l="0" t="0" r="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cstate="print"/>
                          <a:stretch>
                            <a:fillRect/>
                          </a:stretch>
                        </pic:blipFill>
                        <pic:spPr>
                          <a:xfrm>
                            <a:off x="0" y="0"/>
                            <a:ext cx="7239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1335" w:type="dxa"/>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展示陈列柜</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1、基材：采用厚度≥18mm厚E0级环保多层板，甲醛释放量&lt;0.05mg/m³(检测方法按GB 18580-2017)。</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2、饰面：采用优质三聚氰胺饰面纸，甲醛释放量≤1.5mg/L，具有耐磨，抗刻划，耐高温，易清洁，耐酸碱等优点，符合LY/T1831-2009《人造板饰面专用装饰纸》标准。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3、封边：采用优质PVC封边条，封边厚度≥1.0mm，依据GB/T32487—2016《塑料家具通用技术条件》、GB《塑料家具中有害物质限量》重金属：铅Pb.镉Cd.铬Cr.Hg.。</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4、热熔胶：采用优质热熔胶，游离甲醛释放量未检出，符合GB18583-2008《室内装饰装修材料粘粘剂中有害物质限量》标准。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5、三合一连接件：符合GB/T 3325-2024《金属家具通用技术条件》;GB/T28203-2011《家具用连接技术要求及试验方法》。</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6、成品：各项技术指标符合GB/T 3325-2024《木家具通用技术条件》规定的要求，其中甲醛释放量≤0.5mg/L，表面涂层铬含量≤25mg/kg，镉含量≤50mg/kg，铅含量≤90mg/kg。</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7、尺寸约1500*400*2000（mm)，所投产品需符合实际空间尺寸需求，颜色与整体氛围匹配,最终按采购人认可的方案为准。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1666875</wp:posOffset>
                  </wp:positionV>
                  <wp:extent cx="834390" cy="544830"/>
                  <wp:effectExtent l="0" t="0" r="3810" b="762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cstate="print"/>
                          <a:stretch>
                            <a:fillRect/>
                          </a:stretch>
                        </pic:blipFill>
                        <pic:spPr>
                          <a:xfrm>
                            <a:off x="0" y="0"/>
                            <a:ext cx="834390" cy="5448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三人沙发</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sz w:val="24"/>
              </w:rPr>
              <w:t>1、</w:t>
            </w:r>
            <w:r>
              <w:rPr>
                <w:rFonts w:hint="eastAsia" w:ascii="仿宋_GB2312" w:hAnsi="仿宋_GB2312" w:eastAsia="仿宋_GB2312" w:cs="仿宋_GB2312"/>
                <w:kern w:val="0"/>
                <w:sz w:val="24"/>
              </w:rPr>
              <w:t>椅面面料采用优质西皮饰面。海绵采用高密定型海绵，高弹性，舒适耐用。具有保温、隔热、吸音、减震、防静电、透气性能好等特性。</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2、椅架：采用实木框架，经抛光，烘干，除虫处理，整体连接牢固，承重力。锰钢蛇簧加平衡线处理，强度高，永不变形 。</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3、椅脚：采用优质钢材，经激光，冲压，焊接而成。表面脱脂、水洗、酸洗、水洗中和、表调、磷化、干燥等工艺处理，表面粉末涂料静电喷涂处理，防腐蚀、抗磨损，经久耐用。</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4、尺寸约2000*850*450-800（mm）所投产品需符合实际空间尺寸需求，颜色与整体氛围匹配,最终按采购人认可的方案为准。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546100</wp:posOffset>
                  </wp:positionV>
                  <wp:extent cx="833755" cy="694055"/>
                  <wp:effectExtent l="0" t="0" r="4445" b="1079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stretch>
                            <a:fillRect/>
                          </a:stretch>
                        </pic:blipFill>
                        <pic:spPr>
                          <a:xfrm>
                            <a:off x="0" y="0"/>
                            <a:ext cx="833755" cy="6940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单人沙发</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1、椅面面料采用优质西皮饰面。海绵采用高密定型海绵，高弹性，舒适耐用。具有保温、隔热、吸音、减震、防静电、透气性能好等特性。</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2、椅架：采用实木框架，经抛光，烘干，除虫处理，整体连接牢固，承重力。锰钢蛇簧加平衡线处理，强度高，永不变形 。</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3、椅脚：采用优质钢材，经激光，冲压，焊接而成。表面脱脂、水洗、酸洗、水洗中和、表调、磷化、干燥等工艺处理，表面粉末涂料静电喷涂处理，防腐蚀、抗磨损，经久耐用。</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4、尺寸约800*850*450-800（mm）所投产品需符合实际空间尺寸需求，颜色与整体氛围匹配,最终按采购人认可的方案为准。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676275</wp:posOffset>
                  </wp:positionV>
                  <wp:extent cx="833755" cy="695960"/>
                  <wp:effectExtent l="0" t="0" r="4445" b="889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stretch>
                            <a:fillRect/>
                          </a:stretch>
                        </pic:blipFill>
                        <pic:spPr>
                          <a:xfrm>
                            <a:off x="0" y="0"/>
                            <a:ext cx="833755" cy="6959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1335" w:type="dxa"/>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单人茶几</w:t>
            </w:r>
          </w:p>
        </w:tc>
        <w:tc>
          <w:tcPr>
            <w:tcW w:w="8257" w:type="dxa"/>
            <w:shd w:val="clear" w:color="auto" w:fill="auto"/>
            <w:vAlign w:val="center"/>
          </w:tcPr>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1、框架采用≥20mm橡胶木或同档次材料，纹理清晰自然，表面无开裂、死结、针孔、结孔、霉变等缺陷；经去皮、烘干、防虫防腐处理，经高温脱脂等干燥处理后木材含水率控制在 8%～（产品所在地区年平均木材平衡含水率+1%）台面采用多层板贴橡胶木木皮，优点不易开裂。</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2、五金采用国产品牌标准五金件。</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3、胶粘剂：水基型胶粘剂，符合 GB33372-2020《胶粘剂挥发性有机化合物限量》和 GB 18583-2008《室内装饰装修材料胶粘剂中有害物质限量》。</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4、涂饰：PU 或 PE 油漆，采用五底三面工艺，涂料应符合 GB 18581-2020《木器涂料中有害物质限量》规定的要求。</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5、尺寸约700*500*500（mm）所投产品需符合实际空间尺寸需求，颜色与整体氛围匹配,最终按采购人认可的方案为准。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widowControl/>
              <w:spacing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171450</wp:posOffset>
                  </wp:positionV>
                  <wp:extent cx="834390" cy="566420"/>
                  <wp:effectExtent l="0" t="0" r="3810" b="508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stretch>
                            <a:fillRect/>
                          </a:stretch>
                        </pic:blipFill>
                        <pic:spPr>
                          <a:xfrm>
                            <a:off x="0" y="0"/>
                            <a:ext cx="834390" cy="5664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会议桌</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1、基材≥18（mm）E1级密度板。</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2、油漆工艺，美观大方。</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3、拉手采用明装拉手。</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4、柜子设计一个对开门，内部一个层板。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5、尺寸约为1400*600*750（mm），所投产品需符合实际空间尺寸需求，颜色与整体氛围匹配,最终按采购人认可的方案为准。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260350</wp:posOffset>
                  </wp:positionV>
                  <wp:extent cx="833755" cy="826770"/>
                  <wp:effectExtent l="0" t="0" r="4445" b="1143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cstate="print"/>
                          <a:stretch>
                            <a:fillRect/>
                          </a:stretch>
                        </pic:blipFill>
                        <pic:spPr>
                          <a:xfrm>
                            <a:off x="0" y="0"/>
                            <a:ext cx="833755" cy="8267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会议椅1</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1、面料：优质西皮</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2、海绵：采用高密度原生切割海棉，坐感舒适，座垫厚度≥5mm（QB/T 2080-2018）。</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3、板材采用≥20mm高温一体成型弯板。</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4、椅架采用≥1.8mm扁管电镀弓形架 。</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5、尺寸约为550*700*1000（mm），所投产品需符合实际空间尺寸需求，颜色与整体氛围匹配,最终按采购人认可的方案为准。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53</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0528" behindDoc="0" locked="0" layoutInCell="1" allowOverlap="1">
                  <wp:simplePos x="0" y="0"/>
                  <wp:positionH relativeFrom="column">
                    <wp:posOffset>93345</wp:posOffset>
                  </wp:positionH>
                  <wp:positionV relativeFrom="paragraph">
                    <wp:posOffset>450850</wp:posOffset>
                  </wp:positionV>
                  <wp:extent cx="702310" cy="958215"/>
                  <wp:effectExtent l="0" t="0" r="2540" b="133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cstate="print"/>
                          <a:stretch>
                            <a:fillRect/>
                          </a:stretch>
                        </pic:blipFill>
                        <pic:spPr>
                          <a:xfrm>
                            <a:off x="0" y="0"/>
                            <a:ext cx="70231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办公桌1（教授）</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1、桌子台面采用≥25mm厚E0级多层板，挡板采用≥18mm厚的优质E0 级环保刨花板，表面浸渍胶膜纸饰面，防水耐磨。 </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2.边柜采用采用≥18mm厚的优质E0 级环保刨花板，表面浸渍胶膜纸饰面，防水耐磨。</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3、封边采用PVC封边，厚度≥1.5mm。热熔胶封边工艺，有效防止碰撞及长时间使用后的脱落问题。 </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4、轨道采用三节阻尼轨道，具有关合无声，承重好，抽拉顺滑。</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5、铰链采用缓冲阻尼铰链，门板静音关闭。</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6、拉手明装铝合金拉手表面抗氧化处理。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7、桌架采用≥2.0厚壁三角形的厚钢架，经切割、打磨、焊接而成。表面脱脂、水洗、酸洗、水洗中和、表调、磷化、干燥等工艺处理，表面粉末涂料静电喷涂处理，防腐蚀、抗磨损，经久耐用。</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8、尺寸约1800*800-1200*750（mm)，所投产品需符合实际空间尺寸需求，颜色与整体氛围匹配,最终按采购人认可的方案为准。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1552" behindDoc="0" locked="0" layoutInCell="1" allowOverlap="1">
                  <wp:simplePos x="0" y="0"/>
                  <wp:positionH relativeFrom="column">
                    <wp:posOffset>47625</wp:posOffset>
                  </wp:positionH>
                  <wp:positionV relativeFrom="paragraph">
                    <wp:posOffset>1212850</wp:posOffset>
                  </wp:positionV>
                  <wp:extent cx="833755" cy="728345"/>
                  <wp:effectExtent l="0" t="0" r="4445" b="1460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cstate="print"/>
                          <a:stretch>
                            <a:fillRect/>
                          </a:stretch>
                        </pic:blipFill>
                        <pic:spPr>
                          <a:xfrm>
                            <a:off x="0" y="0"/>
                            <a:ext cx="833755" cy="7283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办公桌2（教师）</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1、办公桌桌板基材采用≥25mm厚E0级多层板，甲醛释放量&lt;0.05mg/m³(检测方法按GB 18580-2017)。封边采用PVC封边，厚度≥1.5mm，有效防止使用过程中脱落的问题。</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2、办公桌桌板带有一个穿线孔，具备走线功能。</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3、办公桌桌架：采用优质50mm*50mm钢管，经脱脂、水洗、酸洗、水洗中和、表调、磷化、干燥等工艺处理，表面粉末涂料静电喷涂处理。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4、办公边柜基材采用≥18mm厚E1级多层板，封边采用PVC封边，厚度≥1.0mm。热熔胶封边工艺。</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5、办公边柜，左侧开放格设计，拿取方便。右侧设计有门板和抽屉，储物兼顾隐私。</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6、办公边柜拉手采用明装铝合金拉手，抽屉轨道为静音三节轨。</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7、办公边柜边柜底座为方管底座。</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8、尺寸约为：桌子1800*600（mm)，边柜1000*600（mm)，桌高750（mm)，所投产品需符合实际空间尺寸需求，颜色与整体氛围匹配,最终按采购人认可的方案为准。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2576" behindDoc="0" locked="0" layoutInCell="1" allowOverlap="1">
                  <wp:simplePos x="0" y="0"/>
                  <wp:positionH relativeFrom="column">
                    <wp:posOffset>-28575</wp:posOffset>
                  </wp:positionH>
                  <wp:positionV relativeFrom="paragraph">
                    <wp:posOffset>782955</wp:posOffset>
                  </wp:positionV>
                  <wp:extent cx="834390" cy="588645"/>
                  <wp:effectExtent l="0" t="0" r="3810" b="190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cstate="print"/>
                          <a:stretch>
                            <a:fillRect/>
                          </a:stretch>
                        </pic:blipFill>
                        <pic:spPr>
                          <a:xfrm>
                            <a:off x="0" y="0"/>
                            <a:ext cx="834390" cy="5886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会议桌</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1、戴维脚托盘：国产优质钢板，激光切割成型。</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2、压铸脚：采用国产优质铝合金压铸成型。</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3、横梁接头：国产优质铝合金，最薄≥3mm，最厚≥15mm。</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4、脚上梁：采用6063-T5铝型材挤压成型，最薄处≥1.5mm。</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5、脚钉：ABS塑料压铸成型，抗冲击。</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6、连接螺丝：45＃钢。</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7、桌面板：采用E0级刨花板，厚度≥25mm。</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8、尺寸约为6300*1200*750（mm），所投产品需符合实际空间尺寸需求，颜色与整体氛围匹配,最终按采购人认可的方案为准。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773430</wp:posOffset>
                  </wp:positionV>
                  <wp:extent cx="833755" cy="320040"/>
                  <wp:effectExtent l="0" t="0" r="4445" b="38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833755" cy="3200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1335" w:type="dxa"/>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方形边几</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1、框架采用≥30*30m m橡胶木天然实木，榫卯结构，纹理清晰自然，表面无开裂、死结、针孔、结孔、霉变等缺陷；经去皮、烘干、 防虫防腐处理，经高温脱脂等干燥处理后木材含水率控制在≤10%（产品所在地区年平均木材平衡含水率+1%）。</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2、胶粘剂：水基型胶粘剂，符合 GB33372-2020《胶粘剂挥发性有机化合物限量》和 GB 18583-2008《室内装饰装修材料胶粘剂中有害物质限量》。</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3、台面框架榫卯结构，台面横撑，所有内芯板选用≥15mm,台面和芯板做成分体，四边留约为≤ 2mm的伸缩缝，涂装前养生房平衡 24 小时，确保不翘曲，不变形。榫卯连接，断面整齐，切角部件、镂槽边角、孔边、及线条要平整、圆润、光滑，不允许有毛刺、崩缺、跳刀、波浪印现象。木榫与榫孔连接位需要贴切配合，无间隙。木榫长度应是插入木方的厚度产品连接位要求紧密，无间隙。</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4、涂饰：PU或PE 油漆，采用五底三面工艺，涂料应符合 GB 18581-2020《木器涂料中有害物质限量》规定的要求。</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5、成品：各项技术指标符合 GB/T 3325-2024《木家具通用技术条件》规定的要求。</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6、尺寸约600*600*500（mm)，所投产品需符合实际空间尺寸需求，颜色与整体氛围匹配,最终按采购人认可的方案为准。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4624" behindDoc="0" locked="0" layoutInCell="1" allowOverlap="1">
                  <wp:simplePos x="0" y="0"/>
                  <wp:positionH relativeFrom="column">
                    <wp:posOffset>-25400</wp:posOffset>
                  </wp:positionH>
                  <wp:positionV relativeFrom="paragraph">
                    <wp:posOffset>-215265</wp:posOffset>
                  </wp:positionV>
                  <wp:extent cx="833755" cy="796925"/>
                  <wp:effectExtent l="0" t="0" r="4445" b="317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cstate="print"/>
                          <a:stretch>
                            <a:fillRect/>
                          </a:stretch>
                        </pic:blipFill>
                        <pic:spPr>
                          <a:xfrm>
                            <a:off x="0" y="0"/>
                            <a:ext cx="833755" cy="796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书柜</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1、柜体采用≥18mm 厚多层板贴橡胶木木皮，木皮厚度≥50目。</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2、门板采用实木橡胶木指接板，等级双A级（正反面无结疤）经防虫处理。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3、油漆两层底漆一层面漆工艺，美观大方。</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4、拉手采用铝合金材质，明装拉手。</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5、柜体上部为玻璃门，下部为正常开门。</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6、尺寸约为800*400*2000（mm），所投产品需符合实际空间尺寸需求，颜色与整体氛围匹配,最终按采购人认可的方案为准。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112</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组</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5648" behindDoc="0" locked="0" layoutInCell="1" allowOverlap="1">
                  <wp:simplePos x="0" y="0"/>
                  <wp:positionH relativeFrom="column">
                    <wp:posOffset>207645</wp:posOffset>
                  </wp:positionH>
                  <wp:positionV relativeFrom="paragraph">
                    <wp:posOffset>412750</wp:posOffset>
                  </wp:positionV>
                  <wp:extent cx="409575" cy="958215"/>
                  <wp:effectExtent l="0" t="0" r="952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cstate="print"/>
                          <a:stretch>
                            <a:fillRect/>
                          </a:stretch>
                        </pic:blipFill>
                        <pic:spPr>
                          <a:xfrm>
                            <a:off x="0" y="0"/>
                            <a:ext cx="40957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可堆叠椅子</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1、椅背：PA材质加高强度玻璃纤维背支架，具有良好的强度和韧性，不易变形。</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2、椅座：面材采用耐磨布艺。海绵采用≥40KG/m³定型海绵，高弹性，舒适耐用。座壳采用PA材质加高强度玻璃纤维。</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3、扶手：PP材质加高强度玻璃纤维，固定扶手。</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4、椅架：直径≥22mm，壁厚≥1.8mm优质铁管，经切割、打磨、弯管而成。表面脱脂、水洗、酸洗、水洗中和、表调、磷化、干燥等工艺处理，表面粉末涂料静电喷涂处理，防腐蚀、抗磨损。</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5、脚轮：带刹车、≥50mm，PA静音轮，可移动，不伤地板。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6、尺寸约为600*600*850 （mm）座高约为460（mm），所投产品需符合实际空间尺寸需求，颜色与整体氛围匹配,最终按采购人认可的方案为准。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64</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6672" behindDoc="0" locked="0" layoutInCell="1" allowOverlap="1">
                  <wp:simplePos x="0" y="0"/>
                  <wp:positionH relativeFrom="column">
                    <wp:posOffset>74295</wp:posOffset>
                  </wp:positionH>
                  <wp:positionV relativeFrom="paragraph">
                    <wp:posOffset>746125</wp:posOffset>
                  </wp:positionV>
                  <wp:extent cx="673100" cy="958215"/>
                  <wp:effectExtent l="0" t="0" r="12700" b="133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cstate="print"/>
                          <a:stretch>
                            <a:fillRect/>
                          </a:stretch>
                        </pic:blipFill>
                        <pic:spPr>
                          <a:xfrm>
                            <a:off x="0" y="0"/>
                            <a:ext cx="6731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二人折叠活动桌</w:t>
            </w:r>
          </w:p>
        </w:tc>
        <w:tc>
          <w:tcPr>
            <w:tcW w:w="8257" w:type="dxa"/>
            <w:shd w:val="clear" w:color="auto" w:fill="auto"/>
            <w:vAlign w:val="center"/>
          </w:tcPr>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桌板：基材为≥25mm 厚优质E0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QB/T4463-2013《家具封边条技术要求》），有效防止碰撞及长时间使用后的脱落问题。封边胶水采用热熔胶，敞开式和隐蔽式的截面均应做到处理。桌板边角圆弧设计防止磕碰。</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前挡板：采用优质轧板，经打磨折弯而成。表面脱脂、水洗、酸洗、水洗中和、表调、磷化、干燥等工艺处理，表面粉末涂料静电喷涂处理，防腐蚀、抗磨损，经久耐用。</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支架≥3.0mm钢板冲压成型，结实耐用。表面静电喷涂。</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横梁：圆管采用≥φ50MM圆形冷轧钢管壁厚≥1.2MM，表面再经防锈静电喷涂处理，实用牢固，承受力大。（横梁长度跟随定制尺寸变化）</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折叠结构：手动旋钮机关，自动弹回卡位，扣合紧密。</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桌腿：人字形铝合金底脚，矩形管，与铝合金翻转装置连接，表面处理工艺均采用防锈静电喷涂。</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前挡板：采用优质轧板，经打磨折弯而成。表面静电粉末喷涂。</w:t>
            </w:r>
          </w:p>
          <w:p>
            <w:pPr>
              <w:widowControl/>
              <w:numPr>
                <w:ilvl w:val="0"/>
                <w:numId w:val="1"/>
              </w:numPr>
              <w:spacing w:line="360" w:lineRule="exact"/>
              <w:jc w:val="left"/>
              <w:textAlignment w:val="center"/>
              <w:rPr>
                <w:rFonts w:ascii="仿宋_GB2312" w:hAnsi="仿宋_GB2312" w:eastAsia="仿宋_GB2312" w:cs="仿宋_GB2312"/>
                <w:kern w:val="0"/>
                <w:sz w:val="24"/>
              </w:rPr>
            </w:pPr>
            <w:r>
              <w:rPr>
                <w:rFonts w:hint="eastAsia" w:ascii="仿宋_GB2312" w:hAnsi="仿宋_GB2312" w:eastAsia="仿宋_GB2312" w:cs="仿宋_GB2312"/>
                <w:kern w:val="0"/>
                <w:sz w:val="24"/>
              </w:rPr>
              <w:t>脚轮：带刹车、≥50mm，PA静音轮，可移动，不伤地板。</w:t>
            </w:r>
          </w:p>
          <w:p>
            <w:pPr>
              <w:pStyle w:val="965"/>
              <w:numPr>
                <w:ilvl w:val="0"/>
                <w:numId w:val="1"/>
              </w:num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功能：桌面可以折叠，摆放不占用空间。桌子带轮子。移动方便。</w:t>
            </w:r>
          </w:p>
          <w:p>
            <w:pPr>
              <w:pStyle w:val="965"/>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尺寸约为1300*500*750（mm），所投产品需符合实际空间尺寸需求，颜色与整体氛围匹配,最终按采购人认可的方案为准。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32</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1612900</wp:posOffset>
                  </wp:positionV>
                  <wp:extent cx="833755" cy="627380"/>
                  <wp:effectExtent l="0" t="0" r="4445"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cstate="print"/>
                          <a:stretch>
                            <a:fillRect/>
                          </a:stretch>
                        </pic:blipFill>
                        <pic:spPr>
                          <a:xfrm>
                            <a:off x="0" y="0"/>
                            <a:ext cx="833755" cy="6273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19</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多功能电子讲台</w:t>
            </w:r>
            <w:r>
              <w:rPr>
                <w:rFonts w:hint="eastAsia" w:ascii="仿宋_GB2312" w:hAnsi="仿宋_GB2312" w:eastAsia="仿宋_GB2312" w:cs="仿宋_GB2312"/>
                <w:sz w:val="24"/>
              </w:rPr>
              <w:br w:type="textWrapping"/>
            </w:r>
          </w:p>
        </w:tc>
        <w:tc>
          <w:tcPr>
            <w:tcW w:w="8257" w:type="dxa"/>
            <w:shd w:val="clear" w:color="auto" w:fill="auto"/>
            <w:vAlign w:val="center"/>
          </w:tcPr>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1、桌架型材：优质钢材，表面处理选用静电喷涂技术，颜色灰色。</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2、桌面板材：老师接触位置为木质桌面，采用E0级免漆板，环保耐磨，厚度 ≥ 25mm，颜色：白色；桌板尺寸≥1600mm×750mm。</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3、桌面围挡：桌板前部具备多层板弯曲而成的高围挡设计，表面喷漆。围挡整体颜色均匀，无明显深浅色差。高度≥100mm，可防止桌面物品滚落；桌面左右两侧前方具有和围挡同色的木凸台，厚度≥20mm，用于放置控制设备和话筒等。</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4、桌面杯槽：桌面需具备内嵌式的水杯圆槽，槽内直径≥80mm，可供教师放置水杯。</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5、讲桌抽屉：桌板下方需具备采用滑轨式安装设计的收纳抽屉，收纳空间≥350*150*50(mm)，抽屉面板采用E0级厚度≥16mm的灰色免漆板材。</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6、讲桌前挡板：可拆卸，方便机柜维护。围挡表面可自由粘贴学校的校徽LOGO。</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7、讲桌机柜：内置11U 19英寸标准机架，前后门都可以打开方便维护。前后门都具有散热孔，前门带锁。</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8、▲桌面接线盒：桌面上至少需具备1个以上万能5孔220V电源插座、2 个USB接口，1 个抽线区域，抽线孔位 ≥3（需提供国家认可的质检机构出具带有CMA或CNAS标识的检测报告复印件加盖投标人公章）。</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9、▲显示器支架：桌面需设计有一体化的显示器支架，可调节高度≥90mm，可倾斜-5°~90°，同时支架底座需具备键鼠收纳空间，用于存放键鼠设备（需提供国家认可的质检机构出具带有CMA或CNAS标识的检测报告复印件加盖投标人公章）。</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10、升降按键：讲桌需具备可控制桌面升降的物理升降按键，并支持在升降过程中实时显示当前的桌面高度。讲桌需具备电动升降结构，桌面的离地总高度升降范围至少需有：725mm~1125mm，高度可调节，满足不同身高的教师使用；讲台采用全封闭式设计，升降过程不会有空间外露。机柜活动空间采用折叠风琴罩设计。</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11、▲升降立柱：采用双电机两节电动升降立柱，超强抗下滑设计。管子尺寸：外管尺寸≥80*50mm，内管尺寸≥75*45mm，桌架最大均布载荷：≥100Kg均布。控制盒带陀螺仪功能：遇阻回退防夹保护，桌面震动和突然倾斜立刻停止升降（需提供国家认可的质检机构出具带有CMA或CNAS标识的检测报告复印件加盖投标人公章）。</w:t>
            </w:r>
          </w:p>
          <w:p>
            <w:pPr>
              <w:pStyle w:val="965"/>
              <w:numPr>
                <w:ilvl w:val="255"/>
                <w:numId w:val="0"/>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12、第三方中控安装接入：讲桌预留第三方中控安装位置以及安装支架，支持第三方中控接入讲桌。安装支架具有与桌面15度的倾斜角度，便于中控观看操作；</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8720" behindDoc="0" locked="0" layoutInCell="1" allowOverlap="1">
                  <wp:simplePos x="0" y="0"/>
                  <wp:positionH relativeFrom="column">
                    <wp:posOffset>66675</wp:posOffset>
                  </wp:positionH>
                  <wp:positionV relativeFrom="paragraph">
                    <wp:posOffset>1127125</wp:posOffset>
                  </wp:positionV>
                  <wp:extent cx="833755" cy="732790"/>
                  <wp:effectExtent l="0" t="0" r="4445" b="1016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cstate="print"/>
                          <a:stretch>
                            <a:fillRect/>
                          </a:stretch>
                        </pic:blipFill>
                        <pic:spPr>
                          <a:xfrm>
                            <a:off x="0" y="0"/>
                            <a:ext cx="833755" cy="7327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学生实训桌</w:t>
            </w:r>
            <w:r>
              <w:rPr>
                <w:rFonts w:hint="eastAsia" w:ascii="仿宋_GB2312" w:hAnsi="仿宋_GB2312" w:eastAsia="仿宋_GB2312" w:cs="仿宋_GB2312"/>
                <w:b/>
                <w:bCs/>
                <w:sz w:val="24"/>
              </w:rPr>
              <w:t>（核心产品）</w:t>
            </w:r>
          </w:p>
        </w:tc>
        <w:tc>
          <w:tcPr>
            <w:tcW w:w="8257" w:type="dxa"/>
            <w:shd w:val="clear" w:color="auto" w:fill="auto"/>
            <w:vAlign w:val="center"/>
          </w:tcPr>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1、桌板基材为≥25mm厚，环保等级≥E0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2、挡板采用≥E0级厚度≥16mm的E0 级环保刨花板，甲醛释放量≤0.05mg/m³。</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桌架管子采用壁厚≥1.5mm，直径为≥60mm的钢材圆管，横档采用≥2.0mm壁厚的钢材，焊接、打磨而成，表面脱脂、水洗、酸洗、水洗中和、表调、磷化、干燥等工艺处理，表面粉末涂料静电喷涂处理，防腐蚀、抗磨损，经久耐用。</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3、主机托材料厚度≥1.0mm 厚冷轧钢，折边焊接打磨而成，表面高温静电喷涂。</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4、脚垫采用优质软胶脚垫，结实耐用。实现防滑，保护地面的作用。</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5、结构为钢木结构。</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6、尺寸约为1600*550*750（mm），所投产品需符合实际空间尺寸需求，颜色与整体氛围匹配,最终按采购人认可的方案为准。</w:t>
            </w:r>
          </w:p>
          <w:p>
            <w:pPr>
              <w:pStyle w:val="4"/>
              <w:autoSpaceDE/>
              <w:autoSpaceDN/>
              <w:spacing w:line="360" w:lineRule="exact"/>
              <w:rPr>
                <w:rFonts w:ascii="仿宋_GB2312" w:hAnsi="仿宋_GB2312" w:eastAsia="仿宋_GB2312" w:cs="仿宋_GB2312"/>
                <w:szCs w:val="24"/>
              </w:rPr>
            </w:pPr>
            <w:r>
              <w:rPr>
                <w:rFonts w:hint="eastAsia" w:ascii="仿宋_GB2312" w:hAnsi="仿宋_GB2312" w:eastAsia="仿宋_GB2312" w:cs="仿宋_GB2312"/>
                <w:kern w:val="0"/>
                <w:szCs w:val="24"/>
              </w:rPr>
              <w:t>7、</w:t>
            </w:r>
            <w:r>
              <w:rPr>
                <w:rFonts w:hint="eastAsia" w:ascii="仿宋_GB2312" w:hAnsi="仿宋_GB2312" w:eastAsia="仿宋_GB2312" w:cs="仿宋_GB2312"/>
                <w:szCs w:val="24"/>
              </w:rPr>
              <w:t>★每两人中间具有3个国标五孔10A插座(固定于桌面上)。每组排桌插座能互相联通，电线走线具有全封闭的钣金走线槽，电线不会外露，学生工位计算机不能使用桌面插座。每个学生工位上有计算机机箱托架（金属材质）</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所投产品或产品主材的甲醛释放量、重金属含量等均符合国家标准（</w:t>
            </w:r>
            <w:r>
              <w:rPr>
                <w:rFonts w:hint="eastAsia" w:ascii="仿宋_GB2312" w:hAnsi="仿宋_GB2312" w:eastAsia="仿宋_GB2312" w:cs="仿宋_GB2312"/>
                <w:sz w:val="24"/>
              </w:rPr>
              <w:t>需提供国家认可的质检机构出具带有CMA或CNAS标识的检测报告复印件加盖投标人公章</w:t>
            </w:r>
            <w:r>
              <w:rPr>
                <w:rFonts w:hint="eastAsia" w:ascii="仿宋_GB2312" w:hAnsi="仿宋_GB2312" w:eastAsia="仿宋_GB2312" w:cs="仿宋_GB2312"/>
                <w:kern w:val="0"/>
                <w:sz w:val="24"/>
              </w:rPr>
              <w:t>）。</w:t>
            </w:r>
          </w:p>
          <w:p>
            <w:pPr>
              <w:widowControl/>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9、</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所投产品或产品主材需符合国家抗菌检测标准要求，对金黄色葡萄球菌和大肠埃希氏菌的检测结果为抑菌率达到90%以上（需</w:t>
            </w:r>
            <w:r>
              <w:rPr>
                <w:rFonts w:hint="eastAsia" w:ascii="仿宋_GB2312" w:hAnsi="仿宋_GB2312" w:eastAsia="仿宋_GB2312" w:cs="仿宋_GB2312"/>
                <w:sz w:val="24"/>
              </w:rPr>
              <w:t>提供国家认可的质检机构出具带有CMA或CNAS标识的检测报告复印件加盖投标人公章</w:t>
            </w:r>
            <w:r>
              <w:rPr>
                <w:rFonts w:hint="eastAsia" w:ascii="仿宋_GB2312" w:hAnsi="仿宋_GB2312" w:eastAsia="仿宋_GB2312" w:cs="仿宋_GB2312"/>
                <w:kern w:val="0"/>
                <w:sz w:val="24"/>
              </w:rPr>
              <w:t>）。</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90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849630</wp:posOffset>
                  </wp:positionV>
                  <wp:extent cx="834390" cy="687070"/>
                  <wp:effectExtent l="0" t="0" r="3810" b="177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834390" cy="6870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21</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学生凳</w:t>
            </w:r>
          </w:p>
        </w:tc>
        <w:tc>
          <w:tcPr>
            <w:tcW w:w="8257"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1、椅座基材为≥18mm 厚优质E0级环保刨花板，甲醛释放量≤0.05mg/m³，表面浸渍胶膜纸饰面，防水耐磨。封边条采用优质 PVC 封边，厚度≥1.0mm，（符合 QB/T4463-2013《家具封边条技术要求》），有效防止碰撞及长时间使用后的脱落问题。封边胶水采用热熔胶，敞开式和隐蔽式的截面均应做到处理。</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2、椅架：椅架采用壁厚为≥1.5mm的优质钢管。表面脱脂、水洗、酸洗、水洗中和、表调、磷化、干燥等工艺处理，表面粉末涂料静电喷涂处理，防腐蚀、抗磨损，座架经久耐用。</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3、脚垫：优质脚垫，耐磨防滑，不伤地板。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4、尺寸约为350*250*450（mm），所投产品需符合实际空间尺寸需求，颜色与整体氛围匹配,最终按采购人认可的方案为准。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180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9744" behindDoc="0" locked="0" layoutInCell="1" allowOverlap="1">
                  <wp:simplePos x="0" y="0"/>
                  <wp:positionH relativeFrom="column">
                    <wp:posOffset>64770</wp:posOffset>
                  </wp:positionH>
                  <wp:positionV relativeFrom="paragraph">
                    <wp:posOffset>355600</wp:posOffset>
                  </wp:positionV>
                  <wp:extent cx="768350" cy="958215"/>
                  <wp:effectExtent l="0" t="0" r="12700" b="133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cstate="print"/>
                          <a:stretch>
                            <a:fillRect/>
                          </a:stretch>
                        </pic:blipFill>
                        <pic:spPr>
                          <a:xfrm>
                            <a:off x="0" y="0"/>
                            <a:ext cx="76835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22</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教师椅</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1、椅背:PP背连体扶手</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2、椅座::一次性发泡定型泡棉</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3、扶手:PP背连体扶手</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4、底盘:与背框颜色一致的蝴蝶底盘</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5、气杆:行程≥85mm沉口≥50mm</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6、五星脚：与背框颜色一样的≥320mmPP五星脚</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7、脚轮:带刹车、≥50mm，PA静音轮，可移动，不伤地板。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8、正常成人尺寸，所投产品需符合实际空间尺寸需求，颜色与整体氛围匹配,最终按采购人认可的方案为准。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0768" behindDoc="0" locked="0" layoutInCell="1" allowOverlap="1">
                  <wp:simplePos x="0" y="0"/>
                  <wp:positionH relativeFrom="column">
                    <wp:posOffset>74295</wp:posOffset>
                  </wp:positionH>
                  <wp:positionV relativeFrom="paragraph">
                    <wp:posOffset>497205</wp:posOffset>
                  </wp:positionV>
                  <wp:extent cx="658495" cy="958215"/>
                  <wp:effectExtent l="0" t="0" r="8255" b="1333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cstate="print"/>
                          <a:stretch>
                            <a:fillRect/>
                          </a:stretch>
                        </pic:blipFill>
                        <pic:spPr>
                          <a:xfrm>
                            <a:off x="0" y="0"/>
                            <a:ext cx="65849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23</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研讨椅</w:t>
            </w:r>
          </w:p>
        </w:tc>
        <w:tc>
          <w:tcPr>
            <w:tcW w:w="8257" w:type="dxa"/>
            <w:shd w:val="clear" w:color="auto" w:fill="auto"/>
            <w:vAlign w:val="center"/>
          </w:tcPr>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1、椅背：PP背框，固定腰靠，活动椅背</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2、椅座：高弹力高密度切割绵</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3、扶手：连体固定扶手、带写字板</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4、椅脚：黑砂纹四脚铁架</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5、椅轮：带刹车、≥50mm，PA静音轮，可移动，不伤地板。</w:t>
            </w:r>
          </w:p>
          <w:p>
            <w:pPr>
              <w:widowControl/>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6、写字板：与椅子颜色匹配的尼龙材质写字板，写字板可折叠</w:t>
            </w:r>
          </w:p>
          <w:p>
            <w:pPr>
              <w:widowControl/>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7、尺寸约为550*580*890，所投产品需符合实际空间尺寸需求，颜色与整体氛围匹配,最终按采购人认可的方案为准。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108</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1792" behindDoc="0" locked="0" layoutInCell="1" allowOverlap="1">
                  <wp:simplePos x="0" y="0"/>
                  <wp:positionH relativeFrom="column">
                    <wp:posOffset>-1905</wp:posOffset>
                  </wp:positionH>
                  <wp:positionV relativeFrom="paragraph">
                    <wp:posOffset>412750</wp:posOffset>
                  </wp:positionV>
                  <wp:extent cx="819150" cy="1257935"/>
                  <wp:effectExtent l="0" t="0" r="0" b="184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stretch>
                            <a:fillRect/>
                          </a:stretch>
                        </pic:blipFill>
                        <pic:spPr>
                          <a:xfrm>
                            <a:off x="0" y="0"/>
                            <a:ext cx="819150" cy="12579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1335" w:type="dxa"/>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休闲茶几</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1、台面采用≥10mm厚度的岩板</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2、茶几脚采用橡胶木实木材质</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3、尺寸约为≥Φ600*500（mm）所投产品需符合实际空间尺寸需求，颜色与整体氛围匹配,最终按采购人认可的方案为准。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107950</wp:posOffset>
                  </wp:positionV>
                  <wp:extent cx="834390" cy="769620"/>
                  <wp:effectExtent l="0" t="0" r="3810" b="1143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stretch>
                            <a:fillRect/>
                          </a:stretch>
                        </pic:blipFill>
                        <pic:spPr>
                          <a:xfrm>
                            <a:off x="0" y="0"/>
                            <a:ext cx="834390" cy="7696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p>
        </w:tc>
        <w:tc>
          <w:tcPr>
            <w:tcW w:w="133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会议椅2</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1、椅背PP+GF30%背框，固定腰靠，活动椅背</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2、椅座采用高弹力T30密度切割海绵</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3、扶手为连体固定扶手</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4、椅脚黑砂纹四脚铁架套橡胶脚垫</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5、椅轮带刹车、≥50mm，PA静音轮，可移动，不伤地板。</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6、尺寸约为550*580*890(mm)，所投产品需符合实际空间尺寸需求，颜色与整体氛围匹配,最终按采购人认可的方案为准。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3840" behindDoc="0" locked="0" layoutInCell="1" allowOverlap="1">
                  <wp:simplePos x="0" y="0"/>
                  <wp:positionH relativeFrom="column">
                    <wp:posOffset>-1905</wp:posOffset>
                  </wp:positionH>
                  <wp:positionV relativeFrom="paragraph">
                    <wp:posOffset>336550</wp:posOffset>
                  </wp:positionV>
                  <wp:extent cx="804545" cy="958215"/>
                  <wp:effectExtent l="0" t="0" r="14605" b="133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cstate="print"/>
                          <a:stretch>
                            <a:fillRect/>
                          </a:stretch>
                        </pic:blipFill>
                        <pic:spPr>
                          <a:xfrm>
                            <a:off x="0" y="0"/>
                            <a:ext cx="80454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1335" w:type="dxa"/>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休闲单人沙发</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1、面料: 优质布艺面料</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 内框：优质硬木方框架及≥E1级环保多层夹板装订而成，经防虫、防腐等化学处理；</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 海绵：采用优质PU成型发泡高密度高回弹原生新海绵，表面有一层保护膜，可防氧化、防碎，经过HD测试永不变形；</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 承重弹力结构：靠背装钉有国产多条优质橡筋带，座垫为标准间距蛇形簧+平衡国产橡筋带+面网组成；</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 品牌优质五金配件，所有金属件经防腐防锈技术处理，耐氧化、耐腐蚀，经久耐用；</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 环保：甲醛释放量符合国家环保标准。</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 脚架：采用直径≥32mm，壁厚≥2.0mm的优质钢管，表面黑色磨砂哑光处理，配有调整脚。</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8.成品：其他各项技术指标符合QB/T 1952.1-2012《软体家具沙发》规定的A级要求，其中抗引燃特性符合GB 17927.2-2011 的要求；甲醛释放量≤0.5mg/L。</w:t>
            </w:r>
          </w:p>
          <w:p>
            <w:pPr>
              <w:spacing w:line="360" w:lineRule="exact"/>
              <w:rPr>
                <w:rFonts w:ascii="仿宋_GB2312" w:hAnsi="仿宋_GB2312" w:eastAsia="仿宋_GB2312" w:cs="仿宋_GB2312"/>
                <w:sz w:val="24"/>
              </w:rPr>
            </w:pPr>
            <w:r>
              <w:rPr>
                <w:rFonts w:hint="eastAsia" w:ascii="仿宋_GB2312" w:hAnsi="仿宋_GB2312" w:eastAsia="仿宋_GB2312" w:cs="仿宋_GB2312"/>
                <w:kern w:val="0"/>
                <w:sz w:val="24"/>
              </w:rPr>
              <w:t>9、尺寸约800*850*450-800（mm）所投产品需符合实际空间尺寸需求，颜色与整体氛围匹配,最终按采购人认可的方案为准。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4864" behindDoc="0" locked="0" layoutInCell="1" allowOverlap="1">
                  <wp:simplePos x="0" y="0"/>
                  <wp:positionH relativeFrom="column">
                    <wp:posOffset>28575</wp:posOffset>
                  </wp:positionH>
                  <wp:positionV relativeFrom="paragraph">
                    <wp:posOffset>963930</wp:posOffset>
                  </wp:positionV>
                  <wp:extent cx="834390" cy="758825"/>
                  <wp:effectExtent l="0" t="0" r="381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cstate="print"/>
                          <a:stretch>
                            <a:fillRect/>
                          </a:stretch>
                        </pic:blipFill>
                        <pic:spPr>
                          <a:xfrm>
                            <a:off x="0" y="0"/>
                            <a:ext cx="834390" cy="7588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27</w:t>
            </w:r>
          </w:p>
        </w:tc>
        <w:tc>
          <w:tcPr>
            <w:tcW w:w="1335"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多功能电子讲台</w:t>
            </w:r>
          </w:p>
        </w:tc>
        <w:tc>
          <w:tcPr>
            <w:tcW w:w="8257" w:type="dxa"/>
            <w:shd w:val="clear" w:color="auto" w:fill="auto"/>
            <w:vAlign w:val="center"/>
          </w:tcPr>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一、整机结构</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桌板材质：采用E0级优质免漆板材，厚度≥25mm，，尺寸≥525*1124(mm)，板形为内侧环绕型设计。桌板边缘需具备≥2mm的PVC直封边，颜色白色。讲桌升降：讲桌需具备电动升降结构，桌面的离地总高度升降范围至少需有：890mm~1190mm</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2、桌架型材：柱体高强度铝合金立柱，表面银色氧化处理。</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3、桌面围挡：桌板前部需具备高出桌面≥50mm的半包围式设计的木制围挡，颜色原木色。</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4、讲桌藏线盒：底脚区域需具备至少250*230*70(mm)的藏线盒设计，可对从地面到讲桌多余长度的线缆进行收纳。</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5、讲桌底脚：采用铁件一体化压铸设计，表面静电喷涂技术，颜色灰色。压铸脚前端带两个隐藏滚轮，略微倾斜桌体即可进行推动。</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6、演讲台桌面需设计有一体化的显示器支架，可调节高度≥90mm，可倾斜-5°~60°，可侧转-30°~30°，同时支架底座需具备键鼠收纳空间，用于存放键鼠设备。</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7、讲桌内部需内置系统模块，具备网络交换、HDMI分配、USB-HUB、电源控制等多个功能模块，且内部具备标准1L微型电脑主机的安装空间。</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8、讲桌接口：讲桌内部至少需具备网络接口≥3路，USB-HUB输入接口≥3路，HDMI输出接口≥2路，AC220V电源输出接口≥3路，极大减少对外部输入接口的依赖，方便布线实施。</w:t>
            </w:r>
          </w:p>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9、升降按键：讲桌需具备可控制桌面升降的物理升降按键，并支持在升降过程中实时显示当前的桌面高度。</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5888" behindDoc="0" locked="0" layoutInCell="1" allowOverlap="1">
                  <wp:simplePos x="0" y="0"/>
                  <wp:positionH relativeFrom="column">
                    <wp:posOffset>28575</wp:posOffset>
                  </wp:positionH>
                  <wp:positionV relativeFrom="paragraph">
                    <wp:posOffset>1049655</wp:posOffset>
                  </wp:positionV>
                  <wp:extent cx="834390" cy="1043305"/>
                  <wp:effectExtent l="0" t="0" r="3810" b="444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3" cstate="print"/>
                          <a:stretch>
                            <a:fillRect/>
                          </a:stretch>
                        </pic:blipFill>
                        <pic:spPr>
                          <a:xfrm>
                            <a:off x="0" y="0"/>
                            <a:ext cx="834390" cy="10433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28</w:t>
            </w:r>
          </w:p>
        </w:tc>
        <w:tc>
          <w:tcPr>
            <w:tcW w:w="1335"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MR实训桌</w:t>
            </w:r>
          </w:p>
        </w:tc>
        <w:tc>
          <w:tcPr>
            <w:tcW w:w="8257" w:type="dxa"/>
            <w:shd w:val="clear" w:color="auto" w:fill="auto"/>
            <w:vAlign w:val="center"/>
          </w:tcPr>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1、桌子单人位尺寸约为≥700*600*750（mm）（长*宽*高）；所投产品需符合实际空间尺寸需求，颜色与整体氛围匹配,最终按采购人认可的方案为准；</w:t>
            </w:r>
          </w:p>
          <w:p>
            <w:pPr>
              <w:numPr>
                <w:ilvl w:val="255"/>
                <w:numId w:val="0"/>
              </w:num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2、桌板材质：采用≥E1级厚度≥25mm的白色免漆板材，面板颜色为白色、原木色可选；</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3、桌体支架采用优质钢材，坚定稳固。</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48</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位</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954" w:type="dxa"/>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29</w:t>
            </w:r>
          </w:p>
        </w:tc>
        <w:tc>
          <w:tcPr>
            <w:tcW w:w="1335" w:type="dxa"/>
            <w:shd w:val="clear" w:color="auto" w:fill="auto"/>
            <w:vAlign w:val="center"/>
          </w:tcPr>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台式消毒茶水柜</w:t>
            </w:r>
          </w:p>
        </w:tc>
        <w:tc>
          <w:tcPr>
            <w:tcW w:w="8257" w:type="dxa"/>
            <w:shd w:val="clear" w:color="auto" w:fill="auto"/>
            <w:vAlign w:val="center"/>
          </w:tcPr>
          <w:p>
            <w:pPr>
              <w:widowControl/>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1、不锈钢机身，钢化玻璃面板，带红外杀菌及烘干功能。</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2、尺寸约1500*480*920（mm)，所投产品需符合实际空间尺寸需求，颜色与整体氛围匹配,最终按采购人认可的方案为准。</w:t>
            </w:r>
          </w:p>
        </w:tc>
        <w:tc>
          <w:tcPr>
            <w:tcW w:w="967"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15"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530" w:type="dxa"/>
            <w:shd w:val="clear" w:color="auto" w:fill="auto"/>
            <w:vAlign w:val="center"/>
          </w:tcPr>
          <w:p>
            <w:pPr>
              <w:pStyle w:val="965"/>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60325</wp:posOffset>
                  </wp:positionV>
                  <wp:extent cx="833755" cy="718820"/>
                  <wp:effectExtent l="0" t="0" r="4445" b="508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cstate="print"/>
                          <a:stretch>
                            <a:fillRect/>
                          </a:stretch>
                        </pic:blipFill>
                        <pic:spPr>
                          <a:xfrm>
                            <a:off x="0" y="0"/>
                            <a:ext cx="833755" cy="718820"/>
                          </a:xfrm>
                          <a:prstGeom prst="rect">
                            <a:avLst/>
                          </a:prstGeom>
                        </pic:spPr>
                      </pic:pic>
                    </a:graphicData>
                  </a:graphic>
                </wp:anchor>
              </w:drawing>
            </w:r>
          </w:p>
        </w:tc>
      </w:tr>
    </w:tbl>
    <w:p>
      <w:pPr>
        <w:spacing w:line="360" w:lineRule="exact"/>
        <w:rPr>
          <w:rFonts w:ascii="仿宋_GB2312" w:hAnsi="仿宋_GB2312" w:eastAsia="仿宋_GB2312" w:cs="仿宋_GB2312"/>
          <w:sz w:val="24"/>
        </w:rPr>
      </w:pPr>
    </w:p>
    <w:p>
      <w:pPr>
        <w:spacing w:line="360" w:lineRule="exact"/>
        <w:outlineLvl w:val="0"/>
        <w:rPr>
          <w:rFonts w:ascii="仿宋_GB2312" w:hAnsi="仿宋_GB2312" w:eastAsia="仿宋_GB2312" w:cs="仿宋_GB2312"/>
          <w:b/>
          <w:sz w:val="24"/>
        </w:rPr>
        <w:sectPr>
          <w:footerReference r:id="rId14" w:type="first"/>
          <w:footerReference r:id="rId12" w:type="default"/>
          <w:footerReference r:id="rId13" w:type="even"/>
          <w:pgSz w:w="16838" w:h="11906" w:orient="landscape"/>
          <w:pgMar w:top="1800" w:right="1440" w:bottom="1800" w:left="1440" w:header="851" w:footer="992" w:gutter="0"/>
          <w:cols w:space="425" w:num="1"/>
          <w:docGrid w:type="lines" w:linePitch="312" w:charSpace="0"/>
        </w:sectPr>
      </w:pPr>
    </w:p>
    <w:p>
      <w:pPr>
        <w:spacing w:line="360" w:lineRule="exact"/>
        <w:outlineLvl w:val="0"/>
        <w:rPr>
          <w:rFonts w:ascii="仿宋_GB2312" w:hAnsi="仿宋_GB2312" w:eastAsia="仿宋_GB2312" w:cs="仿宋_GB2312"/>
          <w:b/>
          <w:sz w:val="24"/>
        </w:rPr>
      </w:pPr>
      <w:r>
        <w:rPr>
          <w:rFonts w:hint="eastAsia" w:ascii="仿宋_GB2312" w:hAnsi="仿宋_GB2312" w:eastAsia="仿宋_GB2312" w:cs="仿宋_GB2312"/>
          <w:b/>
          <w:sz w:val="24"/>
        </w:rPr>
        <w:t>二、招标其他要求：</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rPr>
        <w:t>1、</w:t>
      </w:r>
      <w:r>
        <w:rPr>
          <w:rFonts w:hint="eastAsia" w:ascii="仿宋_GB2312" w:hAnsi="仿宋_GB2312" w:eastAsia="仿宋_GB2312" w:cs="仿宋_GB2312"/>
          <w:szCs w:val="24"/>
          <w:lang w:val="zh-CN"/>
        </w:rPr>
        <w:t>投标</w:t>
      </w:r>
      <w:r>
        <w:rPr>
          <w:rFonts w:hint="eastAsia" w:ascii="仿宋_GB2312" w:hAnsi="仿宋_GB2312" w:eastAsia="仿宋_GB2312" w:cs="仿宋_GB2312"/>
          <w:szCs w:val="24"/>
        </w:rPr>
        <w:t>人</w:t>
      </w:r>
      <w:r>
        <w:rPr>
          <w:rFonts w:hint="eastAsia" w:ascii="仿宋_GB2312" w:hAnsi="仿宋_GB2312" w:eastAsia="仿宋_GB2312" w:cs="仿宋_GB2312"/>
          <w:szCs w:val="24"/>
          <w:lang w:val="zh-CN"/>
        </w:rPr>
        <w:t>投标提供的设备必须是厂商原装的、全新的，配置与装箱单相符；数量、质量及性能不低于本标书中提出的要求；应准确无误地表明设备型号、规格、制造厂及生产或出厂日期。</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rPr>
        <w:t>2、</w:t>
      </w:r>
      <w:r>
        <w:rPr>
          <w:rFonts w:hint="eastAsia" w:ascii="仿宋_GB2312" w:hAnsi="仿宋_GB2312" w:eastAsia="仿宋_GB2312" w:cs="仿宋_GB2312"/>
          <w:szCs w:val="24"/>
          <w:lang w:val="zh-CN"/>
        </w:rPr>
        <w:t>合同签订及交货期：采购合同签订后30个工作日内完成设备供货、安装和调试。</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rPr>
        <w:t>3、</w:t>
      </w:r>
      <w:r>
        <w:rPr>
          <w:rFonts w:hint="eastAsia" w:ascii="仿宋_GB2312" w:hAnsi="仿宋_GB2312" w:eastAsia="仿宋_GB2312" w:cs="仿宋_GB2312"/>
          <w:szCs w:val="24"/>
          <w:lang w:val="zh-CN"/>
        </w:rPr>
        <w:t>质保期及售后服务要求：提供不少于3年的保修服务，</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需提供专门的售后服务电话，</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在接到采购人通知后，2小时内做出响应，24小时内派人赴现场处理问题。24小时内无法修复的，</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需提供无偿提供备机或备用零件供采购人使用。</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服务维修人员均经过良好的系统技术培训，并有丰富的现场维修经验。</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rPr>
        <w:t>4、投标人</w:t>
      </w:r>
      <w:r>
        <w:rPr>
          <w:rFonts w:hint="eastAsia" w:ascii="仿宋_GB2312" w:hAnsi="仿宋_GB2312" w:eastAsia="仿宋_GB2312" w:cs="仿宋_GB2312"/>
          <w:szCs w:val="24"/>
          <w:lang w:val="zh-CN"/>
        </w:rPr>
        <w:t>应派技术人员负责设备的安装、调试，调试所需专用工具、设施、物料等由</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自备、自费运到现场，完工后自费搬走。设备运输、搬运、安装、调试等过程中的安全由</w:t>
      </w:r>
      <w:r>
        <w:rPr>
          <w:rFonts w:hint="eastAsia" w:ascii="仿宋_GB2312" w:hAnsi="仿宋_GB2312" w:eastAsia="仿宋_GB2312" w:cs="仿宋_GB2312"/>
          <w:szCs w:val="24"/>
        </w:rPr>
        <w:t>投标人</w:t>
      </w:r>
      <w:r>
        <w:rPr>
          <w:rFonts w:hint="eastAsia" w:ascii="仿宋_GB2312" w:hAnsi="仿宋_GB2312" w:eastAsia="仿宋_GB2312" w:cs="仿宋_GB2312"/>
          <w:szCs w:val="24"/>
          <w:lang w:val="zh-CN"/>
        </w:rPr>
        <w:t>负责，产生的一切费用应包含在中标价格中，不得另行收费。</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rPr>
        <w:t>5、</w:t>
      </w:r>
      <w:r>
        <w:rPr>
          <w:rFonts w:hint="eastAsia" w:ascii="仿宋_GB2312" w:hAnsi="仿宋_GB2312" w:eastAsia="仿宋_GB2312" w:cs="仿宋_GB2312"/>
          <w:szCs w:val="24"/>
          <w:lang w:val="zh-CN"/>
        </w:rPr>
        <w:t>付款方式：按《浙江省财政厅关于进一步发挥政府采购政策功能全力推动经济稳进提质的通知》（浙财采监〔2022〕3号）等文件要求执行。</w:t>
      </w:r>
    </w:p>
    <w:p>
      <w:pPr>
        <w:pStyle w:val="132"/>
        <w:spacing w:line="360" w:lineRule="exact"/>
        <w:ind w:firstLine="480"/>
        <w:rPr>
          <w:rFonts w:ascii="仿宋_GB2312" w:hAnsi="仿宋_GB2312" w:eastAsia="仿宋_GB2312" w:cs="仿宋_GB2312"/>
          <w:szCs w:val="24"/>
          <w:lang w:val="zh-CN"/>
        </w:rPr>
      </w:pPr>
      <w:r>
        <w:rPr>
          <w:rFonts w:hint="eastAsia" w:ascii="仿宋_GB2312" w:hAnsi="仿宋_GB2312" w:eastAsia="仿宋_GB2312" w:cs="仿宋_GB2312"/>
          <w:szCs w:val="24"/>
          <w:lang w:val="zh-CN"/>
        </w:rPr>
        <w:t>6、本项目提供现场踏勘，踏勘截止日期为开标前</w:t>
      </w:r>
      <w:r>
        <w:rPr>
          <w:rFonts w:hint="eastAsia" w:ascii="仿宋_GB2312" w:hAnsi="仿宋_GB2312" w:eastAsia="仿宋_GB2312" w:cs="仿宋_GB2312"/>
          <w:szCs w:val="24"/>
        </w:rPr>
        <w:t>一个工作日</w:t>
      </w:r>
      <w:r>
        <w:rPr>
          <w:rFonts w:hint="eastAsia" w:ascii="仿宋_GB2312" w:hAnsi="仿宋_GB2312" w:eastAsia="仿宋_GB2312" w:cs="仿宋_GB2312"/>
          <w:szCs w:val="24"/>
          <w:lang w:val="zh-CN"/>
        </w:rPr>
        <w:t>17点前，联系人：侯丽丽，13177056781。</w:t>
      </w:r>
    </w:p>
    <w:p>
      <w:pPr>
        <w:pStyle w:val="132"/>
        <w:spacing w:line="360" w:lineRule="exact"/>
        <w:ind w:firstLine="480"/>
        <w:rPr>
          <w:rFonts w:ascii="仿宋_GB2312" w:hAnsi="仿宋_GB2312" w:eastAsia="仿宋_GB2312" w:cs="仿宋_GB2312"/>
          <w:szCs w:val="24"/>
        </w:rPr>
      </w:pPr>
      <w:r>
        <w:rPr>
          <w:rFonts w:hint="eastAsia" w:ascii="仿宋_GB2312" w:hAnsi="仿宋_GB2312" w:eastAsia="仿宋_GB2312" w:cs="仿宋_GB2312"/>
          <w:szCs w:val="24"/>
        </w:rPr>
        <w:t>7、本项目平面图详见“招标公告”附件《绍兴文理学院商学院新大楼家具采购项目平面图》。</w:t>
      </w:r>
    </w:p>
    <w:p>
      <w:pPr>
        <w:wordWrap w:val="0"/>
        <w:snapToGrid w:val="0"/>
        <w:spacing w:line="440" w:lineRule="exact"/>
        <w:jc w:val="left"/>
        <w:rPr>
          <w:rFonts w:ascii="仿宋_GB2312" w:hAnsi="宋体" w:eastAsia="仿宋_GB2312"/>
          <w:sz w:val="24"/>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pageBreakBefore/>
        <w:wordWrap w:val="0"/>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pPr>
        <w:wordWrap w:val="0"/>
        <w:adjustRightInd/>
        <w:snapToGrid w:val="0"/>
        <w:spacing w:line="440" w:lineRule="exact"/>
        <w:outlineLvl w:val="0"/>
        <w:rPr>
          <w:rFonts w:ascii="仿宋" w:hAnsi="仿宋" w:eastAsia="仿宋" w:cs="仿宋"/>
          <w:b/>
          <w:kern w:val="0"/>
          <w:sz w:val="36"/>
          <w:szCs w:val="36"/>
        </w:rPr>
      </w:pPr>
    </w:p>
    <w:p>
      <w:pPr>
        <w:wordWrap w:val="0"/>
        <w:adjustRightInd/>
        <w:spacing w:line="440" w:lineRule="exact"/>
        <w:jc w:val="center"/>
        <w:rPr>
          <w:rFonts w:ascii="仿宋" w:hAnsi="仿宋" w:eastAsia="仿宋" w:cs="仿宋"/>
          <w:b/>
          <w:kern w:val="0"/>
          <w:sz w:val="28"/>
          <w:szCs w:val="28"/>
        </w:rPr>
      </w:pPr>
    </w:p>
    <w:p>
      <w:pPr>
        <w:pStyle w:val="7"/>
        <w:wordWrap w:val="0"/>
      </w:pPr>
    </w:p>
    <w:p>
      <w:pPr>
        <w:wordWrap w:val="0"/>
        <w:adjustRightInd/>
        <w:spacing w:line="440" w:lineRule="exact"/>
        <w:rPr>
          <w:rFonts w:ascii="仿宋" w:hAnsi="仿宋" w:eastAsia="仿宋" w:cs="仿宋"/>
          <w:b/>
          <w:kern w:val="0"/>
          <w:sz w:val="24"/>
          <w:szCs w:val="20"/>
        </w:rPr>
      </w:pPr>
    </w:p>
    <w:p>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pPr>
        <w:wordWrap w:val="0"/>
        <w:autoSpaceDE w:val="0"/>
        <w:autoSpaceDN w:val="0"/>
        <w:snapToGrid w:val="0"/>
        <w:spacing w:line="440" w:lineRule="exact"/>
        <w:ind w:left="420" w:leftChars="200" w:firstLine="480" w:firstLineChars="200"/>
        <w:rPr>
          <w:rFonts w:ascii="仿宋" w:hAnsi="仿宋" w:eastAsia="仿宋" w:cs="仿宋"/>
          <w:sz w:val="24"/>
        </w:rPr>
      </w:pPr>
    </w:p>
    <w:p>
      <w:pPr>
        <w:wordWrap w:val="0"/>
        <w:autoSpaceDE w:val="0"/>
        <w:autoSpaceDN w:val="0"/>
        <w:snapToGrid w:val="0"/>
        <w:spacing w:line="440" w:lineRule="exact"/>
        <w:ind w:left="420" w:leftChars="200" w:firstLine="480" w:firstLineChars="200"/>
        <w:rPr>
          <w:rFonts w:ascii="仿宋" w:hAnsi="仿宋" w:eastAsia="仿宋" w:cs="仿宋"/>
          <w:sz w:val="24"/>
        </w:rPr>
      </w:pP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 w:hAnsi="仿宋" w:eastAsia="仿宋" w:cs="仿宋"/>
          <w:sz w:val="24"/>
        </w:rPr>
        <w:sectPr>
          <w:footerReference r:id="rId15"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 w:hAnsi="仿宋" w:eastAsia="仿宋" w:cs="仿宋"/>
          <w:kern w:val="0"/>
          <w:sz w:val="24"/>
          <w:szCs w:val="20"/>
        </w:rPr>
      </w:pPr>
      <w:bookmarkStart w:id="43" w:name="_Toc22209"/>
      <w:r>
        <w:rPr>
          <w:rFonts w:hint="eastAsia" w:ascii="仿宋" w:hAnsi="仿宋" w:eastAsia="仿宋" w:cs="仿宋"/>
          <w:b/>
          <w:bCs/>
          <w:kern w:val="0"/>
          <w:sz w:val="24"/>
          <w:szCs w:val="20"/>
        </w:rPr>
        <w:t>第一节 政府采购合同协议书</w:t>
      </w:r>
      <w:bookmarkEnd w:id="43"/>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pPr>
        <w:wordWrap w:val="0"/>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pPr>
        <w:wordWrap w:val="0"/>
        <w:adjustRightInd/>
        <w:spacing w:line="440" w:lineRule="exact"/>
        <w:ind w:right="-420" w:rightChars="-200"/>
        <w:rPr>
          <w:rFonts w:ascii="仿宋" w:hAnsi="仿宋" w:eastAsia="仿宋" w:cs="仿宋"/>
          <w:kern w:val="0"/>
          <w:sz w:val="24"/>
          <w:szCs w:val="20"/>
        </w:rPr>
      </w:pPr>
    </w:p>
    <w:p>
      <w:pPr>
        <w:wordWrap w:val="0"/>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2"/>
        </w:numPr>
        <w:wordWrap w:val="0"/>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pPr>
        <w:numPr>
          <w:ilvl w:val="255"/>
          <w:numId w:val="0"/>
        </w:numPr>
        <w:wordWrap w:val="0"/>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numPr>
          <w:ilvl w:val="0"/>
          <w:numId w:val="3"/>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numPr>
          <w:ilvl w:val="0"/>
          <w:numId w:val="3"/>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pPr>
        <w:wordWrap w:val="0"/>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pPr>
        <w:wordWrap w:val="0"/>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pPr>
        <w:wordWrap w:val="0"/>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pPr>
        <w:wordWrap w:val="0"/>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pPr>
        <w:wordWrap w:val="0"/>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pPr>
        <w:wordWrap w:val="0"/>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pPr>
              <w:wordWrap w:val="0"/>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pPr>
        <w:numPr>
          <w:ilvl w:val="0"/>
          <w:numId w:val="4"/>
        </w:numPr>
        <w:wordWrap w:val="0"/>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bookmarkStart w:id="44" w:name="_Toc27624"/>
      <w:r>
        <w:rPr>
          <w:rFonts w:hint="eastAsia" w:ascii="仿宋" w:hAnsi="仿宋" w:eastAsia="仿宋" w:cs="仿宋"/>
          <w:b/>
          <w:bCs/>
          <w:kern w:val="0"/>
          <w:sz w:val="24"/>
          <w:szCs w:val="20"/>
        </w:rPr>
        <w:t>政府采购合同通用条款</w:t>
      </w:r>
      <w:bookmarkEnd w:id="44"/>
    </w:p>
    <w:p>
      <w:pPr>
        <w:numPr>
          <w:ilvl w:val="255"/>
          <w:numId w:val="0"/>
        </w:num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w:t>
      </w:r>
      <w:bookmarkStart w:id="45"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kern w:val="0"/>
          <w:sz w:val="24"/>
          <w:szCs w:val="20"/>
        </w:rPr>
        <w:t>。</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pPr>
        <w:wordWrap w:val="0"/>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pPr>
        <w:wordWrap w:val="0"/>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bookmarkStart w:id="46" w:name="_Toc20313"/>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pPr>
        <w:wordWrap w:val="0"/>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pPr>
              <w:wordWrap w:val="0"/>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pPr>
              <w:wordWrap w:val="0"/>
              <w:adjustRightInd/>
              <w:spacing w:line="440" w:lineRule="exact"/>
              <w:ind w:right="-420" w:right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pPr>
              <w:wordWrap w:val="0"/>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bl>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pPr>
        <w:wordWrap w:val="0"/>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501"/>
        <w:gridCol w:w="579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序号</w:t>
            </w:r>
          </w:p>
        </w:tc>
        <w:tc>
          <w:tcPr>
            <w:tcW w:w="1501"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评分项</w:t>
            </w:r>
          </w:p>
        </w:tc>
        <w:tc>
          <w:tcPr>
            <w:tcW w:w="5795" w:type="dxa"/>
            <w:tcBorders>
              <w:left w:val="single" w:color="auto" w:sz="4" w:space="0"/>
              <w:bottom w:val="single" w:color="auto" w:sz="4" w:space="0"/>
            </w:tcBorders>
            <w:shd w:val="clear" w:color="auto" w:fill="auto"/>
            <w:vAlign w:val="center"/>
          </w:tcPr>
          <w:p>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评审依据及标准</w:t>
            </w:r>
          </w:p>
        </w:tc>
        <w:tc>
          <w:tcPr>
            <w:tcW w:w="920" w:type="dxa"/>
            <w:tcBorders>
              <w:left w:val="single" w:color="auto" w:sz="4" w:space="0"/>
              <w:bottom w:val="single" w:color="auto" w:sz="4" w:space="0"/>
            </w:tcBorders>
            <w:shd w:val="clear" w:color="auto" w:fill="auto"/>
            <w:vAlign w:val="center"/>
          </w:tcPr>
          <w:p>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01"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技术参数</w:t>
            </w:r>
          </w:p>
        </w:tc>
        <w:tc>
          <w:tcPr>
            <w:tcW w:w="5795" w:type="dxa"/>
            <w:tcBorders>
              <w:top w:val="single" w:color="auto" w:sz="4" w:space="0"/>
              <w:left w:val="single" w:color="auto" w:sz="4" w:space="0"/>
              <w:bottom w:val="single" w:color="auto" w:sz="4" w:space="0"/>
            </w:tcBorders>
            <w:shd w:val="clear" w:color="auto" w:fill="auto"/>
            <w:vAlign w:val="center"/>
          </w:tcPr>
          <w:p>
            <w:pPr>
              <w:pStyle w:val="23"/>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技术参数响应情况：对应于招标文件第三部分招标项目范围及要求——“一、货物清单及技术要求”，完全满足指标参数得24分。打“★”号的性能指标为实质性指标，若出现负偏离作无效标处理；打“▲”为主要性能指标，每有一项负偏离扣2分；其他指标，每有一项负偏离扣0.5分，扣完为止。 </w:t>
            </w:r>
          </w:p>
        </w:tc>
        <w:tc>
          <w:tcPr>
            <w:tcW w:w="920" w:type="dxa"/>
            <w:tcBorders>
              <w:top w:val="single" w:color="auto" w:sz="4" w:space="0"/>
              <w:left w:val="single" w:color="auto" w:sz="4" w:space="0"/>
              <w:bottom w:val="single" w:color="auto" w:sz="4" w:space="0"/>
            </w:tcBorders>
            <w:shd w:val="clear" w:color="auto" w:fill="auto"/>
            <w:vAlign w:val="center"/>
          </w:tcPr>
          <w:p>
            <w:pPr>
              <w:pStyle w:val="23"/>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8" w:type="dxa"/>
            <w:tcBorders>
              <w:right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01" w:type="dxa"/>
            <w:tcBorders>
              <w:right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平面布局图</w:t>
            </w:r>
          </w:p>
        </w:tc>
        <w:tc>
          <w:tcPr>
            <w:tcW w:w="5795" w:type="dxa"/>
            <w:tcBorders>
              <w:top w:val="single" w:color="auto" w:sz="4" w:space="0"/>
              <w:left w:val="single" w:color="auto" w:sz="4" w:space="0"/>
              <w:bottom w:val="single" w:color="auto" w:sz="4" w:space="0"/>
            </w:tcBorders>
            <w:shd w:val="clear" w:color="auto" w:fill="auto"/>
            <w:vAlign w:val="center"/>
          </w:tcPr>
          <w:p>
            <w:pPr>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投标人提供本项目所涉及区域的平面布局图，根据图纸上产品摆放的完整程度、排布的合理性、整体的美观程度进行打分。（本项分值设置为5,4,3,2,1,0.5,0分）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8" w:type="dxa"/>
            <w:tcBorders>
              <w:bottom w:val="single" w:color="auto" w:sz="4" w:space="0"/>
              <w:right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01" w:type="dxa"/>
            <w:tcBorders>
              <w:bottom w:val="single" w:color="auto" w:sz="4" w:space="0"/>
              <w:right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检测报告</w:t>
            </w:r>
          </w:p>
        </w:tc>
        <w:tc>
          <w:tcPr>
            <w:tcW w:w="5795" w:type="dxa"/>
            <w:tcBorders>
              <w:top w:val="single" w:color="auto" w:sz="4" w:space="0"/>
              <w:left w:val="single" w:color="auto" w:sz="4" w:space="0"/>
              <w:bottom w:val="single" w:color="auto" w:sz="4" w:space="0"/>
            </w:tcBorders>
            <w:shd w:val="clear" w:color="auto" w:fill="auto"/>
            <w:vAlign w:val="center"/>
          </w:tcPr>
          <w:p>
            <w:pPr>
              <w:spacing w:line="36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1、提供有效期内第三方检测机构检测的“钢管”检测报告，检测依据GB/T230.1-2018：洛氏硬度HRB≥30。GB/T3325-2024：金属喷漆（塑）涂层理化性能：硬度、冲击强度冲击高度400mm，无剥落、裂纹、皱纹；耐盐浴；附着力不低于1级。GB/T35607-2024：可迁移元素（砷As≤25mg/kg、硒Se≤500mg/kg、汞Hg≤25mg/kg、钡Ba≤1000mg/kg、铅Pb≤90mg/kg、铬Cr≤25mg/kg、锑Sb≤60mg/kg、镉Cd≤50mg/kg）。</w:t>
            </w:r>
          </w:p>
          <w:p>
            <w:pPr>
              <w:spacing w:line="36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QB/T 3826-1999、QB/T 3832-1999 ：中性盐雾试验≥400h，耐腐蚀等级10级。QB/T 3827-2021、QB/T 3832-1999：乙酸盐雾试验≥400h，耐腐蚀等级达到10级。GB/T 10125-2021、 GB/T 6461-2002：铜加速乙酸盐雾试验240h，保护评级和外观评级达到10级。GB/T 6394-2017：平均晶粒度达到9级。GB/T 13298-2015：显微组织：试样显微组织为铁素体。</w:t>
            </w:r>
          </w:p>
          <w:p>
            <w:pPr>
              <w:spacing w:line="36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2、提供有效期内第三方检测机构检测的“冷轧钢板”检测报告，检测依据符合：GB/T 230.1-2018：洛氏硬度HRB≥30。GB/T 228.1-2021:抗拉强度≥400MPa、断后伸长率≥27、规定塑性延伸强度≥235MPa、晶粒度≥8级。GB/T 231.1-2018：布氏硬度≥110。GB/T 4340.1-2024：维氏硬度≥110HV5、耐晶间腐蚀试验 ：无晶间腐蚀裂纹。QB/T3826-1999；QB/T3832-1999：中性盐雾（连续喷雾 200小时），镀(涂)层对基体的保护等级10级，镀(涂)层本身的耐腐蚀等级10级。GB/T 226-2015：低倍组织及缺陷≤3级（中心疏松不大于3级、一般疏松不大于3级）。GB/T19746-2018：盐溶液周浸试验≥200h，质量损失率≤0.1g/㎡，经≥200 小时周浸试验后，样品表面涂层未被腐蚀。</w:t>
            </w:r>
          </w:p>
          <w:p>
            <w:pPr>
              <w:spacing w:line="36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3、提供有效期内第三方检测机构检测的“塑粉”检测报告，检测依据符合：HG/T 2006-2022 ：耐人工气候老化性≥400h无粉化、起泡、开裂、剥落等异常现象；杯突试验≧4mm、铅笔硬度≧H、耐沸水性，无异常（2h）、外观：色泽均匀、无异物、呈松散粉末状、耐酸性：240h无异常、耐碱性：无异常。耐盐雾性：≥400h划痕处单向腐蚀蔓延宽度≤4.0mm，未划痕区无起泡、生锈、开裂、剥落等异常现象。GB/T 35602-2017：重金属元素含量：铅、镉、六价铬、汞、砷、钡、硒、锑、钴 未检出。GB/T 21782.3-2008：密度测定 1.2~1.8g/mL。GB/T 21782.5-2010：混合度流动性测试 ≤95。HG/T 3950-2007：产气肠杆菌、洋葱伯克霍尔德氏菌、粪肠球菌 抗菌率≥99%。</w:t>
            </w:r>
          </w:p>
          <w:p>
            <w:pPr>
              <w:pStyle w:val="4"/>
              <w:numPr>
                <w:ilvl w:val="255"/>
                <w:numId w:val="0"/>
              </w:numPr>
              <w:autoSpaceDE/>
              <w:autoSpaceDN/>
              <w:spacing w:line="360" w:lineRule="exact"/>
              <w:ind w:firstLine="480" w:firstLineChars="200"/>
              <w:rPr>
                <w:rFonts w:ascii="仿宋_GB2312" w:hAnsi="仿宋_GB2312" w:eastAsia="仿宋_GB2312" w:cs="仿宋_GB2312"/>
                <w:kern w:val="0"/>
                <w:szCs w:val="24"/>
              </w:rPr>
            </w:pPr>
            <w:r>
              <w:rPr>
                <w:rFonts w:hint="eastAsia" w:ascii="仿宋_GB2312" w:hAnsi="仿宋_GB2312" w:eastAsia="仿宋_GB2312" w:cs="仿宋_GB2312"/>
                <w:kern w:val="0"/>
                <w:szCs w:val="24"/>
              </w:rPr>
              <w:t>4、提供有效期内第三方检测机构检测的“环保木器漆”检测报告，检测依据符合GB 18581-2020：甲醛释放量≤50mg/kg，</w:t>
            </w:r>
            <w:r>
              <w:rPr>
                <w:rFonts w:hint="eastAsia" w:ascii="仿宋_GB2312" w:hAnsi="仿宋_GB2312" w:eastAsia="仿宋_GB2312" w:cs="仿宋_GB2312"/>
                <w:szCs w:val="24"/>
              </w:rPr>
              <w:t>VOC含量≤250g/L。</w:t>
            </w:r>
            <w:r>
              <w:rPr>
                <w:rFonts w:hint="eastAsia" w:ascii="仿宋_GB2312" w:hAnsi="仿宋_GB2312" w:eastAsia="仿宋_GB2312" w:cs="仿宋_GB2312"/>
                <w:kern w:val="0"/>
                <w:szCs w:val="24"/>
              </w:rPr>
              <w:t>GB 18584-2024：苯≤0.06mg/m³，甲苯≤0.15mg/m³，二甲苯≤0.2mg/m³，总挥发性有机化合物≤0.5mg/m³，总铅含量≤10mg/kg，可溶性重金属含量（镉≤75mg/kg、铬≤60mg/kg、汞≤60mg/kg。GB/T6739-2022:产品表面硬度≥2H。</w:t>
            </w:r>
          </w:p>
          <w:p>
            <w:pPr>
              <w:tabs>
                <w:tab w:val="left" w:pos="0"/>
                <w:tab w:val="left" w:pos="993"/>
                <w:tab w:val="left" w:pos="1134"/>
              </w:tabs>
              <w:spacing w:beforeLines="50" w:afterLines="50" w:line="360" w:lineRule="exact"/>
              <w:rPr>
                <w:rFonts w:ascii="仿宋_GB2312" w:hAnsi="仿宋_GB2312" w:eastAsia="仿宋_GB2312" w:cs="仿宋_GB2312"/>
                <w:sz w:val="24"/>
              </w:rPr>
            </w:pPr>
            <w:r>
              <w:rPr>
                <w:rFonts w:hint="eastAsia" w:ascii="仿宋_GB2312" w:hAnsi="仿宋_GB2312" w:eastAsia="仿宋_GB2312" w:cs="仿宋_GB2312"/>
                <w:kern w:val="0"/>
                <w:sz w:val="24"/>
              </w:rPr>
              <w:t>以上4项每提供一个完整检测报告得2分，最高得8分；名称和检测依据不符合的不得分。</w:t>
            </w:r>
          </w:p>
          <w:p>
            <w:pPr>
              <w:spacing w:line="360" w:lineRule="exact"/>
              <w:rPr>
                <w:rFonts w:ascii="仿宋_GB2312" w:hAnsi="仿宋_GB2312" w:eastAsia="仿宋_GB2312" w:cs="仿宋_GB2312"/>
                <w:sz w:val="24"/>
              </w:rPr>
            </w:pPr>
            <w:r>
              <w:rPr>
                <w:rFonts w:hint="eastAsia" w:ascii="仿宋_GB2312" w:hAnsi="仿宋_GB2312" w:eastAsia="仿宋_GB2312" w:cs="仿宋_GB2312"/>
                <w:b/>
                <w:bCs/>
                <w:kern w:val="0"/>
                <w:sz w:val="24"/>
              </w:rPr>
              <w:t>注：提供由国家认可的检测机构出具的封面带有CMA或CNAS标识的检测报告扫描件。</w:t>
            </w:r>
          </w:p>
        </w:tc>
        <w:tc>
          <w:tcPr>
            <w:tcW w:w="920" w:type="dxa"/>
            <w:tcBorders>
              <w:top w:val="single" w:color="auto" w:sz="4" w:space="0"/>
              <w:left w:val="single" w:color="auto" w:sz="4" w:space="0"/>
              <w:bottom w:val="single" w:color="auto" w:sz="4" w:space="0"/>
            </w:tcBorders>
            <w:shd w:val="clear" w:color="auto" w:fill="auto"/>
            <w:vAlign w:val="center"/>
          </w:tcPr>
          <w:p>
            <w:pPr>
              <w:spacing w:line="3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4</w:t>
            </w:r>
          </w:p>
        </w:tc>
        <w:tc>
          <w:tcPr>
            <w:tcW w:w="1501"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bCs/>
                <w:sz w:val="24"/>
              </w:rPr>
              <w:t>实施方案</w:t>
            </w:r>
          </w:p>
        </w:tc>
        <w:tc>
          <w:tcPr>
            <w:tcW w:w="5795" w:type="dxa"/>
            <w:tcBorders>
              <w:top w:val="single" w:color="auto" w:sz="4" w:space="0"/>
              <w:left w:val="single" w:color="auto" w:sz="4" w:space="0"/>
              <w:bottom w:val="single" w:color="auto" w:sz="4" w:space="0"/>
            </w:tcBorders>
            <w:shd w:val="clear" w:color="auto" w:fill="auto"/>
            <w:vAlign w:val="center"/>
          </w:tcPr>
          <w:p>
            <w:pPr>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根据投标人提供的针对本项目的具体详细的实施方案包括但不限于产品的供货、安装方案等进行打分。（本项分值设置为5,4,3,2,1,0.5,0分）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5</w:t>
            </w:r>
          </w:p>
        </w:tc>
        <w:tc>
          <w:tcPr>
            <w:tcW w:w="1501"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进度方案</w:t>
            </w:r>
          </w:p>
        </w:tc>
        <w:tc>
          <w:tcPr>
            <w:tcW w:w="5795" w:type="dxa"/>
            <w:tcBorders>
              <w:top w:val="single" w:color="auto" w:sz="4" w:space="0"/>
              <w:left w:val="single" w:color="auto" w:sz="4" w:space="0"/>
              <w:bottom w:val="single" w:color="auto" w:sz="4" w:space="0"/>
            </w:tcBorders>
            <w:shd w:val="clear" w:color="auto" w:fill="auto"/>
            <w:vAlign w:val="center"/>
          </w:tcPr>
          <w:p>
            <w:pPr>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根据投标人提供的针对本项目的具体详细的实施进度计划方案，包括但不限于总体进度计划表、进度管控措施等进行打分。（本项分值设置为5,4,3,2,1,0.5,0分）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1501"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品质管理管控方案</w:t>
            </w:r>
          </w:p>
        </w:tc>
        <w:tc>
          <w:tcPr>
            <w:tcW w:w="5795" w:type="dxa"/>
            <w:tcBorders>
              <w:top w:val="single" w:color="auto" w:sz="4" w:space="0"/>
              <w:left w:val="single" w:color="auto" w:sz="4" w:space="0"/>
              <w:bottom w:val="single" w:color="auto" w:sz="4" w:space="0"/>
            </w:tcBorders>
            <w:shd w:val="clear" w:color="auto" w:fill="auto"/>
            <w:vAlign w:val="center"/>
          </w:tcPr>
          <w:p>
            <w:pPr>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根据投标人提供的品质管理管控方案包括但不限于有独立品管部门和专门品管人员，确保产品生产过程中的质量控制完善等措施进行打分。（本项分值设置为4,3,2,1,0.5,0分）                                                                                                                                                                                                                                                                                                                                                                                                                                                                                                                                                                                                                                                                                                                                                                                                                                                                                                                                                                                                                                                                                                                                                                                                                                                                                                                                                                                                                                                                                                                                                                                                                                                                                                                                                                                                                                                                                                                                                                                                                                                                                                                                                                                                                                                                                                                                                                                                                                                                                                                                                                                                                                           </w:t>
            </w:r>
          </w:p>
        </w:tc>
        <w:tc>
          <w:tcPr>
            <w:tcW w:w="920" w:type="dxa"/>
            <w:tcBorders>
              <w:top w:val="single" w:color="auto" w:sz="4" w:space="0"/>
              <w:left w:val="single" w:color="auto" w:sz="4" w:space="0"/>
              <w:bottom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7</w:t>
            </w:r>
          </w:p>
        </w:tc>
        <w:tc>
          <w:tcPr>
            <w:tcW w:w="1501" w:type="dxa"/>
            <w:tcBorders>
              <w:top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售后服务方案</w:t>
            </w:r>
          </w:p>
        </w:tc>
        <w:tc>
          <w:tcPr>
            <w:tcW w:w="5795" w:type="dxa"/>
            <w:tcBorders>
              <w:top w:val="single" w:color="auto" w:sz="4" w:space="0"/>
              <w:left w:val="single" w:color="auto" w:sz="4" w:space="0"/>
              <w:bottom w:val="single" w:color="auto" w:sz="4" w:space="0"/>
            </w:tcBorders>
            <w:shd w:val="clear" w:color="auto" w:fill="auto"/>
            <w:vAlign w:val="center"/>
          </w:tcPr>
          <w:p>
            <w:pPr>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根据投标人提供的详细完整的“三包”措施及售后服务措施和方案包括但不限于服务措施、产品质量保证、回访、技术培训等进行打分。（本项分值设置为4,3,2,1,0.5,0分）</w:t>
            </w:r>
          </w:p>
        </w:tc>
        <w:tc>
          <w:tcPr>
            <w:tcW w:w="920" w:type="dxa"/>
            <w:tcBorders>
              <w:top w:val="single" w:color="auto" w:sz="4" w:space="0"/>
              <w:left w:val="single" w:color="auto" w:sz="4" w:space="0"/>
              <w:bottom w:val="single" w:color="auto" w:sz="4" w:space="0"/>
            </w:tcBorders>
            <w:shd w:val="clear" w:color="auto" w:fill="auto"/>
            <w:vAlign w:val="center"/>
          </w:tcPr>
          <w:p>
            <w:pPr>
              <w:snapToGrid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right w:val="single" w:color="auto" w:sz="4" w:space="0"/>
            </w:tcBorders>
            <w:shd w:val="clear" w:color="auto" w:fill="auto"/>
            <w:vAlign w:val="center"/>
          </w:tcPr>
          <w:p>
            <w:pPr>
              <w:pStyle w:val="2"/>
              <w:widowControl/>
              <w:spacing w:line="360" w:lineRule="exact"/>
              <w:ind w:left="0" w:leftChars="0" w:firstLine="0" w:firstLineChars="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1501" w:type="dxa"/>
            <w:tcBorders>
              <w:top w:val="single" w:color="auto" w:sz="4" w:space="0"/>
              <w:right w:val="single" w:color="auto" w:sz="4" w:space="0"/>
            </w:tcBorders>
            <w:shd w:val="clear" w:color="auto" w:fill="auto"/>
            <w:vAlign w:val="center"/>
          </w:tcPr>
          <w:p>
            <w:pPr>
              <w:pStyle w:val="2"/>
              <w:widowControl/>
              <w:spacing w:line="360" w:lineRule="exact"/>
              <w:ind w:left="0" w:leftChars="0" w:firstLine="0" w:firstLineChars="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样品</w:t>
            </w:r>
          </w:p>
        </w:tc>
        <w:tc>
          <w:tcPr>
            <w:tcW w:w="5795" w:type="dxa"/>
            <w:tcBorders>
              <w:top w:val="single" w:color="auto" w:sz="4" w:space="0"/>
              <w:left w:val="single" w:color="auto" w:sz="4" w:space="0"/>
            </w:tcBorders>
            <w:shd w:val="clear" w:color="auto" w:fill="auto"/>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根据招标文件样品要求提供“二人折叠活动桌（本项目的货物清单中序号第18项）、多功能电子讲台（本项目的货物清单中序号第19项）、学生实训桌（本项目的货物清单中序号第20项）”各一张，依据以下内容进行打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1、根据样品主要材料及五金配件的质量、规格、等级等进行打分。（本项分值设置为3,2,1,0.5,0分）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2、根据样品的结构合理性、使用功能性及牢固度等进行打分（本项分值设置为4,3,2,1,0.5,0分）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3、根据样品的制作工艺、组合结构、油漆制作（喷涂）工艺、样品安装精密度、节点细部处理等进行打分。（本项分值设置为4,3,2,1,0.5,0分）,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4、根据样品的外观式样、美观度、色调搭配合理性及统一性进行打分。（本项分值设置为4,3,2,1,0.5,0分）</w:t>
            </w:r>
          </w:p>
          <w:p>
            <w:pPr>
              <w:pStyle w:val="4"/>
              <w:autoSpaceDE/>
              <w:autoSpaceDN/>
              <w:spacing w:line="360" w:lineRule="exact"/>
              <w:rPr>
                <w:rFonts w:ascii="仿宋_GB2312" w:hAnsi="仿宋_GB2312" w:eastAsia="仿宋_GB2312" w:cs="仿宋_GB2312"/>
                <w:szCs w:val="24"/>
              </w:rPr>
            </w:pPr>
            <w:r>
              <w:rPr>
                <w:rFonts w:hint="eastAsia" w:ascii="仿宋_GB2312" w:hAnsi="仿宋_GB2312" w:eastAsia="仿宋_GB2312" w:cs="仿宋_GB2312"/>
                <w:b/>
                <w:bCs/>
                <w:kern w:val="0"/>
                <w:szCs w:val="24"/>
              </w:rPr>
              <w:t>★注:对未提供样品或提供样品不满足采购需求实质性条件的，按无效投标处理。</w:t>
            </w:r>
          </w:p>
        </w:tc>
        <w:tc>
          <w:tcPr>
            <w:tcW w:w="920" w:type="dxa"/>
            <w:tcBorders>
              <w:top w:val="single" w:color="auto" w:sz="4" w:space="0"/>
              <w:left w:val="single" w:color="auto" w:sz="4" w:space="0"/>
            </w:tcBorders>
            <w:shd w:val="clear" w:color="auto" w:fill="auto"/>
            <w:vAlign w:val="center"/>
          </w:tcPr>
          <w:p>
            <w:pPr>
              <w:pStyle w:val="4"/>
              <w:autoSpaceDE/>
              <w:autoSpaceDN/>
              <w:spacing w:line="360" w:lineRule="exact"/>
              <w:jc w:val="center"/>
              <w:rPr>
                <w:rFonts w:ascii="仿宋_GB2312" w:hAnsi="仿宋_GB2312" w:eastAsia="仿宋_GB2312" w:cs="仿宋_GB2312"/>
                <w:b/>
                <w:bCs/>
                <w:kern w:val="0"/>
                <w:szCs w:val="24"/>
                <w:lang w:val="en-US"/>
              </w:rPr>
            </w:pPr>
            <w:r>
              <w:rPr>
                <w:rFonts w:hint="eastAsia" w:ascii="仿宋_GB2312" w:hAnsi="仿宋_GB2312" w:eastAsia="仿宋_GB2312" w:cs="仿宋_GB2312"/>
                <w:kern w:val="0"/>
                <w:szCs w:val="24"/>
                <w:lang w:val="en-US"/>
              </w:rPr>
              <w:t>15</w:t>
            </w:r>
          </w:p>
        </w:tc>
      </w:tr>
    </w:tbl>
    <w:p>
      <w:pPr>
        <w:wordWrap w:val="0"/>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wordWrap w:val="0"/>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30 </w:t>
      </w:r>
    </w:p>
    <w:p>
      <w:pPr>
        <w:wordWrap w:val="0"/>
        <w:spacing w:line="360" w:lineRule="auto"/>
        <w:ind w:left="720" w:firstLine="723" w:firstLineChars="200"/>
        <w:outlineLvl w:val="0"/>
        <w:rPr>
          <w:rFonts w:ascii="仿宋" w:hAnsi="仿宋" w:eastAsia="仿宋" w:cs="仿宋"/>
          <w:b/>
          <w:sz w:val="36"/>
          <w:szCs w:val="20"/>
        </w:rPr>
      </w:pPr>
    </w:p>
    <w:bookmarkEnd w:id="41"/>
    <w:bookmarkEnd w:id="42"/>
    <w:p>
      <w:pPr>
        <w:pageBreakBefore/>
        <w:widowControl/>
        <w:wordWrap w:val="0"/>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wordWrap w:val="0"/>
        <w:spacing w:line="360" w:lineRule="auto"/>
        <w:jc w:val="center"/>
        <w:outlineLvl w:val="0"/>
        <w:rPr>
          <w:rFonts w:ascii="仿宋" w:hAnsi="仿宋" w:eastAsia="仿宋" w:cs="仿宋"/>
          <w:b/>
          <w:kern w:val="0"/>
          <w:sz w:val="36"/>
          <w:szCs w:val="36"/>
        </w:rPr>
      </w:pP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wordWrap w:val="0"/>
        <w:spacing w:line="360" w:lineRule="auto"/>
        <w:jc w:val="center"/>
        <w:outlineLvl w:val="0"/>
        <w:rPr>
          <w:rFonts w:ascii="仿宋" w:hAnsi="仿宋" w:eastAsia="仿宋" w:cs="仿宋"/>
          <w:b/>
          <w:kern w:val="0"/>
          <w:sz w:val="36"/>
          <w:szCs w:val="36"/>
        </w:rPr>
      </w:pPr>
    </w:p>
    <w:p>
      <w:pPr>
        <w:wordWrap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wordWrap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4"/>
        <w:wordWrap w:val="0"/>
        <w:rPr>
          <w:rFonts w:ascii="仿宋" w:hAnsi="仿宋" w:eastAsia="仿宋" w:cs="仿宋"/>
        </w:rPr>
      </w:pPr>
      <w:r>
        <w:rPr>
          <w:rFonts w:hint="eastAsia" w:ascii="仿宋" w:hAnsi="仿宋" w:eastAsia="仿宋" w:cs="仿宋"/>
        </w:rPr>
        <w:t>（3）分包协议………………………………………………………………（页码）</w:t>
      </w:r>
    </w:p>
    <w:p>
      <w:pPr>
        <w:wordWrap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wordWrap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wordWrap w:val="0"/>
        <w:snapToGrid w:val="0"/>
        <w:spacing w:line="360" w:lineRule="auto"/>
        <w:rPr>
          <w:rFonts w:ascii="仿宋" w:hAnsi="仿宋" w:eastAsia="仿宋" w:cs="仿宋"/>
          <w:sz w:val="24"/>
        </w:rPr>
      </w:pPr>
    </w:p>
    <w:p>
      <w:pPr>
        <w:wordWrap w:val="0"/>
        <w:snapToGrid w:val="0"/>
        <w:spacing w:line="360" w:lineRule="auto"/>
        <w:ind w:firstLine="480" w:firstLineChars="200"/>
        <w:rPr>
          <w:rFonts w:ascii="仿宋" w:hAnsi="仿宋" w:eastAsia="仿宋" w:cs="仿宋"/>
          <w:sz w:val="24"/>
        </w:rPr>
      </w:pPr>
    </w:p>
    <w:p>
      <w:pPr>
        <w:wordWrap w:val="0"/>
        <w:spacing w:line="360" w:lineRule="auto"/>
        <w:ind w:firstLine="480" w:firstLineChars="200"/>
        <w:rPr>
          <w:rFonts w:ascii="仿宋" w:hAnsi="仿宋" w:eastAsia="仿宋" w:cs="仿宋"/>
          <w:sz w:val="24"/>
        </w:rPr>
      </w:pPr>
    </w:p>
    <w:p>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wordWrap w:val="0"/>
        <w:snapToGrid w:val="0"/>
        <w:spacing w:line="360" w:lineRule="auto"/>
        <w:rPr>
          <w:rFonts w:ascii="仿宋" w:hAnsi="仿宋" w:eastAsia="仿宋" w:cs="仿宋"/>
          <w:sz w:val="24"/>
        </w:rPr>
      </w:pPr>
      <w:r>
        <w:rPr>
          <w:rFonts w:hint="eastAsia" w:ascii="仿宋" w:hAnsi="仿宋" w:eastAsia="仿宋" w:cs="仿宋"/>
          <w:sz w:val="24"/>
        </w:rPr>
        <w:t>绍兴文理学院、绍兴市公共资源交易中心：</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我方参与绍兴文理学院商学院新大楼家具采购项目【招标编号：2025-06-0052】政府采购活动，郑重承诺：</w:t>
      </w:r>
    </w:p>
    <w:p>
      <w:pPr>
        <w:wordWrap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wordWrap w:val="0"/>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ordWrap w:val="0"/>
        <w:snapToGrid w:val="0"/>
        <w:spacing w:line="360" w:lineRule="auto"/>
        <w:ind w:right="480"/>
        <w:jc w:val="center"/>
        <w:rPr>
          <w:rFonts w:ascii="仿宋" w:hAnsi="仿宋" w:eastAsia="仿宋" w:cs="仿宋"/>
          <w:b/>
          <w:kern w:val="0"/>
          <w:sz w:val="32"/>
          <w:szCs w:val="32"/>
        </w:rPr>
      </w:pPr>
    </w:p>
    <w:p>
      <w:pPr>
        <w:pageBreakBefore/>
        <w:widowControl/>
        <w:wordWrap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wordWrap w:val="0"/>
        <w:rPr>
          <w:color w:val="auto"/>
        </w:rPr>
      </w:pPr>
    </w:p>
    <w:p>
      <w:pPr>
        <w:wordWrap w:val="0"/>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pPr>
        <w:widowControl/>
        <w:wordWrap w:val="0"/>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ordWrap w:val="0"/>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wordWrap w:val="0"/>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wordWrap w:val="0"/>
        <w:spacing w:line="360" w:lineRule="auto"/>
        <w:ind w:left="150"/>
        <w:jc w:val="center"/>
        <w:rPr>
          <w:rFonts w:ascii="仿宋" w:hAnsi="仿宋" w:eastAsia="仿宋" w:cs="仿宋"/>
          <w:b/>
          <w:kern w:val="0"/>
          <w:sz w:val="32"/>
          <w:szCs w:val="32"/>
        </w:rPr>
      </w:pPr>
    </w:p>
    <w:p>
      <w:pPr>
        <w:widowControl/>
        <w:wordWrap w:val="0"/>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wordWrap w:val="0"/>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pageBreakBefore/>
        <w:wordWrap w:val="0"/>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wordWrap w:val="0"/>
        <w:spacing w:line="336" w:lineRule="auto"/>
        <w:jc w:val="center"/>
        <w:outlineLvl w:val="0"/>
        <w:rPr>
          <w:rFonts w:ascii="仿宋" w:hAnsi="仿宋" w:eastAsia="仿宋" w:cs="仿宋"/>
          <w:b/>
          <w:kern w:val="0"/>
          <w:sz w:val="24"/>
        </w:rPr>
      </w:pPr>
    </w:p>
    <w:p>
      <w:pPr>
        <w:wordWrap w:val="0"/>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投标函…………………………………………………………………………（页码）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法定代表人授权委托书 …………………………………………………… （页码）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授权代表社保证明…………………………………………………………… （页码）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rPr>
        <w:t>商务技术偏离表……………………………………………………………… （页码）</w:t>
      </w:r>
    </w:p>
    <w:p>
      <w:pPr>
        <w:pStyle w:val="906"/>
        <w:numPr>
          <w:ilvl w:val="0"/>
          <w:numId w:val="5"/>
        </w:numPr>
        <w:wordWrap w:val="0"/>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wordWrap w:val="0"/>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pageBreakBefore/>
        <w:wordWrap w:val="0"/>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wordWrap w:val="0"/>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_GB2312" w:hAnsi="仿宋" w:eastAsia="仿宋_GB2312" w:cs="仿宋"/>
          <w:szCs w:val="24"/>
          <w:u w:val="single"/>
        </w:rPr>
        <w:t>绍兴文理学院、绍兴市公共资源交易中心</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7"/>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7"/>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7"/>
        <w:wordWrap w:val="0"/>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wordWrap w:val="0"/>
        <w:snapToGrid w:val="0"/>
        <w:spacing w:line="336" w:lineRule="auto"/>
        <w:ind w:firstLine="480" w:firstLineChars="200"/>
        <w:jc w:val="left"/>
        <w:rPr>
          <w:rFonts w:ascii="仿宋" w:hAnsi="仿宋" w:eastAsia="仿宋" w:cs="仿宋"/>
          <w:sz w:val="24"/>
        </w:rPr>
      </w:pPr>
    </w:p>
    <w:p>
      <w:pPr>
        <w:wordWrap w:val="0"/>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wordWrap w:val="0"/>
        <w:snapToGrid w:val="0"/>
        <w:spacing w:line="360" w:lineRule="auto"/>
        <w:jc w:val="center"/>
        <w:rPr>
          <w:rFonts w:ascii="仿宋" w:hAnsi="仿宋" w:eastAsia="仿宋" w:cs="仿宋"/>
          <w:b/>
          <w:kern w:val="0"/>
          <w:sz w:val="32"/>
          <w:szCs w:val="32"/>
        </w:rPr>
      </w:pPr>
    </w:p>
    <w:p>
      <w:pPr>
        <w:wordWrap w:val="0"/>
        <w:snapToGrid w:val="0"/>
        <w:spacing w:line="360" w:lineRule="auto"/>
        <w:rPr>
          <w:rFonts w:ascii="仿宋" w:hAnsi="仿宋" w:eastAsia="仿宋" w:cs="仿宋"/>
          <w:sz w:val="24"/>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pageBreakBefore/>
        <w:widowControl/>
        <w:wordWrap w:val="0"/>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wordWrap w:val="0"/>
        <w:jc w:val="center"/>
        <w:rPr>
          <w:rFonts w:ascii="仿宋" w:hAnsi="仿宋" w:eastAsia="仿宋" w:cs="仿宋"/>
          <w:b/>
          <w:sz w:val="24"/>
        </w:rPr>
      </w:pP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绍兴文理学院、绍兴市公共资源交易中心 </w:t>
      </w:r>
      <w:r>
        <w:rPr>
          <w:rFonts w:hint="eastAsia" w:ascii="仿宋" w:hAnsi="仿宋" w:eastAsia="仿宋" w:cs="仿宋"/>
          <w:sz w:val="24"/>
        </w:rPr>
        <w:t>组织的</w:t>
      </w:r>
      <w:r>
        <w:rPr>
          <w:rFonts w:hint="eastAsia" w:ascii="仿宋" w:hAnsi="仿宋" w:eastAsia="仿宋" w:cs="仿宋"/>
          <w:sz w:val="24"/>
          <w:u w:val="single"/>
        </w:rPr>
        <w:t xml:space="preserve"> 绍兴文理学院商学院新大楼家具采购项目（招标编号:2025-06-0052） </w:t>
      </w:r>
      <w:r>
        <w:rPr>
          <w:rFonts w:hint="eastAsia" w:ascii="仿宋" w:hAnsi="仿宋" w:eastAsia="仿宋" w:cs="仿宋"/>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wordWrap w:val="0"/>
        <w:snapToGrid w:val="0"/>
        <w:spacing w:line="600" w:lineRule="exact"/>
        <w:jc w:val="lef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单位：                      部门：               职务：</w:t>
      </w:r>
    </w:p>
    <w:p>
      <w:pPr>
        <w:wordWrap w:val="0"/>
        <w:spacing w:line="360" w:lineRule="exact"/>
        <w:rPr>
          <w:rFonts w:ascii="仿宋" w:hAnsi="仿宋" w:eastAsia="仿宋" w:cs="仿宋"/>
          <w:sz w:val="24"/>
        </w:rPr>
      </w:pPr>
    </w:p>
    <w:p>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投标人（电子签章）：</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法定代表人（签字或盖章）：</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ind w:firstLine="5280" w:firstLineChars="2200"/>
        <w:jc w:val="left"/>
        <w:rPr>
          <w:rFonts w:ascii="仿宋" w:hAnsi="仿宋" w:eastAsia="仿宋" w:cs="仿宋"/>
          <w:sz w:val="24"/>
        </w:rPr>
      </w:pPr>
      <w:r>
        <w:rPr>
          <w:rFonts w:hint="eastAsia" w:ascii="仿宋" w:hAnsi="仿宋" w:eastAsia="仿宋" w:cs="仿宋"/>
          <w:sz w:val="24"/>
        </w:rPr>
        <w:t>日期：    年   月   日</w:t>
      </w:r>
    </w:p>
    <w:p>
      <w:pPr>
        <w:wordWrap w:val="0"/>
        <w:ind w:firstLine="4920" w:firstLineChars="2050"/>
        <w:jc w:val="left"/>
        <w:rPr>
          <w:rFonts w:ascii="仿宋" w:hAnsi="仿宋" w:eastAsia="仿宋" w:cs="仿宋"/>
          <w:sz w:val="24"/>
        </w:rPr>
      </w:pPr>
    </w:p>
    <w:p>
      <w:pPr>
        <w:wordWrap w:val="0"/>
        <w:spacing w:line="800" w:lineRule="exact"/>
        <w:rPr>
          <w:rFonts w:ascii="仿宋" w:hAnsi="仿宋" w:eastAsia="仿宋" w:cs="仿宋"/>
          <w:b/>
          <w:sz w:val="24"/>
        </w:rPr>
      </w:pPr>
    </w:p>
    <w:p>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wordWrap w:val="0"/>
        <w:jc w:val="center"/>
        <w:rPr>
          <w:rFonts w:ascii="仿宋" w:hAnsi="仿宋" w:eastAsia="仿宋" w:cs="仿宋"/>
          <w:b/>
          <w:sz w:val="24"/>
        </w:rPr>
      </w:pP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绍兴文理学院、绍兴市公共资源交易中心 </w:t>
      </w:r>
      <w:r>
        <w:rPr>
          <w:rFonts w:hint="eastAsia" w:ascii="仿宋" w:hAnsi="仿宋" w:eastAsia="仿宋" w:cs="仿宋"/>
          <w:sz w:val="24"/>
        </w:rPr>
        <w:t>组织的</w:t>
      </w:r>
      <w:r>
        <w:rPr>
          <w:rFonts w:hint="eastAsia" w:ascii="仿宋" w:hAnsi="仿宋" w:eastAsia="仿宋" w:cs="仿宋"/>
          <w:sz w:val="24"/>
          <w:u w:val="single"/>
        </w:rPr>
        <w:t xml:space="preserve"> 绍兴文理学院商学院新大楼家具采购项目（招标编号:2025-06-0052） </w:t>
      </w:r>
      <w:r>
        <w:rPr>
          <w:rFonts w:hint="eastAsia" w:ascii="仿宋" w:hAnsi="仿宋" w:eastAsia="仿宋" w:cs="仿宋"/>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wordWrap w:val="0"/>
        <w:snapToGrid w:val="0"/>
        <w:spacing w:line="600" w:lineRule="exact"/>
        <w:jc w:val="lef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单位：                      部门：               职务：</w:t>
      </w:r>
    </w:p>
    <w:p>
      <w:pPr>
        <w:wordWrap w:val="0"/>
        <w:spacing w:line="360" w:lineRule="exact"/>
        <w:rPr>
          <w:rFonts w:ascii="仿宋" w:hAnsi="仿宋" w:eastAsia="仿宋" w:cs="仿宋"/>
          <w:sz w:val="24"/>
        </w:rPr>
      </w:pPr>
    </w:p>
    <w:p>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jc w:val="center"/>
        <w:rPr>
          <w:rFonts w:ascii="仿宋" w:hAnsi="仿宋" w:eastAsia="仿宋" w:cs="仿宋"/>
          <w:b/>
          <w:kern w:val="0"/>
          <w:sz w:val="32"/>
          <w:szCs w:val="32"/>
        </w:rPr>
      </w:pPr>
    </w:p>
    <w:p>
      <w:pPr>
        <w:wordWrap w:val="0"/>
        <w:rPr>
          <w:rFonts w:ascii="仿宋" w:hAnsi="仿宋" w:eastAsia="仿宋" w:cs="仿宋"/>
        </w:rPr>
      </w:pP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ordWrap w:val="0"/>
        <w:autoSpaceDE w:val="0"/>
        <w:autoSpaceDN w:val="0"/>
        <w:spacing w:line="360" w:lineRule="auto"/>
        <w:jc w:val="center"/>
        <w:rPr>
          <w:rFonts w:ascii="仿宋" w:hAnsi="仿宋" w:eastAsia="仿宋" w:cs="仿宋"/>
          <w:b/>
          <w:kern w:val="0"/>
          <w:sz w:val="32"/>
          <w:szCs w:val="32"/>
          <w:lang w:val="zh-CN"/>
        </w:rPr>
      </w:pPr>
    </w:p>
    <w:p>
      <w:pPr>
        <w:wordWrap w:val="0"/>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wordWrap w:val="0"/>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 w:hAnsi="仿宋" w:eastAsia="仿宋" w:cs="仿宋"/>
          <w:b/>
          <w:sz w:val="30"/>
          <w:szCs w:val="30"/>
        </w:rPr>
      </w:pPr>
    </w:p>
    <w:p>
      <w:pPr>
        <w:pStyle w:val="7"/>
        <w:wordWrap w:val="0"/>
        <w:rPr>
          <w:lang w:val="en-US"/>
        </w:rPr>
      </w:pPr>
    </w:p>
    <w:p>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wordWrap w:val="0"/>
        <w:spacing w:line="800" w:lineRule="exact"/>
        <w:rPr>
          <w:rFonts w:ascii="仿宋" w:hAnsi="仿宋" w:eastAsia="仿宋" w:cs="仿宋"/>
          <w:b/>
          <w:sz w:val="24"/>
        </w:rPr>
      </w:pPr>
    </w:p>
    <w:p>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wordWrap w:val="0"/>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wordWrap w:val="0"/>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wordWrap w:val="0"/>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wordWrap w:val="0"/>
        <w:spacing w:line="440" w:lineRule="exact"/>
        <w:rPr>
          <w:rFonts w:ascii="仿宋" w:hAnsi="仿宋" w:eastAsia="仿宋" w:cs="仿宋"/>
          <w:sz w:val="24"/>
        </w:rPr>
      </w:pPr>
      <w:r>
        <w:rPr>
          <w:rFonts w:hint="eastAsia" w:ascii="仿宋" w:hAnsi="仿宋" w:eastAsia="仿宋" w:cs="仿宋"/>
          <w:sz w:val="24"/>
        </w:rPr>
        <w:t>特此证明。</w:t>
      </w:r>
    </w:p>
    <w:p>
      <w:pPr>
        <w:wordWrap w:val="0"/>
        <w:spacing w:line="440" w:lineRule="exact"/>
        <w:rPr>
          <w:rFonts w:ascii="仿宋" w:hAnsi="仿宋" w:eastAsia="仿宋" w:cs="仿宋"/>
          <w:sz w:val="24"/>
        </w:rPr>
      </w:pPr>
    </w:p>
    <w:p>
      <w:pPr>
        <w:wordWrap w:val="0"/>
        <w:spacing w:line="440" w:lineRule="exact"/>
        <w:rPr>
          <w:rFonts w:ascii="仿宋" w:hAnsi="仿宋" w:eastAsia="仿宋" w:cs="仿宋"/>
          <w:sz w:val="24"/>
        </w:rPr>
      </w:pPr>
      <w:r>
        <w:rPr>
          <w:rFonts w:hint="eastAsia" w:ascii="仿宋" w:hAnsi="仿宋" w:eastAsia="仿宋" w:cs="仿宋"/>
          <w:sz w:val="24"/>
        </w:rPr>
        <w:t>投标人名称：                             （电子签章）</w:t>
      </w:r>
    </w:p>
    <w:p>
      <w:pPr>
        <w:wordWrap w:val="0"/>
        <w:spacing w:line="440" w:lineRule="exact"/>
        <w:ind w:right="480"/>
        <w:rPr>
          <w:rFonts w:ascii="仿宋" w:hAnsi="仿宋" w:eastAsia="仿宋" w:cs="仿宋"/>
          <w:sz w:val="24"/>
        </w:rPr>
      </w:pPr>
    </w:p>
    <w:p>
      <w:pPr>
        <w:wordWrap w:val="0"/>
        <w:spacing w:line="440" w:lineRule="exact"/>
        <w:ind w:right="720"/>
        <w:jc w:val="right"/>
        <w:rPr>
          <w:rFonts w:ascii="仿宋" w:hAnsi="仿宋" w:eastAsia="仿宋" w:cs="仿宋"/>
          <w:sz w:val="24"/>
        </w:rPr>
      </w:pPr>
      <w:r>
        <w:rPr>
          <w:rFonts w:hint="eastAsia" w:ascii="仿宋" w:hAnsi="仿宋" w:eastAsia="仿宋" w:cs="仿宋"/>
          <w:sz w:val="24"/>
        </w:rPr>
        <w:t>年   月   日</w:t>
      </w: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wordWrap w:val="0"/>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wordWrap w:val="0"/>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wordWrap w:val="0"/>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bl>
    <w:p>
      <w:pPr>
        <w:wordWrap w:val="0"/>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wordWrap w:val="0"/>
        <w:jc w:val="center"/>
        <w:rPr>
          <w:rFonts w:ascii="仿宋" w:hAnsi="仿宋" w:eastAsia="仿宋" w:cs="仿宋"/>
          <w:b/>
          <w:kern w:val="0"/>
          <w:sz w:val="32"/>
          <w:szCs w:val="32"/>
        </w:rPr>
      </w:pP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ind w:firstLine="1911" w:firstLineChars="595"/>
        <w:rPr>
          <w:rFonts w:ascii="仿宋" w:hAnsi="仿宋" w:eastAsia="仿宋" w:cs="仿宋"/>
          <w:b/>
          <w:bCs/>
          <w:sz w:val="32"/>
          <w:szCs w:val="32"/>
        </w:rPr>
      </w:pPr>
    </w:p>
    <w:p>
      <w:pPr>
        <w:pageBreakBefore/>
        <w:widowControl/>
        <w:tabs>
          <w:tab w:val="left" w:pos="1538"/>
          <w:tab w:val="center" w:pos="4541"/>
        </w:tabs>
        <w:wordWrap w:val="0"/>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wordWrap w:val="0"/>
        <w:snapToGrid w:val="0"/>
        <w:spacing w:line="360" w:lineRule="auto"/>
        <w:rPr>
          <w:rFonts w:ascii="仿宋" w:hAnsi="仿宋" w:eastAsia="仿宋" w:cs="仿宋"/>
          <w:sz w:val="24"/>
        </w:rPr>
      </w:pPr>
    </w:p>
    <w:p>
      <w:pPr>
        <w:wordWrap w:val="0"/>
        <w:snapToGrid w:val="0"/>
        <w:spacing w:line="360" w:lineRule="auto"/>
        <w:rPr>
          <w:rFonts w:ascii="仿宋" w:hAnsi="仿宋" w:eastAsia="仿宋" w:cs="仿宋"/>
          <w:kern w:val="0"/>
          <w:sz w:val="24"/>
        </w:rPr>
      </w:pPr>
      <w:r>
        <w:rPr>
          <w:rFonts w:hint="eastAsia" w:ascii="仿宋" w:hAnsi="仿宋" w:eastAsia="仿宋" w:cs="仿宋"/>
          <w:sz w:val="24"/>
        </w:rPr>
        <w:t>绍兴文理学院、绍兴市公共资源交易中心</w:t>
      </w:r>
      <w:r>
        <w:rPr>
          <w:rFonts w:hint="eastAsia" w:ascii="仿宋" w:hAnsi="仿宋" w:eastAsia="仿宋" w:cs="仿宋"/>
          <w:kern w:val="0"/>
          <w:sz w:val="24"/>
          <w:lang w:val="zh-CN"/>
        </w:rPr>
        <w:t>：</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wordWrap w:val="0"/>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wordWrap w:val="0"/>
        <w:spacing w:line="360" w:lineRule="auto"/>
        <w:jc w:val="center"/>
        <w:rPr>
          <w:rFonts w:ascii="仿宋" w:hAnsi="仿宋" w:eastAsia="仿宋" w:cs="仿宋"/>
          <w:b/>
          <w:bCs/>
          <w:sz w:val="24"/>
        </w:rPr>
      </w:pP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sz w:val="24"/>
        </w:rPr>
      </w:pPr>
    </w:p>
    <w:p>
      <w:pPr>
        <w:wordWrap w:val="0"/>
        <w:autoSpaceDE w:val="0"/>
        <w:autoSpaceDN w:val="0"/>
        <w:spacing w:line="360" w:lineRule="auto"/>
        <w:rPr>
          <w:rFonts w:ascii="仿宋_GB2312" w:hAnsi="仿宋_GB2312" w:eastAsia="仿宋_GB2312" w:cs="仿宋_GB2312"/>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9"/>
        <w:wordWrap w:val="0"/>
        <w:ind w:firstLine="0"/>
        <w:jc w:val="both"/>
        <w:rPr>
          <w:rFonts w:hAnsi="仿宋_GB2312" w:cs="仿宋_GB2312"/>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wordWrap w:val="0"/>
        <w:spacing w:line="360" w:lineRule="auto"/>
        <w:jc w:val="center"/>
        <w:rPr>
          <w:rFonts w:ascii="仿宋_GB2312" w:hAnsi="仿宋_GB2312" w:eastAsia="仿宋_GB2312" w:cs="仿宋_GB2312"/>
          <w:sz w:val="24"/>
        </w:rPr>
      </w:pPr>
    </w:p>
    <w:p>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56" o:title=""/>
            <o:lock v:ext="edit" aspectratio="t"/>
            <w10:wrap type="none"/>
            <w10:anchorlock/>
          </v:shape>
          <o:OLEObject Type="Embed" ProgID="Package" ShapeID="_x0000_i1025" DrawAspect="Content" ObjectID="_1468075725" r:id="rId5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58" o:title=""/>
            <o:lock v:ext="edit" aspectratio="t"/>
            <w10:wrap type="none"/>
            <w10:anchorlock/>
          </v:shape>
          <o:OLEObject Type="Embed" ProgID="Package" ShapeID="_x0000_i1026" DrawAspect="Content" ObjectID="_1468075726" r:id="rId57">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kern w:val="0"/>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rPr>
          <w:rFonts w:ascii="仿宋_GB2312" w:hAnsi="仿宋_GB2312" w:eastAsia="仿宋_GB2312" w:cs="仿宋_GB2312"/>
          <w:kern w:val="0"/>
          <w:sz w:val="24"/>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1"/>
        <w:wordWrap w:val="0"/>
        <w:rPr>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bl>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jc w:val="right"/>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wordWrap w:val="0"/>
        <w:spacing w:line="336" w:lineRule="auto"/>
        <w:ind w:firstLine="3600" w:firstLineChars="1500"/>
        <w:rPr>
          <w:rFonts w:ascii="仿宋" w:hAnsi="仿宋" w:eastAsia="仿宋" w:cs="仿宋"/>
          <w:sz w:val="24"/>
        </w:rPr>
      </w:pPr>
    </w:p>
    <w:p>
      <w:pPr>
        <w:pStyle w:val="81"/>
        <w:wordWrap w:val="0"/>
        <w:rPr>
          <w:color w:val="auto"/>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sz w:val="24"/>
              </w:rPr>
            </w:pPr>
            <w:r>
              <w:rPr>
                <w:rFonts w:hint="eastAsia" w:ascii="仿宋_GB2312" w:hAnsi="仿宋_GB2312" w:eastAsia="仿宋_GB2312" w:cs="仿宋_GB2312"/>
                <w:sz w:val="22"/>
                <w:szCs w:val="22"/>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1"/>
        <w:wordWrap w:val="0"/>
        <w:rPr>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1"/>
        <w:wordWrap w:val="0"/>
        <w:rPr>
          <w:color w:val="auto"/>
        </w:rPr>
      </w:pPr>
    </w:p>
    <w:p>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18"/>
          <w:szCs w:val="18"/>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rPr>
          <w:rFonts w:ascii="仿宋_GB2312" w:hAnsi="仿宋_GB2312" w:eastAsia="仿宋_GB2312" w:cs="仿宋_GB2312"/>
          <w:b/>
          <w:bCs/>
          <w:sz w:val="18"/>
          <w:szCs w:val="18"/>
        </w:rPr>
      </w:pPr>
    </w:p>
    <w:p>
      <w:pPr>
        <w:wordWrap w:val="0"/>
        <w:spacing w:line="360" w:lineRule="auto"/>
        <w:rPr>
          <w:rFonts w:ascii="仿宋_GB2312" w:hAnsi="仿宋_GB2312" w:eastAsia="仿宋_GB2312" w:cs="仿宋_GB2312"/>
          <w:b/>
          <w:bCs/>
          <w:sz w:val="32"/>
          <w:szCs w:val="32"/>
        </w:rPr>
      </w:pPr>
    </w:p>
    <w:p>
      <w:pPr>
        <w:wordWrap w:val="0"/>
        <w:spacing w:line="360" w:lineRule="auto"/>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pStyle w:val="7"/>
        <w:wordWrap w:val="0"/>
        <w:rPr>
          <w:rFonts w:hAnsi="仿宋_GB2312" w:cs="仿宋_GB2312"/>
        </w:rPr>
      </w:pPr>
    </w:p>
    <w:p>
      <w:pPr>
        <w:wordWrap w:val="0"/>
        <w:rPr>
          <w:rFonts w:ascii="仿宋_GB2312" w:hAnsi="仿宋_GB2312" w:eastAsia="仿宋_GB2312" w:cs="仿宋_GB2312"/>
          <w:b/>
          <w:bCs/>
          <w:sz w:val="32"/>
          <w:szCs w:val="32"/>
        </w:rPr>
      </w:pPr>
    </w:p>
    <w:p>
      <w:pPr>
        <w:pStyle w:val="7"/>
        <w:wordWrap w:val="0"/>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jc w:val="center"/>
        <w:rPr>
          <w:rFonts w:ascii="仿宋_GB2312" w:hAnsi="仿宋_GB2312" w:eastAsia="仿宋_GB2312" w:cs="仿宋_GB2312"/>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24"/>
        </w:rPr>
      </w:pPr>
    </w:p>
    <w:p>
      <w:pPr>
        <w:pStyle w:val="81"/>
        <w:wordWrap w:val="0"/>
        <w:rPr>
          <w:color w:val="auto"/>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2"/>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wordWrap w:val="0"/>
        <w:spacing w:line="360" w:lineRule="auto"/>
        <w:jc w:val="center"/>
        <w:outlineLvl w:val="0"/>
        <w:rPr>
          <w:rFonts w:ascii="仿宋" w:hAnsi="仿宋" w:eastAsia="仿宋" w:cs="仿宋"/>
          <w:b/>
          <w:kern w:val="0"/>
          <w:sz w:val="36"/>
          <w:szCs w:val="36"/>
        </w:rPr>
      </w:pPr>
    </w:p>
    <w:p>
      <w:pPr>
        <w:wordWrap w:val="0"/>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wordWrap w:val="0"/>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wordWrap w:val="0"/>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footerReference r:id="rId22" w:type="first"/>
          <w:headerReference r:id="rId20"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wordWrap w:val="0"/>
        <w:snapToGrid w:val="0"/>
        <w:spacing w:line="360" w:lineRule="auto"/>
        <w:rPr>
          <w:rFonts w:ascii="仿宋" w:hAnsi="仿宋" w:eastAsia="仿宋" w:cs="仿宋"/>
          <w:kern w:val="0"/>
          <w:sz w:val="24"/>
        </w:rPr>
      </w:pPr>
      <w:r>
        <w:rPr>
          <w:rFonts w:hint="eastAsia" w:ascii="仿宋" w:hAnsi="仿宋" w:eastAsia="仿宋" w:cs="仿宋"/>
          <w:sz w:val="24"/>
        </w:rPr>
        <w:t>绍兴文理学院、绍兴市公共资源交易中心</w:t>
      </w:r>
      <w:r>
        <w:rPr>
          <w:rFonts w:hint="eastAsia" w:ascii="仿宋" w:hAnsi="仿宋" w:eastAsia="仿宋" w:cs="仿宋"/>
          <w:kern w:val="0"/>
          <w:sz w:val="24"/>
          <w:lang w:val="zh-CN"/>
        </w:rPr>
        <w:t>：</w:t>
      </w:r>
    </w:p>
    <w:p>
      <w:pPr>
        <w:wordWrap w:val="0"/>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绍兴文理学院商学院新大楼家具采购项目</w:t>
      </w:r>
      <w:r>
        <w:rPr>
          <w:rFonts w:hint="eastAsia" w:ascii="仿宋" w:hAnsi="仿宋" w:eastAsia="仿宋" w:cs="仿宋"/>
          <w:kern w:val="0"/>
          <w:sz w:val="24"/>
          <w:lang w:val="zh-CN"/>
        </w:rPr>
        <w:t>【招标编号：</w:t>
      </w:r>
      <w:r>
        <w:rPr>
          <w:rFonts w:hint="eastAsia" w:ascii="仿宋" w:hAnsi="仿宋" w:eastAsia="仿宋" w:cs="仿宋"/>
          <w:sz w:val="24"/>
        </w:rPr>
        <w:t>2025-06-0052】的实施</w:t>
      </w:r>
      <w:r>
        <w:rPr>
          <w:rFonts w:hint="eastAsia" w:ascii="仿宋" w:hAnsi="仿宋" w:eastAsia="仿宋" w:cs="仿宋"/>
          <w:kern w:val="0"/>
          <w:sz w:val="24"/>
          <w:lang w:val="zh-CN"/>
        </w:rPr>
        <w:t>。</w:t>
      </w:r>
    </w:p>
    <w:p>
      <w:pPr>
        <w:wordWrap w:val="0"/>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z w:val="24"/>
              </w:rPr>
            </w:pPr>
            <w:r>
              <w:rPr>
                <w:rFonts w:hint="eastAsia" w:ascii="仿宋" w:hAnsi="仿宋" w:eastAsia="仿宋" w:cs="仿宋"/>
                <w:b/>
                <w:sz w:val="24"/>
              </w:rPr>
              <w:t>品牌（如有）</w:t>
            </w:r>
          </w:p>
        </w:tc>
        <w:tc>
          <w:tcPr>
            <w:tcW w:w="3118"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z w:val="24"/>
              </w:rPr>
            </w:pPr>
            <w:r>
              <w:rPr>
                <w:rFonts w:hint="eastAsia" w:ascii="仿宋" w:hAnsi="仿宋" w:eastAsia="仿宋" w:cs="仿宋"/>
                <w:b/>
                <w:sz w:val="24"/>
              </w:rPr>
              <w:t>备注（如有）</w:t>
            </w:r>
          </w:p>
          <w:p>
            <w:pPr>
              <w:wordWrap w:val="0"/>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wordWrap w:val="0"/>
              <w:snapToGrid w:val="0"/>
              <w:spacing w:line="360" w:lineRule="auto"/>
              <w:jc w:val="center"/>
              <w:rPr>
                <w:rFonts w:ascii="仿宋" w:hAnsi="仿宋" w:eastAsia="仿宋" w:cs="仿宋"/>
                <w:sz w:val="24"/>
              </w:rPr>
            </w:pP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p>
        </w:tc>
        <w:tc>
          <w:tcPr>
            <w:tcW w:w="1417" w:type="dxa"/>
            <w:vAlign w:val="center"/>
          </w:tcPr>
          <w:p>
            <w:pPr>
              <w:wordWrap w:val="0"/>
              <w:snapToGrid w:val="0"/>
              <w:spacing w:line="360" w:lineRule="auto"/>
              <w:jc w:val="center"/>
              <w:rPr>
                <w:rFonts w:ascii="仿宋" w:hAnsi="仿宋" w:eastAsia="仿宋" w:cs="仿宋"/>
                <w:sz w:val="24"/>
              </w:rPr>
            </w:pP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wordWrap w:val="0"/>
              <w:spacing w:line="360" w:lineRule="auto"/>
              <w:jc w:val="center"/>
              <w:rPr>
                <w:rFonts w:ascii="仿宋" w:hAnsi="仿宋" w:eastAsia="仿宋" w:cs="仿宋"/>
                <w:sz w:val="24"/>
              </w:rPr>
            </w:pPr>
          </w:p>
        </w:tc>
      </w:tr>
    </w:tbl>
    <w:p>
      <w:pPr>
        <w:wordWrap w:val="0"/>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pPr>
        <w:pStyle w:val="81"/>
        <w:wordWrap w:val="0"/>
        <w:ind w:firstLine="9600" w:firstLineChars="4000"/>
        <w:rPr>
          <w:color w:val="auto"/>
          <w:lang w:val="zh-CN"/>
        </w:rPr>
      </w:pPr>
      <w:r>
        <w:rPr>
          <w:rFonts w:hint="eastAsia" w:ascii="仿宋" w:hAnsi="仿宋" w:eastAsia="仿宋" w:cs="仿宋"/>
          <w:color w:val="auto"/>
        </w:rPr>
        <w:t>日期：  年   月   日</w:t>
      </w:r>
    </w:p>
    <w:p>
      <w:pPr>
        <w:wordWrap w:val="0"/>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wordWrap w:val="0"/>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wordWrap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 w:hAnsi="仿宋" w:eastAsia="仿宋" w:cs="仿宋"/>
          <w:b/>
          <w:kern w:val="0"/>
          <w:sz w:val="24"/>
        </w:rPr>
      </w:pPr>
    </w:p>
    <w:p>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wordWrap w:val="0"/>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7" w:name="_Hlk101259491"/>
      <w:r>
        <w:rPr>
          <w:rFonts w:hint="eastAsia" w:ascii="仿宋" w:hAnsi="仿宋" w:eastAsia="仿宋" w:cs="仿宋"/>
          <w:sz w:val="32"/>
          <w:szCs w:val="32"/>
        </w:rPr>
        <w:t>（如有）</w:t>
      </w:r>
      <w:bookmarkEnd w:id="47"/>
    </w:p>
    <w:p>
      <w:pPr>
        <w:widowControl/>
        <w:wordWrap w:val="0"/>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wordWrap w:val="0"/>
        <w:rPr>
          <w:rFonts w:ascii="仿宋" w:hAnsi="仿宋" w:eastAsia="仿宋" w:cs="仿宋"/>
          <w:b/>
          <w:color w:val="auto"/>
        </w:rPr>
      </w:pPr>
    </w:p>
    <w:p>
      <w:pPr>
        <w:pStyle w:val="82"/>
        <w:rPr>
          <w:rFonts w:ascii="仿宋" w:hAnsi="仿宋" w:eastAsia="仿宋" w:cs="仿宋"/>
          <w:b/>
          <w:sz w:val="24"/>
        </w:rPr>
      </w:pPr>
    </w:p>
    <w:p>
      <w:pPr>
        <w:wordWrap w:val="0"/>
        <w:rPr>
          <w:rFonts w:ascii="仿宋" w:hAnsi="仿宋" w:eastAsia="仿宋" w:cs="仿宋"/>
          <w:b/>
          <w:sz w:val="24"/>
        </w:rPr>
      </w:pPr>
    </w:p>
    <w:p>
      <w:pPr>
        <w:pStyle w:val="81"/>
        <w:wordWrap w:val="0"/>
        <w:rPr>
          <w:rFonts w:ascii="仿宋" w:hAnsi="仿宋" w:eastAsia="仿宋" w:cs="仿宋"/>
          <w:b/>
          <w:color w:val="auto"/>
        </w:rPr>
      </w:pPr>
    </w:p>
    <w:p>
      <w:pPr>
        <w:pStyle w:val="82"/>
      </w:pPr>
    </w:p>
    <w:p>
      <w:pPr>
        <w:pStyle w:val="82"/>
      </w:pPr>
    </w:p>
    <w:p>
      <w:pPr>
        <w:widowControl/>
        <w:wordWrap w:val="0"/>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pPr>
        <w:widowControl/>
        <w:wordWrap w:val="0"/>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1"/>
        <w:widowControl/>
        <w:wordWrap w:val="0"/>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wordWrap w:val="0"/>
        <w:snapToGrid w:val="0"/>
        <w:spacing w:before="120" w:after="120"/>
        <w:ind w:firstLine="643"/>
        <w:outlineLvl w:val="9"/>
        <w:rPr>
          <w:rFonts w:ascii="仿宋" w:hAnsi="仿宋" w:eastAsia="仿宋" w:cs="仿宋"/>
          <w:b w:val="0"/>
          <w:sz w:val="32"/>
          <w:szCs w:val="32"/>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pStyle w:val="6"/>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rPr>
      </w:pPr>
      <w:bookmarkStart w:id="48" w:name="_Toc465665161"/>
      <w:r>
        <w:rPr>
          <w:rFonts w:hint="eastAsia" w:ascii="仿宋" w:hAnsi="仿宋" w:eastAsia="仿宋" w:cs="仿宋"/>
        </w:rPr>
        <w:t>附件</w:t>
      </w:r>
      <w:bookmarkEnd w:id="48"/>
    </w:p>
    <w:p>
      <w:pPr>
        <w:wordWrap w:val="0"/>
        <w:spacing w:line="360" w:lineRule="auto"/>
        <w:rPr>
          <w:rFonts w:ascii="仿宋" w:hAnsi="仿宋" w:eastAsia="仿宋" w:cs="仿宋"/>
          <w:b/>
          <w:sz w:val="24"/>
        </w:rPr>
      </w:pPr>
    </w:p>
    <w:p>
      <w:pPr>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wordWrap w:val="0"/>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wordWrap w:val="0"/>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wordWrap w:val="0"/>
        <w:snapToGrid w:val="0"/>
        <w:spacing w:line="360" w:lineRule="auto"/>
        <w:rPr>
          <w:rFonts w:ascii="仿宋" w:hAnsi="仿宋" w:eastAsia="仿宋" w:cs="仿宋"/>
          <w:sz w:val="24"/>
        </w:rPr>
      </w:pPr>
      <w:r>
        <w:rPr>
          <w:rFonts w:hint="eastAsia" w:ascii="仿宋" w:hAnsi="仿宋" w:eastAsia="仿宋" w:cs="仿宋"/>
          <w:sz w:val="24"/>
        </w:rPr>
        <w:t>……</w:t>
      </w:r>
    </w:p>
    <w:p>
      <w:pPr>
        <w:wordWrap w:val="0"/>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pPr>
        <w:wordWrap w:val="0"/>
        <w:spacing w:line="360" w:lineRule="auto"/>
        <w:rPr>
          <w:rFonts w:ascii="仿宋" w:hAnsi="仿宋" w:eastAsia="仿宋" w:cs="仿宋"/>
          <w:sz w:val="24"/>
        </w:rPr>
      </w:pPr>
      <w:r>
        <w:rPr>
          <w:rFonts w:hint="eastAsia" w:ascii="仿宋" w:hAnsi="仿宋" w:eastAsia="仿宋" w:cs="仿宋"/>
          <w:sz w:val="24"/>
        </w:rPr>
        <w:t xml:space="preserve">日期：    </w:t>
      </w:r>
    </w:p>
    <w:p>
      <w:pPr>
        <w:wordWrap w:val="0"/>
        <w:spacing w:line="360" w:lineRule="auto"/>
        <w:jc w:val="center"/>
        <w:rPr>
          <w:rFonts w:ascii="仿宋" w:hAnsi="仿宋" w:eastAsia="仿宋" w:cs="仿宋"/>
          <w:b/>
          <w:bCs/>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r>
        <w:rPr>
          <w:rFonts w:hint="eastAsia" w:ascii="仿宋" w:hAnsi="仿宋" w:eastAsia="仿宋" w:cs="仿宋"/>
          <w:b/>
          <w:sz w:val="24"/>
        </w:rPr>
        <w:t>质疑函制作说明：</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 w:hAnsi="仿宋" w:eastAsia="仿宋" w:cs="仿宋"/>
          <w:sz w:val="30"/>
          <w:szCs w:val="30"/>
        </w:rPr>
      </w:pPr>
    </w:p>
    <w:p>
      <w:pPr>
        <w:wordWrap w:val="0"/>
        <w:spacing w:line="360" w:lineRule="auto"/>
        <w:jc w:val="center"/>
        <w:rPr>
          <w:rFonts w:ascii="仿宋" w:hAnsi="仿宋" w:eastAsia="仿宋" w:cs="仿宋"/>
          <w:b/>
          <w:spacing w:val="6"/>
          <w:sz w:val="32"/>
          <w:szCs w:val="32"/>
        </w:rPr>
      </w:pPr>
    </w:p>
    <w:p>
      <w:pPr>
        <w:wordWrap w:val="0"/>
        <w:spacing w:line="360" w:lineRule="auto"/>
        <w:jc w:val="center"/>
        <w:rPr>
          <w:rFonts w:ascii="仿宋" w:hAnsi="仿宋" w:eastAsia="仿宋" w:cs="仿宋"/>
          <w:b/>
          <w:spacing w:val="6"/>
          <w:sz w:val="32"/>
          <w:szCs w:val="32"/>
        </w:rPr>
      </w:pPr>
    </w:p>
    <w:p>
      <w:pPr>
        <w:pageBreakBefore/>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wordWrap w:val="0"/>
        <w:spacing w:line="360" w:lineRule="auto"/>
        <w:rPr>
          <w:rFonts w:ascii="仿宋" w:hAnsi="仿宋" w:eastAsia="仿宋" w:cs="仿宋"/>
          <w:sz w:val="24"/>
        </w:rPr>
      </w:pPr>
      <w:r>
        <w:rPr>
          <w:rFonts w:hint="eastAsia" w:ascii="仿宋" w:hAnsi="仿宋" w:eastAsia="仿宋" w:cs="仿宋"/>
          <w:sz w:val="24"/>
        </w:rPr>
        <w:t>一、投诉相关主体基本情况</w:t>
      </w:r>
    </w:p>
    <w:p>
      <w:pPr>
        <w:wordWrap w:val="0"/>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wordWrap w:val="0"/>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wordWrap w:val="0"/>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rPr>
      </w:pPr>
      <w:r>
        <w:rPr>
          <w:rFonts w:hint="eastAsia" w:ascii="仿宋" w:hAnsi="仿宋" w:eastAsia="仿宋" w:cs="仿宋"/>
          <w:sz w:val="24"/>
        </w:rPr>
        <w:t>被投诉人2</w:t>
      </w:r>
    </w:p>
    <w:p>
      <w:pPr>
        <w:wordWrap w:val="0"/>
        <w:spacing w:line="360" w:lineRule="auto"/>
        <w:rPr>
          <w:rFonts w:ascii="仿宋" w:hAnsi="仿宋" w:eastAsia="仿宋" w:cs="仿宋"/>
          <w:sz w:val="24"/>
          <w:u w:val="dotted"/>
        </w:rPr>
      </w:pPr>
      <w:r>
        <w:rPr>
          <w:rFonts w:hint="eastAsia" w:ascii="仿宋" w:hAnsi="仿宋" w:eastAsia="仿宋" w:cs="仿宋"/>
          <w:sz w:val="24"/>
        </w:rPr>
        <w:t>……</w:t>
      </w:r>
    </w:p>
    <w:p>
      <w:pPr>
        <w:wordWrap w:val="0"/>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rPr>
      </w:pPr>
      <w:r>
        <w:rPr>
          <w:rFonts w:hint="eastAsia" w:ascii="仿宋" w:hAnsi="仿宋" w:eastAsia="仿宋" w:cs="仿宋"/>
          <w:sz w:val="24"/>
        </w:rPr>
        <w:t>二、投诉项目基本情况</w:t>
      </w:r>
    </w:p>
    <w:p>
      <w:pPr>
        <w:wordWrap w:val="0"/>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三、质疑基本情况</w:t>
      </w:r>
    </w:p>
    <w:p>
      <w:pPr>
        <w:wordWrap w:val="0"/>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wordWrap w:val="0"/>
        <w:spacing w:line="360" w:lineRule="auto"/>
        <w:rPr>
          <w:rFonts w:ascii="仿宋" w:hAnsi="仿宋" w:eastAsia="仿宋" w:cs="仿宋"/>
          <w:sz w:val="24"/>
        </w:rPr>
      </w:pPr>
      <w:r>
        <w:rPr>
          <w:rFonts w:hint="eastAsia" w:ascii="仿宋" w:hAnsi="仿宋" w:eastAsia="仿宋" w:cs="仿宋"/>
          <w:sz w:val="24"/>
        </w:rPr>
        <w:t>四、投诉事项具体内容</w:t>
      </w:r>
    </w:p>
    <w:p>
      <w:pPr>
        <w:wordWrap w:val="0"/>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投诉事项2</w:t>
      </w:r>
    </w:p>
    <w:p>
      <w:pPr>
        <w:wordWrap w:val="0"/>
        <w:spacing w:line="360" w:lineRule="auto"/>
        <w:rPr>
          <w:rFonts w:ascii="仿宋" w:hAnsi="仿宋" w:eastAsia="仿宋" w:cs="仿宋"/>
          <w:sz w:val="24"/>
          <w:u w:val="dotted"/>
        </w:rPr>
      </w:pPr>
      <w:r>
        <w:rPr>
          <w:rFonts w:hint="eastAsia" w:ascii="仿宋" w:hAnsi="仿宋" w:eastAsia="仿宋" w:cs="仿宋"/>
          <w:sz w:val="24"/>
        </w:rPr>
        <w:t>……</w:t>
      </w:r>
    </w:p>
    <w:p>
      <w:pPr>
        <w:wordWrap w:val="0"/>
        <w:spacing w:line="360" w:lineRule="auto"/>
        <w:rPr>
          <w:rFonts w:ascii="仿宋" w:hAnsi="仿宋" w:eastAsia="仿宋" w:cs="仿宋"/>
          <w:sz w:val="24"/>
        </w:rPr>
      </w:pPr>
      <w:r>
        <w:rPr>
          <w:rFonts w:hint="eastAsia" w:ascii="仿宋" w:hAnsi="仿宋" w:eastAsia="仿宋" w:cs="仿宋"/>
          <w:sz w:val="24"/>
        </w:rPr>
        <w:t>五、与投诉事项相关的投诉请求</w:t>
      </w:r>
    </w:p>
    <w:p>
      <w:pPr>
        <w:wordWrap w:val="0"/>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 xml:space="preserve">                                                                                                    </w:t>
      </w:r>
    </w:p>
    <w:p>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pPr>
        <w:wordWrap w:val="0"/>
        <w:spacing w:line="360" w:lineRule="auto"/>
        <w:rPr>
          <w:rFonts w:ascii="仿宋" w:hAnsi="仿宋" w:eastAsia="仿宋" w:cs="仿宋"/>
          <w:sz w:val="24"/>
        </w:rPr>
      </w:pPr>
      <w:r>
        <w:rPr>
          <w:rFonts w:hint="eastAsia" w:ascii="仿宋" w:hAnsi="仿宋" w:eastAsia="仿宋" w:cs="仿宋"/>
          <w:sz w:val="24"/>
        </w:rPr>
        <w:t xml:space="preserve">日期：    </w:t>
      </w:r>
    </w:p>
    <w:p>
      <w:pPr>
        <w:wordWrap w:val="0"/>
        <w:spacing w:line="360" w:lineRule="auto"/>
        <w:rPr>
          <w:rFonts w:ascii="仿宋" w:hAnsi="仿宋" w:eastAsia="仿宋" w:cs="仿宋"/>
          <w:b/>
          <w:sz w:val="24"/>
        </w:rPr>
      </w:pPr>
      <w:r>
        <w:rPr>
          <w:rFonts w:hint="eastAsia" w:ascii="仿宋" w:hAnsi="仿宋" w:eastAsia="仿宋" w:cs="仿宋"/>
          <w:b/>
          <w:sz w:val="24"/>
        </w:rPr>
        <w:t>投诉书制作说明：</w:t>
      </w:r>
    </w:p>
    <w:p>
      <w:pPr>
        <w:widowControl/>
        <w:wordWrap w:val="0"/>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wordWrap w:val="0"/>
        <w:spacing w:line="360" w:lineRule="auto"/>
        <w:ind w:firstLine="480" w:firstLineChars="200"/>
        <w:jc w:val="left"/>
        <w:rPr>
          <w:rFonts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wordWrap w:val="0"/>
        <w:spacing w:line="360" w:lineRule="auto"/>
        <w:rPr>
          <w:rFonts w:ascii="仿宋" w:hAnsi="仿宋" w:eastAsia="仿宋" w:cs="仿宋"/>
          <w:sz w:val="24"/>
          <w:u w:val="single"/>
        </w:rPr>
      </w:pPr>
    </w:p>
    <w:p>
      <w:pPr>
        <w:wordWrap w:val="0"/>
        <w:spacing w:line="360" w:lineRule="auto"/>
        <w:rPr>
          <w:rFonts w:ascii="仿宋" w:hAnsi="仿宋" w:eastAsia="仿宋" w:cs="仿宋"/>
          <w:sz w:val="24"/>
        </w:rPr>
      </w:pPr>
      <w:r>
        <w:rPr>
          <w:rFonts w:hint="eastAsia" w:ascii="仿宋" w:hAnsi="仿宋" w:eastAsia="仿宋" w:cs="仿宋"/>
          <w:sz w:val="24"/>
          <w:u w:val="single"/>
        </w:rPr>
        <w:t>绍兴文理学院、绍兴市公共资源交易中心：</w:t>
      </w:r>
    </w:p>
    <w:p>
      <w:pPr>
        <w:wordWrap w:val="0"/>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你方组织的绍兴文理学院商学院新大楼家具采购项目【招标编号：2025-06-0052】</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wordWrap w:val="0"/>
        <w:spacing w:line="360" w:lineRule="auto"/>
        <w:ind w:firstLine="494"/>
        <w:rPr>
          <w:rFonts w:ascii="仿宋" w:hAnsi="仿宋" w:eastAsia="仿宋" w:cs="仿宋"/>
          <w:sz w:val="24"/>
        </w:rPr>
      </w:pPr>
    </w:p>
    <w:p>
      <w:pPr>
        <w:wordWrap w:val="0"/>
        <w:spacing w:line="360" w:lineRule="auto"/>
        <w:ind w:firstLine="494"/>
        <w:rPr>
          <w:rFonts w:ascii="仿宋" w:hAnsi="仿宋" w:eastAsia="仿宋" w:cs="仿宋"/>
          <w:sz w:val="24"/>
        </w:rPr>
      </w:pPr>
    </w:p>
    <w:p>
      <w:pPr>
        <w:wordWrap w:val="0"/>
        <w:spacing w:line="360" w:lineRule="auto"/>
        <w:ind w:firstLine="494"/>
        <w:rPr>
          <w:rFonts w:ascii="仿宋" w:hAnsi="仿宋" w:eastAsia="仿宋" w:cs="仿宋"/>
          <w:sz w:val="24"/>
        </w:rPr>
      </w:pPr>
    </w:p>
    <w:p>
      <w:pPr>
        <w:wordWrap w:val="0"/>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wordWrap w:val="0"/>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1"/>
        <w:wordWrap w:val="0"/>
        <w:rPr>
          <w:color w:val="auto"/>
        </w:rPr>
      </w:pPr>
    </w:p>
    <w:p>
      <w:pPr>
        <w:wordWrap w:val="0"/>
        <w:rPr>
          <w:rFonts w:ascii="仿宋" w:hAnsi="仿宋" w:eastAsia="仿宋" w:cs="仿宋"/>
          <w:sz w:val="24"/>
        </w:rPr>
      </w:pPr>
      <w:r>
        <w:rPr>
          <w:rFonts w:hint="eastAsia" w:ascii="仿宋" w:hAnsi="仿宋" w:eastAsia="仿宋" w:cs="仿宋"/>
          <w:b/>
          <w:bCs/>
          <w:sz w:val="24"/>
        </w:rPr>
        <w:t>附：</w:t>
      </w:r>
    </w:p>
    <w:p>
      <w:pPr>
        <w:wordWrap w:val="0"/>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879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285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889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275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绍兴文理学院商学院新大楼家具采购项目【招标编号：2025-06-0052】</w:t>
      </w:r>
      <w:r>
        <w:rPr>
          <w:rFonts w:hint="eastAsia" w:ascii="仿宋" w:hAnsi="仿宋" w:eastAsia="仿宋" w:cs="仿宋"/>
          <w:kern w:val="0"/>
          <w:sz w:val="24"/>
          <w:lang w:val="zh-CN"/>
        </w:rPr>
        <w:t xml:space="preserve">投标。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wordWrap w:val="0"/>
        <w:snapToGrid w:val="0"/>
        <w:spacing w:line="360" w:lineRule="auto"/>
        <w:ind w:firstLine="576"/>
        <w:rPr>
          <w:rFonts w:ascii="仿宋" w:hAnsi="仿宋" w:eastAsia="仿宋" w:cs="仿宋"/>
          <w:kern w:val="0"/>
          <w:sz w:val="24"/>
          <w:lang w:val="zh-CN"/>
        </w:rPr>
      </w:pPr>
      <w:bookmarkStart w:id="4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49"/>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snapToGrid w:val="0"/>
        <w:spacing w:line="360" w:lineRule="auto"/>
        <w:jc w:val="center"/>
        <w:outlineLvl w:val="0"/>
        <w:rPr>
          <w:rFonts w:ascii="仿宋" w:hAnsi="仿宋" w:eastAsia="仿宋" w:cs="仿宋"/>
          <w:b/>
          <w:kern w:val="0"/>
          <w:sz w:val="32"/>
          <w:szCs w:val="32"/>
        </w:rPr>
      </w:pPr>
    </w:p>
    <w:p>
      <w:pPr>
        <w:wordWrap w:val="0"/>
        <w:snapToGrid w:val="0"/>
        <w:spacing w:line="360" w:lineRule="auto"/>
        <w:jc w:val="center"/>
        <w:outlineLvl w:val="0"/>
        <w:rPr>
          <w:rFonts w:ascii="仿宋" w:hAnsi="仿宋" w:eastAsia="仿宋" w:cs="仿宋"/>
          <w:b/>
          <w:kern w:val="0"/>
          <w:sz w:val="32"/>
          <w:szCs w:val="32"/>
        </w:rPr>
      </w:pPr>
    </w:p>
    <w:p>
      <w:pPr>
        <w:wordWrap w:val="0"/>
        <w:snapToGrid w:val="0"/>
        <w:spacing w:line="360" w:lineRule="auto"/>
        <w:jc w:val="center"/>
        <w:outlineLvl w:val="0"/>
        <w:rPr>
          <w:rFonts w:ascii="仿宋" w:hAnsi="仿宋" w:eastAsia="仿宋" w:cs="仿宋"/>
          <w:b/>
          <w:kern w:val="0"/>
          <w:sz w:val="32"/>
          <w:szCs w:val="32"/>
        </w:rPr>
      </w:pPr>
    </w:p>
    <w:p>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wordWrap w:val="0"/>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绍兴文理学院商学院新大楼家具采购项目【招标编号：2025-06-0052】</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7"/>
        <w:wordWrap w:val="0"/>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wordWrap w:val="0"/>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0"/>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wordWrap w:val="0"/>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wordWrap w:val="0"/>
        <w:snapToGrid w:val="0"/>
        <w:spacing w:line="360" w:lineRule="auto"/>
        <w:ind w:firstLine="576"/>
        <w:rPr>
          <w:rFonts w:ascii="仿宋" w:hAnsi="仿宋" w:eastAsia="仿宋" w:cs="仿宋"/>
          <w:kern w:val="0"/>
          <w:sz w:val="24"/>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wordWrap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pStyle w:val="81"/>
        <w:wordWrap w:val="0"/>
        <w:rPr>
          <w:rFonts w:ascii="仿宋" w:hAnsi="仿宋" w:eastAsia="仿宋" w:cs="仿宋"/>
          <w:b/>
          <w:color w:val="auto"/>
          <w:spacing w:val="6"/>
          <w:sz w:val="32"/>
          <w:szCs w:val="32"/>
        </w:rPr>
      </w:pPr>
    </w:p>
    <w:p>
      <w:pPr>
        <w:pStyle w:val="82"/>
        <w:rPr>
          <w:rFonts w:ascii="仿宋" w:hAnsi="仿宋" w:eastAsia="仿宋" w:cs="仿宋"/>
          <w:b/>
          <w:spacing w:val="6"/>
          <w:sz w:val="32"/>
          <w:szCs w:val="32"/>
        </w:rPr>
      </w:pPr>
    </w:p>
    <w:p>
      <w:pPr>
        <w:wordWrap w:val="0"/>
        <w:rPr>
          <w:rFonts w:ascii="仿宋" w:hAnsi="仿宋" w:eastAsia="仿宋" w:cs="仿宋"/>
          <w:b/>
          <w:spacing w:val="6"/>
          <w:sz w:val="32"/>
          <w:szCs w:val="32"/>
        </w:rPr>
      </w:pPr>
    </w:p>
    <w:p>
      <w:pPr>
        <w:pStyle w:val="81"/>
        <w:wordWrap w:val="0"/>
        <w:rPr>
          <w:rFonts w:ascii="仿宋" w:hAnsi="仿宋" w:eastAsia="仿宋" w:cs="仿宋"/>
          <w:b/>
          <w:color w:val="auto"/>
          <w:spacing w:val="6"/>
          <w:sz w:val="32"/>
          <w:szCs w:val="32"/>
        </w:rPr>
      </w:pPr>
    </w:p>
    <w:p>
      <w:pPr>
        <w:pStyle w:val="82"/>
      </w:pPr>
    </w:p>
    <w:p>
      <w:pPr>
        <w:wordWrap w:val="0"/>
        <w:spacing w:line="360" w:lineRule="auto"/>
        <w:rPr>
          <w:rFonts w:ascii="仿宋" w:hAnsi="仿宋" w:eastAsia="仿宋" w:cs="仿宋"/>
          <w:b/>
          <w:spacing w:val="6"/>
          <w:sz w:val="32"/>
          <w:szCs w:val="32"/>
        </w:rPr>
      </w:pPr>
      <w:bookmarkStart w:id="51" w:name="OLE_LINK14"/>
      <w:bookmarkStart w:id="52" w:name="OLE_LINK13"/>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1"/>
    <w:bookmarkEnd w:id="52"/>
    <w:p>
      <w:pPr>
        <w:wordWrap w:val="0"/>
        <w:spacing w:line="360" w:lineRule="auto"/>
        <w:rPr>
          <w:rFonts w:ascii="仿宋" w:hAnsi="仿宋" w:eastAsia="仿宋" w:cs="仿宋"/>
          <w:b/>
          <w:spacing w:val="6"/>
          <w:sz w:val="30"/>
          <w:szCs w:val="30"/>
        </w:rPr>
      </w:pP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绍兴文理学院</w:t>
      </w:r>
      <w:r>
        <w:rPr>
          <w:rFonts w:hint="eastAsia" w:ascii="仿宋" w:hAnsi="仿宋" w:eastAsia="仿宋" w:cs="仿宋"/>
          <w:sz w:val="24"/>
        </w:rPr>
        <w:t>_单位的_</w:t>
      </w:r>
      <w:r>
        <w:rPr>
          <w:rFonts w:hint="eastAsia" w:ascii="仿宋" w:hAnsi="仿宋" w:eastAsia="仿宋" w:cs="仿宋"/>
          <w:sz w:val="24"/>
          <w:u w:val="single"/>
        </w:rPr>
        <w:t>绍兴文理学院商学院新大楼家具采购项目</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wordWrap w:val="0"/>
        <w:spacing w:line="360" w:lineRule="auto"/>
        <w:ind w:firstLine="480" w:firstLineChars="200"/>
        <w:rPr>
          <w:rFonts w:ascii="仿宋" w:hAnsi="仿宋" w:eastAsia="仿宋" w:cs="仿宋"/>
          <w:sz w:val="24"/>
        </w:rPr>
      </w:pPr>
    </w:p>
    <w:p>
      <w:pPr>
        <w:wordWrap w:val="0"/>
        <w:spacing w:line="360" w:lineRule="auto"/>
        <w:ind w:firstLine="480" w:firstLineChars="200"/>
        <w:rPr>
          <w:rFonts w:ascii="仿宋" w:hAnsi="仿宋" w:eastAsia="仿宋" w:cs="仿宋"/>
          <w:sz w:val="24"/>
        </w:rPr>
      </w:pPr>
    </w:p>
    <w:p>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wordWrap w:val="0"/>
        <w:spacing w:line="360" w:lineRule="auto"/>
        <w:jc w:val="center"/>
        <w:rPr>
          <w:rFonts w:ascii="仿宋" w:hAnsi="仿宋" w:eastAsia="仿宋" w:cs="仿宋"/>
          <w:sz w:val="24"/>
          <w:u w:val="single"/>
        </w:rPr>
      </w:pPr>
    </w:p>
    <w:p>
      <w:pPr>
        <w:wordWrap w:val="0"/>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绍兴文理学院 </w:t>
      </w:r>
      <w:r>
        <w:rPr>
          <w:rFonts w:hint="eastAsia" w:ascii="仿宋" w:hAnsi="仿宋" w:eastAsia="仿宋" w:cs="仿宋"/>
          <w:sz w:val="24"/>
        </w:rPr>
        <w:t xml:space="preserve">的 </w:t>
      </w:r>
      <w:r>
        <w:rPr>
          <w:rFonts w:hint="eastAsia" w:ascii="仿宋" w:hAnsi="仿宋" w:eastAsia="仿宋" w:cs="仿宋"/>
          <w:sz w:val="24"/>
          <w:u w:val="single"/>
        </w:rPr>
        <w:t>绍兴文理学院商学院新大楼家具采购项目</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wordWrap w:val="0"/>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ordWrap w:val="0"/>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pageBreakBefore/>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4"/>
        <w:wordWrap w:val="0"/>
        <w:rPr>
          <w:lang w:val="en-US"/>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wordWrap w:val="0"/>
        <w:jc w:val="left"/>
        <w:rPr>
          <w:rFonts w:ascii="仿宋" w:hAnsi="仿宋" w:eastAsia="仿宋" w:cs="仿宋"/>
          <w:kern w:val="0"/>
          <w:sz w:val="24"/>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wordWrap w:val="0"/>
        <w:jc w:val="left"/>
        <w:rPr>
          <w:rFonts w:ascii="仿宋" w:hAnsi="仿宋" w:eastAsia="仿宋" w:cs="仿宋"/>
          <w:kern w:val="0"/>
          <w:sz w:val="24"/>
        </w:rPr>
      </w:pPr>
    </w:p>
    <w:p>
      <w:pPr>
        <w:widowControl/>
        <w:wordWrap w:val="0"/>
        <w:jc w:val="left"/>
        <w:rPr>
          <w:rFonts w:ascii="仿宋" w:hAnsi="仿宋" w:eastAsia="仿宋" w:cs="仿宋"/>
          <w:kern w:val="0"/>
          <w:sz w:val="24"/>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wordWrap w:val="0"/>
        <w:jc w:val="left"/>
        <w:rPr>
          <w:rFonts w:ascii="仿宋" w:hAnsi="仿宋" w:eastAsia="仿宋" w:cs="仿宋"/>
          <w:kern w:val="0"/>
          <w:sz w:val="18"/>
          <w:szCs w:val="18"/>
        </w:rPr>
      </w:pPr>
    </w:p>
    <w:p>
      <w:pPr>
        <w:widowControl/>
        <w:wordWrap w:val="0"/>
        <w:jc w:val="left"/>
        <w:rPr>
          <w:rFonts w:ascii="仿宋" w:hAnsi="仿宋" w:eastAsia="仿宋" w:cs="仿宋"/>
          <w:kern w:val="0"/>
          <w:sz w:val="18"/>
          <w:szCs w:val="18"/>
        </w:rPr>
      </w:pPr>
    </w:p>
    <w:p>
      <w:pPr>
        <w:widowControl/>
        <w:wordWrap w:val="0"/>
        <w:jc w:val="left"/>
        <w:rPr>
          <w:rFonts w:ascii="仿宋" w:hAnsi="仿宋" w:eastAsia="仿宋" w:cs="仿宋"/>
          <w:kern w:val="0"/>
          <w:sz w:val="18"/>
          <w:szCs w:val="18"/>
        </w:rPr>
      </w:pP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bl>
    <w:p>
      <w:pPr>
        <w:wordWrap w:val="0"/>
        <w:rPr>
          <w:rFonts w:ascii="仿宋" w:hAnsi="仿宋" w:eastAsia="仿宋" w:cs="仿宋"/>
          <w:sz w:val="24"/>
        </w:rPr>
      </w:pPr>
    </w:p>
    <w:p>
      <w:pPr>
        <w:wordWrap w:val="0"/>
        <w:ind w:firstLine="420" w:firstLineChars="200"/>
        <w:rPr>
          <w:rFonts w:ascii="仿宋" w:hAnsi="仿宋" w:eastAsia="仿宋" w:cs="仿宋"/>
        </w:rPr>
      </w:pPr>
    </w:p>
    <w:p>
      <w:pPr>
        <w:wordWrap w:val="0"/>
        <w:spacing w:line="360" w:lineRule="auto"/>
        <w:ind w:right="420"/>
        <w:rPr>
          <w:rFonts w:ascii="仿宋" w:hAnsi="仿宋" w:eastAsia="仿宋" w:cs="仿宋"/>
        </w:rPr>
      </w:pPr>
    </w:p>
    <w:p>
      <w:pPr>
        <w:wordWrap w:val="0"/>
        <w:spacing w:line="360" w:lineRule="auto"/>
        <w:rPr>
          <w:rFonts w:ascii="宋体" w:hAnsi="宋体" w:cs="宋体"/>
          <w:bCs/>
          <w:sz w:val="24"/>
        </w:rPr>
      </w:pPr>
    </w:p>
    <w:p>
      <w:pPr>
        <w:wordWrap w:val="0"/>
        <w:spacing w:line="360" w:lineRule="auto"/>
        <w:jc w:val="center"/>
        <w:rPr>
          <w:rFonts w:ascii="宋体" w:hAnsi="宋体" w:cs="宋体"/>
          <w:b/>
          <w:sz w:val="32"/>
          <w:szCs w:val="32"/>
        </w:rPr>
      </w:pPr>
    </w:p>
    <w:p>
      <w:pPr>
        <w:wordWrap w:val="0"/>
        <w:spacing w:line="360" w:lineRule="auto"/>
        <w:rPr>
          <w:rFonts w:ascii="宋体" w:hAnsi="宋体" w:cs="宋体"/>
          <w:bCs/>
          <w:sz w:val="24"/>
        </w:rPr>
      </w:pPr>
    </w:p>
    <w:sectPr>
      <w:footerReference r:id="rId25" w:type="firs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p>
    <w:pPr>
      <w:pStyle w:val="41"/>
      <w:ind w:left="720"/>
      <w:jc w:val="both"/>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i/>
        <w:u w:val="single"/>
      </w:rPr>
    </w:pPr>
    <w:r>
      <w:rPr>
        <w:rFonts w:hint="eastAsia" w:ascii="仿宋" w:hAnsi="仿宋" w:eastAsia="仿宋" w:cs="仿宋"/>
        <w:sz w:val="20"/>
        <w:szCs w:val="20"/>
      </w:rPr>
      <w:t>绍兴市公共资源交易中心                             招标编号:2025-06-0052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i/>
        <w:u w:val="single"/>
      </w:rPr>
    </w:pPr>
    <w:r>
      <w:rPr>
        <w:rFonts w:hint="eastAsia" w:ascii="仿宋" w:hAnsi="仿宋" w:eastAsia="仿宋" w:cs="仿宋"/>
        <w:sz w:val="20"/>
        <w:szCs w:val="20"/>
      </w:rPr>
      <w:t>绍兴市公共资源交易中心                             招标编号:2025-06-0052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ascii="仿宋" w:hAnsi="仿宋" w:eastAsia="仿宋" w:cs="仿宋"/>
        <w:sz w:val="20"/>
        <w:szCs w:val="20"/>
      </w:rPr>
      <w:t>绍兴市公共资源交易中心                             招标编号:2025-06-0052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ascii="仿宋" w:hAnsi="仿宋" w:eastAsia="仿宋" w:cs="仿宋"/>
        <w:sz w:val="20"/>
        <w:szCs w:val="20"/>
      </w:rPr>
      <w:t>绍兴市公共资源交易中心                             招标编号:2025-06-0052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BFE9FE5"/>
    <w:multiLevelType w:val="multilevel"/>
    <w:tmpl w:val="DBFE9FE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53208E"/>
    <w:multiLevelType w:val="singleLevel"/>
    <w:tmpl w:val="0053208E"/>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6C5DCC"/>
    <w:rsid w:val="006C5DCC"/>
    <w:rsid w:val="006C67F7"/>
    <w:rsid w:val="009C7A82"/>
    <w:rsid w:val="00AA1463"/>
    <w:rsid w:val="00D33A1A"/>
    <w:rsid w:val="00E871CE"/>
    <w:rsid w:val="00F6037B"/>
    <w:rsid w:val="02E55505"/>
    <w:rsid w:val="033E089E"/>
    <w:rsid w:val="04230124"/>
    <w:rsid w:val="06D74677"/>
    <w:rsid w:val="082A3A50"/>
    <w:rsid w:val="0983157E"/>
    <w:rsid w:val="09EA1007"/>
    <w:rsid w:val="0AF507FE"/>
    <w:rsid w:val="0AFF5CE0"/>
    <w:rsid w:val="0C1D7BC7"/>
    <w:rsid w:val="0DB20633"/>
    <w:rsid w:val="0FA0239A"/>
    <w:rsid w:val="14127BE9"/>
    <w:rsid w:val="169E17AF"/>
    <w:rsid w:val="1AF0D45A"/>
    <w:rsid w:val="1FBF3881"/>
    <w:rsid w:val="1FCBC4A9"/>
    <w:rsid w:val="1FDF64A5"/>
    <w:rsid w:val="22301CBE"/>
    <w:rsid w:val="223C1063"/>
    <w:rsid w:val="22B52474"/>
    <w:rsid w:val="23384B81"/>
    <w:rsid w:val="26866A58"/>
    <w:rsid w:val="274019B8"/>
    <w:rsid w:val="2CDA6E57"/>
    <w:rsid w:val="2D5704AB"/>
    <w:rsid w:val="329B06D6"/>
    <w:rsid w:val="32BE7A2F"/>
    <w:rsid w:val="34B13775"/>
    <w:rsid w:val="370E5D48"/>
    <w:rsid w:val="37D80F43"/>
    <w:rsid w:val="38647781"/>
    <w:rsid w:val="39A379FE"/>
    <w:rsid w:val="3DF3849B"/>
    <w:rsid w:val="3E51324C"/>
    <w:rsid w:val="3F326AC0"/>
    <w:rsid w:val="3F6D7804"/>
    <w:rsid w:val="3FCE2120"/>
    <w:rsid w:val="3FD5205E"/>
    <w:rsid w:val="3FEFF7E8"/>
    <w:rsid w:val="3FF7BB55"/>
    <w:rsid w:val="3FFCE84F"/>
    <w:rsid w:val="3FFE25DA"/>
    <w:rsid w:val="3FFF5138"/>
    <w:rsid w:val="423715AE"/>
    <w:rsid w:val="42A475CF"/>
    <w:rsid w:val="44007A6B"/>
    <w:rsid w:val="44E70A58"/>
    <w:rsid w:val="45FF8421"/>
    <w:rsid w:val="4B565889"/>
    <w:rsid w:val="4B7E1B2F"/>
    <w:rsid w:val="4D8449EF"/>
    <w:rsid w:val="4D8B2B48"/>
    <w:rsid w:val="4DE4148C"/>
    <w:rsid w:val="4F20277D"/>
    <w:rsid w:val="4F3FEEA3"/>
    <w:rsid w:val="4FA45400"/>
    <w:rsid w:val="4FAE554B"/>
    <w:rsid w:val="4FEEF1CF"/>
    <w:rsid w:val="50C301CB"/>
    <w:rsid w:val="527046E9"/>
    <w:rsid w:val="55E34E9E"/>
    <w:rsid w:val="566FF3A5"/>
    <w:rsid w:val="57DAE6E1"/>
    <w:rsid w:val="5A558E99"/>
    <w:rsid w:val="5BDF3378"/>
    <w:rsid w:val="5CFEE2CC"/>
    <w:rsid w:val="5D7F1DB6"/>
    <w:rsid w:val="5F161E03"/>
    <w:rsid w:val="5F665FB3"/>
    <w:rsid w:val="642152E2"/>
    <w:rsid w:val="643952BD"/>
    <w:rsid w:val="65077AE2"/>
    <w:rsid w:val="67B25DD9"/>
    <w:rsid w:val="67FC8C85"/>
    <w:rsid w:val="68526B56"/>
    <w:rsid w:val="69B5403F"/>
    <w:rsid w:val="6AEF1016"/>
    <w:rsid w:val="6BBFC6AF"/>
    <w:rsid w:val="6BEFF7E4"/>
    <w:rsid w:val="6C702149"/>
    <w:rsid w:val="6E16385B"/>
    <w:rsid w:val="6E5F2F5D"/>
    <w:rsid w:val="6E8622BE"/>
    <w:rsid w:val="729E74BD"/>
    <w:rsid w:val="746E614D"/>
    <w:rsid w:val="769B0165"/>
    <w:rsid w:val="76FBAFF1"/>
    <w:rsid w:val="776E0A3D"/>
    <w:rsid w:val="77C33BE9"/>
    <w:rsid w:val="77FE5760"/>
    <w:rsid w:val="77FF1645"/>
    <w:rsid w:val="781B3398"/>
    <w:rsid w:val="7A5640F9"/>
    <w:rsid w:val="7B34AC69"/>
    <w:rsid w:val="7BFDEE39"/>
    <w:rsid w:val="7BFF9D14"/>
    <w:rsid w:val="7D743BE3"/>
    <w:rsid w:val="7D77A84C"/>
    <w:rsid w:val="7EB7B118"/>
    <w:rsid w:val="7F4DBC21"/>
    <w:rsid w:val="7F5E297C"/>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2"/>
    <w:qFormat/>
    <w:uiPriority w:val="0"/>
    <w:pPr>
      <w:adjustRightInd/>
      <w:spacing w:after="120" w:line="240" w:lineRule="auto"/>
      <w:ind w:left="420" w:leftChars="200" w:firstLine="210"/>
    </w:pPr>
    <w:rPr>
      <w:sz w:val="21"/>
    </w:rPr>
  </w:style>
  <w:style w:type="paragraph" w:styleId="3">
    <w:name w:val="Body Text Indent"/>
    <w:basedOn w:val="1"/>
    <w:next w:val="2"/>
    <w:link w:val="265"/>
    <w:qFormat/>
    <w:uiPriority w:val="0"/>
    <w:pPr>
      <w:spacing w:line="480" w:lineRule="exact"/>
      <w:ind w:firstLine="480" w:firstLineChars="200"/>
    </w:pPr>
    <w:rPr>
      <w:rFonts w:ascii="宋体" w:hAnsi="宋体"/>
      <w:sz w:val="24"/>
    </w:rPr>
  </w:style>
  <w:style w:type="paragraph" w:styleId="4">
    <w:name w:val="Body Text"/>
    <w:basedOn w:val="1"/>
    <w:next w:val="5"/>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annotation text"/>
    <w:basedOn w:val="1"/>
    <w:link w:val="344"/>
    <w:qFormat/>
    <w:uiPriority w:val="99"/>
    <w:pPr>
      <w:jc w:val="left"/>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7"/>
    <w:qFormat/>
    <w:uiPriority w:val="0"/>
    <w:rPr>
      <w:b/>
      <w:bCs/>
    </w:rPr>
  </w:style>
  <w:style w:type="paragraph" w:styleId="62">
    <w:name w:val="Body Text First Indent"/>
    <w:basedOn w:val="4"/>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2"/>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7"/>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5"/>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0"/>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6"/>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1"/>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10"/>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3"/>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10"/>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3"/>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4"/>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9"/>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10"/>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7"/>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8"/>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1"/>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8"/>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10"/>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6"/>
    <w:qFormat/>
    <w:uiPriority w:val="0"/>
    <w:pPr>
      <w:tabs>
        <w:tab w:val="left" w:pos="840"/>
      </w:tabs>
      <w:adjustRightInd/>
      <w:ind w:left="840" w:hanging="420"/>
    </w:pPr>
  </w:style>
  <w:style w:type="paragraph" w:customStyle="1" w:styleId="626">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10"/>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8"/>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6"/>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0.emf"/><Relationship Id="rId57" Type="http://schemas.openxmlformats.org/officeDocument/2006/relationships/oleObject" Target="embeddings/oleObject2.bin"/><Relationship Id="rId56" Type="http://schemas.openxmlformats.org/officeDocument/2006/relationships/image" Target="media/image29.emf"/><Relationship Id="rId55" Type="http://schemas.openxmlformats.org/officeDocument/2006/relationships/oleObject" Target="embeddings/oleObject1.bin"/><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111</Pages>
  <Words>10821</Words>
  <Characters>61681</Characters>
  <Lines>514</Lines>
  <Paragraphs>144</Paragraphs>
  <TotalTime>19</TotalTime>
  <ScaleCrop>false</ScaleCrop>
  <LinksUpToDate>false</LinksUpToDate>
  <CharactersWithSpaces>72358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cp:lastModifiedBy>
  <cp:lastPrinted>2025-07-01T06:11:00Z</cp:lastPrinted>
  <dcterms:modified xsi:type="dcterms:W3CDTF">2025-07-02T10:32:08Z</dcterms:modified>
  <dc:title>杭州市市民卡扩大发卡工程</dc:title>
  <cp:revision>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