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color w:val="auto"/>
          <w:sz w:val="48"/>
          <w:szCs w:val="48"/>
          <w:highlight w:val="none"/>
        </w:rPr>
      </w:pPr>
      <w:bookmarkStart w:id="163" w:name="_GoBack"/>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2024年度绍兴市土地综合整治项目数据填报核查项目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ZJXSC-2024-050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2024年度绍兴市土地综合整治项目数据填报核查项目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05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ZJXSC-2024-050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2024年度绍兴市土地综合整治项目数据填报核查项目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712500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712500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标项名称：2024年度绍兴市土地综合整治项目数据填报核查项目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预算金额：712500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rPr>
        <w:t>①投标人须</w:t>
      </w:r>
      <w:r>
        <w:rPr>
          <w:rFonts w:hint="eastAsia" w:ascii="仿宋" w:hAnsi="仿宋" w:eastAsia="仿宋" w:cs="仿宋"/>
          <w:color w:val="auto"/>
          <w:sz w:val="24"/>
          <w:highlight w:val="none"/>
          <w:lang w:val="en-US" w:eastAsia="zh-CN"/>
        </w:rPr>
        <w:t>同时</w:t>
      </w:r>
      <w:r>
        <w:rPr>
          <w:rFonts w:hint="eastAsia" w:ascii="仿宋" w:hAnsi="仿宋" w:eastAsia="仿宋" w:cs="仿宋"/>
          <w:color w:val="auto"/>
          <w:sz w:val="24"/>
          <w:highlight w:val="none"/>
        </w:rPr>
        <w:t>具有测绘甲级资质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土地规划乙级</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以上资质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若为</w:t>
      </w:r>
      <w:r>
        <w:rPr>
          <w:rFonts w:hint="eastAsia" w:ascii="仿宋" w:hAnsi="仿宋" w:eastAsia="仿宋" w:cs="仿宋"/>
          <w:color w:val="auto"/>
          <w:sz w:val="24"/>
          <w:highlight w:val="none"/>
        </w:rPr>
        <w:t>联合体投标的，</w:t>
      </w:r>
      <w:r>
        <w:rPr>
          <w:rFonts w:hint="eastAsia" w:ascii="仿宋" w:hAnsi="仿宋" w:eastAsia="仿宋" w:cs="仿宋"/>
          <w:color w:val="auto"/>
          <w:sz w:val="24"/>
          <w:highlight w:val="none"/>
          <w:lang w:val="en-US" w:eastAsia="zh-CN"/>
        </w:rPr>
        <w:t>联合体牵头人</w:t>
      </w:r>
      <w:r>
        <w:rPr>
          <w:rFonts w:hint="eastAsia" w:ascii="仿宋" w:hAnsi="仿宋" w:eastAsia="仿宋" w:cs="仿宋"/>
          <w:color w:val="auto"/>
          <w:sz w:val="24"/>
          <w:highlight w:val="none"/>
        </w:rPr>
        <w:t>须</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测绘甲级资质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联合体成员</w:t>
      </w:r>
      <w:r>
        <w:rPr>
          <w:rFonts w:hint="eastAsia" w:ascii="仿宋" w:hAnsi="仿宋" w:eastAsia="仿宋" w:cs="仿宋"/>
          <w:color w:val="auto"/>
          <w:sz w:val="24"/>
          <w:highlight w:val="none"/>
        </w:rPr>
        <w:t>须</w:t>
      </w:r>
      <w:r>
        <w:rPr>
          <w:rFonts w:hint="eastAsia" w:ascii="仿宋" w:hAnsi="仿宋" w:eastAsia="仿宋" w:cs="仿宋"/>
          <w:color w:val="auto"/>
          <w:sz w:val="24"/>
          <w:highlight w:val="none"/>
          <w:lang w:val="en-US" w:eastAsia="zh-CN"/>
        </w:rPr>
        <w:t>具有土地规划乙级及以上资质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②项目负责人需具备高级工程师资格，且为本单位在职职工（在职职工不包括离、退休返聘人员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须提供</w:t>
      </w:r>
      <w:r>
        <w:rPr>
          <w:rFonts w:hint="eastAsia" w:ascii="仿宋" w:hAnsi="仿宋" w:eastAsia="仿宋" w:cs="仿宋"/>
          <w:color w:val="auto"/>
          <w:sz w:val="24"/>
          <w:highlight w:val="none"/>
          <w:lang w:eastAsia="zh-CN"/>
        </w:rPr>
        <w:t>投标截止时间前3个月的投标人所属社保机构养老保险交纳清单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③联合体成员数量不得超过2个，联合体各方不得再以自己名义单独或加入其他联合体对本项目进行投标；</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highlight w:val="none"/>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绍兴市自然资源和规划局</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址：绍兴市越城区解放大道99号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项目联系人（询问）：袁贤峰</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项目联系方式（询问）：0575-88051037</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质疑联系人：王国栋</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88010709</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项目联系人（询问）：陈超莹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项目联系方式（询问）：0575-88979685/15068509493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highlight w:val="none"/>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2024年度绍兴市土地综合整治项目数据填报核查项目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75236011"/>
      <w:bookmarkEnd w:id="21"/>
      <w:bookmarkStart w:id="22" w:name="_Hlt74714665"/>
      <w:bookmarkEnd w:id="22"/>
      <w:bookmarkStart w:id="23" w:name="_Hlt74730295"/>
      <w:bookmarkEnd w:id="23"/>
      <w:bookmarkStart w:id="24" w:name="_Hlt68072990"/>
      <w:bookmarkEnd w:id="24"/>
      <w:bookmarkStart w:id="25" w:name="_Hlt68072998"/>
      <w:bookmarkEnd w:id="25"/>
      <w:bookmarkStart w:id="26" w:name="_Hlt68073093"/>
      <w:bookmarkEnd w:id="26"/>
      <w:bookmarkStart w:id="27" w:name="_Hlt74729768"/>
      <w:bookmarkEnd w:id="27"/>
      <w:bookmarkStart w:id="28" w:name="_Hlt75236290"/>
      <w:bookmarkEnd w:id="28"/>
      <w:bookmarkStart w:id="29" w:name="_Hlt74707468"/>
      <w:bookmarkEnd w:id="29"/>
      <w:bookmarkStart w:id="30" w:name="_Hlt68403820"/>
      <w:bookmarkEnd w:id="30"/>
      <w:bookmarkStart w:id="31" w:name="_Hlt7523610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tabs>
          <w:tab w:val="left" w:pos="1365"/>
        </w:tabs>
        <w:spacing w:line="360" w:lineRule="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1.项目背景</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自然资源厅关于印发&lt;浙江省土地综合整治全过程管理办法（试行）&gt;的通知》(浙自然资规〔2023〕21号)、《浙江省土地综合整治工作领导小组办公室关于印发&lt;浙江省土地综合整治工程2024年工作计划&gt;的通知》（浙土综整办〔2024〕4号）、《浙江省土地综合整治工作领导小组办公室关于严格规范士地综合整治工程数据填报工作的通知》等文件要求，以2024年度在实施的48个土地综合整治项目为基础，核查各县区土地综合整治月度填报数据，严格把控数据质量，保证各项数据真实性、准确性。</w:t>
      </w:r>
    </w:p>
    <w:p>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项目范围</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绍兴市2024年度土地综合整治项目区，总面积1988平方公里。</w:t>
      </w:r>
    </w:p>
    <w:p>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主要内容</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全市六个县市区每月填报的土地综合整治项目数据进行核查服务，按照每月核查项目数不少于总数三分之一的要求组织开展核查，确保数据核查季度全覆盖，每月底填写当月核查项目数据质量月度核查评分表，并报省领导小组办公室，每季度末对各县市区的数据质量情况进行评分并形成核查报告，并报省领导小组办公室，主要包含七部分内容，分别为:</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一是投资额指标进度值核查工作。核查所有子项目当年截至当月的累计投资额进度值，核查当月新增投资额对应的拨款文件、发票、转账凭证、往来票据等证明材料及清单，清单内容包括项目名称、文件编号、金额、支付时间等。</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二是永久基本农田集中连片整治面积进度值核查。核查永久基本农田集中连片工程指标进度值及相关佐证材料。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三是高标准农田建设和改造面积进度值核查工作。按月度核查建新和提升类子项目，重点核查进度真实性，以及立项文件、立项范围矢量、开工证明、遥感影像或现场照片等个不同阶段的佐证材料。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四是建设用地复垦面积进度值核查工作。核查建设用地复垦面积进度值真实性，以及立项文件、立项范围矢量、开工证明、遥感影像或现场照片等个不同阶段的佐证材料。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五是低效建设用地整治盘活面积核查工作。核查低效建设用地整治盘活面积进度值真实性，以及立项文件、立项范围矢量、开工证明、遥感影像或现场照片等个不同阶段的佐证材料。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六是项目搬迁安置户数核查工作。按照统规自建，统规统建，货币（房票）安置，公寓安置四种类型，核查立项/验收总建设规模和当前累计建设规模，核查遥感影像、现场照片等相关佐证材料。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七是其他子项目进度值核查工作。核查子项目形象进度值，根据工程形象填报进度，核查立项批文及立项范围矢量、开工令、监理日志、遥感影像或现场照片、验收批文及验收范围矢量等佐证资料。</w:t>
      </w:r>
    </w:p>
    <w:p>
      <w:pPr>
        <w:numPr>
          <w:ilvl w:val="0"/>
          <w:numId w:val="0"/>
        </w:num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本次服务范围包括2024年第一季度的数据质量复核工作。</w:t>
      </w:r>
    </w:p>
    <w:p>
      <w:pPr>
        <w:numPr>
          <w:ilvl w:val="0"/>
          <w:numId w:val="1"/>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工作要求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4.1</w:t>
      </w:r>
      <w:r>
        <w:rPr>
          <w:rFonts w:hint="eastAsia" w:ascii="仿宋" w:hAnsi="仿宋" w:eastAsia="仿宋" w:cs="仿宋"/>
          <w:b w:val="0"/>
          <w:bCs w:val="0"/>
          <w:color w:val="auto"/>
          <w:sz w:val="24"/>
          <w:highlight w:val="none"/>
        </w:rPr>
        <w:t>中标单位要充分了解现状情况，充分收集相关资料，听取有关部门意见。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4.2</w:t>
      </w:r>
      <w:r>
        <w:rPr>
          <w:rFonts w:hint="eastAsia" w:ascii="仿宋" w:hAnsi="仿宋" w:eastAsia="仿宋" w:cs="仿宋"/>
          <w:b w:val="0"/>
          <w:bCs w:val="0"/>
          <w:color w:val="auto"/>
          <w:sz w:val="24"/>
          <w:highlight w:val="none"/>
        </w:rPr>
        <w:t>中标单位向</w:t>
      </w:r>
      <w:r>
        <w:rPr>
          <w:rFonts w:hint="eastAsia" w:ascii="仿宋" w:hAnsi="仿宋" w:eastAsia="仿宋" w:cs="仿宋"/>
          <w:b w:val="0"/>
          <w:bCs w:val="0"/>
          <w:color w:val="auto"/>
          <w:sz w:val="24"/>
          <w:highlight w:val="none"/>
          <w:lang w:val="en-US" w:eastAsia="zh-CN"/>
        </w:rPr>
        <w:t>采购人</w:t>
      </w:r>
      <w:r>
        <w:rPr>
          <w:rFonts w:hint="eastAsia" w:ascii="仿宋" w:hAnsi="仿宋" w:eastAsia="仿宋" w:cs="仿宋"/>
          <w:b w:val="0"/>
          <w:bCs w:val="0"/>
          <w:color w:val="auto"/>
          <w:sz w:val="24"/>
          <w:highlight w:val="none"/>
        </w:rPr>
        <w:t>进行中间汇报和讨论（具体根据</w:t>
      </w:r>
      <w:r>
        <w:rPr>
          <w:rFonts w:hint="eastAsia" w:ascii="仿宋" w:hAnsi="仿宋" w:eastAsia="仿宋" w:cs="仿宋"/>
          <w:b w:val="0"/>
          <w:bCs w:val="0"/>
          <w:color w:val="auto"/>
          <w:sz w:val="24"/>
          <w:highlight w:val="none"/>
          <w:lang w:val="en-US" w:eastAsia="zh-CN"/>
        </w:rPr>
        <w:t>采购人</w:t>
      </w:r>
      <w:r>
        <w:rPr>
          <w:rFonts w:hint="eastAsia" w:ascii="仿宋" w:hAnsi="仿宋" w:eastAsia="仿宋" w:cs="仿宋"/>
          <w:b w:val="0"/>
          <w:bCs w:val="0"/>
          <w:color w:val="auto"/>
          <w:sz w:val="24"/>
          <w:highlight w:val="none"/>
        </w:rPr>
        <w:t>要求），并提交相应的汇报稿（纸质表格文件等）。</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4.3项目</w:t>
      </w:r>
      <w:r>
        <w:rPr>
          <w:rFonts w:hint="eastAsia" w:ascii="仿宋" w:hAnsi="仿宋" w:eastAsia="仿宋" w:cs="仿宋"/>
          <w:b w:val="0"/>
          <w:bCs w:val="0"/>
          <w:color w:val="auto"/>
          <w:sz w:val="24"/>
          <w:highlight w:val="none"/>
        </w:rPr>
        <w:t>要专家论证并按要求完成相关程序。</w:t>
      </w:r>
    </w:p>
    <w:p>
      <w:pPr>
        <w:numPr>
          <w:ilvl w:val="0"/>
          <w:numId w:val="1"/>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进度要求</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服务期限1年，具体以合同签订时间为准；</w:t>
      </w:r>
      <w:r>
        <w:rPr>
          <w:rFonts w:hint="eastAsia" w:ascii="仿宋" w:hAnsi="仿宋" w:eastAsia="仿宋" w:cs="仿宋"/>
          <w:color w:val="auto"/>
          <w:sz w:val="24"/>
          <w:highlight w:val="none"/>
        </w:rPr>
        <w:t>每月28号之前完成月度填报数据核查与核查评分表；每季度最后一个月底之前，提交季度评分表与季度核查报告。</w:t>
      </w:r>
    </w:p>
    <w:p>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6.成果要求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项目成果提交方式包括电子成果和纸质成果两部分，1套月度核查评分报告（表格为XLSX格式），1套数据质量季度评分报告（表格为XLSX格式）。</w:t>
      </w:r>
    </w:p>
    <w:p>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合同签订并完成一季度核查任务后一月内支付合同价的30%，完成11月份核查任务后一个月内支付合同价的60%，完成2024年全年核查任务后一个月内支付剩余合同价的10%。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如涉及中小企业的，按《浙江省财政厅关于进一步发挥政府采购政策功能全力推动经济稳进提质的通知》（浙财采监〔2022〕3号）文件要求执行，具体付款方式由双方协商后在合同中明确。</w:t>
      </w:r>
    </w:p>
    <w:p>
      <w:pPr>
        <w:tabs>
          <w:tab w:val="left" w:pos="1365"/>
        </w:tabs>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8.保密要求</w:t>
      </w:r>
    </w:p>
    <w:p>
      <w:pPr>
        <w:tabs>
          <w:tab w:val="left" w:pos="1365"/>
        </w:tabs>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8.1中标单位须建立严格的保密制度，并加强对工作人员的保密管理及保密知识教育。</w:t>
      </w:r>
    </w:p>
    <w:p>
      <w:pPr>
        <w:tabs>
          <w:tab w:val="left" w:pos="1365"/>
        </w:tabs>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8.2中标单位须承担与此有关的技术情报和数据资料的保密责任。与本项目有关的资料及数据成果中涉及国家秘密的内容，均要求按照《国家保密法》及相关法律法规执行。</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2967"/>
      <w:bookmarkStart w:id="40" w:name="_Toc15367"/>
      <w:bookmarkStart w:id="41" w:name="_Toc20421"/>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18585"/>
      <w:bookmarkStart w:id="45" w:name="_Toc22185"/>
      <w:bookmarkStart w:id="46" w:name="_Toc2918"/>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13918"/>
      <w:bookmarkStart w:id="50" w:name="_Toc5635"/>
      <w:bookmarkStart w:id="51" w:name="_Toc4929"/>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3654"/>
      <w:bookmarkStart w:id="55" w:name="_Toc30506"/>
      <w:bookmarkStart w:id="56" w:name="_Toc30158"/>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10340"/>
      <w:bookmarkStart w:id="60" w:name="_Toc22618"/>
      <w:bookmarkStart w:id="61" w:name="_Toc31421"/>
      <w:bookmarkStart w:id="62" w:name="_Toc8772"/>
      <w:bookmarkStart w:id="63" w:name="_Toc3625"/>
      <w:bookmarkStart w:id="64" w:name="_Toc4760"/>
      <w:bookmarkStart w:id="65" w:name="_Toc11108"/>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3079"/>
      <w:bookmarkStart w:id="69" w:name="_Toc8586"/>
      <w:bookmarkStart w:id="70"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9497"/>
      <w:bookmarkStart w:id="73" w:name="_Toc30329"/>
      <w:bookmarkStart w:id="74" w:name="_Toc32454"/>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15583"/>
      <w:bookmarkStart w:id="78" w:name="_Toc28375"/>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9680"/>
      <w:bookmarkStart w:id="84" w:name="_Toc14021"/>
      <w:bookmarkStart w:id="85" w:name="_Toc31297"/>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9539"/>
      <w:bookmarkStart w:id="89" w:name="_Toc16752"/>
      <w:bookmarkStart w:id="90" w:name="_Toc23289"/>
      <w:bookmarkStart w:id="91" w:name="_Toc3769"/>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4133"/>
      <w:bookmarkStart w:id="94" w:name="_Toc9161"/>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26555"/>
      <w:bookmarkStart w:id="99" w:name="_Toc22011"/>
      <w:bookmarkStart w:id="100" w:name="_Toc32670"/>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30507"/>
      <w:bookmarkStart w:id="104" w:name="_Toc13154"/>
      <w:bookmarkStart w:id="105" w:name="_Toc18990"/>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42"/>
      <w:bookmarkStart w:id="112" w:name="_Toc21830"/>
      <w:bookmarkStart w:id="113" w:name="_Toc26689"/>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26633"/>
      <w:bookmarkStart w:id="116" w:name="_Toc25571"/>
      <w:bookmarkStart w:id="117" w:name="_Toc32494"/>
      <w:bookmarkStart w:id="118" w:name="_Toc4720"/>
      <w:bookmarkStart w:id="119" w:name="_Toc14371"/>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23854"/>
      <w:bookmarkStart w:id="122" w:name="_Toc24465"/>
      <w:bookmarkStart w:id="123" w:name="_Toc1411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25525"/>
      <w:bookmarkStart w:id="126" w:name="_Toc30105"/>
      <w:bookmarkStart w:id="127" w:name="_Toc7315"/>
      <w:bookmarkStart w:id="128" w:name="_Toc26883"/>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2308"/>
      <w:bookmarkStart w:id="138" w:name="_Toc9808"/>
      <w:bookmarkStart w:id="139" w:name="_Toc12666"/>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5063"/>
      <w:bookmarkStart w:id="145" w:name="_Toc27644"/>
      <w:bookmarkStart w:id="146" w:name="_Toc20808"/>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18540"/>
      <w:bookmarkStart w:id="150" w:name="_Toc30599"/>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279701263"/>
      <w:bookmarkStart w:id="152" w:name="_Toc259093692"/>
      <w:bookmarkStart w:id="153" w:name="_Toc487900373"/>
      <w:bookmarkStart w:id="154" w:name="_Toc18567"/>
      <w:bookmarkStart w:id="155" w:name="_Toc10330"/>
      <w:bookmarkStart w:id="156" w:name="_Toc127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2"/>
        <w:tblW w:w="9487" w:type="dxa"/>
        <w:jc w:val="center"/>
        <w:tblLayout w:type="fixed"/>
        <w:tblCellMar>
          <w:top w:w="0" w:type="dxa"/>
          <w:left w:w="108" w:type="dxa"/>
          <w:bottom w:w="0" w:type="dxa"/>
          <w:right w:w="108" w:type="dxa"/>
        </w:tblCellMar>
      </w:tblPr>
      <w:tblGrid>
        <w:gridCol w:w="869"/>
        <w:gridCol w:w="1220"/>
        <w:gridCol w:w="6675"/>
        <w:gridCol w:w="723"/>
      </w:tblGrid>
      <w:tr>
        <w:tblPrEx>
          <w:tblCellMar>
            <w:top w:w="0" w:type="dxa"/>
            <w:left w:w="108" w:type="dxa"/>
            <w:bottom w:w="0" w:type="dxa"/>
            <w:right w:w="108" w:type="dxa"/>
          </w:tblCellMar>
        </w:tblPrEx>
        <w:trPr>
          <w:trHeight w:val="561"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tblPrEx>
          <w:tblCellMar>
            <w:top w:w="0" w:type="dxa"/>
            <w:left w:w="108" w:type="dxa"/>
            <w:bottom w:w="0" w:type="dxa"/>
            <w:right w:w="108" w:type="dxa"/>
          </w:tblCellMar>
        </w:tblPrEx>
        <w:trPr>
          <w:trHeight w:val="90" w:hRule="atLeast"/>
          <w:jc w:val="center"/>
        </w:trPr>
        <w:tc>
          <w:tcPr>
            <w:tcW w:w="86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1</w:t>
            </w:r>
          </w:p>
        </w:tc>
        <w:tc>
          <w:tcPr>
            <w:tcW w:w="122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企业资质</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投标人具有城乡规划甲级资质得5分，具有乙级资质得2分，其余不得分。</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提供资质证书复印件并加盖公章，否则不得分</w:t>
            </w:r>
            <w:r>
              <w:rPr>
                <w:rFonts w:hint="eastAsia" w:ascii="仿宋" w:hAnsi="仿宋" w:eastAsia="仿宋" w:cs="仿宋"/>
                <w:color w:val="auto"/>
                <w:sz w:val="24"/>
                <w:szCs w:val="24"/>
                <w:highlight w:val="none"/>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90" w:hRule="atLeast"/>
          <w:jc w:val="center"/>
        </w:trPr>
        <w:tc>
          <w:tcPr>
            <w:tcW w:w="86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投标人同时具有有效的质量管理体系认证、职业健康安全管理体系认证、环境管理体系认证证书的得2分，缺一项不得分。【提供认证证书复印件及全国认证认可信息公共服务平台(认e云)http://cx.cnca.cn/的认证信息截图(须体现网站信息)并加盖投标单位公章，否则不得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2、自2021年以来（以荣誉颁发时间为准），投标人连续三年获得省自然资源厅及以上部门颁布的 A级信用测绘资质单位的得2分</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非连续三年不得分。</w:t>
            </w:r>
            <w:r>
              <w:rPr>
                <w:rFonts w:hint="eastAsia" w:ascii="仿宋" w:hAnsi="仿宋" w:eastAsia="仿宋" w:cs="仿宋"/>
                <w:color w:val="auto"/>
                <w:sz w:val="24"/>
                <w:szCs w:val="24"/>
                <w:highlight w:val="none"/>
                <w:lang w:val="en-US" w:eastAsia="zh-CN"/>
              </w:rPr>
              <w:t>（提供相关证明文件复印件并加盖公章，否则不得分）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0-4</w:t>
            </w:r>
          </w:p>
        </w:tc>
      </w:tr>
      <w:tr>
        <w:tblPrEx>
          <w:tblCellMar>
            <w:top w:w="0" w:type="dxa"/>
            <w:left w:w="108" w:type="dxa"/>
            <w:bottom w:w="0" w:type="dxa"/>
            <w:right w:w="108" w:type="dxa"/>
          </w:tblCellMar>
        </w:tblPrEx>
        <w:trPr>
          <w:trHeight w:val="80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3</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企业荣誉</w:t>
            </w:r>
          </w:p>
        </w:tc>
        <w:tc>
          <w:tcPr>
            <w:tcW w:w="6675"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自2021年1月1日以来（以奖项颁发时间为准），投标人获得过国家级荣誉（奖项）的，每提供一个的得3分，最高得3分；获得省级荣誉（奖项）的，每提供一个的得1分，最高得2分；本项最高得5分。（同一项目仅就最高奖项计取1次，</w:t>
            </w:r>
            <w:r>
              <w:rPr>
                <w:rFonts w:hint="eastAsia" w:ascii="仿宋" w:hAnsi="仿宋" w:eastAsia="仿宋" w:cs="仿宋"/>
                <w:color w:val="auto"/>
                <w:sz w:val="24"/>
                <w:szCs w:val="24"/>
                <w:highlight w:val="none"/>
                <w:lang w:val="en-US" w:eastAsia="zh-CN"/>
              </w:rPr>
              <w:t>提供相关证明文件复印件并加盖公章，否则不得分</w:t>
            </w:r>
            <w:r>
              <w:rPr>
                <w:rFonts w:hint="eastAsia" w:ascii="仿宋" w:hAnsi="仿宋" w:eastAsia="仿宋" w:cs="仿宋"/>
                <w:color w:val="auto"/>
                <w:sz w:val="24"/>
                <w:szCs w:val="24"/>
                <w:highlight w:val="none"/>
                <w:lang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0-5</w:t>
            </w:r>
          </w:p>
        </w:tc>
      </w:tr>
      <w:tr>
        <w:tblPrEx>
          <w:tblCellMar>
            <w:top w:w="0" w:type="dxa"/>
            <w:left w:w="108" w:type="dxa"/>
            <w:bottom w:w="0" w:type="dxa"/>
            <w:right w:w="108" w:type="dxa"/>
          </w:tblCellMar>
        </w:tblPrEx>
        <w:trPr>
          <w:trHeight w:val="53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4</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企业业绩</w:t>
            </w:r>
          </w:p>
        </w:tc>
        <w:tc>
          <w:tcPr>
            <w:tcW w:w="6675"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自2021年1月1日以来（以合同签订时间为准），投标人承担过类似项目且通过验收的，得1分。（提供合同及验收报告复印件并加盖公章，否则不得分）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0-1</w:t>
            </w:r>
          </w:p>
        </w:tc>
      </w:tr>
      <w:tr>
        <w:tblPrEx>
          <w:tblCellMar>
            <w:top w:w="0" w:type="dxa"/>
            <w:left w:w="108" w:type="dxa"/>
            <w:bottom w:w="0" w:type="dxa"/>
            <w:right w:w="108" w:type="dxa"/>
          </w:tblCellMar>
        </w:tblPrEx>
        <w:trPr>
          <w:trHeight w:val="75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项目团队</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拟投入项目组成员（除项目负责人之外）：</w:t>
            </w:r>
          </w:p>
          <w:p>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1、投标人拟派本项目组成员同时具有注册测绘师资格和高级工程师及以上职称的，每有一人得0.5分，最高得2分。</w:t>
            </w:r>
          </w:p>
          <w:p>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2、项目组成员中具有涉密测绘成果管理人员岗位培训证书(有效期内)的，每有一人得0.5分，最多得1分；具有地理信息安全保密培训证书的，每有一人得0.5分，最多得1分；本项最高得2分。</w:t>
            </w:r>
          </w:p>
          <w:p>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注：以上人员不重复累计得分，上述所有成员须为投标人在职职工（在职职工不包括离、退休返聘人员），须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提供相关</w:t>
            </w:r>
            <w:r>
              <w:rPr>
                <w:rFonts w:hint="eastAsia" w:ascii="仿宋" w:hAnsi="仿宋" w:eastAsia="仿宋" w:cs="仿宋"/>
                <w:color w:val="auto"/>
                <w:sz w:val="24"/>
                <w:szCs w:val="24"/>
                <w:highlight w:val="none"/>
                <w:lang w:val="en-US" w:eastAsia="zh-CN"/>
              </w:rPr>
              <w:t>人员</w:t>
            </w:r>
            <w:r>
              <w:rPr>
                <w:rFonts w:hint="default" w:ascii="仿宋" w:hAnsi="仿宋" w:eastAsia="仿宋" w:cs="仿宋"/>
                <w:color w:val="auto"/>
                <w:sz w:val="24"/>
                <w:szCs w:val="24"/>
                <w:highlight w:val="none"/>
                <w:lang w:val="en-US" w:eastAsia="zh-CN"/>
              </w:rPr>
              <w:t>证书及社保证明</w:t>
            </w:r>
            <w:r>
              <w:rPr>
                <w:rFonts w:hint="eastAsia" w:ascii="仿宋" w:hAnsi="仿宋" w:eastAsia="仿宋" w:cs="仿宋"/>
                <w:color w:val="auto"/>
                <w:sz w:val="24"/>
                <w:szCs w:val="24"/>
                <w:highlight w:val="none"/>
                <w:lang w:val="en-US" w:eastAsia="zh-CN"/>
              </w:rPr>
              <w:t>复印件</w:t>
            </w:r>
            <w:r>
              <w:rPr>
                <w:rFonts w:hint="default" w:ascii="仿宋" w:hAnsi="仿宋" w:eastAsia="仿宋" w:cs="仿宋"/>
                <w:color w:val="auto"/>
                <w:sz w:val="24"/>
                <w:szCs w:val="24"/>
                <w:highlight w:val="none"/>
                <w:lang w:val="en-US" w:eastAsia="zh-CN"/>
              </w:rPr>
              <w:t>并加盖公章，</w:t>
            </w:r>
            <w:r>
              <w:rPr>
                <w:rFonts w:hint="eastAsia" w:ascii="仿宋" w:hAnsi="仿宋" w:eastAsia="仿宋" w:cs="仿宋"/>
                <w:color w:val="auto"/>
                <w:sz w:val="24"/>
                <w:szCs w:val="24"/>
                <w:highlight w:val="none"/>
                <w:lang w:val="en-US" w:eastAsia="zh-CN"/>
              </w:rPr>
              <w:t>否则</w:t>
            </w:r>
            <w:r>
              <w:rPr>
                <w:rFonts w:hint="default" w:ascii="仿宋" w:hAnsi="仿宋" w:eastAsia="仿宋" w:cs="仿宋"/>
                <w:color w:val="auto"/>
                <w:sz w:val="24"/>
                <w:szCs w:val="24"/>
                <w:highlight w:val="none"/>
                <w:lang w:val="en-US" w:eastAsia="zh-CN"/>
              </w:rPr>
              <w:t>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0-4</w:t>
            </w:r>
          </w:p>
        </w:tc>
      </w:tr>
      <w:tr>
        <w:tblPrEx>
          <w:tblCellMar>
            <w:top w:w="0" w:type="dxa"/>
            <w:left w:w="108" w:type="dxa"/>
            <w:bottom w:w="0" w:type="dxa"/>
            <w:right w:w="108" w:type="dxa"/>
          </w:tblCellMar>
        </w:tblPrEx>
        <w:trPr>
          <w:trHeight w:val="501"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22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技术方案</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针对本项目背景、</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lang w:eastAsia="zh-CN"/>
              </w:rPr>
              <w:t>内容的理解，</w:t>
            </w:r>
            <w:r>
              <w:rPr>
                <w:rFonts w:hint="eastAsia" w:ascii="仿宋" w:hAnsi="仿宋" w:eastAsia="仿宋" w:cs="仿宋"/>
                <w:color w:val="auto"/>
                <w:sz w:val="24"/>
                <w:szCs w:val="24"/>
                <w:highlight w:val="none"/>
                <w:lang w:val="en-US" w:eastAsia="zh-CN"/>
              </w:rPr>
              <w:t>0-5分</w:t>
            </w:r>
            <w:r>
              <w:rPr>
                <w:rFonts w:hint="eastAsia" w:ascii="仿宋" w:hAnsi="仿宋" w:eastAsia="仿宋" w:cs="仿宋"/>
                <w:color w:val="auto"/>
                <w:sz w:val="24"/>
                <w:szCs w:val="24"/>
                <w:highlight w:val="none"/>
                <w:lang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489" w:hRule="atLeast"/>
          <w:jc w:val="center"/>
        </w:trPr>
        <w:tc>
          <w:tcPr>
            <w:tcW w:w="8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针对本项目的</w:t>
            </w:r>
            <w:r>
              <w:rPr>
                <w:rFonts w:hint="eastAsia" w:ascii="仿宋" w:hAnsi="仿宋" w:eastAsia="仿宋" w:cs="仿宋"/>
                <w:color w:val="auto"/>
                <w:sz w:val="24"/>
                <w:szCs w:val="24"/>
                <w:highlight w:val="none"/>
                <w:lang w:val="en-US" w:eastAsia="zh-CN"/>
              </w:rPr>
              <w:t>项目背景</w:t>
            </w:r>
            <w:r>
              <w:rPr>
                <w:rFonts w:hint="eastAsia" w:ascii="仿宋" w:hAnsi="仿宋" w:eastAsia="仿宋" w:cs="仿宋"/>
                <w:color w:val="auto"/>
                <w:sz w:val="24"/>
                <w:szCs w:val="24"/>
                <w:highlight w:val="none"/>
                <w:lang w:eastAsia="zh-CN"/>
              </w:rPr>
              <w:t>技术路线与用户需求是否吻合，</w:t>
            </w:r>
            <w:r>
              <w:rPr>
                <w:rFonts w:hint="eastAsia" w:ascii="仿宋" w:hAnsi="仿宋" w:eastAsia="仿宋" w:cs="仿宋"/>
                <w:color w:val="auto"/>
                <w:sz w:val="24"/>
                <w:szCs w:val="24"/>
                <w:highlight w:val="none"/>
                <w:lang w:val="en-US" w:eastAsia="zh-CN"/>
              </w:rPr>
              <w:t>0-5分</w:t>
            </w:r>
            <w:r>
              <w:rPr>
                <w:rFonts w:hint="eastAsia" w:ascii="仿宋" w:hAnsi="仿宋" w:eastAsia="仿宋" w:cs="仿宋"/>
                <w:color w:val="auto"/>
                <w:sz w:val="24"/>
                <w:szCs w:val="24"/>
                <w:highlight w:val="none"/>
                <w:lang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513"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8</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制定月度填报数据核查评分标准，是否科学合理，0-</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0-8</w:t>
            </w:r>
          </w:p>
        </w:tc>
      </w:tr>
      <w:tr>
        <w:tblPrEx>
          <w:tblCellMar>
            <w:top w:w="0" w:type="dxa"/>
            <w:left w:w="108" w:type="dxa"/>
            <w:bottom w:w="0" w:type="dxa"/>
            <w:right w:w="108" w:type="dxa"/>
          </w:tblCellMar>
        </w:tblPrEx>
        <w:trPr>
          <w:trHeight w:val="63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制定季度数据质量评分标准和季度核查报告模版，是否科学合理，0-</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0-8</w:t>
            </w:r>
          </w:p>
        </w:tc>
      </w:tr>
      <w:tr>
        <w:tblPrEx>
          <w:tblCellMar>
            <w:top w:w="0" w:type="dxa"/>
            <w:left w:w="108" w:type="dxa"/>
            <w:bottom w:w="0" w:type="dxa"/>
            <w:right w:w="108" w:type="dxa"/>
          </w:tblCellMar>
        </w:tblPrEx>
        <w:trPr>
          <w:trHeight w:val="9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制定投资额指标及佐证材料核查工作标准，是否科学合理，0-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678"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制定永久基本农田集中连片整治面积指标及佐证材料核查工作标准，是否科学合理，0-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729"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制定高标准农田建设和改造面积指标及佐证材料核查工作标准，是否科学合理，0-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686"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制定建设用地复垦面积指标及佐证材料核查工作标准，是否科学合理，0-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61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制定低效建设用地整治盘活面积指标及佐证材料核查工作标准，是否科学合理，0-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729"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22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制定项目搬迁安置户数指标及佐证材料核查工作标准，是否科学合理，0-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73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1220"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制定其他子项目指标及佐证材料核查工作标准，是否科学合理，0-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71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组织实施与管理</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针对本项目建设方案：如人员组织、资源配置、质量保障、工期保障、安全措施等情况进行评分，0-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r>
        <w:tblPrEx>
          <w:tblCellMar>
            <w:top w:w="0" w:type="dxa"/>
            <w:left w:w="108" w:type="dxa"/>
            <w:bottom w:w="0" w:type="dxa"/>
            <w:right w:w="108" w:type="dxa"/>
          </w:tblCellMar>
        </w:tblPrEx>
        <w:trPr>
          <w:trHeight w:val="99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售后服务承诺</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投标人需提供完整可行的售后服务方案，包含但不限于：售后服务内</w:t>
            </w:r>
            <w:r>
              <w:rPr>
                <w:rFonts w:hint="eastAsia" w:ascii="仿宋" w:hAnsi="仿宋" w:eastAsia="仿宋" w:cs="仿宋"/>
                <w:color w:val="auto"/>
                <w:sz w:val="24"/>
                <w:highlight w:val="none"/>
              </w:rPr>
              <w:t>容，服务优势、服务响应时间等,0-</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0-5</w:t>
            </w:r>
          </w:p>
        </w:tc>
      </w:tr>
    </w:tbl>
    <w:p>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keepNext w:val="0"/>
        <w:keepLines w:val="0"/>
        <w:pageBreakBefore w:val="0"/>
        <w:widowControl w:val="0"/>
        <w:numPr>
          <w:ilvl w:val="0"/>
          <w:numId w:val="3"/>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widowControl w:val="0"/>
        <w:numPr>
          <w:ilvl w:val="0"/>
          <w:numId w:val="3"/>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pPr>
        <w:pStyle w:val="24"/>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rPr>
        <w:t>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jc w:val="center"/>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highlight w:val="none"/>
        </w:rPr>
        <w:t>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3"/>
        <w:rPr>
          <w:rFonts w:hint="eastAsia" w:ascii="仿宋" w:hAnsi="仿宋" w:eastAsia="仿宋" w:cs="仿宋"/>
          <w:b/>
          <w:bCs/>
          <w:color w:val="auto"/>
          <w:sz w:val="24"/>
          <w:highlight w:val="none"/>
        </w:rPr>
      </w:pPr>
    </w:p>
    <w:p>
      <w:pPr>
        <w:pStyle w:val="24"/>
        <w:rPr>
          <w:rFonts w:hint="eastAsia" w:ascii="仿宋" w:hAnsi="仿宋" w:eastAsia="仿宋" w:cs="仿宋"/>
          <w:b/>
          <w:bCs/>
          <w:color w:val="auto"/>
          <w:sz w:val="24"/>
          <w:highlight w:val="none"/>
        </w:rPr>
      </w:pPr>
    </w:p>
    <w:p>
      <w:pPr>
        <w:pStyle w:val="25"/>
        <w:rPr>
          <w:rFonts w:hint="eastAsia"/>
          <w:color w:val="auto"/>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24"/>
        <w:rPr>
          <w:color w:val="auto"/>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24"/>
        <w:rPr>
          <w:rFonts w:hint="eastAsia" w:ascii="仿宋_GB2312" w:hAnsi="仿宋_GB2312" w:eastAsia="仿宋_GB2312" w:cs="仿宋_GB2312"/>
          <w:b/>
          <w:color w:val="auto"/>
          <w:sz w:val="30"/>
          <w:szCs w:val="30"/>
          <w:highlight w:val="none"/>
          <w:lang w:eastAsia="zh-CN"/>
        </w:rPr>
      </w:pPr>
    </w:p>
    <w:p>
      <w:pPr>
        <w:pStyle w:val="25"/>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24"/>
        <w:rPr>
          <w:rFonts w:hint="eastAsia" w:ascii="仿宋_GB2312" w:hAnsi="仿宋_GB2312" w:eastAsia="仿宋_GB2312" w:cs="仿宋_GB2312"/>
          <w:b/>
          <w:color w:val="auto"/>
          <w:sz w:val="30"/>
          <w:szCs w:val="30"/>
          <w:highlight w:val="none"/>
          <w:lang w:eastAsia="zh-CN"/>
        </w:rPr>
      </w:pPr>
    </w:p>
    <w:p>
      <w:pPr>
        <w:pStyle w:val="25"/>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24"/>
        <w:rPr>
          <w:rFonts w:hint="eastAsia"/>
          <w:color w:val="auto"/>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24"/>
        <w:rPr>
          <w:rFonts w:ascii="仿宋_GB2312" w:hAnsi="仿宋_GB2312" w:eastAsia="仿宋_GB2312" w:cs="仿宋_GB2312"/>
          <w:b/>
          <w:bCs/>
          <w:color w:val="auto"/>
          <w:sz w:val="32"/>
          <w:szCs w:val="32"/>
          <w:highlight w:val="none"/>
        </w:rPr>
      </w:pPr>
    </w:p>
    <w:p>
      <w:pPr>
        <w:pStyle w:val="25"/>
        <w:rPr>
          <w:rFonts w:ascii="仿宋_GB2312" w:hAnsi="仿宋_GB2312" w:eastAsia="仿宋_GB2312" w:cs="仿宋_GB2312"/>
          <w:b/>
          <w:bCs/>
          <w:color w:val="auto"/>
          <w:sz w:val="32"/>
          <w:szCs w:val="32"/>
          <w:highlight w:val="none"/>
        </w:rPr>
      </w:pPr>
    </w:p>
    <w:p>
      <w:pPr>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24"/>
        <w:rPr>
          <w:rFonts w:ascii="仿宋_GB2312" w:hAnsi="仿宋_GB2312" w:eastAsia="仿宋_GB2312" w:cs="仿宋_GB2312"/>
          <w:b/>
          <w:bCs/>
          <w:color w:val="auto"/>
          <w:sz w:val="32"/>
          <w:szCs w:val="32"/>
          <w:highlight w:val="none"/>
        </w:rPr>
      </w:pPr>
    </w:p>
    <w:p>
      <w:pPr>
        <w:pStyle w:val="25"/>
        <w:rPr>
          <w:color w:val="auto"/>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172"/>
        <w:gridCol w:w="308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17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项目</w:t>
            </w:r>
            <w:r>
              <w:rPr>
                <w:rFonts w:hint="eastAsia" w:ascii="仿宋" w:hAnsi="仿宋" w:eastAsia="仿宋" w:cs="仿宋"/>
                <w:b/>
                <w:color w:val="auto"/>
                <w:sz w:val="24"/>
                <w:highlight w:val="none"/>
              </w:rPr>
              <w:t>名称</w:t>
            </w:r>
          </w:p>
        </w:tc>
        <w:tc>
          <w:tcPr>
            <w:tcW w:w="308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投标报价（元）</w:t>
            </w:r>
          </w:p>
        </w:tc>
        <w:tc>
          <w:tcPr>
            <w:tcW w:w="1853"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Merge w:val="restart"/>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1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2024年度绍兴市土地综合整治项目数据填报核查项目</w:t>
            </w:r>
          </w:p>
        </w:tc>
        <w:tc>
          <w:tcPr>
            <w:tcW w:w="30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tc>
        <w:tc>
          <w:tcPr>
            <w:tcW w:w="1853"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Merge w:val="continue"/>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c>
          <w:tcPr>
            <w:tcW w:w="31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eastAsia="zh-CN"/>
              </w:rPr>
            </w:pPr>
          </w:p>
        </w:tc>
        <w:tc>
          <w:tcPr>
            <w:tcW w:w="30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tc>
        <w:tc>
          <w:tcPr>
            <w:tcW w:w="1853"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3600" w:firstLineChars="1500"/>
        <w:jc w:val="center"/>
        <w:rPr>
          <w:rFonts w:hint="eastAsia" w:ascii="仿宋" w:hAnsi="仿宋" w:eastAsia="仿宋" w:cs="仿宋"/>
          <w:color w:val="auto"/>
          <w:sz w:val="24"/>
          <w:highlight w:val="none"/>
          <w:lang w:eastAsia="zh-CN"/>
        </w:rPr>
      </w:pPr>
    </w:p>
    <w:p>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kinsoku/>
        <w:wordWrap/>
        <w:overflowPunct/>
        <w:topLinePunct w:val="0"/>
        <w:autoSpaceDE/>
        <w:autoSpaceDN/>
        <w:bidi w:val="0"/>
        <w:adjustRightInd w:val="0"/>
        <w:snapToGrid/>
        <w:spacing w:before="100" w:beforeAutospacing="1" w:after="100" w:afterAutospacing="1" w:line="360" w:lineRule="auto"/>
        <w:ind w:left="0" w:firstLine="0" w:firstLineChars="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numPr>
          <w:ilvl w:val="0"/>
          <w:numId w:val="6"/>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3"/>
        <w:rPr>
          <w:rFonts w:hint="eastAsia"/>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highlight w:val="none"/>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bookmarkEnd w:id="163"/>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ZJXSC-2024-050</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94F533C"/>
    <w:multiLevelType w:val="singleLevel"/>
    <w:tmpl w:val="094F533C"/>
    <w:lvl w:ilvl="0" w:tentative="0">
      <w:start w:val="2"/>
      <w:numFmt w:val="decimal"/>
      <w:lvlText w:val="%1."/>
      <w:lvlJc w:val="left"/>
      <w:pPr>
        <w:tabs>
          <w:tab w:val="left" w:pos="312"/>
        </w:tabs>
      </w:pPr>
    </w:lvl>
  </w:abstractNum>
  <w:abstractNum w:abstractNumId="3">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4">
    <w:nsid w:val="4921150C"/>
    <w:multiLevelType w:val="singleLevel"/>
    <w:tmpl w:val="4921150C"/>
    <w:lvl w:ilvl="0" w:tentative="0">
      <w:start w:val="5"/>
      <w:numFmt w:val="chineseCounting"/>
      <w:suff w:val="nothing"/>
      <w:lvlText w:val="%1、"/>
      <w:lvlJc w:val="left"/>
      <w:rPr>
        <w:rFonts w:hint="eastAsia"/>
      </w:rPr>
    </w:lvl>
  </w:abstractNum>
  <w:abstractNum w:abstractNumId="5">
    <w:nsid w:val="78A4BED5"/>
    <w:multiLevelType w:val="singleLevel"/>
    <w:tmpl w:val="78A4BED5"/>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7C161E"/>
    <w:rsid w:val="014C1F73"/>
    <w:rsid w:val="03865E6E"/>
    <w:rsid w:val="04CA6B32"/>
    <w:rsid w:val="057923A6"/>
    <w:rsid w:val="0842563F"/>
    <w:rsid w:val="08BC1AE9"/>
    <w:rsid w:val="0B77698A"/>
    <w:rsid w:val="0EDB59B8"/>
    <w:rsid w:val="0F096B8F"/>
    <w:rsid w:val="0F63063F"/>
    <w:rsid w:val="18E60774"/>
    <w:rsid w:val="1D2F1C3B"/>
    <w:rsid w:val="1E9D0594"/>
    <w:rsid w:val="1EB3371C"/>
    <w:rsid w:val="1FBF4D79"/>
    <w:rsid w:val="2004680C"/>
    <w:rsid w:val="24B520E2"/>
    <w:rsid w:val="27DC0998"/>
    <w:rsid w:val="28D70737"/>
    <w:rsid w:val="2B306348"/>
    <w:rsid w:val="30CD01D9"/>
    <w:rsid w:val="313834CB"/>
    <w:rsid w:val="321345CE"/>
    <w:rsid w:val="339C1F56"/>
    <w:rsid w:val="3A930725"/>
    <w:rsid w:val="3BD70399"/>
    <w:rsid w:val="3CA40E3A"/>
    <w:rsid w:val="40D11BC9"/>
    <w:rsid w:val="412032C3"/>
    <w:rsid w:val="4187240D"/>
    <w:rsid w:val="427E60E8"/>
    <w:rsid w:val="48574FE2"/>
    <w:rsid w:val="4AEF6CEF"/>
    <w:rsid w:val="4B163A9F"/>
    <w:rsid w:val="4B623660"/>
    <w:rsid w:val="4F4B3D85"/>
    <w:rsid w:val="523161A7"/>
    <w:rsid w:val="52AD32CB"/>
    <w:rsid w:val="5A1B4D45"/>
    <w:rsid w:val="5F561B6F"/>
    <w:rsid w:val="5F57E5CA"/>
    <w:rsid w:val="65F148C4"/>
    <w:rsid w:val="669C35D3"/>
    <w:rsid w:val="68447C23"/>
    <w:rsid w:val="6DAF31CD"/>
    <w:rsid w:val="6DF12938"/>
    <w:rsid w:val="6EC80E49"/>
    <w:rsid w:val="6FC37AD4"/>
    <w:rsid w:val="70265750"/>
    <w:rsid w:val="703B31B3"/>
    <w:rsid w:val="74406107"/>
    <w:rsid w:val="759748BC"/>
    <w:rsid w:val="78AD1F79"/>
    <w:rsid w:val="799F3431"/>
    <w:rsid w:val="7A2B7977"/>
    <w:rsid w:val="7B046D14"/>
    <w:rsid w:val="7D112435"/>
    <w:rsid w:val="7DFF3A1B"/>
    <w:rsid w:val="7FCE9F2A"/>
    <w:rsid w:val="BB75C2CA"/>
    <w:rsid w:val="BFF71600"/>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5"/>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6"/>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7"/>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0"/>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5"/>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6"/>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6"/>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5"/>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8"/>
    <w:autoRedefine/>
    <w:qFormat/>
    <w:uiPriority w:val="0"/>
    <w:rPr>
      <w:b/>
      <w:bCs/>
      <w:kern w:val="2"/>
      <w:sz w:val="24"/>
      <w:szCs w:val="24"/>
    </w:rPr>
  </w:style>
  <w:style w:type="character" w:customStyle="1" w:styleId="306">
    <w:name w:val="正文文本缩进 2 Char"/>
    <w:link w:val="38"/>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1"/>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5"/>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3"/>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1"/>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2"/>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6"/>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4"/>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autoRedefine/>
    <w:qFormat/>
    <w:uiPriority w:val="0"/>
    <w:rPr>
      <w:kern w:val="0"/>
      <w:sz w:val="20"/>
      <w:szCs w:val="20"/>
    </w:rPr>
    <w:tblPr>
      <w:tblCellMar>
        <w:top w:w="0" w:type="dxa"/>
        <w:left w:w="0" w:type="dxa"/>
        <w:bottom w:w="0" w:type="dxa"/>
        <w:right w:w="0" w:type="dxa"/>
      </w:tblCellMar>
    </w:tblPr>
  </w:style>
  <w:style w:type="table" w:customStyle="1" w:styleId="965">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44554</Words>
  <Characters>47657</Characters>
  <Paragraphs>1943</Paragraphs>
  <TotalTime>46</TotalTime>
  <ScaleCrop>false</ScaleCrop>
  <LinksUpToDate>false</LinksUpToDate>
  <CharactersWithSpaces>55044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  不将就</cp:lastModifiedBy>
  <cp:lastPrinted>2023-09-11T23:23:00Z</cp:lastPrinted>
  <dcterms:modified xsi:type="dcterms:W3CDTF">2024-04-16T06:59:19Z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