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微软雅黑" w:hAnsi="微软雅黑" w:eastAsia="微软雅黑" w:cs="微软雅黑"/>
          <w:b/>
          <w:bCs/>
          <w:color w:val="auto"/>
          <w:sz w:val="48"/>
          <w:szCs w:val="48"/>
          <w:highlight w:val="none"/>
        </w:rPr>
      </w:pPr>
    </w:p>
    <w:p>
      <w:pPr>
        <w:spacing w:line="900" w:lineRule="exact"/>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安吉县自然资源和规划局</w:t>
      </w:r>
    </w:p>
    <w:p>
      <w:pPr>
        <w:spacing w:line="900" w:lineRule="exact"/>
        <w:jc w:val="center"/>
        <w:rPr>
          <w:rFonts w:hint="eastAsia" w:ascii="微软雅黑" w:hAnsi="微软雅黑" w:eastAsia="微软雅黑" w:cs="微软雅黑"/>
          <w:b/>
          <w:color w:val="auto"/>
          <w:sz w:val="44"/>
          <w:szCs w:val="44"/>
          <w:highlight w:val="none"/>
          <w:lang w:eastAsia="zh-CN"/>
        </w:rPr>
      </w:pPr>
      <w:bookmarkStart w:id="0" w:name="_Hlk117152557"/>
      <w:r>
        <w:rPr>
          <w:rFonts w:hint="eastAsia" w:ascii="微软雅黑" w:hAnsi="微软雅黑" w:eastAsia="微软雅黑" w:cs="微软雅黑"/>
          <w:b/>
          <w:bCs/>
          <w:color w:val="auto"/>
          <w:sz w:val="44"/>
          <w:szCs w:val="44"/>
          <w:highlight w:val="none"/>
          <w:lang w:eastAsia="zh-CN"/>
        </w:rPr>
        <w:t>安吉县自然资源和规划局购买地质灾害监测设备运维服务政府采购项目</w:t>
      </w:r>
    </w:p>
    <w:bookmarkEnd w:id="0"/>
    <w:p>
      <w:pPr>
        <w:pStyle w:val="30"/>
        <w:ind w:left="63" w:right="63" w:firstLine="280"/>
        <w:rPr>
          <w:color w:val="auto"/>
          <w:highlight w:val="none"/>
        </w:rPr>
      </w:pPr>
    </w:p>
    <w:p>
      <w:pPr>
        <w:rPr>
          <w:color w:val="auto"/>
          <w:highlight w:val="none"/>
        </w:rPr>
      </w:pPr>
    </w:p>
    <w:p>
      <w:pPr>
        <w:pStyle w:val="39"/>
        <w:spacing w:before="156"/>
        <w:rPr>
          <w:color w:val="auto"/>
          <w:highlight w:val="none"/>
        </w:rPr>
      </w:pPr>
    </w:p>
    <w:p>
      <w:pPr>
        <w:pStyle w:val="39"/>
        <w:spacing w:before="156"/>
        <w:rPr>
          <w:color w:val="auto"/>
          <w:highlight w:val="none"/>
        </w:rPr>
      </w:pPr>
    </w:p>
    <w:p>
      <w:pPr>
        <w:rPr>
          <w:color w:val="auto"/>
          <w:highlight w:val="none"/>
        </w:rPr>
      </w:pPr>
    </w:p>
    <w:p>
      <w:pPr>
        <w:pStyle w:val="39"/>
        <w:spacing w:before="156"/>
        <w:rPr>
          <w:color w:val="auto"/>
          <w:highlight w:val="none"/>
        </w:rPr>
      </w:pPr>
    </w:p>
    <w:p>
      <w:pPr>
        <w:spacing w:line="900" w:lineRule="exact"/>
        <w:jc w:val="center"/>
        <w:rPr>
          <w:rFonts w:hint="eastAsia" w:ascii="微软雅黑" w:hAnsi="微软雅黑" w:eastAsia="微软雅黑" w:cs="微软雅黑"/>
          <w:b/>
          <w:color w:val="auto"/>
          <w:sz w:val="40"/>
          <w:szCs w:val="40"/>
          <w:highlight w:val="none"/>
        </w:rPr>
      </w:pPr>
    </w:p>
    <w:p>
      <w:pPr>
        <w:spacing w:line="900" w:lineRule="exact"/>
        <w:jc w:val="center"/>
        <w:rPr>
          <w:rFonts w:ascii="微软雅黑" w:hAnsi="微软雅黑" w:eastAsia="微软雅黑" w:cs="微软雅黑"/>
          <w:b/>
          <w:color w:val="auto"/>
          <w:sz w:val="40"/>
          <w:szCs w:val="40"/>
          <w:highlight w:val="none"/>
        </w:rPr>
      </w:pPr>
      <w:r>
        <w:rPr>
          <w:rFonts w:hint="eastAsia" w:ascii="微软雅黑" w:hAnsi="微软雅黑" w:eastAsia="微软雅黑" w:cs="微软雅黑"/>
          <w:b/>
          <w:color w:val="auto"/>
          <w:sz w:val="40"/>
          <w:szCs w:val="40"/>
          <w:highlight w:val="none"/>
        </w:rPr>
        <w:t>竞争性磋商文件</w:t>
      </w:r>
    </w:p>
    <w:p>
      <w:pPr>
        <w:jc w:val="center"/>
        <w:rPr>
          <w:rFonts w:hint="eastAsia" w:ascii="微软雅黑" w:hAnsi="微软雅黑" w:eastAsia="微软雅黑" w:cs="微软雅黑"/>
          <w:b/>
          <w:color w:val="auto"/>
          <w:sz w:val="32"/>
          <w:szCs w:val="32"/>
          <w:highlight w:val="none"/>
          <w:lang w:eastAsia="zh-CN"/>
        </w:rPr>
      </w:pPr>
      <w:r>
        <w:rPr>
          <w:rFonts w:hint="eastAsia" w:ascii="微软雅黑" w:hAnsi="微软雅黑" w:eastAsia="微软雅黑" w:cs="微软雅黑"/>
          <w:b/>
          <w:color w:val="auto"/>
          <w:sz w:val="32"/>
          <w:szCs w:val="32"/>
          <w:highlight w:val="none"/>
        </w:rPr>
        <w:t>磋商文件编号：</w:t>
      </w:r>
      <w:r>
        <w:rPr>
          <w:rFonts w:hint="eastAsia" w:ascii="微软雅黑" w:hAnsi="微软雅黑" w:eastAsia="微软雅黑" w:cs="微软雅黑"/>
          <w:b/>
          <w:color w:val="auto"/>
          <w:sz w:val="32"/>
          <w:szCs w:val="32"/>
          <w:highlight w:val="none"/>
          <w:lang w:eastAsia="zh-CN"/>
        </w:rPr>
        <w:t>ZJMY（采）2024-007</w:t>
      </w:r>
    </w:p>
    <w:p>
      <w:pPr>
        <w:ind w:firstLine="800" w:firstLineChars="200"/>
        <w:jc w:val="center"/>
        <w:rPr>
          <w:rFonts w:ascii="微软雅黑" w:hAnsi="微软雅黑" w:eastAsia="微软雅黑" w:cs="微软雅黑"/>
          <w:b/>
          <w:color w:val="auto"/>
          <w:sz w:val="40"/>
          <w:szCs w:val="40"/>
          <w:highlight w:val="none"/>
        </w:rPr>
      </w:pPr>
    </w:p>
    <w:p>
      <w:pPr>
        <w:tabs>
          <w:tab w:val="left" w:pos="6161"/>
        </w:tabs>
        <w:ind w:firstLine="880" w:firstLineChars="200"/>
        <w:jc w:val="left"/>
        <w:rPr>
          <w:rFonts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ab/>
      </w:r>
    </w:p>
    <w:p>
      <w:pPr>
        <w:rPr>
          <w:color w:val="auto"/>
          <w:highlight w:val="none"/>
        </w:rPr>
      </w:pPr>
    </w:p>
    <w:p>
      <w:pPr>
        <w:pStyle w:val="8"/>
        <w:rPr>
          <w:color w:val="auto"/>
          <w:highlight w:val="none"/>
        </w:rPr>
      </w:pPr>
    </w:p>
    <w:p>
      <w:pPr>
        <w:spacing w:line="700" w:lineRule="exact"/>
        <w:ind w:firstLine="600" w:firstLineChars="200"/>
        <w:rPr>
          <w:rFonts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采  购  人：安吉县自然资源和规划局（盖章）</w:t>
      </w:r>
    </w:p>
    <w:p>
      <w:pPr>
        <w:spacing w:line="700" w:lineRule="exact"/>
        <w:ind w:firstLine="600" w:firstLineChars="200"/>
        <w:rPr>
          <w:rFonts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采购代理机构：</w:t>
      </w:r>
      <w:r>
        <w:rPr>
          <w:rFonts w:hint="eastAsia" w:ascii="微软雅黑" w:hAnsi="微软雅黑" w:eastAsia="微软雅黑" w:cs="微软雅黑"/>
          <w:b/>
          <w:color w:val="auto"/>
          <w:sz w:val="30"/>
          <w:szCs w:val="30"/>
          <w:highlight w:val="none"/>
        </w:rPr>
        <w:t>浙江明业项目管理有限公司</w:t>
      </w:r>
      <w:r>
        <w:rPr>
          <w:rFonts w:hint="eastAsia" w:ascii="微软雅黑" w:hAnsi="微软雅黑" w:eastAsia="微软雅黑" w:cs="微软雅黑"/>
          <w:b/>
          <w:bCs/>
          <w:color w:val="auto"/>
          <w:sz w:val="30"/>
          <w:szCs w:val="30"/>
          <w:highlight w:val="none"/>
        </w:rPr>
        <w:t>（盖章）</w:t>
      </w:r>
    </w:p>
    <w:p>
      <w:pPr>
        <w:spacing w:line="700" w:lineRule="exact"/>
        <w:ind w:firstLine="600" w:firstLineChars="200"/>
        <w:rPr>
          <w:rFonts w:hint="eastAsia" w:ascii="微软雅黑" w:hAnsi="微软雅黑" w:eastAsia="微软雅黑" w:cs="微软雅黑"/>
          <w:color w:val="auto"/>
          <w:sz w:val="32"/>
          <w:szCs w:val="32"/>
          <w:highlight w:val="none"/>
          <w:lang w:val="zh-CN" w:eastAsia="zh-CN"/>
        </w:rPr>
      </w:pPr>
      <w:r>
        <w:rPr>
          <w:rFonts w:hint="eastAsia" w:ascii="微软雅黑" w:hAnsi="微软雅黑" w:eastAsia="微软雅黑" w:cs="微软雅黑"/>
          <w:b/>
          <w:bCs/>
          <w:color w:val="auto"/>
          <w:sz w:val="30"/>
          <w:szCs w:val="30"/>
          <w:highlight w:val="none"/>
        </w:rPr>
        <w:t>日 期：</w:t>
      </w:r>
      <w:r>
        <w:rPr>
          <w:rFonts w:hint="eastAsia" w:ascii="微软雅黑" w:hAnsi="微软雅黑" w:eastAsia="微软雅黑" w:cs="微软雅黑"/>
          <w:b/>
          <w:bCs/>
          <w:color w:val="auto"/>
          <w:sz w:val="30"/>
          <w:szCs w:val="30"/>
          <w:highlight w:val="none"/>
          <w:lang w:eastAsia="zh-CN"/>
        </w:rPr>
        <w:t>2024年3月</w:t>
      </w:r>
    </w:p>
    <w:sdt>
      <w:sdtPr>
        <w:rPr>
          <w:rFonts w:hint="eastAsia" w:ascii="微软雅黑" w:hAnsi="微软雅黑" w:eastAsia="微软雅黑" w:cs="微软雅黑"/>
          <w:color w:val="auto"/>
          <w:highlight w:val="none"/>
        </w:rPr>
        <w:id w:val="147479700"/>
        <w15:color w:val="DBDBDB"/>
        <w:docPartObj>
          <w:docPartGallery w:val="Table of Contents"/>
          <w:docPartUnique/>
        </w:docPartObj>
      </w:sdtPr>
      <w:sdtEndPr>
        <w:rPr>
          <w:rFonts w:hint="eastAsia" w:ascii="微软雅黑" w:hAnsi="微软雅黑" w:eastAsia="微软雅黑" w:cs="微软雅黑"/>
          <w:b/>
          <w:bCs/>
          <w:color w:val="auto"/>
          <w:szCs w:val="21"/>
          <w:highlight w:val="none"/>
        </w:rPr>
      </w:sdtEndPr>
      <w:sdtContent>
        <w:p>
          <w:pPr>
            <w:jc w:val="center"/>
            <w:rPr>
              <w:rFonts w:ascii="微软雅黑" w:hAnsi="微软雅黑" w:eastAsia="微软雅黑" w:cs="微软雅黑"/>
              <w:b/>
              <w:bCs/>
              <w:color w:val="auto"/>
              <w:sz w:val="28"/>
              <w:szCs w:val="36"/>
              <w:highlight w:val="none"/>
            </w:rPr>
          </w:pPr>
          <w:r>
            <w:rPr>
              <w:rFonts w:hint="eastAsia" w:ascii="微软雅黑" w:hAnsi="微软雅黑" w:eastAsia="微软雅黑" w:cs="微软雅黑"/>
              <w:b/>
              <w:bCs/>
              <w:color w:val="auto"/>
              <w:sz w:val="36"/>
              <w:szCs w:val="44"/>
              <w:highlight w:val="none"/>
            </w:rPr>
            <w:t>目录</w:t>
          </w:r>
        </w:p>
        <w:p>
          <w:pPr>
            <w:pStyle w:val="49"/>
            <w:tabs>
              <w:tab w:val="right" w:leader="dot" w:pos="9497"/>
            </w:tabs>
            <w:spacing w:line="720" w:lineRule="auto"/>
            <w:rPr>
              <w:rFonts w:hint="eastAsia" w:ascii="微软雅黑" w:hAnsi="微软雅黑" w:eastAsia="微软雅黑" w:cs="微软雅黑"/>
              <w:b/>
              <w:bCs/>
              <w:color w:val="auto"/>
              <w:sz w:val="32"/>
              <w:szCs w:val="32"/>
              <w:highlight w:val="none"/>
            </w:rPr>
          </w:pPr>
        </w:p>
        <w:p>
          <w:pPr>
            <w:pStyle w:val="49"/>
            <w:tabs>
              <w:tab w:val="right" w:leader="dot" w:pos="9497"/>
            </w:tabs>
            <w:spacing w:line="720" w:lineRule="auto"/>
            <w:rPr>
              <w:rFonts w:ascii="微软雅黑" w:hAnsi="微软雅黑" w:eastAsia="微软雅黑" w:cs="微软雅黑"/>
              <w:b w:val="0"/>
              <w:bCs w:val="0"/>
              <w:color w:val="auto"/>
              <w:sz w:val="28"/>
              <w:szCs w:val="28"/>
              <w:highlight w:val="none"/>
            </w:rPr>
          </w:pPr>
          <w:r>
            <w:rPr>
              <w:rFonts w:hint="eastAsia" w:ascii="微软雅黑" w:hAnsi="微软雅黑" w:eastAsia="微软雅黑" w:cs="微软雅黑"/>
              <w:b/>
              <w:bCs/>
              <w:color w:val="auto"/>
              <w:sz w:val="32"/>
              <w:szCs w:val="32"/>
              <w:highlight w:val="none"/>
            </w:rPr>
            <w:fldChar w:fldCharType="begin"/>
          </w:r>
          <w:r>
            <w:rPr>
              <w:rFonts w:hint="eastAsia" w:ascii="微软雅黑" w:hAnsi="微软雅黑" w:eastAsia="微软雅黑" w:cs="微软雅黑"/>
              <w:b/>
              <w:bCs/>
              <w:color w:val="auto"/>
              <w:sz w:val="32"/>
              <w:szCs w:val="32"/>
              <w:highlight w:val="none"/>
            </w:rPr>
            <w:instrText xml:space="preserve">TOC \o "1-1" \h \u </w:instrText>
          </w:r>
          <w:r>
            <w:rPr>
              <w:rFonts w:hint="eastAsia" w:ascii="微软雅黑" w:hAnsi="微软雅黑" w:eastAsia="微软雅黑" w:cs="微软雅黑"/>
              <w:b/>
              <w:bCs/>
              <w:color w:val="auto"/>
              <w:sz w:val="32"/>
              <w:szCs w:val="32"/>
              <w:highlight w:val="none"/>
            </w:rPr>
            <w:fldChar w:fldCharType="separate"/>
          </w:r>
          <w:r>
            <w:rPr>
              <w:b w:val="0"/>
              <w:bCs w:val="0"/>
              <w:color w:val="auto"/>
              <w:sz w:val="28"/>
              <w:szCs w:val="28"/>
              <w:highlight w:val="none"/>
            </w:rPr>
            <w:fldChar w:fldCharType="begin"/>
          </w:r>
          <w:r>
            <w:rPr>
              <w:b w:val="0"/>
              <w:bCs w:val="0"/>
              <w:color w:val="auto"/>
              <w:sz w:val="28"/>
              <w:szCs w:val="28"/>
              <w:highlight w:val="none"/>
            </w:rPr>
            <w:instrText xml:space="preserve"> HYPERLINK \l "_Toc2702"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第一章  竞争性磋商公告</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_Toc2702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"_Toc542"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第二章  响应人须知</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_Toc542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9</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"_Toc29268"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第三章  磋商项目服务范围及要求</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_Toc29268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22</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"_Toc2865"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第四章  磋商原则和程序</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_Toc2865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31</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"_Toc31117"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第五章  合同主要条款</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_Toc31117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39</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bCs/>
              <w:color w:val="auto"/>
              <w:sz w:val="32"/>
              <w:szCs w:val="32"/>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"_Toc25421" </w:instrText>
          </w:r>
          <w:r>
            <w:rPr>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第六章  响应文件格式</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_Toc25421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39</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49"/>
            <w:tabs>
              <w:tab w:val="right" w:leader="dot" w:pos="9497"/>
            </w:tabs>
            <w:spacing w:line="720" w:lineRule="auto"/>
            <w:rPr>
              <w:rFonts w:ascii="微软雅黑" w:hAnsi="微软雅黑" w:eastAsia="微软雅黑" w:cs="微软雅黑"/>
              <w:b/>
              <w:bCs/>
              <w:color w:val="auto"/>
              <w:sz w:val="32"/>
              <w:szCs w:val="32"/>
              <w:highlight w:val="none"/>
            </w:rPr>
          </w:pPr>
        </w:p>
        <w:p>
          <w:pPr>
            <w:spacing w:line="720" w:lineRule="auto"/>
            <w:rPr>
              <w:rFonts w:ascii="微软雅黑" w:hAnsi="微软雅黑" w:eastAsia="微软雅黑" w:cs="微软雅黑"/>
              <w:b/>
              <w:bCs/>
              <w:color w:val="auto"/>
              <w:highlight w:val="none"/>
            </w:rPr>
          </w:pPr>
          <w:r>
            <w:rPr>
              <w:rFonts w:hint="eastAsia" w:ascii="微软雅黑" w:hAnsi="微软雅黑" w:eastAsia="微软雅黑" w:cs="微软雅黑"/>
              <w:b/>
              <w:bCs/>
              <w:color w:val="auto"/>
              <w:sz w:val="32"/>
              <w:szCs w:val="32"/>
              <w:highlight w:val="none"/>
            </w:rPr>
            <w:fldChar w:fldCharType="end"/>
          </w:r>
        </w:p>
      </w:sdtContent>
    </w:sdt>
    <w:p>
      <w:pPr>
        <w:pStyle w:val="28"/>
        <w:ind w:firstLine="640" w:firstLineChars="200"/>
        <w:rPr>
          <w:rFonts w:ascii="微软雅黑" w:hAnsi="微软雅黑" w:eastAsia="微软雅黑" w:cs="微软雅黑"/>
          <w:color w:val="auto"/>
          <w:highlight w:val="none"/>
        </w:rPr>
      </w:pPr>
      <w:bookmarkStart w:id="1" w:name="_Toc13387"/>
      <w:bookmarkEnd w:id="1"/>
      <w:bookmarkStart w:id="2" w:name="_Toc16770358"/>
      <w:r>
        <w:rPr>
          <w:rFonts w:hint="eastAsia" w:ascii="微软雅黑" w:hAnsi="微软雅黑" w:eastAsia="微软雅黑" w:cs="微软雅黑"/>
          <w:color w:val="auto"/>
          <w:highlight w:val="none"/>
        </w:rPr>
        <w:br w:type="page"/>
      </w:r>
      <w:bookmarkStart w:id="3" w:name="_Toc2702"/>
      <w:r>
        <w:rPr>
          <w:rFonts w:hint="eastAsia" w:ascii="微软雅黑" w:hAnsi="微软雅黑" w:eastAsia="微软雅黑" w:cs="微软雅黑"/>
          <w:color w:val="auto"/>
          <w:highlight w:val="none"/>
        </w:rPr>
        <w:t>第一章   竞争性磋商公告</w:t>
      </w:r>
      <w:bookmarkEnd w:id="2"/>
      <w:bookmarkEnd w:id="3"/>
      <w:bookmarkStart w:id="4" w:name="OLE_LINK1"/>
    </w:p>
    <w:p>
      <w:pPr>
        <w:jc w:val="center"/>
        <w:rPr>
          <w:rFonts w:ascii="微软雅黑" w:hAnsi="微软雅黑" w:eastAsia="微软雅黑" w:cs="微软雅黑"/>
          <w:b/>
          <w:bCs/>
          <w:color w:val="auto"/>
          <w:sz w:val="28"/>
          <w:szCs w:val="28"/>
          <w:highlight w:val="none"/>
        </w:rPr>
      </w:pPr>
      <w:bookmarkStart w:id="5" w:name="OLE_LINK5"/>
      <w:r>
        <w:rPr>
          <w:rFonts w:hint="eastAsia" w:ascii="微软雅黑" w:hAnsi="微软雅黑" w:eastAsia="微软雅黑" w:cs="微软雅黑"/>
          <w:b/>
          <w:bCs/>
          <w:color w:val="auto"/>
          <w:sz w:val="28"/>
          <w:szCs w:val="28"/>
          <w:highlight w:val="none"/>
          <w:lang w:eastAsia="zh-CN"/>
        </w:rPr>
        <w:t>安吉县自然资源和规划局购买地质灾害监测设备运维服务政府采购项目</w:t>
      </w:r>
      <w:r>
        <w:rPr>
          <w:rFonts w:hint="eastAsia" w:ascii="微软雅黑" w:hAnsi="微软雅黑" w:eastAsia="微软雅黑" w:cs="微软雅黑"/>
          <w:b/>
          <w:bCs/>
          <w:color w:val="auto"/>
          <w:sz w:val="28"/>
          <w:szCs w:val="28"/>
          <w:highlight w:val="none"/>
        </w:rPr>
        <w:t>竞争性磋商公告</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bookmarkStart w:id="6" w:name="OLE_LINK2"/>
      <w:bookmarkStart w:id="7" w:name="OLE_LINK4"/>
      <w:bookmarkStart w:id="8" w:name="OLE_LINK6"/>
      <w:bookmarkStart w:id="9" w:name="OLE_LINK3"/>
      <w:r>
        <w:rPr>
          <w:rFonts w:hint="eastAsia" w:ascii="微软雅黑" w:hAnsi="微软雅黑" w:eastAsia="微软雅黑" w:cs="微软雅黑"/>
          <w:color w:val="auto"/>
          <w:kern w:val="2"/>
          <w:sz w:val="22"/>
          <w:szCs w:val="22"/>
          <w:highlight w:val="none"/>
        </w:rPr>
        <w:t>根据《中华人民共和国政府采购法》、《政府采购竞争性磋商采购方式管理暂行办法》等有关规定，经政府采购管理部门批准，浙江明业项目管理有限公司受安吉县自然资源和规划局的委托，就</w:t>
      </w:r>
      <w:r>
        <w:rPr>
          <w:rFonts w:hint="eastAsia" w:ascii="微软雅黑" w:hAnsi="微软雅黑" w:eastAsia="微软雅黑" w:cs="微软雅黑"/>
          <w:b/>
          <w:bCs/>
          <w:color w:val="auto"/>
          <w:kern w:val="2"/>
          <w:sz w:val="22"/>
          <w:szCs w:val="22"/>
          <w:highlight w:val="none"/>
          <w:u w:val="single"/>
          <w:lang w:eastAsia="zh-CN"/>
        </w:rPr>
        <w:t>安吉县自然资源和规划局购买地质灾害监测设备运维服务政府采购项目</w:t>
      </w:r>
      <w:r>
        <w:rPr>
          <w:rFonts w:hint="eastAsia" w:ascii="微软雅黑" w:hAnsi="微软雅黑" w:eastAsia="微软雅黑" w:cs="微软雅黑"/>
          <w:color w:val="auto"/>
          <w:kern w:val="2"/>
          <w:sz w:val="22"/>
          <w:szCs w:val="22"/>
          <w:highlight w:val="none"/>
        </w:rPr>
        <w:t>进行竞争性磋商，欢迎国内合格的供应商前来磋商。</w:t>
      </w:r>
    </w:p>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b/>
          <w:color w:val="auto"/>
          <w:kern w:val="0"/>
          <w:sz w:val="22"/>
          <w:szCs w:val="22"/>
          <w:highlight w:val="none"/>
        </w:rPr>
        <w:t>一、磋商项目编号</w:t>
      </w:r>
      <w:r>
        <w:rPr>
          <w:rFonts w:hint="eastAsia" w:ascii="微软雅黑" w:hAnsi="微软雅黑" w:eastAsia="微软雅黑" w:cs="微软雅黑"/>
          <w:color w:val="auto"/>
          <w:kern w:val="0"/>
          <w:sz w:val="22"/>
          <w:szCs w:val="22"/>
          <w:highlight w:val="none"/>
        </w:rPr>
        <w:t>:</w:t>
      </w:r>
      <w:r>
        <w:rPr>
          <w:rFonts w:hint="eastAsia" w:ascii="微软雅黑" w:hAnsi="微软雅黑" w:eastAsia="微软雅黑" w:cs="微软雅黑"/>
          <w:color w:val="auto"/>
          <w:kern w:val="0"/>
          <w:sz w:val="22"/>
          <w:szCs w:val="22"/>
          <w:highlight w:val="none"/>
          <w:lang w:eastAsia="zh-CN"/>
        </w:rPr>
        <w:t>ZJMY（采）2024-007</w:t>
      </w:r>
    </w:p>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b/>
          <w:color w:val="auto"/>
          <w:kern w:val="0"/>
          <w:sz w:val="22"/>
          <w:szCs w:val="22"/>
          <w:highlight w:val="none"/>
        </w:rPr>
        <w:t>二、磋商项目概况</w:t>
      </w:r>
      <w:r>
        <w:rPr>
          <w:rFonts w:hint="eastAsia" w:ascii="微软雅黑" w:hAnsi="微软雅黑" w:eastAsia="微软雅黑" w:cs="微软雅黑"/>
          <w:color w:val="auto"/>
          <w:kern w:val="0"/>
          <w:sz w:val="22"/>
          <w:szCs w:val="22"/>
          <w:highlight w:val="none"/>
        </w:rPr>
        <w:t>：</w:t>
      </w:r>
      <w:bookmarkStart w:id="10" w:name="B09_招标内容"/>
    </w:p>
    <w:bookmarkEnd w:id="10"/>
    <w:tbl>
      <w:tblPr>
        <w:tblStyle w:val="3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423"/>
        <w:gridCol w:w="4845"/>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0" w:type="dxa"/>
            <w:noWrap w:val="0"/>
            <w:vAlign w:val="center"/>
          </w:tcPr>
          <w:p>
            <w:pPr>
              <w:keepNext w:val="0"/>
              <w:keepLines w:val="0"/>
              <w:pageBreakBefore w:val="0"/>
              <w:tabs>
                <w:tab w:val="left" w:pos="360"/>
              </w:tab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Times New Roman"/>
                <w:color w:val="auto"/>
                <w:sz w:val="21"/>
                <w:szCs w:val="21"/>
                <w:highlight w:val="none"/>
              </w:rPr>
            </w:pPr>
            <w:bookmarkStart w:id="11" w:name="_Hlk117066262"/>
            <w:r>
              <w:rPr>
                <w:rFonts w:hint="eastAsia" w:ascii="微软雅黑" w:hAnsi="微软雅黑" w:eastAsia="微软雅黑" w:cs="Times New Roman"/>
                <w:color w:val="auto"/>
                <w:sz w:val="21"/>
                <w:szCs w:val="21"/>
                <w:highlight w:val="none"/>
              </w:rPr>
              <w:t>序号</w:t>
            </w:r>
          </w:p>
        </w:tc>
        <w:tc>
          <w:tcPr>
            <w:tcW w:w="2423" w:type="dxa"/>
            <w:noWrap w:val="0"/>
            <w:vAlign w:val="center"/>
          </w:tcPr>
          <w:p>
            <w:pPr>
              <w:keepNext w:val="0"/>
              <w:keepLines w:val="0"/>
              <w:pageBreakBefore w:val="0"/>
              <w:tabs>
                <w:tab w:val="left" w:pos="360"/>
              </w:tab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名称</w:t>
            </w:r>
          </w:p>
        </w:tc>
        <w:tc>
          <w:tcPr>
            <w:tcW w:w="4845" w:type="dxa"/>
            <w:noWrap w:val="0"/>
            <w:vAlign w:val="center"/>
          </w:tcPr>
          <w:p>
            <w:pPr>
              <w:keepNext w:val="0"/>
              <w:keepLines w:val="0"/>
              <w:pageBreakBefore w:val="0"/>
              <w:tabs>
                <w:tab w:val="left" w:pos="360"/>
              </w:tab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内容及要求</w:t>
            </w:r>
          </w:p>
        </w:tc>
        <w:tc>
          <w:tcPr>
            <w:tcW w:w="1142" w:type="dxa"/>
            <w:noWrap w:val="0"/>
            <w:vAlign w:val="center"/>
          </w:tcPr>
          <w:p>
            <w:pPr>
              <w:keepNext w:val="0"/>
              <w:keepLines w:val="0"/>
              <w:pageBreakBefore w:val="0"/>
              <w:tabs>
                <w:tab w:val="left" w:pos="360"/>
              </w:tab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w:t>
            </w:r>
          </w:p>
        </w:tc>
        <w:tc>
          <w:tcPr>
            <w:tcW w:w="2423"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宋体"/>
                <w:color w:val="auto"/>
                <w:sz w:val="21"/>
                <w:szCs w:val="21"/>
                <w:highlight w:val="none"/>
                <w:lang w:eastAsia="zh-CN"/>
              </w:rPr>
            </w:pPr>
            <w:r>
              <w:rPr>
                <w:rFonts w:hint="eastAsia" w:ascii="微软雅黑" w:hAnsi="微软雅黑" w:eastAsia="微软雅黑" w:cs="宋体"/>
                <w:color w:val="auto"/>
                <w:kern w:val="0"/>
                <w:sz w:val="21"/>
                <w:szCs w:val="21"/>
                <w:highlight w:val="none"/>
                <w:lang w:eastAsia="zh-CN"/>
              </w:rPr>
              <w:t>安吉县自然资源和规划局购买地质灾害监测设备运维服务政府采购项目</w:t>
            </w:r>
          </w:p>
        </w:tc>
        <w:tc>
          <w:tcPr>
            <w:tcW w:w="484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2023年到期和2024年即将到期的44个点位（包含15个雨量站）116个设备三年的运维服务</w:t>
            </w:r>
          </w:p>
        </w:tc>
        <w:tc>
          <w:tcPr>
            <w:tcW w:w="1142"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微软雅黑" w:hAnsi="微软雅黑" w:eastAsia="微软雅黑" w:cs="宋体"/>
                <w:color w:val="auto"/>
                <w:sz w:val="21"/>
                <w:szCs w:val="21"/>
                <w:highlight w:val="none"/>
              </w:rPr>
            </w:pPr>
            <w:r>
              <w:rPr>
                <w:rFonts w:hint="eastAsia" w:ascii="微软雅黑" w:hAnsi="微软雅黑" w:eastAsia="微软雅黑" w:cs="宋体"/>
                <w:color w:val="auto"/>
                <w:kern w:val="0"/>
                <w:sz w:val="21"/>
                <w:szCs w:val="21"/>
                <w:highlight w:val="none"/>
              </w:rPr>
              <w:t>55</w:t>
            </w:r>
            <w:r>
              <w:rPr>
                <w:rFonts w:hint="eastAsia" w:ascii="微软雅黑" w:hAnsi="微软雅黑" w:eastAsia="微软雅黑" w:cs="宋体"/>
                <w:color w:val="auto"/>
                <w:kern w:val="0"/>
                <w:sz w:val="21"/>
                <w:szCs w:val="21"/>
                <w:highlight w:val="none"/>
                <w:lang w:val="en-US" w:eastAsia="zh-CN"/>
              </w:rPr>
              <w:t>.</w:t>
            </w:r>
            <w:r>
              <w:rPr>
                <w:rFonts w:hint="eastAsia" w:ascii="微软雅黑" w:hAnsi="微软雅黑" w:eastAsia="微软雅黑" w:cs="宋体"/>
                <w:color w:val="auto"/>
                <w:kern w:val="0"/>
                <w:sz w:val="21"/>
                <w:szCs w:val="21"/>
                <w:highlight w:val="none"/>
              </w:rPr>
              <w:t>5582万元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450" w:type="dxa"/>
            <w:gridSpan w:val="4"/>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注：1、本项目采购预算为</w:t>
            </w:r>
            <w:r>
              <w:rPr>
                <w:rFonts w:hint="eastAsia" w:ascii="微软雅黑" w:hAnsi="微软雅黑" w:eastAsia="微软雅黑" w:cs="宋体"/>
                <w:color w:val="auto"/>
                <w:kern w:val="0"/>
                <w:sz w:val="21"/>
                <w:szCs w:val="21"/>
                <w:highlight w:val="none"/>
              </w:rPr>
              <w:t>55</w:t>
            </w:r>
            <w:r>
              <w:rPr>
                <w:rFonts w:hint="eastAsia" w:ascii="微软雅黑" w:hAnsi="微软雅黑" w:eastAsia="微软雅黑" w:cs="宋体"/>
                <w:color w:val="auto"/>
                <w:kern w:val="0"/>
                <w:sz w:val="21"/>
                <w:szCs w:val="21"/>
                <w:highlight w:val="none"/>
                <w:lang w:val="en-US" w:eastAsia="zh-CN"/>
              </w:rPr>
              <w:t>.</w:t>
            </w:r>
            <w:r>
              <w:rPr>
                <w:rFonts w:hint="eastAsia" w:ascii="微软雅黑" w:hAnsi="微软雅黑" w:eastAsia="微软雅黑" w:cs="宋体"/>
                <w:color w:val="auto"/>
                <w:kern w:val="0"/>
                <w:sz w:val="21"/>
                <w:szCs w:val="21"/>
                <w:highlight w:val="none"/>
              </w:rPr>
              <w:t>5582</w:t>
            </w:r>
            <w:r>
              <w:rPr>
                <w:rFonts w:hint="eastAsia" w:ascii="微软雅黑" w:hAnsi="微软雅黑" w:eastAsia="微软雅黑" w:cs="Times New Roman"/>
                <w:color w:val="auto"/>
                <w:sz w:val="21"/>
                <w:szCs w:val="21"/>
                <w:highlight w:val="none"/>
              </w:rPr>
              <w:t>万元，</w:t>
            </w:r>
            <w:r>
              <w:rPr>
                <w:rFonts w:hint="eastAsia" w:ascii="微软雅黑" w:hAnsi="微软雅黑" w:eastAsia="微软雅黑" w:cs="Times New Roman"/>
                <w:color w:val="auto"/>
                <w:sz w:val="21"/>
                <w:szCs w:val="21"/>
                <w:highlight w:val="none"/>
                <w:lang w:eastAsia="zh-CN"/>
              </w:rPr>
              <w:t>磋商报价</w:t>
            </w:r>
            <w:r>
              <w:rPr>
                <w:rFonts w:hint="eastAsia" w:ascii="微软雅黑" w:hAnsi="微软雅黑" w:eastAsia="微软雅黑" w:cs="Times New Roman"/>
                <w:color w:val="auto"/>
                <w:sz w:val="21"/>
                <w:szCs w:val="21"/>
                <w:highlight w:val="none"/>
              </w:rPr>
              <w:t>超预算价的</w:t>
            </w:r>
            <w:r>
              <w:rPr>
                <w:rFonts w:hint="eastAsia" w:ascii="微软雅黑" w:hAnsi="微软雅黑" w:eastAsia="微软雅黑" w:cs="Times New Roman"/>
                <w:color w:val="auto"/>
                <w:sz w:val="21"/>
                <w:szCs w:val="21"/>
                <w:highlight w:val="none"/>
                <w:lang w:eastAsia="zh-CN"/>
              </w:rPr>
              <w:t>响应无效</w:t>
            </w:r>
            <w:r>
              <w:rPr>
                <w:rFonts w:hint="eastAsia" w:ascii="微软雅黑" w:hAnsi="微软雅黑" w:eastAsia="微软雅黑"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2、</w:t>
            </w:r>
            <w:r>
              <w:rPr>
                <w:rFonts w:hint="eastAsia" w:ascii="微软雅黑" w:hAnsi="微软雅黑" w:eastAsia="微软雅黑" w:cs="Times New Roman"/>
                <w:color w:val="auto"/>
                <w:sz w:val="21"/>
                <w:szCs w:val="21"/>
                <w:highlight w:val="none"/>
                <w:lang w:eastAsia="zh-CN"/>
              </w:rPr>
              <w:t>磋商报价</w:t>
            </w:r>
            <w:r>
              <w:rPr>
                <w:rFonts w:hint="eastAsia" w:ascii="微软雅黑" w:hAnsi="微软雅黑" w:eastAsia="微软雅黑" w:cs="Times New Roman"/>
                <w:color w:val="auto"/>
                <w:sz w:val="21"/>
                <w:szCs w:val="21"/>
                <w:highlight w:val="none"/>
              </w:rPr>
              <w:t>是履行合同的最终价格，包括</w:t>
            </w:r>
            <w:r>
              <w:rPr>
                <w:rFonts w:hint="eastAsia" w:ascii="微软雅黑" w:hAnsi="微软雅黑" w:eastAsia="微软雅黑" w:cs="Times New Roman"/>
                <w:color w:val="auto"/>
                <w:sz w:val="21"/>
                <w:szCs w:val="21"/>
                <w:highlight w:val="none"/>
                <w:lang w:eastAsia="zh-CN"/>
              </w:rPr>
              <w:t>采购文件、人员来往的交通、通信、食宿、税金、采购代理服务费等费用，凡未列入的均将被认为已包含在报价中。为一次性包死费用。</w:t>
            </w:r>
          </w:p>
        </w:tc>
      </w:tr>
      <w:bookmarkEnd w:id="11"/>
    </w:tbl>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b/>
          <w:color w:val="auto"/>
          <w:kern w:val="0"/>
          <w:sz w:val="22"/>
          <w:szCs w:val="22"/>
          <w:highlight w:val="none"/>
        </w:rPr>
        <w:t>三、磋商供应商资格要求</w:t>
      </w:r>
      <w:r>
        <w:rPr>
          <w:rFonts w:hint="eastAsia" w:ascii="微软雅黑" w:hAnsi="微软雅黑" w:eastAsia="微软雅黑" w:cs="微软雅黑"/>
          <w:color w:val="auto"/>
          <w:kern w:val="0"/>
          <w:sz w:val="22"/>
          <w:szCs w:val="22"/>
          <w:highlight w:val="none"/>
        </w:rPr>
        <w:t>：</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符合《中华人民共和国政府采购法》第二十二条规定：供应商应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至本项目磋商响应截止时间前，供应商未列入失信被执行人、重大税收违法案件当事人名单、政府采购严重违法失信行为记录名单（以“信用中国”网站www.creditchina.gov.cn、“中国政府采购网”www.ccgp.gov.cn查询结果为准）；</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3、单位负责人为同一人或者存在控股、管理关系的不同单位，不得同时参加本项目采购活动；</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4、供应商的特定条件：</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（1）本项目不接受联合体磋商响应，禁止转包。</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w:t>
      </w:r>
      <w:r>
        <w:rPr>
          <w:rFonts w:hint="eastAsia" w:ascii="微软雅黑" w:hAnsi="微软雅黑" w:eastAsia="微软雅黑" w:cs="微软雅黑"/>
          <w:b/>
          <w:bCs/>
          <w:color w:val="auto"/>
          <w:kern w:val="2"/>
          <w:sz w:val="22"/>
          <w:szCs w:val="22"/>
          <w:highlight w:val="none"/>
          <w:lang w:val="en-US" w:eastAsia="zh-CN"/>
        </w:rPr>
        <w:t>2</w:t>
      </w:r>
      <w:r>
        <w:rPr>
          <w:rFonts w:hint="eastAsia" w:ascii="微软雅黑" w:hAnsi="微软雅黑" w:eastAsia="微软雅黑" w:cs="微软雅黑"/>
          <w:b/>
          <w:bCs/>
          <w:color w:val="auto"/>
          <w:kern w:val="2"/>
          <w:sz w:val="22"/>
          <w:szCs w:val="22"/>
          <w:highlight w:val="none"/>
        </w:rPr>
        <w:t>）本项目专门面向中小企业采购，采购标的对应的中小企业划分标准所属行业为其他未列明行业。供应商需提供符合《政府采购促进中小企业发展管理办法》（财库【2020】46号）和本采购文件规定的《中小企业声明函》（格式见附件）或提供残疾人福利性单位《残疾人福利性单位声明函》（格式见附件）或提供监狱企业证明文件(需省级以上监狱管理局、戒毒管理局（含新疆生产建设兵团）出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四、竞争性磋商文件的获取时间及地点等：</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1、报名及获取竞争性磋商文件时间：</w:t>
      </w:r>
      <w:r>
        <w:rPr>
          <w:rFonts w:hint="eastAsia" w:ascii="微软雅黑" w:hAnsi="微软雅黑" w:eastAsia="微软雅黑" w:cs="微软雅黑"/>
          <w:color w:val="auto"/>
          <w:kern w:val="2"/>
          <w:sz w:val="22"/>
          <w:szCs w:val="22"/>
          <w:highlight w:val="none"/>
          <w:lang w:eastAsia="zh-CN"/>
        </w:rPr>
        <w:t>2024年</w:t>
      </w:r>
      <w:r>
        <w:rPr>
          <w:rFonts w:hint="eastAsia" w:ascii="微软雅黑" w:hAnsi="微软雅黑" w:eastAsia="微软雅黑" w:cs="微软雅黑"/>
          <w:color w:val="auto"/>
          <w:kern w:val="2"/>
          <w:sz w:val="22"/>
          <w:szCs w:val="22"/>
          <w:highlight w:val="none"/>
          <w:lang w:val="en-US" w:eastAsia="zh-CN"/>
        </w:rPr>
        <w:t>4</w:t>
      </w:r>
      <w:r>
        <w:rPr>
          <w:rFonts w:hint="eastAsia" w:ascii="微软雅黑" w:hAnsi="微软雅黑" w:eastAsia="微软雅黑" w:cs="微软雅黑"/>
          <w:color w:val="auto"/>
          <w:kern w:val="2"/>
          <w:sz w:val="22"/>
          <w:szCs w:val="22"/>
          <w:highlight w:val="none"/>
          <w:lang w:eastAsia="zh-CN"/>
        </w:rPr>
        <w:t>月</w:t>
      </w:r>
      <w:r>
        <w:rPr>
          <w:rFonts w:hint="eastAsia" w:ascii="微软雅黑" w:hAnsi="微软雅黑" w:eastAsia="微软雅黑" w:cs="微软雅黑"/>
          <w:color w:val="auto"/>
          <w:kern w:val="2"/>
          <w:sz w:val="22"/>
          <w:szCs w:val="22"/>
          <w:highlight w:val="none"/>
          <w:lang w:val="en-US" w:eastAsia="zh-CN"/>
        </w:rPr>
        <w:t>29</w:t>
      </w:r>
      <w:r>
        <w:rPr>
          <w:rFonts w:hint="eastAsia" w:ascii="微软雅黑" w:hAnsi="微软雅黑" w:eastAsia="微软雅黑" w:cs="微软雅黑"/>
          <w:color w:val="auto"/>
          <w:kern w:val="2"/>
          <w:sz w:val="22"/>
          <w:szCs w:val="22"/>
          <w:highlight w:val="none"/>
        </w:rPr>
        <w:t>日至</w:t>
      </w:r>
      <w:r>
        <w:rPr>
          <w:rFonts w:hint="eastAsia" w:ascii="微软雅黑" w:hAnsi="微软雅黑" w:eastAsia="微软雅黑" w:cs="微软雅黑"/>
          <w:color w:val="auto"/>
          <w:kern w:val="2"/>
          <w:sz w:val="22"/>
          <w:szCs w:val="22"/>
          <w:highlight w:val="none"/>
          <w:lang w:eastAsia="zh-CN"/>
        </w:rPr>
        <w:t>2024年</w:t>
      </w:r>
      <w:r>
        <w:rPr>
          <w:rFonts w:hint="eastAsia" w:ascii="微软雅黑" w:hAnsi="微软雅黑" w:eastAsia="微软雅黑" w:cs="微软雅黑"/>
          <w:color w:val="auto"/>
          <w:kern w:val="2"/>
          <w:sz w:val="22"/>
          <w:szCs w:val="22"/>
          <w:highlight w:val="none"/>
          <w:lang w:val="en-US" w:eastAsia="zh-CN"/>
        </w:rPr>
        <w:t>5</w:t>
      </w:r>
      <w:r>
        <w:rPr>
          <w:rFonts w:hint="eastAsia" w:ascii="微软雅黑" w:hAnsi="微软雅黑" w:eastAsia="微软雅黑" w:cs="微软雅黑"/>
          <w:color w:val="auto"/>
          <w:kern w:val="2"/>
          <w:sz w:val="22"/>
          <w:szCs w:val="22"/>
          <w:highlight w:val="none"/>
          <w:lang w:eastAsia="zh-CN"/>
        </w:rPr>
        <w:t>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rPr>
        <w:t xml:space="preserve">日（潜在供应商报名及获取磋商文件前应当在政采云电子交易平台上注册账号并登录，截止时间后不再接受潜在供应商报名及获取磋商文件) </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本项目不接受供应商现场报名，供应商须登录浙江政府采购网（http://zfcg.czt.zj.gov.cn/）进入政采云系统“项目采购”模块“获取采购文件”菜单，进行网上获取磋商文件（“政采云”注册账号、密码登录系统后获取磋商文件）。</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3、免费注册网址：浙江政府采购网（供应商注册页面）：</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https://middle.zcygov.cn/settle-front/#/registry“政采云”，咨询电话：400-881-7190。</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已经注册成功的供应商无需重复注册。</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磋商公告附件内的磋商文件（或采购需求）仅供阅览使用，供应商只有在“政府采购云平台”完成磋商响应报名并下载了磋商文件后才视作依法获取磋商文件。未按规定在“政府采购云平台”完成磋商响应报名并获取磋商文件的供应商，对磋商文件提起的质疑、投诉将不予受理。</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五、磋商响应文件的递交及相关事宜：</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1、磋商响应文件递交的截止时间（磋商响应截止时间，下同）：</w:t>
      </w:r>
      <w:r>
        <w:rPr>
          <w:rFonts w:hint="eastAsia" w:ascii="微软雅黑" w:hAnsi="微软雅黑" w:eastAsia="微软雅黑" w:cs="微软雅黑"/>
          <w:color w:val="auto"/>
          <w:kern w:val="2"/>
          <w:sz w:val="22"/>
          <w:szCs w:val="22"/>
          <w:highlight w:val="none"/>
          <w:lang w:eastAsia="zh-CN"/>
        </w:rPr>
        <w:t>2024年</w:t>
      </w:r>
      <w:r>
        <w:rPr>
          <w:rFonts w:hint="eastAsia" w:ascii="微软雅黑" w:hAnsi="微软雅黑" w:eastAsia="微软雅黑" w:cs="微软雅黑"/>
          <w:color w:val="auto"/>
          <w:kern w:val="2"/>
          <w:sz w:val="22"/>
          <w:szCs w:val="22"/>
          <w:highlight w:val="none"/>
          <w:lang w:val="en-US" w:eastAsia="zh-CN"/>
        </w:rPr>
        <w:t>5</w:t>
      </w:r>
      <w:r>
        <w:rPr>
          <w:rFonts w:hint="eastAsia" w:ascii="微软雅黑" w:hAnsi="微软雅黑" w:eastAsia="微软雅黑" w:cs="微软雅黑"/>
          <w:color w:val="auto"/>
          <w:kern w:val="2"/>
          <w:sz w:val="22"/>
          <w:szCs w:val="22"/>
          <w:highlight w:val="none"/>
          <w:lang w:eastAsia="zh-CN"/>
        </w:rPr>
        <w:t>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rPr>
        <w:t>日</w:t>
      </w:r>
      <w:r>
        <w:rPr>
          <w:rFonts w:hint="eastAsia" w:ascii="微软雅黑" w:hAnsi="微软雅黑" w:eastAsia="微软雅黑" w:cs="微软雅黑"/>
          <w:color w:val="auto"/>
          <w:kern w:val="2"/>
          <w:sz w:val="22"/>
          <w:szCs w:val="22"/>
          <w:highlight w:val="none"/>
          <w:lang w:val="en-US" w:eastAsia="zh-CN"/>
        </w:rPr>
        <w:t>上午09</w:t>
      </w:r>
      <w:r>
        <w:rPr>
          <w:rFonts w:hint="eastAsia" w:ascii="微软雅黑" w:hAnsi="微软雅黑" w:eastAsia="微软雅黑" w:cs="微软雅黑"/>
          <w:color w:val="auto"/>
          <w:kern w:val="2"/>
          <w:sz w:val="22"/>
          <w:szCs w:val="22"/>
          <w:highlight w:val="none"/>
        </w:rPr>
        <w:t>：</w:t>
      </w:r>
      <w:r>
        <w:rPr>
          <w:rFonts w:hint="eastAsia" w:ascii="微软雅黑" w:hAnsi="微软雅黑" w:eastAsia="微软雅黑" w:cs="微软雅黑"/>
          <w:color w:val="auto"/>
          <w:kern w:val="2"/>
          <w:sz w:val="22"/>
          <w:szCs w:val="22"/>
          <w:highlight w:val="none"/>
          <w:lang w:val="en-US" w:eastAsia="zh-CN"/>
        </w:rPr>
        <w:t>30</w:t>
      </w:r>
      <w:r>
        <w:rPr>
          <w:rFonts w:hint="eastAsia" w:ascii="微软雅黑" w:hAnsi="微软雅黑" w:eastAsia="微软雅黑" w:cs="微软雅黑"/>
          <w:color w:val="auto"/>
          <w:kern w:val="2"/>
          <w:sz w:val="22"/>
          <w:szCs w:val="22"/>
          <w:highlight w:val="none"/>
        </w:rPr>
        <w:t>时（北京时间）。</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2、磋商响应文件的递交方式：</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2.1按政采云平台项目采购-电子交易操作指南及本磋商文件要求递交。供应商应当在</w:t>
      </w:r>
      <w:r>
        <w:rPr>
          <w:rFonts w:hint="eastAsia" w:ascii="微软雅黑" w:hAnsi="微软雅黑" w:eastAsia="微软雅黑" w:cs="微软雅黑"/>
          <w:color w:val="auto"/>
          <w:kern w:val="2"/>
          <w:sz w:val="22"/>
          <w:szCs w:val="22"/>
          <w:highlight w:val="none"/>
          <w:lang w:eastAsia="zh-CN"/>
        </w:rPr>
        <w:t>2024年</w:t>
      </w:r>
      <w:r>
        <w:rPr>
          <w:rFonts w:hint="eastAsia" w:ascii="微软雅黑" w:hAnsi="微软雅黑" w:eastAsia="微软雅黑" w:cs="微软雅黑"/>
          <w:color w:val="auto"/>
          <w:kern w:val="2"/>
          <w:sz w:val="22"/>
          <w:szCs w:val="22"/>
          <w:highlight w:val="none"/>
          <w:lang w:val="en-US" w:eastAsia="zh-CN"/>
        </w:rPr>
        <w:t>5</w:t>
      </w:r>
      <w:r>
        <w:rPr>
          <w:rFonts w:hint="eastAsia" w:ascii="微软雅黑" w:hAnsi="微软雅黑" w:eastAsia="微软雅黑" w:cs="微软雅黑"/>
          <w:color w:val="auto"/>
          <w:kern w:val="2"/>
          <w:sz w:val="22"/>
          <w:szCs w:val="22"/>
          <w:highlight w:val="none"/>
          <w:lang w:eastAsia="zh-CN"/>
        </w:rPr>
        <w:t>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rPr>
        <w:t>日</w:t>
      </w:r>
      <w:r>
        <w:rPr>
          <w:rFonts w:hint="eastAsia" w:ascii="微软雅黑" w:hAnsi="微软雅黑" w:eastAsia="微软雅黑" w:cs="微软雅黑"/>
          <w:color w:val="auto"/>
          <w:kern w:val="2"/>
          <w:sz w:val="22"/>
          <w:szCs w:val="22"/>
          <w:highlight w:val="none"/>
          <w:lang w:val="en-US" w:eastAsia="zh-CN"/>
        </w:rPr>
        <w:t>上午09</w:t>
      </w:r>
      <w:r>
        <w:rPr>
          <w:rFonts w:hint="eastAsia" w:ascii="微软雅黑" w:hAnsi="微软雅黑" w:eastAsia="微软雅黑" w:cs="微软雅黑"/>
          <w:color w:val="auto"/>
          <w:kern w:val="2"/>
          <w:sz w:val="22"/>
          <w:szCs w:val="22"/>
          <w:highlight w:val="none"/>
        </w:rPr>
        <w:t>：</w:t>
      </w:r>
      <w:r>
        <w:rPr>
          <w:rFonts w:hint="eastAsia" w:ascii="微软雅黑" w:hAnsi="微软雅黑" w:eastAsia="微软雅黑" w:cs="微软雅黑"/>
          <w:color w:val="auto"/>
          <w:kern w:val="2"/>
          <w:sz w:val="22"/>
          <w:szCs w:val="22"/>
          <w:highlight w:val="none"/>
          <w:lang w:val="en-US" w:eastAsia="zh-CN"/>
        </w:rPr>
        <w:t>30</w:t>
      </w:r>
      <w:r>
        <w:rPr>
          <w:rFonts w:hint="eastAsia" w:ascii="微软雅黑" w:hAnsi="微软雅黑" w:eastAsia="微软雅黑" w:cs="微软雅黑"/>
          <w:color w:val="auto"/>
          <w:kern w:val="2"/>
          <w:sz w:val="22"/>
          <w:szCs w:val="22"/>
          <w:highlight w:val="none"/>
        </w:rPr>
        <w:t>时（北京时间），将生成的“电子加密磋商响应文件”上传递交至“政采云平台”。磋商响应截止时间以后上传递交的磋商响应文件将被“政采云平台”拒收。</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2.2供应商在“政采云平台”完成“电子加密磋商响应文件”的上传递交后，还可以在磋商响应截止时间前递交以介质（U盘）存储的数据电文形式的“备份磋商响应文件”。“备份磋商响应文件”是指与“电子加密磋商响应文件”同时生成的数据电文形式的电子文件，其他方式编制的备份磋商响应文件无效。“备份磋商响应文件”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通过“政采云平台”上传递交的“电子加密磋商响应文件”无法按时解密，供应商递交了备份磋商响应文件的，以备份磋商响应文件为依据，否则视为磋商响应文件撤回。通过“政采云平台”上传递交的“电子加密磋商响应文件”已按时解密的，“备份磋商响应文件”自动失效。供应商仅递交备份磋商响应文件的，磋商响应无效。</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为确保网上操作合法、有效和安全，供应商应当在磋商响应截止时间前完成在“政府采购云平台”的身份认证，确保在电子磋商响应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办理流程详见http://www.zjzfcg.gov.cn/bidClientTemplate/2019-05-27/12945.html），并登陆“浙江政府采购网”（http://zfcg.czt.zj.gov.cn/），进入“下载专区”下载“电子交易客户端”，制作磋商响应文件。</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供应商通过政采云平台电子磋商响应工具制作磋商响应文件，电子磋商响应工具请供应商自行前往浙江省政府采购网下载并安装，（下载网址：http://www.zjzfcg.gov.cn/bidClientTemplate/2019-09-24/12975.html），供应商电子交易操作指南详见网址：https://help.zcygov.cn/web/site_2/2018/12-28/2573.html）</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六、磋商时间：</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lang w:eastAsia="zh-CN"/>
        </w:rPr>
        <w:t>2024年5月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lang w:eastAsia="zh-CN"/>
        </w:rPr>
        <w:t>日上午09：30时</w:t>
      </w:r>
      <w:r>
        <w:rPr>
          <w:rFonts w:hint="eastAsia" w:ascii="微软雅黑" w:hAnsi="微软雅黑" w:eastAsia="微软雅黑" w:cs="微软雅黑"/>
          <w:color w:val="auto"/>
          <w:kern w:val="2"/>
          <w:sz w:val="22"/>
          <w:szCs w:val="22"/>
          <w:highlight w:val="none"/>
        </w:rPr>
        <w:t>整（北京时间）</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七、磋商地址：</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浙江省安吉县昌硕街道天荒坪南路99号（天荒坪路与穆王路交叉口）安吉商会大厦A座7楼第</w:t>
      </w:r>
      <w:r>
        <w:rPr>
          <w:rFonts w:hint="eastAsia" w:ascii="微软雅黑" w:hAnsi="微软雅黑" w:eastAsia="微软雅黑" w:cs="微软雅黑"/>
          <w:color w:val="auto"/>
          <w:kern w:val="2"/>
          <w:sz w:val="22"/>
          <w:szCs w:val="22"/>
          <w:highlight w:val="none"/>
          <w:lang w:val="en-US" w:eastAsia="zh-CN"/>
        </w:rPr>
        <w:t>六</w:t>
      </w:r>
      <w:r>
        <w:rPr>
          <w:rFonts w:hint="eastAsia" w:ascii="微软雅黑" w:hAnsi="微软雅黑" w:eastAsia="微软雅黑" w:cs="微软雅黑"/>
          <w:color w:val="auto"/>
          <w:kern w:val="2"/>
          <w:sz w:val="22"/>
          <w:szCs w:val="22"/>
          <w:highlight w:val="none"/>
        </w:rPr>
        <w:t>开标室，具体详见七楼休息区电子显示屏。供应商可以派授权代表出席开标会议（授权代表必须携带身份证、法人授权委托书或法人身份证明文书等有效证明文件以及最近一个月个人社保缴纳证明文件）。</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注：供应商可不委派专人（法定代表人或委托代理人）参加现场开标。因未到场而不能提供数据电文形式的“备份磋商响应文件”的，相关磋商响应风险由供应商自行承担，采购过程接受邮寄备份磋商响应文件模式，采用邮寄方式递交备份磋商响应文件的，供应商应确保备份磋商响应文件在磋商响应截止时间前送达（以收件人实际签收时间为准）。邮寄地址：浙江省安吉县昌硕街道递二社区综合楼三楼（浙江明业项目管理有限公司）；收件人：黄先生；联系电话：19957211776。邮寄时，应注明磋商响应单位名称、磋商响应单位的联系人、联系电话及磋商响应项目名称。</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八、磋商保证金：</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不收取</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九、其他事项：</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本项目公告期限为5个工作日，供应商认为采购文件使自己的权益受到损害的，可以自获取采购文件之日起7个工作日内。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本项目为电子招投标（磋商响应）项目，实行网上招投标（磋商响应），应按照本采购文件及政采云平台的要求编制、加密并要求供应商通过政采云系统在线招投标（磋商响应），投标（磋商响应）截止时间前须完成电子投标（磋商响应）文件的上传，同时供应商须随身携带制作在线投标（磋商响应）文件时所用的CA锁，供应商在使用系统进行投标（磋商响应）的过程中遇到涉及平台使用的任何问题，可致电政采云平台技术支持热线咨询，联系方式：400-881-7190。供应商递交数据电子备份投标（磋商响应）文件（U盘）的，应在投标（磋商响应）截止时间前于开标现场以密封、包装的形式提供。</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ascii="微软雅黑" w:hAnsi="微软雅黑" w:eastAsia="微软雅黑" w:cs="微软雅黑"/>
          <w:color w:val="auto"/>
          <w:kern w:val="2"/>
          <w:sz w:val="22"/>
          <w:szCs w:val="22"/>
          <w:highlight w:val="none"/>
        </w:rPr>
        <w:t>4</w:t>
      </w:r>
      <w:r>
        <w:rPr>
          <w:rFonts w:hint="eastAsia" w:ascii="微软雅黑" w:hAnsi="微软雅黑" w:eastAsia="微软雅黑" w:cs="微软雅黑"/>
          <w:color w:val="auto"/>
          <w:kern w:val="2"/>
          <w:sz w:val="22"/>
          <w:szCs w:val="22"/>
          <w:highlight w:val="none"/>
        </w:rPr>
        <w:t>、本项目公告发布网站：</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浙江政府采购网：http://zfcg.czt.zj.gov.cn/</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安吉县公共资源交易信息网：http://www.anji.gov.cn/col/col1229656840/index.html</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ascii="微软雅黑" w:hAnsi="微软雅黑" w:eastAsia="微软雅黑" w:cs="微软雅黑"/>
          <w:color w:val="auto"/>
          <w:kern w:val="2"/>
          <w:sz w:val="22"/>
          <w:szCs w:val="22"/>
          <w:highlight w:val="none"/>
        </w:rPr>
        <w:t>5</w:t>
      </w:r>
      <w:r>
        <w:rPr>
          <w:rFonts w:hint="eastAsia" w:ascii="微软雅黑" w:hAnsi="微软雅黑" w:eastAsia="微软雅黑" w:cs="微软雅黑"/>
          <w:color w:val="auto"/>
          <w:kern w:val="2"/>
          <w:sz w:val="22"/>
          <w:szCs w:val="22"/>
          <w:highlight w:val="none"/>
        </w:rPr>
        <w:t>、质疑和投诉：</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ascii="微软雅黑" w:hAnsi="微软雅黑" w:eastAsia="微软雅黑" w:cs="微软雅黑"/>
          <w:color w:val="auto"/>
          <w:kern w:val="2"/>
          <w:sz w:val="22"/>
          <w:szCs w:val="22"/>
          <w:highlight w:val="none"/>
        </w:rPr>
        <w:t>6</w:t>
      </w:r>
      <w:r>
        <w:rPr>
          <w:rFonts w:hint="eastAsia" w:ascii="微软雅黑" w:hAnsi="微软雅黑" w:eastAsia="微软雅黑" w:cs="微软雅黑"/>
          <w:color w:val="auto"/>
          <w:kern w:val="2"/>
          <w:sz w:val="22"/>
          <w:szCs w:val="22"/>
          <w:highlight w:val="none"/>
        </w:rPr>
        <w:t>、本项目执行的政府采购政策：</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《政府采购促进中小企业发展管理办法》（财库〔2020〕46号）；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《财政部、司法部关于政府采购支持监狱企业发展有关问题的通知》（财库〔2014〕68号）；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《国务院办公厅关于建立政府强制采购节能产品制度的通知》（国办发〔2007〕51号）；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《财政部、国家环保总局关于环境标志产品政府采购实施的意见》（财库[2006]90号）；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财政部 民政部 中国残疾人联合会《关于促进残疾人就业政府采购政策的通知》（财库〔2017〕141号）。</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ascii="微软雅黑" w:hAnsi="微软雅黑" w:eastAsia="微软雅黑" w:cs="微软雅黑"/>
          <w:color w:val="auto"/>
          <w:kern w:val="2"/>
          <w:sz w:val="22"/>
          <w:szCs w:val="22"/>
          <w:highlight w:val="none"/>
        </w:rPr>
        <w:t>7</w:t>
      </w:r>
      <w:r>
        <w:rPr>
          <w:rFonts w:hint="eastAsia" w:ascii="微软雅黑" w:hAnsi="微软雅黑" w:eastAsia="微软雅黑" w:cs="微软雅黑"/>
          <w:color w:val="auto"/>
          <w:kern w:val="2"/>
          <w:sz w:val="22"/>
          <w:szCs w:val="22"/>
          <w:highlight w:val="none"/>
        </w:rPr>
        <w:t>、资格审查：</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本项目采用资格后审。</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十、告知事项：</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color w:val="auto"/>
          <w:kern w:val="2"/>
          <w:sz w:val="22"/>
          <w:szCs w:val="22"/>
          <w:highlight w:val="none"/>
        </w:rPr>
      </w:pPr>
      <w:bookmarkStart w:id="12" w:name="_Hlk40945649"/>
      <w:r>
        <w:rPr>
          <w:rFonts w:hint="eastAsia" w:ascii="微软雅黑" w:hAnsi="微软雅黑" w:eastAsia="微软雅黑" w:cs="微软雅黑"/>
          <w:color w:val="auto"/>
          <w:kern w:val="2"/>
          <w:sz w:val="22"/>
          <w:szCs w:val="22"/>
          <w:highlight w:val="none"/>
          <w:lang w:val="en-US" w:eastAsia="zh-CN"/>
        </w:rPr>
        <w:t>1、</w:t>
      </w:r>
      <w:r>
        <w:rPr>
          <w:rFonts w:hint="eastAsia" w:ascii="微软雅黑" w:hAnsi="微软雅黑" w:eastAsia="微软雅黑" w:cs="微软雅黑"/>
          <w:color w:val="auto"/>
          <w:kern w:val="2"/>
          <w:sz w:val="22"/>
          <w:szCs w:val="22"/>
          <w:highlight w:val="none"/>
        </w:rPr>
        <w:t>本采购项目</w:t>
      </w:r>
      <w:r>
        <w:rPr>
          <w:rFonts w:hint="eastAsia" w:ascii="微软雅黑" w:hAnsi="微软雅黑" w:eastAsia="微软雅黑" w:cs="微软雅黑"/>
          <w:color w:val="auto"/>
          <w:kern w:val="2"/>
          <w:sz w:val="22"/>
          <w:szCs w:val="22"/>
          <w:highlight w:val="none"/>
          <w:lang w:eastAsia="zh-CN"/>
        </w:rPr>
        <w:t>成交单位</w:t>
      </w:r>
      <w:r>
        <w:rPr>
          <w:rFonts w:hint="eastAsia" w:ascii="微软雅黑" w:hAnsi="微软雅黑" w:eastAsia="微软雅黑" w:cs="微软雅黑"/>
          <w:color w:val="auto"/>
          <w:kern w:val="2"/>
          <w:sz w:val="22"/>
          <w:szCs w:val="22"/>
          <w:highlight w:val="none"/>
        </w:rPr>
        <w:t>与采购单位签订的政府采购合同适用于浙江省政府采购贷款政策，简称“政采贷”，具体内容可参阅《安吉财政“政采贷”办理指引》。</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2、网址：http://www.anji.gov.cn/art/2021/10/28/art_1229518630_3837633.html </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3、本项目是否专门面向中小企业采购：是。</w:t>
      </w:r>
    </w:p>
    <w:bookmarkEnd w:id="12"/>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十一、联系方式：</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1、采购人：安吉县自然资源和规划局</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联系人：</w:t>
      </w:r>
      <w:r>
        <w:rPr>
          <w:rFonts w:hint="eastAsia" w:ascii="微软雅黑" w:hAnsi="微软雅黑" w:eastAsia="微软雅黑" w:cs="微软雅黑"/>
          <w:color w:val="auto"/>
          <w:kern w:val="2"/>
          <w:sz w:val="22"/>
          <w:szCs w:val="22"/>
          <w:highlight w:val="none"/>
          <w:lang w:val="en-US" w:eastAsia="zh-CN"/>
        </w:rPr>
        <w:t>刘先生</w:t>
      </w:r>
      <w:r>
        <w:rPr>
          <w:rFonts w:hint="eastAsia" w:ascii="微软雅黑" w:hAnsi="微软雅黑" w:eastAsia="微软雅黑" w:cs="微软雅黑"/>
          <w:color w:val="auto"/>
          <w:kern w:val="2"/>
          <w:sz w:val="22"/>
          <w:szCs w:val="22"/>
          <w:highlight w:val="none"/>
        </w:rPr>
        <w:t xml:space="preserve">    </w:t>
      </w:r>
      <w:r>
        <w:rPr>
          <w:rFonts w:ascii="微软雅黑" w:hAnsi="微软雅黑" w:eastAsia="微软雅黑" w:cs="微软雅黑"/>
          <w:color w:val="auto"/>
          <w:kern w:val="2"/>
          <w:sz w:val="22"/>
          <w:szCs w:val="22"/>
          <w:highlight w:val="none"/>
        </w:rPr>
        <w:t xml:space="preserve">    </w:t>
      </w:r>
      <w:r>
        <w:rPr>
          <w:rFonts w:hint="eastAsia" w:ascii="微软雅黑" w:hAnsi="微软雅黑" w:eastAsia="微软雅黑" w:cs="微软雅黑"/>
          <w:color w:val="auto"/>
          <w:kern w:val="2"/>
          <w:sz w:val="22"/>
          <w:szCs w:val="22"/>
          <w:highlight w:val="none"/>
        </w:rPr>
        <w:t xml:space="preserve"> </w:t>
      </w:r>
      <w:r>
        <w:rPr>
          <w:rFonts w:hint="eastAsia" w:ascii="微软雅黑" w:hAnsi="微软雅黑" w:eastAsia="微软雅黑" w:cs="微软雅黑"/>
          <w:color w:val="auto"/>
          <w:kern w:val="2"/>
          <w:sz w:val="22"/>
          <w:szCs w:val="22"/>
          <w:highlight w:val="none"/>
          <w:lang w:val="en-US" w:eastAsia="zh-CN"/>
        </w:rPr>
        <w:t xml:space="preserve">  </w:t>
      </w:r>
      <w:r>
        <w:rPr>
          <w:rFonts w:hint="eastAsia" w:ascii="微软雅黑" w:hAnsi="微软雅黑" w:eastAsia="微软雅黑" w:cs="微软雅黑"/>
          <w:color w:val="auto"/>
          <w:kern w:val="2"/>
          <w:sz w:val="22"/>
          <w:szCs w:val="22"/>
          <w:highlight w:val="none"/>
        </w:rPr>
        <w:t xml:space="preserve">  联系电话：0572-</w:t>
      </w:r>
      <w:r>
        <w:rPr>
          <w:rFonts w:ascii="微软雅黑" w:hAnsi="微软雅黑" w:eastAsia="微软雅黑" w:cs="微软雅黑"/>
          <w:color w:val="auto"/>
          <w:kern w:val="2"/>
          <w:sz w:val="22"/>
          <w:szCs w:val="22"/>
          <w:highlight w:val="none"/>
        </w:rPr>
        <w:t>5028435</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2、采购代理机构：浙江明业项目管理有限公司</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联系人：黄先生              联系电话：1</w:t>
      </w:r>
      <w:r>
        <w:rPr>
          <w:rFonts w:ascii="微软雅黑" w:hAnsi="微软雅黑" w:eastAsia="微软雅黑" w:cs="微软雅黑"/>
          <w:color w:val="auto"/>
          <w:kern w:val="2"/>
          <w:sz w:val="22"/>
          <w:szCs w:val="22"/>
          <w:highlight w:val="none"/>
        </w:rPr>
        <w:t>9957211776</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3、书面质疑受理联系人</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联系人：杨先生              联系电话：0572-5501567</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4、政府采购行政监管及投诉受理部门：安吉县财政局</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联系电话：0572-5807951      传真：0572-5807951</w:t>
      </w:r>
    </w:p>
    <w:p>
      <w:pPr>
        <w:pStyle w:val="13"/>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地址：</w:t>
      </w:r>
      <w:bookmarkEnd w:id="4"/>
      <w:bookmarkEnd w:id="6"/>
      <w:bookmarkEnd w:id="7"/>
      <w:r>
        <w:rPr>
          <w:rFonts w:hint="eastAsia" w:ascii="微软雅黑" w:hAnsi="微软雅黑" w:eastAsia="微软雅黑" w:cs="微软雅黑"/>
          <w:color w:val="auto"/>
          <w:kern w:val="2"/>
          <w:sz w:val="22"/>
          <w:szCs w:val="22"/>
          <w:highlight w:val="none"/>
        </w:rPr>
        <w:t>安吉县凤凰路凤凰五区188号</w:t>
      </w:r>
    </w:p>
    <w:bookmarkEnd w:id="5"/>
    <w:bookmarkEnd w:id="8"/>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textAlignment w:val="auto"/>
        <w:rPr>
          <w:rFonts w:ascii="微软雅黑" w:hAnsi="微软雅黑" w:eastAsia="微软雅黑" w:cs="微软雅黑"/>
          <w:color w:val="auto"/>
          <w:kern w:val="0"/>
          <w:sz w:val="22"/>
          <w:szCs w:val="22"/>
          <w:highlight w:val="none"/>
        </w:rPr>
      </w:pPr>
    </w:p>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jc w:val="righ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安吉县自然资源和规划局</w:t>
      </w:r>
    </w:p>
    <w:p>
      <w:pPr>
        <w:keepNext w:val="0"/>
        <w:keepLines w:val="0"/>
        <w:pageBreakBefore w:val="0"/>
        <w:kinsoku/>
        <w:wordWrap/>
        <w:overflowPunct/>
        <w:topLinePunct w:val="0"/>
        <w:autoSpaceDE/>
        <w:autoSpaceDN/>
        <w:bidi w:val="0"/>
        <w:adjustRightInd/>
        <w:snapToGrid w:val="0"/>
        <w:spacing w:line="440" w:lineRule="exact"/>
        <w:ind w:left="0" w:leftChars="0" w:firstLine="440" w:firstLineChars="200"/>
        <w:jc w:val="righ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浙江明业项目管理有限公司</w:t>
      </w:r>
    </w:p>
    <w:p>
      <w:pPr>
        <w:keepNext w:val="0"/>
        <w:keepLines w:val="0"/>
        <w:pageBreakBefore w:val="0"/>
        <w:kinsoku/>
        <w:wordWrap/>
        <w:overflowPunct/>
        <w:topLinePunct w:val="0"/>
        <w:autoSpaceDE/>
        <w:autoSpaceDN/>
        <w:bidi w:val="0"/>
        <w:adjustRightInd/>
        <w:spacing w:line="440" w:lineRule="exact"/>
        <w:ind w:left="0" w:leftChars="0" w:firstLine="440" w:firstLineChars="200"/>
        <w:jc w:val="righ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eastAsia="zh-CN"/>
        </w:rPr>
        <w:t>2024年</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28</w:t>
      </w:r>
      <w:r>
        <w:rPr>
          <w:rFonts w:hint="eastAsia" w:ascii="微软雅黑" w:hAnsi="微软雅黑" w:eastAsia="微软雅黑" w:cs="微软雅黑"/>
          <w:color w:val="auto"/>
          <w:sz w:val="22"/>
          <w:szCs w:val="22"/>
          <w:highlight w:val="none"/>
        </w:rPr>
        <w:t>日</w:t>
      </w:r>
    </w:p>
    <w:bookmarkEnd w:id="9"/>
    <w:p>
      <w:pPr>
        <w:pStyle w:val="28"/>
        <w:rPr>
          <w:rFonts w:ascii="微软雅黑" w:hAnsi="微软雅黑" w:eastAsia="微软雅黑" w:cs="微软雅黑"/>
          <w:color w:val="auto"/>
          <w:sz w:val="30"/>
          <w:szCs w:val="30"/>
          <w:highlight w:val="none"/>
        </w:rPr>
      </w:pPr>
      <w:bookmarkStart w:id="13" w:name="_Toc410379351"/>
      <w:r>
        <w:rPr>
          <w:rFonts w:hint="eastAsia" w:ascii="微软雅黑" w:hAnsi="微软雅黑" w:eastAsia="微软雅黑" w:cs="微软雅黑"/>
          <w:color w:val="auto"/>
          <w:highlight w:val="none"/>
        </w:rPr>
        <w:br w:type="page"/>
      </w:r>
      <w:bookmarkStart w:id="14" w:name="_Toc16770359"/>
      <w:bookmarkStart w:id="15" w:name="_Toc542"/>
      <w:r>
        <w:rPr>
          <w:rFonts w:hint="eastAsia" w:ascii="微软雅黑" w:hAnsi="微软雅黑" w:eastAsia="微软雅黑" w:cs="微软雅黑"/>
          <w:color w:val="auto"/>
          <w:sz w:val="30"/>
          <w:szCs w:val="30"/>
          <w:highlight w:val="none"/>
        </w:rPr>
        <w:t>第二章  响应人须知</w:t>
      </w:r>
      <w:bookmarkEnd w:id="13"/>
      <w:bookmarkEnd w:id="14"/>
      <w:bookmarkEnd w:id="15"/>
    </w:p>
    <w:p>
      <w:pPr>
        <w:pStyle w:val="24"/>
        <w:spacing w:before="0" w:after="0"/>
        <w:rPr>
          <w:rFonts w:ascii="微软雅黑" w:hAnsi="微软雅黑" w:eastAsia="微软雅黑" w:cs="微软雅黑"/>
          <w:color w:val="auto"/>
          <w:sz w:val="30"/>
          <w:szCs w:val="30"/>
          <w:highlight w:val="none"/>
        </w:rPr>
      </w:pPr>
      <w:bookmarkStart w:id="16" w:name="_Toc16770360"/>
      <w:bookmarkStart w:id="17" w:name="_Toc410379352"/>
      <w:r>
        <w:rPr>
          <w:rFonts w:hint="eastAsia" w:ascii="微软雅黑" w:hAnsi="微软雅黑" w:eastAsia="微软雅黑" w:cs="微软雅黑"/>
          <w:color w:val="auto"/>
          <w:sz w:val="30"/>
          <w:szCs w:val="30"/>
          <w:highlight w:val="none"/>
        </w:rPr>
        <w:t>前 附 表</w:t>
      </w:r>
      <w:bookmarkEnd w:id="16"/>
      <w:bookmarkEnd w:id="17"/>
    </w:p>
    <w:tbl>
      <w:tblPr>
        <w:tblStyle w:val="3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bookmarkStart w:id="18" w:name="_Toc113441587"/>
            <w:bookmarkStart w:id="19" w:name="_Toc410379353"/>
            <w:r>
              <w:rPr>
                <w:rFonts w:hint="eastAsia" w:ascii="微软雅黑" w:hAnsi="微软雅黑" w:eastAsia="微软雅黑" w:cs="微软雅黑"/>
                <w:color w:val="auto"/>
                <w:sz w:val="22"/>
                <w:szCs w:val="22"/>
                <w:highlight w:val="none"/>
              </w:rPr>
              <w:t>序号</w:t>
            </w:r>
          </w:p>
        </w:tc>
        <w:tc>
          <w:tcPr>
            <w:tcW w:w="8640"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内容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8640" w:type="dxa"/>
            <w:vAlign w:val="center"/>
          </w:tcPr>
          <w:p>
            <w:pPr>
              <w:pageBreakBefore w:val="0"/>
              <w:kinsoku/>
              <w:wordWrap/>
              <w:overflowPunct/>
              <w:topLinePunct w:val="0"/>
              <w:bidi w:val="0"/>
              <w:spacing w:line="360" w:lineRule="exact"/>
              <w:ind w:firstLine="0" w:firstLineChars="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项目名称：</w:t>
            </w:r>
            <w:bookmarkStart w:id="20" w:name="_Hlk117155248"/>
            <w:r>
              <w:rPr>
                <w:rFonts w:hint="eastAsia" w:ascii="微软雅黑" w:hAnsi="微软雅黑" w:eastAsia="微软雅黑" w:cs="微软雅黑"/>
                <w:color w:val="auto"/>
                <w:sz w:val="22"/>
                <w:szCs w:val="22"/>
                <w:highlight w:val="none"/>
                <w:lang w:eastAsia="zh-CN"/>
              </w:rPr>
              <w:t>安吉县自然资源和规划局购买地质灾害监测设备运维服务政府采购项目</w:t>
            </w:r>
          </w:p>
          <w:bookmarkEnd w:id="20"/>
          <w:p>
            <w:pPr>
              <w:pageBreakBefore w:val="0"/>
              <w:kinsoku/>
              <w:wordWrap/>
              <w:overflowPunct/>
              <w:topLinePunct w:val="0"/>
              <w:bidi w:val="0"/>
              <w:spacing w:line="360" w:lineRule="exact"/>
              <w:ind w:firstLine="0" w:firstLineChars="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项目编号：</w:t>
            </w:r>
            <w:r>
              <w:rPr>
                <w:rFonts w:hint="eastAsia" w:ascii="微软雅黑" w:hAnsi="微软雅黑" w:eastAsia="微软雅黑" w:cs="微软雅黑"/>
                <w:color w:val="auto"/>
                <w:sz w:val="22"/>
                <w:szCs w:val="22"/>
                <w:highlight w:val="none"/>
                <w:lang w:eastAsia="zh-CN"/>
              </w:rPr>
              <w:t>ZJMY（采）2024-007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项目内容：详见磋商需求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磋商报价及费用：</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1、本项目磋商应以人民币报价（结算详见采购需求）；</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2、不论磋商结果如何，供应商均应自行承担所有与磋商有关的全部费用；</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3、采购代理费用由成交供应商支付，按标项预算价为标准进行计算，收费按标准为：100万以内按1.5%，100-500万按1%，差额定率累进法计算，不足6</w:t>
            </w:r>
            <w:r>
              <w:rPr>
                <w:rFonts w:ascii="微软雅黑" w:hAnsi="微软雅黑" w:eastAsia="微软雅黑" w:cs="微软雅黑"/>
                <w:color w:val="auto"/>
                <w:sz w:val="22"/>
                <w:szCs w:val="22"/>
                <w:highlight w:val="none"/>
              </w:rPr>
              <w:t>000</w:t>
            </w:r>
            <w:r>
              <w:rPr>
                <w:rFonts w:hint="eastAsia" w:ascii="微软雅黑" w:hAnsi="微软雅黑" w:eastAsia="微软雅黑" w:cs="微软雅黑"/>
                <w:color w:val="auto"/>
                <w:sz w:val="22"/>
                <w:szCs w:val="22"/>
                <w:highlight w:val="none"/>
              </w:rPr>
              <w:t>元按6</w:t>
            </w:r>
            <w:r>
              <w:rPr>
                <w:rFonts w:ascii="微软雅黑" w:hAnsi="微软雅黑" w:eastAsia="微软雅黑" w:cs="微软雅黑"/>
                <w:color w:val="auto"/>
                <w:sz w:val="22"/>
                <w:szCs w:val="22"/>
                <w:highlight w:val="none"/>
              </w:rPr>
              <w:t>000</w:t>
            </w:r>
            <w:r>
              <w:rPr>
                <w:rFonts w:hint="eastAsia" w:ascii="微软雅黑" w:hAnsi="微软雅黑" w:eastAsia="微软雅黑" w:cs="微软雅黑"/>
                <w:color w:val="auto"/>
                <w:sz w:val="22"/>
                <w:szCs w:val="22"/>
                <w:highlight w:val="none"/>
              </w:rPr>
              <w:t>元计算，在确定成交供应商后，领取成交通知书前，由成交供应商全额支付，请各供应商自行考虑计入磋商响应报价中。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现场踏勘：</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fldChar w:fldCharType="begin"/>
            </w:r>
            <w:r>
              <w:rPr>
                <w:rFonts w:ascii="微软雅黑" w:hAnsi="微软雅黑" w:eastAsia="微软雅黑" w:cs="微软雅黑"/>
                <w:color w:val="auto"/>
                <w:sz w:val="22"/>
                <w:szCs w:val="22"/>
                <w:highlight w:val="none"/>
              </w:rPr>
              <w:instrText xml:space="preserve"> </w:instrText>
            </w:r>
            <w:r>
              <w:rPr>
                <w:rFonts w:hint="eastAsia" w:ascii="微软雅黑" w:hAnsi="微软雅黑" w:eastAsia="微软雅黑" w:cs="微软雅黑"/>
                <w:color w:val="auto"/>
                <w:sz w:val="22"/>
                <w:szCs w:val="22"/>
                <w:highlight w:val="none"/>
              </w:rPr>
              <w:instrText xml:space="preserve">eq \o\ac(</w:instrText>
            </w:r>
            <w:r>
              <w:rPr>
                <w:rFonts w:hint="eastAsia" w:ascii="微软雅黑" w:hAnsi="微软雅黑" w:eastAsia="微软雅黑" w:cs="微软雅黑"/>
                <w:color w:val="auto"/>
                <w:position w:val="-4"/>
                <w:sz w:val="33"/>
                <w:szCs w:val="22"/>
                <w:highlight w:val="none"/>
              </w:rPr>
              <w:instrText xml:space="preserve">□</w:instrText>
            </w:r>
            <w:r>
              <w:rPr>
                <w:rFonts w:hint="eastAsia" w:ascii="微软雅黑" w:hAnsi="微软雅黑" w:eastAsia="微软雅黑" w:cs="微软雅黑"/>
                <w:color w:val="auto"/>
                <w:position w:val="0"/>
                <w:sz w:val="22"/>
                <w:szCs w:val="22"/>
                <w:highlight w:val="none"/>
              </w:rPr>
              <w:instrText xml:space="preserve">,√)</w:instrText>
            </w:r>
            <w:r>
              <w:rPr>
                <w:rFonts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t xml:space="preserve"> 不组织</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rPr>
              <w:t xml:space="preserve"> 组织</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答疑与澄清：</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受理：供应商应将书面质疑函邮寄至浙江省安吉县昌硕街道递二社区综合楼三楼浙江明业项目管理有限公司，联系人：黄强，联系电话：19957211776，同时将质疑函扫描件以电子邮件形式发送至电子邮箱390739901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磋商响应文件制作及组成：</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(1)磋商响应文件分商务资信、技术文件和价格三部分。</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(2)磋商响应文件编制：</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供应商应先安装“政采云电子交易客户端”，并按照本采购文件和“政采云平台”的要求，通过“政采云电子交易客户端”编制并加密磋商响应文件。</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(3)磋商响应文件的形式：</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☑电子磋商响应文件（包括“电子加密磋商响应文件”和“备份磋商响应文件”，在磋商响应文件编制完成后同时生成）。</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加密磋商响应文件”是指通过“政采云电子交易客户端”完成磋商响应文件编制后生成并加密的数据电文形式的磋商响应文件；“备份磋商响应文件”是指与“电子加密磋商响应文件”同时生成的数据电文形式的电子文件，其他方式编制的备份磋商响应文件无效。</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(4)磋商响应文件份数：</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“电子加密磋商响应文件”(必须提交）：在线上传递交一份。</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份磋商响应文件”（不强制提交）：应当密封包装并在包装上标注磋商响应项目名称、供应商名称并加盖公章。在开标前递交至以下地址：安吉县公共资源交易中心（浙江省安吉县昌硕街道天荒坪南路99号（天荒坪路与穆王路交叉口）安吉商会大厦A座7楼开标室）具体详见七楼休息区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w:t>
            </w:r>
          </w:p>
        </w:tc>
        <w:tc>
          <w:tcPr>
            <w:tcW w:w="8640" w:type="dxa"/>
            <w:vAlign w:val="center"/>
          </w:tcPr>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磋商响应文件的上传和递交：</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（1）“电子加密磋商响应文件”的上传、递交：</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供应商应在磋商响应截止时间前将“电子加密磋商响应文件”成功上传递交至“政采云平台”，否则磋商响应无效。</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“电子加密磋商响应文件”成功上传递交后，供应商可自行打印磋商响应文件接收回执。</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（2）“备份磋商响应文件”的密封包装、递交：</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供应商在“政采云平台”完成“电子加密磋商响应文件”的上传递交后，还可以在磋商响应截止时间前递交以介质（U盘）存储的 “备份磋商响应文件”（一份）；</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“备份磋商响应文件”应当密封包装，并在包装上标注磋商响应项目名称、磋商响应单位名称并加盖公章。没有密封包装或者逾期送达的“备份磋商响应文件”无效；</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通过“政府采购云平台”成功上传递交的“电子加密磋商响应文件”已按时解密的，“备份磋商响应文件”自动失效。磋商响应截止时间前，供应商仅递交了“备份磋商响应文件”而未将“电子加密磋商响应文件”成功上传至“政采云平台”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w:t>
            </w:r>
          </w:p>
        </w:tc>
        <w:tc>
          <w:tcPr>
            <w:tcW w:w="8640" w:type="dxa"/>
            <w:vAlign w:val="center"/>
          </w:tcPr>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磋商地点及截止时间：</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地点：安吉县公共资源交易中心（浙江省安吉县昌硕街道天荒坪南路99号（天荒坪路与穆王路交叉口）安吉商会大厦A座7楼第</w:t>
            </w:r>
            <w:r>
              <w:rPr>
                <w:rFonts w:hint="eastAsia" w:ascii="微软雅黑" w:hAnsi="微软雅黑" w:eastAsia="微软雅黑" w:cs="微软雅黑"/>
                <w:color w:val="auto"/>
                <w:sz w:val="22"/>
                <w:szCs w:val="22"/>
                <w:highlight w:val="none"/>
                <w:lang w:val="en-US" w:eastAsia="zh-CN"/>
              </w:rPr>
              <w:t>六</w:t>
            </w:r>
            <w:r>
              <w:rPr>
                <w:rFonts w:hint="eastAsia" w:ascii="微软雅黑" w:hAnsi="微软雅黑" w:eastAsia="微软雅黑" w:cs="微软雅黑"/>
                <w:color w:val="auto"/>
                <w:sz w:val="22"/>
                <w:szCs w:val="22"/>
                <w:highlight w:val="none"/>
              </w:rPr>
              <w:t>开标室</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时间：</w:t>
            </w:r>
            <w:r>
              <w:rPr>
                <w:rFonts w:hint="eastAsia" w:ascii="微软雅黑" w:hAnsi="微软雅黑" w:eastAsia="微软雅黑" w:cs="微软雅黑"/>
                <w:color w:val="auto"/>
                <w:kern w:val="2"/>
                <w:sz w:val="22"/>
                <w:szCs w:val="22"/>
                <w:highlight w:val="none"/>
                <w:lang w:eastAsia="zh-CN"/>
              </w:rPr>
              <w:t>2024年5月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lang w:eastAsia="zh-CN"/>
              </w:rPr>
              <w:t>日上午09：30时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w:t>
            </w:r>
          </w:p>
        </w:tc>
        <w:tc>
          <w:tcPr>
            <w:tcW w:w="8640" w:type="dxa"/>
            <w:vAlign w:val="center"/>
          </w:tcPr>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磋商响应文件评审地点及时间：</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地点：安吉县公共资源交易中心（浙江省安吉县昌硕街道天荒坪南路99号（天荒坪路与穆王路交叉口）安吉商会大厦A座8楼第</w:t>
            </w:r>
            <w:r>
              <w:rPr>
                <w:rFonts w:hint="eastAsia" w:ascii="微软雅黑" w:hAnsi="微软雅黑" w:eastAsia="微软雅黑" w:cs="微软雅黑"/>
                <w:color w:val="auto"/>
                <w:sz w:val="22"/>
                <w:szCs w:val="22"/>
                <w:highlight w:val="none"/>
                <w:lang w:val="en-US" w:eastAsia="zh-CN"/>
              </w:rPr>
              <w:t>六</w:t>
            </w:r>
            <w:r>
              <w:rPr>
                <w:rFonts w:hint="eastAsia" w:ascii="微软雅黑" w:hAnsi="微软雅黑" w:eastAsia="微软雅黑" w:cs="微软雅黑"/>
                <w:color w:val="auto"/>
                <w:sz w:val="22"/>
                <w:szCs w:val="22"/>
                <w:highlight w:val="none"/>
              </w:rPr>
              <w:t>评标室</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时间：</w:t>
            </w:r>
            <w:r>
              <w:rPr>
                <w:rFonts w:hint="eastAsia" w:ascii="微软雅黑" w:hAnsi="微软雅黑" w:eastAsia="微软雅黑" w:cs="微软雅黑"/>
                <w:color w:val="auto"/>
                <w:kern w:val="2"/>
                <w:sz w:val="22"/>
                <w:szCs w:val="22"/>
                <w:highlight w:val="none"/>
                <w:lang w:eastAsia="zh-CN"/>
              </w:rPr>
              <w:t>2024年5月</w:t>
            </w:r>
            <w:r>
              <w:rPr>
                <w:rFonts w:hint="eastAsia" w:ascii="微软雅黑" w:hAnsi="微软雅黑" w:eastAsia="微软雅黑" w:cs="微软雅黑"/>
                <w:color w:val="auto"/>
                <w:kern w:val="2"/>
                <w:sz w:val="22"/>
                <w:szCs w:val="22"/>
                <w:highlight w:val="none"/>
                <w:lang w:val="en-US" w:eastAsia="zh-CN"/>
              </w:rPr>
              <w:t>9</w:t>
            </w:r>
            <w:r>
              <w:rPr>
                <w:rFonts w:hint="eastAsia" w:ascii="微软雅黑" w:hAnsi="微软雅黑" w:eastAsia="微软雅黑" w:cs="微软雅黑"/>
                <w:color w:val="auto"/>
                <w:kern w:val="2"/>
                <w:sz w:val="22"/>
                <w:szCs w:val="22"/>
                <w:highlight w:val="none"/>
                <w:lang w:eastAsia="zh-CN"/>
              </w:rPr>
              <w:t>日上午09：30时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w:t>
            </w:r>
          </w:p>
        </w:tc>
        <w:tc>
          <w:tcPr>
            <w:tcW w:w="8640" w:type="dxa"/>
            <w:vAlign w:val="center"/>
          </w:tcPr>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电子加密磋商响应文件的解密和异常情况处理：</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（1）开标后，采购组织机构将向各供应商发出“电子加密磋商响应文件”的解密通知，各供应商代表应当在接到解密通知后30分钟内自行完成“电子加密磋商响应文件”的在线解密。</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通过“政采云平台”成功上传递交的“电子加密磋商响应文件”无法按时解密的，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pPr>
              <w:pageBreakBefore w:val="0"/>
              <w:widowControl/>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（3）磋商响应截止时间前，供应商仅递交了“备份磋商响应文件”而未将电子加密磋商响应文件上传至“政府采购云平台”的，磋商响应无效。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w:t>
            </w:r>
          </w:p>
        </w:tc>
        <w:tc>
          <w:tcPr>
            <w:tcW w:w="8640" w:type="dxa"/>
            <w:vAlign w:val="center"/>
          </w:tcPr>
          <w:p>
            <w:pPr>
              <w:pStyle w:val="5"/>
              <w:pageBreakBefore w:val="0"/>
              <w:tabs>
                <w:tab w:val="left" w:pos="720"/>
              </w:tabs>
              <w:kinsoku/>
              <w:wordWrap/>
              <w:overflowPunct/>
              <w:topLinePunct w:val="0"/>
              <w:bidi w:val="0"/>
              <w:spacing w:before="0" w:after="0" w:line="360" w:lineRule="exact"/>
              <w:ind w:firstLine="0" w:firstLineChars="0"/>
              <w:rPr>
                <w:rFonts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可中止电子交易活动的情形：</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采购过程中出现以下情形，导致电子交易平台无法正常运行，或者无法保证电子交易的公平、公正和安全时，采购组织机构可中止电子交易活动：</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（1）电子交易平台发生故障而无法登录访问的；</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（2）电子交易平台应用或数据库出现错误，不能进行正常操作的；</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（3）电子交易平台发现严重安全漏洞，有潜在泄密危险的；</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（4）病毒发作导致不能进行正常操作的；</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（5）其他无法保证电子交易的公平、公正和安全的情况。</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bidi="ar"/>
              </w:rPr>
            </w:pPr>
            <w:r>
              <w:rPr>
                <w:rFonts w:hint="eastAsia" w:ascii="微软雅黑" w:hAnsi="微软雅黑" w:eastAsia="微软雅黑" w:cs="微软雅黑"/>
                <w:color w:val="auto"/>
                <w:sz w:val="22"/>
                <w:szCs w:val="22"/>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评标办法及评分标准：</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综合评分法 详见本磋商文件第四章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w:t>
            </w:r>
          </w:p>
        </w:tc>
        <w:tc>
          <w:tcPr>
            <w:tcW w:w="8640" w:type="dxa"/>
            <w:vAlign w:val="center"/>
          </w:tcPr>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磋商结果公示：</w:t>
            </w:r>
          </w:p>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浙江政府采购网  (</w:t>
            </w:r>
            <w:r>
              <w:rPr>
                <w:color w:val="auto"/>
                <w:sz w:val="22"/>
                <w:szCs w:val="22"/>
                <w:highlight w:val="none"/>
              </w:rPr>
              <w:fldChar w:fldCharType="begin"/>
            </w:r>
            <w:r>
              <w:rPr>
                <w:color w:val="auto"/>
                <w:sz w:val="22"/>
                <w:szCs w:val="22"/>
                <w:highlight w:val="none"/>
              </w:rPr>
              <w:instrText xml:space="preserve"> HYPERLINK "http://www.zjzfcg.gov.cn/" </w:instrText>
            </w:r>
            <w:r>
              <w:rPr>
                <w:color w:val="auto"/>
                <w:sz w:val="22"/>
                <w:szCs w:val="22"/>
                <w:highlight w:val="none"/>
              </w:rPr>
              <w:fldChar w:fldCharType="separate"/>
            </w:r>
            <w:r>
              <w:rPr>
                <w:rStyle w:val="37"/>
                <w:rFonts w:hint="eastAsia" w:ascii="微软雅黑" w:hAnsi="微软雅黑" w:eastAsia="微软雅黑" w:cs="微软雅黑"/>
                <w:color w:val="auto"/>
                <w:sz w:val="22"/>
                <w:szCs w:val="22"/>
                <w:highlight w:val="none"/>
              </w:rPr>
              <w:t>http://www.zjzfcg.gov.cn</w:t>
            </w:r>
            <w:r>
              <w:rPr>
                <w:rStyle w:val="37"/>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t>)</w:t>
            </w:r>
          </w:p>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安吉县公共资源交易网（</w:t>
            </w:r>
            <w:r>
              <w:rPr>
                <w:rFonts w:hint="eastAsia" w:ascii="微软雅黑" w:hAnsi="微软雅黑" w:eastAsia="微软雅黑" w:cs="微软雅黑"/>
                <w:color w:val="auto"/>
                <w:sz w:val="22"/>
                <w:szCs w:val="22"/>
                <w:highlight w:val="none"/>
                <w:u w:val="single"/>
              </w:rPr>
              <w:t>http://www.anji.gov.cn/col/col1229656840/index.html</w:t>
            </w:r>
            <w:r>
              <w:rPr>
                <w:rFonts w:hint="eastAsia" w:ascii="微软雅黑" w:hAnsi="微软雅黑" w:eastAsia="微软雅黑" w:cs="微软雅黑"/>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w:t>
            </w:r>
          </w:p>
        </w:tc>
        <w:tc>
          <w:tcPr>
            <w:tcW w:w="8640" w:type="dxa"/>
            <w:vAlign w:val="center"/>
          </w:tcPr>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成交通知书：采购人确定成交供应商后2个工作日内发出书面的成交通知书，同时磋商结果在网上进行公示。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w:t>
            </w:r>
          </w:p>
        </w:tc>
        <w:tc>
          <w:tcPr>
            <w:tcW w:w="8640" w:type="dxa"/>
            <w:vAlign w:val="center"/>
          </w:tcPr>
          <w:p>
            <w:pPr>
              <w:pageBreakBefore w:val="0"/>
              <w:kinsoku/>
              <w:wordWrap/>
              <w:overflowPunct/>
              <w:topLinePunct w:val="0"/>
              <w:autoSpaceDE w:val="0"/>
              <w:autoSpaceDN w:val="0"/>
              <w:bidi w:val="0"/>
              <w:adjustRightInd w:val="0"/>
              <w:snapToGrid w:val="0"/>
              <w:spacing w:line="360" w:lineRule="exact"/>
              <w:ind w:firstLine="0" w:firstLineChars="0"/>
              <w:jc w:val="left"/>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履约保证金：成交人签订合同前缴纳履约证保金0元，服务期满后无违约的无息退还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w:t>
            </w:r>
          </w:p>
        </w:tc>
        <w:tc>
          <w:tcPr>
            <w:tcW w:w="8640" w:type="dxa"/>
            <w:vAlign w:val="center"/>
          </w:tcPr>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签订合同：成交通知书发出后30天内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信用记录查询：依据财库[2016]125号文件执行</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查询渠道：信用中国（www.creditchina.gov.cn）、中国政府采购网（www.ccgp.gov.cn）；</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时间：提交首次响应文件截止时间前3年内；</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查询记录和证据的留存：网站查询，打印留存。</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使用规则：</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被列入失信被执行人、重大税收违法案件当事人名单、政府采购严重违法失信行为记录名单及其它不符合《中华人民共和国政府采购法》第二十二条规定条件的，其磋商响应将被拒绝。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p>
        </w:tc>
        <w:tc>
          <w:tcPr>
            <w:tcW w:w="8640" w:type="dxa"/>
            <w:vAlign w:val="center"/>
          </w:tcPr>
          <w:p>
            <w:pPr>
              <w:pageBreakBefore w:val="0"/>
              <w:kinsoku/>
              <w:wordWrap/>
              <w:overflowPunct/>
              <w:topLinePunct w:val="0"/>
              <w:bidi w:val="0"/>
              <w:snapToGri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政府采购政策执行：</w:t>
            </w:r>
          </w:p>
          <w:p>
            <w:pPr>
              <w:pageBreakBefore w:val="0"/>
              <w:kinsoku/>
              <w:wordWrap/>
              <w:overflowPunct/>
              <w:topLinePunct w:val="0"/>
              <w:bidi w:val="0"/>
              <w:snapToGrid w:val="0"/>
              <w:spacing w:line="360" w:lineRule="exact"/>
              <w:ind w:firstLine="0" w:firstLineChars="0"/>
              <w:rPr>
                <w:rFonts w:ascii="微软雅黑" w:hAnsi="微软雅黑" w:eastAsia="微软雅黑" w:cs="微软雅黑"/>
                <w:b/>
                <w:bCs/>
                <w:color w:val="auto"/>
                <w:kern w:val="0"/>
                <w:sz w:val="22"/>
                <w:szCs w:val="22"/>
                <w:highlight w:val="none"/>
                <w:lang w:bidi="ar"/>
              </w:rPr>
            </w:pPr>
            <w:r>
              <w:rPr>
                <w:rFonts w:hint="eastAsia" w:ascii="微软雅黑" w:hAnsi="微软雅黑" w:eastAsia="微软雅黑" w:cs="微软雅黑"/>
                <w:color w:val="auto"/>
                <w:sz w:val="22"/>
                <w:szCs w:val="22"/>
                <w:highlight w:val="none"/>
              </w:rPr>
              <w:t>根据工信部等部委发布的《关于印发中小企业划型标准规定的通知》（工信部联企业〔2011〕300号），根据具体品目确定相应标准。</w:t>
            </w:r>
            <w:r>
              <w:rPr>
                <w:rFonts w:hint="eastAsia" w:ascii="微软雅黑" w:hAnsi="微软雅黑" w:eastAsia="微软雅黑" w:cs="微软雅黑"/>
                <w:color w:val="auto"/>
                <w:kern w:val="0"/>
                <w:sz w:val="22"/>
                <w:szCs w:val="22"/>
                <w:highlight w:val="none"/>
                <w:lang w:bidi="ar"/>
              </w:rPr>
              <w:t>为本项目提供服务的企业按照《关于印发中小企业划型标准规定的通知》（工信部联企业〔2011〕300 号）的所属行业分类为</w:t>
            </w:r>
            <w:r>
              <w:rPr>
                <w:rFonts w:hint="eastAsia" w:ascii="微软雅黑" w:hAnsi="微软雅黑" w:eastAsia="微软雅黑" w:cs="微软雅黑"/>
                <w:b/>
                <w:bCs/>
                <w:color w:val="auto"/>
                <w:kern w:val="0"/>
                <w:sz w:val="22"/>
                <w:szCs w:val="22"/>
                <w:highlight w:val="none"/>
                <w:lang w:bidi="ar"/>
              </w:rPr>
              <w:t>其他未列明行业</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组成联合体或者接受分包的小微企业与联合体内其他企业、分包企业之间存在直接控股、管理关系的，不享受价格扣除优惠政策。</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line="360" w:lineRule="exact"/>
              <w:ind w:firstLine="0" w:firstLineChars="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响应文件中须同时出具《政府采购促进中小企业发展管理办法》【财库（2020）46号】规定的《中小企业声明函》，否则不得享受价格扣除。</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②监狱企业视同小微企业，参加本项目投标的，享受小微企业同等的价格扣除。【注：提供《监狱企业声明函》】。</w:t>
            </w:r>
          </w:p>
          <w:p>
            <w:pPr>
              <w:pageBreakBefore w:val="0"/>
              <w:kinsoku/>
              <w:wordWrap/>
              <w:overflowPunct/>
              <w:topLinePunct w:val="0"/>
              <w:bidi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③残疾人福利性单位参加投标【提供《残疾人福利性单位声明函》】，视为小型、微型企业，享受小微企业政策扶持。</w:t>
            </w:r>
          </w:p>
          <w:p>
            <w:pPr>
              <w:pageBreakBefore w:val="0"/>
              <w:kinsoku/>
              <w:wordWrap/>
              <w:overflowPunct/>
              <w:topLinePunct w:val="0"/>
              <w:bidi w:val="0"/>
              <w:snapToGri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lang w:bidi="ar"/>
              </w:rPr>
              <w:t>特别提醒：供应商按照本办法规定提供声明函内容不实的，属于提供虚假材料谋取成交、成交，依照《中华人民共和国政府采购法》等国家有关规定追究相应责任。采购代理机构在成交结果公告中公开成交供应商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w:t>
            </w:r>
          </w:p>
        </w:tc>
        <w:tc>
          <w:tcPr>
            <w:tcW w:w="8640" w:type="dxa"/>
            <w:vAlign w:val="center"/>
          </w:tcPr>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节能环保要求：（本项目不适用）</w:t>
            </w:r>
          </w:p>
          <w:p>
            <w:pPr>
              <w:pageBreakBefore w:val="0"/>
              <w:kinsoku/>
              <w:wordWrap/>
              <w:overflowPunct/>
              <w:topLinePunct w:val="0"/>
              <w:bidi w:val="0"/>
              <w:snapToGri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磋商响应无效。（注：在最新一期节能清单发布之后开展的政府采购活动，执行最新一期节能清单。在此之前已经开展但尚未进入评审环节的政府采购活动，执行上期或最新一期节能清单。）</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w:t>
            </w:r>
          </w:p>
        </w:tc>
        <w:tc>
          <w:tcPr>
            <w:tcW w:w="8640" w:type="dxa"/>
            <w:vAlign w:val="center"/>
          </w:tcPr>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bidi="ar"/>
              </w:rPr>
            </w:pPr>
            <w:r>
              <w:rPr>
                <w:rFonts w:hint="eastAsia" w:ascii="微软雅黑" w:hAnsi="微软雅黑" w:eastAsia="微软雅黑" w:cs="微软雅黑"/>
                <w:color w:val="auto"/>
                <w:sz w:val="22"/>
                <w:szCs w:val="22"/>
                <w:highlight w:val="none"/>
                <w:lang w:bidi="ar"/>
              </w:rPr>
              <w:t>磋商注意事项：</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bidi="ar"/>
              </w:rPr>
            </w:pPr>
            <w:r>
              <w:rPr>
                <w:rFonts w:hint="eastAsia" w:ascii="微软雅黑" w:hAnsi="微软雅黑" w:eastAsia="微软雅黑" w:cs="微软雅黑"/>
                <w:color w:val="auto"/>
                <w:sz w:val="22"/>
                <w:szCs w:val="22"/>
                <w:highlight w:val="none"/>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bidi="ar"/>
              </w:rPr>
            </w:pPr>
            <w:r>
              <w:rPr>
                <w:rFonts w:hint="eastAsia" w:ascii="微软雅黑" w:hAnsi="微软雅黑" w:eastAsia="微软雅黑" w:cs="微软雅黑"/>
                <w:color w:val="auto"/>
                <w:sz w:val="22"/>
                <w:szCs w:val="22"/>
                <w:highlight w:val="none"/>
                <w:lang w:bidi="ar"/>
              </w:rPr>
              <w:t>（2）存在下列行为的，采购人将其失信行为上报政府采购主管部门，由主管部门按有关规定对其违法失信行为记录进行公开：</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sz w:val="22"/>
                <w:szCs w:val="22"/>
                <w:highlight w:val="none"/>
                <w:lang w:bidi="ar"/>
              </w:rPr>
            </w:pPr>
            <w:r>
              <w:rPr>
                <w:rFonts w:hint="eastAsia" w:ascii="微软雅黑" w:hAnsi="微软雅黑" w:eastAsia="微软雅黑" w:cs="微软雅黑"/>
                <w:color w:val="auto"/>
                <w:sz w:val="22"/>
                <w:szCs w:val="22"/>
                <w:highlight w:val="none"/>
                <w:lang w:bidi="ar"/>
              </w:rPr>
              <w:t>成交或者成交后，拒绝签订政府采购合同的；</w:t>
            </w:r>
          </w:p>
          <w:p>
            <w:pPr>
              <w:pageBreakBefore w:val="0"/>
              <w:kinsoku/>
              <w:wordWrap/>
              <w:overflowPunct/>
              <w:topLinePunct w:val="0"/>
              <w:autoSpaceDE w:val="0"/>
              <w:autoSpaceDN w:val="0"/>
              <w:bidi w:val="0"/>
              <w:adjustRightInd w:val="0"/>
              <w:spacing w:line="360" w:lineRule="exact"/>
              <w:ind w:firstLine="0" w:firstLineChars="0"/>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lang w:bidi="ar"/>
              </w:rPr>
              <w:t>磋商响应有效期内撤销磋商响应文件的。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p>
        </w:tc>
        <w:tc>
          <w:tcPr>
            <w:tcW w:w="8640" w:type="dxa"/>
            <w:vAlign w:val="center"/>
          </w:tcPr>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采购资金来源：</w:t>
            </w:r>
          </w:p>
          <w:p>
            <w:pPr>
              <w:pageBreakBefore w:val="0"/>
              <w:kinsoku/>
              <w:wordWrap/>
              <w:overflowPunct/>
              <w:topLinePunct w:val="0"/>
              <w:autoSpaceDE w:val="0"/>
              <w:autoSpaceDN w:val="0"/>
              <w:bidi w:val="0"/>
              <w:adjustRightInd w:val="0"/>
              <w:snapToGrid w:val="0"/>
              <w:spacing w:line="360" w:lineRule="exact"/>
              <w:ind w:firstLine="0" w:firstLineChars="0"/>
              <w:textAlignment w:val="bottom"/>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w:t>
            </w:r>
          </w:p>
        </w:tc>
        <w:tc>
          <w:tcPr>
            <w:tcW w:w="8640" w:type="dxa"/>
            <w:vAlign w:val="center"/>
          </w:tcPr>
          <w:p>
            <w:pPr>
              <w:pageBreakBefore w:val="0"/>
              <w:kinsoku/>
              <w:wordWrap/>
              <w:overflowPunct/>
              <w:topLinePunct w:val="0"/>
              <w:bidi w:val="0"/>
              <w:spacing w:line="360" w:lineRule="exact"/>
              <w:ind w:firstLine="0" w:firstLineChars="0"/>
              <w:rPr>
                <w:rFonts w:ascii="微软雅黑" w:hAnsi="微软雅黑" w:eastAsia="微软雅黑" w:cs="微软雅黑"/>
                <w:b/>
                <w:bCs/>
                <w:color w:val="auto"/>
                <w:kern w:val="44"/>
                <w:sz w:val="22"/>
                <w:szCs w:val="22"/>
                <w:highlight w:val="none"/>
              </w:rPr>
            </w:pPr>
            <w:r>
              <w:rPr>
                <w:rFonts w:hint="eastAsia" w:ascii="微软雅黑" w:hAnsi="微软雅黑" w:eastAsia="微软雅黑" w:cs="微软雅黑"/>
                <w:b/>
                <w:bCs/>
                <w:color w:val="auto"/>
                <w:kern w:val="44"/>
                <w:sz w:val="22"/>
                <w:szCs w:val="22"/>
                <w:highlight w:val="none"/>
              </w:rPr>
              <w:t>付款方式：</w:t>
            </w:r>
          </w:p>
          <w:p>
            <w:pPr>
              <w:pageBreakBefore w:val="0"/>
              <w:kinsoku/>
              <w:wordWrap/>
              <w:overflowPunct/>
              <w:topLinePunct w:val="0"/>
              <w:bidi w:val="0"/>
              <w:spacing w:line="360" w:lineRule="exact"/>
              <w:ind w:firstLine="0" w:firstLineChars="0"/>
              <w:rPr>
                <w:rFonts w:ascii="微软雅黑" w:hAnsi="微软雅黑" w:eastAsia="微软雅黑" w:cs="微软雅黑"/>
                <w:b/>
                <w:bCs/>
                <w:color w:val="auto"/>
                <w:kern w:val="44"/>
                <w:sz w:val="22"/>
                <w:szCs w:val="22"/>
                <w:highlight w:val="none"/>
              </w:rPr>
            </w:pPr>
            <w:r>
              <w:rPr>
                <w:rFonts w:hint="eastAsia" w:ascii="微软雅黑" w:hAnsi="微软雅黑" w:eastAsia="微软雅黑" w:cs="微软雅黑"/>
                <w:b/>
                <w:bCs/>
                <w:color w:val="auto"/>
                <w:kern w:val="44"/>
                <w:sz w:val="22"/>
                <w:szCs w:val="22"/>
                <w:highlight w:val="none"/>
              </w:rPr>
              <w:t>财政授权支付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w:t>
            </w:r>
          </w:p>
        </w:tc>
        <w:tc>
          <w:tcPr>
            <w:tcW w:w="8640" w:type="dxa"/>
            <w:vAlign w:val="center"/>
          </w:tcPr>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磋商响应文件有效期：</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u w:val="single"/>
              </w:rPr>
              <w:t>90</w:t>
            </w:r>
            <w:r>
              <w:rPr>
                <w:rFonts w:hint="eastAsia" w:ascii="微软雅黑" w:hAnsi="微软雅黑" w:eastAsia="微软雅黑" w:cs="微软雅黑"/>
                <w:b/>
                <w:bCs/>
                <w:color w:val="auto"/>
                <w:sz w:val="22"/>
                <w:szCs w:val="22"/>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w:t>
            </w:r>
          </w:p>
        </w:tc>
        <w:tc>
          <w:tcPr>
            <w:tcW w:w="8640" w:type="dxa"/>
            <w:vAlign w:val="center"/>
          </w:tcPr>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在确定成交供应商后，签订合同前，成交供应商须提供2份完整的纸质磋商响应文件给采购人，纸质磋商响应文件须与电子磋商响应文件格式及内容一致。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w:t>
            </w:r>
          </w:p>
        </w:tc>
        <w:tc>
          <w:tcPr>
            <w:tcW w:w="8640" w:type="dxa"/>
            <w:vAlign w:val="center"/>
          </w:tcPr>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补充说明：</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ageBreakBefore w:val="0"/>
              <w:kinsoku/>
              <w:wordWrap/>
              <w:overflowPunct/>
              <w:topLinePunct w:val="0"/>
              <w:bidi w:val="0"/>
              <w:adjustRightInd w:val="0"/>
              <w:snapToGrid w:val="0"/>
              <w:spacing w:line="360" w:lineRule="exact"/>
              <w:ind w:firstLine="0" w:firstLineChars="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26</w:t>
            </w:r>
          </w:p>
        </w:tc>
        <w:tc>
          <w:tcPr>
            <w:tcW w:w="8640" w:type="dxa"/>
            <w:vAlign w:val="center"/>
          </w:tcPr>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特别说明:</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1.如遇“政采云平台”电子化开标或评审程序调整的，按调整后程序执行。</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2.在磋商响应文件解密前，请务必检验 CA 锁与所用电脑的兼容性，部分电脑因 CA 驱动未正常安装、USB 接口兼容性差等原因可能造成磋商响应文件解密失败。</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3.使用综合评分法的采购项目，单一产品采购项目中提供相同品牌产品且通过资格审查、符合性审查的不同供应商参加同一合同项下响应的，按一家供应商计算，评审后得分最高得同品牌供应商获得成交候选供应商推荐资格；评审得分相同的，采取随机抽取方式确定，其他同品牌供应商不作为成交候选供应商。</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非单一产品采购项目，已根据采购项目技术构成、产品价格比重等确定了核心产品，多家供应商提供的核心产品品牌相同的，按前款规定处理。</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4.供应商响应所使用的资格、信誉、荣誉、业绩与企业认证必须为本法人所拥有。供应商响应所使用的采购项目实施人员必须为本法人员工（或必须为本法人或控股公司正式员工）。</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5.供应商应仔细阅读磋商文件的所有内容，按照磋商文件的要求提交磋商响应文件，并对所提供的全部资料的真实性承担法律责任。</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b/>
                <w:bCs/>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6.供应商在响应活动中提供任何虚假材料,其响应无效，并报监管部门查处；成交后发现的,成交供应商须依照《中华人民共和国消费者权益保护法》相关规定赔偿采购人，且民事赔偿并不免除违法供应商的行政与刑事责任。</w:t>
            </w:r>
          </w:p>
          <w:p>
            <w:pPr>
              <w:pageBreakBefore w:val="0"/>
              <w:kinsoku/>
              <w:wordWrap/>
              <w:overflowPunct/>
              <w:topLinePunct w:val="0"/>
              <w:bidi w:val="0"/>
              <w:adjustRightInd w:val="0"/>
              <w:snapToGrid w:val="0"/>
              <w:spacing w:line="360" w:lineRule="exact"/>
              <w:ind w:firstLine="0" w:firstLineChars="0"/>
              <w:rPr>
                <w:rFonts w:ascii="微软雅黑" w:hAnsi="微软雅黑" w:eastAsia="微软雅黑" w:cs="微软雅黑"/>
                <w:color w:val="auto"/>
                <w:spacing w:val="8"/>
                <w:kern w:val="0"/>
                <w:sz w:val="22"/>
                <w:szCs w:val="22"/>
                <w:highlight w:val="none"/>
              </w:rPr>
            </w:pPr>
            <w:r>
              <w:rPr>
                <w:rFonts w:hint="eastAsia" w:ascii="微软雅黑" w:hAnsi="微软雅黑" w:eastAsia="微软雅黑" w:cs="微软雅黑"/>
                <w:b/>
                <w:bCs/>
                <w:color w:val="auto"/>
                <w:spacing w:val="8"/>
                <w:kern w:val="0"/>
                <w:sz w:val="22"/>
                <w:szCs w:val="22"/>
                <w:highlight w:val="none"/>
              </w:rPr>
              <w:t>7.本表与采购文件其他部分内容不一致的，以本表为准。本采购文件的解释权属于采购人和采购代理机构。本磋商文件的解释权属于采购采购单位。</w:t>
            </w:r>
          </w:p>
        </w:tc>
      </w:tr>
      <w:bookmarkEnd w:id="18"/>
      <w:bookmarkEnd w:id="19"/>
    </w:tbl>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21" w:name="_Toc282640696"/>
      <w:bookmarkStart w:id="22" w:name="_Toc16770361"/>
      <w:bookmarkStart w:id="23" w:name="_Toc410379354"/>
      <w:r>
        <w:rPr>
          <w:rFonts w:hint="eastAsia" w:ascii="微软雅黑" w:hAnsi="微软雅黑" w:eastAsia="微软雅黑" w:cs="微软雅黑"/>
          <w:color w:val="auto"/>
          <w:sz w:val="22"/>
          <w:szCs w:val="22"/>
          <w:highlight w:val="none"/>
        </w:rPr>
        <w:t>一、适用范围</w:t>
      </w:r>
      <w:bookmarkEnd w:id="21"/>
      <w:bookmarkEnd w:id="22"/>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仅适用于本次竞争性磋商采购所叙述的工程、货物和服务。</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24" w:name="_Toc282640697"/>
      <w:bookmarkStart w:id="25" w:name="_Toc16770362"/>
      <w:r>
        <w:rPr>
          <w:rFonts w:hint="eastAsia" w:ascii="微软雅黑" w:hAnsi="微软雅黑" w:eastAsia="微软雅黑" w:cs="微软雅黑"/>
          <w:color w:val="auto"/>
          <w:sz w:val="22"/>
          <w:szCs w:val="22"/>
          <w:highlight w:val="none"/>
        </w:rPr>
        <w:t>二、定义</w:t>
      </w:r>
      <w:bookmarkEnd w:id="24"/>
      <w:bookmarkEnd w:id="25"/>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1、“采购人”系指安吉县自然资源和规划局。</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2、“采购代理机构”系指浙江明业项目管理有限公司。</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3、“供应商”系指向采购代理机构提交磋商响应文件的供应商。</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4、“工程、货物和服务”系指按竞争性磋商文件要求的工程、货物和服务。</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5、“采购采购单位”系指组织本次磋商的“采购代理机构”和“采购人”。</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26" w:name="_Toc16770363"/>
      <w:bookmarkStart w:id="27" w:name="_Toc282640698"/>
      <w:r>
        <w:rPr>
          <w:rFonts w:hint="eastAsia" w:ascii="微软雅黑" w:hAnsi="微软雅黑" w:eastAsia="微软雅黑" w:cs="微软雅黑"/>
          <w:color w:val="auto"/>
          <w:sz w:val="22"/>
          <w:szCs w:val="22"/>
          <w:highlight w:val="none"/>
        </w:rPr>
        <w:t>三、供应商的资格要求</w:t>
      </w:r>
      <w:bookmarkEnd w:id="26"/>
      <w:bookmarkEnd w:id="27"/>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28" w:name="_Toc282640699"/>
      <w:r>
        <w:rPr>
          <w:rFonts w:hint="eastAsia" w:ascii="微软雅黑" w:hAnsi="微软雅黑" w:eastAsia="微软雅黑" w:cs="微软雅黑"/>
          <w:color w:val="auto"/>
          <w:kern w:val="2"/>
          <w:sz w:val="22"/>
          <w:szCs w:val="22"/>
          <w:highlight w:val="none"/>
        </w:rPr>
        <w:t>符合竞争性磋商公告第三条供应商资格要求。</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29" w:name="_Toc16770364"/>
      <w:r>
        <w:rPr>
          <w:rFonts w:hint="eastAsia" w:ascii="微软雅黑" w:hAnsi="微软雅黑" w:eastAsia="微软雅黑" w:cs="微软雅黑"/>
          <w:color w:val="auto"/>
          <w:sz w:val="22"/>
          <w:szCs w:val="22"/>
          <w:highlight w:val="none"/>
        </w:rPr>
        <w:t>四、磋商费用</w:t>
      </w:r>
      <w:bookmarkEnd w:id="28"/>
      <w:bookmarkEnd w:id="29"/>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1、无论竞争性磋商过程和结果如何，供应商自行承担与磋商响应有关的全部费用。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2、本项目采购代理服务费向成交单位收取（根据本须知前附表第3条标准收取），请各响应人自行考虑计入磋商响应报价中。</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3、缴纳时间应于成交单位领取成交通知书之前，可用银行转账、网银汇款等方式（缴纳时须注明本项目编号</w:t>
      </w:r>
      <w:r>
        <w:rPr>
          <w:rFonts w:hint="eastAsia" w:ascii="微软雅黑" w:hAnsi="微软雅黑" w:eastAsia="微软雅黑" w:cs="微软雅黑"/>
          <w:color w:val="auto"/>
          <w:kern w:val="2"/>
          <w:sz w:val="22"/>
          <w:szCs w:val="22"/>
          <w:highlight w:val="none"/>
          <w:lang w:eastAsia="zh-CN"/>
        </w:rPr>
        <w:t>ZJMY（采）2024-007</w:t>
      </w:r>
      <w:r>
        <w:rPr>
          <w:rFonts w:hint="eastAsia" w:ascii="微软雅黑" w:hAnsi="微软雅黑" w:eastAsia="微软雅黑" w:cs="微软雅黑"/>
          <w:color w:val="auto"/>
          <w:kern w:val="2"/>
          <w:sz w:val="22"/>
          <w:szCs w:val="22"/>
          <w:highlight w:val="none"/>
        </w:rPr>
        <w:t>），代理服务费缴入：</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帐户名称：浙江明业项目管理有限公司安吉分公司</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开户银行：安吉农商昌硕支行</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帐    号：201000144576348</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30" w:name="_Toc282640700"/>
      <w:bookmarkStart w:id="31" w:name="_Toc16770365"/>
      <w:r>
        <w:rPr>
          <w:rFonts w:hint="eastAsia" w:ascii="微软雅黑" w:hAnsi="微软雅黑" w:eastAsia="微软雅黑" w:cs="微软雅黑"/>
          <w:color w:val="auto"/>
          <w:sz w:val="22"/>
          <w:szCs w:val="22"/>
          <w:highlight w:val="none"/>
        </w:rPr>
        <w:t>五、竞争性磋商报价</w:t>
      </w:r>
      <w:bookmarkEnd w:id="30"/>
      <w:bookmarkEnd w:id="31"/>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1、竞争性磋商报价以人民币为结算货币。</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▲2、磋商响应文件中只允许有一个报价，有选择的或有条件的报价将不予接受。</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磋商报价分二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390739901@qq.com）。</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因本项目采用竞争性磋商方式，供应商最终报价与其响应文件中的初次报价不一致的，按最终报价总价计算。</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4、供应商应按竞争性磋商文件的要求认真填写相应材料，磋商响应文件的大写金额和小写金额不一致的，以大写金额为准。</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32" w:name="_Toc282640701"/>
      <w:r>
        <w:rPr>
          <w:rFonts w:hint="eastAsia" w:ascii="微软雅黑" w:hAnsi="微软雅黑" w:eastAsia="微软雅黑" w:cs="微软雅黑"/>
          <w:color w:val="auto"/>
          <w:kern w:val="2"/>
          <w:sz w:val="22"/>
          <w:szCs w:val="22"/>
          <w:highlight w:val="none"/>
        </w:rPr>
        <w:t>▲5、磋商报价是履行合同的最终价格，费用应包括人工费、材料费、管理费、利润、风险费、税金、利润、采购代理费等一切费用。磋商报价以单价的形式进行报价。</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6、供应商应充分考虑因各种原因可能发生的费用。对没有填报的费用，采购人认为所有费用已包含在总价中，除合同条款另有规定外，不得进行调整。</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7、供应商对竞争性磋商文件里有关磋商报价的全部内容应仔细确认，若有个别异议，应在磋商前提出修改意见，否则视同全部确认。</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22"/>
          <w:szCs w:val="22"/>
          <w:highlight w:val="none"/>
        </w:rPr>
        <w:t>六、磋商保证金</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不收取</w:t>
      </w:r>
    </w:p>
    <w:bookmarkEnd w:id="32"/>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
          <w:bCs/>
          <w:color w:val="auto"/>
          <w:kern w:val="2"/>
          <w:sz w:val="22"/>
          <w:szCs w:val="22"/>
          <w:highlight w:val="none"/>
        </w:rPr>
      </w:pPr>
      <w:bookmarkStart w:id="33" w:name="_Toc16770366"/>
      <w:r>
        <w:rPr>
          <w:rFonts w:hint="eastAsia" w:ascii="微软雅黑" w:hAnsi="微软雅黑" w:eastAsia="微软雅黑" w:cs="微软雅黑"/>
          <w:b/>
          <w:bCs/>
          <w:color w:val="auto"/>
          <w:kern w:val="2"/>
          <w:sz w:val="22"/>
          <w:szCs w:val="22"/>
          <w:highlight w:val="none"/>
        </w:rPr>
        <w:t>七、履约保证</w:t>
      </w:r>
      <w:bookmarkEnd w:id="33"/>
      <w:r>
        <w:rPr>
          <w:rFonts w:hint="eastAsia" w:ascii="微软雅黑" w:hAnsi="微软雅黑" w:eastAsia="微软雅黑" w:cs="微软雅黑"/>
          <w:b/>
          <w:bCs/>
          <w:color w:val="auto"/>
          <w:kern w:val="2"/>
          <w:sz w:val="22"/>
          <w:szCs w:val="22"/>
          <w:highlight w:val="none"/>
        </w:rPr>
        <w:t>金</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34" w:name="_Toc16770367"/>
      <w:r>
        <w:rPr>
          <w:rFonts w:hint="eastAsia" w:ascii="微软雅黑" w:hAnsi="微软雅黑" w:eastAsia="微软雅黑" w:cs="微软雅黑"/>
          <w:color w:val="auto"/>
          <w:kern w:val="2"/>
          <w:sz w:val="22"/>
          <w:szCs w:val="22"/>
          <w:highlight w:val="none"/>
        </w:rPr>
        <w:t>成交人签订合同前缴纳履约证保金0元，服务期满后无违约的无息退还。</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八、质疑和投诉</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1、供应商认为采购文件、采购过程和成交结果使自己的权益受到损害的，应当在知道或者应知其权益受到损害之日起七个工作日内，以书面形式向采购人、采购代理机构提出质疑。质疑起算日期如下：</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（1）对可以质疑的采购文件提出质疑的，为收到采购文件之日或者采购文件公告期限届满之日（公告期限届满后获取采购文件的，以公告期限届满之日为准）；</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（2）对采购过程提出质疑的，为各采购程序环节结束之日；</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（3）对成交结果提出质疑的，为成交结果公告期限届满之日。</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2、质疑供应商对采购人、采购代理机构的答复不满意或者采购人、采购代理机构未在规定时间内作出答复的，可以在答复期满后十五个工作日内向同级政府采购监管部门投诉。</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质疑书、投诉书均应明确阐述采购文件、采购过程和成交结果中使自己合法权益受到损害的实质性内容，提供相关事实、依据和证据及其来源或线索，便于有关单位调查、答复和处理。</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4、供应商一旦递交了响应文件，即被视为接受了本采购文件的所有内容，对采购文件无任何异议。</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九、采购文件的澄清与修改 </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十、磋商文件有效期</w:t>
      </w:r>
      <w:bookmarkEnd w:id="34"/>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1、响应文件从磋商之日起，有效期为90天。</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2、特殊情况下，采购人可与供应商协商延缓响应文件的有效期，这种要求和答复均以书面形式进行。</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3、供应商可拒绝接受延期要求,同意延长有效期的供应商不能修改磋商响应文件。</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35" w:name="_Toc16770368"/>
      <w:bookmarkStart w:id="36" w:name="_Toc282640702"/>
      <w:r>
        <w:rPr>
          <w:rFonts w:hint="eastAsia" w:ascii="微软雅黑" w:hAnsi="微软雅黑" w:eastAsia="微软雅黑" w:cs="微软雅黑"/>
          <w:color w:val="auto"/>
          <w:sz w:val="22"/>
          <w:szCs w:val="22"/>
          <w:highlight w:val="none"/>
        </w:rPr>
        <w:t>十一、响应文件的组成</w:t>
      </w:r>
      <w:bookmarkEnd w:id="35"/>
      <w:bookmarkEnd w:id="36"/>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3、响应文件由资格部分、商务资信部分、技术部分和价格部分组成</w:t>
      </w:r>
      <w:r>
        <w:rPr>
          <w:rFonts w:hint="eastAsia" w:ascii="微软雅黑" w:hAnsi="微软雅黑" w:eastAsia="微软雅黑" w:cs="微软雅黑"/>
          <w:color w:val="auto"/>
          <w:sz w:val="22"/>
          <w:szCs w:val="22"/>
          <w:highlight w:val="none"/>
        </w:rPr>
        <w:t>。</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37" w:name="_Toc16770370"/>
      <w:bookmarkStart w:id="38" w:name="_Toc282640709"/>
      <w:r>
        <w:rPr>
          <w:rFonts w:hint="eastAsia" w:ascii="微软雅黑" w:hAnsi="微软雅黑" w:eastAsia="微软雅黑" w:cs="微软雅黑"/>
          <w:color w:val="auto"/>
          <w:kern w:val="2"/>
          <w:sz w:val="22"/>
          <w:szCs w:val="22"/>
          <w:highlight w:val="none"/>
        </w:rPr>
        <w:t>3.1.技术、商务、资信及其他文件主要包括下列内容：</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供应商自评分索引表：</w:t>
      </w:r>
    </w:p>
    <w:p>
      <w:pPr>
        <w:pStyle w:val="13"/>
        <w:keepNext w:val="0"/>
        <w:keepLines w:val="0"/>
        <w:pageBreakBefore w:val="0"/>
        <w:numPr>
          <w:ilvl w:val="0"/>
          <w:numId w:val="1"/>
        </w:numPr>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资格文件</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(1)磋商响应声明书（格式见附件）；</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(2)营业执照副本复印件或民办非企业证书复印件；</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(3)供应商的资质证书复印件；</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(4)法定代表人身份证明书和授权委托书（格式见附件）；</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(5)最近一个季度依法缴纳税收和社保费的证明[税费凭证复印件，或者依法缴纳税费或依法免缴税费的证明]；</w:t>
      </w:r>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(6)中小企业声明函。（注：</w:t>
      </w:r>
      <w:r>
        <w:rPr>
          <w:rFonts w:hint="eastAsia" w:ascii="微软雅黑" w:hAnsi="微软雅黑" w:eastAsia="微软雅黑" w:cs="微软雅黑"/>
          <w:color w:val="auto"/>
          <w:sz w:val="22"/>
          <w:szCs w:val="22"/>
          <w:highlight w:val="none"/>
          <w:lang w:val="en-US" w:eastAsia="zh-CN"/>
        </w:rPr>
        <w:t>如本</w:t>
      </w:r>
      <w:r>
        <w:rPr>
          <w:rFonts w:hint="eastAsia" w:ascii="微软雅黑" w:hAnsi="微软雅黑" w:eastAsia="微软雅黑" w:cs="微软雅黑"/>
          <w:color w:val="auto"/>
          <w:sz w:val="22"/>
          <w:szCs w:val="22"/>
          <w:highlight w:val="none"/>
        </w:rPr>
        <w:t>项目为专门面向中小企业采购，供应商非中小企业的，资格审查不通过；符合上述条件的中小微型企业应按照磋商文件附件的格式要求在资格证明文件中提供《中小企业声明函》）</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2、技术文件、商务资信及其他文件：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（1）按评分表顺序编制；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（2）供应商需要说明的其他文件和说明。</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（3）磋商响应声明书（格式详见附件）；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（4）磋商响应单位情况表（格式详见附件）；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（5）供应商业绩（如有，格式详见附件）；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（6）供应商综合实力（如有）；</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w:t>
      </w:r>
      <w:r>
        <w:rPr>
          <w:rFonts w:ascii="微软雅黑" w:hAnsi="微软雅黑" w:eastAsia="微软雅黑" w:cs="微软雅黑"/>
          <w:color w:val="auto"/>
          <w:kern w:val="2"/>
          <w:sz w:val="22"/>
          <w:szCs w:val="22"/>
          <w:highlight w:val="none"/>
        </w:rPr>
        <w:t>7</w:t>
      </w:r>
      <w:r>
        <w:rPr>
          <w:rFonts w:hint="eastAsia" w:ascii="微软雅黑" w:hAnsi="微软雅黑" w:eastAsia="微软雅黑" w:cs="微软雅黑"/>
          <w:color w:val="auto"/>
          <w:kern w:val="2"/>
          <w:sz w:val="22"/>
          <w:szCs w:val="22"/>
          <w:highlight w:val="none"/>
        </w:rPr>
        <w:t>）商务条款偏离表（格式详见附件）；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w:t>
      </w:r>
      <w:r>
        <w:rPr>
          <w:rFonts w:ascii="微软雅黑" w:hAnsi="微软雅黑" w:eastAsia="微软雅黑" w:cs="微软雅黑"/>
          <w:color w:val="auto"/>
          <w:kern w:val="2"/>
          <w:sz w:val="22"/>
          <w:szCs w:val="22"/>
          <w:highlight w:val="none"/>
        </w:rPr>
        <w:t>8</w:t>
      </w:r>
      <w:r>
        <w:rPr>
          <w:rFonts w:hint="eastAsia" w:ascii="微软雅黑" w:hAnsi="微软雅黑" w:eastAsia="微软雅黑" w:cs="微软雅黑"/>
          <w:color w:val="auto"/>
          <w:kern w:val="2"/>
          <w:sz w:val="22"/>
          <w:szCs w:val="22"/>
          <w:highlight w:val="none"/>
        </w:rPr>
        <w:t>）供应商认为需要提供的文件和资料。</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3、报价文件：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xml:space="preserve">（1）磋商响应函（格式见附件）； </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（2）开标一览表（格式见附件）；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（3）磋商响应报价明细表（格式自拟）；</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w:t>
      </w:r>
      <w:r>
        <w:rPr>
          <w:rFonts w:ascii="微软雅黑" w:hAnsi="微软雅黑" w:eastAsia="微软雅黑" w:cs="微软雅黑"/>
          <w:color w:val="auto"/>
          <w:kern w:val="2"/>
          <w:sz w:val="22"/>
          <w:szCs w:val="22"/>
          <w:highlight w:val="none"/>
        </w:rPr>
        <w:t>4</w:t>
      </w:r>
      <w:r>
        <w:rPr>
          <w:rFonts w:hint="eastAsia" w:ascii="微软雅黑" w:hAnsi="微软雅黑" w:eastAsia="微软雅黑" w:cs="微软雅黑"/>
          <w:color w:val="auto"/>
          <w:kern w:val="2"/>
          <w:sz w:val="22"/>
          <w:szCs w:val="22"/>
          <w:highlight w:val="none"/>
        </w:rPr>
        <w:t>）采购代理费承诺函；</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w:t>
      </w:r>
      <w:r>
        <w:rPr>
          <w:rFonts w:ascii="微软雅黑" w:hAnsi="微软雅黑" w:eastAsia="微软雅黑" w:cs="微软雅黑"/>
          <w:color w:val="auto"/>
          <w:kern w:val="2"/>
          <w:sz w:val="22"/>
          <w:szCs w:val="22"/>
          <w:highlight w:val="none"/>
        </w:rPr>
        <w:t>5</w:t>
      </w:r>
      <w:r>
        <w:rPr>
          <w:rFonts w:hint="eastAsia" w:ascii="微软雅黑" w:hAnsi="微软雅黑" w:eastAsia="微软雅黑" w:cs="微软雅黑"/>
          <w:color w:val="auto"/>
          <w:kern w:val="2"/>
          <w:sz w:val="22"/>
          <w:szCs w:val="22"/>
          <w:highlight w:val="none"/>
        </w:rPr>
        <w:t>）供应商针对报价需要说明的其他文件和说明（格式自拟）。</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▲注：（1）上述内容本采购文件中有提供格式的，供应商须参照格式进行编制（格式中要求提供相关证明材料的还需后附相关证明材料），并按格式要求在指定位置根据要求进行签章，否则视为未提供；</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（2）采购文件未提供格式的，请各供应商自行拟定格式，并加盖单位公章并由法定代表人或其授权代表签署（签字或盖章），否则视为未提供；</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（3）可以提供复制件的相关证明材料必须加盖供应商公章，否则视为未提供（例如：各类资格资质证书、业绩材料等）</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十二、响应文件</w:t>
      </w:r>
      <w:bookmarkEnd w:id="37"/>
      <w:bookmarkEnd w:id="38"/>
      <w:r>
        <w:rPr>
          <w:rFonts w:hint="eastAsia" w:ascii="微软雅黑" w:hAnsi="微软雅黑" w:eastAsia="微软雅黑" w:cs="微软雅黑"/>
          <w:color w:val="auto"/>
          <w:sz w:val="22"/>
          <w:szCs w:val="22"/>
          <w:highlight w:val="none"/>
        </w:rPr>
        <w:t>编制、上传、递交（电子交易）</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39" w:name="_Toc282640710"/>
      <w:bookmarkStart w:id="40" w:name="_Toc16770371"/>
      <w:r>
        <w:rPr>
          <w:rFonts w:hint="eastAsia" w:ascii="微软雅黑" w:hAnsi="微软雅黑" w:eastAsia="微软雅黑" w:cs="微软雅黑"/>
          <w:color w:val="auto"/>
          <w:kern w:val="2"/>
          <w:sz w:val="22"/>
          <w:szCs w:val="22"/>
          <w:highlight w:val="none"/>
        </w:rPr>
        <w:t>1、本项目通过“政采云平台（www.zcygov.cn）”实行在线响应（电子交易）。供应商应通过“政采云电子交易客户端”，并按照本采购文件和“政府采购云平台”的要求编制并加密响应文件。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2、供应商应当按照本章节 “响应文件的组成”规定的内容及顺序在“政采云电子交易客户端”编制响应文件。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4、响应文件内容不完整、编排混乱导致响应文件被误读、漏读或者查找不到相关内容的，是供应商的责任。</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5、响应文件因字迹潦草或表达不清所引起的后果由供应商负责。</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7、响应文件的签章</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7.1 响应文件的签章见《前附表》；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7.2 响应文件应由供应商法定代表人或其授权代表签字（或盖章），并加盖供应商公章。</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7.3 参与在线响应时如遇平台技术问题详询400-881-7190。</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8、响应文件的形式</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8.1 响应文件的形式：见《前附表》；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8.2 “电子加密响应文件”：“电子加密响应文件”是指通过“政采云电子交易客户端”完成响应文件编制后生成并加密的数据电文形式的响应文件。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8.3 “备份响应文件”：“备份响应文件”是指与“电子加密响应文件”同时生成的数据电文形式的电子文件（备份标书），其他方式编制的“备份响应文件”视为无效的“备份响应文件”。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9、响应文件的份数</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响应文件的份数：见《前附表》。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10、响应文件的上传、递交</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响应文件”的上传、递交：见《前附表》。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11、“电子加密响应文件”解密和异常情况处理</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“电子加密响应文件”解密：见《前附表》。</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12、响应文件的补充、修改或撤回</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12.1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12.2 响应截止时间后，供应商不得撤回、修改《响应文件》。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13、响应文件的备选方案</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供应商不得递交任何的备选（替代）方案，否则其响应文件将作无效处理。与“电子加密响应文件”同时生成的“备份响应文件”不是备选方案。</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14、响应截止期</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14.1供应商应按前附表规定的时间、地点将“电子加密响应文件”上传至“政采云平台”，响应截止时间后递交的“电子加密响应文件”，“政采云平台”将予以拒收。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14.2供应商应按前附表规定的时间、地点将“备份响应文件”递交给采购代理机构，采购代理机构将拒绝接受逾期送达的“备份响应文件”。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14.3采购人可以按本须知规定以补充通知的方式，酌情延长递交响应文件的截止日期。在上述情况下，采购人与供应商以前在响应截止期方面的全部权利、责任和义务，将适用于延长至新的响应截止期。</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十三、无效响应文件</w:t>
      </w:r>
      <w:bookmarkEnd w:id="39"/>
      <w:bookmarkEnd w:id="40"/>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color w:val="auto"/>
          <w:sz w:val="22"/>
          <w:szCs w:val="22"/>
          <w:highlight w:val="none"/>
        </w:rPr>
        <w:t>发生下列情况之一的响应文件被视为无效：</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bookmarkStart w:id="41" w:name="_Toc282640720"/>
      <w:bookmarkStart w:id="42" w:name="_Toc16770372"/>
      <w:r>
        <w:rPr>
          <w:rFonts w:hint="eastAsia" w:ascii="微软雅黑" w:hAnsi="微软雅黑" w:eastAsia="微软雅黑" w:cs="微软雅黑"/>
          <w:color w:val="auto"/>
          <w:kern w:val="2"/>
          <w:sz w:val="22"/>
          <w:szCs w:val="22"/>
          <w:highlight w:val="none"/>
        </w:rPr>
        <w:t>1、在采购文件规定的递交截止时间以后送达的响应文件；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2、响应文件递交截止时间前，供应商仅递交了“备份响应文件”而未将电子加密响应文件上传至“政府采购云平台”的，响应文件无效。</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3、与采购文件有重大偏离的响应文件；</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4、磋商时供应商法定代表人（或授权代表）未在线参加磋商的；</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5、不具备磋商文件中规定的资格条件要求的；</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6、不符合法律、法规和本采购文件规定的其他实质性要求的。</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7、供应商提供的《中小企业声明函》未采用本采购文件附件模板；</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8、供应商提供的《中小企业声明函》未填写完整的；</w:t>
      </w:r>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2"/>
          <w:sz w:val="22"/>
          <w:szCs w:val="22"/>
          <w:highlight w:val="none"/>
        </w:rPr>
        <w:t>9、供应商未如实填写《中小企业声明函》的。</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十二、竞争性磋商文件答疑</w:t>
      </w:r>
      <w:bookmarkEnd w:id="41"/>
      <w:bookmarkEnd w:id="42"/>
    </w:p>
    <w:p>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t>如对本次竞争性磋商文件存在疑问，请将书面质疑函文件在</w:t>
      </w:r>
      <w:r>
        <w:rPr>
          <w:rFonts w:hint="eastAsia" w:ascii="微软雅黑" w:hAnsi="微软雅黑" w:eastAsia="微软雅黑" w:cs="微软雅黑"/>
          <w:color w:val="auto"/>
          <w:sz w:val="22"/>
          <w:szCs w:val="22"/>
          <w:highlight w:val="none"/>
          <w:lang w:eastAsia="zh-CN"/>
        </w:rPr>
        <w:t>2024年</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日下午17：00时之前邮寄至浙江省安吉县昌硕街道递二社区综合楼三楼浙江明业项目管理有限公司，联系人：黄强 联系电话：19957211776，同时将质疑函扫描件以电子邮件形式发送至电子邮箱390739901@qq.com。采购单位将做统一答复，如规定时间内未收到任何质疑，则视为各供应商对此均无异议。</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43" w:name="_Toc282640721"/>
      <w:bookmarkStart w:id="44" w:name="_Toc16770373"/>
      <w:r>
        <w:rPr>
          <w:rFonts w:hint="eastAsia" w:ascii="微软雅黑" w:hAnsi="微软雅黑" w:eastAsia="微软雅黑" w:cs="微软雅黑"/>
          <w:color w:val="auto"/>
          <w:sz w:val="22"/>
          <w:szCs w:val="22"/>
          <w:highlight w:val="none"/>
        </w:rPr>
        <w:t>十三、确定成交供应商方法</w:t>
      </w:r>
      <w:bookmarkEnd w:id="43"/>
      <w:bookmarkEnd w:id="44"/>
    </w:p>
    <w:p>
      <w:pPr>
        <w:pStyle w:val="13"/>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
          <w:bCs/>
          <w:color w:val="auto"/>
          <w:kern w:val="2"/>
          <w:sz w:val="22"/>
          <w:szCs w:val="22"/>
          <w:highlight w:val="none"/>
        </w:rPr>
      </w:pPr>
      <w:bookmarkStart w:id="45" w:name="_Toc282640722"/>
      <w:r>
        <w:rPr>
          <w:rFonts w:hint="eastAsia" w:ascii="微软雅黑" w:hAnsi="微软雅黑" w:eastAsia="微软雅黑" w:cs="微软雅黑"/>
          <w:b/>
          <w:bCs/>
          <w:color w:val="auto"/>
          <w:kern w:val="2"/>
          <w:sz w:val="22"/>
          <w:szCs w:val="22"/>
          <w:highlight w:val="none"/>
        </w:rPr>
        <w:t>在质量与服务均能满足采购项目要求的前提下，以综合得分由高到低的原则确定成交供应商,详细的磋商程序见竞争性磋商文件第四章内容。</w:t>
      </w:r>
      <w:bookmarkEnd w:id="45"/>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46" w:name="_Toc402872212"/>
      <w:bookmarkStart w:id="47" w:name="_Toc16770374"/>
      <w:bookmarkStart w:id="48" w:name="_Toc282640750"/>
      <w:r>
        <w:rPr>
          <w:rFonts w:hint="eastAsia" w:ascii="微软雅黑" w:hAnsi="微软雅黑" w:eastAsia="微软雅黑" w:cs="微软雅黑"/>
          <w:color w:val="auto"/>
          <w:sz w:val="22"/>
          <w:szCs w:val="22"/>
          <w:highlight w:val="none"/>
        </w:rPr>
        <w:t>十四、 成交通知</w:t>
      </w:r>
      <w:bookmarkEnd w:id="46"/>
      <w:bookmarkEnd w:id="47"/>
      <w:bookmarkEnd w:id="48"/>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1、本项目由采购人确定成交供应商。</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2、本次评审采用综合评分法，即</w:t>
      </w:r>
      <w:r>
        <w:rPr>
          <w:rFonts w:hint="eastAsia" w:ascii="微软雅黑" w:hAnsi="微软雅黑" w:eastAsia="微软雅黑" w:cs="微软雅黑"/>
          <w:b/>
          <w:bCs/>
          <w:color w:val="auto"/>
          <w:sz w:val="22"/>
          <w:szCs w:val="22"/>
          <w:highlight w:val="none"/>
        </w:rPr>
        <w:t>在质量和服务均能满足竞争性磋商文件实质性要求且综合得分由高到低的原则确定成交供应商。</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3、磋商结束后，磋商小组拟制评审报告。</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4、采购代理机构在评审结束后2个工作日内将评审报告交采购人确认。</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5、采购人在收到评审报告后5个工作日内对评审结果进行确认。</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6、采购人确定成交供应商后2个工作日内，采购代理机构在相关网站上发布成交公告，同时发出成交通知书。</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49" w:name="_Toc16770375"/>
      <w:r>
        <w:rPr>
          <w:rFonts w:hint="eastAsia" w:ascii="微软雅黑" w:hAnsi="微软雅黑" w:eastAsia="微软雅黑" w:cs="微软雅黑"/>
          <w:color w:val="auto"/>
          <w:sz w:val="22"/>
          <w:szCs w:val="22"/>
          <w:highlight w:val="none"/>
        </w:rPr>
        <w:t>十五、授予合同</w:t>
      </w:r>
      <w:bookmarkEnd w:id="49"/>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color w:val="auto"/>
          <w:sz w:val="22"/>
          <w:szCs w:val="22"/>
          <w:highlight w:val="none"/>
        </w:rPr>
        <w:t>1、</w:t>
      </w:r>
      <w:r>
        <w:rPr>
          <w:rFonts w:hint="eastAsia" w:ascii="微软雅黑" w:hAnsi="微软雅黑" w:eastAsia="微软雅黑" w:cs="微软雅黑"/>
          <w:color w:val="auto"/>
          <w:sz w:val="22"/>
          <w:szCs w:val="22"/>
          <w:highlight w:val="none"/>
        </w:rPr>
        <w:t>授予合同的依据</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采购采购单位签发的成交通知书；</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磋商文件、磋商文件的修改及补充通知（函）；</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响应文件和磋商时供应商作出的书面澄清、说明、纠正、承诺等；</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
          <w:bCs/>
          <w:color w:val="auto"/>
          <w:sz w:val="22"/>
          <w:szCs w:val="22"/>
          <w:highlight w:val="none"/>
        </w:rPr>
        <w:t>2、</w:t>
      </w:r>
      <w:r>
        <w:rPr>
          <w:rFonts w:hint="eastAsia" w:ascii="微软雅黑" w:hAnsi="微软雅黑" w:eastAsia="微软雅黑" w:cs="微软雅黑"/>
          <w:bCs/>
          <w:color w:val="auto"/>
          <w:sz w:val="22"/>
          <w:szCs w:val="22"/>
          <w:highlight w:val="none"/>
        </w:rPr>
        <w:t>合同签订</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2.1成交供应商与采购人应按本文件及成交通知书中规定的时间、地点签订合同，否则应承担相应的法律责任。</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Cs/>
          <w:color w:val="auto"/>
          <w:sz w:val="22"/>
          <w:szCs w:val="22"/>
          <w:highlight w:val="none"/>
        </w:rPr>
        <w:t>2.2 磋商文件、成交供应商的响应文件及磋商过程中有关澄清文件和承诺均为合同附件。</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 </w:t>
      </w:r>
      <w:r>
        <w:rPr>
          <w:rFonts w:hint="eastAsia" w:ascii="微软雅黑" w:hAnsi="微软雅黑" w:eastAsia="微软雅黑" w:cs="微软雅黑"/>
          <w:snapToGrid w:val="0"/>
          <w:color w:val="auto"/>
          <w:sz w:val="22"/>
          <w:szCs w:val="22"/>
          <w:highlight w:val="none"/>
        </w:rPr>
        <w:t>采购人与成交供应商将根据《中华人民共和国合同法》的规定，依据磋商文件和成交供应商的响应文件签订书面合同。</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 采购人如不与</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供应商订立合同，或者采购人、</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供应商订立背离合同实质性内容的协议，由政府有关部门责令改正，同时依法承担相应法律责任；</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2.5 </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供应商如不按规定与采购人订立合同，则采购采购单位将废除授标，给采购采购单位造成的损失超过磋商担保数额的，还应当对超过部分予以赔偿，同时依法承担相应法律责任。</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2.6 </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供应商应当按照合同约定履行义务，完成</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项目各项工作，不得将</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项目违法转让（转包）给他人；</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2.7如果</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供应商未能遵守上述2.5条的规定，则可取消其</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资格。在此情况下，可将合同授予排序在</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供应商之后的第一位</w:t>
      </w:r>
      <w:r>
        <w:rPr>
          <w:rFonts w:hint="eastAsia" w:ascii="微软雅黑" w:hAnsi="微软雅黑" w:eastAsia="微软雅黑" w:cs="微软雅黑"/>
          <w:snapToGrid w:val="0"/>
          <w:color w:val="auto"/>
          <w:sz w:val="22"/>
          <w:szCs w:val="22"/>
          <w:highlight w:val="none"/>
        </w:rPr>
        <w:t>成交</w:t>
      </w:r>
      <w:r>
        <w:rPr>
          <w:rFonts w:hint="eastAsia" w:ascii="微软雅黑" w:hAnsi="微软雅黑" w:eastAsia="微软雅黑" w:cs="微软雅黑"/>
          <w:color w:val="auto"/>
          <w:sz w:val="22"/>
          <w:szCs w:val="22"/>
          <w:highlight w:val="none"/>
        </w:rPr>
        <w:t>候选供应商。</w:t>
      </w:r>
    </w:p>
    <w:p>
      <w:pPr>
        <w:keepNext w:val="0"/>
        <w:keepLines w:val="0"/>
        <w:pageBreakBefore w:val="0"/>
        <w:kinsoku/>
        <w:wordWrap/>
        <w:overflowPunct/>
        <w:topLinePunct w:val="0"/>
        <w:bidi w:val="0"/>
        <w:adjustRightInd/>
        <w:snapToGrid/>
        <w:spacing w:line="440" w:lineRule="exact"/>
        <w:ind w:firstLine="440" w:firstLineChars="200"/>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2.8自合同签订之日起七个工作日内，成交供应商需将合同副本分别送安吉县公共资源交易中心和采购代理机构备案。</w:t>
      </w:r>
    </w:p>
    <w:p>
      <w:pPr>
        <w:pStyle w:val="24"/>
        <w:keepNext w:val="0"/>
        <w:keepLines w:val="0"/>
        <w:pageBreakBefore w:val="0"/>
        <w:kinsoku/>
        <w:wordWrap/>
        <w:overflowPunct/>
        <w:topLinePunct w:val="0"/>
        <w:bidi w:val="0"/>
        <w:adjustRightInd/>
        <w:snapToGrid/>
        <w:spacing w:before="0" w:after="0" w:line="440" w:lineRule="exact"/>
        <w:ind w:firstLine="440" w:firstLineChars="200"/>
        <w:jc w:val="left"/>
        <w:textAlignment w:val="auto"/>
        <w:rPr>
          <w:rFonts w:ascii="微软雅黑" w:hAnsi="微软雅黑" w:eastAsia="微软雅黑" w:cs="微软雅黑"/>
          <w:color w:val="auto"/>
          <w:sz w:val="22"/>
          <w:szCs w:val="22"/>
          <w:highlight w:val="none"/>
        </w:rPr>
      </w:pPr>
      <w:bookmarkStart w:id="50" w:name="_Toc16770376"/>
      <w:r>
        <w:rPr>
          <w:rFonts w:hint="eastAsia" w:ascii="微软雅黑" w:hAnsi="微软雅黑" w:eastAsia="微软雅黑" w:cs="微软雅黑"/>
          <w:color w:val="auto"/>
          <w:sz w:val="22"/>
          <w:szCs w:val="22"/>
          <w:highlight w:val="none"/>
        </w:rPr>
        <w:t>十六、特殊说明：</w:t>
      </w:r>
      <w:bookmarkEnd w:id="50"/>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1、可中止电子交易活动的情形</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标“▲”条款是实质性条款，响应人必须全部响应，否则磋商响应无效。</w:t>
      </w:r>
      <w:bookmarkEnd w:id="23"/>
      <w:bookmarkStart w:id="51" w:name="_Toc478668190"/>
      <w:r>
        <w:rPr>
          <w:rFonts w:hint="eastAsia" w:ascii="微软雅黑" w:hAnsi="微软雅黑" w:eastAsia="微软雅黑" w:cs="微软雅黑"/>
          <w:color w:val="auto"/>
          <w:kern w:val="0"/>
          <w:sz w:val="22"/>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电子交易平台发生故障而无法登录访问的；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电子交易平台应用或数据库出现错误，不能进行正常操作的；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电子交易平台发现严重安全漏洞，有潜在泄密危险的；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病毒发作导致不能进行正常操作的；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其他无法保证电子交易的公平、公正和安全的情况。</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出现上述情形，不影响采购公平、公正性的，采购组织机构可以待上述情形消除后继续组织电子交易活动；影响或可能影响采购公平、公正性的，应当重新采购。</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2、终止采购活动</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出现下列情形之一的，采购人或者采购代理机构应当终止竞争性磋商采购活动，发布项目终止公告并说明原因，重新开展采购活动：</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因情况变化，不再符合规定的竞争性磋商采购方式适用情形的；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出现影响采购公正的违法、违规行为的；</w:t>
      </w:r>
    </w:p>
    <w:p>
      <w:pPr>
        <w:keepNext w:val="0"/>
        <w:keepLines w:val="0"/>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除相关规定情形外，在采购过程中符合要求的供应商或者报价未超过采购预算的供应商不足3家的。</w:t>
      </w:r>
    </w:p>
    <w:p>
      <w:pPr>
        <w:pStyle w:val="28"/>
        <w:ind w:firstLine="440" w:firstLineChars="200"/>
        <w:rPr>
          <w:rFonts w:ascii="微软雅黑" w:hAnsi="微软雅黑" w:eastAsia="微软雅黑" w:cs="微软雅黑"/>
          <w:color w:val="auto"/>
          <w:sz w:val="30"/>
          <w:szCs w:val="30"/>
          <w:highlight w:val="none"/>
        </w:rPr>
      </w:pPr>
      <w:bookmarkStart w:id="52" w:name="_Toc16770377"/>
      <w:r>
        <w:rPr>
          <w:rFonts w:hint="eastAsia" w:ascii="微软雅黑" w:hAnsi="微软雅黑" w:eastAsia="微软雅黑" w:cs="微软雅黑"/>
          <w:color w:val="auto"/>
          <w:kern w:val="0"/>
          <w:sz w:val="22"/>
          <w:szCs w:val="22"/>
          <w:highlight w:val="none"/>
        </w:rPr>
        <w:br w:type="page"/>
      </w:r>
      <w:bookmarkStart w:id="53" w:name="_Toc29268"/>
      <w:r>
        <w:rPr>
          <w:rFonts w:hint="eastAsia" w:ascii="微软雅黑" w:hAnsi="微软雅黑" w:eastAsia="微软雅黑" w:cs="微软雅黑"/>
          <w:color w:val="auto"/>
          <w:sz w:val="30"/>
          <w:szCs w:val="30"/>
          <w:highlight w:val="none"/>
        </w:rPr>
        <w:t>第三章  磋商项目采购要求</w:t>
      </w:r>
      <w:bookmarkEnd w:id="51"/>
      <w:bookmarkEnd w:id="52"/>
      <w:bookmarkEnd w:id="53"/>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jc w:val="left"/>
        <w:textAlignment w:val="auto"/>
        <w:rPr>
          <w:rFonts w:hint="eastAsia" w:ascii="微软雅黑" w:hAnsi="微软雅黑" w:eastAsia="微软雅黑" w:cs="微软雅黑"/>
          <w:b/>
          <w:bCs/>
          <w:color w:val="auto"/>
          <w:sz w:val="22"/>
          <w:szCs w:val="22"/>
          <w:highlight w:val="none"/>
        </w:rPr>
      </w:pPr>
      <w:bookmarkStart w:id="54" w:name="_Toc410379362"/>
      <w:bookmarkStart w:id="55" w:name="_Toc410379356"/>
      <w:r>
        <w:rPr>
          <w:rFonts w:hint="eastAsia" w:ascii="微软雅黑" w:hAnsi="微软雅黑" w:eastAsia="微软雅黑" w:cs="微软雅黑"/>
          <w:b/>
          <w:bCs/>
          <w:color w:val="auto"/>
          <w:sz w:val="22"/>
          <w:szCs w:val="22"/>
          <w:highlight w:val="none"/>
        </w:rPr>
        <w:t>本章要求适用于</w:t>
      </w:r>
      <w:r>
        <w:rPr>
          <w:rFonts w:hint="eastAsia" w:ascii="微软雅黑" w:hAnsi="微软雅黑" w:eastAsia="微软雅黑" w:cs="微软雅黑"/>
          <w:b/>
          <w:bCs/>
          <w:color w:val="auto"/>
          <w:sz w:val="22"/>
          <w:szCs w:val="22"/>
          <w:highlight w:val="none"/>
          <w:lang w:eastAsia="zh-CN"/>
        </w:rPr>
        <w:t>安吉县自然资源和规划局购买地质灾害监测设备运维服务政府采购项目</w:t>
      </w:r>
      <w:r>
        <w:rPr>
          <w:rFonts w:hint="eastAsia" w:ascii="微软雅黑" w:hAnsi="微软雅黑" w:eastAsia="微软雅黑" w:cs="微软雅黑"/>
          <w:b/>
          <w:bCs/>
          <w:color w:val="auto"/>
          <w:sz w:val="22"/>
          <w:szCs w:val="22"/>
          <w:highlight w:val="none"/>
        </w:rPr>
        <w:t>的采购，是采购人为该项目的供应商提出的技术规范要求，为供应商完成响应文件的依据。本章所提出的内容为本项目的最低要求，供应商必须认真阅读以下内容，以免造成磋商损失。</w:t>
      </w:r>
      <w:bookmarkStart w:id="56" w:name="_Toc282640725"/>
    </w:p>
    <w:bookmarkEnd w:id="56"/>
    <w:p>
      <w:pPr>
        <w:keepNext w:val="0"/>
        <w:keepLines w:val="0"/>
        <w:pageBreakBefore w:val="0"/>
        <w:kinsoku/>
        <w:wordWrap/>
        <w:overflowPunct/>
        <w:topLinePunct w:val="0"/>
        <w:bidi w:val="0"/>
        <w:spacing w:line="440" w:lineRule="exact"/>
        <w:ind w:firstLine="440" w:firstLineChars="200"/>
        <w:jc w:val="left"/>
        <w:textAlignment w:val="auto"/>
        <w:outlineLvl w:val="1"/>
        <w:rPr>
          <w:rFonts w:hint="eastAsia" w:ascii="微软雅黑" w:hAnsi="微软雅黑" w:eastAsia="微软雅黑" w:cs="微软雅黑"/>
          <w:b/>
          <w:bCs/>
          <w:color w:val="auto"/>
          <w:sz w:val="22"/>
          <w:szCs w:val="22"/>
          <w:highlight w:val="none"/>
        </w:rPr>
      </w:pPr>
      <w:bookmarkStart w:id="57" w:name="_Toc478376517"/>
      <w:bookmarkStart w:id="58" w:name="_Toc513655949"/>
      <w:r>
        <w:rPr>
          <w:rFonts w:hint="eastAsia" w:ascii="微软雅黑" w:hAnsi="微软雅黑" w:eastAsia="微软雅黑" w:cs="微软雅黑"/>
          <w:b/>
          <w:bCs/>
          <w:color w:val="auto"/>
          <w:sz w:val="22"/>
          <w:szCs w:val="22"/>
          <w:highlight w:val="none"/>
        </w:rPr>
        <w:t>一、项目概括</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1、项目编号：</w:t>
      </w:r>
      <w:r>
        <w:rPr>
          <w:rFonts w:hint="eastAsia" w:ascii="微软雅黑" w:hAnsi="微软雅黑" w:eastAsia="微软雅黑" w:cs="微软雅黑"/>
          <w:color w:val="auto"/>
          <w:sz w:val="22"/>
          <w:szCs w:val="22"/>
          <w:highlight w:val="none"/>
          <w:lang w:eastAsia="zh-CN"/>
        </w:rPr>
        <w:t>ZJMY（采）2024-007</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2、项目名称：</w:t>
      </w:r>
      <w:r>
        <w:rPr>
          <w:rFonts w:hint="eastAsia" w:ascii="微软雅黑" w:hAnsi="微软雅黑" w:eastAsia="微软雅黑" w:cs="微软雅黑"/>
          <w:color w:val="auto"/>
          <w:sz w:val="22"/>
          <w:szCs w:val="22"/>
          <w:highlight w:val="none"/>
          <w:lang w:eastAsia="zh-CN"/>
        </w:rPr>
        <w:t>安吉县自然资源和规划局购买地质灾害监测设备运维服务政府采购项目</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3、采购单位名称：安吉县自然资源和规划局</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4、采购服务内容</w:t>
      </w:r>
    </w:p>
    <w:p>
      <w:pPr>
        <w:keepNext w:val="0"/>
        <w:keepLines w:val="0"/>
        <w:pageBreakBefore w:val="0"/>
        <w:kinsoku/>
        <w:wordWrap/>
        <w:overflowPunct/>
        <w:topLinePunct w:val="0"/>
        <w:bidi w:val="0"/>
        <w:spacing w:line="440" w:lineRule="exact"/>
        <w:ind w:firstLine="440" w:firstLineChars="200"/>
        <w:textAlignment w:val="auto"/>
        <w:outlineLvl w:val="1"/>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二、项目背景</w:t>
      </w:r>
    </w:p>
    <w:p>
      <w:pPr>
        <w:keepNext w:val="0"/>
        <w:keepLines w:val="0"/>
        <w:pageBreakBefore w:val="0"/>
        <w:kinsoku/>
        <w:wordWrap/>
        <w:overflowPunct/>
        <w:topLinePunct w:val="0"/>
        <w:autoSpaceDE w:val="0"/>
        <w:autoSpaceDN w:val="0"/>
        <w:bidi w:val="0"/>
        <w:adjustRightIn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质灾害监测设备是预测预报地质灾害的重要依据，是减灾防灾的重要内容。根据浙江省自然资源厅统一部署，自2020年以来，逐年开展地质灾害普适性建设设备的采购和安装（省厅统招，市县落实），监测点选址和监测设备配置均由专家评审论证。根据采购合同的约定，所有监测设备的免费运维期均为3年，故2020年11月安装的17个点位（包含15个雨量站），28个设备已经超出运维期，2021年安装的27个点位，88个设备也分别于2024年8月和9月到期，超出运维期的监测设备面临专业运维缺失，如遇故障影响其正常发挥功能的情况，需要通过程序购买专业运维服务。</w:t>
      </w:r>
    </w:p>
    <w:p>
      <w:pPr>
        <w:keepNext w:val="0"/>
        <w:keepLines w:val="0"/>
        <w:pageBreakBefore w:val="0"/>
        <w:numPr>
          <w:ilvl w:val="0"/>
          <w:numId w:val="2"/>
        </w:numPr>
        <w:kinsoku/>
        <w:wordWrap/>
        <w:overflowPunct/>
        <w:topLinePunct w:val="0"/>
        <w:bidi w:val="0"/>
        <w:spacing w:line="440" w:lineRule="exact"/>
        <w:ind w:firstLine="440" w:firstLineChars="200"/>
        <w:textAlignment w:val="auto"/>
        <w:outlineLvl w:val="1"/>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outlineLvl w:val="1"/>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1、工作内容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outlineLvl w:val="1"/>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目前龙</w:t>
      </w:r>
      <w:r>
        <w:rPr>
          <w:rFonts w:hint="eastAsia" w:ascii="微软雅黑" w:hAnsi="微软雅黑" w:eastAsia="微软雅黑" w:cs="微软雅黑"/>
          <w:color w:val="auto"/>
          <w:sz w:val="22"/>
          <w:szCs w:val="22"/>
          <w:highlight w:val="none"/>
          <w:lang w:val="en-US" w:eastAsia="zh-CN"/>
        </w:rPr>
        <w:t>安吉县</w:t>
      </w:r>
      <w:r>
        <w:rPr>
          <w:rFonts w:hint="eastAsia" w:ascii="微软雅黑" w:hAnsi="微软雅黑" w:eastAsia="微软雅黑" w:cs="微软雅黑"/>
          <w:color w:val="auto"/>
          <w:sz w:val="22"/>
          <w:szCs w:val="22"/>
          <w:highlight w:val="none"/>
        </w:rPr>
        <w:t>有部分地质灾害监测设备服务到期，需续签运维服务，主要包括地表位移（GNSS监测站）、深部位移、水位计、雨量计、声光报警器、多功能监测仪等。为做好预警系统的运行维护工作，确保野外监测设备正常运行、中心数据接收准确、预警信息发送及时、平台应用正常，采购人对监测设备的维护及维修</w:t>
      </w:r>
      <w:r>
        <w:rPr>
          <w:rFonts w:hint="eastAsia" w:ascii="微软雅黑" w:hAnsi="微软雅黑" w:eastAsia="微软雅黑" w:cs="微软雅黑"/>
          <w:color w:val="auto"/>
          <w:sz w:val="22"/>
          <w:szCs w:val="22"/>
          <w:highlight w:val="none"/>
          <w:lang w:val="en-US" w:eastAsia="zh-CN"/>
        </w:rPr>
        <w:t>服务</w:t>
      </w:r>
      <w:r>
        <w:rPr>
          <w:rFonts w:hint="eastAsia" w:ascii="微软雅黑" w:hAnsi="微软雅黑" w:eastAsia="微软雅黑" w:cs="微软雅黑"/>
          <w:color w:val="auto"/>
          <w:sz w:val="22"/>
          <w:szCs w:val="22"/>
          <w:highlight w:val="none"/>
        </w:rPr>
        <w:t>进行</w:t>
      </w:r>
      <w:r>
        <w:rPr>
          <w:rFonts w:hint="eastAsia" w:ascii="微软雅黑" w:hAnsi="微软雅黑" w:eastAsia="微软雅黑" w:cs="微软雅黑"/>
          <w:color w:val="auto"/>
          <w:sz w:val="22"/>
          <w:szCs w:val="22"/>
          <w:highlight w:val="none"/>
          <w:lang w:val="en-US" w:eastAsia="zh-CN"/>
        </w:rPr>
        <w:t>采购</w:t>
      </w:r>
      <w:r>
        <w:rPr>
          <w:rFonts w:hint="eastAsia" w:ascii="微软雅黑" w:hAnsi="微软雅黑" w:eastAsia="微软雅黑" w:cs="微软雅黑"/>
          <w:color w:val="auto"/>
          <w:sz w:val="22"/>
          <w:szCs w:val="22"/>
          <w:highlight w:val="none"/>
        </w:rPr>
        <w:t>工作。</w:t>
      </w:r>
    </w:p>
    <w:p>
      <w:pPr>
        <w:keepNext w:val="0"/>
        <w:keepLines w:val="0"/>
        <w:pageBreakBefore w:val="0"/>
        <w:kinsoku/>
        <w:wordWrap/>
        <w:overflowPunct/>
        <w:topLinePunct w:val="0"/>
        <w:autoSpaceDE w:val="0"/>
        <w:autoSpaceDN w:val="0"/>
        <w:bidi w:val="0"/>
        <w:adjustRightInd w:val="0"/>
        <w:spacing w:line="440" w:lineRule="exact"/>
        <w:ind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1、实施范围</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830"/>
        <w:gridCol w:w="1674"/>
        <w:gridCol w:w="525"/>
        <w:gridCol w:w="13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监测点编号</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监测点名称</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设备类型</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数量</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设备维护时间（年）</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u w:val="none"/>
                <w:lang w:val="en-US" w:eastAsia="zh-CN" w:bidi="ar"/>
              </w:rPr>
            </w:pPr>
            <w:r>
              <w:rPr>
                <w:rFonts w:hint="eastAsia" w:ascii="微软雅黑" w:hAnsi="微软雅黑" w:eastAsia="微软雅黑" w:cs="微软雅黑"/>
                <w:b/>
                <w:bCs/>
                <w:i w:val="0"/>
                <w:iCs w:val="0"/>
                <w:color w:val="auto"/>
                <w:kern w:val="0"/>
                <w:sz w:val="21"/>
                <w:szCs w:val="21"/>
                <w:u w:val="none"/>
                <w:lang w:val="en-US" w:eastAsia="zh-CN" w:bidi="ar"/>
              </w:rPr>
              <w:t>运维到</w:t>
            </w:r>
            <w:r>
              <w:rPr>
                <w:rFonts w:hint="eastAsia" w:ascii="微软雅黑" w:hAnsi="微软雅黑" w:eastAsia="微软雅黑" w:cs="微软雅黑"/>
                <w:b/>
                <w:bCs/>
                <w:i w:val="0"/>
                <w:iCs w:val="0"/>
                <w:color w:val="auto"/>
                <w:kern w:val="0"/>
                <w:sz w:val="21"/>
                <w:szCs w:val="21"/>
                <w:u w:val="none"/>
                <w:lang w:val="en-US" w:eastAsia="zh-CN" w:bidi="ar"/>
              </w:rPr>
              <w:br w:type="textWrapping"/>
            </w:r>
            <w:r>
              <w:rPr>
                <w:rFonts w:hint="eastAsia" w:ascii="微软雅黑" w:hAnsi="微软雅黑" w:eastAsia="微软雅黑" w:cs="微软雅黑"/>
                <w:b/>
                <w:bCs/>
                <w:i w:val="0"/>
                <w:iCs w:val="0"/>
                <w:color w:val="auto"/>
                <w:kern w:val="0"/>
                <w:sz w:val="21"/>
                <w:szCs w:val="21"/>
                <w:u w:val="none"/>
                <w:lang w:val="en-US" w:eastAsia="zh-CN" w:bidi="ar"/>
              </w:rPr>
              <w:t>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330523020052</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安吉县鄣吴镇上堡村叶方贵屋后崩塌风险防范区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330523030013</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湖州市安吉县天荒坪镇大溪村横坑坞泥石流监测点</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泥水位（专业型）</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330523040001</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安吉县递铺街道窑山岩溶塌陷地质灾害风险防范区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GNSS</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地下水位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330523300466</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安吉县梅溪镇路西村蒲萝坞沟谷左岸泥石流风险防范区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泥水位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330523300469</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安吉县天子湖镇迂迢村程叶芳屋后崩塌风险防范区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330523300470</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安吉县杭垓镇七管村塘家边叶发元屋前滑坡风险防范区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GNSS</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330523300670</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安吉县递铺街道青龙村泥石流风险防范区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泥水位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330523300671</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安吉县上墅乡董岭村泥石流隐患风险防范区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泥水位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330523300672</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安吉县天荒坪镇中学后山边坡危岩体崩塌风险防范区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330523300673</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安吉县章村镇高山村滑坡隐患风险防范区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GNSS</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330523300674</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安吉县杭垓镇新上塘村村委屋后滑坡风险防范区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330523300675</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安吉县山川乡九亩村九亩田泥石流隐患风险防范区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预警喇叭</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泥水位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330523110113</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雨量监测站11（洪家村）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330523110115</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雨量监测站13（中张村）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330523FF0132</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报福镇深溪坞村里东坞风险防范区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330523110114</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雨量监测站12（深溪村）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 xml:space="preserve">330523FF0131 </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报福镇石岭村黄泥垄风险防范区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330523FF0120</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高坞岭村里蛟河风险防范区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330523FF0122</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递铺街道赤芝村横山坞风险防范区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330523010101</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桐坑村灾害点</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土壤含水率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330523FF0127</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杭垓镇大坑村大湾里风险防范区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330523FF0128</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杭垓镇磻溪村石壁风险防范区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330523110105</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雨量监测站03（吴村）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330523FF0126</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杭垓镇岭西村天将庙风险防范区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330523010103</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雨量监测站01（杭河村）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330523FF0124</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龙王村独山寺风险防范区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330523110109</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雨量监测站07（路西村）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330523FF0123</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梅溪镇上舍村风险防范区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330523110116</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雨量监测站14（梓坊村）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330523110104</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雨量监测站02（坑桥村）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330523110106</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雨量监测站04（船村）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330523FF0121</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山川乡船村风险防范区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330523110112</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雨量监测站10（施阮村）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330523110110</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雨量监测站08（五鹤村）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330523010102</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港口村东坞里</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倾角,加速度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330523FF0118</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天荒坪镇五鹤村风险防范区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330523FF0119</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天荒坪镇港口村喻家坞风险防范区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330523110117</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雨量监测站15（迂迢村）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330523110107</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雨量监测站05（夏阳村）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330523FF0129</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孝丰镇大河口村东冲风险防范区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330523110111</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雨量监测站09（高山村）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330523110108</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雨量监测站06（景坞村）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2023.11.24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330523FF0125</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鄣吴镇民乐村小坞风险防范区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u w:val="none"/>
                <w:lang w:val="en-US" w:eastAsia="zh-CN" w:bidi="ar"/>
              </w:rPr>
            </w:pPr>
            <w:r>
              <w:rPr>
                <w:rFonts w:hint="eastAsia" w:ascii="微软雅黑" w:hAnsi="微软雅黑" w:eastAsia="微软雅黑" w:cs="微软雅黑"/>
                <w:i w:val="0"/>
                <w:iCs w:val="0"/>
                <w:color w:val="auto"/>
                <w:kern w:val="0"/>
                <w:sz w:val="21"/>
                <w:szCs w:val="21"/>
                <w:u w:val="none"/>
                <w:lang w:val="en-US" w:eastAsia="zh-CN" w:bidi="ar"/>
              </w:rPr>
              <w:t>330523FF0130</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鄣吴镇景坞村石门坑风险防范区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气压,气温,雨量</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2024.09.09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电费</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微软雅黑" w:hAnsi="微软雅黑" w:eastAsia="微软雅黑" w:cs="微软雅黑"/>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宽带</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视频设备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微软雅黑" w:hAnsi="微软雅黑" w:eastAsia="微软雅黑" w:cs="微软雅黑"/>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低轨窄带</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微软雅黑" w:hAnsi="微软雅黑" w:eastAsia="微软雅黑" w:cs="微软雅黑"/>
                <w:i w:val="0"/>
                <w:iCs w:val="0"/>
                <w:color w:val="auto"/>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GNSS</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微软雅黑" w:hAnsi="微软雅黑" w:eastAsia="微软雅黑" w:cs="微软雅黑"/>
                <w:i w:val="0"/>
                <w:iCs w:val="0"/>
                <w:color w:val="auto"/>
                <w:sz w:val="21"/>
                <w:szCs w:val="21"/>
                <w:u w:val="none"/>
              </w:rPr>
            </w:pPr>
          </w:p>
        </w:tc>
      </w:tr>
    </w:tbl>
    <w:p>
      <w:pPr>
        <w:keepNext w:val="0"/>
        <w:keepLines w:val="0"/>
        <w:pageBreakBefore w:val="0"/>
        <w:kinsoku/>
        <w:wordWrap/>
        <w:overflowPunct/>
        <w:topLinePunct w:val="0"/>
        <w:bidi w:val="0"/>
        <w:spacing w:line="440" w:lineRule="exact"/>
        <w:ind w:firstLine="440" w:firstLineChars="200"/>
        <w:jc w:val="left"/>
        <w:textAlignment w:val="auto"/>
        <w:outlineLvl w:val="1"/>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四、服务要求</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负责</w:t>
      </w:r>
      <w:r>
        <w:rPr>
          <w:rFonts w:hint="eastAsia" w:ascii="微软雅黑" w:hAnsi="微软雅黑" w:eastAsia="微软雅黑" w:cs="微软雅黑"/>
          <w:color w:val="auto"/>
          <w:sz w:val="22"/>
          <w:szCs w:val="22"/>
          <w:highlight w:val="none"/>
          <w:lang w:val="en-US" w:eastAsia="zh-CN"/>
        </w:rPr>
        <w:t>安吉县2023年到期和2024年即将到期的44个点位（包含15个雨量站），116个</w:t>
      </w:r>
      <w:r>
        <w:rPr>
          <w:rFonts w:hint="eastAsia" w:ascii="微软雅黑" w:hAnsi="微软雅黑" w:eastAsia="微软雅黑" w:cs="微软雅黑"/>
          <w:color w:val="auto"/>
          <w:sz w:val="22"/>
          <w:szCs w:val="22"/>
          <w:highlight w:val="none"/>
        </w:rPr>
        <w:t xml:space="preserve">地质灾害野外监测点设备的维护；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 设备维护的目的是保证所有监测设备和后台接收软件的正常运行，确保传输稳定，数据精度满足预警要求；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3、 设备维护保养周期每年分为三个阶段：汛前维护、汛期设备监管及汛后维护；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4、 汛前和汛后维护需在规定时间内对本包所涉及的所有监测设备进行检测、清理等工作，以确保设备全年 24h 正常工作；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5、 汛期设备监管包括通过网络平台检查监测设备状态是否正常和发现异常后在规定时限内进行维修；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6、 所更换核心配件（RTU）须符合采购人现使用的数据传输通讯协议，传输至浙江省地灾物联网平台上； </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7、旧设备损坏免费替换，如停止生产用新普适性设备代替；</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8、运维过程中采购人提出的其他运维相关合理要求。</w:t>
      </w:r>
    </w:p>
    <w:p>
      <w:pPr>
        <w:keepNext w:val="0"/>
        <w:keepLines w:val="0"/>
        <w:pageBreakBefore w:val="0"/>
        <w:kinsoku/>
        <w:wordWrap/>
        <w:overflowPunct/>
        <w:topLinePunct w:val="0"/>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9、每个季度需提供数据报告，在每个季度结束之日起10个工作日内给到业主单位</w:t>
      </w:r>
    </w:p>
    <w:p>
      <w:pPr>
        <w:keepNext w:val="0"/>
        <w:keepLines w:val="0"/>
        <w:pageBreakBefore w:val="0"/>
        <w:kinsoku/>
        <w:wordWrap/>
        <w:overflowPunct/>
        <w:topLinePunct w:val="0"/>
        <w:bidi w:val="0"/>
        <w:spacing w:line="440" w:lineRule="exact"/>
        <w:ind w:firstLine="440" w:firstLineChars="200"/>
        <w:textAlignment w:val="auto"/>
        <w:outlineLvl w:val="1"/>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五、</w:t>
      </w:r>
      <w:r>
        <w:rPr>
          <w:rFonts w:hint="eastAsia" w:ascii="微软雅黑" w:hAnsi="微软雅黑" w:eastAsia="微软雅黑" w:cs="微软雅黑"/>
          <w:b/>
          <w:bCs/>
          <w:color w:val="auto"/>
          <w:sz w:val="22"/>
          <w:szCs w:val="22"/>
          <w:highlight w:val="none"/>
          <w:lang w:eastAsia="zh-CN"/>
        </w:rPr>
        <w:t>磋商响应单位</w:t>
      </w:r>
      <w:r>
        <w:rPr>
          <w:rFonts w:hint="eastAsia" w:ascii="微软雅黑" w:hAnsi="微软雅黑" w:eastAsia="微软雅黑" w:cs="微软雅黑"/>
          <w:b/>
          <w:bCs/>
          <w:color w:val="auto"/>
          <w:sz w:val="22"/>
          <w:szCs w:val="22"/>
          <w:highlight w:val="none"/>
        </w:rPr>
        <w:t>能力及项目组成员要求</w:t>
      </w:r>
    </w:p>
    <w:p>
      <w:pPr>
        <w:keepNext w:val="0"/>
        <w:keepLines w:val="0"/>
        <w:pageBreakBefore w:val="0"/>
        <w:kinsoku/>
        <w:wordWrap/>
        <w:overflowPunct/>
        <w:topLinePunct w:val="0"/>
        <w:autoSpaceDE w:val="0"/>
        <w:autoSpaceDN w:val="0"/>
        <w:bidi w:val="0"/>
        <w:adjustRightIn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磋商响应单位</w:t>
      </w:r>
      <w:r>
        <w:rPr>
          <w:rFonts w:hint="eastAsia" w:ascii="微软雅黑" w:hAnsi="微软雅黑" w:eastAsia="微软雅黑" w:cs="微软雅黑"/>
          <w:color w:val="auto"/>
          <w:sz w:val="22"/>
          <w:szCs w:val="22"/>
          <w:highlight w:val="none"/>
        </w:rPr>
        <w:t>应组建能够满足本项目服务需要的项目小组，按要求完成服务工作，并按约定向采购人汇报工作进展。在</w:t>
      </w:r>
      <w:r>
        <w:rPr>
          <w:rFonts w:hint="eastAsia" w:ascii="微软雅黑" w:hAnsi="微软雅黑" w:eastAsia="微软雅黑" w:cs="微软雅黑"/>
          <w:color w:val="auto"/>
          <w:sz w:val="22"/>
          <w:szCs w:val="22"/>
          <w:highlight w:val="none"/>
          <w:lang w:eastAsia="zh-CN"/>
        </w:rPr>
        <w:t>响应文件</w:t>
      </w:r>
      <w:r>
        <w:rPr>
          <w:rFonts w:hint="eastAsia" w:ascii="微软雅黑" w:hAnsi="微软雅黑" w:eastAsia="微软雅黑" w:cs="微软雅黑"/>
          <w:color w:val="auto"/>
          <w:sz w:val="22"/>
          <w:szCs w:val="22"/>
          <w:highlight w:val="none"/>
        </w:rPr>
        <w:t>中明确投入本项目服务的人员基本配备。</w:t>
      </w:r>
    </w:p>
    <w:p>
      <w:pPr>
        <w:keepNext w:val="0"/>
        <w:keepLines w:val="0"/>
        <w:pageBreakBefore w:val="0"/>
        <w:kinsoku/>
        <w:wordWrap/>
        <w:overflowPunct/>
        <w:topLinePunct w:val="0"/>
        <w:autoSpaceDE w:val="0"/>
        <w:autoSpaceDN w:val="0"/>
        <w:bidi w:val="0"/>
        <w:adjustRightIn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eastAsia="zh-CN"/>
        </w:rPr>
        <w:t>磋商响应单位</w:t>
      </w:r>
      <w:r>
        <w:rPr>
          <w:rFonts w:hint="eastAsia" w:ascii="微软雅黑" w:hAnsi="微软雅黑" w:eastAsia="微软雅黑" w:cs="微软雅黑"/>
          <w:color w:val="auto"/>
          <w:sz w:val="22"/>
          <w:szCs w:val="22"/>
          <w:highlight w:val="none"/>
        </w:rPr>
        <w:t>的项目负责人须具有丰富的实践经验。</w:t>
      </w:r>
    </w:p>
    <w:p>
      <w:pPr>
        <w:keepNext w:val="0"/>
        <w:keepLines w:val="0"/>
        <w:pageBreakBefore w:val="0"/>
        <w:kinsoku/>
        <w:wordWrap/>
        <w:overflowPunct/>
        <w:topLinePunct w:val="0"/>
        <w:bidi w:val="0"/>
        <w:spacing w:line="440" w:lineRule="exact"/>
        <w:ind w:firstLine="440" w:firstLineChars="200"/>
        <w:textAlignment w:val="auto"/>
        <w:outlineLvl w:val="1"/>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六</w:t>
      </w:r>
      <w:r>
        <w:rPr>
          <w:rFonts w:hint="eastAsia" w:ascii="微软雅黑" w:hAnsi="微软雅黑" w:eastAsia="微软雅黑" w:cs="微软雅黑"/>
          <w:b/>
          <w:bCs/>
          <w:color w:val="auto"/>
          <w:sz w:val="22"/>
          <w:szCs w:val="22"/>
          <w:highlight w:val="none"/>
        </w:rPr>
        <w:t>、商务要求表</w:t>
      </w:r>
    </w:p>
    <w:tbl>
      <w:tblPr>
        <w:tblStyle w:val="32"/>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2"/>
        <w:gridCol w:w="7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项目</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color w:val="auto"/>
                <w:sz w:val="21"/>
                <w:szCs w:val="21"/>
                <w:highlight w:val="none"/>
                <w:lang w:bidi="ar"/>
              </w:rPr>
              <w:t>履约保证金</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color w:val="auto"/>
                <w:sz w:val="21"/>
                <w:szCs w:val="21"/>
                <w:highlight w:val="none"/>
              </w:rPr>
              <w:t>付款方式</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1.采购合同签订生效以及具备实施条件后7个工作日内，</w:t>
            </w: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向采购人递交预付款等额的预付款保函后，采购人向</w:t>
            </w: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支付合同总金额的40%</w:t>
            </w:r>
            <w:r>
              <w:rPr>
                <w:rFonts w:hint="eastAsia" w:ascii="微软雅黑" w:hAnsi="微软雅黑" w:eastAsia="微软雅黑" w:cs="微软雅黑"/>
                <w:color w:val="auto"/>
                <w:sz w:val="21"/>
                <w:szCs w:val="21"/>
                <w:highlight w:val="none"/>
                <w:lang w:val="en-US" w:eastAsia="zh-CN"/>
              </w:rPr>
              <w:t>作为预付款</w:t>
            </w:r>
            <w:r>
              <w:rPr>
                <w:rFonts w:hint="eastAsia" w:ascii="微软雅黑" w:hAnsi="微软雅黑" w:eastAsia="微软雅黑" w:cs="微软雅黑"/>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.完成设备维修更换等合同约定的全部工作</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提交工作报告</w:t>
            </w:r>
            <w:r>
              <w:rPr>
                <w:rFonts w:hint="eastAsia" w:ascii="微软雅黑" w:hAnsi="微软雅黑" w:eastAsia="微软雅黑" w:cs="微软雅黑"/>
                <w:color w:val="auto"/>
                <w:sz w:val="21"/>
                <w:szCs w:val="21"/>
                <w:highlight w:val="none"/>
                <w:lang w:eastAsia="zh-CN"/>
              </w:rPr>
              <w:t>同时</w:t>
            </w:r>
            <w:r>
              <w:rPr>
                <w:rFonts w:hint="eastAsia" w:ascii="微软雅黑" w:hAnsi="微软雅黑" w:eastAsia="微软雅黑" w:cs="微软雅黑"/>
                <w:color w:val="auto"/>
                <w:sz w:val="21"/>
                <w:szCs w:val="21"/>
                <w:highlight w:val="none"/>
                <w:lang w:val="en-US" w:eastAsia="zh-CN"/>
              </w:rPr>
              <w:t>成交单位向采购人提供正规发票，采购人自收到发票后7个工作日内支付</w:t>
            </w:r>
            <w:r>
              <w:rPr>
                <w:rFonts w:hint="eastAsia" w:ascii="微软雅黑" w:hAnsi="微软雅黑" w:eastAsia="微软雅黑" w:cs="微软雅黑"/>
                <w:color w:val="auto"/>
                <w:sz w:val="21"/>
                <w:szCs w:val="21"/>
                <w:highlight w:val="none"/>
              </w:rPr>
              <w:t>至合同总金额的70%（含预付款）；</w:t>
            </w:r>
          </w:p>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.全部工作完成</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提交正式报告，经采购人审核确认验收合格</w:t>
            </w:r>
            <w:r>
              <w:rPr>
                <w:rFonts w:hint="eastAsia" w:ascii="微软雅黑" w:hAnsi="微软雅黑" w:eastAsia="微软雅黑" w:cs="微软雅黑"/>
                <w:color w:val="auto"/>
                <w:sz w:val="21"/>
                <w:szCs w:val="21"/>
                <w:highlight w:val="none"/>
                <w:lang w:eastAsia="zh-CN"/>
              </w:rPr>
              <w:t>同时</w:t>
            </w:r>
            <w:r>
              <w:rPr>
                <w:rFonts w:hint="eastAsia" w:ascii="微软雅黑" w:hAnsi="微软雅黑" w:eastAsia="微软雅黑" w:cs="微软雅黑"/>
                <w:color w:val="auto"/>
                <w:sz w:val="21"/>
                <w:szCs w:val="21"/>
                <w:highlight w:val="none"/>
                <w:lang w:val="en-US" w:eastAsia="zh-CN"/>
              </w:rPr>
              <w:t>成交单位向采购人提供正规发票，采购人自收到发票后7个工作日内支付</w:t>
            </w:r>
            <w:r>
              <w:rPr>
                <w:rFonts w:hint="eastAsia" w:ascii="微软雅黑" w:hAnsi="微软雅黑" w:eastAsia="微软雅黑" w:cs="微软雅黑"/>
                <w:color w:val="auto"/>
                <w:sz w:val="21"/>
                <w:szCs w:val="21"/>
                <w:highlight w:val="none"/>
              </w:rPr>
              <w:t>，按照审核情况支付余款。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color w:val="auto"/>
                <w:sz w:val="21"/>
                <w:szCs w:val="21"/>
                <w:highlight w:val="none"/>
              </w:rPr>
              <w:t>预付款担保</w:t>
            </w:r>
          </w:p>
        </w:tc>
        <w:tc>
          <w:tcPr>
            <w:tcW w:w="4115" w:type="pct"/>
            <w:tcBorders>
              <w:top w:val="single" w:color="auto" w:sz="4" w:space="0"/>
              <w:left w:val="single" w:color="auto" w:sz="4" w:space="0"/>
              <w:bottom w:val="single" w:color="auto" w:sz="4" w:space="0"/>
              <w:right w:val="single" w:color="auto" w:sz="4" w:space="0"/>
            </w:tcBorders>
            <w:vAlign w:val="center"/>
          </w:tcPr>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1.预付款担保金额：同预付款相等金额；</w:t>
            </w:r>
          </w:p>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2.预付款担保形式：银行或保险公司出具的保函；</w:t>
            </w:r>
          </w:p>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3.预付款担保提交时间：合同签订并具备实施条件后7个工作日内；</w:t>
            </w:r>
          </w:p>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4.预付款担保期限：预付款担保提供之日起至完成设备比对校准及计量检定并出具初稿报告后止；</w:t>
            </w:r>
          </w:p>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5.预付款担保的退还：完成设备比对校准及计量检定并出具初稿报告后退还。</w:t>
            </w:r>
          </w:p>
          <w:p>
            <w:pPr>
              <w:pStyle w:val="63"/>
              <w:keepNext w:val="0"/>
              <w:keepLines w:val="0"/>
              <w:pageBreakBefore w:val="0"/>
              <w:kinsoku/>
              <w:wordWrap/>
              <w:overflowPunct/>
              <w:topLinePunct w:val="0"/>
              <w:autoSpaceDE/>
              <w:autoSpaceDN/>
              <w:bidi w:val="0"/>
              <w:adjustRightInd/>
              <w:snapToGrid/>
              <w:spacing w:line="440" w:lineRule="exact"/>
              <w:ind w:left="0" w:firstLine="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备注：</w:t>
            </w: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在要求退还预付款担保时，应向采购人书面发起退还申请，采购人在收到书面申请后7个工作日内并核对无误后退还。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color w:val="auto"/>
                <w:sz w:val="21"/>
                <w:szCs w:val="21"/>
                <w:highlight w:val="none"/>
              </w:rPr>
              <w:t>合同履约</w:t>
            </w:r>
          </w:p>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期限</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合同签订之日起</w:t>
            </w:r>
            <w:r>
              <w:rPr>
                <w:rFonts w:hint="eastAsia" w:ascii="微软雅黑" w:hAnsi="微软雅黑" w:eastAsia="微软雅黑" w:cs="微软雅黑"/>
                <w:color w:val="auto"/>
                <w:sz w:val="21"/>
                <w:szCs w:val="21"/>
                <w:highlight w:val="none"/>
                <w:lang w:val="en-US" w:eastAsia="zh-CN"/>
              </w:rPr>
              <w:t>3年</w:t>
            </w:r>
            <w:r>
              <w:rPr>
                <w:rFonts w:hint="eastAsia" w:ascii="微软雅黑" w:hAnsi="微软雅黑" w:eastAsia="微软雅黑" w:cs="微软雅黑"/>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Cs/>
                <w:color w:val="auto"/>
                <w:sz w:val="21"/>
                <w:szCs w:val="21"/>
                <w:highlight w:val="none"/>
                <w:lang w:bidi="ar"/>
              </w:rPr>
              <w:t>服务响应</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bidi="ar"/>
              </w:rPr>
              <w:t>对于</w:t>
            </w:r>
            <w:r>
              <w:rPr>
                <w:rFonts w:hint="eastAsia" w:ascii="微软雅黑" w:hAnsi="微软雅黑" w:eastAsia="微软雅黑" w:cs="微软雅黑"/>
                <w:color w:val="auto"/>
                <w:sz w:val="21"/>
                <w:szCs w:val="21"/>
                <w:highlight w:val="none"/>
              </w:rPr>
              <w:t>采购人</w:t>
            </w:r>
            <w:r>
              <w:rPr>
                <w:rFonts w:hint="eastAsia" w:ascii="微软雅黑" w:hAnsi="微软雅黑" w:eastAsia="微软雅黑" w:cs="微软雅黑"/>
                <w:color w:val="auto"/>
                <w:sz w:val="21"/>
                <w:szCs w:val="21"/>
                <w:highlight w:val="none"/>
                <w:lang w:bidi="ar"/>
              </w:rPr>
              <w:t>提出的问题，</w:t>
            </w:r>
            <w:r>
              <w:rPr>
                <w:rFonts w:hint="eastAsia" w:ascii="微软雅黑" w:hAnsi="微软雅黑" w:eastAsia="微软雅黑" w:cs="微软雅黑"/>
                <w:color w:val="auto"/>
                <w:sz w:val="21"/>
                <w:szCs w:val="21"/>
                <w:highlight w:val="none"/>
                <w:lang w:eastAsia="zh-CN" w:bidi="ar"/>
              </w:rPr>
              <w:t>成交单位</w:t>
            </w:r>
            <w:r>
              <w:rPr>
                <w:rFonts w:hint="eastAsia" w:ascii="微软雅黑" w:hAnsi="微软雅黑" w:eastAsia="微软雅黑" w:cs="微软雅黑"/>
                <w:color w:val="auto"/>
                <w:sz w:val="21"/>
                <w:szCs w:val="21"/>
                <w:highlight w:val="none"/>
                <w:lang w:bidi="ar"/>
              </w:rPr>
              <w:t>需要在</w:t>
            </w:r>
            <w:r>
              <w:rPr>
                <w:rFonts w:hint="eastAsia" w:ascii="微软雅黑" w:hAnsi="微软雅黑" w:eastAsia="微软雅黑" w:cs="微软雅黑"/>
                <w:color w:val="auto"/>
                <w:sz w:val="21"/>
                <w:szCs w:val="21"/>
                <w:highlight w:val="none"/>
                <w:lang w:val="en-US" w:eastAsia="zh-CN" w:bidi="ar"/>
              </w:rPr>
              <w:t>1小时</w:t>
            </w:r>
            <w:r>
              <w:rPr>
                <w:rFonts w:hint="eastAsia" w:ascii="微软雅黑" w:hAnsi="微软雅黑" w:eastAsia="微软雅黑" w:cs="微软雅黑"/>
                <w:color w:val="auto"/>
                <w:sz w:val="21"/>
                <w:szCs w:val="21"/>
                <w:highlight w:val="none"/>
                <w:lang w:bidi="ar"/>
              </w:rPr>
              <w:t>内响应，24小时内处理问题或给出处理意见；若是常规问题，在48小时内解决。若因为设备损坏无备件更换或其他不可控因素，非自身问题，需要根据实际情况尽快给出解决办法建议并尽快处置，尽量减少系统数据中断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bCs/>
                <w:color w:val="auto"/>
                <w:sz w:val="21"/>
                <w:szCs w:val="21"/>
                <w:highlight w:val="none"/>
                <w:lang w:bidi="ar"/>
              </w:rPr>
              <w:t>更换后设备的质保期</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更换并经采购人验收合格之日起不少于一年</w:t>
            </w:r>
            <w:r>
              <w:rPr>
                <w:rFonts w:hint="eastAsia" w:ascii="微软雅黑" w:hAnsi="微软雅黑" w:eastAsia="微软雅黑" w:cs="微软雅黑"/>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kern w:val="0"/>
                <w:sz w:val="21"/>
                <w:szCs w:val="21"/>
                <w:highlight w:val="none"/>
              </w:rPr>
              <w:t>▲</w:t>
            </w:r>
            <w:r>
              <w:rPr>
                <w:rFonts w:hint="eastAsia" w:ascii="微软雅黑" w:hAnsi="微软雅黑" w:eastAsia="微软雅黑" w:cs="微软雅黑"/>
                <w:color w:val="auto"/>
                <w:sz w:val="21"/>
                <w:szCs w:val="21"/>
                <w:highlight w:val="none"/>
              </w:rPr>
              <w:t>合同终止</w:t>
            </w:r>
          </w:p>
        </w:tc>
        <w:tc>
          <w:tcPr>
            <w:tcW w:w="41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在合同有效期内，不得以任何理由终止合同，确有特殊情况的，须提前15个工作日向采购人提出书面申请，经采购人同意后，方可终止合同。因</w:t>
            </w: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不能保证工作质量，或发生重大差错事故的，采购人可有权终止协议（同时全额扣罚履约保证金），</w:t>
            </w:r>
            <w:r>
              <w:rPr>
                <w:rFonts w:hint="eastAsia" w:ascii="微软雅黑" w:hAnsi="微软雅黑" w:eastAsia="微软雅黑" w:cs="微软雅黑"/>
                <w:color w:val="auto"/>
                <w:sz w:val="21"/>
                <w:szCs w:val="21"/>
                <w:highlight w:val="none"/>
                <w:lang w:eastAsia="zh-CN"/>
              </w:rPr>
              <w:t>成交单位</w:t>
            </w:r>
            <w:r>
              <w:rPr>
                <w:rFonts w:hint="eastAsia" w:ascii="微软雅黑" w:hAnsi="微软雅黑" w:eastAsia="微软雅黑" w:cs="微软雅黑"/>
                <w:color w:val="auto"/>
                <w:sz w:val="21"/>
                <w:szCs w:val="21"/>
                <w:highlight w:val="none"/>
              </w:rPr>
              <w:t>承担全部责任。</w:t>
            </w:r>
          </w:p>
        </w:tc>
      </w:tr>
    </w:tbl>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注：</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rPr>
        <w:t>、在此基础上，成交供应商若有其他服务承诺，也将一并执行。</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2</w:t>
      </w:r>
      <w:r>
        <w:rPr>
          <w:rFonts w:hint="eastAsia" w:ascii="微软雅黑" w:hAnsi="微软雅黑" w:eastAsia="微软雅黑" w:cs="微软雅黑"/>
          <w:b/>
          <w:bCs/>
          <w:color w:val="auto"/>
          <w:sz w:val="22"/>
          <w:szCs w:val="22"/>
          <w:highlight w:val="none"/>
        </w:rPr>
        <w:t>、标“▲”条款是实质性条款，投标供应商必须全部响应，否则</w:t>
      </w:r>
      <w:r>
        <w:rPr>
          <w:rFonts w:hint="eastAsia" w:ascii="微软雅黑" w:hAnsi="微软雅黑" w:eastAsia="微软雅黑" w:cs="微软雅黑"/>
          <w:b/>
          <w:bCs/>
          <w:color w:val="auto"/>
          <w:sz w:val="22"/>
          <w:szCs w:val="22"/>
          <w:highlight w:val="none"/>
          <w:lang w:eastAsia="zh-CN"/>
        </w:rPr>
        <w:t>响应无效</w:t>
      </w:r>
      <w:r>
        <w:rPr>
          <w:rFonts w:hint="eastAsia" w:ascii="微软雅黑" w:hAnsi="微软雅黑" w:eastAsia="微软雅黑" w:cs="微软雅黑"/>
          <w:b/>
          <w:bCs/>
          <w:color w:val="auto"/>
          <w:sz w:val="22"/>
          <w:szCs w:val="22"/>
          <w:highlight w:val="none"/>
        </w:rPr>
        <w:t>。</w:t>
      </w:r>
    </w:p>
    <w:p>
      <w:pPr>
        <w:keepNext w:val="0"/>
        <w:keepLines w:val="0"/>
        <w:pageBreakBefore w:val="0"/>
        <w:kinsoku/>
        <w:wordWrap/>
        <w:overflowPunct/>
        <w:topLinePunct w:val="0"/>
        <w:bidi w:val="0"/>
        <w:spacing w:line="440" w:lineRule="exact"/>
        <w:ind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七</w:t>
      </w:r>
      <w:r>
        <w:rPr>
          <w:rFonts w:hint="eastAsia" w:ascii="微软雅黑" w:hAnsi="微软雅黑" w:eastAsia="微软雅黑" w:cs="微软雅黑"/>
          <w:b/>
          <w:bCs/>
          <w:color w:val="auto"/>
          <w:sz w:val="22"/>
          <w:szCs w:val="22"/>
          <w:highlight w:val="none"/>
        </w:rPr>
        <w:t>、注意事项</w:t>
      </w:r>
      <w:bookmarkEnd w:id="57"/>
      <w:bookmarkEnd w:id="58"/>
    </w:p>
    <w:p>
      <w:pPr>
        <w:spacing w:line="440" w:lineRule="exact"/>
        <w:ind w:firstLine="440" w:firstLineChars="20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1、依据《政府采购促进中小企业发展管理办法》（财库【2020】46号）规定享受扶持政策获得政府采购合同的，小微企业不得将合同分包给大中型企业，中型企业不得将合同分包给大型企业。</w:t>
      </w:r>
    </w:p>
    <w:p>
      <w:pPr>
        <w:spacing w:line="440" w:lineRule="exact"/>
        <w:ind w:firstLine="440" w:firstLineChars="20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pStyle w:val="28"/>
        <w:ind w:firstLine="48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b w:val="0"/>
          <w:bCs w:val="0"/>
          <w:color w:val="auto"/>
          <w:sz w:val="24"/>
          <w:szCs w:val="24"/>
          <w:highlight w:val="none"/>
        </w:rPr>
        <w:br w:type="page"/>
      </w:r>
      <w:bookmarkStart w:id="59" w:name="_Toc2865"/>
      <w:bookmarkStart w:id="60" w:name="_Toc16770378"/>
      <w:r>
        <w:rPr>
          <w:rFonts w:hint="eastAsia" w:ascii="微软雅黑" w:hAnsi="微软雅黑" w:eastAsia="微软雅黑" w:cs="微软雅黑"/>
          <w:color w:val="auto"/>
          <w:sz w:val="30"/>
          <w:szCs w:val="30"/>
          <w:highlight w:val="none"/>
        </w:rPr>
        <w:t>第四章  磋商原则</w:t>
      </w:r>
      <w:bookmarkEnd w:id="54"/>
      <w:r>
        <w:rPr>
          <w:rFonts w:hint="eastAsia" w:ascii="微软雅黑" w:hAnsi="微软雅黑" w:eastAsia="微软雅黑" w:cs="微软雅黑"/>
          <w:color w:val="auto"/>
          <w:sz w:val="30"/>
          <w:szCs w:val="30"/>
          <w:highlight w:val="none"/>
        </w:rPr>
        <w:t>和程序</w:t>
      </w:r>
      <w:bookmarkEnd w:id="59"/>
      <w:bookmarkEnd w:id="60"/>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根据《中华人民共和国政府采购法》、《政府采购竞争性磋商采购方式管理暂行办法》等要求，遵循公开、公平、公正、科学、择优原则和诚实、信誉、效率的服务原则，制定本评审办法。</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bookmarkStart w:id="61" w:name="_Toc402872205"/>
      <w:bookmarkStart w:id="62" w:name="_Toc16770380"/>
      <w:bookmarkStart w:id="63" w:name="_Toc282640744"/>
      <w:r>
        <w:rPr>
          <w:rFonts w:hint="eastAsia" w:ascii="微软雅黑" w:hAnsi="微软雅黑" w:eastAsia="微软雅黑" w:cs="微软雅黑"/>
          <w:color w:val="auto"/>
          <w:sz w:val="22"/>
          <w:szCs w:val="22"/>
          <w:highlight w:val="none"/>
        </w:rPr>
        <w:t>一、开启响应文件</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1、采购组织机构将按照采购文件规定的时间组织磋商、开启响应文件。</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2、供应商法定代表人或法定代表人授权代表必须在线出席磋商会议。供应商因未在线出席磋商会议而导致响应文件无法按时解密等一切后果由供应商自行承担。</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3、磋商时间到，采购代理机构将向各供应商发出“电子加密响应文件”的解密通知，各供应商代表应当在接到解密通知后30分钟内自行完成“电子加密响应文件”的在线解密。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二、磋商小组</w:t>
      </w:r>
      <w:bookmarkEnd w:id="61"/>
      <w:bookmarkEnd w:id="62"/>
      <w:bookmarkEnd w:id="63"/>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bookmarkStart w:id="64" w:name="_Toc282640745"/>
      <w:bookmarkStart w:id="65" w:name="_Toc414960376"/>
      <w:r>
        <w:rPr>
          <w:rFonts w:hint="eastAsia" w:ascii="微软雅黑" w:hAnsi="微软雅黑" w:eastAsia="微软雅黑" w:cs="微软雅黑"/>
          <w:color w:val="auto"/>
          <w:kern w:val="2"/>
          <w:sz w:val="22"/>
          <w:szCs w:val="22"/>
          <w:highlight w:val="none"/>
        </w:rPr>
        <w:t>1、本项目磋商小组依法由3人（含）以上奇数的人员组成，磋商小组对响应文件进行审查、质疑、评估和比较。</w:t>
      </w:r>
      <w:bookmarkEnd w:id="64"/>
      <w:bookmarkEnd w:id="65"/>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2、磋商过程应严格保密，磋商小组及有关工作人员应严格遵守纪律，不得泄露任何磋商信息。</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3、磋商期间，供应商法人代表或授权委托人必须全程在线，负责解答有关事宜。</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bookmarkStart w:id="66" w:name="_Toc402872206"/>
      <w:bookmarkStart w:id="67" w:name="_Toc16770381"/>
      <w:r>
        <w:rPr>
          <w:rFonts w:hint="eastAsia" w:ascii="微软雅黑" w:hAnsi="微软雅黑" w:eastAsia="微软雅黑" w:cs="微软雅黑"/>
          <w:color w:val="auto"/>
          <w:sz w:val="22"/>
          <w:szCs w:val="22"/>
          <w:highlight w:val="none"/>
        </w:rPr>
        <w:t>三、竞争性磋商原则与方法</w:t>
      </w:r>
      <w:bookmarkEnd w:id="66"/>
      <w:bookmarkEnd w:id="67"/>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1、磋商小组将遵循公开、公平、公正的原则，对供应商提供工程、货物或服务的价格、技术性能、服务期、服务实施方案、售后服务、培训计划、公司基本情况、履约能力等进行综合分析考评。</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2、磋商小组应客观、公正的对待所有供应商，对所有响应文件评价，均采用相同的程序和标准。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3、在磋商期间，供应商不得向磋商小组成员询问磋商情况，不得进行旨在影响磋商结果的活动，否则将废除其磋商资格。</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4、在磋商过程中，磋商小组成员不得与供应商私下交换意见，在竞争性磋商工作结束后，凡与磋商情况有接触的人不得将磋商情况扩散出磋商小组成员之外。</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5、采购采购单位不向未成交供应商解释未成交原因，不退还响应文件。</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bookmarkStart w:id="68" w:name="_Toc282640747"/>
      <w:bookmarkStart w:id="69" w:name="_Toc16770382"/>
      <w:bookmarkStart w:id="70" w:name="_Toc402872207"/>
      <w:r>
        <w:rPr>
          <w:rFonts w:hint="eastAsia" w:ascii="微软雅黑" w:hAnsi="微软雅黑" w:eastAsia="微软雅黑" w:cs="微软雅黑"/>
          <w:color w:val="auto"/>
          <w:sz w:val="22"/>
          <w:szCs w:val="22"/>
          <w:highlight w:val="none"/>
        </w:rPr>
        <w:t>四、磋商程序</w:t>
      </w:r>
      <w:bookmarkEnd w:id="68"/>
      <w:bookmarkEnd w:id="69"/>
      <w:bookmarkEnd w:id="70"/>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bookmarkStart w:id="71" w:name="_Toc402872208"/>
      <w:bookmarkStart w:id="72" w:name="_Toc16770383"/>
      <w:bookmarkStart w:id="73" w:name="_Toc282640735"/>
      <w:r>
        <w:rPr>
          <w:rFonts w:hint="eastAsia" w:ascii="微软雅黑" w:hAnsi="微软雅黑" w:eastAsia="微软雅黑" w:cs="微软雅黑"/>
          <w:color w:val="auto"/>
          <w:kern w:val="2"/>
          <w:sz w:val="22"/>
          <w:szCs w:val="22"/>
          <w:highlight w:val="none"/>
        </w:rPr>
        <w:t>响应文件解密后，磋商小组将对依法对供应商的资格进行审查，资格审查结束后进入符合性审查和资信技术的评审工作。</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磋商小组所有成员应当集中与单一供应商分别进行磋商，并给予所有参加磋商的供应商平等的磋商机会。</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对磋商文件作出的实质性变动是磋商文件的有效组成部分，磋商小组应当及时以书面形式同时通知所有参加磋商的供应商。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供应商应当按照磋商文件的变动情况和磋商小组的要求重新提交响应文件，并由其法定代表人或授权代表签字或者加盖公章。由授权代表签字的，应当附法定代表人授权书。</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磋商文件能够详细列明采购标的的技术、服务要求的，磋商结束后，磋商小组应当要求所有实质性响应的供应商在规定时间内提交最后报价，提交最后报价的供应商不得少于3家。</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最后报价是供应商响应文件的有效组成部分。初次报价不公开。</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已提交响应文件的供应商，在提交最后报价之前，可以根据磋商情况退出磋商。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经磋商确定最终采购需求后，由磋商小组根据采购文件规定的评分办法对响应文件的技术资信部分进行评分。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磋商小组在磋商结束后，要求所有继续参加磋商的供应商在规定时间内提交最后报价。超过规定时间提交的报价无效。</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供应商在规定的时间内提交最终报价，代理机构协助计算供应商的价格得分。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采购代理机构协助磋商小组汇总计算各供应商综合得分。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应当根据综合评分情况，按照评审得分由高到低顺序推荐3名成交候选供应商，并编写评审报告。符合相关规定情形的，可以推荐2家成交候选供应商。评审得分相同的，按照最后报价由低到高的顺序推荐。评审得分且最后报价相同的，按照技术指标优劣顺序推荐。</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磋商小组通过电子交易平台向采购人及其委托的代理机构提交评审报告。同时打印纸质评审报告签署后由采购代理机构保存。</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评审结束后，代理机构通过电子交易平台或发送邮件形式向各供应商公布成交（成交）候选供应商名单，及采购人最终确定成交或成交供应商名单的时间和公告方式等。</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磋商会议结束。</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特别说明：如遇“政府采购云平台”电子化开标或评审程序调整的，按调整后程序执行。</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五、磋商文件的澄清</w:t>
      </w:r>
      <w:bookmarkEnd w:id="71"/>
      <w:bookmarkEnd w:id="72"/>
      <w:bookmarkEnd w:id="73"/>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1、供应商对磋商文件如有疑义的，应在规定的答疑时间内以书面形式告知采购人，以便及时对磋商文件作出澄清。</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2、在磋商期间，磋商小组有权要求供应商对其提交的文件资料进行澄清。供应商应派授权代表和有关专业人员在线接受询问，并对有关内容进行澄清。</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3、对在澄清中涉及到的商业秘密，磋商小组成员及参加磋商的有关工作人员负有保密责任。</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4、磋商小组以书面形式对磋商文件作出的修改或补充，与磋商文件具有同等法律效力。</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bookmarkStart w:id="74" w:name="_Toc402872209"/>
      <w:bookmarkStart w:id="75" w:name="_Toc16770384"/>
      <w:r>
        <w:rPr>
          <w:rFonts w:hint="eastAsia" w:ascii="微软雅黑" w:hAnsi="微软雅黑" w:eastAsia="微软雅黑" w:cs="微软雅黑"/>
          <w:color w:val="auto"/>
          <w:sz w:val="22"/>
          <w:szCs w:val="22"/>
          <w:highlight w:val="none"/>
        </w:rPr>
        <w:t>六、确定供应商办法</w:t>
      </w:r>
      <w:bookmarkEnd w:id="74"/>
      <w:bookmarkEnd w:id="75"/>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bookmarkStart w:id="76" w:name="_Toc282640748"/>
      <w:bookmarkStart w:id="77" w:name="_Toc389216170"/>
      <w:bookmarkStart w:id="78" w:name="_Toc402872210"/>
      <w:r>
        <w:rPr>
          <w:rFonts w:hint="eastAsia" w:ascii="微软雅黑" w:hAnsi="微软雅黑" w:eastAsia="微软雅黑" w:cs="微软雅黑"/>
          <w:color w:val="auto"/>
          <w:kern w:val="2"/>
          <w:sz w:val="22"/>
          <w:szCs w:val="22"/>
          <w:highlight w:val="none"/>
        </w:rPr>
        <w:t>本项目由采购人确定成交供应商。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本次评审采用综合评分法，即在质量和服务均能满足竞争性磋商文件实质性要求且综合得分由高到低的原则确定成交供应商。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磋商结束后，磋商小组拟制评审报告。</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采购代理机构在评审结束后2个工作日内将评审报告交采购人确认。</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采购人在收到评审报告后5个工作日内对评审结果进行确认。</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采购人确定成交供应商后2个工作日内，采购代理机构在相关网站上发布成交公告，同时发出成交通知书。</w:t>
      </w:r>
    </w:p>
    <w:p>
      <w:pPr>
        <w:pStyle w:val="24"/>
        <w:spacing w:before="0" w:after="0" w:line="440" w:lineRule="exact"/>
        <w:ind w:firstLine="440" w:firstLineChars="200"/>
        <w:jc w:val="left"/>
        <w:rPr>
          <w:rFonts w:ascii="微软雅黑" w:hAnsi="微软雅黑" w:eastAsia="微软雅黑" w:cs="微软雅黑"/>
          <w:color w:val="auto"/>
          <w:sz w:val="22"/>
          <w:szCs w:val="22"/>
          <w:highlight w:val="none"/>
        </w:rPr>
      </w:pPr>
      <w:bookmarkStart w:id="79" w:name="_Toc16770385"/>
      <w:r>
        <w:rPr>
          <w:rFonts w:hint="eastAsia" w:ascii="微软雅黑" w:hAnsi="微软雅黑" w:eastAsia="微软雅黑" w:cs="微软雅黑"/>
          <w:color w:val="auto"/>
          <w:sz w:val="22"/>
          <w:szCs w:val="22"/>
          <w:highlight w:val="none"/>
        </w:rPr>
        <w:t>七、综合评分法</w:t>
      </w:r>
      <w:bookmarkEnd w:id="76"/>
      <w:bookmarkEnd w:id="77"/>
      <w:bookmarkEnd w:id="78"/>
      <w:bookmarkEnd w:id="79"/>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1、总则</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b/>
          <w:bCs/>
          <w:color w:val="auto"/>
          <w:kern w:val="2"/>
          <w:sz w:val="22"/>
          <w:szCs w:val="22"/>
          <w:highlight w:val="none"/>
        </w:rPr>
        <w:t>本次评标采用综合评分法，总分为100分，其中价格分</w:t>
      </w:r>
      <w:r>
        <w:rPr>
          <w:rFonts w:hint="eastAsia" w:ascii="微软雅黑" w:hAnsi="微软雅黑" w:eastAsia="微软雅黑" w:cs="微软雅黑"/>
          <w:b/>
          <w:bCs/>
          <w:color w:val="auto"/>
          <w:kern w:val="2"/>
          <w:sz w:val="22"/>
          <w:szCs w:val="22"/>
          <w:highlight w:val="none"/>
          <w:lang w:val="en-US" w:eastAsia="zh-CN"/>
        </w:rPr>
        <w:t>30</w:t>
      </w:r>
      <w:r>
        <w:rPr>
          <w:rFonts w:hint="eastAsia" w:ascii="微软雅黑" w:hAnsi="微软雅黑" w:eastAsia="微软雅黑" w:cs="微软雅黑"/>
          <w:b/>
          <w:bCs/>
          <w:color w:val="auto"/>
          <w:kern w:val="2"/>
          <w:sz w:val="22"/>
          <w:szCs w:val="22"/>
          <w:highlight w:val="none"/>
        </w:rPr>
        <w:t>分，技术商务资信分</w:t>
      </w:r>
      <w:r>
        <w:rPr>
          <w:rFonts w:hint="eastAsia" w:ascii="微软雅黑" w:hAnsi="微软雅黑" w:eastAsia="微软雅黑" w:cs="微软雅黑"/>
          <w:b/>
          <w:bCs/>
          <w:color w:val="auto"/>
          <w:kern w:val="2"/>
          <w:sz w:val="22"/>
          <w:szCs w:val="22"/>
          <w:highlight w:val="none"/>
          <w:lang w:val="en-US" w:eastAsia="zh-CN"/>
        </w:rPr>
        <w:t>70</w:t>
      </w:r>
      <w:r>
        <w:rPr>
          <w:rFonts w:hint="eastAsia" w:ascii="微软雅黑" w:hAnsi="微软雅黑" w:eastAsia="微软雅黑" w:cs="微软雅黑"/>
          <w:b/>
          <w:bCs/>
          <w:color w:val="auto"/>
          <w:kern w:val="2"/>
          <w:sz w:val="22"/>
          <w:szCs w:val="22"/>
          <w:highlight w:val="none"/>
        </w:rPr>
        <w:t>分，合格供应商的评标得分为各项目汇总得分，成交候选供应商资格按评标总分由高到低顺序排列，评标总分相同的，按照最后报价由低到高的顺序推荐。评标总分且最后报价相同的，按照技术指标优劣顺序推荐。排名第一的的供应商为成交候选人，排名第二的供应商为候补成交候选人，其他供应商的成交候选资格依此类推，评分过程中采用四舍五入法，并保留小数2位。</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2、评标内容及标准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2.1价格分（</w:t>
      </w:r>
      <w:r>
        <w:rPr>
          <w:rFonts w:hint="eastAsia" w:ascii="微软雅黑" w:hAnsi="微软雅黑" w:eastAsia="微软雅黑" w:cs="微软雅黑"/>
          <w:color w:val="auto"/>
          <w:kern w:val="2"/>
          <w:sz w:val="22"/>
          <w:szCs w:val="22"/>
          <w:highlight w:val="none"/>
          <w:lang w:val="en-US" w:eastAsia="zh-CN"/>
        </w:rPr>
        <w:t>30</w:t>
      </w:r>
      <w:r>
        <w:rPr>
          <w:rFonts w:hint="eastAsia" w:ascii="微软雅黑" w:hAnsi="微软雅黑" w:eastAsia="微软雅黑" w:cs="微软雅黑"/>
          <w:color w:val="auto"/>
          <w:kern w:val="2"/>
          <w:sz w:val="22"/>
          <w:szCs w:val="22"/>
          <w:highlight w:val="none"/>
        </w:rPr>
        <w:t>分）</w:t>
      </w:r>
    </w:p>
    <w:p>
      <w:pPr>
        <w:pStyle w:val="13"/>
        <w:snapToGrid w:val="0"/>
        <w:spacing w:line="440" w:lineRule="exact"/>
        <w:ind w:firstLine="440" w:firstLineChars="200"/>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color w:val="auto"/>
          <w:kern w:val="2"/>
          <w:sz w:val="22"/>
          <w:szCs w:val="22"/>
          <w:highlight w:val="none"/>
        </w:rPr>
        <w:t>根据财库〔2014〕214号关于印发《政府采购竞争性磋商采购方式管理暂行办法》的通知，</w:t>
      </w:r>
      <w:r>
        <w:rPr>
          <w:rFonts w:hint="eastAsia" w:ascii="微软雅黑" w:hAnsi="微软雅黑" w:eastAsia="微软雅黑" w:cs="微软雅黑"/>
          <w:b/>
          <w:bCs/>
          <w:color w:val="auto"/>
          <w:kern w:val="2"/>
          <w:sz w:val="22"/>
          <w:szCs w:val="22"/>
          <w:highlight w:val="none"/>
        </w:rPr>
        <w:t>本项目价格分评分：</w:t>
      </w:r>
      <w:bookmarkStart w:id="80" w:name="_Hlk45549156"/>
      <w:r>
        <w:rPr>
          <w:rFonts w:hint="eastAsia" w:ascii="微软雅黑" w:hAnsi="微软雅黑" w:eastAsia="微软雅黑" w:cs="微软雅黑"/>
          <w:b/>
          <w:bCs/>
          <w:color w:val="auto"/>
          <w:kern w:val="2"/>
          <w:sz w:val="22"/>
          <w:szCs w:val="22"/>
          <w:highlight w:val="none"/>
        </w:rPr>
        <w:t>1、价格分采用低价优先法计算，即满足磋商文件要求且响应报价最低的价格为评标基准价，其他供应商的价格分按照下列公式计算：</w:t>
      </w:r>
    </w:p>
    <w:p>
      <w:pPr>
        <w:pStyle w:val="13"/>
        <w:snapToGrid w:val="0"/>
        <w:spacing w:line="440" w:lineRule="exact"/>
        <w:ind w:firstLine="440" w:firstLineChars="200"/>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其他供应商的价格分=</w:t>
      </w:r>
      <w:bookmarkEnd w:id="80"/>
      <w:r>
        <w:rPr>
          <w:rFonts w:hint="eastAsia" w:ascii="微软雅黑" w:hAnsi="微软雅黑" w:eastAsia="微软雅黑" w:cs="微软雅黑"/>
          <w:b/>
          <w:bCs/>
          <w:color w:val="auto"/>
          <w:kern w:val="2"/>
          <w:sz w:val="22"/>
          <w:szCs w:val="22"/>
          <w:highlight w:val="none"/>
        </w:rPr>
        <w:t>（评标基准价/磋商响应报价）×</w:t>
      </w:r>
      <w:r>
        <w:rPr>
          <w:rFonts w:hint="eastAsia" w:ascii="微软雅黑" w:hAnsi="微软雅黑" w:eastAsia="微软雅黑" w:cs="微软雅黑"/>
          <w:b/>
          <w:bCs/>
          <w:color w:val="auto"/>
          <w:kern w:val="2"/>
          <w:sz w:val="22"/>
          <w:szCs w:val="22"/>
          <w:highlight w:val="none"/>
          <w:lang w:val="en-US" w:eastAsia="zh-CN"/>
        </w:rPr>
        <w:t>30</w:t>
      </w:r>
      <w:r>
        <w:rPr>
          <w:rFonts w:hint="eastAsia" w:ascii="微软雅黑" w:hAnsi="微软雅黑" w:eastAsia="微软雅黑" w:cs="微软雅黑"/>
          <w:b/>
          <w:bCs/>
          <w:color w:val="auto"/>
          <w:kern w:val="2"/>
          <w:sz w:val="22"/>
          <w:szCs w:val="22"/>
          <w:highlight w:val="none"/>
        </w:rPr>
        <w:t>%×100</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b/>
          <w:bCs/>
          <w:color w:val="auto"/>
          <w:kern w:val="2"/>
          <w:sz w:val="22"/>
          <w:szCs w:val="22"/>
          <w:highlight w:val="none"/>
        </w:rPr>
        <w:t>供应商未按照上述规定报价的，响应文件无效。</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评标委员会认为响应单位的报价明显低于其他通过符合性审查响应单位的报价，有可能影响产品质量或者不能诚信履约的，应当要求其在评标现场合理的时间内提供书面说明，必要时提交相关证明材料；响应单位不能证明其报价合理性的，评标委员会应当将其作为无效响应处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2.2 中小企业政策执行：</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号）的所属行业分类为其他未列明行业。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组成联合体或者接受分包的小微企业与联合体内其他企业、分包企业之间存在直接控股、管理关系的，不享受价格扣除优惠政策。</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响应文件中须同时出具《政府采购促进中小企业发展管理办法》【财库（2020）46号】规定的《中小企业声明函》，否则不得享受价格扣除。</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②监狱企业视同小微企业，参加本项目投标的，享受小微企业同等的价格扣除。【注：提供《监狱企业声明函》】。</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③残疾人福利性单位参加投标【提供《残疾人福利性单位声明函》】，视为小型、微型企业，享受小微企业政策扶持。</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2.2技术分、商务资信分，共</w:t>
      </w:r>
      <w:r>
        <w:rPr>
          <w:rFonts w:hint="eastAsia" w:ascii="微软雅黑" w:hAnsi="微软雅黑" w:eastAsia="微软雅黑" w:cs="微软雅黑"/>
          <w:color w:val="auto"/>
          <w:kern w:val="2"/>
          <w:sz w:val="22"/>
          <w:szCs w:val="22"/>
          <w:highlight w:val="none"/>
          <w:lang w:val="en-US" w:eastAsia="zh-CN"/>
        </w:rPr>
        <w:t>70</w:t>
      </w:r>
      <w:r>
        <w:rPr>
          <w:rFonts w:hint="eastAsia" w:ascii="微软雅黑" w:hAnsi="微软雅黑" w:eastAsia="微软雅黑" w:cs="微软雅黑"/>
          <w:color w:val="auto"/>
          <w:kern w:val="2"/>
          <w:sz w:val="22"/>
          <w:szCs w:val="22"/>
          <w:highlight w:val="none"/>
        </w:rPr>
        <w:t>分。</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确定进入报价评审的响应人。有效响应人不足3名时由评标委员会视情而定。</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2.3技术、商务资信分的计算</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技术、商务资信分按照评标委员会成员的独立评分结果汇总数算术平均分计算，计算公式为：</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技术、商务资信分=评标委员会成员评分合计数/评标委员会组成人员数。</w:t>
      </w:r>
    </w:p>
    <w:p>
      <w:pPr>
        <w:pStyle w:val="13"/>
        <w:snapToGrid w:val="0"/>
        <w:spacing w:line="440" w:lineRule="exact"/>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响应报价超出采购预算的，其磋商响应无效。</w:t>
      </w:r>
    </w:p>
    <w:p>
      <w:pPr>
        <w:spacing w:line="440" w:lineRule="exact"/>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附件：评分表格式（技术、商务、资信及其他分，共</w:t>
      </w:r>
      <w:r>
        <w:rPr>
          <w:rFonts w:hint="eastAsia" w:ascii="微软雅黑" w:hAnsi="微软雅黑" w:eastAsia="微软雅黑" w:cs="微软雅黑"/>
          <w:b/>
          <w:color w:val="auto"/>
          <w:sz w:val="22"/>
          <w:szCs w:val="22"/>
          <w:highlight w:val="none"/>
          <w:lang w:val="en-US" w:eastAsia="zh-CN"/>
        </w:rPr>
        <w:t>70</w:t>
      </w:r>
      <w:r>
        <w:rPr>
          <w:rFonts w:hint="eastAsia" w:ascii="微软雅黑" w:hAnsi="微软雅黑" w:eastAsia="微软雅黑" w:cs="微软雅黑"/>
          <w:b/>
          <w:color w:val="auto"/>
          <w:sz w:val="22"/>
          <w:szCs w:val="22"/>
          <w:highlight w:val="none"/>
        </w:rPr>
        <w:t>分）</w:t>
      </w:r>
      <w:bookmarkEnd w:id="55"/>
      <w:bookmarkStart w:id="81" w:name="_Toc152043787"/>
      <w:bookmarkStart w:id="82" w:name="_Toc410379360"/>
    </w:p>
    <w:tbl>
      <w:tblPr>
        <w:tblStyle w:val="32"/>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80"/>
        <w:gridCol w:w="650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48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评分项目</w:t>
            </w:r>
          </w:p>
        </w:tc>
        <w:tc>
          <w:tcPr>
            <w:tcW w:w="65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评分细则</w:t>
            </w:r>
          </w:p>
        </w:tc>
        <w:tc>
          <w:tcPr>
            <w:tcW w:w="6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总体实施方案</w:t>
            </w:r>
          </w:p>
        </w:tc>
        <w:tc>
          <w:tcPr>
            <w:tcW w:w="6509"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kern w:val="0"/>
                <w:sz w:val="21"/>
                <w:szCs w:val="21"/>
              </w:rPr>
              <w:t>对本项目的理解程度，对项目的重点、难点和关键点是否详细阐明：</w:t>
            </w:r>
            <w:r>
              <w:rPr>
                <w:rFonts w:hint="eastAsia" w:ascii="微软雅黑" w:hAnsi="微软雅黑" w:eastAsia="微软雅黑" w:cs="微软雅黑"/>
                <w:kern w:val="0"/>
                <w:sz w:val="21"/>
                <w:szCs w:val="21"/>
              </w:rPr>
              <w:t>对本项目理解透彻、重点、难点和关键点详细阐明、分析透彻的得</w:t>
            </w:r>
            <w:r>
              <w:rPr>
                <w:rFonts w:hint="eastAsia" w:ascii="微软雅黑" w:hAnsi="微软雅黑" w:eastAsia="微软雅黑" w:cs="微软雅黑"/>
                <w:kern w:val="0"/>
                <w:sz w:val="21"/>
                <w:szCs w:val="21"/>
                <w:lang w:val="en-US" w:eastAsia="zh-CN"/>
              </w:rPr>
              <w:t>7</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10</w:t>
            </w:r>
            <w:r>
              <w:rPr>
                <w:rFonts w:hint="eastAsia" w:ascii="微软雅黑" w:hAnsi="微软雅黑" w:eastAsia="微软雅黑" w:cs="微软雅黑"/>
                <w:kern w:val="0"/>
                <w:sz w:val="21"/>
                <w:szCs w:val="21"/>
              </w:rPr>
              <w:t>分；对本项目比较了解、重点、难点和关键点基本阐述基本到位的得</w:t>
            </w:r>
            <w:r>
              <w:rPr>
                <w:rFonts w:hint="eastAsia" w:ascii="微软雅黑" w:hAnsi="微软雅黑" w:eastAsia="微软雅黑" w:cs="微软雅黑"/>
                <w:kern w:val="0"/>
                <w:sz w:val="21"/>
                <w:szCs w:val="21"/>
                <w:lang w:val="en-US" w:eastAsia="zh-CN"/>
              </w:rPr>
              <w:t>4</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6</w:t>
            </w:r>
            <w:r>
              <w:rPr>
                <w:rFonts w:hint="eastAsia" w:ascii="微软雅黑" w:hAnsi="微软雅黑" w:eastAsia="微软雅黑" w:cs="微软雅黑"/>
                <w:kern w:val="0"/>
                <w:sz w:val="21"/>
                <w:szCs w:val="21"/>
              </w:rPr>
              <w:t>分；对本项目不了解、重点、难点和关键点基本阐述不到位的得</w:t>
            </w:r>
            <w:r>
              <w:rPr>
                <w:rFonts w:hint="eastAsia" w:ascii="微软雅黑" w:hAnsi="微软雅黑" w:eastAsia="微软雅黑" w:cs="微软雅黑"/>
                <w:kern w:val="0"/>
                <w:sz w:val="21"/>
                <w:szCs w:val="21"/>
                <w:lang w:val="en-US" w:eastAsia="zh-CN"/>
              </w:rPr>
              <w:t>0</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3</w:t>
            </w:r>
            <w:r>
              <w:rPr>
                <w:rFonts w:hint="eastAsia" w:ascii="微软雅黑" w:hAnsi="微软雅黑" w:eastAsia="微软雅黑" w:cs="微软雅黑"/>
                <w:kern w:val="0"/>
                <w:sz w:val="21"/>
                <w:szCs w:val="21"/>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6509"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eastAsia="zh-CN"/>
              </w:rPr>
              <w:t>响应单位</w:t>
            </w:r>
            <w:r>
              <w:rPr>
                <w:rFonts w:hint="eastAsia" w:ascii="微软雅黑" w:hAnsi="微软雅黑" w:eastAsia="微软雅黑" w:cs="微软雅黑"/>
                <w:b/>
                <w:bCs/>
                <w:sz w:val="21"/>
                <w:szCs w:val="21"/>
              </w:rPr>
              <w:t>制定的运维方案是否科学合理，是否具有可操作性：</w:t>
            </w:r>
          </w:p>
          <w:p>
            <w:pPr>
              <w:pStyle w:val="64"/>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运维方案内容全面、科学合理、针对性强、操作性强的得</w:t>
            </w:r>
            <w:r>
              <w:rPr>
                <w:rFonts w:hint="eastAsia" w:ascii="微软雅黑" w:hAnsi="微软雅黑" w:eastAsia="微软雅黑" w:cs="微软雅黑"/>
                <w:sz w:val="21"/>
                <w:szCs w:val="21"/>
                <w:lang w:val="en-US" w:eastAsia="zh-CN"/>
              </w:rPr>
              <w:t>7-10</w:t>
            </w:r>
            <w:r>
              <w:rPr>
                <w:rFonts w:hint="eastAsia" w:ascii="微软雅黑" w:hAnsi="微软雅黑" w:eastAsia="微软雅黑" w:cs="微软雅黑"/>
                <w:sz w:val="21"/>
                <w:szCs w:val="21"/>
              </w:rPr>
              <w:t>分；运维方案内容基本齐全、有一定针对性强、具有可操作性的得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分；运维方案不全面、针对性较差、可操作性差的得0-</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6509"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eastAsia="zh-CN"/>
              </w:rPr>
              <w:t>响应单位</w:t>
            </w:r>
            <w:r>
              <w:rPr>
                <w:rFonts w:hint="eastAsia" w:ascii="微软雅黑" w:hAnsi="微软雅黑" w:eastAsia="微软雅黑" w:cs="微软雅黑"/>
                <w:b/>
                <w:bCs/>
                <w:sz w:val="21"/>
                <w:szCs w:val="21"/>
              </w:rPr>
              <w:t>针对运维项目中突发事件的应急预案及处置措施。</w:t>
            </w:r>
          </w:p>
          <w:p>
            <w:pPr>
              <w:pStyle w:val="64"/>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对突发事件（如突发</w:t>
            </w:r>
            <w:r>
              <w:rPr>
                <w:rFonts w:hint="eastAsia" w:ascii="微软雅黑" w:hAnsi="微软雅黑" w:eastAsia="微软雅黑" w:cs="微软雅黑"/>
                <w:sz w:val="21"/>
                <w:szCs w:val="21"/>
                <w:lang w:val="en-US" w:eastAsia="zh-CN"/>
              </w:rPr>
              <w:t>地质灾害</w:t>
            </w:r>
            <w:r>
              <w:rPr>
                <w:rFonts w:hint="eastAsia" w:ascii="微软雅黑" w:hAnsi="微软雅黑" w:eastAsia="微软雅黑" w:cs="微软雅黑"/>
                <w:sz w:val="21"/>
                <w:szCs w:val="21"/>
              </w:rPr>
              <w:t>事故、仪器故障、常驻现场人员离职等）分析预见全面、相应应对措施科学、合理得</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分；对突发事件有一定分析和预见、有相应应对措施得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分；对突发事件分析不全面、应对措施针对性差得0-</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6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项目保障情况</w:t>
            </w:r>
          </w:p>
        </w:tc>
        <w:tc>
          <w:tcPr>
            <w:tcW w:w="65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人员配置</w:t>
            </w:r>
          </w:p>
          <w:p>
            <w:pPr>
              <w:spacing w:line="440" w:lineRule="exact"/>
              <w:jc w:val="left"/>
              <w:rPr>
                <w:rFonts w:ascii="微软雅黑" w:hAnsi="微软雅黑" w:eastAsia="微软雅黑" w:cs="微软雅黑"/>
                <w:color w:val="000000"/>
                <w:sz w:val="21"/>
                <w:szCs w:val="21"/>
                <w:highlight w:val="none"/>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color w:val="000000"/>
                <w:sz w:val="21"/>
                <w:szCs w:val="21"/>
                <w:highlight w:val="none"/>
              </w:rPr>
              <w:t>项目负责人</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21</w:t>
            </w:r>
            <w:r>
              <w:rPr>
                <w:rFonts w:hint="eastAsia" w:ascii="微软雅黑" w:hAnsi="微软雅黑" w:eastAsia="微软雅黑" w:cs="微软雅黑"/>
                <w:sz w:val="21"/>
                <w:szCs w:val="21"/>
              </w:rPr>
              <w:t>年1月1日（合同签订时间）以来以项目负责人身份承担过类似</w:t>
            </w:r>
            <w:r>
              <w:rPr>
                <w:rFonts w:hint="eastAsia" w:ascii="微软雅黑" w:hAnsi="微软雅黑" w:eastAsia="微软雅黑" w:cs="微软雅黑"/>
                <w:sz w:val="21"/>
                <w:szCs w:val="21"/>
                <w:lang w:eastAsia="zh-CN"/>
              </w:rPr>
              <w:t>运维</w:t>
            </w:r>
            <w:r>
              <w:rPr>
                <w:rFonts w:hint="eastAsia" w:ascii="微软雅黑" w:hAnsi="微软雅黑" w:eastAsia="微软雅黑" w:cs="微软雅黑"/>
                <w:sz w:val="21"/>
                <w:szCs w:val="21"/>
              </w:rPr>
              <w:t>项目的</w:t>
            </w:r>
            <w:r>
              <w:rPr>
                <w:rFonts w:hint="eastAsia" w:ascii="微软雅黑" w:hAnsi="微软雅黑" w:eastAsia="微软雅黑" w:cs="微软雅黑"/>
                <w:color w:val="000000"/>
                <w:sz w:val="21"/>
                <w:szCs w:val="21"/>
                <w:highlight w:val="none"/>
              </w:rPr>
              <w:t>，得</w:t>
            </w:r>
            <w:r>
              <w:rPr>
                <w:rFonts w:ascii="微软雅黑" w:hAnsi="微软雅黑" w:eastAsia="微软雅黑" w:cs="微软雅黑"/>
                <w:color w:val="000000"/>
                <w:sz w:val="21"/>
                <w:szCs w:val="21"/>
                <w:highlight w:val="none"/>
              </w:rPr>
              <w:t>4</w:t>
            </w:r>
            <w:r>
              <w:rPr>
                <w:rFonts w:hint="eastAsia" w:ascii="微软雅黑" w:hAnsi="微软雅黑" w:eastAsia="微软雅黑" w:cs="微软雅黑"/>
                <w:color w:val="000000"/>
                <w:sz w:val="21"/>
                <w:szCs w:val="21"/>
                <w:highlight w:val="none"/>
              </w:rPr>
              <w:t>分</w:t>
            </w:r>
            <w:r>
              <w:rPr>
                <w:rFonts w:hint="eastAsia" w:ascii="微软雅黑" w:hAnsi="微软雅黑" w:eastAsia="微软雅黑" w:cs="微软雅黑"/>
                <w:color w:val="000000"/>
                <w:sz w:val="21"/>
                <w:szCs w:val="21"/>
                <w:highlight w:val="none"/>
                <w:lang w:eastAsia="zh-CN"/>
              </w:rPr>
              <w:t>；没有承担过不得分。</w:t>
            </w:r>
            <w:r>
              <w:rPr>
                <w:rFonts w:hint="eastAsia" w:ascii="微软雅黑" w:hAnsi="微软雅黑" w:eastAsia="微软雅黑" w:cs="微软雅黑"/>
                <w:sz w:val="21"/>
                <w:szCs w:val="21"/>
              </w:rPr>
              <w:t>（提供合同复印件，如合同不能反应项目负责人的，还应提供业主证明）</w:t>
            </w:r>
            <w:r>
              <w:rPr>
                <w:rFonts w:hint="eastAsia" w:ascii="微软雅黑" w:hAnsi="微软雅黑" w:eastAsia="微软雅黑" w:cs="微软雅黑"/>
                <w:color w:val="000000"/>
                <w:sz w:val="21"/>
                <w:szCs w:val="21"/>
                <w:highlight w:val="none"/>
              </w:rPr>
              <w:t>（0-</w:t>
            </w:r>
            <w:r>
              <w:rPr>
                <w:rFonts w:ascii="微软雅黑" w:hAnsi="微软雅黑" w:eastAsia="微软雅黑" w:cs="微软雅黑"/>
                <w:color w:val="000000"/>
                <w:sz w:val="21"/>
                <w:szCs w:val="21"/>
                <w:highlight w:val="none"/>
              </w:rPr>
              <w:t>4</w:t>
            </w:r>
            <w:r>
              <w:rPr>
                <w:rFonts w:hint="eastAsia" w:ascii="微软雅黑" w:hAnsi="微软雅黑" w:eastAsia="微软雅黑" w:cs="微软雅黑"/>
                <w:color w:val="000000"/>
                <w:sz w:val="21"/>
                <w:szCs w:val="21"/>
                <w:highlight w:val="none"/>
              </w:rPr>
              <w:t>分）</w:t>
            </w:r>
          </w:p>
          <w:p>
            <w:pPr>
              <w:spacing w:line="440" w:lineRule="exact"/>
              <w:jc w:val="lef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highlight w:val="none"/>
                <w:lang w:val="en-US" w:eastAsia="zh-CN"/>
              </w:rPr>
              <w:t>2.</w:t>
            </w:r>
            <w:r>
              <w:rPr>
                <w:rFonts w:hint="eastAsia" w:ascii="微软雅黑" w:hAnsi="微软雅黑" w:eastAsia="微软雅黑" w:cs="微软雅黑"/>
                <w:color w:val="000000"/>
                <w:sz w:val="21"/>
                <w:szCs w:val="21"/>
                <w:highlight w:val="none"/>
              </w:rPr>
              <w:t>拟投入本项目实施人员（除项目负责人外）</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21</w:t>
            </w:r>
            <w:r>
              <w:rPr>
                <w:rFonts w:hint="eastAsia" w:ascii="微软雅黑" w:hAnsi="微软雅黑" w:eastAsia="微软雅黑" w:cs="微软雅黑"/>
                <w:sz w:val="21"/>
                <w:szCs w:val="21"/>
              </w:rPr>
              <w:t>年1月1日（合同签订时间）以来承担过类似</w:t>
            </w:r>
            <w:r>
              <w:rPr>
                <w:rFonts w:hint="eastAsia" w:ascii="微软雅黑" w:hAnsi="微软雅黑" w:eastAsia="微软雅黑" w:cs="微软雅黑"/>
                <w:sz w:val="21"/>
                <w:szCs w:val="21"/>
                <w:lang w:eastAsia="zh-CN"/>
              </w:rPr>
              <w:t>运维</w:t>
            </w:r>
            <w:r>
              <w:rPr>
                <w:rFonts w:hint="eastAsia" w:ascii="微软雅黑" w:hAnsi="微软雅黑" w:eastAsia="微软雅黑" w:cs="微软雅黑"/>
                <w:sz w:val="21"/>
                <w:szCs w:val="21"/>
              </w:rPr>
              <w:t>项目的</w:t>
            </w:r>
            <w:r>
              <w:rPr>
                <w:rFonts w:hint="eastAsia" w:ascii="微软雅黑" w:hAnsi="微软雅黑" w:eastAsia="微软雅黑" w:cs="微软雅黑"/>
                <w:sz w:val="21"/>
                <w:szCs w:val="21"/>
                <w:lang w:eastAsia="zh-CN"/>
              </w:rPr>
              <w:t>，每个人得</w:t>
            </w:r>
            <w:r>
              <w:rPr>
                <w:rFonts w:hint="eastAsia" w:ascii="微软雅黑" w:hAnsi="微软雅黑" w:eastAsia="微软雅黑" w:cs="微软雅黑"/>
                <w:sz w:val="21"/>
                <w:szCs w:val="21"/>
                <w:lang w:val="en-US" w:eastAsia="zh-CN"/>
              </w:rPr>
              <w:t>1分，最多得6分</w:t>
            </w:r>
            <w:r>
              <w:rPr>
                <w:rFonts w:hint="eastAsia" w:ascii="微软雅黑" w:hAnsi="微软雅黑" w:eastAsia="微软雅黑" w:cs="微软雅黑"/>
                <w:sz w:val="21"/>
                <w:szCs w:val="21"/>
              </w:rPr>
              <w:t>（提供合同复印件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0-6分</w:t>
            </w: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000000"/>
                <w:sz w:val="21"/>
                <w:szCs w:val="21"/>
                <w:highlight w:val="none"/>
              </w:rPr>
              <w:t>。</w:t>
            </w:r>
          </w:p>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根据员工的培训措施等方面进行评分得0-</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w:t>
            </w:r>
          </w:p>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备注：提供拟派人员的近三个月</w:t>
            </w:r>
            <w:r>
              <w:rPr>
                <w:rFonts w:hint="eastAsia" w:ascii="微软雅黑" w:hAnsi="微软雅黑" w:eastAsia="微软雅黑" w:cs="微软雅黑"/>
                <w:sz w:val="21"/>
                <w:szCs w:val="21"/>
                <w:lang w:val="en-US" w:eastAsia="zh-CN"/>
              </w:rPr>
              <w:t>任意一个月</w:t>
            </w:r>
            <w:r>
              <w:rPr>
                <w:rFonts w:hint="eastAsia" w:ascii="微软雅黑" w:hAnsi="微软雅黑" w:eastAsia="微软雅黑" w:cs="微软雅黑"/>
                <w:sz w:val="21"/>
                <w:szCs w:val="21"/>
              </w:rPr>
              <w:t>的社保证明，否则不得分</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65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设备配置</w:t>
            </w:r>
          </w:p>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1、针对本项目的服务方案的项目投入</w:t>
            </w:r>
            <w:r>
              <w:rPr>
                <w:rFonts w:hint="eastAsia" w:ascii="微软雅黑" w:hAnsi="微软雅黑" w:eastAsia="微软雅黑" w:cs="微软雅黑"/>
                <w:sz w:val="21"/>
                <w:szCs w:val="21"/>
                <w:lang w:val="en-US" w:eastAsia="zh-CN"/>
              </w:rPr>
              <w:t>设备</w:t>
            </w:r>
            <w:r>
              <w:rPr>
                <w:rFonts w:hint="eastAsia" w:ascii="微软雅黑" w:hAnsi="微软雅黑" w:eastAsia="微软雅黑" w:cs="微软雅黑"/>
                <w:sz w:val="21"/>
                <w:szCs w:val="21"/>
              </w:rPr>
              <w:t>组进行评定，</w:t>
            </w:r>
            <w:r>
              <w:rPr>
                <w:rFonts w:hint="eastAsia" w:ascii="微软雅黑" w:hAnsi="微软雅黑" w:eastAsia="微软雅黑" w:cs="微软雅黑"/>
                <w:sz w:val="21"/>
                <w:szCs w:val="21"/>
                <w:lang w:val="en-US" w:eastAsia="zh-CN"/>
              </w:rPr>
              <w:t>设备仪器</w:t>
            </w:r>
            <w:r>
              <w:rPr>
                <w:rFonts w:hint="eastAsia" w:ascii="微软雅黑" w:hAnsi="微软雅黑" w:eastAsia="微软雅黑" w:cs="微软雅黑"/>
                <w:sz w:val="21"/>
                <w:szCs w:val="21"/>
              </w:rPr>
              <w:t>情况及投入合理性及专业性得0-</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分；</w:t>
            </w:r>
          </w:p>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响应单位</w:t>
            </w:r>
            <w:r>
              <w:rPr>
                <w:rFonts w:hint="eastAsia" w:ascii="微软雅黑" w:hAnsi="微软雅黑" w:eastAsia="微软雅黑" w:cs="微软雅黑"/>
                <w:sz w:val="21"/>
                <w:szCs w:val="21"/>
              </w:rPr>
              <w:t>配备用于本运维项目车辆不少于2辆及以上的得</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分。（须提供行驶证复印件，行驶证所有人与</w:t>
            </w:r>
            <w:r>
              <w:rPr>
                <w:rFonts w:hint="eastAsia" w:ascii="微软雅黑" w:hAnsi="微软雅黑" w:eastAsia="微软雅黑" w:cs="微软雅黑"/>
                <w:sz w:val="21"/>
                <w:szCs w:val="21"/>
                <w:lang w:eastAsia="zh-CN"/>
              </w:rPr>
              <w:t>响应单位</w:t>
            </w:r>
            <w:r>
              <w:rPr>
                <w:rFonts w:hint="eastAsia" w:ascii="微软雅黑" w:hAnsi="微软雅黑" w:eastAsia="微软雅黑" w:cs="微软雅黑"/>
                <w:sz w:val="21"/>
                <w:szCs w:val="21"/>
              </w:rPr>
              <w:t>名称一致）</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p>
        </w:tc>
        <w:tc>
          <w:tcPr>
            <w:tcW w:w="6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服务承诺</w:t>
            </w:r>
          </w:p>
          <w:p>
            <w:pPr>
              <w:pStyle w:val="30"/>
              <w:keepNext w:val="0"/>
              <w:keepLines w:val="0"/>
              <w:pageBreakBefore w:val="0"/>
              <w:kinsoku/>
              <w:wordWrap/>
              <w:overflowPunct/>
              <w:topLinePunct w:val="0"/>
              <w:autoSpaceDE/>
              <w:autoSpaceDN/>
              <w:bidi w:val="0"/>
              <w:snapToGrid/>
              <w:spacing w:after="0" w:line="440" w:lineRule="exact"/>
              <w:ind w:left="0" w:leftChars="0" w:right="0" w:righ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针对本项目的特色服务承诺内容具有很强实用性的得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分；服务承诺内容具有一定实用性的得2-3分；服务承诺内容实用性差的得0-</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企业业绩</w:t>
            </w:r>
          </w:p>
        </w:tc>
        <w:tc>
          <w:tcPr>
            <w:tcW w:w="6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自20</w:t>
            </w:r>
            <w:r>
              <w:rPr>
                <w:rFonts w:hint="eastAsia" w:ascii="微软雅黑" w:hAnsi="微软雅黑" w:eastAsia="微软雅黑" w:cs="微软雅黑"/>
                <w:sz w:val="21"/>
                <w:szCs w:val="21"/>
                <w:lang w:val="en-US" w:eastAsia="zh-CN"/>
              </w:rPr>
              <w:t>21</w:t>
            </w:r>
            <w:r>
              <w:rPr>
                <w:rFonts w:hint="eastAsia" w:ascii="微软雅黑" w:hAnsi="微软雅黑" w:eastAsia="微软雅黑" w:cs="微软雅黑"/>
                <w:sz w:val="21"/>
                <w:szCs w:val="21"/>
              </w:rPr>
              <w:t>年1月1日（合同签订时间）起，供应商具有同类型项目运维业绩的，每个得</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分，最高得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w:t>
            </w:r>
          </w:p>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（需提供合同复印件）</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管理体系认证证书</w:t>
            </w:r>
          </w:p>
        </w:tc>
        <w:tc>
          <w:tcPr>
            <w:tcW w:w="65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eastAsia="zh-CN"/>
              </w:rPr>
              <w:t>响应单位</w:t>
            </w:r>
            <w:r>
              <w:rPr>
                <w:rFonts w:hint="eastAsia" w:ascii="微软雅黑" w:hAnsi="微软雅黑" w:eastAsia="微软雅黑" w:cs="微软雅黑"/>
                <w:kern w:val="0"/>
                <w:sz w:val="21"/>
                <w:szCs w:val="21"/>
              </w:rPr>
              <w:t>具有有效期内的质量管理体系认证证书、环境质量管理体系认证证书、职业健康安全管理体系证书，每项得</w:t>
            </w:r>
            <w:r>
              <w:rPr>
                <w:rFonts w:hint="eastAsia" w:ascii="微软雅黑" w:hAnsi="微软雅黑" w:eastAsia="微软雅黑" w:cs="微软雅黑"/>
                <w:kern w:val="0"/>
                <w:sz w:val="21"/>
                <w:szCs w:val="21"/>
                <w:lang w:val="en-US" w:eastAsia="zh-CN"/>
              </w:rPr>
              <w:t>2</w:t>
            </w:r>
            <w:r>
              <w:rPr>
                <w:rFonts w:hint="eastAsia" w:ascii="微软雅黑" w:hAnsi="微软雅黑" w:eastAsia="微软雅黑" w:cs="微软雅黑"/>
                <w:kern w:val="0"/>
                <w:sz w:val="21"/>
                <w:szCs w:val="21"/>
              </w:rPr>
              <w:t>分，最多得</w:t>
            </w:r>
            <w:r>
              <w:rPr>
                <w:rFonts w:hint="eastAsia" w:ascii="微软雅黑" w:hAnsi="微软雅黑" w:eastAsia="微软雅黑" w:cs="微软雅黑"/>
                <w:kern w:val="0"/>
                <w:sz w:val="21"/>
                <w:szCs w:val="21"/>
                <w:lang w:val="en-US" w:eastAsia="zh-CN"/>
              </w:rPr>
              <w:t>6</w:t>
            </w:r>
            <w:r>
              <w:rPr>
                <w:rFonts w:hint="eastAsia" w:ascii="微软雅黑" w:hAnsi="微软雅黑" w:eastAsia="微软雅黑" w:cs="微软雅黑"/>
                <w:kern w:val="0"/>
                <w:sz w:val="21"/>
                <w:szCs w:val="21"/>
              </w:rPr>
              <w:t>分</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（需提供相关证书复印件）</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40" w:lineRule="exact"/>
              <w:ind w:left="0" w:leftChars="0" w:right="0" w:rightChars="0" w:firstLine="0" w:firstLineChars="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6</w:t>
            </w:r>
          </w:p>
        </w:tc>
      </w:tr>
    </w:tbl>
    <w:p>
      <w:pPr>
        <w:pStyle w:val="13"/>
        <w:snapToGrid w:val="0"/>
        <w:spacing w:line="440" w:lineRule="exact"/>
        <w:ind w:firstLine="0"/>
        <w:rPr>
          <w:rFonts w:ascii="微软雅黑" w:hAnsi="微软雅黑" w:eastAsia="微软雅黑" w:cs="微软雅黑"/>
          <w:b/>
          <w:bCs/>
          <w:color w:val="auto"/>
          <w:kern w:val="2"/>
          <w:sz w:val="22"/>
          <w:szCs w:val="22"/>
          <w:highlight w:val="none"/>
        </w:rPr>
      </w:pPr>
      <w:r>
        <w:rPr>
          <w:rFonts w:hint="eastAsia" w:ascii="微软雅黑" w:hAnsi="微软雅黑" w:eastAsia="微软雅黑" w:cs="微软雅黑"/>
          <w:b/>
          <w:bCs/>
          <w:color w:val="auto"/>
          <w:kern w:val="2"/>
          <w:sz w:val="22"/>
          <w:szCs w:val="22"/>
          <w:highlight w:val="none"/>
        </w:rPr>
        <w:t>注：以上证明文件复印件均需CA签章，附在响应文件中；提供材料不真实、不完整或伪造证明材料的，后果自负。</w:t>
      </w:r>
    </w:p>
    <w:p>
      <w:pPr>
        <w:pStyle w:val="28"/>
        <w:spacing w:line="360" w:lineRule="auto"/>
        <w:rPr>
          <w:rFonts w:ascii="微软雅黑" w:hAnsi="微软雅黑" w:eastAsia="微软雅黑" w:cs="微软雅黑"/>
          <w:snapToGrid w:val="0"/>
          <w:color w:val="auto"/>
          <w:highlight w:val="none"/>
        </w:rPr>
      </w:pPr>
      <w:r>
        <w:rPr>
          <w:rFonts w:hint="eastAsia" w:ascii="微软雅黑" w:hAnsi="微软雅黑" w:eastAsia="微软雅黑" w:cs="微软雅黑"/>
          <w:color w:val="auto"/>
          <w:sz w:val="24"/>
          <w:szCs w:val="24"/>
          <w:highlight w:val="none"/>
        </w:rPr>
        <w:br w:type="page"/>
      </w:r>
      <w:bookmarkStart w:id="83" w:name="_Toc31117"/>
      <w:bookmarkStart w:id="84" w:name="_Toc16770386"/>
      <w:r>
        <w:rPr>
          <w:rFonts w:hint="eastAsia" w:ascii="微软雅黑" w:hAnsi="微软雅黑" w:eastAsia="微软雅黑" w:cs="微软雅黑"/>
          <w:color w:val="auto"/>
          <w:highlight w:val="none"/>
        </w:rPr>
        <w:t>第五章  合同主要条款</w:t>
      </w:r>
      <w:bookmarkEnd w:id="81"/>
      <w:bookmarkEnd w:id="82"/>
      <w:bookmarkEnd w:id="83"/>
      <w:bookmarkEnd w:id="84"/>
    </w:p>
    <w:p>
      <w:pPr>
        <w:keepNext w:val="0"/>
        <w:keepLines w:val="0"/>
        <w:pageBreakBefore w:val="0"/>
        <w:tabs>
          <w:tab w:val="left" w:pos="360"/>
        </w:tabs>
        <w:kinsoku/>
        <w:wordWrap/>
        <w:overflowPunct/>
        <w:topLinePunct w:val="0"/>
        <w:autoSpaceDE/>
        <w:autoSpaceDN/>
        <w:bidi w:val="0"/>
        <w:snapToGrid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bookmarkStart w:id="85" w:name="_Toc16770387"/>
      <w:bookmarkStart w:id="86" w:name="_Toc25421"/>
      <w:bookmarkStart w:id="87" w:name="_Toc410379361"/>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lang w:eastAsia="zh-CN"/>
        </w:rPr>
        <w:t>安吉县自然资源和规划局购买地质灾害监测设备运维服务政府采购项目</w:t>
      </w:r>
      <w:r>
        <w:rPr>
          <w:rFonts w:hint="eastAsia" w:ascii="微软雅黑" w:hAnsi="微软雅黑" w:eastAsia="微软雅黑" w:cs="微软雅黑"/>
          <w:color w:val="auto"/>
          <w:sz w:val="22"/>
          <w:szCs w:val="22"/>
          <w:highlight w:val="none"/>
        </w:rPr>
        <w:t xml:space="preserve"> </w:t>
      </w:r>
    </w:p>
    <w:p>
      <w:pPr>
        <w:keepNext w:val="0"/>
        <w:keepLines w:val="0"/>
        <w:pageBreakBefore w:val="0"/>
        <w:tabs>
          <w:tab w:val="left" w:pos="360"/>
        </w:tabs>
        <w:kinsoku/>
        <w:wordWrap/>
        <w:overflowPunct/>
        <w:topLinePunct w:val="0"/>
        <w:autoSpaceDE/>
        <w:autoSpaceDN/>
        <w:bidi w:val="0"/>
        <w:snapToGrid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项目编号：</w:t>
      </w:r>
      <w:r>
        <w:rPr>
          <w:rFonts w:hint="eastAsia" w:ascii="微软雅黑" w:hAnsi="微软雅黑" w:eastAsia="微软雅黑" w:cs="微软雅黑"/>
          <w:color w:val="auto"/>
          <w:sz w:val="22"/>
          <w:szCs w:val="22"/>
          <w:highlight w:val="none"/>
          <w:lang w:eastAsia="zh-CN"/>
        </w:rPr>
        <w:t>ZJMY（采）2024-007</w:t>
      </w:r>
    </w:p>
    <w:p>
      <w:pPr>
        <w:keepNext w:val="0"/>
        <w:keepLines w:val="0"/>
        <w:pageBreakBefore w:val="0"/>
        <w:widowControl/>
        <w:kinsoku/>
        <w:wordWrap/>
        <w:overflowPunct/>
        <w:topLinePunct w:val="0"/>
        <w:autoSpaceDE/>
        <w:autoSpaceDN/>
        <w:bidi w:val="0"/>
        <w:snapToGrid w:val="0"/>
        <w:spacing w:line="440" w:lineRule="exact"/>
        <w:ind w:left="0" w:leftChars="0" w:right="0" w:firstLine="440" w:firstLineChars="200"/>
        <w:jc w:val="left"/>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 xml:space="preserve">采购人( 甲方)： </w:t>
      </w:r>
    </w:p>
    <w:p>
      <w:pPr>
        <w:keepNext w:val="0"/>
        <w:keepLines w:val="0"/>
        <w:pageBreakBefore w:val="0"/>
        <w:widowControl/>
        <w:kinsoku/>
        <w:wordWrap/>
        <w:overflowPunct/>
        <w:topLinePunct w:val="0"/>
        <w:autoSpaceDE/>
        <w:autoSpaceDN/>
        <w:bidi w:val="0"/>
        <w:snapToGrid w:val="0"/>
        <w:spacing w:line="440" w:lineRule="exact"/>
        <w:ind w:left="0" w:leftChars="0" w:right="0" w:firstLine="440" w:firstLineChars="200"/>
        <w:jc w:val="left"/>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 xml:space="preserve">供应商( 乙方)： </w:t>
      </w:r>
    </w:p>
    <w:p>
      <w:pPr>
        <w:keepNext w:val="0"/>
        <w:keepLines w:val="0"/>
        <w:pageBreakBefore w:val="0"/>
        <w:widowControl/>
        <w:kinsoku/>
        <w:wordWrap/>
        <w:overflowPunct/>
        <w:topLinePunct w:val="0"/>
        <w:autoSpaceDE/>
        <w:autoSpaceDN/>
        <w:bidi w:val="0"/>
        <w:snapToGrid w:val="0"/>
        <w:spacing w:line="440" w:lineRule="exact"/>
        <w:ind w:left="0" w:leftChars="0" w:right="0" w:firstLine="440" w:firstLineChars="200"/>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根据《中华人民共和国政府采购法》、《中华人民共和国合同法》等相关法律法规和</w:t>
      </w:r>
      <w:r>
        <w:rPr>
          <w:rFonts w:hint="eastAsia" w:ascii="微软雅黑" w:hAnsi="微软雅黑" w:eastAsia="微软雅黑" w:cs="微软雅黑"/>
          <w:color w:val="auto"/>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(采购编号：</w:t>
      </w:r>
      <w:r>
        <w:rPr>
          <w:rFonts w:hint="eastAsia" w:ascii="微软雅黑" w:hAnsi="微软雅黑" w:eastAsia="微软雅黑" w:cs="微软雅黑"/>
          <w:color w:val="auto"/>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)的</w:t>
      </w:r>
      <w:r>
        <w:rPr>
          <w:rFonts w:hint="eastAsia" w:ascii="微软雅黑" w:hAnsi="微软雅黑" w:eastAsia="微软雅黑" w:cs="微软雅黑"/>
          <w:color w:val="auto"/>
          <w:kern w:val="0"/>
          <w:sz w:val="22"/>
          <w:szCs w:val="22"/>
          <w:highlight w:val="none"/>
          <w:lang w:eastAsia="zh-CN"/>
        </w:rPr>
        <w:t>成交</w:t>
      </w:r>
      <w:r>
        <w:rPr>
          <w:rFonts w:hint="eastAsia" w:ascii="微软雅黑" w:hAnsi="微软雅黑" w:eastAsia="微软雅黑" w:cs="微软雅黑"/>
          <w:color w:val="auto"/>
          <w:kern w:val="0"/>
          <w:sz w:val="22"/>
          <w:szCs w:val="22"/>
          <w:highlight w:val="none"/>
        </w:rPr>
        <w:t>情况，遵循平等、自愿、公平、诚实信用的原则，由采购单位(以下简称甲方)与经评审最终确定的</w:t>
      </w:r>
      <w:r>
        <w:rPr>
          <w:rFonts w:hint="eastAsia" w:ascii="微软雅黑" w:hAnsi="微软雅黑" w:eastAsia="微软雅黑" w:cs="微软雅黑"/>
          <w:color w:val="auto"/>
          <w:kern w:val="0"/>
          <w:sz w:val="22"/>
          <w:szCs w:val="22"/>
          <w:highlight w:val="none"/>
          <w:lang w:eastAsia="zh-CN"/>
        </w:rPr>
        <w:t>成交</w:t>
      </w:r>
      <w:r>
        <w:rPr>
          <w:rFonts w:hint="eastAsia" w:ascii="微软雅黑" w:hAnsi="微软雅黑" w:eastAsia="微软雅黑" w:cs="微软雅黑"/>
          <w:color w:val="auto"/>
          <w:kern w:val="0"/>
          <w:sz w:val="22"/>
          <w:szCs w:val="22"/>
          <w:highlight w:val="none"/>
        </w:rPr>
        <w:t>供应商(以下简称乙方)结合本项目具体情况，经双方协商一致后达成以下条款:</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一、项目基本情况</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1、名称： </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2、类型：</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4、服务内容：</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二、项目人员安排：</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三、进场相关设备：</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color w:val="auto"/>
          <w:sz w:val="22"/>
          <w:szCs w:val="22"/>
          <w:highlight w:val="none"/>
        </w:rPr>
        <w:t>四、合同有效期：</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日至</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日止</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color w:val="auto"/>
          <w:sz w:val="22"/>
          <w:szCs w:val="22"/>
          <w:highlight w:val="none"/>
        </w:rPr>
        <w:t>五、履</w:t>
      </w:r>
      <w:r>
        <w:rPr>
          <w:rFonts w:hint="eastAsia" w:ascii="微软雅黑" w:hAnsi="微软雅黑" w:eastAsia="微软雅黑" w:cs="微软雅黑"/>
          <w:color w:val="auto"/>
          <w:sz w:val="22"/>
          <w:szCs w:val="22"/>
          <w:highlight w:val="none"/>
        </w:rPr>
        <w:t>约保证金：无。</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color w:val="auto"/>
          <w:sz w:val="22"/>
          <w:szCs w:val="22"/>
          <w:highlight w:val="none"/>
        </w:rPr>
        <w:t>六、合同价款及支付方式：</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1、合同总价金额(人民币大写)</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元。</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2、付款方式：</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七、双方责任</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甲方责任：</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1、根据执行情况支付相应的服务费用。</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2、检查、监督乙方服务工作的实施及监测的执行情况。</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3、按招标文件要求完成相应的监测工作。</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kern w:val="0"/>
          <w:sz w:val="22"/>
          <w:szCs w:val="22"/>
          <w:highlight w:val="none"/>
          <w:lang w:val="zh-CN"/>
        </w:rPr>
      </w:pPr>
      <w:r>
        <w:rPr>
          <w:rFonts w:hint="eastAsia" w:ascii="微软雅黑" w:hAnsi="微软雅黑" w:eastAsia="微软雅黑" w:cs="微软雅黑"/>
          <w:color w:val="auto"/>
          <w:kern w:val="0"/>
          <w:sz w:val="22"/>
          <w:szCs w:val="22"/>
          <w:highlight w:val="none"/>
          <w:lang w:val="zh-CN"/>
        </w:rPr>
        <w:t>4、其他：</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乙方责任：</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40" w:firstLineChars="200"/>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1、根据有关法律法规、招标</w:t>
      </w:r>
      <w:r>
        <w:rPr>
          <w:rFonts w:hint="eastAsia" w:ascii="微软雅黑" w:hAnsi="微软雅黑" w:eastAsia="微软雅黑" w:cs="微软雅黑"/>
          <w:snapToGrid w:val="0"/>
          <w:color w:val="auto"/>
          <w:kern w:val="0"/>
          <w:sz w:val="22"/>
          <w:szCs w:val="22"/>
          <w:highlight w:val="none"/>
          <w:lang w:eastAsia="zh-CN"/>
        </w:rPr>
        <w:t>响应文件</w:t>
      </w:r>
      <w:r>
        <w:rPr>
          <w:rFonts w:hint="eastAsia" w:ascii="微软雅黑" w:hAnsi="微软雅黑" w:eastAsia="微软雅黑" w:cs="微软雅黑"/>
          <w:snapToGrid w:val="0"/>
          <w:color w:val="auto"/>
          <w:kern w:val="0"/>
          <w:sz w:val="22"/>
          <w:szCs w:val="22"/>
          <w:highlight w:val="none"/>
        </w:rPr>
        <w:t>及本合同的约定，制订监测制度、方案，开展监测活动。</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40" w:firstLineChars="200"/>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2、按甲方要求及时如实向甲方报告监测实施情况。</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40" w:firstLineChars="200"/>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3、因乙方在监测中的过错或违反本合同的约定进行监测造成甲方或第三人损失的，乙方应依法承担赔偿责任。</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kern w:val="0"/>
          <w:sz w:val="22"/>
          <w:szCs w:val="22"/>
          <w:highlight w:val="none"/>
          <w:lang w:val="zh-CN"/>
        </w:rPr>
      </w:pPr>
      <w:r>
        <w:rPr>
          <w:rFonts w:hint="eastAsia" w:ascii="微软雅黑" w:hAnsi="微软雅黑" w:eastAsia="微软雅黑" w:cs="微软雅黑"/>
          <w:snapToGrid w:val="0"/>
          <w:color w:val="auto"/>
          <w:kern w:val="0"/>
          <w:sz w:val="22"/>
          <w:szCs w:val="22"/>
          <w:highlight w:val="none"/>
        </w:rPr>
        <w:t>4、</w:t>
      </w:r>
      <w:r>
        <w:rPr>
          <w:rFonts w:hint="eastAsia" w:ascii="微软雅黑" w:hAnsi="微软雅黑" w:eastAsia="微软雅黑" w:cs="微软雅黑"/>
          <w:color w:val="auto"/>
          <w:kern w:val="0"/>
          <w:sz w:val="22"/>
          <w:szCs w:val="22"/>
          <w:highlight w:val="none"/>
          <w:lang w:val="zh-CN"/>
        </w:rPr>
        <w:t>如遇突发事件，乙方将配合甲方要求服务。</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40" w:firstLineChars="200"/>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5、其他：</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八、其他：</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lang w:val="zh-CN"/>
        </w:rPr>
        <w:t>九、</w:t>
      </w:r>
      <w:r>
        <w:rPr>
          <w:rFonts w:hint="eastAsia" w:ascii="微软雅黑" w:hAnsi="微软雅黑" w:eastAsia="微软雅黑" w:cs="微软雅黑"/>
          <w:b/>
          <w:color w:val="auto"/>
          <w:sz w:val="22"/>
          <w:szCs w:val="22"/>
          <w:highlight w:val="none"/>
        </w:rPr>
        <w:t>争议的解决</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1、双方应通过友好协商，解决在执行本政府采购合同过程中所发生的或与本政府采购合同有关的一切争端。如从协商开始</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日内仍不能解决，可向有关政府采购管理部门提请调解。</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2、如果调解不成，双方中的任何一方可向</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仲裁委员会提请仲裁，或者向合同签订地的人民法院提起诉讼。</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3、因合同部分履行引发诉讼的，在诉讼期间，除正在进行诉讼的部分外，本合同的其它部分应继续执行。</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4、本合同按照中华人民共和国现行法律、法规进行解释。</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十、合同的终止</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1、若乙方因破产或经营不善导致合同履行不能，乙方应书面通知甲方终止合同；在甲方知情而未收到乙方终止合同书面通知时，甲方可在任何时候书面通知乙方终止合同。</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2、因不可抗力导致合同履行不能。</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十一、合同的生效</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1、本合同经甲乙双方法定代表人或其委托人签字盖章，并由双方见证后生效。</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2、合同履行期内甲乙双方均不得随意变更或解除合同。合同若有未尽事宜，需经双方共同协商，并订立补充协议，补充协议与本合同有同等法律效力。</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3、招标文件、</w:t>
      </w:r>
      <w:r>
        <w:rPr>
          <w:rFonts w:hint="eastAsia" w:ascii="微软雅黑" w:hAnsi="微软雅黑" w:eastAsia="微软雅黑" w:cs="微软雅黑"/>
          <w:color w:val="auto"/>
          <w:sz w:val="22"/>
          <w:szCs w:val="22"/>
          <w:highlight w:val="none"/>
          <w:lang w:eastAsia="zh-CN"/>
        </w:rPr>
        <w:t>响应文件</w:t>
      </w:r>
      <w:r>
        <w:rPr>
          <w:rFonts w:hint="eastAsia" w:ascii="微软雅黑" w:hAnsi="微软雅黑" w:eastAsia="微软雅黑" w:cs="微软雅黑"/>
          <w:color w:val="auto"/>
          <w:sz w:val="22"/>
          <w:szCs w:val="22"/>
          <w:highlight w:val="none"/>
        </w:rPr>
        <w:t>及评标过程中形成的文字资料、询标纪要均作为本合同的组成部分，具有同等效力。</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4、本合同一式五份，甲、乙双方各执两份，代理机构执一份。</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甲方(盖章)：                          乙方(盖章)：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法定代表人：                           法定代表人：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或授权代表(签字)：                    或授权代表(签字)：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地址：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邮编：                                 邮编：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电话：                                 电话：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传真：                                 传真：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开户银行：                             开户银行：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帐号：                                 帐号：     </w:t>
      </w:r>
    </w:p>
    <w:p>
      <w:pPr>
        <w:keepNext w:val="0"/>
        <w:keepLines w:val="0"/>
        <w:pageBreakBefore w:val="0"/>
        <w:kinsoku/>
        <w:wordWrap/>
        <w:overflowPunct/>
        <w:topLinePunct w:val="0"/>
        <w:autoSpaceDE/>
        <w:autoSpaceDN/>
        <w:bidi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签约时间：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日     </w:t>
      </w:r>
    </w:p>
    <w:p>
      <w:pPr>
        <w:keepNext w:val="0"/>
        <w:keepLines w:val="0"/>
        <w:pageBreakBefore w:val="0"/>
        <w:kinsoku/>
        <w:wordWrap/>
        <w:overflowPunct/>
        <w:topLinePunct w:val="0"/>
        <w:autoSpaceDE/>
        <w:autoSpaceDN/>
        <w:bidi w:val="0"/>
        <w:spacing w:line="440" w:lineRule="exact"/>
        <w:ind w:left="0" w:leftChars="0" w:right="0" w:firstLine="440" w:firstLineChars="200"/>
        <w:textAlignment w:val="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 xml:space="preserve">    签约地点：</w:t>
      </w:r>
      <w:r>
        <w:rPr>
          <w:rFonts w:hint="eastAsia" w:ascii="微软雅黑" w:hAnsi="微软雅黑" w:eastAsia="微软雅黑" w:cs="微软雅黑"/>
          <w:color w:val="auto"/>
          <w:sz w:val="22"/>
          <w:szCs w:val="22"/>
          <w:highlight w:val="none"/>
          <w:u w:val="single"/>
        </w:rPr>
        <w:t xml:space="preserve">          </w:t>
      </w:r>
    </w:p>
    <w:p>
      <w:pPr>
        <w:keepNext w:val="0"/>
        <w:keepLines w:val="0"/>
        <w:pageBreakBefore w:val="0"/>
        <w:kinsoku/>
        <w:wordWrap/>
        <w:overflowPunct/>
        <w:topLinePunct w:val="0"/>
        <w:autoSpaceDE/>
        <w:autoSpaceDN/>
        <w:bidi w:val="0"/>
        <w:snapToGrid w:val="0"/>
        <w:spacing w:line="440" w:lineRule="exact"/>
        <w:ind w:left="0" w:leftChars="0" w:right="0" w:firstLine="440" w:firstLineChars="200"/>
        <w:jc w:val="left"/>
        <w:textAlignment w:val="auto"/>
        <w:rPr>
          <w:rFonts w:hint="eastAsia" w:ascii="微软雅黑" w:hAnsi="微软雅黑" w:eastAsia="微软雅黑" w:cs="微软雅黑"/>
          <w:color w:val="auto"/>
          <w:sz w:val="22"/>
          <w:szCs w:val="22"/>
          <w:highlight w:val="none"/>
        </w:rPr>
      </w:pPr>
    </w:p>
    <w:p>
      <w:pPr>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22"/>
          <w:szCs w:val="22"/>
          <w:highlight w:val="none"/>
        </w:rPr>
        <w:t>注：本合同仅作示范文本，具体以双方签定的正式合同为准，合同内容不得违背本</w:t>
      </w:r>
      <w:r>
        <w:rPr>
          <w:rFonts w:hint="eastAsia" w:ascii="微软雅黑" w:hAnsi="微软雅黑" w:eastAsia="微软雅黑" w:cs="微软雅黑"/>
          <w:color w:val="auto"/>
          <w:sz w:val="22"/>
          <w:szCs w:val="22"/>
          <w:highlight w:val="none"/>
          <w:lang w:eastAsia="zh-CN"/>
        </w:rPr>
        <w:t>磋商文件</w:t>
      </w:r>
      <w:r>
        <w:rPr>
          <w:rFonts w:hint="eastAsia" w:ascii="微软雅黑" w:hAnsi="微软雅黑" w:eastAsia="微软雅黑" w:cs="微软雅黑"/>
          <w:color w:val="auto"/>
          <w:sz w:val="22"/>
          <w:szCs w:val="22"/>
          <w:highlight w:val="none"/>
        </w:rPr>
        <w:t xml:space="preserve">实质性要求。 </w:t>
      </w:r>
      <w:r>
        <w:rPr>
          <w:rFonts w:hint="eastAsia" w:ascii="微软雅黑" w:hAnsi="微软雅黑" w:eastAsia="微软雅黑" w:cs="微软雅黑"/>
          <w:color w:val="auto"/>
          <w:sz w:val="30"/>
          <w:szCs w:val="30"/>
          <w:highlight w:val="none"/>
        </w:rPr>
        <w:br w:type="page"/>
      </w:r>
    </w:p>
    <w:p>
      <w:pPr>
        <w:pStyle w:val="28"/>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第六章  响应文件格式</w:t>
      </w:r>
      <w:bookmarkEnd w:id="85"/>
      <w:bookmarkEnd w:id="86"/>
      <w:bookmarkEnd w:id="87"/>
    </w:p>
    <w:p>
      <w:pPr>
        <w:ind w:firstLine="600" w:firstLineChars="200"/>
        <w:jc w:val="center"/>
        <w:rPr>
          <w:rFonts w:ascii="微软雅黑" w:hAnsi="微软雅黑" w:eastAsia="微软雅黑" w:cs="微软雅黑"/>
          <w:b/>
          <w:color w:val="auto"/>
          <w:sz w:val="30"/>
          <w:szCs w:val="30"/>
          <w:highlight w:val="none"/>
        </w:rPr>
      </w:pPr>
      <w:r>
        <w:rPr>
          <w:rFonts w:hint="eastAsia" w:ascii="微软雅黑" w:hAnsi="微软雅黑" w:eastAsia="微软雅黑" w:cs="微软雅黑"/>
          <w:b/>
          <w:color w:val="auto"/>
          <w:sz w:val="30"/>
          <w:szCs w:val="30"/>
          <w:highlight w:val="none"/>
        </w:rPr>
        <w:t>商务文件部分</w:t>
      </w:r>
    </w:p>
    <w:p>
      <w:pPr>
        <w:snapToGrid w:val="0"/>
        <w:spacing w:before="156" w:beforeLines="50" w:after="50" w:line="480" w:lineRule="auto"/>
        <w:ind w:firstLine="440" w:firstLineChars="200"/>
        <w:jc w:val="left"/>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附件1</w:t>
      </w:r>
    </w:p>
    <w:p>
      <w:pPr>
        <w:spacing w:line="700" w:lineRule="exact"/>
        <w:ind w:firstLine="536" w:firstLineChars="200"/>
        <w:jc w:val="center"/>
        <w:rPr>
          <w:rFonts w:ascii="微软雅黑" w:hAnsi="微软雅黑" w:eastAsia="微软雅黑" w:cs="微软雅黑"/>
          <w:b/>
          <w:bCs/>
          <w:color w:val="auto"/>
          <w:spacing w:val="24"/>
          <w:sz w:val="22"/>
          <w:szCs w:val="22"/>
          <w:highlight w:val="none"/>
        </w:rPr>
      </w:pPr>
      <w:r>
        <w:rPr>
          <w:rFonts w:hint="eastAsia" w:ascii="微软雅黑" w:hAnsi="微软雅黑" w:eastAsia="微软雅黑" w:cs="微软雅黑"/>
          <w:b/>
          <w:bCs/>
          <w:color w:val="auto"/>
          <w:spacing w:val="24"/>
          <w:sz w:val="22"/>
          <w:szCs w:val="22"/>
          <w:highlight w:val="none"/>
        </w:rPr>
        <w:t>1、法定代表人有效身份证明书</w:t>
      </w:r>
    </w:p>
    <w:p>
      <w:pPr>
        <w:spacing w:line="700" w:lineRule="exact"/>
        <w:ind w:firstLine="536" w:firstLineChars="200"/>
        <w:jc w:val="center"/>
        <w:rPr>
          <w:rFonts w:ascii="微软雅黑" w:hAnsi="微软雅黑" w:eastAsia="微软雅黑" w:cs="微软雅黑"/>
          <w:b/>
          <w:bCs/>
          <w:color w:val="auto"/>
          <w:spacing w:val="24"/>
          <w:sz w:val="22"/>
          <w:szCs w:val="22"/>
          <w:highlight w:val="none"/>
        </w:rPr>
      </w:pPr>
    </w:p>
    <w:p>
      <w:pPr>
        <w:spacing w:line="500" w:lineRule="exact"/>
        <w:ind w:firstLine="536" w:firstLineChars="200"/>
        <w:jc w:val="center"/>
        <w:rPr>
          <w:rFonts w:ascii="微软雅黑" w:hAnsi="微软雅黑" w:eastAsia="微软雅黑" w:cs="微软雅黑"/>
          <w:b/>
          <w:bCs/>
          <w:color w:val="auto"/>
          <w:spacing w:val="24"/>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（姓名）是</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（单位全称）的法定代表人，身份证号码为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pPr>
        <w:spacing w:line="500" w:lineRule="exact"/>
        <w:ind w:firstLine="440" w:firstLineChars="200"/>
        <w:rPr>
          <w:rFonts w:ascii="微软雅黑" w:hAnsi="微软雅黑" w:eastAsia="微软雅黑" w:cs="微软雅黑"/>
          <w:color w:val="auto"/>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特此证明。</w:t>
      </w:r>
    </w:p>
    <w:p>
      <w:pPr>
        <w:spacing w:line="500" w:lineRule="exact"/>
        <w:ind w:firstLine="440" w:firstLineChars="200"/>
        <w:rPr>
          <w:rFonts w:ascii="微软雅黑" w:hAnsi="微软雅黑" w:eastAsia="微软雅黑" w:cs="微软雅黑"/>
          <w:color w:val="auto"/>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（盖章）</w:t>
      </w: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法定代表人或其授权代理人（签名或盖章）</w:t>
      </w:r>
    </w:p>
    <w:p>
      <w:pPr>
        <w:spacing w:line="500" w:lineRule="exact"/>
        <w:ind w:firstLine="440" w:firstLineChars="200"/>
        <w:rPr>
          <w:rFonts w:ascii="微软雅黑" w:hAnsi="微软雅黑" w:eastAsia="微软雅黑" w:cs="微软雅黑"/>
          <w:color w:val="auto"/>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spacing w:line="500" w:lineRule="exact"/>
        <w:ind w:firstLine="440" w:firstLineChars="200"/>
        <w:jc w:val="center"/>
        <w:rPr>
          <w:rFonts w:ascii="微软雅黑" w:hAnsi="微软雅黑" w:eastAsia="微软雅黑" w:cs="微软雅黑"/>
          <w:color w:val="auto"/>
          <w:sz w:val="22"/>
          <w:szCs w:val="22"/>
          <w:highlight w:val="none"/>
        </w:rPr>
      </w:pPr>
    </w:p>
    <w:p>
      <w:pPr>
        <w:spacing w:line="5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pPr>
        <w:spacing w:line="500" w:lineRule="exact"/>
        <w:ind w:firstLine="440" w:firstLineChars="200"/>
        <w:jc w:val="center"/>
        <w:outlineLvl w:val="0"/>
        <w:rPr>
          <w:rFonts w:ascii="微软雅黑" w:hAnsi="微软雅黑" w:eastAsia="微软雅黑" w:cs="微软雅黑"/>
          <w:color w:val="auto"/>
          <w:sz w:val="22"/>
          <w:szCs w:val="22"/>
          <w:highlight w:val="none"/>
        </w:rPr>
      </w:pPr>
      <w:bookmarkStart w:id="88" w:name="_Toc10370"/>
      <w:r>
        <w:rPr>
          <w:rFonts w:hint="eastAsia" w:ascii="微软雅黑" w:hAnsi="微软雅黑" w:eastAsia="微软雅黑" w:cs="微软雅黑"/>
          <w:color w:val="auto"/>
          <w:sz w:val="22"/>
          <w:szCs w:val="22"/>
          <w:highlight w:val="none"/>
        </w:rPr>
        <w:t>有效身份证明扫描件粘贴处</w:t>
      </w:r>
      <w:bookmarkEnd w:id="88"/>
    </w:p>
    <w:p>
      <w:pPr>
        <w:snapToGrid w:val="0"/>
        <w:spacing w:before="156" w:beforeLines="50" w:after="50"/>
        <w:ind w:firstLine="440" w:firstLineChars="200"/>
        <w:rPr>
          <w:rFonts w:ascii="微软雅黑" w:hAnsi="微软雅黑" w:eastAsia="微软雅黑" w:cs="微软雅黑"/>
          <w:color w:val="auto"/>
          <w:sz w:val="22"/>
          <w:szCs w:val="22"/>
          <w:highlight w:val="none"/>
        </w:rPr>
      </w:pPr>
    </w:p>
    <w:p>
      <w:pPr>
        <w:snapToGrid w:val="0"/>
        <w:spacing w:before="156" w:beforeLines="50" w:after="50"/>
        <w:rPr>
          <w:rFonts w:ascii="微软雅黑" w:hAnsi="微软雅黑" w:eastAsia="微软雅黑" w:cs="微软雅黑"/>
          <w:color w:val="auto"/>
          <w:sz w:val="22"/>
          <w:szCs w:val="22"/>
          <w:highlight w:val="none"/>
        </w:rPr>
      </w:pPr>
    </w:p>
    <w:p>
      <w:pP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br w:type="page"/>
      </w:r>
    </w:p>
    <w:p>
      <w:pPr>
        <w:snapToGrid w:val="0"/>
        <w:spacing w:before="156" w:beforeLines="50" w:after="50" w:line="480" w:lineRule="auto"/>
        <w:ind w:firstLine="440" w:firstLineChars="200"/>
        <w:jc w:val="left"/>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附件2</w:t>
      </w:r>
    </w:p>
    <w:p>
      <w:pPr>
        <w:snapToGrid w:val="0"/>
        <w:spacing w:before="156" w:beforeLines="50" w:after="50" w:line="480" w:lineRule="auto"/>
        <w:ind w:firstLine="440" w:firstLineChars="200"/>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2、法定代表人授权委托书</w:t>
      </w:r>
    </w:p>
    <w:p>
      <w:pP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致: ______</w:t>
      </w:r>
      <w:r>
        <w:rPr>
          <w:rFonts w:hint="eastAsia" w:ascii="微软雅黑" w:hAnsi="微软雅黑" w:eastAsia="微软雅黑" w:cs="微软雅黑"/>
          <w:color w:val="auto"/>
          <w:sz w:val="22"/>
          <w:szCs w:val="22"/>
          <w:highlight w:val="none"/>
          <w:u w:val="single"/>
        </w:rPr>
        <w:t>_             _</w:t>
      </w:r>
      <w:r>
        <w:rPr>
          <w:rFonts w:hint="eastAsia" w:ascii="微软雅黑" w:hAnsi="微软雅黑" w:eastAsia="微软雅黑" w:cs="微软雅黑"/>
          <w:color w:val="auto"/>
          <w:sz w:val="22"/>
          <w:szCs w:val="22"/>
          <w:highlight w:val="none"/>
        </w:rPr>
        <w:t>_（采购单位名称）</w:t>
      </w:r>
    </w:p>
    <w:p>
      <w:pP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本授权委托书声明，我</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（姓名）系</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（供应商名称）的法定代表人，现授权委托本单位的在职职工</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（姓名）为我单位代理人，以本单位的名义参加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（采购代理机构名称）组织的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（项目名称）的磋商响应活动。被授权代理人在磋商响应、开标、评标、合同谈判过程中所签署的一切文件和处理与之有关的一切事务，我均予以承认。</w:t>
      </w:r>
    </w:p>
    <w:p>
      <w:pP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被授权人无转委托权，特此委托。</w:t>
      </w:r>
    </w:p>
    <w:p>
      <w:pPr>
        <w:spacing w:line="640" w:lineRule="exact"/>
        <w:ind w:firstLine="440" w:firstLineChars="200"/>
        <w:rPr>
          <w:rFonts w:ascii="微软雅黑" w:hAnsi="微软雅黑" w:eastAsia="微软雅黑" w:cs="微软雅黑"/>
          <w:b/>
          <w:color w:val="auto"/>
          <w:sz w:val="22"/>
          <w:szCs w:val="22"/>
          <w:highlight w:val="none"/>
        </w:rPr>
      </w:pPr>
    </w:p>
    <w:p>
      <w:pPr>
        <w:spacing w:line="6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授权代理人：</w:t>
      </w:r>
      <w:r>
        <w:rPr>
          <w:rFonts w:hint="eastAsia" w:ascii="微软雅黑" w:hAnsi="微软雅黑" w:eastAsia="微软雅黑" w:cs="微软雅黑"/>
          <w:color w:val="auto"/>
          <w:sz w:val="22"/>
          <w:szCs w:val="22"/>
          <w:highlight w:val="none"/>
          <w:u w:val="single"/>
        </w:rPr>
        <w:t xml:space="preserve">   （签字）   </w:t>
      </w:r>
    </w:p>
    <w:p>
      <w:pPr>
        <w:spacing w:line="6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身份证号码：</w:t>
      </w:r>
      <w:r>
        <w:rPr>
          <w:rFonts w:hint="eastAsia" w:ascii="微软雅黑" w:hAnsi="微软雅黑" w:eastAsia="微软雅黑" w:cs="微软雅黑"/>
          <w:color w:val="auto"/>
          <w:sz w:val="22"/>
          <w:szCs w:val="22"/>
          <w:highlight w:val="none"/>
          <w:u w:val="single"/>
        </w:rPr>
        <w:t xml:space="preserve">                    </w:t>
      </w:r>
    </w:p>
    <w:p>
      <w:pPr>
        <w:spacing w:line="6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职务：</w:t>
      </w:r>
      <w:r>
        <w:rPr>
          <w:rFonts w:hint="eastAsia" w:ascii="微软雅黑" w:hAnsi="微软雅黑" w:eastAsia="微软雅黑" w:cs="微软雅黑"/>
          <w:color w:val="auto"/>
          <w:sz w:val="22"/>
          <w:szCs w:val="22"/>
          <w:highlight w:val="none"/>
          <w:u w:val="single"/>
        </w:rPr>
        <w:t xml:space="preserve">                    </w:t>
      </w:r>
    </w:p>
    <w:p>
      <w:pP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pPr>
        <w:spacing w:line="640" w:lineRule="exact"/>
        <w:ind w:firstLine="440" w:firstLineChars="200"/>
        <w:jc w:val="center"/>
        <w:outlineLvl w:val="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 xml:space="preserve">             </w:t>
      </w:r>
      <w:bookmarkStart w:id="89" w:name="_Toc11954"/>
      <w:r>
        <w:rPr>
          <w:rFonts w:hint="eastAsia" w:ascii="微软雅黑" w:hAnsi="微软雅黑" w:eastAsia="微软雅黑" w:cs="微软雅黑"/>
          <w:color w:val="auto"/>
          <w:sz w:val="22"/>
          <w:szCs w:val="22"/>
          <w:highlight w:val="none"/>
        </w:rPr>
        <w:t>法定代表人：</w:t>
      </w:r>
      <w:r>
        <w:rPr>
          <w:rFonts w:hint="eastAsia" w:ascii="微软雅黑" w:hAnsi="微软雅黑" w:eastAsia="微软雅黑" w:cs="微软雅黑"/>
          <w:color w:val="auto"/>
          <w:sz w:val="22"/>
          <w:szCs w:val="22"/>
          <w:highlight w:val="none"/>
          <w:u w:val="single"/>
        </w:rPr>
        <w:t xml:space="preserve">                       （签名或盖章）</w:t>
      </w:r>
      <w:bookmarkEnd w:id="89"/>
    </w:p>
    <w:p>
      <w:pPr>
        <w:pBdr>
          <w:bottom w:val="single" w:color="auto" w:sz="4" w:space="0"/>
        </w:pBd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spacing w:line="640" w:lineRule="exact"/>
        <w:ind w:firstLine="440" w:firstLineChars="200"/>
        <w:jc w:val="center"/>
        <w:outlineLvl w:val="0"/>
        <w:rPr>
          <w:rFonts w:ascii="微软雅黑" w:hAnsi="微软雅黑" w:eastAsia="微软雅黑" w:cs="微软雅黑"/>
          <w:color w:val="auto"/>
          <w:sz w:val="22"/>
          <w:szCs w:val="22"/>
          <w:highlight w:val="none"/>
        </w:rPr>
      </w:pPr>
      <w:bookmarkStart w:id="90" w:name="_Toc17188"/>
      <w:r>
        <w:rPr>
          <w:rFonts w:hint="eastAsia" w:ascii="微软雅黑" w:hAnsi="微软雅黑" w:eastAsia="微软雅黑" w:cs="微软雅黑"/>
          <w:color w:val="auto"/>
          <w:sz w:val="22"/>
          <w:szCs w:val="22"/>
          <w:highlight w:val="none"/>
        </w:rPr>
        <w:t>授权代理人有效身份证明扫描件粘贴处</w:t>
      </w:r>
      <w:bookmarkEnd w:id="90"/>
    </w:p>
    <w:p>
      <w:pPr>
        <w:spacing w:line="700" w:lineRule="exact"/>
        <w:ind w:firstLine="440" w:firstLineChars="200"/>
        <w:jc w:val="center"/>
        <w:rPr>
          <w:rFonts w:ascii="微软雅黑" w:hAnsi="微软雅黑" w:eastAsia="微软雅黑" w:cs="微软雅黑"/>
          <w:b/>
          <w:color w:val="auto"/>
          <w:sz w:val="22"/>
          <w:szCs w:val="22"/>
          <w:highlight w:val="none"/>
        </w:rPr>
      </w:pPr>
    </w:p>
    <w:p>
      <w:pPr>
        <w:spacing w:line="640" w:lineRule="exact"/>
        <w:ind w:firstLine="440" w:firstLineChars="200"/>
        <w:jc w:val="center"/>
        <w:rPr>
          <w:rFonts w:ascii="微软雅黑" w:hAnsi="微软雅黑" w:eastAsia="微软雅黑" w:cs="微软雅黑"/>
          <w:color w:val="auto"/>
          <w:sz w:val="22"/>
          <w:szCs w:val="22"/>
          <w:highlight w:val="none"/>
          <w:u w:val="single"/>
        </w:rPr>
      </w:pPr>
    </w:p>
    <w:p>
      <w:pPr>
        <w:spacing w:line="600" w:lineRule="exact"/>
        <w:ind w:firstLine="440" w:firstLineChars="200"/>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（后附授权代理人最近一个月个人社保缴纳证明文件）</w:t>
      </w:r>
    </w:p>
    <w:p>
      <w:pPr>
        <w:rPr>
          <w:rFonts w:ascii="微软雅黑" w:hAnsi="微软雅黑" w:eastAsia="微软雅黑" w:cs="微软雅黑"/>
          <w:b/>
          <w:bCs/>
          <w:color w:val="auto"/>
          <w:spacing w:val="24"/>
          <w:sz w:val="22"/>
          <w:szCs w:val="22"/>
          <w:highlight w:val="none"/>
        </w:rPr>
      </w:pPr>
      <w:r>
        <w:rPr>
          <w:rFonts w:hint="eastAsia" w:ascii="微软雅黑" w:hAnsi="微软雅黑" w:eastAsia="微软雅黑" w:cs="微软雅黑"/>
          <w:b/>
          <w:bCs/>
          <w:color w:val="auto"/>
          <w:spacing w:val="24"/>
          <w:sz w:val="22"/>
          <w:szCs w:val="22"/>
          <w:highlight w:val="none"/>
        </w:rPr>
        <w:br w:type="page"/>
      </w:r>
    </w:p>
    <w:p>
      <w:pPr>
        <w:spacing w:line="640" w:lineRule="exact"/>
        <w:jc w:val="left"/>
        <w:rPr>
          <w:rFonts w:hint="default" w:ascii="微软雅黑" w:hAnsi="微软雅黑" w:eastAsia="微软雅黑" w:cs="微软雅黑"/>
          <w:b/>
          <w:bCs/>
          <w:color w:val="auto"/>
          <w:spacing w:val="24"/>
          <w:sz w:val="22"/>
          <w:szCs w:val="22"/>
          <w:highlight w:val="none"/>
          <w:lang w:val="en-US" w:eastAsia="zh-CN"/>
        </w:rPr>
      </w:pPr>
      <w:r>
        <w:rPr>
          <w:rFonts w:hint="eastAsia" w:ascii="微软雅黑" w:hAnsi="微软雅黑" w:eastAsia="微软雅黑" w:cs="微软雅黑"/>
          <w:b/>
          <w:bCs/>
          <w:color w:val="auto"/>
          <w:spacing w:val="24"/>
          <w:sz w:val="22"/>
          <w:szCs w:val="22"/>
          <w:highlight w:val="none"/>
          <w:lang w:val="en-US" w:eastAsia="zh-CN"/>
        </w:rPr>
        <w:t>附件3</w:t>
      </w:r>
    </w:p>
    <w:p>
      <w:pPr>
        <w:spacing w:line="64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pacing w:val="24"/>
          <w:sz w:val="22"/>
          <w:szCs w:val="22"/>
          <w:highlight w:val="none"/>
        </w:rPr>
        <w:t>3、信用承诺书</w:t>
      </w:r>
    </w:p>
    <w:p>
      <w:pPr>
        <w:tabs>
          <w:tab w:val="left" w:pos="1650"/>
        </w:tabs>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（供应商）现参加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（采购项目）政府采购活动，郑重承诺如下：</w:t>
      </w:r>
    </w:p>
    <w:p>
      <w:pPr>
        <w:tabs>
          <w:tab w:val="left" w:pos="1650"/>
        </w:tabs>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1、对所提供的资料合法性、真实性、准确性和有效性负责；</w:t>
      </w:r>
    </w:p>
    <w:p>
      <w:pPr>
        <w:tabs>
          <w:tab w:val="left" w:pos="1650"/>
        </w:tabs>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2、严格按照国家法律、法规和规章，依法开展相关经济活动，全面履行应尽的责任和义务；</w:t>
      </w:r>
    </w:p>
    <w:p>
      <w:pPr>
        <w:tabs>
          <w:tab w:val="left" w:pos="1650"/>
        </w:tabs>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3、加强自我约束、自我规范、自我管理，不制假售假、不虚假宣传、不违约毁约、不恶意逃债、不偷税漏税，诚信依法经营；</w:t>
      </w:r>
    </w:p>
    <w:p>
      <w:pPr>
        <w:tabs>
          <w:tab w:val="left" w:pos="1650"/>
        </w:tabs>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4、自愿接受行政主管部门的依法检查、违背承诺约定将自愿承担违约责任，并接受法律法规和相关部门规章制度的惩戒和约束；</w:t>
      </w:r>
    </w:p>
    <w:p>
      <w:pPr>
        <w:tabs>
          <w:tab w:val="left" w:pos="1650"/>
        </w:tabs>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ind w:firstLine="440" w:firstLineChars="200"/>
        <w:rPr>
          <w:rFonts w:ascii="微软雅黑" w:hAnsi="微软雅黑" w:eastAsia="微软雅黑" w:cs="微软雅黑"/>
          <w:color w:val="auto"/>
          <w:sz w:val="22"/>
          <w:szCs w:val="22"/>
          <w:highlight w:val="none"/>
          <w:u w:val="single"/>
        </w:rPr>
      </w:pPr>
    </w:p>
    <w:p>
      <w:pPr>
        <w:tabs>
          <w:tab w:val="left" w:pos="1650"/>
        </w:tabs>
        <w:spacing w:line="640" w:lineRule="exact"/>
        <w:ind w:firstLine="440" w:firstLineChars="200"/>
        <w:rPr>
          <w:rFonts w:ascii="微软雅黑" w:hAnsi="微软雅黑" w:eastAsia="微软雅黑" w:cs="微软雅黑"/>
          <w:color w:val="auto"/>
          <w:sz w:val="22"/>
          <w:szCs w:val="22"/>
          <w:highlight w:val="none"/>
          <w:u w:val="single"/>
        </w:rPr>
      </w:pPr>
    </w:p>
    <w:p>
      <w:pPr>
        <w:widowControl/>
        <w:spacing w:line="640" w:lineRule="exact"/>
        <w:ind w:firstLine="440" w:firstLineChars="200"/>
        <w:jc w:val="left"/>
        <w:rPr>
          <w:rFonts w:ascii="微软雅黑" w:hAnsi="微软雅黑" w:eastAsia="微软雅黑" w:cs="微软雅黑"/>
          <w:color w:val="auto"/>
          <w:spacing w:val="-7"/>
          <w:kern w:val="0"/>
          <w:sz w:val="22"/>
          <w:szCs w:val="22"/>
          <w:highlight w:val="none"/>
        </w:rPr>
      </w:pPr>
      <w:r>
        <w:rPr>
          <w:rFonts w:hint="eastAsia" w:ascii="微软雅黑" w:hAnsi="微软雅黑" w:eastAsia="微软雅黑" w:cs="微软雅黑"/>
          <w:color w:val="auto"/>
          <w:sz w:val="22"/>
          <w:szCs w:val="22"/>
          <w:highlight w:val="none"/>
        </w:rPr>
        <w:t>统一社会信用代码：</w:t>
      </w:r>
      <w:r>
        <w:rPr>
          <w:rFonts w:hint="eastAsia" w:ascii="微软雅黑" w:hAnsi="微软雅黑" w:eastAsia="微软雅黑" w:cs="微软雅黑"/>
          <w:color w:val="auto"/>
          <w:spacing w:val="-7"/>
          <w:kern w:val="0"/>
          <w:sz w:val="22"/>
          <w:szCs w:val="22"/>
          <w:highlight w:val="none"/>
          <w:u w:val="single"/>
        </w:rPr>
        <w:t xml:space="preserve">                      </w:t>
      </w:r>
      <w:r>
        <w:rPr>
          <w:rFonts w:hint="eastAsia" w:ascii="微软雅黑" w:hAnsi="微软雅黑" w:eastAsia="微软雅黑" w:cs="微软雅黑"/>
          <w:color w:val="auto"/>
          <w:spacing w:val="-7"/>
          <w:kern w:val="0"/>
          <w:sz w:val="22"/>
          <w:szCs w:val="22"/>
          <w:highlight w:val="none"/>
        </w:rPr>
        <w:t xml:space="preserve"> </w:t>
      </w:r>
    </w:p>
    <w:p>
      <w:pPr>
        <w:widowControl/>
        <w:spacing w:line="640" w:lineRule="exact"/>
        <w:ind w:firstLine="440" w:firstLineChars="200"/>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    </w:t>
      </w:r>
    </w:p>
    <w:p>
      <w:pPr>
        <w:widowControl/>
        <w:spacing w:line="640" w:lineRule="exact"/>
        <w:ind w:right="240"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承诺单位/个人：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（盖章/签名）</w:t>
      </w:r>
    </w:p>
    <w:p>
      <w:pPr>
        <w:spacing w:line="6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时        间：     年   月   日</w:t>
      </w:r>
    </w:p>
    <w:p>
      <w:pPr>
        <w:spacing w:line="600" w:lineRule="exact"/>
        <w:ind w:firstLine="440" w:firstLineChars="200"/>
        <w:jc w:val="center"/>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lang w:val="zh-CN"/>
        </w:rPr>
        <w:br w:type="page"/>
      </w:r>
      <w:r>
        <w:rPr>
          <w:rFonts w:hint="eastAsia" w:ascii="微软雅黑" w:hAnsi="微软雅黑" w:eastAsia="微软雅黑" w:cs="微软雅黑"/>
          <w:b/>
          <w:color w:val="auto"/>
          <w:sz w:val="22"/>
          <w:szCs w:val="22"/>
          <w:highlight w:val="none"/>
          <w:lang w:val="zh-CN"/>
        </w:rPr>
        <w:t>技术文件格式：</w:t>
      </w: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供应商根据“技术文件组成及评分标准要求”自拟格式</w:t>
      </w: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rPr>
      </w:pPr>
    </w:p>
    <w:p>
      <w:pPr>
        <w:snapToGrid w:val="0"/>
        <w:spacing w:before="156" w:beforeLines="50" w:after="50"/>
        <w:ind w:firstLine="440" w:firstLineChars="200"/>
        <w:jc w:val="left"/>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附件4</w:t>
      </w:r>
    </w:p>
    <w:p>
      <w:pPr>
        <w:snapToGrid w:val="0"/>
        <w:spacing w:before="156" w:beforeLines="50" w:after="50"/>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4、磋商响应声明书</w:t>
      </w:r>
    </w:p>
    <w:p>
      <w:pPr>
        <w:snapToGrid w:val="0"/>
        <w:spacing w:before="156" w:beforeLines="50" w:after="50"/>
        <w:ind w:firstLine="440" w:firstLineChars="200"/>
        <w:jc w:val="center"/>
        <w:rPr>
          <w:rFonts w:ascii="微软雅黑" w:hAnsi="微软雅黑" w:eastAsia="微软雅黑" w:cs="微软雅黑"/>
          <w:b/>
          <w:color w:val="auto"/>
          <w:sz w:val="22"/>
          <w:szCs w:val="22"/>
          <w:highlight w:val="none"/>
        </w:rPr>
      </w:pP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致：_______（采购单位名称）：</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______（供应商名称）系中华人民共和国合法企业，经营地址                          。</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我___（姓名）系_______（供应商名称）的法定代表人，我方愿意参加贵方组织的______项目的磋商响应，为便于贵方公正、择优地确定成交人及其服务，我方就本次磋商响应有关事项郑重声明如下：</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1.我方向贵方提交的所有磋商响应文件、资料都是准确的和真实的。</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2.我方不是采购人的附属机构；在获知本项目采购信息后，与采购人聘请的为此项目提供咨询服务的公司及其附属机构没有任何联系。</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3.我方诚意提请贵方关注：近期有关磋商响应项目方面的重大决策和事项有：</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4.我方及由本人担任法定代表人的其他机构最近三年内被通报或者被处罚的违法行为有：</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以上事项如有虚假或隐瞒，我方愿意承担一切后果，并不再寻求任何旨在减轻或免除法律责任的辩解。</w:t>
      </w:r>
    </w:p>
    <w:p>
      <w:pPr>
        <w:pStyle w:val="13"/>
        <w:snapToGrid w:val="0"/>
        <w:ind w:firstLine="440" w:firstLineChars="200"/>
        <w:rPr>
          <w:rFonts w:ascii="微软雅黑" w:hAnsi="微软雅黑" w:eastAsia="微软雅黑" w:cs="微软雅黑"/>
          <w:color w:val="auto"/>
          <w:kern w:val="2"/>
          <w:sz w:val="22"/>
          <w:szCs w:val="22"/>
          <w:highlight w:val="none"/>
        </w:rPr>
      </w:pP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xml:space="preserve">法定代表人或授权代表签字：             </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 xml:space="preserve">供应商公章：                                     </w:t>
      </w:r>
    </w:p>
    <w:p>
      <w:pPr>
        <w:pStyle w:val="13"/>
        <w:snapToGrid w:val="0"/>
        <w:ind w:firstLine="440" w:firstLineChars="200"/>
        <w:rPr>
          <w:rFonts w:ascii="微软雅黑" w:hAnsi="微软雅黑" w:eastAsia="微软雅黑" w:cs="微软雅黑"/>
          <w:color w:val="auto"/>
          <w:kern w:val="2"/>
          <w:sz w:val="22"/>
          <w:szCs w:val="22"/>
          <w:highlight w:val="none"/>
        </w:rPr>
      </w:pPr>
      <w:r>
        <w:rPr>
          <w:rFonts w:hint="eastAsia" w:ascii="微软雅黑" w:hAnsi="微软雅黑" w:eastAsia="微软雅黑" w:cs="微软雅黑"/>
          <w:color w:val="auto"/>
          <w:kern w:val="2"/>
          <w:sz w:val="22"/>
          <w:szCs w:val="22"/>
          <w:highlight w:val="none"/>
        </w:rPr>
        <w:t>年    月    日</w:t>
      </w:r>
    </w:p>
    <w:p>
      <w:pPr>
        <w:snapToGrid w:val="0"/>
        <w:spacing w:before="156" w:beforeLines="50" w:after="50"/>
        <w:ind w:firstLine="440" w:firstLineChars="200"/>
        <w:rPr>
          <w:rFonts w:ascii="微软雅黑" w:hAnsi="微软雅黑" w:eastAsia="微软雅黑" w:cs="微软雅黑"/>
          <w:color w:val="auto"/>
          <w:sz w:val="22"/>
          <w:szCs w:val="22"/>
          <w:highlight w:val="none"/>
        </w:rPr>
      </w:pPr>
    </w:p>
    <w:p>
      <w:pPr>
        <w:snapToGrid w:val="0"/>
        <w:spacing w:before="156" w:beforeLines="50" w:after="50"/>
        <w:ind w:firstLine="440" w:firstLineChars="200"/>
        <w:rPr>
          <w:rFonts w:ascii="微软雅黑" w:hAnsi="微软雅黑" w:eastAsia="微软雅黑" w:cs="微软雅黑"/>
          <w:color w:val="auto"/>
          <w:sz w:val="22"/>
          <w:szCs w:val="22"/>
          <w:highlight w:val="none"/>
        </w:rPr>
      </w:pPr>
    </w:p>
    <w:p>
      <w:pPr>
        <w:snapToGrid w:val="0"/>
        <w:spacing w:before="156" w:beforeLines="50" w:after="50"/>
        <w:ind w:firstLine="440" w:firstLineChars="200"/>
        <w:rPr>
          <w:rFonts w:ascii="微软雅黑" w:hAnsi="微软雅黑" w:eastAsia="微软雅黑" w:cs="微软雅黑"/>
          <w:color w:val="auto"/>
          <w:sz w:val="22"/>
          <w:szCs w:val="22"/>
          <w:highlight w:val="none"/>
        </w:rPr>
      </w:pPr>
    </w:p>
    <w:p>
      <w:pPr>
        <w:rPr>
          <w:rFonts w:ascii="微软雅黑" w:hAnsi="微软雅黑" w:eastAsia="微软雅黑" w:cs="微软雅黑"/>
          <w:b/>
          <w:bCs/>
          <w:color w:val="auto"/>
          <w:spacing w:val="24"/>
          <w:sz w:val="22"/>
          <w:szCs w:val="22"/>
          <w:highlight w:val="none"/>
        </w:rPr>
      </w:pPr>
      <w:r>
        <w:rPr>
          <w:rFonts w:hint="eastAsia" w:ascii="微软雅黑" w:hAnsi="微软雅黑" w:eastAsia="微软雅黑" w:cs="微软雅黑"/>
          <w:b/>
          <w:bCs/>
          <w:color w:val="auto"/>
          <w:spacing w:val="24"/>
          <w:sz w:val="22"/>
          <w:szCs w:val="22"/>
          <w:highlight w:val="none"/>
        </w:rPr>
        <w:br w:type="page"/>
      </w:r>
    </w:p>
    <w:p>
      <w:pPr>
        <w:spacing w:line="600" w:lineRule="exact"/>
        <w:jc w:val="left"/>
        <w:rPr>
          <w:rFonts w:hint="default" w:ascii="微软雅黑" w:hAnsi="微软雅黑" w:eastAsia="微软雅黑" w:cs="微软雅黑"/>
          <w:b/>
          <w:bCs/>
          <w:color w:val="auto"/>
          <w:spacing w:val="24"/>
          <w:sz w:val="22"/>
          <w:szCs w:val="22"/>
          <w:highlight w:val="none"/>
          <w:lang w:val="en-US" w:eastAsia="zh-CN"/>
        </w:rPr>
      </w:pPr>
      <w:r>
        <w:rPr>
          <w:rFonts w:hint="eastAsia" w:ascii="微软雅黑" w:hAnsi="微软雅黑" w:eastAsia="微软雅黑" w:cs="微软雅黑"/>
          <w:b/>
          <w:bCs/>
          <w:color w:val="auto"/>
          <w:spacing w:val="24"/>
          <w:sz w:val="22"/>
          <w:szCs w:val="22"/>
          <w:highlight w:val="none"/>
          <w:lang w:val="en-US" w:eastAsia="zh-CN"/>
        </w:rPr>
        <w:t>附件5</w:t>
      </w:r>
    </w:p>
    <w:p>
      <w:pPr>
        <w:spacing w:line="600" w:lineRule="exact"/>
        <w:jc w:val="center"/>
        <w:rPr>
          <w:rFonts w:ascii="微软雅黑" w:hAnsi="微软雅黑" w:eastAsia="微软雅黑" w:cs="微软雅黑"/>
          <w:b/>
          <w:bCs/>
          <w:color w:val="auto"/>
          <w:spacing w:val="24"/>
          <w:sz w:val="22"/>
          <w:szCs w:val="22"/>
          <w:highlight w:val="none"/>
        </w:rPr>
      </w:pPr>
      <w:r>
        <w:rPr>
          <w:rFonts w:hint="eastAsia" w:ascii="微软雅黑" w:hAnsi="微软雅黑" w:eastAsia="微软雅黑" w:cs="微软雅黑"/>
          <w:b/>
          <w:bCs/>
          <w:color w:val="auto"/>
          <w:spacing w:val="24"/>
          <w:sz w:val="22"/>
          <w:szCs w:val="22"/>
          <w:highlight w:val="none"/>
        </w:rPr>
        <w:t>5、供应商情况表</w:t>
      </w:r>
    </w:p>
    <w:tbl>
      <w:tblPr>
        <w:tblStyle w:val="3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6"/>
        <w:gridCol w:w="1029"/>
        <w:gridCol w:w="1126"/>
        <w:gridCol w:w="171"/>
        <w:gridCol w:w="815"/>
        <w:gridCol w:w="568"/>
        <w:gridCol w:w="558"/>
        <w:gridCol w:w="991"/>
        <w:gridCol w:w="112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3" w:hRule="atLeast"/>
        </w:trPr>
        <w:tc>
          <w:tcPr>
            <w:tcW w:w="9200" w:type="dxa"/>
            <w:gridSpan w:val="10"/>
            <w:tcBorders>
              <w:top w:val="single" w:color="auto" w:sz="12" w:space="0"/>
              <w:left w:val="single" w:color="auto" w:sz="12"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3"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单位名称</w:t>
            </w:r>
          </w:p>
        </w:tc>
        <w:tc>
          <w:tcPr>
            <w:tcW w:w="7384"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2"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 址</w:t>
            </w:r>
          </w:p>
        </w:tc>
        <w:tc>
          <w:tcPr>
            <w:tcW w:w="3709"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54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p>
        </w:tc>
        <w:tc>
          <w:tcPr>
            <w:tcW w:w="2126"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3"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成立时间  </w:t>
            </w:r>
          </w:p>
        </w:tc>
        <w:tc>
          <w:tcPr>
            <w:tcW w:w="3709"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54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注册资本</w:t>
            </w:r>
          </w:p>
        </w:tc>
        <w:tc>
          <w:tcPr>
            <w:tcW w:w="2126"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3"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开户银行  </w:t>
            </w:r>
          </w:p>
        </w:tc>
        <w:tc>
          <w:tcPr>
            <w:tcW w:w="2326"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383"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帐 号</w:t>
            </w:r>
          </w:p>
        </w:tc>
        <w:tc>
          <w:tcPr>
            <w:tcW w:w="3675" w:type="dxa"/>
            <w:gridSpan w:val="4"/>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3"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tc>
        <w:tc>
          <w:tcPr>
            <w:tcW w:w="7384"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90"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公司总人数</w:t>
            </w:r>
          </w:p>
        </w:tc>
        <w:tc>
          <w:tcPr>
            <w:tcW w:w="1029" w:type="dxa"/>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126" w:type="dxa"/>
            <w:tcBorders>
              <w:top w:val="single" w:color="auto" w:sz="6" w:space="0"/>
              <w:left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管理</w:t>
            </w:r>
          </w:p>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人员</w:t>
            </w:r>
          </w:p>
        </w:tc>
        <w:tc>
          <w:tcPr>
            <w:tcW w:w="986"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126"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管理人员</w:t>
            </w:r>
          </w:p>
        </w:tc>
        <w:tc>
          <w:tcPr>
            <w:tcW w:w="991" w:type="dxa"/>
            <w:tcBorders>
              <w:top w:val="single" w:color="auto" w:sz="6" w:space="0"/>
              <w:left w:val="single" w:color="auto" w:sz="4" w:space="0"/>
              <w:bottom w:val="single" w:color="auto" w:sz="6" w:space="0"/>
              <w:right w:val="single" w:color="auto" w:sz="4"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c>
          <w:tcPr>
            <w:tcW w:w="1126" w:type="dxa"/>
            <w:tcBorders>
              <w:top w:val="single" w:color="auto" w:sz="6" w:space="0"/>
              <w:left w:val="single" w:color="auto" w:sz="4" w:space="0"/>
              <w:bottom w:val="single" w:color="auto" w:sz="6" w:space="0"/>
              <w:right w:val="single" w:color="auto" w:sz="4" w:space="0"/>
            </w:tcBorders>
            <w:vAlign w:val="center"/>
          </w:tcPr>
          <w:p>
            <w:pPr>
              <w:spacing w:line="50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实习人员</w:t>
            </w:r>
          </w:p>
          <w:p>
            <w:pPr>
              <w:spacing w:line="50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及后勤人员</w:t>
            </w:r>
          </w:p>
          <w:p>
            <w:pPr>
              <w:spacing w:line="500" w:lineRule="exact"/>
              <w:rPr>
                <w:rFonts w:ascii="微软雅黑" w:hAnsi="微软雅黑" w:eastAsia="微软雅黑" w:cs="微软雅黑"/>
                <w:color w:val="auto"/>
                <w:sz w:val="22"/>
                <w:szCs w:val="22"/>
                <w:highlight w:val="none"/>
              </w:rPr>
            </w:pPr>
          </w:p>
        </w:tc>
        <w:tc>
          <w:tcPr>
            <w:tcW w:w="1000" w:type="dxa"/>
            <w:tcBorders>
              <w:top w:val="single" w:color="auto" w:sz="6" w:space="0"/>
              <w:left w:val="single" w:color="auto" w:sz="4"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3" w:hRule="atLeast"/>
        </w:trPr>
        <w:tc>
          <w:tcPr>
            <w:tcW w:w="1816" w:type="dxa"/>
            <w:tcBorders>
              <w:top w:val="single" w:color="auto" w:sz="6" w:space="0"/>
              <w:left w:val="single" w:color="auto" w:sz="12" w:space="0"/>
              <w:bottom w:val="single" w:color="auto" w:sz="6" w:space="0"/>
              <w:right w:val="single" w:color="auto" w:sz="6"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经营范围</w:t>
            </w:r>
          </w:p>
        </w:tc>
        <w:tc>
          <w:tcPr>
            <w:tcW w:w="7384"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6" w:hRule="atLeast"/>
        </w:trPr>
        <w:tc>
          <w:tcPr>
            <w:tcW w:w="1816" w:type="dxa"/>
            <w:tcBorders>
              <w:top w:val="single" w:color="auto" w:sz="6" w:space="0"/>
              <w:left w:val="single" w:color="auto" w:sz="12" w:space="0"/>
              <w:bottom w:val="single" w:color="auto" w:sz="4" w:space="0"/>
              <w:right w:val="single" w:color="auto" w:sz="6" w:space="0"/>
            </w:tcBorders>
            <w:vAlign w:val="center"/>
          </w:tcPr>
          <w:p>
            <w:pPr>
              <w:spacing w:line="500" w:lineRule="exact"/>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企业现有的</w:t>
            </w:r>
          </w:p>
          <w:p>
            <w:pPr>
              <w:spacing w:line="500" w:lineRule="exact"/>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资质证书</w:t>
            </w:r>
          </w:p>
        </w:tc>
        <w:tc>
          <w:tcPr>
            <w:tcW w:w="7384" w:type="dxa"/>
            <w:gridSpan w:val="9"/>
            <w:tcBorders>
              <w:top w:val="single" w:color="auto" w:sz="6" w:space="0"/>
              <w:left w:val="single" w:color="auto" w:sz="6" w:space="0"/>
              <w:bottom w:val="single" w:color="auto" w:sz="4" w:space="0"/>
              <w:right w:val="single" w:color="auto" w:sz="12" w:space="0"/>
            </w:tcBorders>
            <w:vAlign w:val="center"/>
          </w:tcPr>
          <w:p>
            <w:pPr>
              <w:spacing w:line="500" w:lineRule="exact"/>
              <w:ind w:firstLine="440" w:firstLineChars="200"/>
              <w:jc w:val="center"/>
              <w:rPr>
                <w:rFonts w:ascii="微软雅黑" w:hAnsi="微软雅黑" w:eastAsia="微软雅黑" w:cs="微软雅黑"/>
                <w:color w:val="auto"/>
                <w:sz w:val="22"/>
                <w:szCs w:val="22"/>
                <w:highlight w:val="none"/>
              </w:rPr>
            </w:pPr>
          </w:p>
          <w:p>
            <w:pPr>
              <w:spacing w:line="500" w:lineRule="exact"/>
              <w:ind w:firstLine="440" w:firstLineChars="200"/>
              <w:jc w:val="center"/>
              <w:rPr>
                <w:rFonts w:ascii="微软雅黑" w:hAnsi="微软雅黑" w:eastAsia="微软雅黑" w:cs="微软雅黑"/>
                <w:color w:val="auto"/>
                <w:sz w:val="22"/>
                <w:szCs w:val="22"/>
                <w:highlight w:val="none"/>
              </w:rPr>
            </w:pPr>
          </w:p>
          <w:p>
            <w:pPr>
              <w:spacing w:line="500" w:lineRule="exact"/>
              <w:ind w:firstLine="440" w:firstLineChars="200"/>
              <w:jc w:val="center"/>
              <w:rPr>
                <w:rFonts w:ascii="微软雅黑" w:hAnsi="微软雅黑" w:eastAsia="微软雅黑" w:cs="微软雅黑"/>
                <w:color w:val="auto"/>
                <w:sz w:val="22"/>
                <w:szCs w:val="22"/>
                <w:highlight w:val="none"/>
              </w:rPr>
            </w:pPr>
          </w:p>
          <w:p>
            <w:pPr>
              <w:spacing w:line="500" w:lineRule="exact"/>
              <w:ind w:firstLine="440" w:firstLineChars="200"/>
              <w:jc w:val="center"/>
              <w:rPr>
                <w:rFonts w:ascii="微软雅黑" w:hAnsi="微软雅黑" w:eastAsia="微软雅黑" w:cs="微软雅黑"/>
                <w:color w:val="auto"/>
                <w:sz w:val="22"/>
                <w:szCs w:val="22"/>
                <w:highlight w:val="none"/>
              </w:rPr>
            </w:pPr>
          </w:p>
          <w:p>
            <w:pPr>
              <w:spacing w:line="500" w:lineRule="exact"/>
              <w:rPr>
                <w:rFonts w:ascii="微软雅黑" w:hAnsi="微软雅黑" w:eastAsia="微软雅黑" w:cs="微软雅黑"/>
                <w:color w:val="auto"/>
                <w:sz w:val="22"/>
                <w:szCs w:val="22"/>
                <w:highlight w:val="none"/>
              </w:rPr>
            </w:pPr>
          </w:p>
        </w:tc>
      </w:tr>
    </w:tbl>
    <w:p>
      <w:pPr>
        <w:autoSpaceDE w:val="0"/>
        <w:autoSpaceDN w:val="0"/>
        <w:adjustRightInd w:val="0"/>
        <w:spacing w:line="540" w:lineRule="exact"/>
        <w:ind w:firstLine="440" w:firstLineChars="200"/>
        <w:jc w:val="left"/>
        <w:rPr>
          <w:rFonts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lang w:val="zh-CN"/>
        </w:rPr>
        <w:t>注：表格不能满足时可自行增加。</w:t>
      </w:r>
    </w:p>
    <w:p>
      <w:pPr>
        <w:spacing w:before="120" w:line="42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法定代表人或授权代表签字：</w:t>
      </w:r>
      <w:r>
        <w:rPr>
          <w:rFonts w:hint="eastAsia" w:ascii="微软雅黑" w:hAnsi="微软雅黑" w:eastAsia="微软雅黑" w:cs="微软雅黑"/>
          <w:color w:val="auto"/>
          <w:sz w:val="22"/>
          <w:szCs w:val="22"/>
          <w:highlight w:val="none"/>
          <w:u w:val="single"/>
        </w:rPr>
        <w:t xml:space="preserve">             </w:t>
      </w:r>
    </w:p>
    <w:p>
      <w:pPr>
        <w:spacing w:before="120" w:after="50" w:line="42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供应商公章：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pPr>
        <w:autoSpaceDE w:val="0"/>
        <w:autoSpaceDN w:val="0"/>
        <w:adjustRightInd w:val="0"/>
        <w:spacing w:line="540" w:lineRule="exact"/>
        <w:ind w:firstLine="440" w:firstLineChars="200"/>
        <w:jc w:val="center"/>
        <w:outlineLvl w:val="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91" w:name="_Toc22394"/>
      <w:r>
        <w:rPr>
          <w:rFonts w:hint="eastAsia" w:ascii="微软雅黑" w:hAnsi="微软雅黑" w:eastAsia="微软雅黑" w:cs="微软雅黑"/>
          <w:color w:val="auto"/>
          <w:sz w:val="22"/>
          <w:szCs w:val="22"/>
          <w:highlight w:val="none"/>
        </w:rPr>
        <w:t>年    月    日</w:t>
      </w:r>
      <w:bookmarkEnd w:id="91"/>
    </w:p>
    <w:p>
      <w:pPr>
        <w:spacing w:line="600" w:lineRule="exact"/>
        <w:jc w:val="left"/>
        <w:rPr>
          <w:rFonts w:hint="default" w:ascii="微软雅黑" w:hAnsi="微软雅黑" w:eastAsia="微软雅黑" w:cs="微软雅黑"/>
          <w:b/>
          <w:bCs/>
          <w:color w:val="auto"/>
          <w:spacing w:val="24"/>
          <w:sz w:val="22"/>
          <w:szCs w:val="22"/>
          <w:highlight w:val="none"/>
          <w:lang w:val="en-US" w:eastAsia="zh-CN"/>
        </w:rPr>
      </w:pPr>
      <w:r>
        <w:rPr>
          <w:rFonts w:hint="eastAsia" w:ascii="微软雅黑" w:hAnsi="微软雅黑" w:eastAsia="微软雅黑" w:cs="微软雅黑"/>
          <w:b/>
          <w:bCs/>
          <w:color w:val="auto"/>
          <w:spacing w:val="24"/>
          <w:sz w:val="22"/>
          <w:szCs w:val="22"/>
          <w:highlight w:val="none"/>
          <w:lang w:val="en-US" w:eastAsia="zh-CN"/>
        </w:rPr>
        <w:t>附件6</w:t>
      </w:r>
    </w:p>
    <w:p>
      <w:pPr>
        <w:spacing w:line="600" w:lineRule="exact"/>
        <w:jc w:val="center"/>
        <w:rPr>
          <w:rFonts w:ascii="微软雅黑" w:hAnsi="微软雅黑" w:eastAsia="微软雅黑" w:cs="微软雅黑"/>
          <w:b/>
          <w:bCs/>
          <w:color w:val="auto"/>
          <w:spacing w:val="24"/>
          <w:sz w:val="22"/>
          <w:szCs w:val="22"/>
          <w:highlight w:val="none"/>
        </w:rPr>
      </w:pPr>
      <w:r>
        <w:rPr>
          <w:rFonts w:hint="eastAsia" w:ascii="微软雅黑" w:hAnsi="微软雅黑" w:eastAsia="微软雅黑" w:cs="微软雅黑"/>
          <w:b/>
          <w:bCs/>
          <w:color w:val="auto"/>
          <w:spacing w:val="24"/>
          <w:sz w:val="22"/>
          <w:szCs w:val="22"/>
          <w:highlight w:val="none"/>
        </w:rPr>
        <w:t>6、供应商业绩</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供应商全称（加盖公章）：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41"/>
        <w:gridCol w:w="1611"/>
        <w:gridCol w:w="1475"/>
        <w:gridCol w:w="1207"/>
        <w:gridCol w:w="161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序号</w:t>
            </w: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项目名称</w:t>
            </w: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采购人</w:t>
            </w: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合同金额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(人民币)</w:t>
            </w: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签订时间</w:t>
            </w: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使用方联系人</w:t>
            </w: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22"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794"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5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86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c>
          <w:tcPr>
            <w:tcW w:w="66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center"/>
              <w:textAlignment w:val="auto"/>
              <w:rPr>
                <w:rFonts w:ascii="微软雅黑" w:hAnsi="微软雅黑" w:eastAsia="微软雅黑" w:cs="微软雅黑"/>
                <w:bCs/>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法定代表人或其授权代理人签名或盖章：</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注：注：此表仅提供了表格形式，供应商应根据需要准备足够数量的表格来填写。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pPr>
        <w:spacing w:line="440" w:lineRule="exact"/>
        <w:jc w:val="both"/>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附件7</w:t>
      </w:r>
    </w:p>
    <w:p>
      <w:pPr>
        <w:spacing w:line="44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7.1</w:t>
      </w:r>
      <w:r>
        <w:rPr>
          <w:rFonts w:hint="eastAsia" w:ascii="微软雅黑" w:hAnsi="微软雅黑" w:eastAsia="微软雅黑" w:cs="微软雅黑"/>
          <w:b/>
          <w:bCs/>
          <w:color w:val="auto"/>
          <w:sz w:val="22"/>
          <w:szCs w:val="22"/>
          <w:highlight w:val="none"/>
        </w:rPr>
        <w:t>商务条款偏离表</w:t>
      </w:r>
    </w:p>
    <w:p>
      <w:pPr>
        <w:spacing w:line="440" w:lineRule="exact"/>
        <w:ind w:firstLine="440" w:firstLineChars="200"/>
        <w:jc w:val="center"/>
        <w:rPr>
          <w:rFonts w:ascii="微软雅黑" w:hAnsi="微软雅黑" w:eastAsia="微软雅黑" w:cs="微软雅黑"/>
          <w:b/>
          <w:bCs/>
          <w:color w:val="auto"/>
          <w:sz w:val="22"/>
          <w:szCs w:val="22"/>
          <w:highlight w:val="none"/>
        </w:rPr>
      </w:pPr>
    </w:p>
    <w:p>
      <w:pPr>
        <w:spacing w:line="440" w:lineRule="exact"/>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项目名称：</w:t>
      </w:r>
    </w:p>
    <w:p>
      <w:pPr>
        <w:spacing w:line="440" w:lineRule="exact"/>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项目编号：</w:t>
      </w:r>
    </w:p>
    <w:tbl>
      <w:tblPr>
        <w:tblStyle w:val="3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9"/>
        <w:gridCol w:w="3258"/>
        <w:gridCol w:w="3258"/>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序号</w:t>
            </w:r>
          </w:p>
        </w:tc>
        <w:tc>
          <w:tcPr>
            <w:tcW w:w="17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磋商文件的商务条款</w:t>
            </w:r>
          </w:p>
        </w:tc>
        <w:tc>
          <w:tcPr>
            <w:tcW w:w="17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磋商响应文件的商务条款</w:t>
            </w:r>
          </w:p>
        </w:tc>
        <w:tc>
          <w:tcPr>
            <w:tcW w:w="10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75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微软雅黑"/>
                <w:b w:val="0"/>
                <w:bCs/>
                <w:color w:val="auto"/>
                <w:sz w:val="22"/>
                <w:szCs w:val="22"/>
                <w:highlight w:val="none"/>
              </w:rPr>
            </w:pPr>
          </w:p>
        </w:tc>
      </w:tr>
    </w:tbl>
    <w:p>
      <w:pPr>
        <w:spacing w:line="440" w:lineRule="exact"/>
        <w:ind w:firstLine="440" w:firstLineChars="200"/>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法定代表人或其授权代理人签名或盖章：</w:t>
      </w:r>
    </w:p>
    <w:p>
      <w:pPr>
        <w:spacing w:line="440" w:lineRule="exact"/>
        <w:ind w:firstLine="440" w:firstLineChars="200"/>
        <w:rPr>
          <w:rFonts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 xml:space="preserve">                                日期：    年  月  日</w:t>
      </w:r>
    </w:p>
    <w:p>
      <w:pPr>
        <w:spacing w:line="440" w:lineRule="exact"/>
        <w:ind w:firstLine="440" w:firstLineChars="200"/>
        <w:rPr>
          <w:rFonts w:ascii="微软雅黑" w:hAnsi="微软雅黑" w:eastAsia="微软雅黑" w:cs="微软雅黑"/>
          <w:b/>
          <w:color w:val="auto"/>
          <w:sz w:val="22"/>
          <w:szCs w:val="22"/>
          <w:highlight w:val="none"/>
        </w:rPr>
      </w:pPr>
    </w:p>
    <w:p>
      <w:pPr>
        <w:spacing w:line="4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注：本表格为商务响应表情况表，不填写视同完全响应招标文件要求。此表可在不改变格式的情况下可自行制作。</w:t>
      </w:r>
    </w:p>
    <w:p>
      <w:pPr>
        <w:spacing w:line="44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color w:val="auto"/>
          <w:sz w:val="22"/>
          <w:szCs w:val="22"/>
          <w:highlight w:val="none"/>
        </w:rPr>
        <w:t>。</w:t>
      </w:r>
    </w:p>
    <w:p>
      <w:pPr>
        <w:spacing w:line="420" w:lineRule="exact"/>
        <w:ind w:firstLine="440" w:firstLineChars="200"/>
        <w:rPr>
          <w:rFonts w:ascii="微软雅黑" w:hAnsi="微软雅黑" w:eastAsia="微软雅黑" w:cs="微软雅黑"/>
          <w:color w:val="auto"/>
          <w:sz w:val="22"/>
          <w:szCs w:val="22"/>
          <w:highlight w:val="none"/>
        </w:rPr>
      </w:pPr>
    </w:p>
    <w:p>
      <w:pPr>
        <w:spacing w:line="420" w:lineRule="exact"/>
        <w:ind w:firstLine="440" w:firstLineChars="200"/>
        <w:rPr>
          <w:rFonts w:ascii="微软雅黑" w:hAnsi="微软雅黑" w:eastAsia="微软雅黑" w:cs="微软雅黑"/>
          <w:b/>
          <w:bCs/>
          <w:color w:val="auto"/>
          <w:sz w:val="22"/>
          <w:szCs w:val="22"/>
          <w:highlight w:val="none"/>
        </w:rPr>
      </w:pPr>
    </w:p>
    <w:p>
      <w:pPr>
        <w:rPr>
          <w:rFonts w:ascii="微软雅黑" w:hAnsi="微软雅黑" w:eastAsia="微软雅黑" w:cs="微软雅黑"/>
          <w:b/>
          <w:bCs/>
          <w:color w:val="auto"/>
          <w:sz w:val="22"/>
          <w:szCs w:val="22"/>
          <w:highlight w:val="none"/>
        </w:rPr>
      </w:pPr>
      <w:r>
        <w:rPr>
          <w:rFonts w:ascii="微软雅黑" w:hAnsi="微软雅黑" w:eastAsia="微软雅黑" w:cs="微软雅黑"/>
          <w:b/>
          <w:bCs/>
          <w:color w:val="auto"/>
          <w:sz w:val="22"/>
          <w:szCs w:val="22"/>
          <w:highlight w:val="none"/>
        </w:rPr>
        <w:br w:type="page"/>
      </w:r>
    </w:p>
    <w:p>
      <w:pPr>
        <w:widowControl/>
        <w:spacing w:line="320" w:lineRule="exact"/>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lang w:val="en-US" w:eastAsia="zh-CN"/>
        </w:rPr>
        <w:t>7.2</w:t>
      </w:r>
      <w:r>
        <w:rPr>
          <w:rFonts w:hint="eastAsia" w:ascii="微软雅黑" w:hAnsi="微软雅黑" w:eastAsia="微软雅黑" w:cs="微软雅黑"/>
          <w:b/>
          <w:color w:val="auto"/>
          <w:sz w:val="22"/>
          <w:szCs w:val="22"/>
          <w:highlight w:val="none"/>
        </w:rPr>
        <w:t>技术服务响应表</w:t>
      </w:r>
    </w:p>
    <w:p>
      <w:pPr>
        <w:spacing w:line="380" w:lineRule="exact"/>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项目名称：</w:t>
      </w:r>
    </w:p>
    <w:p>
      <w:pPr>
        <w:spacing w:line="380" w:lineRule="exact"/>
        <w:rPr>
          <w:rFonts w:hint="eastAsia" w:ascii="微软雅黑" w:hAnsi="微软雅黑" w:eastAsia="微软雅黑" w:cs="Times New Roman"/>
          <w:color w:val="auto"/>
          <w:sz w:val="21"/>
          <w:szCs w:val="21"/>
          <w:highlight w:val="none"/>
          <w:lang w:eastAsia="zh-CN"/>
        </w:rPr>
      </w:pPr>
      <w:r>
        <w:rPr>
          <w:rFonts w:hint="eastAsia" w:ascii="微软雅黑" w:hAnsi="微软雅黑" w:eastAsia="微软雅黑" w:cs="Times New Roman"/>
          <w:color w:val="auto"/>
          <w:sz w:val="21"/>
          <w:szCs w:val="21"/>
          <w:highlight w:val="none"/>
        </w:rPr>
        <w:t>项目编号：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r>
              <w:rPr>
                <w:rFonts w:hint="eastAsia" w:ascii="微软雅黑" w:hAnsi="微软雅黑" w:eastAsia="微软雅黑" w:cs="Times New Roman"/>
                <w:b/>
                <w:color w:val="auto"/>
                <w:sz w:val="21"/>
                <w:szCs w:val="21"/>
                <w:highlight w:val="none"/>
              </w:rPr>
              <w:t>项目</w:t>
            </w: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r>
              <w:rPr>
                <w:rFonts w:hint="eastAsia" w:ascii="微软雅黑" w:hAnsi="微软雅黑" w:eastAsia="微软雅黑" w:cs="Times New Roman"/>
                <w:b/>
                <w:color w:val="auto"/>
                <w:sz w:val="21"/>
                <w:szCs w:val="21"/>
                <w:highlight w:val="none"/>
              </w:rPr>
              <w:t>招标文件要求</w:t>
            </w: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r>
              <w:rPr>
                <w:rFonts w:hint="eastAsia" w:ascii="微软雅黑" w:hAnsi="微软雅黑" w:eastAsia="微软雅黑" w:cs="Times New Roman"/>
                <w:b/>
                <w:color w:val="auto"/>
                <w:sz w:val="21"/>
                <w:szCs w:val="21"/>
                <w:highlight w:val="none"/>
              </w:rPr>
              <w:t>偏离情况</w:t>
            </w: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r>
              <w:rPr>
                <w:rFonts w:hint="eastAsia" w:ascii="微软雅黑" w:hAnsi="微软雅黑" w:eastAsia="微软雅黑" w:cs="Times New Roman"/>
                <w:b/>
                <w:color w:val="auto"/>
                <w:sz w:val="21"/>
                <w:szCs w:val="21"/>
                <w:highlight w:val="none"/>
                <w:lang w:eastAsia="zh-CN"/>
              </w:rPr>
              <w:t>磋商响应单位</w:t>
            </w:r>
            <w:r>
              <w:rPr>
                <w:rFonts w:hint="eastAsia" w:ascii="微软雅黑" w:hAnsi="微软雅黑" w:eastAsia="微软雅黑" w:cs="Times New Roman"/>
                <w:b/>
                <w:color w:val="auto"/>
                <w:sz w:val="21"/>
                <w:szCs w:val="21"/>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95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1725"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c>
          <w:tcPr>
            <w:tcW w:w="2700" w:type="dxa"/>
            <w:noWrap w:val="0"/>
            <w:vAlign w:val="center"/>
          </w:tcPr>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p>
            <w:pPr>
              <w:adjustRightInd w:val="0"/>
              <w:snapToGrid w:val="0"/>
              <w:spacing w:line="380" w:lineRule="exact"/>
              <w:jc w:val="center"/>
              <w:rPr>
                <w:rFonts w:hint="eastAsia" w:ascii="微软雅黑" w:hAnsi="微软雅黑" w:eastAsia="微软雅黑" w:cs="Times New Roman"/>
                <w:b/>
                <w:color w:val="auto"/>
                <w:sz w:val="21"/>
                <w:szCs w:val="21"/>
                <w:highlight w:val="none"/>
              </w:rPr>
            </w:pPr>
          </w:p>
        </w:tc>
      </w:tr>
    </w:tbl>
    <w:p>
      <w:pPr>
        <w:adjustRightInd w:val="0"/>
        <w:snapToGrid w:val="0"/>
        <w:spacing w:line="380" w:lineRule="exact"/>
        <w:jc w:val="left"/>
        <w:rPr>
          <w:rFonts w:hint="eastAsia" w:ascii="微软雅黑" w:hAnsi="微软雅黑" w:eastAsia="微软雅黑" w:cs="Times New Roman"/>
          <w:color w:val="auto"/>
          <w:sz w:val="24"/>
          <w:highlight w:val="none"/>
        </w:rPr>
      </w:pPr>
    </w:p>
    <w:p>
      <w:pPr>
        <w:adjustRightInd w:val="0"/>
        <w:snapToGrid w:val="0"/>
        <w:spacing w:line="380" w:lineRule="exact"/>
        <w:ind w:right="420"/>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授</w:t>
      </w:r>
      <w:r>
        <w:rPr>
          <w:rFonts w:ascii="微软雅黑" w:hAnsi="微软雅黑" w:eastAsia="微软雅黑" w:cs="Times New Roman"/>
          <w:color w:val="auto"/>
          <w:sz w:val="21"/>
          <w:szCs w:val="21"/>
          <w:highlight w:val="none"/>
        </w:rPr>
        <w:t>权代表</w:t>
      </w:r>
      <w:r>
        <w:rPr>
          <w:rFonts w:hint="eastAsia" w:ascii="微软雅黑" w:hAnsi="微软雅黑" w:eastAsia="微软雅黑" w:cs="Times New Roman"/>
          <w:color w:val="auto"/>
          <w:sz w:val="21"/>
          <w:szCs w:val="21"/>
          <w:highlight w:val="none"/>
        </w:rPr>
        <w:t>签名：</w:t>
      </w:r>
      <w:r>
        <w:rPr>
          <w:rFonts w:hint="eastAsia" w:ascii="微软雅黑" w:hAnsi="微软雅黑" w:eastAsia="微软雅黑" w:cs="Times New Roman"/>
          <w:color w:val="auto"/>
          <w:sz w:val="21"/>
          <w:szCs w:val="21"/>
          <w:highlight w:val="none"/>
          <w:u w:val="single"/>
        </w:rPr>
        <w:t xml:space="preserve">          </w:t>
      </w:r>
    </w:p>
    <w:p>
      <w:pPr>
        <w:adjustRightInd w:val="0"/>
        <w:snapToGrid w:val="0"/>
        <w:spacing w:line="380" w:lineRule="exact"/>
        <w:ind w:right="420"/>
        <w:rPr>
          <w:rFonts w:hint="eastAsia" w:ascii="微软雅黑" w:hAnsi="微软雅黑" w:eastAsia="微软雅黑" w:cs="Times New Roman"/>
          <w:color w:val="auto"/>
          <w:sz w:val="21"/>
          <w:szCs w:val="21"/>
          <w:highlight w:val="none"/>
          <w:u w:val="single"/>
        </w:rPr>
      </w:pPr>
      <w:r>
        <w:rPr>
          <w:rFonts w:hint="eastAsia" w:ascii="微软雅黑" w:hAnsi="微软雅黑" w:eastAsia="微软雅黑" w:cs="Times New Roman"/>
          <w:color w:val="auto"/>
          <w:sz w:val="21"/>
          <w:szCs w:val="21"/>
          <w:highlight w:val="none"/>
          <w:lang w:eastAsia="zh-CN"/>
        </w:rPr>
        <w:t>磋商响应单位</w:t>
      </w:r>
      <w:r>
        <w:rPr>
          <w:rFonts w:hint="eastAsia" w:ascii="微软雅黑" w:hAnsi="微软雅黑" w:eastAsia="微软雅黑" w:cs="Times New Roman"/>
          <w:color w:val="auto"/>
          <w:sz w:val="21"/>
          <w:szCs w:val="21"/>
          <w:highlight w:val="none"/>
        </w:rPr>
        <w:t>盖章：</w:t>
      </w:r>
      <w:r>
        <w:rPr>
          <w:rFonts w:hint="eastAsia" w:ascii="微软雅黑" w:hAnsi="微软雅黑" w:eastAsia="微软雅黑" w:cs="Times New Roman"/>
          <w:color w:val="auto"/>
          <w:sz w:val="21"/>
          <w:szCs w:val="21"/>
          <w:highlight w:val="none"/>
          <w:u w:val="single"/>
        </w:rPr>
        <w:t xml:space="preserve">           </w:t>
      </w:r>
    </w:p>
    <w:p>
      <w:pPr>
        <w:adjustRightInd w:val="0"/>
        <w:snapToGrid w:val="0"/>
        <w:spacing w:line="380" w:lineRule="exact"/>
        <w:ind w:right="420" w:firstLine="420" w:firstLineChars="200"/>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 xml:space="preserve">年  </w:t>
      </w:r>
      <w:r>
        <w:rPr>
          <w:rFonts w:ascii="微软雅黑" w:hAnsi="微软雅黑" w:eastAsia="微软雅黑" w:cs="Times New Roman"/>
          <w:color w:val="auto"/>
          <w:sz w:val="21"/>
          <w:szCs w:val="21"/>
          <w:highlight w:val="none"/>
        </w:rPr>
        <w:t xml:space="preserve">  </w:t>
      </w:r>
      <w:r>
        <w:rPr>
          <w:rFonts w:hint="eastAsia" w:ascii="微软雅黑" w:hAnsi="微软雅黑" w:eastAsia="微软雅黑" w:cs="Times New Roman"/>
          <w:color w:val="auto"/>
          <w:sz w:val="21"/>
          <w:szCs w:val="21"/>
          <w:highlight w:val="none"/>
        </w:rPr>
        <w:t xml:space="preserve">月  </w:t>
      </w:r>
      <w:r>
        <w:rPr>
          <w:rFonts w:ascii="微软雅黑" w:hAnsi="微软雅黑" w:eastAsia="微软雅黑" w:cs="Times New Roman"/>
          <w:color w:val="auto"/>
          <w:sz w:val="21"/>
          <w:szCs w:val="21"/>
          <w:highlight w:val="none"/>
        </w:rPr>
        <w:t xml:space="preserve">  </w:t>
      </w:r>
      <w:r>
        <w:rPr>
          <w:rFonts w:hint="eastAsia" w:ascii="微软雅黑" w:hAnsi="微软雅黑" w:eastAsia="微软雅黑" w:cs="Times New Roman"/>
          <w:color w:val="auto"/>
          <w:sz w:val="21"/>
          <w:szCs w:val="21"/>
          <w:highlight w:val="none"/>
        </w:rPr>
        <w:t>日</w:t>
      </w:r>
    </w:p>
    <w:p>
      <w:pPr>
        <w:adjustRightInd w:val="0"/>
        <w:snapToGrid w:val="0"/>
        <w:spacing w:line="380" w:lineRule="exact"/>
        <w:rPr>
          <w:rFonts w:hint="eastAsia" w:ascii="微软雅黑" w:hAnsi="微软雅黑" w:eastAsia="微软雅黑" w:cs="Times New Roman"/>
          <w:color w:val="auto"/>
          <w:sz w:val="21"/>
          <w:szCs w:val="21"/>
          <w:highlight w:val="none"/>
        </w:rPr>
      </w:pPr>
    </w:p>
    <w:p>
      <w:pPr>
        <w:spacing w:line="480" w:lineRule="exact"/>
        <w:ind w:firstLine="420" w:firstLineChars="200"/>
        <w:rPr>
          <w:rFonts w:hint="eastAsia"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注：1、偏离情况填正偏离、负偏离、无偏离。</w:t>
      </w:r>
    </w:p>
    <w:p>
      <w:pPr>
        <w:spacing w:line="340" w:lineRule="exact"/>
        <w:ind w:firstLine="840" w:firstLineChars="400"/>
        <w:rPr>
          <w:rFonts w:ascii="微软雅黑" w:hAnsi="微软雅黑" w:eastAsia="微软雅黑" w:cs="Times New Roman"/>
          <w:color w:val="auto"/>
          <w:sz w:val="21"/>
          <w:szCs w:val="21"/>
          <w:highlight w:val="none"/>
        </w:rPr>
      </w:pPr>
      <w:r>
        <w:rPr>
          <w:rFonts w:hint="eastAsia" w:ascii="微软雅黑" w:hAnsi="微软雅黑" w:eastAsia="微软雅黑" w:cs="Times New Roman"/>
          <w:color w:val="auto"/>
          <w:sz w:val="21"/>
          <w:szCs w:val="21"/>
          <w:highlight w:val="none"/>
        </w:rPr>
        <w:t>2、本表格为</w:t>
      </w:r>
      <w:r>
        <w:rPr>
          <w:rFonts w:hint="eastAsia" w:ascii="微软雅黑" w:hAnsi="微软雅黑" w:eastAsia="微软雅黑" w:cs="Times New Roman"/>
          <w:bCs/>
          <w:color w:val="auto"/>
          <w:sz w:val="21"/>
          <w:szCs w:val="21"/>
          <w:highlight w:val="none"/>
        </w:rPr>
        <w:t>技术服务响应表情况表，不填写视同完全响应招标文件要求。</w:t>
      </w:r>
      <w:r>
        <w:rPr>
          <w:rFonts w:hint="eastAsia" w:ascii="微软雅黑" w:hAnsi="微软雅黑" w:eastAsia="微软雅黑" w:cs="Times New Roman"/>
          <w:color w:val="auto"/>
          <w:sz w:val="21"/>
          <w:szCs w:val="21"/>
          <w:highlight w:val="none"/>
        </w:rPr>
        <w:t>此表可在不改变格式的情况下可自行制作。</w:t>
      </w:r>
    </w:p>
    <w:p>
      <w:pPr>
        <w:autoSpaceDE w:val="0"/>
        <w:autoSpaceDN w:val="0"/>
        <w:adjustRightInd w:val="0"/>
        <w:spacing w:line="540" w:lineRule="exact"/>
        <w:jc w:val="left"/>
        <w:rPr>
          <w:rFonts w:ascii="微软雅黑" w:hAnsi="微软雅黑" w:eastAsia="微软雅黑" w:cs="微软雅黑"/>
          <w:b/>
          <w:color w:val="auto"/>
          <w:sz w:val="24"/>
          <w:highlight w:val="none"/>
        </w:rPr>
        <w:sectPr>
          <w:headerReference r:id="rId3" w:type="default"/>
          <w:footerReference r:id="rId4" w:type="default"/>
          <w:pgSz w:w="11906" w:h="16838"/>
          <w:pgMar w:top="1417" w:right="1417" w:bottom="1417" w:left="1417" w:header="851" w:footer="992" w:gutter="0"/>
          <w:pgNumType w:fmt="decimal"/>
          <w:cols w:space="720" w:num="1"/>
          <w:docGrid w:linePitch="312" w:charSpace="0"/>
        </w:sectPr>
      </w:pPr>
    </w:p>
    <w:p>
      <w:pPr>
        <w:spacing w:line="420" w:lineRule="exact"/>
        <w:ind w:firstLine="440" w:firstLineChars="200"/>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附件8</w:t>
      </w:r>
    </w:p>
    <w:p>
      <w:pPr>
        <w:spacing w:line="560" w:lineRule="exact"/>
        <w:ind w:right="420" w:rightChars="200"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8、报价封面格式：</w:t>
      </w:r>
    </w:p>
    <w:p>
      <w:pPr>
        <w:autoSpaceDE w:val="0"/>
        <w:autoSpaceDN w:val="0"/>
        <w:adjustRightInd w:val="0"/>
        <w:spacing w:line="36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36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360" w:lineRule="exact"/>
        <w:ind w:firstLine="440" w:firstLineChars="200"/>
        <w:jc w:val="right"/>
        <w:rPr>
          <w:rFonts w:ascii="微软雅黑" w:hAnsi="微软雅黑" w:eastAsia="微软雅黑" w:cs="微软雅黑"/>
          <w:b/>
          <w:color w:val="auto"/>
          <w:sz w:val="22"/>
          <w:szCs w:val="22"/>
          <w:highlight w:val="none"/>
        </w:rPr>
      </w:pPr>
    </w:p>
    <w:p>
      <w:pPr>
        <w:autoSpaceDE w:val="0"/>
        <w:autoSpaceDN w:val="0"/>
        <w:adjustRightInd w:val="0"/>
        <w:spacing w:line="360" w:lineRule="exact"/>
        <w:ind w:firstLine="440" w:firstLineChars="200"/>
        <w:rPr>
          <w:rFonts w:ascii="微软雅黑" w:hAnsi="微软雅黑" w:eastAsia="微软雅黑" w:cs="微软雅黑"/>
          <w:b/>
          <w:color w:val="auto"/>
          <w:sz w:val="22"/>
          <w:szCs w:val="22"/>
          <w:highlight w:val="none"/>
        </w:rPr>
      </w:pPr>
    </w:p>
    <w:p>
      <w:pPr>
        <w:autoSpaceDE w:val="0"/>
        <w:autoSpaceDN w:val="0"/>
        <w:adjustRightInd w:val="0"/>
        <w:spacing w:line="540" w:lineRule="exact"/>
        <w:rPr>
          <w:rFonts w:ascii="微软雅黑" w:hAnsi="微软雅黑" w:eastAsia="微软雅黑" w:cs="微软雅黑"/>
          <w:b/>
          <w:color w:val="auto"/>
          <w:sz w:val="22"/>
          <w:szCs w:val="22"/>
          <w:highlight w:val="none"/>
        </w:rPr>
      </w:pPr>
    </w:p>
    <w:p>
      <w:pPr>
        <w:autoSpaceDE w:val="0"/>
        <w:autoSpaceDN w:val="0"/>
        <w:adjustRightInd w:val="0"/>
        <w:spacing w:line="540" w:lineRule="exact"/>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报价文件</w:t>
      </w:r>
    </w:p>
    <w:p>
      <w:pPr>
        <w:autoSpaceDE w:val="0"/>
        <w:autoSpaceDN w:val="0"/>
        <w:adjustRightInd w:val="0"/>
        <w:spacing w:line="540" w:lineRule="exact"/>
        <w:jc w:val="center"/>
        <w:rPr>
          <w:rFonts w:ascii="微软雅黑" w:hAnsi="微软雅黑" w:eastAsia="微软雅黑" w:cs="微软雅黑"/>
          <w:b/>
          <w:color w:val="auto"/>
          <w:sz w:val="22"/>
          <w:szCs w:val="22"/>
          <w:highlight w:val="none"/>
        </w:rPr>
      </w:pPr>
    </w:p>
    <w:p>
      <w:pPr>
        <w:autoSpaceDE w:val="0"/>
        <w:autoSpaceDN w:val="0"/>
        <w:adjustRightInd w:val="0"/>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项目名称： </w:t>
      </w:r>
    </w:p>
    <w:p>
      <w:pPr>
        <w:autoSpaceDE w:val="0"/>
        <w:autoSpaceDN w:val="0"/>
        <w:adjustRightInd w:val="0"/>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p>
      <w:pPr>
        <w:autoSpaceDE w:val="0"/>
        <w:autoSpaceDN w:val="0"/>
        <w:adjustRightInd w:val="0"/>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供应商名称：</w:t>
      </w:r>
    </w:p>
    <w:p>
      <w:pPr>
        <w:autoSpaceDE w:val="0"/>
        <w:autoSpaceDN w:val="0"/>
        <w:adjustRightInd w:val="0"/>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供应商地址：</w:t>
      </w: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lang w:val="zh-CN"/>
        </w:rPr>
      </w:pPr>
    </w:p>
    <w:p>
      <w:pPr>
        <w:autoSpaceDE w:val="0"/>
        <w:autoSpaceDN w:val="0"/>
        <w:adjustRightInd w:val="0"/>
        <w:spacing w:line="540" w:lineRule="exact"/>
        <w:ind w:firstLine="440" w:firstLineChars="200"/>
        <w:jc w:val="left"/>
        <w:rPr>
          <w:rFonts w:ascii="微软雅黑" w:hAnsi="微软雅黑" w:eastAsia="微软雅黑" w:cs="微软雅黑"/>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right="140" w:firstLine="440" w:firstLineChars="2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left"/>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附件9</w:t>
      </w:r>
    </w:p>
    <w:p>
      <w:pPr>
        <w:autoSpaceDE w:val="0"/>
        <w:autoSpaceDN w:val="0"/>
        <w:adjustRightInd w:val="0"/>
        <w:spacing w:line="540" w:lineRule="exact"/>
        <w:ind w:firstLine="440" w:firstLineChars="200"/>
        <w:jc w:val="left"/>
        <w:rPr>
          <w:rFonts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rPr>
        <w:t>9</w:t>
      </w:r>
      <w:r>
        <w:rPr>
          <w:rFonts w:hint="eastAsia" w:ascii="微软雅黑" w:hAnsi="微软雅黑" w:eastAsia="微软雅黑" w:cs="微软雅黑"/>
          <w:b/>
          <w:color w:val="auto"/>
          <w:sz w:val="22"/>
          <w:szCs w:val="22"/>
          <w:highlight w:val="none"/>
          <w:lang w:val="zh-CN"/>
        </w:rPr>
        <w:t>、报价文件目录（具体参考第三章供应商须知“磋商响应文件的组成”）</w:t>
      </w:r>
    </w:p>
    <w:p>
      <w:pPr>
        <w:autoSpaceDE w:val="0"/>
        <w:autoSpaceDN w:val="0"/>
        <w:adjustRightInd w:val="0"/>
        <w:spacing w:line="540" w:lineRule="exact"/>
        <w:ind w:firstLine="440" w:firstLineChars="200"/>
        <w:jc w:val="left"/>
        <w:outlineLvl w:val="0"/>
        <w:rPr>
          <w:rFonts w:ascii="微软雅黑" w:hAnsi="微软雅黑" w:eastAsia="微软雅黑" w:cs="微软雅黑"/>
          <w:color w:val="auto"/>
          <w:sz w:val="22"/>
          <w:szCs w:val="22"/>
          <w:highlight w:val="none"/>
        </w:rPr>
      </w:pPr>
      <w:bookmarkStart w:id="92" w:name="_Toc4458"/>
      <w:r>
        <w:rPr>
          <w:rFonts w:hint="eastAsia" w:ascii="微软雅黑" w:hAnsi="微软雅黑" w:eastAsia="微软雅黑" w:cs="微软雅黑"/>
          <w:color w:val="auto"/>
          <w:sz w:val="22"/>
          <w:szCs w:val="22"/>
          <w:highlight w:val="none"/>
        </w:rPr>
        <w:t>（1）磋商响应函；</w:t>
      </w:r>
      <w:bookmarkEnd w:id="92"/>
      <w:r>
        <w:rPr>
          <w:rFonts w:hint="eastAsia" w:ascii="微软雅黑" w:hAnsi="微软雅黑" w:eastAsia="微软雅黑" w:cs="微软雅黑"/>
          <w:color w:val="auto"/>
          <w:sz w:val="22"/>
          <w:szCs w:val="22"/>
          <w:highlight w:val="none"/>
        </w:rPr>
        <w:t xml:space="preserve"> </w:t>
      </w:r>
    </w:p>
    <w:p>
      <w:pPr>
        <w:autoSpaceDE w:val="0"/>
        <w:autoSpaceDN w:val="0"/>
        <w:adjustRightInd w:val="0"/>
        <w:spacing w:line="540" w:lineRule="exact"/>
        <w:ind w:firstLine="440" w:firstLineChars="200"/>
        <w:jc w:val="left"/>
        <w:outlineLvl w:val="0"/>
        <w:rPr>
          <w:rFonts w:ascii="微软雅黑" w:hAnsi="微软雅黑" w:eastAsia="微软雅黑" w:cs="微软雅黑"/>
          <w:color w:val="auto"/>
          <w:sz w:val="22"/>
          <w:szCs w:val="22"/>
          <w:highlight w:val="none"/>
        </w:rPr>
      </w:pPr>
      <w:bookmarkStart w:id="93" w:name="_Toc31477"/>
      <w:r>
        <w:rPr>
          <w:rFonts w:hint="eastAsia" w:ascii="微软雅黑" w:hAnsi="微软雅黑" w:eastAsia="微软雅黑" w:cs="微软雅黑"/>
          <w:color w:val="auto"/>
          <w:sz w:val="22"/>
          <w:szCs w:val="22"/>
          <w:highlight w:val="none"/>
        </w:rPr>
        <w:t>（2）开标一览表；</w:t>
      </w:r>
      <w:bookmarkEnd w:id="93"/>
    </w:p>
    <w:p>
      <w:pPr>
        <w:autoSpaceDE w:val="0"/>
        <w:autoSpaceDN w:val="0"/>
        <w:adjustRightInd w:val="0"/>
        <w:spacing w:line="540" w:lineRule="exact"/>
        <w:ind w:firstLine="440" w:firstLineChars="200"/>
        <w:jc w:val="left"/>
        <w:outlineLvl w:val="0"/>
        <w:rPr>
          <w:rFonts w:ascii="微软雅黑" w:hAnsi="微软雅黑" w:eastAsia="微软雅黑" w:cs="微软雅黑"/>
          <w:color w:val="auto"/>
          <w:sz w:val="22"/>
          <w:szCs w:val="22"/>
          <w:highlight w:val="none"/>
        </w:rPr>
      </w:pPr>
      <w:bookmarkStart w:id="94" w:name="_Toc17329"/>
      <w:r>
        <w:rPr>
          <w:rFonts w:hint="eastAsia" w:ascii="微软雅黑" w:hAnsi="微软雅黑" w:eastAsia="微软雅黑" w:cs="微软雅黑"/>
          <w:color w:val="auto"/>
          <w:sz w:val="22"/>
          <w:szCs w:val="22"/>
          <w:highlight w:val="none"/>
        </w:rPr>
        <w:t>（3）磋商响应报价明细表；</w:t>
      </w:r>
      <w:bookmarkEnd w:id="94"/>
    </w:p>
    <w:p>
      <w:pPr>
        <w:autoSpaceDE w:val="0"/>
        <w:autoSpaceDN w:val="0"/>
        <w:adjustRightInd w:val="0"/>
        <w:spacing w:line="540" w:lineRule="exact"/>
        <w:ind w:firstLine="440" w:firstLineChars="200"/>
        <w:jc w:val="left"/>
        <w:outlineLvl w:val="0"/>
        <w:rPr>
          <w:rFonts w:ascii="微软雅黑" w:hAnsi="微软雅黑" w:eastAsia="微软雅黑" w:cs="微软雅黑"/>
          <w:color w:val="auto"/>
          <w:sz w:val="22"/>
          <w:szCs w:val="22"/>
          <w:highlight w:val="none"/>
        </w:rPr>
      </w:pPr>
      <w:bookmarkStart w:id="95" w:name="_Toc14105"/>
      <w:r>
        <w:rPr>
          <w:rFonts w:hint="eastAsia" w:ascii="微软雅黑" w:hAnsi="微软雅黑" w:eastAsia="微软雅黑" w:cs="微软雅黑"/>
          <w:color w:val="auto"/>
          <w:sz w:val="22"/>
          <w:szCs w:val="22"/>
          <w:highlight w:val="none"/>
        </w:rPr>
        <w:t>（4）中小企业声明函；</w:t>
      </w:r>
      <w:bookmarkEnd w:id="95"/>
    </w:p>
    <w:p>
      <w:pPr>
        <w:autoSpaceDE w:val="0"/>
        <w:autoSpaceDN w:val="0"/>
        <w:adjustRightInd w:val="0"/>
        <w:spacing w:line="540" w:lineRule="exact"/>
        <w:ind w:firstLine="440" w:firstLineChars="200"/>
        <w:jc w:val="left"/>
        <w:outlineLvl w:val="0"/>
        <w:rPr>
          <w:rFonts w:ascii="微软雅黑" w:hAnsi="微软雅黑" w:eastAsia="微软雅黑" w:cs="微软雅黑"/>
          <w:color w:val="auto"/>
          <w:sz w:val="22"/>
          <w:szCs w:val="22"/>
          <w:highlight w:val="none"/>
        </w:rPr>
      </w:pPr>
      <w:bookmarkStart w:id="96" w:name="_Toc6907"/>
      <w:r>
        <w:rPr>
          <w:rFonts w:hint="eastAsia" w:ascii="微软雅黑" w:hAnsi="微软雅黑" w:eastAsia="微软雅黑" w:cs="微软雅黑"/>
          <w:color w:val="auto"/>
          <w:sz w:val="22"/>
          <w:szCs w:val="22"/>
          <w:highlight w:val="none"/>
        </w:rPr>
        <w:t>（5）采购代理费承诺函；</w:t>
      </w:r>
      <w:bookmarkEnd w:id="96"/>
    </w:p>
    <w:p>
      <w:pPr>
        <w:autoSpaceDE w:val="0"/>
        <w:autoSpaceDN w:val="0"/>
        <w:adjustRightInd w:val="0"/>
        <w:spacing w:line="540" w:lineRule="exact"/>
        <w:ind w:firstLine="440" w:firstLineChars="200"/>
        <w:jc w:val="left"/>
        <w:outlineLvl w:val="0"/>
        <w:rPr>
          <w:rFonts w:ascii="微软雅黑" w:hAnsi="微软雅黑" w:eastAsia="微软雅黑" w:cs="微软雅黑"/>
          <w:b/>
          <w:color w:val="auto"/>
          <w:sz w:val="22"/>
          <w:szCs w:val="22"/>
          <w:highlight w:val="none"/>
        </w:rPr>
      </w:pPr>
      <w:bookmarkStart w:id="97" w:name="_Toc58"/>
      <w:r>
        <w:rPr>
          <w:rFonts w:hint="eastAsia" w:ascii="微软雅黑" w:hAnsi="微软雅黑" w:eastAsia="微软雅黑" w:cs="微软雅黑"/>
          <w:color w:val="auto"/>
          <w:sz w:val="22"/>
          <w:szCs w:val="22"/>
          <w:highlight w:val="none"/>
        </w:rPr>
        <w:t>（6）供应商针对报价需要说明的其他文件和说明。</w:t>
      </w:r>
      <w:bookmarkEnd w:id="97"/>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autoSpaceDE w:val="0"/>
        <w:autoSpaceDN w:val="0"/>
        <w:adjustRightInd w:val="0"/>
        <w:spacing w:line="540" w:lineRule="exact"/>
        <w:ind w:firstLine="440" w:firstLineChars="200"/>
        <w:jc w:val="center"/>
        <w:rPr>
          <w:rFonts w:ascii="微软雅黑" w:hAnsi="微软雅黑" w:eastAsia="微软雅黑" w:cs="微软雅黑"/>
          <w:b/>
          <w:color w:val="auto"/>
          <w:sz w:val="22"/>
          <w:szCs w:val="22"/>
          <w:highlight w:val="none"/>
          <w:lang w:val="zh-CN"/>
        </w:rPr>
      </w:pPr>
    </w:p>
    <w:p>
      <w:pPr>
        <w:widowControl/>
        <w:jc w:val="left"/>
        <w:rPr>
          <w:rFonts w:ascii="微软雅黑" w:hAnsi="微软雅黑" w:eastAsia="微软雅黑" w:cs="微软雅黑"/>
          <w:b/>
          <w:color w:val="auto"/>
          <w:sz w:val="22"/>
          <w:szCs w:val="22"/>
          <w:highlight w:val="none"/>
          <w:lang w:val="zh-CN"/>
        </w:rPr>
      </w:pPr>
    </w:p>
    <w:p>
      <w:pPr>
        <w:widowControl/>
        <w:spacing w:line="320" w:lineRule="exact"/>
        <w:jc w:val="center"/>
        <w:rPr>
          <w:rFonts w:hint="eastAsia"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lang w:val="zh-CN"/>
        </w:rPr>
        <w:br w:type="page"/>
      </w:r>
    </w:p>
    <w:p>
      <w:pPr>
        <w:widowControl/>
        <w:spacing w:line="320" w:lineRule="exact"/>
        <w:jc w:val="left"/>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附件10</w:t>
      </w:r>
    </w:p>
    <w:p>
      <w:pPr>
        <w:widowControl/>
        <w:spacing w:line="320" w:lineRule="exact"/>
        <w:jc w:val="center"/>
        <w:rPr>
          <w:rFonts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rPr>
        <w:t>10</w:t>
      </w:r>
      <w:r>
        <w:rPr>
          <w:rFonts w:hint="eastAsia" w:ascii="微软雅黑" w:hAnsi="微软雅黑" w:eastAsia="微软雅黑" w:cs="微软雅黑"/>
          <w:b/>
          <w:color w:val="auto"/>
          <w:sz w:val="22"/>
          <w:szCs w:val="22"/>
          <w:highlight w:val="none"/>
          <w:lang w:val="zh-CN"/>
        </w:rPr>
        <w:t>、磋商响应函</w:t>
      </w:r>
    </w:p>
    <w:p>
      <w:pPr>
        <w:adjustRightInd w:val="0"/>
        <w:snapToGrid w:val="0"/>
        <w:spacing w:before="120" w:after="120" w:line="32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致：</w:t>
      </w:r>
      <w:r>
        <w:rPr>
          <w:rFonts w:hint="eastAsia" w:ascii="微软雅黑" w:hAnsi="微软雅黑" w:eastAsia="微软雅黑" w:cs="微软雅黑"/>
          <w:b/>
          <w:color w:val="auto"/>
          <w:sz w:val="22"/>
          <w:szCs w:val="22"/>
          <w:highlight w:val="none"/>
          <w:u w:val="single"/>
        </w:rPr>
        <w:t xml:space="preserve">                 </w:t>
      </w:r>
      <w:r>
        <w:rPr>
          <w:rFonts w:hint="eastAsia" w:ascii="微软雅黑" w:hAnsi="微软雅黑" w:eastAsia="微软雅黑" w:cs="微软雅黑"/>
          <w:b/>
          <w:color w:val="auto"/>
          <w:sz w:val="22"/>
          <w:szCs w:val="22"/>
          <w:highlight w:val="none"/>
        </w:rPr>
        <w:t>（采购单位名称）：</w:t>
      </w:r>
    </w:p>
    <w:p>
      <w:pPr>
        <w:autoSpaceDE w:val="0"/>
        <w:autoSpaceDN w:val="0"/>
        <w:adjustRightInd w:val="0"/>
        <w:spacing w:line="50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b/>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（供应商全称）授权</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 xml:space="preserve"> （授权代表名称）</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（职务、职称）为授权代表，参加贵方组织的</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（采购项目名称）（括号内填项目编号）采购的有关活动，并对</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 xml:space="preserve">项目（采购项目名称）进行磋商响应。为此：    </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1、供应商须提供须知规定的全部磋商响应文件（电子磋商响应文件、数据电子备份磋商响应文件（U盘）），包括《技术、商务、资信及其他文件》、《报价文件》，其中数据电子备份磋商响应文件（U盘）各</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份，应与电子磋商响应文件内容、格式一致；电子磋商响应文件确认已上传</w:t>
      </w:r>
      <w:r>
        <w:rPr>
          <w:rFonts w:hint="eastAsia" w:ascii="微软雅黑" w:hAnsi="微软雅黑" w:eastAsia="微软雅黑" w:cs="微软雅黑"/>
          <w:color w:val="auto"/>
          <w:sz w:val="22"/>
          <w:szCs w:val="22"/>
          <w:highlight w:val="none"/>
        </w:rPr>
        <w:t>。</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2、保证遵守采购文件中的有关规定和收费标准。</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3、保证诚信地执行采购人、供应商双方所签的合同，并承担合同规定的责任义务。</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4、供应商已详细审查全部采购文件，包括采购文件补充文件（如果有的话）。我方完全理解并同意放弃对这方面有不明及误解的权力。如果采购文件有相互矛盾之处，我方同意按采购人的理解处理。</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5、利益冲突：近三年内直至目前，我公司与本项目的采购人、采购机构没有任何的隶属关系。</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6、我公司没有被本项目所在地的政府采购管理部门限制参加报价。</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8、本报价文件自报价之日起</w:t>
      </w:r>
      <w:r>
        <w:rPr>
          <w:rFonts w:hint="eastAsia" w:ascii="微软雅黑" w:hAnsi="微软雅黑" w:eastAsia="微软雅黑" w:cs="微软雅黑"/>
          <w:color w:val="auto"/>
          <w:sz w:val="22"/>
          <w:szCs w:val="22"/>
          <w:highlight w:val="none"/>
        </w:rPr>
        <w:t>9</w:t>
      </w:r>
      <w:r>
        <w:rPr>
          <w:rFonts w:hint="eastAsia" w:ascii="微软雅黑" w:hAnsi="微软雅黑" w:eastAsia="微软雅黑" w:cs="微软雅黑"/>
          <w:color w:val="auto"/>
          <w:sz w:val="22"/>
          <w:szCs w:val="22"/>
          <w:highlight w:val="none"/>
          <w:lang w:val="zh-CN"/>
        </w:rPr>
        <w:t>0天内有效。</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以上事项如有虚假或隐瞒，我方愿意承担一切后果，并不再寻求任何旨在减轻或免除法律责任的辩解。</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供应商全称（盖章）：</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法定代表人（签字或盖章）：         </w:t>
      </w:r>
    </w:p>
    <w:p>
      <w:pPr>
        <w:autoSpaceDE w:val="0"/>
        <w:autoSpaceDN w:val="0"/>
        <w:adjustRightInd w:val="0"/>
        <w:spacing w:line="510" w:lineRule="exact"/>
        <w:ind w:firstLine="440" w:firstLineChars="200"/>
        <w:rPr>
          <w:rFonts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日   期：</w:t>
      </w:r>
    </w:p>
    <w:p>
      <w:pPr>
        <w:spacing w:line="360" w:lineRule="auto"/>
        <w:ind w:firstLine="440" w:firstLineChars="200"/>
        <w:jc w:val="center"/>
        <w:rPr>
          <w:rFonts w:ascii="微软雅黑" w:hAnsi="微软雅黑" w:eastAsia="微软雅黑" w:cs="微软雅黑"/>
          <w:b/>
          <w:bCs/>
          <w:color w:val="auto"/>
          <w:sz w:val="22"/>
          <w:szCs w:val="22"/>
          <w:highlight w:val="none"/>
        </w:rPr>
      </w:pPr>
    </w:p>
    <w:p>
      <w:pP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pPr>
        <w:spacing w:line="360" w:lineRule="auto"/>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附件11</w:t>
      </w:r>
    </w:p>
    <w:p>
      <w:pPr>
        <w:spacing w:line="360" w:lineRule="auto"/>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11、开标一览表（磋商响应报价一览表）</w:t>
      </w:r>
    </w:p>
    <w:p>
      <w:pPr>
        <w:widowControl/>
        <w:spacing w:line="320" w:lineRule="exact"/>
        <w:jc w:val="center"/>
        <w:rPr>
          <w:rFonts w:hint="eastAsia"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lang w:val="zh-CN"/>
        </w:rPr>
        <w:t>磋商报价表（首次报价）</w:t>
      </w:r>
    </w:p>
    <w:p>
      <w:pPr>
        <w:spacing w:line="600" w:lineRule="exact"/>
        <w:rPr>
          <w:rFonts w:ascii="微软雅黑" w:hAnsi="微软雅黑" w:eastAsia="微软雅黑" w:cs="仿宋"/>
          <w:color w:val="auto"/>
          <w:szCs w:val="21"/>
          <w:highlight w:val="none"/>
          <w:u w:val="single"/>
        </w:rPr>
      </w:pPr>
      <w:r>
        <w:rPr>
          <w:rFonts w:hint="eastAsia" w:ascii="微软雅黑" w:hAnsi="微软雅黑" w:eastAsia="微软雅黑" w:cs="仿宋"/>
          <w:color w:val="auto"/>
          <w:szCs w:val="21"/>
          <w:highlight w:val="none"/>
        </w:rPr>
        <w:t>供应商全称（加盖公章）：</w:t>
      </w:r>
      <w:r>
        <w:rPr>
          <w:rFonts w:hint="eastAsia" w:ascii="微软雅黑" w:hAnsi="微软雅黑" w:eastAsia="微软雅黑" w:cs="仿宋"/>
          <w:color w:val="auto"/>
          <w:szCs w:val="21"/>
          <w:highlight w:val="none"/>
          <w:u w:val="single"/>
        </w:rPr>
        <w:t xml:space="preserve">                   </w:t>
      </w:r>
    </w:p>
    <w:p>
      <w:pPr>
        <w:spacing w:line="600" w:lineRule="exact"/>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项目名称：</w:t>
      </w:r>
      <w:r>
        <w:rPr>
          <w:rFonts w:hint="eastAsia" w:ascii="微软雅黑" w:hAnsi="微软雅黑" w:eastAsia="微软雅黑" w:cs="仿宋"/>
          <w:color w:val="auto"/>
          <w:szCs w:val="21"/>
          <w:highlight w:val="none"/>
          <w:u w:val="single"/>
        </w:rPr>
        <w:t xml:space="preserve">                                </w:t>
      </w:r>
      <w:r>
        <w:rPr>
          <w:rFonts w:hint="eastAsia" w:ascii="微软雅黑" w:hAnsi="微软雅黑" w:eastAsia="微软雅黑" w:cs="仿宋"/>
          <w:color w:val="auto"/>
          <w:szCs w:val="21"/>
          <w:highlight w:val="none"/>
        </w:rPr>
        <w:t xml:space="preserve"> </w:t>
      </w:r>
    </w:p>
    <w:p>
      <w:pPr>
        <w:autoSpaceDE w:val="0"/>
        <w:autoSpaceDN w:val="0"/>
        <w:adjustRightInd w:val="0"/>
        <w:spacing w:line="600" w:lineRule="exact"/>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lang w:val="zh-CN"/>
        </w:rPr>
        <w:t>报价单位：</w:t>
      </w:r>
      <w:r>
        <w:rPr>
          <w:rFonts w:hint="eastAsia" w:ascii="微软雅黑" w:hAnsi="微软雅黑" w:eastAsia="微软雅黑" w:cs="仿宋"/>
          <w:color w:val="auto"/>
          <w:szCs w:val="21"/>
          <w:highlight w:val="none"/>
          <w:u w:val="single"/>
          <w:lang w:val="zh-CN"/>
        </w:rPr>
        <w:t>人民币（元）</w:t>
      </w:r>
    </w:p>
    <w:tbl>
      <w:tblPr>
        <w:tblStyle w:val="3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pPr>
              <w:spacing w:line="540" w:lineRule="exact"/>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磋商项目名称</w:t>
            </w:r>
          </w:p>
        </w:tc>
        <w:tc>
          <w:tcPr>
            <w:tcW w:w="6414" w:type="dxa"/>
            <w:vAlign w:val="center"/>
          </w:tcPr>
          <w:p>
            <w:pPr>
              <w:spacing w:line="540" w:lineRule="exact"/>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1985" w:type="dxa"/>
            <w:vMerge w:val="restart"/>
            <w:tcBorders>
              <w:top w:val="single" w:color="auto" w:sz="4" w:space="0"/>
            </w:tcBorders>
            <w:vAlign w:val="center"/>
          </w:tcPr>
          <w:p>
            <w:pPr>
              <w:spacing w:line="540" w:lineRule="exact"/>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磋商总价</w:t>
            </w:r>
          </w:p>
          <w:p>
            <w:pPr>
              <w:spacing w:line="540" w:lineRule="exact"/>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（人民币/元）</w:t>
            </w:r>
          </w:p>
        </w:tc>
        <w:tc>
          <w:tcPr>
            <w:tcW w:w="1180" w:type="dxa"/>
            <w:tcBorders>
              <w:top w:val="single" w:color="auto" w:sz="4" w:space="0"/>
              <w:bottom w:val="single" w:color="auto" w:sz="4" w:space="0"/>
            </w:tcBorders>
            <w:vAlign w:val="center"/>
          </w:tcPr>
          <w:p>
            <w:pPr>
              <w:widowControl/>
              <w:spacing w:line="540" w:lineRule="exact"/>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小写</w:t>
            </w:r>
          </w:p>
        </w:tc>
        <w:tc>
          <w:tcPr>
            <w:tcW w:w="6414" w:type="dxa"/>
            <w:vAlign w:val="center"/>
          </w:tcPr>
          <w:p>
            <w:pPr>
              <w:spacing w:line="540" w:lineRule="exact"/>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985" w:type="dxa"/>
            <w:vMerge w:val="continue"/>
            <w:vAlign w:val="center"/>
          </w:tcPr>
          <w:p>
            <w:pPr>
              <w:spacing w:line="540" w:lineRule="exact"/>
              <w:jc w:val="center"/>
              <w:rPr>
                <w:rFonts w:ascii="微软雅黑" w:hAnsi="微软雅黑" w:eastAsia="微软雅黑" w:cs="仿宋"/>
                <w:color w:val="auto"/>
                <w:szCs w:val="21"/>
                <w:highlight w:val="none"/>
              </w:rPr>
            </w:pPr>
          </w:p>
        </w:tc>
        <w:tc>
          <w:tcPr>
            <w:tcW w:w="1180" w:type="dxa"/>
            <w:tcBorders>
              <w:top w:val="single" w:color="auto" w:sz="4" w:space="0"/>
              <w:bottom w:val="single" w:color="auto" w:sz="4" w:space="0"/>
            </w:tcBorders>
            <w:vAlign w:val="center"/>
          </w:tcPr>
          <w:p>
            <w:pPr>
              <w:spacing w:line="540" w:lineRule="exact"/>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大写</w:t>
            </w:r>
          </w:p>
        </w:tc>
        <w:tc>
          <w:tcPr>
            <w:tcW w:w="6414" w:type="dxa"/>
            <w:vAlign w:val="center"/>
          </w:tcPr>
          <w:p>
            <w:pPr>
              <w:spacing w:line="540" w:lineRule="exact"/>
              <w:jc w:val="center"/>
              <w:rPr>
                <w:rFonts w:ascii="微软雅黑" w:hAnsi="微软雅黑" w:eastAsia="微软雅黑" w:cs="仿宋"/>
                <w:color w:val="auto"/>
                <w:szCs w:val="21"/>
                <w:highlight w:val="none"/>
              </w:rPr>
            </w:pPr>
          </w:p>
        </w:tc>
      </w:tr>
    </w:tbl>
    <w:p>
      <w:pPr>
        <w:spacing w:before="156" w:beforeLines="50" w:after="156" w:afterLines="50" w:line="480" w:lineRule="exact"/>
        <w:ind w:firstLine="420" w:firstLineChars="200"/>
        <w:rPr>
          <w:rFonts w:ascii="微软雅黑" w:hAnsi="微软雅黑" w:eastAsia="微软雅黑" w:cs="仿宋"/>
          <w:b/>
          <w:color w:val="auto"/>
          <w:szCs w:val="21"/>
          <w:highlight w:val="none"/>
        </w:rPr>
      </w:pPr>
      <w:r>
        <w:rPr>
          <w:rFonts w:hint="eastAsia" w:ascii="微软雅黑" w:hAnsi="微软雅黑" w:eastAsia="微软雅黑" w:cs="仿宋"/>
          <w:b/>
          <w:color w:val="auto"/>
          <w:szCs w:val="21"/>
          <w:highlight w:val="none"/>
        </w:rPr>
        <w:t>注：▲1、报价一经涂改，应在涂改处加盖单位公章或者由法定代表人或授权委托人签字或盖章，否则其磋商作无效标处理。</w:t>
      </w:r>
    </w:p>
    <w:p>
      <w:pPr>
        <w:spacing w:before="156" w:beforeLines="50" w:after="156" w:afterLines="50" w:line="480" w:lineRule="exact"/>
        <w:ind w:firstLine="420" w:firstLineChars="200"/>
        <w:rPr>
          <w:rFonts w:ascii="微软雅黑" w:hAnsi="微软雅黑" w:eastAsia="微软雅黑" w:cs="仿宋"/>
          <w:b/>
          <w:color w:val="auto"/>
          <w:szCs w:val="21"/>
          <w:highlight w:val="none"/>
        </w:rPr>
      </w:pPr>
      <w:r>
        <w:rPr>
          <w:rFonts w:hint="eastAsia" w:ascii="微软雅黑" w:hAnsi="微软雅黑" w:eastAsia="微软雅黑" w:cs="仿宋"/>
          <w:b/>
          <w:color w:val="auto"/>
          <w:szCs w:val="21"/>
          <w:highlight w:val="none"/>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spacing w:before="156" w:beforeLines="50" w:after="156" w:afterLines="50" w:line="480" w:lineRule="exact"/>
        <w:ind w:firstLine="420" w:firstLineChars="200"/>
        <w:rPr>
          <w:rFonts w:ascii="微软雅黑" w:hAnsi="微软雅黑" w:eastAsia="微软雅黑" w:cs="仿宋"/>
          <w:b/>
          <w:color w:val="auto"/>
          <w:szCs w:val="21"/>
          <w:highlight w:val="none"/>
        </w:rPr>
      </w:pPr>
      <w:r>
        <w:rPr>
          <w:rFonts w:hint="eastAsia" w:ascii="微软雅黑" w:hAnsi="微软雅黑" w:eastAsia="微软雅黑" w:cs="仿宋"/>
          <w:b/>
          <w:color w:val="auto"/>
          <w:szCs w:val="21"/>
          <w:highlight w:val="none"/>
        </w:rPr>
        <w:t>▲3、不提供此表格的将视为没有实质性响应磋商文件。</w:t>
      </w:r>
    </w:p>
    <w:p>
      <w:pPr>
        <w:spacing w:line="360" w:lineRule="auto"/>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法定代表人或其授权代理人签字或盖章：</w:t>
      </w:r>
    </w:p>
    <w:p>
      <w:pPr>
        <w:spacing w:line="360" w:lineRule="auto"/>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日期： 年 月 日</w:t>
      </w:r>
    </w:p>
    <w:p>
      <w:pPr>
        <w:widowControl/>
        <w:jc w:val="left"/>
        <w:rPr>
          <w:rFonts w:ascii="微软雅黑" w:hAnsi="微软雅黑" w:eastAsia="微软雅黑" w:cs="微软雅黑"/>
          <w:b/>
          <w:bCs/>
          <w:color w:val="auto"/>
          <w:sz w:val="22"/>
          <w:szCs w:val="22"/>
          <w:highlight w:val="none"/>
        </w:rPr>
      </w:pPr>
      <w:r>
        <w:rPr>
          <w:rFonts w:ascii="微软雅黑" w:hAnsi="微软雅黑" w:eastAsia="微软雅黑" w:cs="微软雅黑"/>
          <w:b/>
          <w:bCs/>
          <w:color w:val="auto"/>
          <w:sz w:val="22"/>
          <w:szCs w:val="22"/>
          <w:highlight w:val="none"/>
        </w:rPr>
        <w:br w:type="page"/>
      </w:r>
    </w:p>
    <w:p>
      <w:pPr>
        <w:snapToGrid w:val="0"/>
        <w:spacing w:before="50" w:after="156" w:afterLines="50" w:line="600" w:lineRule="exact"/>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附件12</w:t>
      </w: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12、磋商项目实施人员配备表</w:t>
      </w: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（项目负责人）</w:t>
      </w:r>
    </w:p>
    <w:p>
      <w:pPr>
        <w:spacing w:line="600" w:lineRule="exact"/>
        <w:rPr>
          <w:rFonts w:ascii="微软雅黑" w:hAnsi="微软雅黑" w:eastAsia="微软雅黑" w:cs="仿宋"/>
          <w:color w:val="auto"/>
          <w:szCs w:val="21"/>
          <w:highlight w:val="none"/>
          <w:u w:val="single"/>
        </w:rPr>
      </w:pPr>
      <w:r>
        <w:rPr>
          <w:rFonts w:hint="eastAsia" w:ascii="微软雅黑" w:hAnsi="微软雅黑" w:eastAsia="微软雅黑" w:cs="仿宋"/>
          <w:color w:val="auto"/>
          <w:szCs w:val="21"/>
          <w:highlight w:val="none"/>
        </w:rPr>
        <w:t>供应商全称（加盖公章）：</w:t>
      </w:r>
      <w:r>
        <w:rPr>
          <w:rFonts w:hint="eastAsia" w:ascii="微软雅黑" w:hAnsi="微软雅黑" w:eastAsia="微软雅黑" w:cs="仿宋"/>
          <w:color w:val="auto"/>
          <w:szCs w:val="21"/>
          <w:highlight w:val="none"/>
          <w:u w:val="single"/>
        </w:rPr>
        <w:t xml:space="preserve">                   </w:t>
      </w:r>
    </w:p>
    <w:p>
      <w:pPr>
        <w:spacing w:line="600" w:lineRule="exact"/>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项目名称：</w:t>
      </w:r>
      <w:r>
        <w:rPr>
          <w:rFonts w:hint="eastAsia" w:ascii="微软雅黑" w:hAnsi="微软雅黑" w:eastAsia="微软雅黑" w:cs="仿宋"/>
          <w:color w:val="auto"/>
          <w:szCs w:val="21"/>
          <w:highlight w:val="none"/>
          <w:u w:val="single"/>
        </w:rPr>
        <w:t xml:space="preserve">                                </w:t>
      </w:r>
      <w:r>
        <w:rPr>
          <w:rFonts w:hint="eastAsia" w:ascii="微软雅黑" w:hAnsi="微软雅黑" w:eastAsia="微软雅黑" w:cs="仿宋"/>
          <w:color w:val="auto"/>
          <w:szCs w:val="21"/>
          <w:highlight w:val="none"/>
        </w:rPr>
        <w:t xml:space="preserve"> </w:t>
      </w:r>
    </w:p>
    <w:p>
      <w:pPr>
        <w:spacing w:line="360" w:lineRule="auto"/>
        <w:rPr>
          <w:rFonts w:ascii="微软雅黑" w:hAnsi="微软雅黑" w:eastAsia="微软雅黑" w:cs="仿宋"/>
          <w:b/>
          <w:color w:val="auto"/>
          <w:szCs w:val="21"/>
          <w:highlight w:val="none"/>
        </w:rPr>
      </w:pPr>
    </w:p>
    <w:tbl>
      <w:tblPr>
        <w:tblStyle w:val="32"/>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姓名</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性别</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年龄</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职称</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毕业时间</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所学专业</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学历</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资质证书编号</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其他资质情况</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r>
              <w:rPr>
                <w:rFonts w:hint="eastAsia" w:ascii="微软雅黑" w:hAnsi="微软雅黑" w:eastAsia="微软雅黑" w:cs="仿宋"/>
                <w:color w:val="auto"/>
                <w:szCs w:val="21"/>
                <w:highlight w:val="none"/>
                <w:lang w:val="zh-CN"/>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c>
          <w:tcPr>
            <w:tcW w:w="513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微软雅黑" w:hAnsi="微软雅黑" w:eastAsia="微软雅黑" w:cs="仿宋"/>
                <w:color w:val="auto"/>
                <w:szCs w:val="21"/>
                <w:highlight w:val="none"/>
                <w:lang w:val="zh-CN"/>
              </w:rPr>
            </w:pPr>
          </w:p>
        </w:tc>
      </w:tr>
    </w:tbl>
    <w:p>
      <w:pPr>
        <w:spacing w:line="360" w:lineRule="auto"/>
        <w:rPr>
          <w:rFonts w:ascii="微软雅黑" w:hAnsi="微软雅黑" w:eastAsia="微软雅黑" w:cs="仿宋"/>
          <w:bCs/>
          <w:color w:val="auto"/>
          <w:szCs w:val="21"/>
          <w:highlight w:val="none"/>
        </w:rPr>
      </w:pPr>
      <w:r>
        <w:rPr>
          <w:rFonts w:hint="eastAsia" w:ascii="微软雅黑" w:hAnsi="微软雅黑" w:eastAsia="微软雅黑" w:cs="仿宋"/>
          <w:bCs/>
          <w:color w:val="auto"/>
          <w:szCs w:val="21"/>
          <w:highlight w:val="none"/>
        </w:rPr>
        <w:t>注：1、</w:t>
      </w:r>
      <w:r>
        <w:rPr>
          <w:rFonts w:hint="eastAsia" w:ascii="微软雅黑" w:hAnsi="微软雅黑" w:eastAsia="微软雅黑" w:cs="仿宋"/>
          <w:color w:val="auto"/>
          <w:szCs w:val="21"/>
          <w:highlight w:val="none"/>
        </w:rPr>
        <w:t>此表仅提供了表格形式，供应商应根据需要准备足够数量的表格来填写；</w:t>
      </w:r>
    </w:p>
    <w:p>
      <w:pPr>
        <w:spacing w:line="360" w:lineRule="auto"/>
        <w:ind w:firstLine="420" w:firstLineChars="200"/>
        <w:rPr>
          <w:rFonts w:ascii="微软雅黑" w:hAnsi="微软雅黑" w:eastAsia="微软雅黑" w:cs="仿宋"/>
          <w:bCs/>
          <w:color w:val="auto"/>
          <w:szCs w:val="21"/>
          <w:highlight w:val="none"/>
        </w:rPr>
      </w:pPr>
      <w:r>
        <w:rPr>
          <w:rFonts w:hint="eastAsia" w:ascii="微软雅黑" w:hAnsi="微软雅黑" w:eastAsia="微软雅黑" w:cs="仿宋"/>
          <w:bCs/>
          <w:color w:val="auto"/>
          <w:szCs w:val="21"/>
          <w:highlight w:val="none"/>
        </w:rPr>
        <w:t>2、请附</w:t>
      </w:r>
      <w:r>
        <w:rPr>
          <w:rFonts w:hint="eastAsia" w:ascii="微软雅黑" w:hAnsi="微软雅黑" w:eastAsia="微软雅黑" w:cs="仿宋"/>
          <w:color w:val="auto"/>
          <w:szCs w:val="21"/>
          <w:highlight w:val="none"/>
          <w:lang w:val="zh-CN"/>
        </w:rPr>
        <w:t>随表</w:t>
      </w:r>
      <w:r>
        <w:rPr>
          <w:rFonts w:hint="eastAsia" w:ascii="微软雅黑" w:hAnsi="微软雅黑" w:eastAsia="微软雅黑" w:cs="仿宋"/>
          <w:bCs/>
          <w:color w:val="auto"/>
          <w:szCs w:val="21"/>
          <w:highlight w:val="none"/>
        </w:rPr>
        <w:t>相应证书、身份证复印件等（加盖公章）。</w:t>
      </w:r>
    </w:p>
    <w:p>
      <w:pPr>
        <w:widowControl/>
        <w:jc w:val="left"/>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pPr>
        <w:spacing w:line="360" w:lineRule="auto"/>
        <w:jc w:val="left"/>
        <w:rPr>
          <w:rFonts w:hint="default" w:ascii="微软雅黑" w:hAnsi="微软雅黑" w:eastAsia="微软雅黑" w:cs="仿宋"/>
          <w:b/>
          <w:bCs/>
          <w:color w:val="auto"/>
          <w:szCs w:val="21"/>
          <w:highlight w:val="none"/>
          <w:lang w:val="en-US" w:eastAsia="zh-CN"/>
        </w:rPr>
      </w:pPr>
      <w:r>
        <w:rPr>
          <w:rFonts w:hint="eastAsia" w:ascii="微软雅黑" w:hAnsi="微软雅黑" w:eastAsia="微软雅黑" w:cs="仿宋"/>
          <w:b/>
          <w:bCs/>
          <w:color w:val="auto"/>
          <w:szCs w:val="21"/>
          <w:highlight w:val="none"/>
          <w:lang w:val="en-US" w:eastAsia="zh-CN"/>
        </w:rPr>
        <w:t>附件13</w:t>
      </w:r>
    </w:p>
    <w:p>
      <w:pPr>
        <w:spacing w:line="360" w:lineRule="auto"/>
        <w:jc w:val="center"/>
        <w:rPr>
          <w:rFonts w:ascii="微软雅黑" w:hAnsi="微软雅黑" w:eastAsia="微软雅黑" w:cs="仿宋"/>
          <w:b/>
          <w:bCs/>
          <w:color w:val="auto"/>
          <w:szCs w:val="21"/>
          <w:highlight w:val="none"/>
        </w:rPr>
      </w:pPr>
      <w:r>
        <w:rPr>
          <w:rFonts w:hint="eastAsia" w:ascii="微软雅黑" w:hAnsi="微软雅黑" w:eastAsia="微软雅黑" w:cs="仿宋"/>
          <w:b/>
          <w:bCs/>
          <w:color w:val="auto"/>
          <w:szCs w:val="21"/>
          <w:highlight w:val="none"/>
        </w:rPr>
        <w:t>1</w:t>
      </w:r>
      <w:r>
        <w:rPr>
          <w:rFonts w:ascii="微软雅黑" w:hAnsi="微软雅黑" w:eastAsia="微软雅黑" w:cs="仿宋"/>
          <w:b/>
          <w:bCs/>
          <w:color w:val="auto"/>
          <w:szCs w:val="21"/>
          <w:highlight w:val="none"/>
        </w:rPr>
        <w:t>3</w:t>
      </w:r>
      <w:r>
        <w:rPr>
          <w:rFonts w:hint="eastAsia" w:ascii="微软雅黑" w:hAnsi="微软雅黑" w:eastAsia="微软雅黑" w:cs="仿宋"/>
          <w:b/>
          <w:bCs/>
          <w:color w:val="auto"/>
          <w:szCs w:val="21"/>
          <w:highlight w:val="none"/>
        </w:rPr>
        <w:t>、（项目团队，除项目负责人以外的配备人员）</w:t>
      </w:r>
    </w:p>
    <w:p>
      <w:pPr>
        <w:spacing w:line="600" w:lineRule="exact"/>
        <w:rPr>
          <w:rFonts w:ascii="微软雅黑" w:hAnsi="微软雅黑" w:eastAsia="微软雅黑" w:cs="仿宋"/>
          <w:color w:val="auto"/>
          <w:szCs w:val="21"/>
          <w:highlight w:val="none"/>
          <w:u w:val="single"/>
        </w:rPr>
      </w:pPr>
      <w:r>
        <w:rPr>
          <w:rFonts w:hint="eastAsia" w:ascii="微软雅黑" w:hAnsi="微软雅黑" w:eastAsia="微软雅黑" w:cs="仿宋"/>
          <w:color w:val="auto"/>
          <w:szCs w:val="21"/>
          <w:highlight w:val="none"/>
        </w:rPr>
        <w:t>供应商全称（加盖公章）：</w:t>
      </w:r>
      <w:r>
        <w:rPr>
          <w:rFonts w:hint="eastAsia" w:ascii="微软雅黑" w:hAnsi="微软雅黑" w:eastAsia="微软雅黑" w:cs="仿宋"/>
          <w:color w:val="auto"/>
          <w:szCs w:val="21"/>
          <w:highlight w:val="none"/>
          <w:u w:val="single"/>
        </w:rPr>
        <w:t xml:space="preserve">                   </w:t>
      </w:r>
    </w:p>
    <w:p>
      <w:pPr>
        <w:spacing w:line="600" w:lineRule="exact"/>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项目名称：</w:t>
      </w:r>
      <w:r>
        <w:rPr>
          <w:rFonts w:hint="eastAsia" w:ascii="微软雅黑" w:hAnsi="微软雅黑" w:eastAsia="微软雅黑" w:cs="仿宋"/>
          <w:color w:val="auto"/>
          <w:szCs w:val="21"/>
          <w:highlight w:val="none"/>
          <w:u w:val="single"/>
        </w:rPr>
        <w:t xml:space="preserve">                                </w:t>
      </w:r>
      <w:r>
        <w:rPr>
          <w:rFonts w:hint="eastAsia" w:ascii="微软雅黑" w:hAnsi="微软雅黑" w:eastAsia="微软雅黑" w:cs="仿宋"/>
          <w:color w:val="auto"/>
          <w:szCs w:val="21"/>
          <w:highlight w:val="none"/>
        </w:rPr>
        <w:t xml:space="preserve"> </w:t>
      </w:r>
    </w:p>
    <w:p>
      <w:pPr>
        <w:spacing w:line="360" w:lineRule="auto"/>
        <w:rPr>
          <w:rFonts w:ascii="微软雅黑" w:hAnsi="微软雅黑" w:eastAsia="微软雅黑" w:cs="仿宋"/>
          <w:b/>
          <w:color w:val="auto"/>
          <w:szCs w:val="21"/>
          <w:highlight w:val="none"/>
        </w:rPr>
      </w:pPr>
    </w:p>
    <w:tbl>
      <w:tblPr>
        <w:tblStyle w:val="32"/>
        <w:tblW w:w="93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53"/>
        <w:gridCol w:w="447"/>
        <w:gridCol w:w="635"/>
        <w:gridCol w:w="911"/>
        <w:gridCol w:w="911"/>
        <w:gridCol w:w="1025"/>
        <w:gridCol w:w="1366"/>
        <w:gridCol w:w="1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5"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序号</w:t>
            </w:r>
          </w:p>
        </w:tc>
        <w:tc>
          <w:tcPr>
            <w:tcW w:w="853"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姓名</w:t>
            </w:r>
          </w:p>
        </w:tc>
        <w:tc>
          <w:tcPr>
            <w:tcW w:w="447"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性别</w:t>
            </w:r>
          </w:p>
        </w:tc>
        <w:tc>
          <w:tcPr>
            <w:tcW w:w="635"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年龄</w:t>
            </w:r>
          </w:p>
        </w:tc>
        <w:tc>
          <w:tcPr>
            <w:tcW w:w="911"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学历</w:t>
            </w:r>
          </w:p>
        </w:tc>
        <w:tc>
          <w:tcPr>
            <w:tcW w:w="911"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专业</w:t>
            </w:r>
          </w:p>
        </w:tc>
        <w:tc>
          <w:tcPr>
            <w:tcW w:w="1025"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职称</w:t>
            </w:r>
          </w:p>
        </w:tc>
        <w:tc>
          <w:tcPr>
            <w:tcW w:w="1366"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本项目中的职责</w:t>
            </w:r>
          </w:p>
        </w:tc>
        <w:tc>
          <w:tcPr>
            <w:tcW w:w="1025"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项目经历</w:t>
            </w:r>
          </w:p>
        </w:tc>
        <w:tc>
          <w:tcPr>
            <w:tcW w:w="1740" w:type="dxa"/>
            <w:vAlign w:val="center"/>
          </w:tcPr>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参与本项目</w:t>
            </w:r>
          </w:p>
          <w:p>
            <w:pPr>
              <w:spacing w:line="360" w:lineRule="auto"/>
              <w:jc w:val="center"/>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vAlign w:val="center"/>
          </w:tcPr>
          <w:p>
            <w:pPr>
              <w:spacing w:line="360" w:lineRule="auto"/>
              <w:jc w:val="center"/>
              <w:rPr>
                <w:rFonts w:ascii="微软雅黑" w:hAnsi="微软雅黑" w:eastAsia="微软雅黑" w:cs="仿宋"/>
                <w:color w:val="auto"/>
                <w:szCs w:val="21"/>
                <w:highlight w:val="none"/>
              </w:rPr>
            </w:pPr>
          </w:p>
        </w:tc>
        <w:tc>
          <w:tcPr>
            <w:tcW w:w="853" w:type="dxa"/>
            <w:vAlign w:val="center"/>
          </w:tcPr>
          <w:p>
            <w:pPr>
              <w:spacing w:line="360" w:lineRule="auto"/>
              <w:jc w:val="center"/>
              <w:rPr>
                <w:rFonts w:ascii="微软雅黑" w:hAnsi="微软雅黑" w:eastAsia="微软雅黑" w:cs="仿宋"/>
                <w:color w:val="auto"/>
                <w:szCs w:val="21"/>
                <w:highlight w:val="none"/>
              </w:rPr>
            </w:pPr>
          </w:p>
        </w:tc>
        <w:tc>
          <w:tcPr>
            <w:tcW w:w="447" w:type="dxa"/>
            <w:vAlign w:val="center"/>
          </w:tcPr>
          <w:p>
            <w:pPr>
              <w:spacing w:line="360" w:lineRule="auto"/>
              <w:jc w:val="center"/>
              <w:rPr>
                <w:rFonts w:ascii="微软雅黑" w:hAnsi="微软雅黑" w:eastAsia="微软雅黑" w:cs="仿宋"/>
                <w:color w:val="auto"/>
                <w:szCs w:val="21"/>
                <w:highlight w:val="none"/>
              </w:rPr>
            </w:pPr>
          </w:p>
        </w:tc>
        <w:tc>
          <w:tcPr>
            <w:tcW w:w="635"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911"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366" w:type="dxa"/>
            <w:vAlign w:val="center"/>
          </w:tcPr>
          <w:p>
            <w:pPr>
              <w:spacing w:line="360" w:lineRule="auto"/>
              <w:jc w:val="center"/>
              <w:rPr>
                <w:rFonts w:ascii="微软雅黑" w:hAnsi="微软雅黑" w:eastAsia="微软雅黑" w:cs="仿宋"/>
                <w:color w:val="auto"/>
                <w:szCs w:val="21"/>
                <w:highlight w:val="none"/>
              </w:rPr>
            </w:pPr>
          </w:p>
        </w:tc>
        <w:tc>
          <w:tcPr>
            <w:tcW w:w="1025" w:type="dxa"/>
            <w:vAlign w:val="center"/>
          </w:tcPr>
          <w:p>
            <w:pPr>
              <w:spacing w:line="360" w:lineRule="auto"/>
              <w:jc w:val="center"/>
              <w:rPr>
                <w:rFonts w:ascii="微软雅黑" w:hAnsi="微软雅黑" w:eastAsia="微软雅黑" w:cs="仿宋"/>
                <w:color w:val="auto"/>
                <w:szCs w:val="21"/>
                <w:highlight w:val="none"/>
              </w:rPr>
            </w:pPr>
          </w:p>
        </w:tc>
        <w:tc>
          <w:tcPr>
            <w:tcW w:w="1740" w:type="dxa"/>
            <w:vAlign w:val="center"/>
          </w:tcPr>
          <w:p>
            <w:pPr>
              <w:spacing w:line="360" w:lineRule="auto"/>
              <w:jc w:val="center"/>
              <w:rPr>
                <w:rFonts w:ascii="微软雅黑" w:hAnsi="微软雅黑" w:eastAsia="微软雅黑" w:cs="仿宋"/>
                <w:color w:val="auto"/>
                <w:szCs w:val="21"/>
                <w:highlight w:val="none"/>
              </w:rPr>
            </w:pPr>
          </w:p>
        </w:tc>
      </w:tr>
    </w:tbl>
    <w:p>
      <w:pPr>
        <w:tabs>
          <w:tab w:val="left" w:pos="3654"/>
        </w:tabs>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法定代表人或其授权代理人签名或盖章：</w:t>
      </w:r>
    </w:p>
    <w:p>
      <w:pPr>
        <w:tabs>
          <w:tab w:val="left" w:pos="3654"/>
        </w:tabs>
        <w:rPr>
          <w:rFonts w:ascii="微软雅黑" w:hAnsi="微软雅黑" w:eastAsia="微软雅黑" w:cs="仿宋"/>
          <w:color w:val="auto"/>
          <w:szCs w:val="21"/>
          <w:highlight w:val="none"/>
        </w:rPr>
      </w:pPr>
    </w:p>
    <w:p>
      <w:pPr>
        <w:tabs>
          <w:tab w:val="left" w:pos="3654"/>
        </w:tabs>
        <w:rPr>
          <w:rFonts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日期：    年  月  日.</w:t>
      </w:r>
    </w:p>
    <w:p>
      <w:pPr>
        <w:spacing w:line="360" w:lineRule="auto"/>
        <w:rPr>
          <w:rFonts w:ascii="微软雅黑" w:hAnsi="微软雅黑" w:eastAsia="微软雅黑" w:cs="仿宋"/>
          <w:bCs/>
          <w:color w:val="auto"/>
          <w:szCs w:val="21"/>
          <w:highlight w:val="none"/>
        </w:rPr>
      </w:pPr>
      <w:r>
        <w:rPr>
          <w:rFonts w:hint="eastAsia" w:ascii="微软雅黑" w:hAnsi="微软雅黑" w:eastAsia="微软雅黑" w:cs="仿宋"/>
          <w:bCs/>
          <w:color w:val="auto"/>
          <w:szCs w:val="21"/>
          <w:highlight w:val="none"/>
        </w:rPr>
        <w:t>注：</w:t>
      </w:r>
      <w:r>
        <w:rPr>
          <w:rFonts w:hint="eastAsia" w:ascii="微软雅黑" w:hAnsi="微软雅黑" w:eastAsia="微软雅黑" w:cs="仿宋"/>
          <w:color w:val="auto"/>
          <w:szCs w:val="21"/>
          <w:highlight w:val="none"/>
        </w:rPr>
        <w:t>此表仅提供了表格形式，供应商应根据需要准备足够数量的表格来填写；</w:t>
      </w:r>
    </w:p>
    <w:p>
      <w:pPr>
        <w:snapToGrid w:val="0"/>
        <w:spacing w:before="156" w:beforeLines="50" w:after="50"/>
        <w:rPr>
          <w:rFonts w:ascii="仿宋" w:hAnsi="仿宋" w:eastAsia="仿宋" w:cs="仿宋"/>
          <w:b/>
          <w:color w:val="auto"/>
          <w:szCs w:val="28"/>
          <w:highlight w:val="none"/>
        </w:rPr>
      </w:pP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ascii="微软雅黑" w:hAnsi="微软雅黑" w:eastAsia="微软雅黑" w:cs="微软雅黑"/>
          <w:b/>
          <w:bCs/>
          <w:color w:val="auto"/>
          <w:sz w:val="22"/>
          <w:szCs w:val="22"/>
          <w:highlight w:val="none"/>
        </w:rPr>
        <w:br w:type="page"/>
      </w:r>
    </w:p>
    <w:p>
      <w:pPr>
        <w:snapToGrid w:val="0"/>
        <w:spacing w:before="50" w:after="156" w:afterLines="50" w:line="600" w:lineRule="exact"/>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附件14</w:t>
      </w: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w:t>
      </w:r>
      <w:r>
        <w:rPr>
          <w:rFonts w:ascii="微软雅黑" w:hAnsi="微软雅黑" w:eastAsia="微软雅黑" w:cs="微软雅黑"/>
          <w:b/>
          <w:bCs/>
          <w:color w:val="auto"/>
          <w:sz w:val="22"/>
          <w:szCs w:val="22"/>
          <w:highlight w:val="none"/>
        </w:rPr>
        <w:t>4</w:t>
      </w:r>
      <w:r>
        <w:rPr>
          <w:rFonts w:hint="eastAsia" w:ascii="微软雅黑" w:hAnsi="微软雅黑" w:eastAsia="微软雅黑" w:cs="微软雅黑"/>
          <w:b/>
          <w:bCs/>
          <w:color w:val="auto"/>
          <w:sz w:val="22"/>
          <w:szCs w:val="22"/>
          <w:highlight w:val="none"/>
        </w:rPr>
        <w:t>、中小企业声明函</w:t>
      </w:r>
    </w:p>
    <w:p>
      <w:pPr>
        <w:spacing w:line="44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中小企业声明函（工程、服务）</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 （标的名称） ，属于（采购文件中明确的所属行业）；承建（承接）企业为（企业名称），从业人员     人，营业收入为      万元，资产总额为         万元，属于（中型企业、小型企业、微型企业）； </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 （标的名称） ，属于（采购文件中明确的所属行业）；承建（承接）企业为（企业名称），从业人员       人，营业收入为        万元，资产总额为            万元，属于（中型企业、小型企业、微型企业）； </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以上企业，不属于大企业的分支机构，不存在控股股东为大企业的情形，也不存在与大企业的负责人为同一人的情形。</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本企业对上述声明内容的真实性负责。如有虚假，将依法承担相应责任。 </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企业名称（盖章）： </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 期： </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从业人员、营业收入、资产总额填报上一年度数据，无上一年度数据的新成立企业可不填报。</w:t>
      </w:r>
    </w:p>
    <w:p>
      <w:pPr>
        <w:spacing w:line="440" w:lineRule="exact"/>
        <w:ind w:firstLine="440" w:firstLineChars="200"/>
        <w:rPr>
          <w:rFonts w:ascii="微软雅黑" w:hAnsi="微软雅黑" w:eastAsia="微软雅黑" w:cs="微软雅黑"/>
          <w:color w:val="auto"/>
          <w:sz w:val="22"/>
          <w:szCs w:val="22"/>
          <w:highlight w:val="none"/>
        </w:rPr>
      </w:pP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2、本表格至关重要，供应商必须如实且规范填写本表格，供应商对于此表填写有任何疑问的，可咨询采购代理机构项目负责人。</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3、中小企业划分为中型、小型、微型三种类型，具体标准根据企业从业人员、营业收入、资产总额等指标，结合行业特点制定。各行业划型标准为：</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（一）农、林、牧、渔业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营业收入20000万元以下的为中小微型企业。其中，营业收入500万元及以上的为中型企业，营业收入50万元及以上的为小型企业，营业收入50万元以下的为微型企业。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（二）工业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（三）建筑业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（四）批发业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（五）零售业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（六）交通运输业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从业人员1000人以下或营业收入30000万元以下的为中小微型企业。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（七）仓储业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（八）邮政业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（九）住宿业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（十）餐饮业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（十一）信息传输业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（十二）软件和信息技术服务业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（十三）房地产开发经营</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（十四）物业管理</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（十五）租赁和商务服务业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（十六）其他未列明行业</w:t>
      </w:r>
    </w:p>
    <w:p>
      <w:pPr>
        <w:spacing w:line="4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从业人员300人以下的为中小微型企业。其中，从业人员100人及以上的为中型企业；从业人员10人及以上的为小型企业；从业人员10人以下的为微型企业。</w:t>
      </w:r>
    </w:p>
    <w:p>
      <w:pPr>
        <w:spacing w:line="600" w:lineRule="exact"/>
        <w:ind w:firstLine="440" w:firstLineChars="200"/>
        <w:rPr>
          <w:rFonts w:ascii="微软雅黑" w:hAnsi="微软雅黑" w:eastAsia="微软雅黑" w:cs="微软雅黑"/>
          <w:color w:val="auto"/>
          <w:sz w:val="22"/>
          <w:szCs w:val="22"/>
          <w:highlight w:val="none"/>
        </w:rPr>
      </w:pPr>
    </w:p>
    <w:p>
      <w:pP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pPr>
        <w:snapToGrid w:val="0"/>
        <w:spacing w:before="50" w:after="156" w:afterLines="50" w:line="600" w:lineRule="exact"/>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附件15</w:t>
      </w: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w:t>
      </w:r>
      <w:r>
        <w:rPr>
          <w:rFonts w:ascii="微软雅黑" w:hAnsi="微软雅黑" w:eastAsia="微软雅黑" w:cs="微软雅黑"/>
          <w:b/>
          <w:bCs/>
          <w:color w:val="auto"/>
          <w:sz w:val="22"/>
          <w:szCs w:val="22"/>
          <w:highlight w:val="none"/>
        </w:rPr>
        <w:t>5</w:t>
      </w:r>
      <w:r>
        <w:rPr>
          <w:rFonts w:hint="eastAsia" w:ascii="微软雅黑" w:hAnsi="微软雅黑" w:eastAsia="微软雅黑" w:cs="微软雅黑"/>
          <w:b/>
          <w:bCs/>
          <w:color w:val="auto"/>
          <w:sz w:val="22"/>
          <w:szCs w:val="22"/>
          <w:highlight w:val="none"/>
        </w:rPr>
        <w:t>、监狱企业声明函</w:t>
      </w:r>
    </w:p>
    <w:p>
      <w:pPr>
        <w:spacing w:line="600" w:lineRule="exact"/>
        <w:jc w:val="center"/>
        <w:outlineLvl w:val="0"/>
        <w:rPr>
          <w:rFonts w:ascii="微软雅黑" w:hAnsi="微软雅黑" w:eastAsia="微软雅黑" w:cs="微软雅黑"/>
          <w:color w:val="auto"/>
          <w:sz w:val="22"/>
          <w:szCs w:val="22"/>
          <w:highlight w:val="none"/>
        </w:rPr>
      </w:pPr>
      <w:bookmarkStart w:id="98" w:name="_Toc24501"/>
      <w:r>
        <w:rPr>
          <w:rFonts w:hint="eastAsia" w:ascii="微软雅黑" w:hAnsi="微软雅黑" w:eastAsia="微软雅黑" w:cs="微软雅黑"/>
          <w:color w:val="auto"/>
          <w:sz w:val="22"/>
          <w:szCs w:val="22"/>
          <w:highlight w:val="none"/>
        </w:rPr>
        <w:t>【非监狱企业的不用提供】</w:t>
      </w:r>
      <w:bookmarkEnd w:id="98"/>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本企业郑重声明，根据《关于政府采购支持监狱企业发展有关问题的通知》(财库[2014]68号）的规定，本企业为监狱企业。</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根据上述标准，我企业属于监狱企业的理由为: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本企业为参加(项目名称:</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(项目编号:</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)采购活动提供本企业的产品。</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本企业对上述声明的真实性负责。如有虚假，将依法承担相应责任。</w:t>
      </w: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供应商名称(盖章) :</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监狱企业参加政府采购活动时，应当提供由省级以上监狱管理局、戒毒管理局(含新疆生产建设兵团)出具的属于监狱企业的证明文件；</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ind w:firstLine="440" w:firstLineChars="200"/>
        <w:rPr>
          <w:rFonts w:ascii="微软雅黑" w:hAnsi="微软雅黑" w:eastAsia="微软雅黑" w:cs="微软雅黑"/>
          <w:color w:val="auto"/>
          <w:sz w:val="22"/>
          <w:szCs w:val="22"/>
          <w:highlight w:val="none"/>
        </w:rPr>
      </w:pPr>
    </w:p>
    <w:p>
      <w:pPr>
        <w:snapToGrid w:val="0"/>
        <w:spacing w:before="50" w:after="156" w:afterLines="50" w:line="600" w:lineRule="exact"/>
        <w:ind w:firstLine="440" w:firstLineChars="200"/>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附件16</w:t>
      </w:r>
    </w:p>
    <w:p>
      <w:pPr>
        <w:snapToGrid w:val="0"/>
        <w:spacing w:before="50" w:after="156" w:afterLines="50"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w:t>
      </w:r>
      <w:r>
        <w:rPr>
          <w:rFonts w:ascii="微软雅黑" w:hAnsi="微软雅黑" w:eastAsia="微软雅黑" w:cs="微软雅黑"/>
          <w:b/>
          <w:bCs/>
          <w:color w:val="auto"/>
          <w:sz w:val="22"/>
          <w:szCs w:val="22"/>
          <w:highlight w:val="none"/>
        </w:rPr>
        <w:t>6</w:t>
      </w:r>
      <w:r>
        <w:rPr>
          <w:rFonts w:hint="eastAsia" w:ascii="微软雅黑" w:hAnsi="微软雅黑" w:eastAsia="微软雅黑" w:cs="微软雅黑"/>
          <w:b/>
          <w:bCs/>
          <w:color w:val="auto"/>
          <w:sz w:val="22"/>
          <w:szCs w:val="22"/>
          <w:highlight w:val="none"/>
        </w:rPr>
        <w:t>、残疾人福利性单位声明函</w:t>
      </w:r>
    </w:p>
    <w:p>
      <w:pPr>
        <w:spacing w:line="60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【非残疾人福利性单位不用提供】</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(采购人名称)单位的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本单位对上述声明的真实性负责，如有虚假，将依法承但相应责任。</w:t>
      </w: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供应商名称(盖章)：</w:t>
      </w:r>
    </w:p>
    <w:p>
      <w:pPr>
        <w:spacing w:line="60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附件17</w:t>
      </w:r>
    </w:p>
    <w:p>
      <w:pPr>
        <w:snapToGrid w:val="0"/>
        <w:spacing w:before="50" w:after="156" w:afterLines="50" w:line="36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w:t>
      </w:r>
      <w:r>
        <w:rPr>
          <w:rFonts w:ascii="微软雅黑" w:hAnsi="微软雅黑" w:eastAsia="微软雅黑" w:cs="微软雅黑"/>
          <w:b/>
          <w:bCs/>
          <w:color w:val="auto"/>
          <w:sz w:val="22"/>
          <w:szCs w:val="22"/>
          <w:highlight w:val="none"/>
        </w:rPr>
        <w:t>7</w:t>
      </w:r>
      <w:r>
        <w:rPr>
          <w:rFonts w:hint="eastAsia" w:ascii="微软雅黑" w:hAnsi="微软雅黑" w:eastAsia="微软雅黑" w:cs="微软雅黑"/>
          <w:b/>
          <w:bCs/>
          <w:color w:val="auto"/>
          <w:sz w:val="22"/>
          <w:szCs w:val="22"/>
          <w:highlight w:val="none"/>
        </w:rPr>
        <w:t>、采购代理服务费承诺函</w:t>
      </w: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浙江明业项目管理有限公司：</w:t>
      </w: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根据磋商文件的规定，一旦我单位成交，我单位同意按采购文件要求向贵公司交纳成交项目的采购代理服务费，在确定成交供应商后，领取成交通知书前的当天一次性结清。</w:t>
      </w: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本承诺函自开标之日起至本次采购期满有效。</w:t>
      </w: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法定代表人或授权代表签字：</w:t>
      </w: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供应商公章：</w:t>
      </w:r>
    </w:p>
    <w:p>
      <w:pPr>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r>
        <w:rPr>
          <w:rFonts w:hint="eastAsia" w:ascii="微软雅黑" w:hAnsi="微软雅黑" w:eastAsia="微软雅黑" w:cs="微软雅黑"/>
          <w:color w:val="auto"/>
          <w:sz w:val="22"/>
          <w:szCs w:val="22"/>
          <w:highlight w:val="none"/>
          <w:lang w:val="en-US" w:eastAsia="zh-CN"/>
        </w:rPr>
        <w:t xml:space="preserve"> </w:t>
      </w:r>
      <w:bookmarkStart w:id="99" w:name="_GoBack"/>
      <w:bookmarkEnd w:id="99"/>
      <w:r>
        <w:rPr>
          <w:rFonts w:hint="eastAsia" w:ascii="微软雅黑" w:hAnsi="微软雅黑" w:eastAsia="微软雅黑" w:cs="微软雅黑"/>
          <w:color w:val="auto"/>
          <w:sz w:val="22"/>
          <w:szCs w:val="22"/>
          <w:highlight w:val="none"/>
        </w:rPr>
        <w:t>年  月  日</w:t>
      </w: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40" w:lineRule="exact"/>
        <w:ind w:firstLine="440" w:firstLineChars="200"/>
        <w:jc w:val="left"/>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spacing w:line="600" w:lineRule="exact"/>
        <w:ind w:firstLine="440" w:firstLineChars="200"/>
        <w:rPr>
          <w:rFonts w:ascii="微软雅黑" w:hAnsi="微软雅黑" w:eastAsia="微软雅黑" w:cs="微软雅黑"/>
          <w:color w:val="auto"/>
          <w:sz w:val="22"/>
          <w:szCs w:val="22"/>
          <w:highlight w:val="none"/>
        </w:rPr>
      </w:pPr>
    </w:p>
    <w:p>
      <w:pPr>
        <w:ind w:firstLine="440" w:firstLineChars="200"/>
        <w:jc w:val="center"/>
        <w:rPr>
          <w:rFonts w:ascii="微软雅黑" w:hAnsi="微软雅黑" w:eastAsia="微软雅黑" w:cs="微软雅黑"/>
          <w:b/>
          <w:color w:val="auto"/>
          <w:sz w:val="22"/>
          <w:szCs w:val="22"/>
          <w:highlight w:val="none"/>
        </w:rPr>
      </w:pPr>
    </w:p>
    <w:p>
      <w:pPr>
        <w:ind w:firstLine="440" w:firstLineChars="200"/>
        <w:jc w:val="both"/>
        <w:rPr>
          <w:rFonts w:hint="default" w:ascii="微软雅黑" w:hAnsi="微软雅黑" w:eastAsia="微软雅黑" w:cs="微软雅黑"/>
          <w:b/>
          <w:color w:val="auto"/>
          <w:sz w:val="22"/>
          <w:szCs w:val="22"/>
          <w:highlight w:val="none"/>
          <w:lang w:val="en-US" w:eastAsia="zh-CN"/>
        </w:rPr>
      </w:pPr>
      <w:r>
        <w:rPr>
          <w:rFonts w:hint="eastAsia" w:ascii="微软雅黑" w:hAnsi="微软雅黑" w:eastAsia="微软雅黑" w:cs="微软雅黑"/>
          <w:b/>
          <w:color w:val="auto"/>
          <w:sz w:val="22"/>
          <w:szCs w:val="22"/>
          <w:highlight w:val="none"/>
          <w:lang w:val="en-US" w:eastAsia="zh-CN"/>
        </w:rPr>
        <w:t>附件18</w:t>
      </w:r>
    </w:p>
    <w:p>
      <w:pPr>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1</w:t>
      </w:r>
      <w:r>
        <w:rPr>
          <w:rFonts w:ascii="微软雅黑" w:hAnsi="微软雅黑" w:eastAsia="微软雅黑" w:cs="微软雅黑"/>
          <w:b/>
          <w:color w:val="auto"/>
          <w:sz w:val="22"/>
          <w:szCs w:val="22"/>
          <w:highlight w:val="none"/>
        </w:rPr>
        <w:t>8</w:t>
      </w:r>
      <w:r>
        <w:rPr>
          <w:rFonts w:hint="eastAsia" w:ascii="微软雅黑" w:hAnsi="微软雅黑" w:eastAsia="微软雅黑" w:cs="微软雅黑"/>
          <w:b/>
          <w:color w:val="auto"/>
          <w:sz w:val="22"/>
          <w:szCs w:val="22"/>
          <w:highlight w:val="none"/>
        </w:rPr>
        <w:t>、供应商针对报价需要说明的其他文件和说明</w:t>
      </w:r>
    </w:p>
    <w:p>
      <w:pPr>
        <w:snapToGrid w:val="0"/>
        <w:spacing w:before="50" w:after="50"/>
        <w:jc w:val="left"/>
        <w:rPr>
          <w:rFonts w:ascii="微软雅黑" w:hAnsi="微软雅黑" w:eastAsia="微软雅黑" w:cs="微软雅黑"/>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ascii="微软雅黑" w:hAnsi="微软雅黑" w:eastAsia="微软雅黑" w:cs="微软雅黑"/>
          <w:b/>
          <w:bCs/>
          <w:color w:val="auto"/>
          <w:sz w:val="22"/>
          <w:szCs w:val="22"/>
          <w:highlight w:val="none"/>
        </w:rPr>
      </w:pPr>
    </w:p>
    <w:p>
      <w:pPr>
        <w:snapToGrid w:val="0"/>
        <w:spacing w:before="50" w:after="50"/>
        <w:ind w:firstLine="440" w:firstLineChars="200"/>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rPr>
        <w:t>附件</w:t>
      </w:r>
      <w:r>
        <w:rPr>
          <w:rFonts w:hint="eastAsia" w:ascii="微软雅黑" w:hAnsi="微软雅黑" w:eastAsia="微软雅黑" w:cs="微软雅黑"/>
          <w:b/>
          <w:bCs/>
          <w:color w:val="auto"/>
          <w:sz w:val="22"/>
          <w:szCs w:val="22"/>
          <w:highlight w:val="none"/>
          <w:lang w:val="en-US" w:eastAsia="zh-CN"/>
        </w:rPr>
        <w:t>19</w:t>
      </w:r>
    </w:p>
    <w:p>
      <w:pPr>
        <w:snapToGrid w:val="0"/>
        <w:spacing w:before="50" w:after="5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w:t>
      </w:r>
      <w:r>
        <w:rPr>
          <w:rFonts w:ascii="微软雅黑" w:hAnsi="微软雅黑" w:eastAsia="微软雅黑" w:cs="微软雅黑"/>
          <w:b/>
          <w:bCs/>
          <w:color w:val="auto"/>
          <w:sz w:val="22"/>
          <w:szCs w:val="22"/>
          <w:highlight w:val="none"/>
        </w:rPr>
        <w:t>9</w:t>
      </w:r>
      <w:r>
        <w:rPr>
          <w:rFonts w:hint="eastAsia" w:ascii="微软雅黑" w:hAnsi="微软雅黑" w:eastAsia="微软雅黑" w:cs="微软雅黑"/>
          <w:b/>
          <w:bCs/>
          <w:color w:val="auto"/>
          <w:sz w:val="22"/>
          <w:szCs w:val="22"/>
          <w:highlight w:val="none"/>
        </w:rPr>
        <w:t>、供应商自评分索引表</w:t>
      </w:r>
    </w:p>
    <w:p>
      <w:pPr>
        <w:snapToGrid w:val="0"/>
        <w:spacing w:before="50"/>
        <w:ind w:firstLine="440" w:firstLineChars="200"/>
        <w:jc w:val="center"/>
        <w:rPr>
          <w:rFonts w:ascii="微软雅黑" w:hAnsi="微软雅黑" w:eastAsia="微软雅黑" w:cs="微软雅黑"/>
          <w:b/>
          <w:color w:val="auto"/>
          <w:sz w:val="22"/>
          <w:szCs w:val="22"/>
          <w:highlight w:val="none"/>
        </w:rPr>
      </w:pPr>
    </w:p>
    <w:p>
      <w:pPr>
        <w:adjustRightInd w:val="0"/>
        <w:snapToGrid w:val="0"/>
        <w:spacing w:line="360" w:lineRule="auto"/>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供应商全称（公章）：              </w:t>
      </w:r>
    </w:p>
    <w:tbl>
      <w:tblPr>
        <w:tblStyle w:val="32"/>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ascii="微软雅黑" w:hAnsi="微软雅黑" w:eastAsia="微软雅黑" w:cs="微软雅黑"/>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firstLine="440" w:firstLineChars="200"/>
              <w:jc w:val="center"/>
              <w:rPr>
                <w:rFonts w:ascii="微软雅黑" w:hAnsi="微软雅黑" w:eastAsia="微软雅黑" w:cs="微软雅黑"/>
                <w:color w:val="auto"/>
                <w:sz w:val="22"/>
                <w:szCs w:val="22"/>
                <w:highlight w:val="none"/>
              </w:rPr>
            </w:pPr>
          </w:p>
        </w:tc>
      </w:tr>
    </w:tbl>
    <w:p>
      <w:pPr>
        <w:snapToGrid w:val="0"/>
        <w:spacing w:line="460" w:lineRule="exact"/>
        <w:ind w:firstLine="440" w:firstLineChars="200"/>
        <w:rPr>
          <w:rFonts w:ascii="微软雅黑" w:hAnsi="微软雅黑" w:eastAsia="微软雅黑" w:cs="微软雅黑"/>
          <w:color w:val="auto"/>
          <w:sz w:val="22"/>
          <w:szCs w:val="22"/>
          <w:highlight w:val="none"/>
        </w:rPr>
      </w:pPr>
    </w:p>
    <w:p>
      <w:pPr>
        <w:snapToGrid w:val="0"/>
        <w:spacing w:line="46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法定代表人或其授权代理人签字或盖章：</w:t>
      </w:r>
    </w:p>
    <w:p>
      <w:pPr>
        <w:snapToGrid w:val="0"/>
        <w:spacing w:line="460" w:lineRule="exact"/>
        <w:ind w:firstLine="440" w:firstLineChars="2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jc w:val="center"/>
        <w:rPr>
          <w:rFonts w:ascii="微软雅黑" w:hAnsi="微软雅黑" w:eastAsia="微软雅黑" w:cs="微软雅黑"/>
          <w:b/>
          <w:bCs/>
          <w:color w:val="auto"/>
          <w:sz w:val="22"/>
          <w:szCs w:val="22"/>
          <w:highlight w:val="none"/>
        </w:rPr>
      </w:pPr>
    </w:p>
    <w:p>
      <w:pPr>
        <w:spacing w:line="360" w:lineRule="auto"/>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附件20</w:t>
      </w:r>
    </w:p>
    <w:p>
      <w:pPr>
        <w:snapToGrid w:val="0"/>
        <w:spacing w:line="560" w:lineRule="exact"/>
        <w:rPr>
          <w:rFonts w:ascii="微软雅黑" w:hAnsi="微软雅黑" w:eastAsia="微软雅黑" w:cs="微软雅黑"/>
          <w:b/>
          <w:bCs/>
          <w:color w:val="auto"/>
          <w:sz w:val="22"/>
          <w:szCs w:val="22"/>
          <w:highlight w:val="none"/>
        </w:rPr>
      </w:pPr>
      <w:r>
        <w:rPr>
          <w:rFonts w:ascii="微软雅黑" w:hAnsi="微软雅黑" w:eastAsia="微软雅黑" w:cs="微软雅黑"/>
          <w:b/>
          <w:bCs/>
          <w:color w:val="auto"/>
          <w:sz w:val="22"/>
          <w:szCs w:val="22"/>
          <w:highlight w:val="none"/>
        </w:rPr>
        <w:t>20</w:t>
      </w:r>
      <w:r>
        <w:rPr>
          <w:rFonts w:hint="eastAsia" w:ascii="微软雅黑" w:hAnsi="微软雅黑" w:eastAsia="微软雅黑" w:cs="微软雅黑"/>
          <w:b/>
          <w:bCs/>
          <w:color w:val="auto"/>
          <w:sz w:val="22"/>
          <w:szCs w:val="22"/>
          <w:highlight w:val="none"/>
        </w:rPr>
        <w:t>、“信用中国”（www.creditchina.gov.cn）、“中国政府采购网”（www.ccgp.gov.cn）网页截图模板</w: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drawing>
          <wp:anchor distT="0" distB="0" distL="114300" distR="114300" simplePos="0" relativeHeight="251671552" behindDoc="0" locked="0" layoutInCell="1" allowOverlap="1">
            <wp:simplePos x="0" y="0"/>
            <wp:positionH relativeFrom="column">
              <wp:posOffset>498475</wp:posOffset>
            </wp:positionH>
            <wp:positionV relativeFrom="paragraph">
              <wp:posOffset>-100330</wp:posOffset>
            </wp:positionV>
            <wp:extent cx="4763135" cy="6230620"/>
            <wp:effectExtent l="0" t="0" r="18415" b="177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763135" cy="6230620"/>
                    </a:xfrm>
                    <a:prstGeom prst="rect">
                      <a:avLst/>
                    </a:prstGeom>
                    <a:noFill/>
                    <a:ln w="9525">
                      <a:noFill/>
                    </a:ln>
                  </pic:spPr>
                </pic:pic>
              </a:graphicData>
            </a:graphic>
          </wp:anchor>
        </w:drawing>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70528" behindDoc="0" locked="0" layoutInCell="1" allowOverlap="1">
                <wp:simplePos x="0" y="0"/>
                <wp:positionH relativeFrom="column">
                  <wp:posOffset>3910330</wp:posOffset>
                </wp:positionH>
                <wp:positionV relativeFrom="paragraph">
                  <wp:posOffset>177165</wp:posOffset>
                </wp:positionV>
                <wp:extent cx="90805" cy="1285875"/>
                <wp:effectExtent l="0" t="0" r="4445" b="9525"/>
                <wp:wrapNone/>
                <wp:docPr id="2" name="矩形 2"/>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307.9pt;margin-top:13.95pt;height:101.25pt;width:7.15pt;z-index:251670528;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aT0k2AAAAAoBAAAPAAAAAAAAAAEAIAAAACIAAABkcnMvZG93bnJldi54bWxQSwEC&#10;FAAUAAAACACHTuJAdwQaDrsBAABy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3" name="矩形 3"/>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94pt;margin-top:24.15pt;height:70.75pt;width:7.15pt;z-index:251662336;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8JsTNcAAAAKAQAADwAAAAAAAAABACAAAAAiAAAAZHJzL2Rvd25yZXYueG1sUEsBAhQA&#10;FAAAAAgAh07iQKSyuXi6AQAAcQMAAA4AAAAAAAAAAQAgAAAAJgEAAGRycy9lMm9Eb2MueG1sUEsF&#10;BgAAAAAGAAYAWQEAAFIFA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4" name="矩形 4"/>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w="9525">
                          <a:noFill/>
                        </a:ln>
                      </wps:spPr>
                      <wps:txbx>
                        <w:txbxContent>
                          <w:p/>
                          <w:p>
                            <w:r>
                              <w:rPr>
                                <w:rFonts w:hint="eastAsia"/>
                              </w:rPr>
                              <w:t>某某</w:t>
                            </w:r>
                          </w:p>
                        </w:txbxContent>
                      </wps:txbx>
                      <wps:bodyPr vert="vert270" upright="1"/>
                    </wps:wsp>
                  </a:graphicData>
                </a:graphic>
              </wp:anchor>
            </w:drawing>
          </mc:Choice>
          <mc:Fallback>
            <w:pict>
              <v:rect id="_x0000_s1026" o:spid="_x0000_s1026" o:spt="1" style="position:absolute;left:0pt;margin-left:167.7pt;margin-top:11.65pt;height:152.1pt;width:14.4pt;z-index:251661312;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5ioQ2gAAAAoBAAAPAAAAAAAAAAEAIAAAACIAAABkcnMv&#10;ZG93bnJldi54bWxQSwECFAAUAAAACACHTuJAGZ0UZ8gBAACCAwAADgAAAAAAAAABACAAAAApAQAA&#10;ZHJzL2Uyb0RvYy54bWxQSwUGAAAAAAYABgBZAQAAYwUAAAAA&#10;">
                <v:fill on="t" focussize="0,0"/>
                <v:stroke on="f"/>
                <v:imagedata o:title=""/>
                <o:lock v:ext="edit" aspectratio="f"/>
                <v:textbox style="layout-flow:vertical;mso-layout-flow-alt:bottom-to-top;">
                  <w:txbxContent>
                    <w:p/>
                    <w:p>
                      <w:r>
                        <w:rPr>
                          <w:rFonts w:hint="eastAsia"/>
                        </w:rPr>
                        <w:t>某某</w:t>
                      </w: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9504" behindDoc="0" locked="0" layoutInCell="1" allowOverlap="1">
                <wp:simplePos x="0" y="0"/>
                <wp:positionH relativeFrom="column">
                  <wp:posOffset>3700780</wp:posOffset>
                </wp:positionH>
                <wp:positionV relativeFrom="paragraph">
                  <wp:posOffset>221615</wp:posOffset>
                </wp:positionV>
                <wp:extent cx="90805" cy="530225"/>
                <wp:effectExtent l="0" t="0" r="4445" b="3175"/>
                <wp:wrapNone/>
                <wp:docPr id="5" name="矩形 5"/>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91.4pt;margin-top:17.45pt;height:41.75pt;width:7.15pt;z-index:251669504;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hdTrDZAAAACgEAAA8AAAAAAAAAAQAgAAAAIgAAAGRycy9kb3ducmV2LnhtbFBL&#10;AQIUABQAAAAIAIdO4kC4feS0vAEAAHEDAAAOAAAAAAAAAAEAIAAAACgBAABkcnMvZTJvRG9jLnht&#10;bFBLBQYAAAAABgAGAFkBAABWBQ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7456" behindDoc="0" locked="0" layoutInCell="1" allowOverlap="1">
                <wp:simplePos x="0" y="0"/>
                <wp:positionH relativeFrom="column">
                  <wp:posOffset>2312670</wp:posOffset>
                </wp:positionH>
                <wp:positionV relativeFrom="paragraph">
                  <wp:posOffset>132715</wp:posOffset>
                </wp:positionV>
                <wp:extent cx="151130" cy="1047750"/>
                <wp:effectExtent l="0" t="0" r="1270" b="0"/>
                <wp:wrapNone/>
                <wp:docPr id="6" name="矩形 6"/>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82.1pt;margin-top:10.45pt;height:82.5pt;width:11.9pt;z-index:251667456;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RPjF7XAAAACgEAAA8AAAAAAAAAAQAgAAAAIgAAAGRycy9kb3ducmV2LnhtbFBL&#10;AQIUABQAAAAIAIdO4kBDvQO1vgEAAHMDAAAOAAAAAAAAAAEAIAAAACYBAABkcnMvZTJvRG9jLnht&#10;bFBLBQYAAAAABgAGAFkBAABWBQ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3360"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7" name="矩形 7"/>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10.25pt;margin-top:17.45pt;height:90.75pt;width:7.15pt;z-index:251663360;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S9zcbYAAAACgEAAA8AAAAAAAAAAQAgAAAAIgAAAGRycy9kb3ducmV2LnhtbFBLAQIU&#10;ABQAAAAIAIdO4kDTwBx7ugEAAHIDAAAOAAAAAAAAAAEAIAAAACcBAABkcnMvZTJvRG9jLnhtbFBL&#10;BQYAAAAABgAGAFkBAABTBQ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8480" behindDoc="0" locked="0" layoutInCell="1" allowOverlap="1">
                <wp:simplePos x="0" y="0"/>
                <wp:positionH relativeFrom="column">
                  <wp:posOffset>3415030</wp:posOffset>
                </wp:positionH>
                <wp:positionV relativeFrom="paragraph">
                  <wp:posOffset>139065</wp:posOffset>
                </wp:positionV>
                <wp:extent cx="90805" cy="257175"/>
                <wp:effectExtent l="0" t="0" r="4445" b="9525"/>
                <wp:wrapNone/>
                <wp:docPr id="8" name="矩形 8"/>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68.9pt;margin-top:10.95pt;height:20.25pt;width:7.15pt;z-index:251668480;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Pg1O2AAAAAkBAAAPAAAAAAAAAAEAIAAAACIAAABkcnMvZG93bnJldi54bWxQSwEC&#10;FAAUAAAACACHTuJARH8JB7sBAABx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6432" behindDoc="0" locked="0" layoutInCell="1" allowOverlap="1">
                <wp:simplePos x="0" y="0"/>
                <wp:positionH relativeFrom="column">
                  <wp:posOffset>2081530</wp:posOffset>
                </wp:positionH>
                <wp:positionV relativeFrom="paragraph">
                  <wp:posOffset>53340</wp:posOffset>
                </wp:positionV>
                <wp:extent cx="139065" cy="1590675"/>
                <wp:effectExtent l="0" t="0" r="13335" b="9525"/>
                <wp:wrapNone/>
                <wp:docPr id="9" name="矩形 9"/>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163.9pt;margin-top:4.2pt;height:125.25pt;width:10.95pt;z-index:251666432;mso-width-relative:page;mso-height-relative:page;" fillcolor="#FFFFFF" filled="t" stroked="f" coordsize="21600,21600"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yMa62AAAAAkBAAAPAAAAAAAAAAEAIAAAACIAAABkcnMvZG93bnJldi54bWxQSwEC&#10;FAAUAAAACACHTuJAdRfEMrsBAABzAwAADgAAAAAAAAABACAAAAAnAQAAZHJzL2Uyb0RvYy54bWxQ&#10;SwUGAAAAAAYABgBZAQAAVA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drawing>
          <wp:anchor distT="0" distB="0" distL="114300" distR="114300" simplePos="0" relativeHeight="251660288" behindDoc="0" locked="0" layoutInCell="1" allowOverlap="1">
            <wp:simplePos x="0" y="0"/>
            <wp:positionH relativeFrom="column">
              <wp:posOffset>755015</wp:posOffset>
            </wp:positionH>
            <wp:positionV relativeFrom="paragraph">
              <wp:posOffset>256540</wp:posOffset>
            </wp:positionV>
            <wp:extent cx="4411980" cy="7866380"/>
            <wp:effectExtent l="0" t="0" r="7620" b="1270"/>
            <wp:wrapSquare wrapText="bothSides"/>
            <wp:docPr id="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4"/>
                    <pic:cNvPicPr>
                      <a:picLocks noChangeAspect="1"/>
                    </pic:cNvPicPr>
                  </pic:nvPicPr>
                  <pic:blipFill>
                    <a:blip r:embed="rId8"/>
                    <a:stretch>
                      <a:fillRect/>
                    </a:stretch>
                  </pic:blipFill>
                  <pic:spPr>
                    <a:xfrm>
                      <a:off x="0" y="0"/>
                      <a:ext cx="4411980" cy="7866380"/>
                    </a:xfrm>
                    <a:prstGeom prst="rect">
                      <a:avLst/>
                    </a:prstGeom>
                    <a:solidFill>
                      <a:srgbClr val="FFC000"/>
                    </a:solidFill>
                    <a:ln w="9525">
                      <a:noFill/>
                    </a:ln>
                  </pic:spPr>
                </pic:pic>
              </a:graphicData>
            </a:graphic>
          </wp:anchor>
        </w:drawing>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5408"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11" name="矩形 11"/>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346.75pt;margin-top:14.25pt;height:70.75pt;width:7.15pt;z-index:251665408;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86dzvYAAAACgEAAA8AAAAAAAAAAQAgAAAAIgAAAGRycy9kb3ducmV2LnhtbFBLAQIU&#10;ABQAAAAIAIdO4kAzF6ObugEAAHMDAAAOAAAAAAAAAAEAIAAAACcBAABkcnMvZTJvRG9jLnhtbFBL&#10;BQYAAAAABgAGAFkBAABTBQ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96520</wp:posOffset>
                </wp:positionV>
                <wp:extent cx="103505" cy="882650"/>
                <wp:effectExtent l="0" t="0" r="10795" b="12700"/>
                <wp:wrapNone/>
                <wp:docPr id="12" name="矩形 12"/>
                <wp:cNvGraphicFramePr/>
                <a:graphic xmlns:a="http://schemas.openxmlformats.org/drawingml/2006/main">
                  <a:graphicData uri="http://schemas.microsoft.com/office/word/2010/wordprocessingShape">
                    <wps:wsp>
                      <wps:cNvSpPr/>
                      <wps:spPr>
                        <a:xfrm>
                          <a:off x="0" y="0"/>
                          <a:ext cx="103505" cy="88265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244.7pt;margin-top:7.6pt;height:69.5pt;width:8.15pt;z-index:251664384;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PM231wAAAAoBAAAPAAAAAAAAAAEAIAAAACIAAABkcnMvZG93bnJldi54bWxQ&#10;SwECFAAUAAAACACHTuJAdBGpnr8BAAB0AwAADgAAAAAAAAABACAAAAAmAQAAZHJzL2Uyb0RvYy54&#10;bWxQSwUGAAAAAAYABgBZAQAAVwUAAAAA&#10;">
                <v:fill on="t" focussize="0,0"/>
                <v:stroke on="f"/>
                <v:imagedata o:title=""/>
                <o:lock v:ext="edit" aspectratio="f"/>
                <v:textbox>
                  <w:txbxContent>
                    <w:p>
                      <w:pPr>
                        <w:jc w:val="center"/>
                      </w:pPr>
                    </w:p>
                  </w:txbxContent>
                </v:textbox>
              </v:rect>
            </w:pict>
          </mc:Fallback>
        </mc:AlternateContent>
      </w: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ind w:firstLine="440" w:firstLineChars="200"/>
        <w:jc w:val="center"/>
        <w:rPr>
          <w:rFonts w:ascii="微软雅黑" w:hAnsi="微软雅黑" w:eastAsia="微软雅黑" w:cs="微软雅黑"/>
          <w:b/>
          <w:bCs/>
          <w:color w:val="auto"/>
          <w:sz w:val="22"/>
          <w:szCs w:val="22"/>
          <w:highlight w:val="none"/>
        </w:rPr>
      </w:pPr>
    </w:p>
    <w:p>
      <w:pPr>
        <w:snapToGrid w:val="0"/>
        <w:spacing w:line="560" w:lineRule="exact"/>
        <w:rPr>
          <w:rFonts w:ascii="微软雅黑" w:hAnsi="微软雅黑" w:eastAsia="微软雅黑" w:cs="微软雅黑"/>
          <w:b/>
          <w:bCs/>
          <w:color w:val="auto"/>
          <w:sz w:val="22"/>
          <w:szCs w:val="22"/>
          <w:highlight w:val="none"/>
        </w:rPr>
      </w:pPr>
    </w:p>
    <w:p>
      <w:pP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tbl>
      <w:tblPr>
        <w:tblStyle w:val="32"/>
        <w:tblW w:w="8961" w:type="dxa"/>
        <w:tblInd w:w="111" w:type="dxa"/>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Layout w:type="fixed"/>
        <w:tblCellMar>
          <w:top w:w="0" w:type="dxa"/>
          <w:left w:w="108" w:type="dxa"/>
          <w:bottom w:w="0" w:type="dxa"/>
          <w:right w:w="108" w:type="dxa"/>
        </w:tblCellMar>
      </w:tblPr>
      <w:tblGrid>
        <w:gridCol w:w="4234"/>
        <w:gridCol w:w="4727"/>
      </w:tblGrid>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278" w:hRule="atLeast"/>
        </w:trPr>
        <w:tc>
          <w:tcPr>
            <w:tcW w:w="4234" w:type="dxa"/>
            <w:tcBorders>
              <w:top w:val="double" w:color="auto" w:sz="2" w:space="0"/>
              <w:left w:val="double" w:color="auto" w:sz="2" w:space="0"/>
              <w:bottom w:val="double" w:color="auto" w:sz="2" w:space="0"/>
              <w:right w:val="double" w:color="auto" w:sz="2" w:space="0"/>
            </w:tcBorders>
            <w:vAlign w:val="center"/>
          </w:tcPr>
          <w:p>
            <w:pPr>
              <w:widowControl/>
              <w:spacing w:before="100" w:beforeAutospacing="1" w:line="300" w:lineRule="exact"/>
              <w:ind w:firstLine="440" w:firstLineChars="200"/>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现场体温测量</w:t>
            </w:r>
          </w:p>
        </w:tc>
        <w:tc>
          <w:tcPr>
            <w:tcW w:w="4727" w:type="dxa"/>
            <w:tcBorders>
              <w:top w:val="double" w:color="auto" w:sz="2" w:space="0"/>
              <w:left w:val="nil"/>
              <w:bottom w:val="double" w:color="auto" w:sz="2" w:space="0"/>
              <w:right w:val="double" w:color="auto" w:sz="2" w:space="0"/>
            </w:tcBorders>
          </w:tcPr>
          <w:p>
            <w:pPr>
              <w:widowControl/>
              <w:spacing w:before="100" w:beforeAutospacing="1" w:line="300" w:lineRule="exact"/>
              <w:ind w:firstLine="440" w:firstLineChars="200"/>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bl>
    <w:p>
      <w:pPr>
        <w:widowControl/>
        <w:spacing w:before="100" w:beforeAutospacing="1" w:after="100" w:afterAutospacing="1" w:line="320" w:lineRule="exact"/>
        <w:jc w:val="left"/>
        <w:rPr>
          <w:rFonts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22"/>
          <w:szCs w:val="22"/>
          <w:highlight w:val="none"/>
          <w:lang w:val="en-US" w:eastAsia="zh-CN"/>
        </w:rPr>
        <w:t>附件</w:t>
      </w:r>
      <w:r>
        <w:rPr>
          <w:rFonts w:hint="eastAsia" w:ascii="微软雅黑" w:hAnsi="微软雅黑" w:eastAsia="微软雅黑" w:cs="微软雅黑"/>
          <w:b/>
          <w:bCs/>
          <w:color w:val="auto"/>
          <w:kern w:val="0"/>
          <w:sz w:val="22"/>
          <w:szCs w:val="22"/>
          <w:highlight w:val="none"/>
        </w:rPr>
        <w:t>2</w:t>
      </w:r>
      <w:r>
        <w:rPr>
          <w:rFonts w:ascii="微软雅黑" w:hAnsi="微软雅黑" w:eastAsia="微软雅黑" w:cs="微软雅黑"/>
          <w:b/>
          <w:bCs/>
          <w:color w:val="auto"/>
          <w:kern w:val="0"/>
          <w:sz w:val="22"/>
          <w:szCs w:val="22"/>
          <w:highlight w:val="none"/>
        </w:rPr>
        <w:t>1</w:t>
      </w:r>
      <w:r>
        <w:rPr>
          <w:rFonts w:hint="eastAsia" w:ascii="微软雅黑" w:hAnsi="微软雅黑" w:eastAsia="微软雅黑" w:cs="微软雅黑"/>
          <w:b/>
          <w:bCs/>
          <w:color w:val="auto"/>
          <w:kern w:val="0"/>
          <w:sz w:val="22"/>
          <w:szCs w:val="22"/>
          <w:highlight w:val="none"/>
          <w:lang w:val="en-US" w:eastAsia="zh-CN"/>
        </w:rPr>
        <w:t xml:space="preserve">                     </w:t>
      </w:r>
      <w:r>
        <w:rPr>
          <w:rFonts w:hint="eastAsia" w:ascii="微软雅黑" w:hAnsi="微软雅黑" w:eastAsia="微软雅黑" w:cs="微软雅黑"/>
          <w:b/>
          <w:bCs/>
          <w:color w:val="auto"/>
          <w:kern w:val="0"/>
          <w:sz w:val="22"/>
          <w:szCs w:val="22"/>
          <w:highlight w:val="none"/>
        </w:rPr>
        <w:t>开评标人员健康信息登记表</w:t>
      </w:r>
    </w:p>
    <w:tbl>
      <w:tblPr>
        <w:tblStyle w:val="32"/>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354"/>
        <w:gridCol w:w="496"/>
        <w:gridCol w:w="1726"/>
        <w:gridCol w:w="588"/>
        <w:gridCol w:w="22"/>
        <w:gridCol w:w="725"/>
        <w:gridCol w:w="342"/>
        <w:gridCol w:w="618"/>
        <w:gridCol w:w="277"/>
        <w:gridCol w:w="308"/>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姓名</w:t>
            </w:r>
          </w:p>
        </w:tc>
        <w:tc>
          <w:tcPr>
            <w:tcW w:w="1726" w:type="dxa"/>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c>
          <w:tcPr>
            <w:tcW w:w="1677"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身份证号码</w:t>
            </w:r>
          </w:p>
        </w:tc>
        <w:tc>
          <w:tcPr>
            <w:tcW w:w="3797"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单位名称</w:t>
            </w:r>
          </w:p>
        </w:tc>
        <w:tc>
          <w:tcPr>
            <w:tcW w:w="7200" w:type="dxa"/>
            <w:gridSpan w:val="9"/>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单位地址</w:t>
            </w:r>
          </w:p>
        </w:tc>
        <w:tc>
          <w:tcPr>
            <w:tcW w:w="7200" w:type="dxa"/>
            <w:gridSpan w:val="9"/>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个人住址</w:t>
            </w:r>
          </w:p>
        </w:tc>
        <w:tc>
          <w:tcPr>
            <w:tcW w:w="7200" w:type="dxa"/>
            <w:gridSpan w:val="9"/>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单位电话</w:t>
            </w:r>
          </w:p>
        </w:tc>
        <w:tc>
          <w:tcPr>
            <w:tcW w:w="2336" w:type="dxa"/>
            <w:gridSpan w:val="3"/>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c>
          <w:tcPr>
            <w:tcW w:w="1962"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个人手机号码</w:t>
            </w:r>
          </w:p>
        </w:tc>
        <w:tc>
          <w:tcPr>
            <w:tcW w:w="2902" w:type="dxa"/>
            <w:gridSpan w:val="2"/>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应急联系人（身份）</w:t>
            </w:r>
          </w:p>
        </w:tc>
        <w:tc>
          <w:tcPr>
            <w:tcW w:w="2336" w:type="dxa"/>
            <w:gridSpan w:val="3"/>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c>
          <w:tcPr>
            <w:tcW w:w="1962"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应急联系人</w:t>
            </w:r>
          </w:p>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手机号码</w:t>
            </w:r>
          </w:p>
        </w:tc>
        <w:tc>
          <w:tcPr>
            <w:tcW w:w="2902" w:type="dxa"/>
            <w:gridSpan w:val="2"/>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人员身份</w:t>
            </w:r>
          </w:p>
        </w:tc>
        <w:tc>
          <w:tcPr>
            <w:tcW w:w="7200" w:type="dxa"/>
            <w:gridSpan w:val="9"/>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□评标专家     □采购人代表      □代理机构工作人员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b/>
                <w:bCs/>
                <w:color w:val="auto"/>
                <w:kern w:val="0"/>
                <w:szCs w:val="21"/>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96"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是否在最近14天来自（或途径）疫情重点地区 ？</w:t>
            </w:r>
          </w:p>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□否      □是 ，所在（途径）地：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4"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最近14天是否离开过本市？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离开本市往</w:t>
            </w:r>
          </w:p>
        </w:tc>
        <w:tc>
          <w:tcPr>
            <w:tcW w:w="2314" w:type="dxa"/>
            <w:gridSpan w:val="2"/>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1707"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返回日期</w:t>
            </w:r>
          </w:p>
        </w:tc>
        <w:tc>
          <w:tcPr>
            <w:tcW w:w="3179" w:type="dxa"/>
            <w:gridSpan w:val="3"/>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3"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途径（换乘）</w:t>
            </w:r>
          </w:p>
        </w:tc>
        <w:tc>
          <w:tcPr>
            <w:tcW w:w="2314" w:type="dxa"/>
            <w:gridSpan w:val="2"/>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1707"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途径日期</w:t>
            </w:r>
          </w:p>
        </w:tc>
        <w:tc>
          <w:tcPr>
            <w:tcW w:w="3179" w:type="dxa"/>
            <w:gridSpan w:val="3"/>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5"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最近14天是否有与来自疫情重点地区 人员接触情况？</w:t>
            </w:r>
          </w:p>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06" w:hRule="atLeast"/>
        </w:trPr>
        <w:tc>
          <w:tcPr>
            <w:tcW w:w="905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本人承诺以上信息真实准确。如有不实，愿承担由此引起的一切后果及法律责任。</w:t>
            </w:r>
          </w:p>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申报人（签名）：  </w:t>
            </w:r>
          </w:p>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atLeast"/>
        </w:trPr>
        <w:tc>
          <w:tcPr>
            <w:tcW w:w="13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评审项目标项名称</w:t>
            </w:r>
          </w:p>
        </w:tc>
        <w:tc>
          <w:tcPr>
            <w:tcW w:w="3557" w:type="dxa"/>
            <w:gridSpan w:val="5"/>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交易中心填写</w:t>
            </w:r>
          </w:p>
        </w:tc>
        <w:tc>
          <w:tcPr>
            <w:tcW w:w="1545" w:type="dxa"/>
            <w:gridSpan w:val="4"/>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评标地点及评标室号</w:t>
            </w:r>
          </w:p>
        </w:tc>
        <w:tc>
          <w:tcPr>
            <w:tcW w:w="2594" w:type="dxa"/>
            <w:tcBorders>
              <w:top w:val="single" w:color="auto" w:sz="4" w:space="0"/>
              <w:left w:val="nil"/>
              <w:bottom w:val="single" w:color="auto" w:sz="4" w:space="0"/>
              <w:right w:val="single" w:color="auto" w:sz="4" w:space="0"/>
            </w:tcBorders>
            <w:vAlign w:val="center"/>
          </w:tcPr>
          <w:p>
            <w:pPr>
              <w:widowControl/>
              <w:spacing w:before="100" w:beforeAutospacing="1" w:line="3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交易中心填写</w:t>
            </w:r>
          </w:p>
        </w:tc>
      </w:tr>
    </w:tbl>
    <w:p>
      <w:pPr>
        <w:widowControl/>
        <w:spacing w:before="100" w:beforeAutospacing="1" w:after="100" w:afterAutospacing="1" w:line="240" w:lineRule="exact"/>
        <w:ind w:firstLine="440" w:firstLineChars="200"/>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b/>
          <w:bCs/>
          <w:color w:val="auto"/>
          <w:kern w:val="0"/>
          <w:sz w:val="22"/>
          <w:szCs w:val="22"/>
          <w:highlight w:val="none"/>
        </w:rPr>
        <w:t>存在瞒报，一经发现将严肃处理，在诚信体系中予以记录，并报有关部门依法追究责任</w:t>
      </w:r>
    </w:p>
    <w:p>
      <w:pPr>
        <w:snapToGrid w:val="0"/>
        <w:spacing w:line="560" w:lineRule="exact"/>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附件22</w:t>
      </w:r>
    </w:p>
    <w:p>
      <w:pPr>
        <w:snapToGrid w:val="0"/>
        <w:spacing w:line="56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r>
        <w:rPr>
          <w:rFonts w:ascii="微软雅黑" w:hAnsi="微软雅黑" w:eastAsia="微软雅黑" w:cs="微软雅黑"/>
          <w:b/>
          <w:bCs/>
          <w:color w:val="auto"/>
          <w:sz w:val="22"/>
          <w:szCs w:val="22"/>
          <w:highlight w:val="none"/>
        </w:rPr>
        <w:t>2</w:t>
      </w:r>
      <w:r>
        <w:rPr>
          <w:rFonts w:hint="eastAsia" w:ascii="微软雅黑" w:hAnsi="微软雅黑" w:eastAsia="微软雅黑" w:cs="微软雅黑"/>
          <w:b/>
          <w:bCs/>
          <w:color w:val="auto"/>
          <w:sz w:val="22"/>
          <w:szCs w:val="22"/>
          <w:highlight w:val="none"/>
        </w:rPr>
        <w:t>、质疑函范本</w:t>
      </w:r>
    </w:p>
    <w:p>
      <w:pPr>
        <w:adjustRightInd w:val="0"/>
        <w:snapToGrid w:val="0"/>
        <w:spacing w:before="312" w:beforeLines="100" w:line="560" w:lineRule="exact"/>
        <w:ind w:firstLine="440" w:firstLineChars="2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一、质疑供应商基本信息</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二、质疑项目基本情况</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三、质疑事项具体内容</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pPr>
        <w:adjustRightInd w:val="0"/>
        <w:snapToGrid w:val="0"/>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pPr>
        <w:adjustRightInd w:val="0"/>
        <w:snapToGrid w:val="0"/>
        <w:spacing w:line="540" w:lineRule="exact"/>
        <w:ind w:firstLine="440" w:firstLineChars="2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四、与质疑事项相关的质疑请求</w:t>
      </w:r>
    </w:p>
    <w:p>
      <w:pPr>
        <w:adjustRightInd w:val="0"/>
        <w:snapToGrid w:val="0"/>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p>
    <w:p>
      <w:pPr>
        <w:spacing w:line="6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质疑函制作说明：</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pPr>
        <w:widowControl/>
        <w:spacing w:line="6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440" w:firstLineChars="200"/>
        <w:jc w:val="center"/>
        <w:rPr>
          <w:rFonts w:ascii="微软雅黑" w:hAnsi="微软雅黑" w:eastAsia="微软雅黑" w:cs="微软雅黑"/>
          <w:b/>
          <w:bCs/>
          <w:color w:val="auto"/>
          <w:sz w:val="22"/>
          <w:szCs w:val="22"/>
          <w:highlight w:val="none"/>
        </w:rPr>
      </w:pPr>
    </w:p>
    <w:p>
      <w:pPr>
        <w:spacing w:line="360" w:lineRule="auto"/>
        <w:ind w:firstLine="440" w:firstLineChars="200"/>
        <w:jc w:val="center"/>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spacing w:line="360" w:lineRule="auto"/>
        <w:ind w:firstLine="440" w:firstLineChars="200"/>
        <w:rPr>
          <w:rFonts w:ascii="微软雅黑" w:hAnsi="微软雅黑" w:eastAsia="微软雅黑" w:cs="微软雅黑"/>
          <w:b/>
          <w:bCs/>
          <w:color w:val="auto"/>
          <w:sz w:val="22"/>
          <w:szCs w:val="22"/>
          <w:highlight w:val="none"/>
        </w:rPr>
      </w:pPr>
    </w:p>
    <w:p>
      <w:pPr>
        <w:widowControl/>
        <w:jc w:val="left"/>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pPr>
        <w:spacing w:line="560" w:lineRule="exact"/>
        <w:jc w:val="left"/>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附件23</w:t>
      </w:r>
    </w:p>
    <w:p>
      <w:pPr>
        <w:spacing w:line="56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r>
        <w:rPr>
          <w:rFonts w:ascii="微软雅黑" w:hAnsi="微软雅黑" w:eastAsia="微软雅黑" w:cs="微软雅黑"/>
          <w:b/>
          <w:bCs/>
          <w:color w:val="auto"/>
          <w:sz w:val="22"/>
          <w:szCs w:val="22"/>
          <w:highlight w:val="none"/>
        </w:rPr>
        <w:t>3</w:t>
      </w:r>
      <w:r>
        <w:rPr>
          <w:rFonts w:hint="eastAsia" w:ascii="微软雅黑" w:hAnsi="微软雅黑" w:eastAsia="微软雅黑" w:cs="微软雅黑"/>
          <w:b/>
          <w:bCs/>
          <w:color w:val="auto"/>
          <w:sz w:val="22"/>
          <w:szCs w:val="22"/>
          <w:highlight w:val="none"/>
        </w:rPr>
        <w:t>、投诉书范本</w:t>
      </w:r>
    </w:p>
    <w:p>
      <w:pPr>
        <w:spacing w:line="56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一、投诉相关主体基本情况</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投诉人：</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tabs>
          <w:tab w:val="left" w:pos="6510"/>
        </w:tabs>
        <w:spacing w:line="54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法定代表人/主要负责人：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pPr>
        <w:tabs>
          <w:tab w:val="left" w:pos="6510"/>
        </w:tabs>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被投诉人1：</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被投诉人2</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相关供应商：</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二、投诉项目基本情况</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采购项目名称：</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采购项目编号：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代理机构名称：</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采购文件公告:</w:t>
      </w:r>
      <w:r>
        <w:rPr>
          <w:rFonts w:hint="eastAsia" w:ascii="微软雅黑" w:hAnsi="微软雅黑" w:eastAsia="微软雅黑" w:cs="微软雅黑"/>
          <w:color w:val="auto"/>
          <w:sz w:val="22"/>
          <w:szCs w:val="22"/>
          <w:highlight w:val="none"/>
          <w:u w:val="dotted"/>
        </w:rPr>
        <w:t xml:space="preserve">是/否 </w:t>
      </w:r>
      <w:r>
        <w:rPr>
          <w:rFonts w:hint="eastAsia" w:ascii="微软雅黑" w:hAnsi="微软雅黑" w:eastAsia="微软雅黑" w:cs="微软雅黑"/>
          <w:color w:val="auto"/>
          <w:sz w:val="22"/>
          <w:szCs w:val="22"/>
          <w:highlight w:val="none"/>
        </w:rPr>
        <w:t>公告期限：</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采购结果公告:</w:t>
      </w:r>
      <w:r>
        <w:rPr>
          <w:rFonts w:hint="eastAsia" w:ascii="微软雅黑" w:hAnsi="微软雅黑" w:eastAsia="微软雅黑" w:cs="微软雅黑"/>
          <w:color w:val="auto"/>
          <w:sz w:val="22"/>
          <w:szCs w:val="22"/>
          <w:highlight w:val="none"/>
          <w:u w:val="dotted"/>
        </w:rPr>
        <w:t xml:space="preserve">是/否 </w:t>
      </w:r>
      <w:r>
        <w:rPr>
          <w:rFonts w:hint="eastAsia" w:ascii="微软雅黑" w:hAnsi="微软雅黑" w:eastAsia="微软雅黑" w:cs="微软雅黑"/>
          <w:color w:val="auto"/>
          <w:sz w:val="22"/>
          <w:szCs w:val="22"/>
          <w:highlight w:val="none"/>
        </w:rPr>
        <w:t>公告期限：</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三、质疑基本情况</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投诉人于</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日,向</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提出质疑，质疑事项为：</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采购人/代理机构</w:t>
      </w:r>
      <w:r>
        <w:rPr>
          <w:rFonts w:hint="eastAsia" w:ascii="微软雅黑" w:hAnsi="微软雅黑" w:eastAsia="微软雅黑" w:cs="微软雅黑"/>
          <w:color w:val="auto"/>
          <w:sz w:val="22"/>
          <w:szCs w:val="22"/>
          <w:highlight w:val="none"/>
        </w:rPr>
        <w:t>于</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日,就质疑事项作出了答复/没有在法定期限内作出答复。</w:t>
      </w:r>
    </w:p>
    <w:p>
      <w:pPr>
        <w:spacing w:line="5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四、投诉事项具体内容</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投诉事项 1：</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投诉事项2</w:t>
      </w:r>
    </w:p>
    <w:p>
      <w:pPr>
        <w:spacing w:line="540" w:lineRule="exact"/>
        <w:ind w:firstLine="440" w:firstLineChars="200"/>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w:t>
      </w:r>
    </w:p>
    <w:p>
      <w:pPr>
        <w:spacing w:line="54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五、与投诉事项相关的投诉请求</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pPr>
        <w:spacing w:line="540" w:lineRule="exact"/>
        <w:ind w:firstLine="440" w:firstLineChars="200"/>
        <w:rPr>
          <w:rFonts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 xml:space="preserve">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pPr>
        <w:spacing w:line="540" w:lineRule="exact"/>
        <w:ind w:firstLine="440" w:firstLineChars="2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pPr>
        <w:spacing w:line="600" w:lineRule="exact"/>
        <w:ind w:firstLine="440" w:firstLineChars="200"/>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投诉书制作说明：</w:t>
      </w:r>
    </w:p>
    <w:p>
      <w:pPr>
        <w:widowControl/>
        <w:spacing w:line="600" w:lineRule="exact"/>
        <w:ind w:firstLine="440" w:firstLineChars="200"/>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1.投诉人提起投诉时，应当提交投诉书和必要的证明材料，并按照被投诉人和与投诉事项有关的供应商数量提供投诉书副本。</w:t>
      </w:r>
    </w:p>
    <w:p>
      <w:pPr>
        <w:widowControl/>
        <w:spacing w:line="600" w:lineRule="exact"/>
        <w:ind w:firstLine="440" w:firstLineChars="200"/>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2.投诉人若委托代理人进行投诉的，投诉书应按照要求列明“授权代表”的有关内容，并在附件中提交由</w:t>
      </w:r>
      <w:r>
        <w:rPr>
          <w:rFonts w:hint="eastAsia" w:ascii="微软雅黑" w:hAnsi="微软雅黑" w:eastAsia="微软雅黑" w:cs="微软雅黑"/>
          <w:color w:val="auto"/>
          <w:kern w:val="0"/>
          <w:sz w:val="22"/>
          <w:szCs w:val="22"/>
          <w:highlight w:val="none"/>
        </w:rPr>
        <w:t>投诉人签署的授权委托书。授权委托书应当载明代理人的姓名或者名称、代理事项、具体权限、期限和相关事项。</w:t>
      </w:r>
    </w:p>
    <w:p>
      <w:pPr>
        <w:widowControl/>
        <w:spacing w:line="60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3.投诉人若对项目的某一分包进行投诉，投诉书应列明具体分包号。</w:t>
      </w:r>
    </w:p>
    <w:p>
      <w:pPr>
        <w:widowControl/>
        <w:spacing w:line="60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4.投诉书应简要列明质疑事项，质疑函、质疑答复等作为附件材料提供。</w:t>
      </w:r>
    </w:p>
    <w:p>
      <w:pPr>
        <w:widowControl/>
        <w:spacing w:line="60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5.投诉书的投诉事项应具体、明确，并有必要的事实依据和法律依据。</w:t>
      </w:r>
    </w:p>
    <w:p>
      <w:pPr>
        <w:widowControl/>
        <w:spacing w:line="60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6.投诉书的投诉请求应与投诉事项相关。</w:t>
      </w:r>
    </w:p>
    <w:p>
      <w:pPr>
        <w:widowControl/>
        <w:spacing w:line="600" w:lineRule="exact"/>
        <w:ind w:firstLine="440" w:firstLineChars="2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7.投诉人为自然人的，投诉书应当由本人签字；投诉人为法人或者其他组织的，投诉书应当由法定代表人、主要负责人，或者其授权代表签字或者盖章，并加盖公章。</w:t>
      </w:r>
    </w:p>
    <w:p>
      <w:pPr>
        <w:spacing w:line="360" w:lineRule="auto"/>
        <w:ind w:firstLine="440" w:firstLineChars="200"/>
        <w:jc w:val="center"/>
        <w:rPr>
          <w:rFonts w:ascii="等线" w:hAnsi="等线" w:eastAsia="等线" w:cs="等线"/>
          <w:b/>
          <w:bCs/>
          <w:color w:val="auto"/>
          <w:sz w:val="22"/>
          <w:szCs w:val="22"/>
          <w:highlight w:val="none"/>
        </w:rPr>
      </w:pPr>
    </w:p>
    <w:p>
      <w:pPr>
        <w:spacing w:line="360" w:lineRule="auto"/>
        <w:ind w:firstLine="440" w:firstLineChars="200"/>
        <w:rPr>
          <w:rFonts w:ascii="等线" w:hAnsi="等线" w:eastAsia="等线" w:cs="等线"/>
          <w:b/>
          <w:bCs/>
          <w:color w:val="auto"/>
          <w:sz w:val="22"/>
          <w:szCs w:val="22"/>
          <w:highlight w:val="none"/>
        </w:rPr>
      </w:pPr>
    </w:p>
    <w:p>
      <w:pPr>
        <w:spacing w:before="156" w:beforeLines="50" w:after="156" w:afterLines="50" w:line="400" w:lineRule="exact"/>
        <w:ind w:firstLine="440" w:firstLineChars="200"/>
        <w:jc w:val="center"/>
        <w:rPr>
          <w:rFonts w:ascii="等线" w:hAnsi="等线" w:eastAsia="等线" w:cs="等线"/>
          <w:color w:val="auto"/>
          <w:sz w:val="22"/>
          <w:szCs w:val="22"/>
          <w:highlight w:val="none"/>
        </w:rPr>
      </w:pPr>
    </w:p>
    <w:p>
      <w:pPr>
        <w:rPr>
          <w:rFonts w:ascii="等线" w:hAnsi="等线" w:eastAsia="等线" w:cs="等线"/>
          <w:color w:val="auto"/>
          <w:highlight w:val="none"/>
        </w:rPr>
      </w:pPr>
    </w:p>
    <w:sectPr>
      <w:footerReference r:id="rId5" w:type="even"/>
      <w:pgSz w:w="11906" w:h="16838"/>
      <w:pgMar w:top="1440" w:right="991"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微软雅黑" w:hAnsi="微软雅黑" w:eastAsia="微软雅黑" w:cs="等线"/>
        <w:kern w:val="2"/>
        <w:sz w:val="21"/>
        <w:szCs w:val="21"/>
        <w:u w:val="single"/>
        <w:lang w:val="en-US" w:eastAsia="zh-CN" w:bidi="ar-SA"/>
      </w:rPr>
    </w:pPr>
    <w:r>
      <w:rPr>
        <w:rFonts w:hint="eastAsia" w:ascii="微软雅黑" w:hAnsi="微软雅黑" w:eastAsia="微软雅黑" w:cs="等线"/>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80</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59264;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lJ35NcAAAAKAQAADwAAAAAAAAABACAAAAAiAAAAZHJzL2Rv&#10;d25yZXYueG1sUEsBAhQAFAAAAAgAh07iQAbZJurJAQAAmwMAAA4AAAAAAAAAAQAgAAAAJgEAAGRy&#10;cy9lMm9Eb2MueG1sUEsFBgAAAAAGAAYAWQEAAGEFA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80</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微软雅黑" w:hAnsi="微软雅黑" w:eastAsia="微软雅黑" w:cs="等线"/>
        <w:kern w:val="2"/>
        <w:sz w:val="21"/>
        <w:szCs w:val="21"/>
        <w:u w:val="single"/>
        <w:lang w:val="en-US" w:eastAsia="zh-CN" w:bidi="ar-SA"/>
      </w:rPr>
      <w:t>浙江明业项目管理有限公司                                       联系电话：0572-5501567</w:t>
    </w:r>
  </w:p>
  <w:p>
    <w:pPr>
      <w:pStyle w:val="20"/>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安吉县自然资源和规划局购买地质灾害监测设备运维服务政府采购项目</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1BF30"/>
    <w:multiLevelType w:val="singleLevel"/>
    <w:tmpl w:val="B761BF30"/>
    <w:lvl w:ilvl="0" w:tentative="0">
      <w:start w:val="3"/>
      <w:numFmt w:val="chineseCounting"/>
      <w:suff w:val="nothing"/>
      <w:lvlText w:val="%1、"/>
      <w:lvlJc w:val="left"/>
      <w:rPr>
        <w:rFonts w:hint="eastAsia"/>
      </w:rPr>
    </w:lvl>
  </w:abstractNum>
  <w:abstractNum w:abstractNumId="1">
    <w:nsid w:val="D88C6757"/>
    <w:multiLevelType w:val="multilevel"/>
    <w:tmpl w:val="D88C6757"/>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YWVhYzViYzQzYmZmMWNiZmNmMzNmYTNjZDQzMDEifQ=="/>
  </w:docVars>
  <w:rsids>
    <w:rsidRoot w:val="66E64A2F"/>
    <w:rsid w:val="00007280"/>
    <w:rsid w:val="000142AF"/>
    <w:rsid w:val="00055B3B"/>
    <w:rsid w:val="00065042"/>
    <w:rsid w:val="0006749A"/>
    <w:rsid w:val="00067937"/>
    <w:rsid w:val="000A1895"/>
    <w:rsid w:val="000A389D"/>
    <w:rsid w:val="000B1318"/>
    <w:rsid w:val="000B1ADA"/>
    <w:rsid w:val="000C7D6A"/>
    <w:rsid w:val="000D6244"/>
    <w:rsid w:val="00105BD9"/>
    <w:rsid w:val="0011200F"/>
    <w:rsid w:val="0011312C"/>
    <w:rsid w:val="00126843"/>
    <w:rsid w:val="00135857"/>
    <w:rsid w:val="001408FB"/>
    <w:rsid w:val="00160D95"/>
    <w:rsid w:val="00162E25"/>
    <w:rsid w:val="00164193"/>
    <w:rsid w:val="00164803"/>
    <w:rsid w:val="001814CA"/>
    <w:rsid w:val="001824DD"/>
    <w:rsid w:val="001A0C4E"/>
    <w:rsid w:val="001A3228"/>
    <w:rsid w:val="001B42B2"/>
    <w:rsid w:val="001B6A08"/>
    <w:rsid w:val="001F417A"/>
    <w:rsid w:val="00211DA4"/>
    <w:rsid w:val="00221838"/>
    <w:rsid w:val="00221F7B"/>
    <w:rsid w:val="00226922"/>
    <w:rsid w:val="00232276"/>
    <w:rsid w:val="00256894"/>
    <w:rsid w:val="0026033C"/>
    <w:rsid w:val="00266A9F"/>
    <w:rsid w:val="00277F22"/>
    <w:rsid w:val="00282209"/>
    <w:rsid w:val="002A3D9E"/>
    <w:rsid w:val="002A59E2"/>
    <w:rsid w:val="002B3EAC"/>
    <w:rsid w:val="002B5F4E"/>
    <w:rsid w:val="002B6E83"/>
    <w:rsid w:val="002C7BCC"/>
    <w:rsid w:val="002D5313"/>
    <w:rsid w:val="002F5ADF"/>
    <w:rsid w:val="0031162A"/>
    <w:rsid w:val="00337099"/>
    <w:rsid w:val="00343C8F"/>
    <w:rsid w:val="00352213"/>
    <w:rsid w:val="00357797"/>
    <w:rsid w:val="003722A1"/>
    <w:rsid w:val="003726E3"/>
    <w:rsid w:val="00391D31"/>
    <w:rsid w:val="003B16B7"/>
    <w:rsid w:val="003C5A76"/>
    <w:rsid w:val="003C6FD7"/>
    <w:rsid w:val="003D5DAF"/>
    <w:rsid w:val="003E331E"/>
    <w:rsid w:val="003E59F0"/>
    <w:rsid w:val="004042E1"/>
    <w:rsid w:val="00404A8A"/>
    <w:rsid w:val="00422C19"/>
    <w:rsid w:val="00435E3A"/>
    <w:rsid w:val="00442858"/>
    <w:rsid w:val="00442BB1"/>
    <w:rsid w:val="004464E0"/>
    <w:rsid w:val="00455505"/>
    <w:rsid w:val="004649F6"/>
    <w:rsid w:val="00471ED3"/>
    <w:rsid w:val="00473510"/>
    <w:rsid w:val="00482FE6"/>
    <w:rsid w:val="004A1B2A"/>
    <w:rsid w:val="004B5127"/>
    <w:rsid w:val="004B59A4"/>
    <w:rsid w:val="004D4D2F"/>
    <w:rsid w:val="004E7BDF"/>
    <w:rsid w:val="004F0746"/>
    <w:rsid w:val="004F1E39"/>
    <w:rsid w:val="004F2925"/>
    <w:rsid w:val="004F2955"/>
    <w:rsid w:val="0051035B"/>
    <w:rsid w:val="0051103E"/>
    <w:rsid w:val="00533B26"/>
    <w:rsid w:val="00535F5C"/>
    <w:rsid w:val="00552354"/>
    <w:rsid w:val="0056268E"/>
    <w:rsid w:val="00571CA6"/>
    <w:rsid w:val="005777A9"/>
    <w:rsid w:val="00583FCE"/>
    <w:rsid w:val="00587E67"/>
    <w:rsid w:val="0059366B"/>
    <w:rsid w:val="00594B9F"/>
    <w:rsid w:val="00594F1E"/>
    <w:rsid w:val="005A5E9D"/>
    <w:rsid w:val="005A60CA"/>
    <w:rsid w:val="005B547B"/>
    <w:rsid w:val="005C3E56"/>
    <w:rsid w:val="005C70C3"/>
    <w:rsid w:val="005D4CAD"/>
    <w:rsid w:val="005F07B1"/>
    <w:rsid w:val="005F52C6"/>
    <w:rsid w:val="00607E4A"/>
    <w:rsid w:val="006139D4"/>
    <w:rsid w:val="006228E2"/>
    <w:rsid w:val="00686C8C"/>
    <w:rsid w:val="0069193E"/>
    <w:rsid w:val="00696C35"/>
    <w:rsid w:val="006B099B"/>
    <w:rsid w:val="006B4A00"/>
    <w:rsid w:val="006C05AB"/>
    <w:rsid w:val="006D0DD5"/>
    <w:rsid w:val="006E1F79"/>
    <w:rsid w:val="006E4F13"/>
    <w:rsid w:val="006F60F3"/>
    <w:rsid w:val="0070150D"/>
    <w:rsid w:val="007131DE"/>
    <w:rsid w:val="00743704"/>
    <w:rsid w:val="00746AB8"/>
    <w:rsid w:val="00761EC0"/>
    <w:rsid w:val="00776469"/>
    <w:rsid w:val="0078325B"/>
    <w:rsid w:val="007841AD"/>
    <w:rsid w:val="007A16BD"/>
    <w:rsid w:val="007C2661"/>
    <w:rsid w:val="007D3004"/>
    <w:rsid w:val="007D6A3C"/>
    <w:rsid w:val="007F27D2"/>
    <w:rsid w:val="007F5E10"/>
    <w:rsid w:val="007F6984"/>
    <w:rsid w:val="008070FD"/>
    <w:rsid w:val="008537C9"/>
    <w:rsid w:val="00857435"/>
    <w:rsid w:val="00885BCF"/>
    <w:rsid w:val="008A3263"/>
    <w:rsid w:val="008A7486"/>
    <w:rsid w:val="008D2DF7"/>
    <w:rsid w:val="008E2973"/>
    <w:rsid w:val="008F22E6"/>
    <w:rsid w:val="008F6E1C"/>
    <w:rsid w:val="00903728"/>
    <w:rsid w:val="00916FCA"/>
    <w:rsid w:val="00926B81"/>
    <w:rsid w:val="00935693"/>
    <w:rsid w:val="0094216C"/>
    <w:rsid w:val="00964C0B"/>
    <w:rsid w:val="0096793F"/>
    <w:rsid w:val="009710D5"/>
    <w:rsid w:val="009805CF"/>
    <w:rsid w:val="009942EE"/>
    <w:rsid w:val="009A522C"/>
    <w:rsid w:val="009B66FC"/>
    <w:rsid w:val="009C281E"/>
    <w:rsid w:val="009C56C2"/>
    <w:rsid w:val="009F6B75"/>
    <w:rsid w:val="00A14A44"/>
    <w:rsid w:val="00A57521"/>
    <w:rsid w:val="00A66DCF"/>
    <w:rsid w:val="00A74520"/>
    <w:rsid w:val="00A756A1"/>
    <w:rsid w:val="00A8366D"/>
    <w:rsid w:val="00A84463"/>
    <w:rsid w:val="00AA33AE"/>
    <w:rsid w:val="00AF4CFD"/>
    <w:rsid w:val="00B032DC"/>
    <w:rsid w:val="00B07D1C"/>
    <w:rsid w:val="00B17BAF"/>
    <w:rsid w:val="00B306BF"/>
    <w:rsid w:val="00B30B68"/>
    <w:rsid w:val="00B34AF0"/>
    <w:rsid w:val="00B4647E"/>
    <w:rsid w:val="00B517E2"/>
    <w:rsid w:val="00B5507D"/>
    <w:rsid w:val="00B8413F"/>
    <w:rsid w:val="00B930EF"/>
    <w:rsid w:val="00B9501F"/>
    <w:rsid w:val="00BB4427"/>
    <w:rsid w:val="00BB4F30"/>
    <w:rsid w:val="00BE52E0"/>
    <w:rsid w:val="00BE7A7D"/>
    <w:rsid w:val="00C20F77"/>
    <w:rsid w:val="00C20F8B"/>
    <w:rsid w:val="00C3186D"/>
    <w:rsid w:val="00C545EA"/>
    <w:rsid w:val="00C65215"/>
    <w:rsid w:val="00C70241"/>
    <w:rsid w:val="00C96D0B"/>
    <w:rsid w:val="00CA7F69"/>
    <w:rsid w:val="00CB799A"/>
    <w:rsid w:val="00CC4B69"/>
    <w:rsid w:val="00CD5E98"/>
    <w:rsid w:val="00CE0999"/>
    <w:rsid w:val="00D1602E"/>
    <w:rsid w:val="00D21906"/>
    <w:rsid w:val="00D22E55"/>
    <w:rsid w:val="00D230AC"/>
    <w:rsid w:val="00D34188"/>
    <w:rsid w:val="00D42B8A"/>
    <w:rsid w:val="00D47723"/>
    <w:rsid w:val="00D65239"/>
    <w:rsid w:val="00D66E11"/>
    <w:rsid w:val="00D7014B"/>
    <w:rsid w:val="00D75018"/>
    <w:rsid w:val="00D759C5"/>
    <w:rsid w:val="00D83373"/>
    <w:rsid w:val="00D93D5C"/>
    <w:rsid w:val="00DB036D"/>
    <w:rsid w:val="00DB5A20"/>
    <w:rsid w:val="00DB6990"/>
    <w:rsid w:val="00DC7ED3"/>
    <w:rsid w:val="00DD5826"/>
    <w:rsid w:val="00DE1AE6"/>
    <w:rsid w:val="00DE5495"/>
    <w:rsid w:val="00DE74E6"/>
    <w:rsid w:val="00DF2146"/>
    <w:rsid w:val="00DF4776"/>
    <w:rsid w:val="00DF49BC"/>
    <w:rsid w:val="00E10136"/>
    <w:rsid w:val="00E242A4"/>
    <w:rsid w:val="00E26720"/>
    <w:rsid w:val="00E43608"/>
    <w:rsid w:val="00E64709"/>
    <w:rsid w:val="00E8202E"/>
    <w:rsid w:val="00E832FC"/>
    <w:rsid w:val="00EA2A1A"/>
    <w:rsid w:val="00EA6A66"/>
    <w:rsid w:val="00EC194C"/>
    <w:rsid w:val="00EC50CC"/>
    <w:rsid w:val="00ED700C"/>
    <w:rsid w:val="00F47627"/>
    <w:rsid w:val="00F66324"/>
    <w:rsid w:val="00F82CF0"/>
    <w:rsid w:val="00F85151"/>
    <w:rsid w:val="00F86D92"/>
    <w:rsid w:val="00FA73AD"/>
    <w:rsid w:val="00FB01C3"/>
    <w:rsid w:val="00FB0571"/>
    <w:rsid w:val="00FD1A01"/>
    <w:rsid w:val="00FD250B"/>
    <w:rsid w:val="015A21FB"/>
    <w:rsid w:val="01793CB3"/>
    <w:rsid w:val="01A801A2"/>
    <w:rsid w:val="029C7FE2"/>
    <w:rsid w:val="02C4019C"/>
    <w:rsid w:val="02F13F24"/>
    <w:rsid w:val="0372563D"/>
    <w:rsid w:val="03EF5EB9"/>
    <w:rsid w:val="042935DA"/>
    <w:rsid w:val="0454440A"/>
    <w:rsid w:val="0470510E"/>
    <w:rsid w:val="04944152"/>
    <w:rsid w:val="04CC6E73"/>
    <w:rsid w:val="04CD61FB"/>
    <w:rsid w:val="05DC421B"/>
    <w:rsid w:val="063240AB"/>
    <w:rsid w:val="06FD3704"/>
    <w:rsid w:val="070F5A07"/>
    <w:rsid w:val="072B7805"/>
    <w:rsid w:val="078B1D21"/>
    <w:rsid w:val="07C85DAA"/>
    <w:rsid w:val="084B2FFE"/>
    <w:rsid w:val="0883604D"/>
    <w:rsid w:val="08CE52F4"/>
    <w:rsid w:val="092708F3"/>
    <w:rsid w:val="09703A2D"/>
    <w:rsid w:val="09E821F6"/>
    <w:rsid w:val="0AA85E0D"/>
    <w:rsid w:val="0AAB6FFD"/>
    <w:rsid w:val="0AEB4C0D"/>
    <w:rsid w:val="0B083DBA"/>
    <w:rsid w:val="0B0C20E5"/>
    <w:rsid w:val="0B4E1DFE"/>
    <w:rsid w:val="0C8B05E3"/>
    <w:rsid w:val="0D5B20F0"/>
    <w:rsid w:val="0D64657B"/>
    <w:rsid w:val="0DD34156"/>
    <w:rsid w:val="0DE75457"/>
    <w:rsid w:val="0E407A3D"/>
    <w:rsid w:val="0EF11373"/>
    <w:rsid w:val="0F6C0B15"/>
    <w:rsid w:val="0F78715E"/>
    <w:rsid w:val="0FFD1685"/>
    <w:rsid w:val="10AE4DE8"/>
    <w:rsid w:val="11605D04"/>
    <w:rsid w:val="12072B26"/>
    <w:rsid w:val="12B83443"/>
    <w:rsid w:val="13F05A62"/>
    <w:rsid w:val="14075AD8"/>
    <w:rsid w:val="14521AF6"/>
    <w:rsid w:val="14607EAB"/>
    <w:rsid w:val="14645294"/>
    <w:rsid w:val="14900712"/>
    <w:rsid w:val="14E04417"/>
    <w:rsid w:val="14E8252B"/>
    <w:rsid w:val="153471A3"/>
    <w:rsid w:val="153829B9"/>
    <w:rsid w:val="15F65D8D"/>
    <w:rsid w:val="15FC13AA"/>
    <w:rsid w:val="16265328"/>
    <w:rsid w:val="167C73C8"/>
    <w:rsid w:val="170B625B"/>
    <w:rsid w:val="171136FB"/>
    <w:rsid w:val="17224D45"/>
    <w:rsid w:val="17997326"/>
    <w:rsid w:val="183F2B6C"/>
    <w:rsid w:val="189036AA"/>
    <w:rsid w:val="18CF5B8F"/>
    <w:rsid w:val="194C36E4"/>
    <w:rsid w:val="19B90147"/>
    <w:rsid w:val="19C32DA1"/>
    <w:rsid w:val="1A7B1108"/>
    <w:rsid w:val="1AB33F09"/>
    <w:rsid w:val="1C47563C"/>
    <w:rsid w:val="1C8C3CE4"/>
    <w:rsid w:val="1CF06AD2"/>
    <w:rsid w:val="1D660ADA"/>
    <w:rsid w:val="1E285E75"/>
    <w:rsid w:val="1E912BAE"/>
    <w:rsid w:val="1EB439E9"/>
    <w:rsid w:val="1EEE2B9E"/>
    <w:rsid w:val="1F38370B"/>
    <w:rsid w:val="1FCA634F"/>
    <w:rsid w:val="211C4455"/>
    <w:rsid w:val="21991892"/>
    <w:rsid w:val="21BD57CF"/>
    <w:rsid w:val="21EB559E"/>
    <w:rsid w:val="223E0B25"/>
    <w:rsid w:val="226144A2"/>
    <w:rsid w:val="235B6DD4"/>
    <w:rsid w:val="236D1407"/>
    <w:rsid w:val="23873EEC"/>
    <w:rsid w:val="23E0658F"/>
    <w:rsid w:val="23F92711"/>
    <w:rsid w:val="241810F6"/>
    <w:rsid w:val="24420B3E"/>
    <w:rsid w:val="24450BC8"/>
    <w:rsid w:val="249E3C6C"/>
    <w:rsid w:val="265D372C"/>
    <w:rsid w:val="26696D8C"/>
    <w:rsid w:val="26A03B26"/>
    <w:rsid w:val="26AC74E2"/>
    <w:rsid w:val="26C07C56"/>
    <w:rsid w:val="26F61A98"/>
    <w:rsid w:val="27C546B8"/>
    <w:rsid w:val="28013942"/>
    <w:rsid w:val="282152DE"/>
    <w:rsid w:val="28307F69"/>
    <w:rsid w:val="28E918FC"/>
    <w:rsid w:val="29AF561F"/>
    <w:rsid w:val="29C410CB"/>
    <w:rsid w:val="2A031AB0"/>
    <w:rsid w:val="2A8D30B3"/>
    <w:rsid w:val="2ABF1892"/>
    <w:rsid w:val="2AE01F34"/>
    <w:rsid w:val="2B233885"/>
    <w:rsid w:val="2B5F533D"/>
    <w:rsid w:val="2BEC23FC"/>
    <w:rsid w:val="2BF7090C"/>
    <w:rsid w:val="2C7631C7"/>
    <w:rsid w:val="2DB0085C"/>
    <w:rsid w:val="2DDC5164"/>
    <w:rsid w:val="2E0E7229"/>
    <w:rsid w:val="2E16559E"/>
    <w:rsid w:val="2F483B5F"/>
    <w:rsid w:val="2F8A4570"/>
    <w:rsid w:val="3016166E"/>
    <w:rsid w:val="30F77FD8"/>
    <w:rsid w:val="31184882"/>
    <w:rsid w:val="31913050"/>
    <w:rsid w:val="32737B32"/>
    <w:rsid w:val="32917FB8"/>
    <w:rsid w:val="32B819E9"/>
    <w:rsid w:val="33271F5A"/>
    <w:rsid w:val="334D60BA"/>
    <w:rsid w:val="347C27D1"/>
    <w:rsid w:val="34AB25BF"/>
    <w:rsid w:val="34B811B1"/>
    <w:rsid w:val="357C4517"/>
    <w:rsid w:val="35E46164"/>
    <w:rsid w:val="35EA1EB9"/>
    <w:rsid w:val="364843C1"/>
    <w:rsid w:val="36985DB9"/>
    <w:rsid w:val="37101E3F"/>
    <w:rsid w:val="371804B7"/>
    <w:rsid w:val="37257E68"/>
    <w:rsid w:val="381419C6"/>
    <w:rsid w:val="383E6167"/>
    <w:rsid w:val="389B1F15"/>
    <w:rsid w:val="39A3677C"/>
    <w:rsid w:val="39D65EE5"/>
    <w:rsid w:val="3A0C32DE"/>
    <w:rsid w:val="3A4216B1"/>
    <w:rsid w:val="3AA07128"/>
    <w:rsid w:val="3B02166F"/>
    <w:rsid w:val="3BEA18FA"/>
    <w:rsid w:val="3C0B455A"/>
    <w:rsid w:val="3CAD3C40"/>
    <w:rsid w:val="3D485DE7"/>
    <w:rsid w:val="3D650B8C"/>
    <w:rsid w:val="3D766765"/>
    <w:rsid w:val="3D9A3EBE"/>
    <w:rsid w:val="3E7D0B60"/>
    <w:rsid w:val="3F352E3D"/>
    <w:rsid w:val="3F516239"/>
    <w:rsid w:val="3F66369A"/>
    <w:rsid w:val="3F78639A"/>
    <w:rsid w:val="3FEC0F24"/>
    <w:rsid w:val="4016137D"/>
    <w:rsid w:val="413023DF"/>
    <w:rsid w:val="414125D0"/>
    <w:rsid w:val="41B4036A"/>
    <w:rsid w:val="41E45E57"/>
    <w:rsid w:val="41F80928"/>
    <w:rsid w:val="4235008A"/>
    <w:rsid w:val="42614E78"/>
    <w:rsid w:val="42BF284D"/>
    <w:rsid w:val="43C70492"/>
    <w:rsid w:val="443D1D4E"/>
    <w:rsid w:val="44F03A47"/>
    <w:rsid w:val="463C0AC7"/>
    <w:rsid w:val="4652461A"/>
    <w:rsid w:val="469B2E40"/>
    <w:rsid w:val="469D6AD4"/>
    <w:rsid w:val="46A16CCB"/>
    <w:rsid w:val="47481421"/>
    <w:rsid w:val="475634F0"/>
    <w:rsid w:val="47AA44DA"/>
    <w:rsid w:val="47D3136D"/>
    <w:rsid w:val="48376AB4"/>
    <w:rsid w:val="484A4A39"/>
    <w:rsid w:val="48507537"/>
    <w:rsid w:val="48933AF0"/>
    <w:rsid w:val="489B206D"/>
    <w:rsid w:val="49171B33"/>
    <w:rsid w:val="495F3A20"/>
    <w:rsid w:val="4A8E46B4"/>
    <w:rsid w:val="4A98612E"/>
    <w:rsid w:val="4B4E4FF8"/>
    <w:rsid w:val="4B603DFB"/>
    <w:rsid w:val="4BE53D7A"/>
    <w:rsid w:val="4C916C25"/>
    <w:rsid w:val="4CB8758D"/>
    <w:rsid w:val="4CB87B9B"/>
    <w:rsid w:val="4CD2129B"/>
    <w:rsid w:val="4D9D0D3A"/>
    <w:rsid w:val="4E146CEA"/>
    <w:rsid w:val="4E706938"/>
    <w:rsid w:val="4EC50149"/>
    <w:rsid w:val="4EE71463"/>
    <w:rsid w:val="4F027E1C"/>
    <w:rsid w:val="4FDD43E5"/>
    <w:rsid w:val="50DF41C4"/>
    <w:rsid w:val="523328E3"/>
    <w:rsid w:val="52B9004E"/>
    <w:rsid w:val="5310069C"/>
    <w:rsid w:val="53AC23B7"/>
    <w:rsid w:val="53AD0569"/>
    <w:rsid w:val="53C44312"/>
    <w:rsid w:val="53E536D7"/>
    <w:rsid w:val="54FB1595"/>
    <w:rsid w:val="55046482"/>
    <w:rsid w:val="552838BD"/>
    <w:rsid w:val="55B63B7D"/>
    <w:rsid w:val="565A5A40"/>
    <w:rsid w:val="56B2343E"/>
    <w:rsid w:val="574134AB"/>
    <w:rsid w:val="580C5867"/>
    <w:rsid w:val="581B6AEB"/>
    <w:rsid w:val="58885548"/>
    <w:rsid w:val="59505232"/>
    <w:rsid w:val="5966713F"/>
    <w:rsid w:val="59D06675"/>
    <w:rsid w:val="59D4510F"/>
    <w:rsid w:val="5A364E1D"/>
    <w:rsid w:val="5B31479D"/>
    <w:rsid w:val="5B74243D"/>
    <w:rsid w:val="5C3A5E05"/>
    <w:rsid w:val="5C7A5495"/>
    <w:rsid w:val="5CDE2A7A"/>
    <w:rsid w:val="5D246C55"/>
    <w:rsid w:val="5D69550A"/>
    <w:rsid w:val="5DAD2EA9"/>
    <w:rsid w:val="5DF72ACC"/>
    <w:rsid w:val="5DFE3EA4"/>
    <w:rsid w:val="5E081416"/>
    <w:rsid w:val="5E126254"/>
    <w:rsid w:val="5E9B7945"/>
    <w:rsid w:val="5EC84385"/>
    <w:rsid w:val="5F12439A"/>
    <w:rsid w:val="5F357D99"/>
    <w:rsid w:val="603947E7"/>
    <w:rsid w:val="603B7A8C"/>
    <w:rsid w:val="60421C22"/>
    <w:rsid w:val="613110B1"/>
    <w:rsid w:val="614D4E9A"/>
    <w:rsid w:val="61D64241"/>
    <w:rsid w:val="625600F3"/>
    <w:rsid w:val="6261703B"/>
    <w:rsid w:val="64360608"/>
    <w:rsid w:val="64822D65"/>
    <w:rsid w:val="64A0780A"/>
    <w:rsid w:val="655051F8"/>
    <w:rsid w:val="656E0A7F"/>
    <w:rsid w:val="65A810DE"/>
    <w:rsid w:val="66190610"/>
    <w:rsid w:val="66B808F4"/>
    <w:rsid w:val="66E64A2F"/>
    <w:rsid w:val="67376F16"/>
    <w:rsid w:val="6739466A"/>
    <w:rsid w:val="67DF6AF4"/>
    <w:rsid w:val="67E004A8"/>
    <w:rsid w:val="68D15A29"/>
    <w:rsid w:val="68EA39A3"/>
    <w:rsid w:val="694110E9"/>
    <w:rsid w:val="695D2C2B"/>
    <w:rsid w:val="69FF313E"/>
    <w:rsid w:val="6A030D85"/>
    <w:rsid w:val="6A4626F9"/>
    <w:rsid w:val="6AD9293A"/>
    <w:rsid w:val="6AE646D7"/>
    <w:rsid w:val="6B1D329F"/>
    <w:rsid w:val="6B935FE7"/>
    <w:rsid w:val="6C5F0BB7"/>
    <w:rsid w:val="6C8C6B1F"/>
    <w:rsid w:val="6C93288B"/>
    <w:rsid w:val="6E354081"/>
    <w:rsid w:val="6E3D7D49"/>
    <w:rsid w:val="6E5F098F"/>
    <w:rsid w:val="6EA8636C"/>
    <w:rsid w:val="6EC525D9"/>
    <w:rsid w:val="6F58270A"/>
    <w:rsid w:val="6F7D77C1"/>
    <w:rsid w:val="6FB518A2"/>
    <w:rsid w:val="701B31A1"/>
    <w:rsid w:val="70B623BC"/>
    <w:rsid w:val="70C56684"/>
    <w:rsid w:val="714F4CEB"/>
    <w:rsid w:val="71C0673C"/>
    <w:rsid w:val="71D234CA"/>
    <w:rsid w:val="721F74E0"/>
    <w:rsid w:val="726D64DF"/>
    <w:rsid w:val="729F0B68"/>
    <w:rsid w:val="73D2575F"/>
    <w:rsid w:val="73FD58D7"/>
    <w:rsid w:val="741B237B"/>
    <w:rsid w:val="74687E72"/>
    <w:rsid w:val="754605F6"/>
    <w:rsid w:val="75AB003F"/>
    <w:rsid w:val="75E26130"/>
    <w:rsid w:val="76765F09"/>
    <w:rsid w:val="76FB5C06"/>
    <w:rsid w:val="771B6C2E"/>
    <w:rsid w:val="77843EE6"/>
    <w:rsid w:val="77D73344"/>
    <w:rsid w:val="784A7FBA"/>
    <w:rsid w:val="78886D34"/>
    <w:rsid w:val="78A06C65"/>
    <w:rsid w:val="78D423BD"/>
    <w:rsid w:val="78DF22F8"/>
    <w:rsid w:val="7A5C05B9"/>
    <w:rsid w:val="7A8F2AD4"/>
    <w:rsid w:val="7AA459B7"/>
    <w:rsid w:val="7B487F9E"/>
    <w:rsid w:val="7B9235AA"/>
    <w:rsid w:val="7C156D93"/>
    <w:rsid w:val="7C352937"/>
    <w:rsid w:val="7CAA2580"/>
    <w:rsid w:val="7D11554A"/>
    <w:rsid w:val="7D726199"/>
    <w:rsid w:val="7DF05351"/>
    <w:rsid w:val="7E245988"/>
    <w:rsid w:val="7E8835EA"/>
    <w:rsid w:val="7EA61CC2"/>
    <w:rsid w:val="7ED560DD"/>
    <w:rsid w:val="7FBC43A9"/>
    <w:rsid w:val="7FC8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unhideWhenUsed/>
    <w:qFormat/>
    <w:uiPriority w:val="0"/>
    <w:pPr>
      <w:keepNext/>
      <w:keepLines/>
      <w:spacing w:before="260" w:after="260" w:line="416" w:lineRule="auto"/>
      <w:outlineLvl w:val="2"/>
    </w:pPr>
    <w:rPr>
      <w:b/>
      <w:bCs/>
      <w:sz w:val="32"/>
      <w:szCs w:val="32"/>
    </w:rPr>
  </w:style>
  <w:style w:type="paragraph" w:styleId="7">
    <w:name w:val="heading 4"/>
    <w:next w:val="1"/>
    <w:autoRedefine/>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paragraph" w:styleId="8">
    <w:name w:val="heading 5"/>
    <w:next w:val="1"/>
    <w:autoRedefine/>
    <w:qFormat/>
    <w:uiPriority w:val="0"/>
    <w:pPr>
      <w:keepNext/>
      <w:keepLines/>
      <w:widowControl w:val="0"/>
      <w:spacing w:before="280" w:after="290" w:line="372" w:lineRule="auto"/>
      <w:jc w:val="both"/>
      <w:outlineLvl w:val="4"/>
    </w:pPr>
    <w:rPr>
      <w:rFonts w:ascii="Calibri" w:hAnsi="Calibri" w:eastAsia="宋体" w:cs="Times New Roman"/>
      <w:b/>
      <w:bCs/>
      <w:kern w:val="2"/>
      <w:sz w:val="28"/>
      <w:szCs w:val="28"/>
      <w:lang w:val="en-US" w:eastAsia="zh-CN" w:bidi="ar-SA"/>
    </w:rPr>
  </w:style>
  <w:style w:type="paragraph" w:styleId="9">
    <w:name w:val="heading 6"/>
    <w:next w:val="1"/>
    <w:qFormat/>
    <w:uiPriority w:val="9"/>
    <w:pPr>
      <w:keepNext/>
      <w:keepLines/>
      <w:widowControl w:val="0"/>
      <w:spacing w:before="240" w:after="64" w:line="320" w:lineRule="auto"/>
      <w:jc w:val="both"/>
      <w:outlineLvl w:val="5"/>
    </w:pPr>
    <w:rPr>
      <w:rFonts w:ascii="Arial" w:hAnsi="Arial" w:eastAsia="黑体" w:cstheme="minorBidi"/>
      <w:b/>
      <w:kern w:val="2"/>
      <w:sz w:val="24"/>
      <w:szCs w:val="24"/>
      <w:lang w:val="en-US" w:eastAsia="zh-CN" w:bidi="ar-SA"/>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customStyle="1" w:styleId="6">
    <w:name w:val="此正文"/>
    <w:autoRedefine/>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10">
    <w:name w:val="Normal Indent"/>
    <w:basedOn w:val="1"/>
    <w:next w:val="1"/>
    <w:autoRedefine/>
    <w:qFormat/>
    <w:uiPriority w:val="0"/>
    <w:pPr>
      <w:ind w:firstLine="420"/>
    </w:pPr>
    <w:rPr>
      <w:rFonts w:ascii="Times New Roman" w:hAnsi="Times New Roman" w:eastAsia="宋体" w:cs="Times New Roman"/>
      <w:szCs w:val="20"/>
    </w:rPr>
  </w:style>
  <w:style w:type="paragraph" w:styleId="11">
    <w:name w:val="annotation text"/>
    <w:basedOn w:val="1"/>
    <w:link w:val="44"/>
    <w:autoRedefine/>
    <w:qFormat/>
    <w:uiPriority w:val="0"/>
    <w:pPr>
      <w:spacing w:line="360" w:lineRule="auto"/>
      <w:ind w:firstLine="200" w:firstLineChars="200"/>
      <w:jc w:val="left"/>
    </w:pPr>
    <w:rPr>
      <w:rFonts w:ascii="Times New Roman" w:hAnsi="Times New Roman"/>
    </w:rPr>
  </w:style>
  <w:style w:type="paragraph" w:styleId="12">
    <w:name w:val="Body Text"/>
    <w:basedOn w:val="1"/>
    <w:autoRedefine/>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13">
    <w:name w:val="Body Text Indent"/>
    <w:basedOn w:val="1"/>
    <w:autoRedefine/>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14">
    <w:name w:val="toc 5"/>
    <w:next w:val="1"/>
    <w:autoRedefine/>
    <w:qFormat/>
    <w:uiPriority w:val="0"/>
    <w:pPr>
      <w:widowControl w:val="0"/>
      <w:tabs>
        <w:tab w:val="right" w:leader="dot" w:pos="8296"/>
      </w:tabs>
      <w:ind w:left="1050" w:leftChars="500"/>
      <w:jc w:val="both"/>
    </w:pPr>
    <w:rPr>
      <w:rFonts w:ascii="Calibri" w:hAnsi="Calibri" w:eastAsia="宋体" w:cs="Times New Roman"/>
      <w:kern w:val="2"/>
      <w:sz w:val="21"/>
      <w:szCs w:val="22"/>
      <w:lang w:val="en-US" w:eastAsia="zh-CN" w:bidi="ar-SA"/>
    </w:rPr>
  </w:style>
  <w:style w:type="paragraph" w:styleId="15">
    <w:name w:val="toc 3"/>
    <w:next w:val="1"/>
    <w:autoRedefine/>
    <w:qFormat/>
    <w:uiPriority w:val="0"/>
    <w:pPr>
      <w:widowControl w:val="0"/>
      <w:ind w:left="840" w:leftChars="400"/>
      <w:jc w:val="both"/>
    </w:pPr>
    <w:rPr>
      <w:rFonts w:ascii="Calibri" w:hAnsi="Calibri" w:eastAsia="宋体" w:cs="Times New Roman"/>
      <w:kern w:val="2"/>
      <w:sz w:val="21"/>
      <w:szCs w:val="22"/>
      <w:lang w:val="en-US" w:eastAsia="zh-CN" w:bidi="ar-SA"/>
    </w:rPr>
  </w:style>
  <w:style w:type="paragraph" w:styleId="16">
    <w:name w:val="Plain Text"/>
    <w:basedOn w:val="1"/>
    <w:next w:val="1"/>
    <w:autoRedefine/>
    <w:qFormat/>
    <w:uiPriority w:val="0"/>
    <w:pPr>
      <w:spacing w:before="156" w:beforeLines="50" w:after="156" w:afterLines="50" w:line="400" w:lineRule="exact"/>
    </w:pPr>
    <w:rPr>
      <w:rFonts w:ascii="宋体" w:hAnsi="Courier New"/>
      <w:sz w:val="24"/>
    </w:rPr>
  </w:style>
  <w:style w:type="paragraph" w:styleId="17">
    <w:name w:val="Date"/>
    <w:basedOn w:val="1"/>
    <w:next w:val="1"/>
    <w:autoRedefine/>
    <w:qFormat/>
    <w:uiPriority w:val="0"/>
    <w:pPr>
      <w:ind w:left="100" w:leftChars="2500"/>
    </w:pPr>
    <w:rPr>
      <w:rFonts w:ascii="Times New Roman" w:hAnsi="Times New Roman" w:eastAsia="宋体" w:cs="Times New Roman"/>
    </w:rPr>
  </w:style>
  <w:style w:type="paragraph" w:styleId="18">
    <w:name w:val="Body Text Indent 2"/>
    <w:autoRedefine/>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9">
    <w:name w:val="Balloon Text"/>
    <w:basedOn w:val="1"/>
    <w:link w:val="43"/>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494"/>
      </w:tabs>
    </w:pPr>
    <w:rPr>
      <w:rFonts w:ascii="宋体" w:hAnsi="宋体"/>
      <w:sz w:val="32"/>
    </w:rPr>
  </w:style>
  <w:style w:type="paragraph" w:styleId="23">
    <w:name w:val="toc 4"/>
    <w:next w:val="1"/>
    <w:autoRedefine/>
    <w:qFormat/>
    <w:uiPriority w:val="0"/>
    <w:pPr>
      <w:widowControl w:val="0"/>
      <w:tabs>
        <w:tab w:val="left" w:pos="1890"/>
        <w:tab w:val="right" w:leader="dot" w:pos="8296"/>
      </w:tabs>
      <w:ind w:left="630" w:leftChars="300"/>
      <w:jc w:val="both"/>
    </w:pPr>
    <w:rPr>
      <w:rFonts w:ascii="Calibri" w:hAnsi="Calibri" w:eastAsia="宋体" w:cs="Times New Roman"/>
      <w:kern w:val="2"/>
      <w:sz w:val="21"/>
      <w:szCs w:val="22"/>
      <w:lang w:val="en-US" w:eastAsia="zh-CN" w:bidi="ar-SA"/>
    </w:rPr>
  </w:style>
  <w:style w:type="paragraph" w:styleId="24">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5">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6">
    <w:name w:val="Body Text Indent 3"/>
    <w:basedOn w:val="1"/>
    <w:autoRedefine/>
    <w:qFormat/>
    <w:uiPriority w:val="0"/>
    <w:pPr>
      <w:snapToGrid w:val="0"/>
      <w:ind w:firstLine="480" w:firstLineChars="200"/>
      <w:jc w:val="left"/>
    </w:pPr>
    <w:rPr>
      <w:rFonts w:ascii="仿宋_GB2312" w:hAnsi="宋体" w:eastAsia="仿宋_GB2312" w:cs="Times New Roman"/>
      <w:color w:val="000000"/>
      <w:sz w:val="24"/>
    </w:rPr>
  </w:style>
  <w:style w:type="paragraph" w:styleId="27">
    <w:name w:val="Normal (Web)"/>
    <w:basedOn w:val="1"/>
    <w:next w:val="1"/>
    <w:autoRedefine/>
    <w:qFormat/>
    <w:uiPriority w:val="0"/>
    <w:pPr>
      <w:spacing w:beforeAutospacing="1" w:afterAutospacing="1"/>
      <w:jc w:val="left"/>
    </w:pPr>
    <w:rPr>
      <w:rFonts w:cs="Times New Roman"/>
      <w:kern w:val="0"/>
      <w:sz w:val="24"/>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annotation subject"/>
    <w:basedOn w:val="11"/>
    <w:next w:val="11"/>
    <w:link w:val="45"/>
    <w:autoRedefine/>
    <w:qFormat/>
    <w:uiPriority w:val="0"/>
    <w:pPr>
      <w:spacing w:line="240" w:lineRule="auto"/>
      <w:ind w:firstLine="0" w:firstLineChars="0"/>
    </w:pPr>
    <w:rPr>
      <w:rFonts w:asciiTheme="minorHAnsi" w:hAnsiTheme="minorHAnsi"/>
      <w:b/>
      <w:bCs/>
    </w:rPr>
  </w:style>
  <w:style w:type="paragraph" w:styleId="30">
    <w:name w:val="Body Text First Indent"/>
    <w:basedOn w:val="12"/>
    <w:autoRedefine/>
    <w:qFormat/>
    <w:uiPriority w:val="0"/>
    <w:pPr>
      <w:spacing w:after="120" w:line="240" w:lineRule="auto"/>
      <w:ind w:firstLine="420" w:firstLineChars="100"/>
      <w:jc w:val="both"/>
    </w:pPr>
    <w:rPr>
      <w:kern w:val="2"/>
      <w:sz w:val="28"/>
    </w:rPr>
  </w:style>
  <w:style w:type="paragraph" w:styleId="31">
    <w:name w:val="Body Text First Indent 2"/>
    <w:basedOn w:val="13"/>
    <w:autoRedefine/>
    <w:unhideWhenUsed/>
    <w:qFormat/>
    <w:uiPriority w:val="99"/>
    <w:pPr>
      <w:spacing w:after="120" w:line="240" w:lineRule="auto"/>
      <w:ind w:left="420" w:leftChars="200" w:firstLine="420" w:firstLineChars="200"/>
      <w:jc w:val="left"/>
    </w:pPr>
    <w:rPr>
      <w:rFonts w:hAnsi="宋体" w:cs="宋体"/>
      <w:sz w:val="24"/>
      <w:szCs w:val="24"/>
    </w:rPr>
  </w:style>
  <w:style w:type="table" w:styleId="3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Hyperlink"/>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章正文"/>
    <w:autoRedefine/>
    <w:qFormat/>
    <w:locked/>
    <w:uiPriority w:val="99"/>
    <w:pPr>
      <w:widowControl w:val="0"/>
      <w:spacing w:beforeLines="50" w:after="120" w:line="300" w:lineRule="auto"/>
      <w:ind w:firstLine="480"/>
      <w:jc w:val="both"/>
    </w:pPr>
    <w:rPr>
      <w:rFonts w:ascii="Helvetica" w:hAnsi="Helvetica" w:eastAsia="宋体" w:cs="Times New Roman"/>
      <w:sz w:val="21"/>
      <w:szCs w:val="24"/>
      <w:lang w:val="en-US" w:eastAsia="zh-CN" w:bidi="ar-SA"/>
    </w:rPr>
  </w:style>
  <w:style w:type="paragraph" w:customStyle="1" w:styleId="40">
    <w:name w:val="密级编号"/>
    <w:next w:val="10"/>
    <w:autoRedefine/>
    <w:qFormat/>
    <w:uiPriority w:val="0"/>
    <w:pPr>
      <w:widowControl w:val="0"/>
      <w:jc w:val="center"/>
    </w:pPr>
    <w:rPr>
      <w:rFonts w:ascii="仿宋_GB2312" w:hAnsi="Times New Roman" w:eastAsia="仿宋_GB2312" w:cs="Times New Roman"/>
      <w:kern w:val="2"/>
      <w:sz w:val="24"/>
      <w:szCs w:val="24"/>
      <w:lang w:val="en-US" w:eastAsia="zh-CN" w:bidi="ar-SA"/>
    </w:rPr>
  </w:style>
  <w:style w:type="paragraph" w:customStyle="1" w:styleId="41">
    <w:name w:val="首行缩进"/>
    <w:autoRedefine/>
    <w:qFormat/>
    <w:uiPriority w:val="0"/>
    <w:pPr>
      <w:widowControl w:val="0"/>
      <w:spacing w:line="360" w:lineRule="auto"/>
      <w:ind w:firstLine="480" w:firstLineChars="200"/>
      <w:jc w:val="both"/>
    </w:pPr>
    <w:rPr>
      <w:rFonts w:ascii="宋体" w:hAnsi="宋体" w:eastAsia="宋体" w:cs="宋体"/>
      <w:sz w:val="24"/>
      <w:szCs w:val="22"/>
      <w:lang w:val="en-US" w:eastAsia="zh-CN" w:bidi="ar-SA"/>
    </w:rPr>
  </w:style>
  <w:style w:type="paragraph" w:customStyle="1" w:styleId="42">
    <w:name w:val="_Style 5"/>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43">
    <w:name w:val="批注框文本 字符"/>
    <w:basedOn w:val="34"/>
    <w:link w:val="19"/>
    <w:autoRedefine/>
    <w:qFormat/>
    <w:uiPriority w:val="0"/>
    <w:rPr>
      <w:kern w:val="2"/>
      <w:sz w:val="18"/>
      <w:szCs w:val="18"/>
    </w:rPr>
  </w:style>
  <w:style w:type="character" w:customStyle="1" w:styleId="44">
    <w:name w:val="批注文字 字符"/>
    <w:basedOn w:val="34"/>
    <w:link w:val="11"/>
    <w:autoRedefine/>
    <w:qFormat/>
    <w:uiPriority w:val="0"/>
    <w:rPr>
      <w:rFonts w:ascii="Times New Roman" w:hAnsi="Times New Roman"/>
      <w:kern w:val="2"/>
      <w:sz w:val="21"/>
      <w:szCs w:val="24"/>
    </w:rPr>
  </w:style>
  <w:style w:type="character" w:customStyle="1" w:styleId="45">
    <w:name w:val="批注主题 字符"/>
    <w:basedOn w:val="44"/>
    <w:link w:val="29"/>
    <w:autoRedefine/>
    <w:qFormat/>
    <w:uiPriority w:val="0"/>
    <w:rPr>
      <w:rFonts w:ascii="Times New Roman" w:hAnsi="Times New Roman"/>
      <w:b/>
      <w:bCs/>
      <w:kern w:val="2"/>
      <w:sz w:val="21"/>
      <w:szCs w:val="24"/>
    </w:rPr>
  </w:style>
  <w:style w:type="paragraph" w:styleId="46">
    <w:name w:val="List Paragraph"/>
    <w:basedOn w:val="1"/>
    <w:link w:val="47"/>
    <w:autoRedefine/>
    <w:qFormat/>
    <w:uiPriority w:val="34"/>
    <w:pPr>
      <w:ind w:firstLine="420" w:firstLineChars="200"/>
    </w:pPr>
  </w:style>
  <w:style w:type="character" w:customStyle="1" w:styleId="47">
    <w:name w:val="列表段落 字符"/>
    <w:link w:val="46"/>
    <w:autoRedefine/>
    <w:qFormat/>
    <w:uiPriority w:val="34"/>
    <w:rPr>
      <w:rFonts w:asciiTheme="minorHAnsi" w:hAnsiTheme="minorHAnsi" w:eastAsiaTheme="minorEastAsia" w:cstheme="minorBidi"/>
      <w:kern w:val="2"/>
      <w:sz w:val="21"/>
      <w:szCs w:val="24"/>
    </w:rPr>
  </w:style>
  <w:style w:type="paragraph" w:customStyle="1" w:styleId="48">
    <w:name w:val="_Style 6"/>
    <w:next w:val="1"/>
    <w:autoRedefine/>
    <w:qFormat/>
    <w:uiPriority w:val="0"/>
    <w:pPr>
      <w:keepNext/>
      <w:keepLines/>
      <w:widowControl w:val="0"/>
      <w:spacing w:before="340" w:after="330" w:line="576" w:lineRule="auto"/>
      <w:jc w:val="both"/>
    </w:pPr>
    <w:rPr>
      <w:rFonts w:ascii="Calibri" w:hAnsi="Calibri" w:eastAsia="宋体" w:cs="Times New Roman"/>
      <w:b/>
      <w:bCs/>
      <w:kern w:val="44"/>
      <w:sz w:val="44"/>
      <w:szCs w:val="44"/>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正文2"/>
    <w:autoRedefine/>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51">
    <w:name w:val="pa-122"/>
    <w:autoRedefine/>
    <w:qFormat/>
    <w:uiPriority w:val="0"/>
    <w:pPr>
      <w:spacing w:before="150" w:after="150"/>
    </w:pPr>
    <w:rPr>
      <w:rFonts w:ascii="宋体" w:hAnsi="宋体" w:eastAsia="宋体" w:cs="宋体"/>
      <w:sz w:val="24"/>
      <w:szCs w:val="24"/>
      <w:lang w:val="en-US" w:eastAsia="zh-CN" w:bidi="ar-SA"/>
    </w:rPr>
  </w:style>
  <w:style w:type="character" w:customStyle="1" w:styleId="52">
    <w:name w:val="ca-4"/>
    <w:autoRedefine/>
    <w:qFormat/>
    <w:uiPriority w:val="0"/>
  </w:style>
  <w:style w:type="paragraph" w:customStyle="1" w:styleId="53">
    <w:name w:val="pa-123"/>
    <w:autoRedefine/>
    <w:qFormat/>
    <w:uiPriority w:val="0"/>
    <w:pPr>
      <w:spacing w:before="150" w:after="150"/>
    </w:pPr>
    <w:rPr>
      <w:rFonts w:ascii="宋体" w:hAnsi="宋体" w:eastAsia="宋体" w:cs="宋体"/>
      <w:sz w:val="24"/>
      <w:szCs w:val="24"/>
      <w:lang w:val="en-US" w:eastAsia="zh-CN" w:bidi="ar-SA"/>
    </w:rPr>
  </w:style>
  <w:style w:type="paragraph" w:customStyle="1" w:styleId="54">
    <w:name w:val="表格文字"/>
    <w:next w:val="12"/>
    <w:autoRedefine/>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55">
    <w:name w:val="ptb181"/>
    <w:autoRedefine/>
    <w:qFormat/>
    <w:uiPriority w:val="0"/>
    <w:rPr>
      <w:rFonts w:hint="default" w:ascii="Verdana" w:hAnsi="Verdana"/>
      <w:b/>
      <w:bCs/>
      <w:color w:val="000000"/>
      <w:sz w:val="26"/>
      <w:szCs w:val="26"/>
    </w:rPr>
  </w:style>
  <w:style w:type="paragraph" w:customStyle="1" w:styleId="56">
    <w:name w:val="Blockquote"/>
    <w:autoRedefine/>
    <w:qFormat/>
    <w:uiPriority w:val="0"/>
    <w:pPr>
      <w:spacing w:before="100" w:after="156" w:afterLines="50"/>
      <w:ind w:left="360" w:right="360"/>
    </w:pPr>
    <w:rPr>
      <w:rFonts w:ascii="宋体" w:hAnsi="Times New Roman" w:eastAsia="宋体" w:cs="Times New Roman"/>
      <w:snapToGrid w:val="0"/>
      <w:sz w:val="24"/>
      <w:lang w:val="en-CA" w:eastAsia="zh-CN" w:bidi="ar-SA"/>
    </w:rPr>
  </w:style>
  <w:style w:type="paragraph" w:customStyle="1" w:styleId="57">
    <w:name w:val="列出段落3"/>
    <w:autoRedefine/>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5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Table Paragraph"/>
    <w:basedOn w:val="1"/>
    <w:autoRedefine/>
    <w:unhideWhenUsed/>
    <w:qFormat/>
    <w:uiPriority w:val="1"/>
    <w:rPr>
      <w:rFonts w:hint="eastAsia" w:ascii="Times New Roman" w:hAnsi="Times New Roman" w:eastAsia="宋体" w:cs="Times New Roman"/>
      <w:sz w:val="24"/>
      <w:szCs w:val="22"/>
    </w:rPr>
  </w:style>
  <w:style w:type="character" w:customStyle="1" w:styleId="61">
    <w:name w:val="NormalCharacter"/>
    <w:autoRedefine/>
    <w:qFormat/>
    <w:uiPriority w:val="0"/>
    <w:rPr>
      <w:rFonts w:ascii="Times New Roman" w:hAnsi="Times New Roman" w:eastAsia="宋体"/>
      <w:lang w:val="en-US"/>
    </w:rPr>
  </w:style>
  <w:style w:type="paragraph" w:customStyle="1" w:styleId="62">
    <w:name w:val="Body Text First Indent 2"/>
    <w:autoRedefine/>
    <w:qFormat/>
    <w:uiPriority w:val="0"/>
    <w:pPr>
      <w:widowControl w:val="0"/>
      <w:spacing w:after="120" w:afterLines="0" w:line="240" w:lineRule="auto"/>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63">
    <w:name w:val="正文7"/>
    <w:basedOn w:val="1"/>
    <w:autoRedefine/>
    <w:qFormat/>
    <w:uiPriority w:val="0"/>
    <w:pPr>
      <w:spacing w:line="318" w:lineRule="atLeast"/>
      <w:ind w:left="369" w:firstLine="369"/>
      <w:textAlignment w:val="baseline"/>
    </w:pPr>
    <w:rPr>
      <w:rFonts w:ascii="宋体"/>
      <w:szCs w:val="20"/>
    </w:rPr>
  </w:style>
  <w:style w:type="paragraph" w:customStyle="1" w:styleId="64">
    <w:name w:val="_Style 1150"/>
    <w:basedOn w:val="13"/>
    <w:next w:val="31"/>
    <w:autoRedefine/>
    <w:unhideWhenUsed/>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65">
    <w:name w:val="_Style 1"/>
    <w:autoRedefine/>
    <w:qFormat/>
    <w:uiPriority w:val="0"/>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94A71-2B10-4166-8F1C-AF22553E08A9}">
  <ds:schemaRefs/>
</ds:datastoreItem>
</file>

<file path=docProps/app.xml><?xml version="1.0" encoding="utf-8"?>
<Properties xmlns="http://schemas.openxmlformats.org/officeDocument/2006/extended-properties" xmlns:vt="http://schemas.openxmlformats.org/officeDocument/2006/docPropsVTypes">
  <Template>Normal</Template>
  <Pages>67</Pages>
  <Words>36528</Words>
  <Characters>39059</Characters>
  <Lines>302</Lines>
  <Paragraphs>85</Paragraphs>
  <TotalTime>9</TotalTime>
  <ScaleCrop>false</ScaleCrop>
  <LinksUpToDate>false</LinksUpToDate>
  <CharactersWithSpaces>43234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2022-02-14T03:50:00Z</dcterms:created>
  <dc:creator>Administrator</dc:creator>
  <cp:lastModifiedBy>Pisces</cp:lastModifiedBy>
  <dcterms:modified xsi:type="dcterms:W3CDTF">2024-04-29T01:30:00Z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1204AED1BF034AB2B753A49B7713797E</vt:lpwstr>
  </property>
</Properties>
</file>