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line="720" w:lineRule="exact"/>
        <w:jc w:val="center"/>
        <w:textAlignment w:val="auto"/>
        <w:rPr>
          <w:rFonts w:hint="eastAsia" w:cs="仿宋" w:asciiTheme="majorEastAsia" w:hAnsiTheme="majorEastAsia" w:eastAsiaTheme="majorEastAsia"/>
          <w:b/>
          <w:bCs/>
          <w:color w:val="auto"/>
          <w:spacing w:val="0"/>
          <w:kern w:val="0"/>
          <w:sz w:val="44"/>
          <w:szCs w:val="44"/>
          <w:highlight w:val="none"/>
          <w:lang w:eastAsia="zh-CN"/>
        </w:rPr>
      </w:pPr>
      <w:r>
        <w:rPr>
          <w:rFonts w:hint="eastAsia" w:cs="仿宋" w:asciiTheme="majorEastAsia" w:hAnsiTheme="majorEastAsia" w:eastAsiaTheme="majorEastAsia"/>
          <w:b/>
          <w:bCs/>
          <w:color w:val="auto"/>
          <w:spacing w:val="0"/>
          <w:kern w:val="0"/>
          <w:sz w:val="44"/>
          <w:szCs w:val="44"/>
          <w:highlight w:val="none"/>
          <w:lang w:eastAsia="zh-CN"/>
        </w:rPr>
        <w:t>2024年嵊州市公共交通有限公司公交车</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cs="方正小标宋简体" w:asciiTheme="majorEastAsia" w:hAnsiTheme="majorEastAsia" w:eastAsiaTheme="majorEastAsia"/>
          <w:b/>
          <w:bCs/>
          <w:color w:val="auto"/>
          <w:spacing w:val="0"/>
          <w:kern w:val="0"/>
          <w:sz w:val="48"/>
          <w:szCs w:val="48"/>
          <w:highlight w:val="none"/>
          <w:lang w:eastAsia="zh-CN"/>
        </w:rPr>
      </w:pPr>
      <w:r>
        <w:rPr>
          <w:rFonts w:hint="eastAsia" w:cs="仿宋" w:asciiTheme="majorEastAsia" w:hAnsiTheme="majorEastAsia" w:eastAsiaTheme="majorEastAsia"/>
          <w:b/>
          <w:bCs/>
          <w:color w:val="auto"/>
          <w:spacing w:val="0"/>
          <w:kern w:val="0"/>
          <w:sz w:val="44"/>
          <w:szCs w:val="44"/>
          <w:highlight w:val="none"/>
          <w:lang w:eastAsia="zh-CN"/>
        </w:rPr>
        <w:t xml:space="preserve">保险采购项目 </w:t>
      </w:r>
      <w:r>
        <w:rPr>
          <w:rFonts w:hint="eastAsia" w:cs="方正小标宋简体" w:asciiTheme="majorEastAsia" w:hAnsiTheme="majorEastAsia" w:eastAsiaTheme="majorEastAsia"/>
          <w:b/>
          <w:bCs/>
          <w:color w:val="auto"/>
          <w:spacing w:val="0"/>
          <w:kern w:val="0"/>
          <w:sz w:val="48"/>
          <w:szCs w:val="48"/>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line="720" w:lineRule="exact"/>
        <w:jc w:val="center"/>
        <w:textAlignment w:val="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（项目编号：</w:t>
      </w:r>
      <w:r>
        <w:rPr>
          <w:rFonts w:hint="eastAsia" w:ascii="宋体" w:hAnsi="宋体" w:cs="宋体"/>
          <w:b w:val="0"/>
          <w:bCs w:val="0"/>
          <w:color w:val="auto"/>
          <w:sz w:val="32"/>
          <w:szCs w:val="32"/>
          <w:highlight w:val="none"/>
          <w:lang w:val="en-US" w:eastAsia="zh-CN"/>
        </w:rPr>
        <w:t>SZMY-F20240308</w:t>
      </w:r>
      <w:r>
        <w:rPr>
          <w:rFonts w:hint="eastAsia" w:ascii="宋体" w:hAnsi="宋体" w:eastAsia="宋体" w:cs="宋体"/>
          <w:b w:val="0"/>
          <w:bCs w:val="0"/>
          <w:color w:val="auto"/>
          <w:sz w:val="28"/>
          <w:szCs w:val="28"/>
          <w:highlight w:val="none"/>
        </w:rPr>
        <w:t>）</w:t>
      </w:r>
    </w:p>
    <w:p>
      <w:pPr>
        <w:snapToGrid w:val="0"/>
        <w:jc w:val="center"/>
        <w:rPr>
          <w:rFonts w:ascii="宋体" w:hAnsi="宋体" w:cs="宋体"/>
          <w:b/>
          <w:color w:val="auto"/>
          <w:sz w:val="52"/>
          <w:szCs w:val="52"/>
          <w:highlight w:val="none"/>
        </w:rPr>
      </w:pPr>
    </w:p>
    <w:p>
      <w:pPr>
        <w:keepNext w:val="0"/>
        <w:keepLines w:val="0"/>
        <w:pageBreakBefore w:val="0"/>
        <w:widowControl w:val="0"/>
        <w:kinsoku/>
        <w:wordWrap/>
        <w:overflowPunct/>
        <w:topLinePunct w:val="0"/>
        <w:autoSpaceDE/>
        <w:autoSpaceDN/>
        <w:bidi w:val="0"/>
        <w:adjustRightInd/>
        <w:snapToGrid/>
        <w:spacing w:before="625" w:beforeLines="200"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公</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开</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招</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标</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文</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44"/>
          <w:highlight w:val="none"/>
        </w:rPr>
      </w:pPr>
      <w:r>
        <w:rPr>
          <w:rFonts w:hint="eastAsia" w:ascii="仿宋" w:hAnsi="仿宋" w:eastAsia="仿宋" w:cs="仿宋"/>
          <w:b/>
          <w:bCs w:val="0"/>
          <w:color w:val="auto"/>
          <w:sz w:val="84"/>
          <w:szCs w:val="84"/>
          <w:highlight w:val="none"/>
        </w:rPr>
        <w:t>件</w:t>
      </w:r>
    </w:p>
    <w:p>
      <w:pPr>
        <w:spacing w:line="580" w:lineRule="exact"/>
        <w:jc w:val="both"/>
        <w:rPr>
          <w:rFonts w:ascii="宋体" w:hAnsi="宋体" w:cs="宋体"/>
          <w:bCs/>
          <w:color w:val="auto"/>
          <w:sz w:val="36"/>
          <w:highlight w:val="none"/>
        </w:rPr>
      </w:pPr>
    </w:p>
    <w:p>
      <w:pPr>
        <w:pStyle w:val="2"/>
        <w:jc w:val="both"/>
        <w:rPr>
          <w:color w:val="auto"/>
          <w:highlight w:val="none"/>
        </w:rPr>
      </w:pPr>
    </w:p>
    <w:p>
      <w:pPr>
        <w:spacing w:line="620" w:lineRule="exact"/>
        <w:jc w:val="both"/>
        <w:rPr>
          <w:rFonts w:hint="eastAsia" w:ascii="宋体" w:hAnsi="宋体" w:eastAsia="宋体" w:cs="宋体"/>
          <w:bCs/>
          <w:color w:val="auto"/>
          <w:sz w:val="32"/>
          <w:szCs w:val="32"/>
          <w:highlight w:val="none"/>
          <w:lang w:eastAsia="zh-CN"/>
        </w:rPr>
      </w:pPr>
    </w:p>
    <w:p>
      <w:pPr>
        <w:spacing w:line="620" w:lineRule="exact"/>
        <w:ind w:firstLine="1600" w:firstLineChars="500"/>
        <w:jc w:val="both"/>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采购单位：</w:t>
      </w:r>
      <w:r>
        <w:rPr>
          <w:rFonts w:hint="eastAsia" w:ascii="宋体" w:hAnsi="宋体"/>
          <w:color w:val="auto"/>
          <w:sz w:val="32"/>
          <w:szCs w:val="32"/>
          <w:highlight w:val="none"/>
          <w:lang w:eastAsia="zh-CN"/>
        </w:rPr>
        <w:t>嵊州市公共交通有限公司</w:t>
      </w:r>
    </w:p>
    <w:p>
      <w:pPr>
        <w:spacing w:line="620" w:lineRule="exact"/>
        <w:ind w:firstLine="1600" w:firstLineChars="500"/>
        <w:jc w:val="both"/>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代理机构：浙江明业项目管理有限公司</w:t>
      </w:r>
    </w:p>
    <w:p>
      <w:pPr>
        <w:pStyle w:val="16"/>
        <w:widowControl w:val="0"/>
        <w:spacing w:line="580" w:lineRule="exact"/>
        <w:jc w:val="center"/>
        <w:rPr>
          <w:rFonts w:hint="eastAsia" w:ascii="宋体" w:hAnsi="宋体" w:eastAsia="宋体" w:cs="宋体"/>
          <w:bCs/>
          <w:color w:val="auto"/>
          <w:szCs w:val="32"/>
          <w:highlight w:val="none"/>
        </w:rPr>
        <w:sectPr>
          <w:pgSz w:w="11907" w:h="16840"/>
          <w:pgMar w:top="1474" w:right="1417" w:bottom="1247" w:left="1417" w:header="851" w:footer="851" w:gutter="0"/>
          <w:cols w:space="720" w:num="1"/>
        </w:sectPr>
      </w:pPr>
      <w:bookmarkStart w:id="0" w:name="用户单位名称"/>
      <w:bookmarkEnd w:id="0"/>
      <w:r>
        <w:rPr>
          <w:rFonts w:hint="eastAsia" w:ascii="宋体" w:hAnsi="宋体" w:eastAsia="宋体" w:cs="宋体"/>
          <w:bCs/>
          <w:color w:val="auto"/>
          <w:szCs w:val="32"/>
          <w:highlight w:val="none"/>
        </w:rPr>
        <w:t>202</w:t>
      </w:r>
      <w:r>
        <w:rPr>
          <w:rFonts w:hint="eastAsia" w:ascii="宋体" w:hAnsi="宋体" w:eastAsia="宋体" w:cs="宋体"/>
          <w:bCs/>
          <w:color w:val="auto"/>
          <w:szCs w:val="32"/>
          <w:highlight w:val="none"/>
          <w:lang w:val="en-US" w:eastAsia="zh-CN"/>
        </w:rPr>
        <w:t>4</w:t>
      </w:r>
      <w:r>
        <w:rPr>
          <w:rFonts w:hint="eastAsia" w:ascii="宋体" w:hAnsi="宋体" w:eastAsia="宋体" w:cs="宋体"/>
          <w:bCs/>
          <w:color w:val="auto"/>
          <w:szCs w:val="32"/>
          <w:highlight w:val="none"/>
        </w:rPr>
        <w:t>年</w:t>
      </w:r>
      <w:r>
        <w:rPr>
          <w:rFonts w:hint="eastAsia" w:ascii="宋体" w:hAnsi="宋体" w:eastAsia="宋体" w:cs="宋体"/>
          <w:bCs/>
          <w:color w:val="auto"/>
          <w:szCs w:val="32"/>
          <w:highlight w:val="none"/>
          <w:lang w:val="en-US" w:eastAsia="zh-CN"/>
        </w:rPr>
        <w:t>3</w:t>
      </w:r>
      <w:r>
        <w:rPr>
          <w:rFonts w:hint="eastAsia" w:ascii="宋体" w:hAnsi="宋体" w:eastAsia="宋体" w:cs="宋体"/>
          <w:bCs/>
          <w:color w:val="auto"/>
          <w:szCs w:val="32"/>
          <w:highlight w:val="none"/>
        </w:rPr>
        <w:t>月</w:t>
      </w:r>
    </w:p>
    <w:p>
      <w:pPr>
        <w:pStyle w:val="16"/>
        <w:widowControl w:val="0"/>
        <w:spacing w:line="580" w:lineRule="exact"/>
        <w:jc w:val="center"/>
        <w:rPr>
          <w:rFonts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目  录</w:t>
      </w: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pStyle w:val="2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ascii="宋体" w:hAnsi="宋体" w:cs="宋体"/>
          <w:b w:val="0"/>
          <w:bCs/>
          <w:caps w:val="0"/>
          <w:color w:val="auto"/>
          <w:sz w:val="28"/>
          <w:szCs w:val="28"/>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TOC \o "1-2" \h \z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"_Toc513456138" </w:instrText>
      </w:r>
      <w:r>
        <w:rPr>
          <w:color w:val="auto"/>
          <w:highlight w:val="none"/>
        </w:rPr>
        <w:fldChar w:fldCharType="separate"/>
      </w:r>
      <w:r>
        <w:rPr>
          <w:rStyle w:val="35"/>
          <w:rFonts w:hint="eastAsia" w:ascii="宋体" w:hAnsi="宋体" w:cs="宋体"/>
          <w:b w:val="0"/>
          <w:bCs/>
          <w:color w:val="auto"/>
          <w:sz w:val="28"/>
          <w:szCs w:val="28"/>
          <w:highlight w:val="none"/>
        </w:rPr>
        <w:t>第一部分  招标公告</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lang w:val="en-US" w:eastAsia="zh-CN"/>
        </w:rPr>
        <w:t>1</w:t>
      </w:r>
      <w:r>
        <w:rPr>
          <w:rFonts w:hint="eastAsia" w:ascii="宋体" w:hAnsi="宋体" w:cs="宋体"/>
          <w:b w:val="0"/>
          <w:bCs/>
          <w:color w:val="auto"/>
          <w:sz w:val="28"/>
          <w:szCs w:val="28"/>
          <w:highlight w:val="none"/>
        </w:rPr>
        <w:fldChar w:fldCharType="end"/>
      </w:r>
    </w:p>
    <w:p>
      <w:pPr>
        <w:pStyle w:val="2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ascii="宋体" w:hAnsi="宋体" w:cs="宋体"/>
          <w:b w:val="0"/>
          <w:bCs/>
          <w:caps w:val="0"/>
          <w:color w:val="auto"/>
          <w:sz w:val="28"/>
          <w:szCs w:val="28"/>
          <w:highlight w:val="none"/>
        </w:rPr>
      </w:pPr>
      <w:r>
        <w:rPr>
          <w:color w:val="auto"/>
          <w:highlight w:val="none"/>
        </w:rPr>
        <w:fldChar w:fldCharType="begin"/>
      </w:r>
      <w:r>
        <w:rPr>
          <w:color w:val="auto"/>
          <w:highlight w:val="none"/>
        </w:rPr>
        <w:instrText xml:space="preserve"> HYPERLINK \l "_Toc513456139" </w:instrText>
      </w:r>
      <w:r>
        <w:rPr>
          <w:color w:val="auto"/>
          <w:highlight w:val="none"/>
        </w:rPr>
        <w:fldChar w:fldCharType="separate"/>
      </w:r>
      <w:r>
        <w:rPr>
          <w:rStyle w:val="35"/>
          <w:rFonts w:hint="eastAsia" w:ascii="宋体" w:hAnsi="宋体" w:cs="宋体"/>
          <w:b w:val="0"/>
          <w:bCs/>
          <w:color w:val="auto"/>
          <w:sz w:val="28"/>
          <w:szCs w:val="28"/>
          <w:highlight w:val="none"/>
        </w:rPr>
        <w:t>第二部分  投标须知</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lang w:val="en-US" w:eastAsia="zh-CN"/>
        </w:rPr>
        <w:t>4</w:t>
      </w:r>
      <w:r>
        <w:rPr>
          <w:rFonts w:hint="eastAsia" w:ascii="宋体" w:hAnsi="宋体" w:cs="宋体"/>
          <w:b w:val="0"/>
          <w:bCs/>
          <w:color w:val="auto"/>
          <w:sz w:val="28"/>
          <w:szCs w:val="28"/>
          <w:highlight w:val="none"/>
        </w:rPr>
        <w:fldChar w:fldCharType="end"/>
      </w:r>
    </w:p>
    <w:p>
      <w:pPr>
        <w:pStyle w:val="2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宋体" w:hAnsi="宋体" w:eastAsia="宋体" w:cs="宋体"/>
          <w:b w:val="0"/>
          <w:bCs/>
          <w:caps w:val="0"/>
          <w:color w:val="auto"/>
          <w:sz w:val="28"/>
          <w:szCs w:val="28"/>
          <w:highlight w:val="none"/>
          <w:lang w:val="en-US" w:eastAsia="zh-CN"/>
        </w:rPr>
      </w:pPr>
      <w:r>
        <w:rPr>
          <w:color w:val="auto"/>
          <w:highlight w:val="none"/>
        </w:rPr>
        <w:fldChar w:fldCharType="begin"/>
      </w:r>
      <w:r>
        <w:rPr>
          <w:color w:val="auto"/>
          <w:highlight w:val="none"/>
        </w:rPr>
        <w:instrText xml:space="preserve"> HYPERLINK \l "_Toc513456147" </w:instrText>
      </w:r>
      <w:r>
        <w:rPr>
          <w:color w:val="auto"/>
          <w:highlight w:val="none"/>
        </w:rPr>
        <w:fldChar w:fldCharType="separate"/>
      </w:r>
      <w:r>
        <w:rPr>
          <w:rStyle w:val="35"/>
          <w:rFonts w:hint="eastAsia" w:ascii="宋体" w:hAnsi="宋体" w:cs="宋体"/>
          <w:b w:val="0"/>
          <w:bCs/>
          <w:color w:val="auto"/>
          <w:sz w:val="28"/>
          <w:szCs w:val="28"/>
          <w:highlight w:val="none"/>
        </w:rPr>
        <w:t>第三部分  招标项目范围及要求</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lang w:val="en-US" w:eastAsia="zh-CN"/>
        </w:rPr>
        <w:t>1</w:t>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9</w:t>
      </w:r>
    </w:p>
    <w:p>
      <w:pPr>
        <w:pStyle w:val="2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default" w:ascii="宋体" w:hAnsi="宋体" w:eastAsia="宋体" w:cs="宋体"/>
          <w:b w:val="0"/>
          <w:bCs/>
          <w:caps w:val="0"/>
          <w:color w:val="auto"/>
          <w:sz w:val="28"/>
          <w:szCs w:val="28"/>
          <w:highlight w:val="none"/>
          <w:lang w:val="en-US" w:eastAsia="zh-CN"/>
        </w:rPr>
      </w:pPr>
      <w:r>
        <w:rPr>
          <w:color w:val="auto"/>
          <w:highlight w:val="none"/>
        </w:rPr>
        <w:fldChar w:fldCharType="begin"/>
      </w:r>
      <w:r>
        <w:rPr>
          <w:color w:val="auto"/>
          <w:highlight w:val="none"/>
        </w:rPr>
        <w:instrText xml:space="preserve"> HYPERLINK \l "_Toc513456150" </w:instrText>
      </w:r>
      <w:r>
        <w:rPr>
          <w:color w:val="auto"/>
          <w:highlight w:val="none"/>
        </w:rPr>
        <w:fldChar w:fldCharType="separate"/>
      </w:r>
      <w:r>
        <w:rPr>
          <w:rStyle w:val="35"/>
          <w:rFonts w:hint="eastAsia" w:ascii="宋体" w:hAnsi="宋体" w:cs="宋体"/>
          <w:b w:val="0"/>
          <w:bCs/>
          <w:color w:val="auto"/>
          <w:sz w:val="28"/>
          <w:szCs w:val="28"/>
          <w:highlight w:val="none"/>
        </w:rPr>
        <w:t>第四部分  评标办</w:t>
      </w:r>
      <w:bookmarkStart w:id="1" w:name="_Hlt516404789"/>
      <w:bookmarkStart w:id="2" w:name="_Hlt516404788"/>
      <w:r>
        <w:rPr>
          <w:rStyle w:val="35"/>
          <w:rFonts w:hint="eastAsia" w:ascii="宋体" w:hAnsi="宋体" w:cs="宋体"/>
          <w:b w:val="0"/>
          <w:bCs/>
          <w:color w:val="auto"/>
          <w:sz w:val="28"/>
          <w:szCs w:val="28"/>
          <w:highlight w:val="none"/>
        </w:rPr>
        <w:t>法</w:t>
      </w:r>
      <w:bookmarkEnd w:id="1"/>
      <w:bookmarkEnd w:id="2"/>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28</w:t>
      </w:r>
    </w:p>
    <w:p>
      <w:pPr>
        <w:pStyle w:val="2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default" w:ascii="宋体" w:hAnsi="宋体" w:eastAsia="宋体" w:cs="宋体"/>
          <w:b w:val="0"/>
          <w:bCs/>
          <w:caps w:val="0"/>
          <w:color w:val="auto"/>
          <w:sz w:val="28"/>
          <w:szCs w:val="28"/>
          <w:highlight w:val="none"/>
          <w:lang w:val="en-US" w:eastAsia="zh-CN"/>
        </w:rPr>
      </w:pPr>
      <w:r>
        <w:rPr>
          <w:color w:val="auto"/>
          <w:highlight w:val="none"/>
        </w:rPr>
        <w:fldChar w:fldCharType="begin"/>
      </w:r>
      <w:r>
        <w:rPr>
          <w:color w:val="auto"/>
          <w:highlight w:val="none"/>
        </w:rPr>
        <w:instrText xml:space="preserve"> HYPERLINK \l "_Toc513456151" </w:instrText>
      </w:r>
      <w:r>
        <w:rPr>
          <w:color w:val="auto"/>
          <w:highlight w:val="none"/>
        </w:rPr>
        <w:fldChar w:fldCharType="separate"/>
      </w:r>
      <w:r>
        <w:rPr>
          <w:rStyle w:val="35"/>
          <w:rFonts w:hint="eastAsia" w:ascii="宋体" w:hAnsi="宋体" w:cs="宋体"/>
          <w:b w:val="0"/>
          <w:bCs/>
          <w:color w:val="auto"/>
          <w:sz w:val="28"/>
          <w:szCs w:val="28"/>
          <w:highlight w:val="none"/>
        </w:rPr>
        <w:t>第五部分  合同主要条款</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30</w:t>
      </w:r>
    </w:p>
    <w:p>
      <w:pPr>
        <w:pStyle w:val="2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"_Toc513456152" </w:instrText>
      </w:r>
      <w:r>
        <w:rPr>
          <w:color w:val="auto"/>
          <w:highlight w:val="none"/>
        </w:rPr>
        <w:fldChar w:fldCharType="separate"/>
      </w:r>
      <w:r>
        <w:rPr>
          <w:rStyle w:val="35"/>
          <w:rFonts w:hint="eastAsia" w:ascii="宋体" w:hAnsi="宋体" w:cs="宋体"/>
          <w:b w:val="0"/>
          <w:bCs/>
          <w:color w:val="auto"/>
          <w:sz w:val="28"/>
          <w:szCs w:val="28"/>
          <w:highlight w:val="none"/>
        </w:rPr>
        <w:t>第六部分  投标文件</w:t>
      </w:r>
      <w:r>
        <w:rPr>
          <w:rStyle w:val="35"/>
          <w:rFonts w:hint="eastAsia" w:ascii="宋体" w:hAnsi="宋体" w:cs="宋体"/>
          <w:b w:val="0"/>
          <w:bCs/>
          <w:color w:val="auto"/>
          <w:sz w:val="28"/>
          <w:szCs w:val="28"/>
          <w:highlight w:val="none"/>
          <w:lang w:val="en-US" w:eastAsia="zh-CN"/>
        </w:rPr>
        <w:t>及其附件</w:t>
      </w:r>
      <w:bookmarkStart w:id="37" w:name="_GoBack"/>
      <w:bookmarkEnd w:id="37"/>
      <w:r>
        <w:rPr>
          <w:rStyle w:val="35"/>
          <w:rFonts w:hint="eastAsia" w:ascii="宋体" w:hAnsi="宋体" w:cs="宋体"/>
          <w:b w:val="0"/>
          <w:bCs/>
          <w:color w:val="auto"/>
          <w:sz w:val="28"/>
          <w:szCs w:val="28"/>
          <w:highlight w:val="none"/>
        </w:rPr>
        <w:t>格式</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lang w:val="en-US" w:eastAsia="zh-CN"/>
        </w:rPr>
        <w:t>3</w:t>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5</w:t>
      </w:r>
    </w:p>
    <w:p>
      <w:pPr>
        <w:rPr>
          <w:rFonts w:ascii="宋体" w:hAnsi="宋体" w:cs="宋体"/>
          <w:color w:val="auto"/>
          <w:highlight w:val="none"/>
        </w:rPr>
      </w:pPr>
    </w:p>
    <w:p>
      <w:pPr>
        <w:rPr>
          <w:rFonts w:ascii="宋体" w:hAnsi="宋体" w:cs="宋体"/>
          <w:color w:val="auto"/>
          <w:highlight w:val="none"/>
        </w:rPr>
      </w:pPr>
    </w:p>
    <w:p>
      <w:pPr>
        <w:pStyle w:val="41"/>
        <w:rPr>
          <w:color w:val="auto"/>
          <w:highlight w:val="none"/>
        </w:rPr>
      </w:pPr>
    </w:p>
    <w:p>
      <w:pPr>
        <w:rPr>
          <w:rFonts w:hint="eastAsia" w:hAnsi="宋体" w:cs="宋体"/>
          <w:color w:val="auto"/>
          <w:highlight w:val="none"/>
        </w:rPr>
      </w:pPr>
      <w:r>
        <w:rPr>
          <w:rFonts w:hint="eastAsia" w:hAnsi="宋体" w:cs="宋体"/>
          <w:color w:val="auto"/>
          <w:highlight w:val="none"/>
        </w:rPr>
        <w:fldChar w:fldCharType="end"/>
      </w:r>
      <w:bookmarkStart w:id="3" w:name="_Toc15829"/>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rPr>
          <w:rFonts w:hint="eastAsia" w:hAnsi="宋体" w:cs="宋体"/>
          <w:color w:val="auto"/>
          <w:highlight w:val="none"/>
        </w:rPr>
      </w:pPr>
    </w:p>
    <w:p>
      <w:pPr>
        <w:pStyle w:val="2"/>
        <w:rPr>
          <w:rFonts w:hint="eastAsia"/>
          <w:color w:val="auto"/>
          <w:highlight w:val="none"/>
        </w:rPr>
      </w:pPr>
    </w:p>
    <w:p>
      <w:pPr>
        <w:rPr>
          <w:rFonts w:hint="eastAsia"/>
          <w:color w:val="auto"/>
          <w:highlight w:val="none"/>
        </w:rPr>
      </w:pPr>
    </w:p>
    <w:p>
      <w:pPr>
        <w:pStyle w:val="38"/>
        <w:rPr>
          <w:rFonts w:hint="eastAsia"/>
          <w:color w:val="auto"/>
          <w:highlight w:val="none"/>
        </w:rPr>
      </w:pPr>
    </w:p>
    <w:p>
      <w:pPr>
        <w:pStyle w:val="39"/>
        <w:rPr>
          <w:rFonts w:hint="eastAsia"/>
          <w:color w:val="auto"/>
          <w:highlight w:val="none"/>
        </w:rPr>
      </w:pPr>
    </w:p>
    <w:p>
      <w:pPr>
        <w:rPr>
          <w:rFonts w:hint="eastAsia"/>
          <w:color w:val="auto"/>
          <w:highlight w:val="none"/>
        </w:rPr>
      </w:pPr>
    </w:p>
    <w:p>
      <w:pPr>
        <w:rPr>
          <w:rFonts w:hint="eastAsia" w:hAnsi="宋体" w:cs="宋体"/>
          <w:color w:val="auto"/>
          <w:highlight w:val="none"/>
        </w:rPr>
      </w:pPr>
    </w:p>
    <w:p>
      <w:pPr>
        <w:jc w:val="center"/>
        <w:rPr>
          <w:rFonts w:hint="eastAsia" w:ascii="宋体" w:hAnsi="宋体" w:cs="宋体"/>
          <w:b/>
          <w:bCs/>
          <w:color w:val="auto"/>
          <w:kern w:val="0"/>
          <w:sz w:val="36"/>
          <w:highlight w:val="none"/>
        </w:rPr>
        <w:sectPr>
          <w:footerReference r:id="rId3" w:type="default"/>
          <w:pgSz w:w="11907" w:h="16840"/>
          <w:pgMar w:top="1474" w:right="1417" w:bottom="1247" w:left="1417" w:header="851" w:footer="851" w:gutter="0"/>
          <w:pgNumType w:start="1"/>
          <w:cols w:space="720" w:num="1"/>
        </w:sectPr>
      </w:pPr>
    </w:p>
    <w:p>
      <w:pPr>
        <w:jc w:val="center"/>
        <w:rPr>
          <w:rFonts w:ascii="宋体" w:hAnsi="宋体" w:cs="宋体"/>
          <w:b/>
          <w:bCs/>
          <w:color w:val="auto"/>
          <w:kern w:val="0"/>
          <w:sz w:val="36"/>
          <w:highlight w:val="none"/>
        </w:rPr>
      </w:pPr>
      <w:r>
        <w:rPr>
          <w:rFonts w:hint="eastAsia" w:ascii="宋体" w:hAnsi="宋体" w:cs="宋体"/>
          <w:b/>
          <w:bCs/>
          <w:color w:val="auto"/>
          <w:kern w:val="0"/>
          <w:sz w:val="36"/>
          <w:highlight w:val="none"/>
        </w:rPr>
        <w:t>第一部分  招标公告</w:t>
      </w:r>
      <w:bookmarkEnd w:id="3"/>
    </w:p>
    <w:p>
      <w:pPr>
        <w:spacing w:line="300" w:lineRule="exact"/>
        <w:jc w:val="center"/>
        <w:rPr>
          <w:rFonts w:ascii="宋体" w:hAnsi="宋体" w:cs="宋体"/>
          <w:color w:val="auto"/>
          <w:spacing w:val="6"/>
          <w:sz w:val="21"/>
          <w:szCs w:val="21"/>
          <w:highlight w:val="none"/>
        </w:rPr>
      </w:pP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color w:val="auto"/>
          <w:szCs w:val="24"/>
          <w:highlight w:val="none"/>
        </w:rPr>
      </w:pPr>
      <w:r>
        <w:rPr>
          <w:rFonts w:hint="eastAsia" w:ascii="宋体" w:hAnsi="宋体" w:cs="宋体"/>
          <w:color w:val="auto"/>
          <w:highlight w:val="none"/>
          <w:u w:val="single"/>
          <w:lang w:eastAsia="zh-CN"/>
        </w:rPr>
        <w:t>2024年嵊州市公共交通有限公司公交车保险采购项目</w:t>
      </w:r>
      <w:r>
        <w:rPr>
          <w:rFonts w:hint="eastAsia" w:ascii="宋体" w:hAnsi="宋体" w:cs="宋体"/>
          <w:color w:val="auto"/>
          <w:szCs w:val="24"/>
          <w:highlight w:val="none"/>
        </w:rPr>
        <w:t>的潜在投标人应在</w:t>
      </w:r>
      <w:r>
        <w:rPr>
          <w:rFonts w:hint="eastAsia" w:ascii="宋体" w:hAnsi="宋体" w:cs="宋体"/>
          <w:color w:val="auto"/>
          <w:spacing w:val="6"/>
          <w:szCs w:val="24"/>
          <w:highlight w:val="none"/>
        </w:rPr>
        <w:t>乐采云平台</w:t>
      </w:r>
      <w:r>
        <w:rPr>
          <w:color w:val="auto"/>
          <w:highlight w:val="none"/>
        </w:rPr>
        <w:fldChar w:fldCharType="begin"/>
      </w:r>
      <w:r>
        <w:rPr>
          <w:color w:val="auto"/>
          <w:highlight w:val="none"/>
        </w:rPr>
        <w:instrText xml:space="preserve"> HYPERLINK "http://www.zcygov.cn/获取采购文件，并于2023年" </w:instrText>
      </w:r>
      <w:r>
        <w:rPr>
          <w:color w:val="auto"/>
          <w:highlight w:val="none"/>
        </w:rPr>
        <w:fldChar w:fldCharType="separate"/>
      </w:r>
      <w:r>
        <w:rPr>
          <w:rStyle w:val="35"/>
          <w:rFonts w:hint="eastAsia" w:ascii="宋体" w:hAnsi="宋体" w:cs="宋体"/>
          <w:color w:val="auto"/>
          <w:spacing w:val="6"/>
          <w:szCs w:val="24"/>
          <w:highlight w:val="none"/>
          <w:u w:val="none"/>
        </w:rPr>
        <w:t>http://www.zcygov.cn/</w:t>
      </w:r>
      <w:r>
        <w:rPr>
          <w:rStyle w:val="35"/>
          <w:rFonts w:hint="eastAsia" w:ascii="宋体" w:hAnsi="宋体" w:cs="宋体"/>
          <w:color w:val="auto"/>
          <w:szCs w:val="24"/>
          <w:highlight w:val="none"/>
          <w:u w:val="none"/>
        </w:rPr>
        <w:t>获取采购文件，并于</w:t>
      </w:r>
      <w:r>
        <w:rPr>
          <w:rStyle w:val="35"/>
          <w:rFonts w:hint="eastAsia" w:ascii="宋体" w:hAnsi="宋体" w:cs="宋体"/>
          <w:color w:val="auto"/>
          <w:szCs w:val="24"/>
          <w:highlight w:val="none"/>
        </w:rPr>
        <w:t>202</w:t>
      </w:r>
      <w:r>
        <w:rPr>
          <w:rStyle w:val="35"/>
          <w:rFonts w:hint="eastAsia" w:ascii="宋体" w:hAnsi="宋体" w:cs="宋体"/>
          <w:color w:val="auto"/>
          <w:szCs w:val="24"/>
          <w:highlight w:val="none"/>
          <w:lang w:val="en-US" w:eastAsia="zh-CN"/>
        </w:rPr>
        <w:t>4</w:t>
      </w:r>
      <w:r>
        <w:rPr>
          <w:rStyle w:val="35"/>
          <w:rFonts w:hint="eastAsia" w:ascii="宋体" w:hAnsi="宋体" w:cs="宋体"/>
          <w:color w:val="auto"/>
          <w:szCs w:val="24"/>
          <w:highlight w:val="none"/>
          <w:u w:val="none"/>
        </w:rPr>
        <w:t>年</w:t>
      </w:r>
      <w:r>
        <w:rPr>
          <w:rStyle w:val="35"/>
          <w:rFonts w:hint="eastAsia" w:ascii="宋体" w:hAnsi="宋体" w:cs="宋体"/>
          <w:color w:val="auto"/>
          <w:szCs w:val="24"/>
          <w:highlight w:val="none"/>
          <w:u w:val="none"/>
        </w:rPr>
        <w:fldChar w:fldCharType="end"/>
      </w:r>
      <w:r>
        <w:rPr>
          <w:rStyle w:val="35"/>
          <w:rFonts w:hint="eastAsia" w:ascii="宋体" w:hAnsi="宋体" w:cs="宋体"/>
          <w:color w:val="auto"/>
          <w:szCs w:val="24"/>
          <w:highlight w:val="none"/>
          <w:u w:val="single"/>
          <w:lang w:val="en-US" w:eastAsia="zh-CN"/>
        </w:rPr>
        <w:t xml:space="preserve"> 4 </w:t>
      </w:r>
      <w:r>
        <w:rPr>
          <w:rFonts w:hint="eastAsia" w:ascii="宋体" w:hAnsi="宋体" w:cs="宋体"/>
          <w:color w:val="auto"/>
          <w:szCs w:val="24"/>
          <w:highlight w:val="none"/>
        </w:rPr>
        <w:t>月</w:t>
      </w:r>
      <w:r>
        <w:rPr>
          <w:rFonts w:hint="eastAsia" w:ascii="宋体" w:hAnsi="宋体" w:cs="宋体"/>
          <w:color w:val="auto"/>
          <w:szCs w:val="24"/>
          <w:highlight w:val="none"/>
          <w:u w:val="single"/>
          <w:lang w:val="en-US" w:eastAsia="zh-CN"/>
        </w:rPr>
        <w:t xml:space="preserve"> 8 </w:t>
      </w:r>
      <w:r>
        <w:rPr>
          <w:rFonts w:hint="eastAsia" w:ascii="宋体" w:hAnsi="宋体" w:cs="宋体"/>
          <w:color w:val="auto"/>
          <w:szCs w:val="24"/>
          <w:highlight w:val="none"/>
        </w:rPr>
        <w:t>日</w:t>
      </w:r>
      <w:r>
        <w:rPr>
          <w:rFonts w:hint="eastAsia" w:ascii="宋体" w:hAnsi="宋体" w:cs="宋体"/>
          <w:color w:val="auto"/>
          <w:szCs w:val="24"/>
          <w:highlight w:val="none"/>
          <w:u w:val="single"/>
          <w:lang w:val="en-US" w:eastAsia="zh-CN"/>
        </w:rPr>
        <w:t xml:space="preserve"> 9 </w:t>
      </w:r>
      <w:r>
        <w:rPr>
          <w:rFonts w:hint="eastAsia" w:ascii="宋体" w:hAnsi="宋体" w:cs="宋体"/>
          <w:color w:val="auto"/>
          <w:szCs w:val="24"/>
          <w:highlight w:val="none"/>
        </w:rPr>
        <w:t>点</w:t>
      </w:r>
      <w:r>
        <w:rPr>
          <w:rFonts w:hint="eastAsia" w:ascii="宋体" w:hAnsi="宋体" w:cs="宋体"/>
          <w:color w:val="auto"/>
          <w:szCs w:val="24"/>
          <w:highlight w:val="none"/>
          <w:u w:val="single"/>
        </w:rPr>
        <w:t xml:space="preserve"> 00 </w:t>
      </w:r>
      <w:r>
        <w:rPr>
          <w:rFonts w:hint="eastAsia" w:ascii="宋体" w:hAnsi="宋体" w:cs="宋体"/>
          <w:color w:val="auto"/>
          <w:szCs w:val="24"/>
          <w:highlight w:val="none"/>
        </w:rPr>
        <w:t>分</w:t>
      </w:r>
      <w:r>
        <w:rPr>
          <w:rFonts w:hint="eastAsia" w:ascii="宋体" w:hAnsi="宋体" w:cs="宋体"/>
          <w:bCs/>
          <w:color w:val="auto"/>
          <w:szCs w:val="24"/>
          <w:highlight w:val="none"/>
        </w:rPr>
        <w:t>（北京时间）前递交投标文件</w:t>
      </w:r>
      <w:r>
        <w:rPr>
          <w:rFonts w:hint="eastAsia" w:ascii="宋体" w:hAnsi="宋体" w:cs="宋体"/>
          <w:color w:val="auto"/>
          <w:szCs w:val="24"/>
          <w:highlight w:val="none"/>
        </w:rPr>
        <w:t>。</w:t>
      </w:r>
    </w:p>
    <w:p>
      <w:pPr>
        <w:spacing w:line="440" w:lineRule="exact"/>
        <w:rPr>
          <w:rFonts w:ascii="宋体" w:hAnsi="宋体" w:cs="宋体"/>
          <w:b/>
          <w:bCs/>
          <w:color w:val="auto"/>
          <w:spacing w:val="6"/>
          <w:szCs w:val="24"/>
          <w:highlight w:val="none"/>
        </w:rPr>
      </w:pPr>
      <w:bookmarkStart w:id="4" w:name="_Toc28359002"/>
      <w:bookmarkStart w:id="5" w:name="_Toc35393790"/>
      <w:bookmarkStart w:id="6" w:name="_Toc28359079"/>
      <w:bookmarkStart w:id="7" w:name="_Toc35393621"/>
      <w:bookmarkStart w:id="8" w:name="_Hlk24379207"/>
      <w:r>
        <w:rPr>
          <w:rFonts w:hint="eastAsia" w:ascii="宋体" w:hAnsi="宋体" w:cs="宋体"/>
          <w:b/>
          <w:bCs/>
          <w:color w:val="auto"/>
          <w:spacing w:val="6"/>
          <w:szCs w:val="24"/>
          <w:highlight w:val="none"/>
        </w:rPr>
        <w:t>一、项目基本情况</w:t>
      </w:r>
      <w:bookmarkEnd w:id="4"/>
      <w:bookmarkEnd w:id="5"/>
      <w:bookmarkEnd w:id="6"/>
      <w:bookmarkEnd w:id="7"/>
    </w:p>
    <w:p>
      <w:pPr>
        <w:spacing w:line="480" w:lineRule="exact"/>
        <w:ind w:firstLine="480" w:firstLineChars="200"/>
        <w:rPr>
          <w:rFonts w:hint="eastAsia" w:ascii="宋体" w:hAnsi="宋体" w:eastAsia="宋体" w:cs="宋体"/>
          <w:color w:val="auto"/>
          <w:highlight w:val="none"/>
          <w:u w:val="single"/>
          <w:lang w:val="en-US" w:eastAsia="zh-CN"/>
        </w:rPr>
      </w:pPr>
      <w:r>
        <w:rPr>
          <w:rFonts w:hint="eastAsia" w:ascii="宋体" w:hAnsi="宋体" w:cs="宋体"/>
          <w:color w:val="auto"/>
          <w:szCs w:val="24"/>
          <w:highlight w:val="none"/>
        </w:rPr>
        <w:t>1.项目编号：</w:t>
      </w:r>
      <w:r>
        <w:rPr>
          <w:rFonts w:hint="eastAsia" w:ascii="宋体" w:hAnsi="宋体" w:cs="宋体"/>
          <w:color w:val="auto"/>
          <w:highlight w:val="none"/>
          <w:u w:val="none"/>
          <w:lang w:val="en-US" w:eastAsia="zh-CN"/>
        </w:rPr>
        <w:t>SZMY-F20240308</w:t>
      </w:r>
    </w:p>
    <w:p>
      <w:pPr>
        <w:spacing w:line="48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2.项目名称：</w:t>
      </w:r>
      <w:r>
        <w:rPr>
          <w:rFonts w:hint="eastAsia" w:ascii="宋体" w:hAnsi="宋体" w:cs="宋体"/>
          <w:color w:val="auto"/>
          <w:highlight w:val="none"/>
          <w:u w:val="none"/>
          <w:lang w:eastAsia="zh-CN"/>
        </w:rPr>
        <w:t xml:space="preserve">2024年嵊州市公共交通有限公司公交车保险采购项目  </w:t>
      </w:r>
    </w:p>
    <w:bookmarkEnd w:id="8"/>
    <w:p>
      <w:pPr>
        <w:spacing w:line="48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3.预算金额：</w:t>
      </w:r>
      <w:r>
        <w:rPr>
          <w:rFonts w:hint="eastAsia" w:ascii="宋体" w:hAnsi="宋体" w:cs="宋体"/>
          <w:color w:val="auto"/>
          <w:szCs w:val="24"/>
          <w:highlight w:val="none"/>
          <w:lang w:val="en-US" w:eastAsia="zh-CN"/>
        </w:rPr>
        <w:t>600000.00</w:t>
      </w:r>
    </w:p>
    <w:p>
      <w:pPr>
        <w:spacing w:line="44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4.最高限价：</w:t>
      </w:r>
      <w:r>
        <w:rPr>
          <w:rFonts w:hint="eastAsia" w:ascii="宋体" w:hAnsi="宋体" w:cs="宋体"/>
          <w:color w:val="auto"/>
          <w:szCs w:val="24"/>
          <w:highlight w:val="none"/>
          <w:lang w:val="en-US" w:eastAsia="zh-CN"/>
        </w:rPr>
        <w:t>600000.00</w:t>
      </w:r>
    </w:p>
    <w:p>
      <w:pPr>
        <w:pStyle w:val="79"/>
        <w:spacing w:afterLines="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5.采购需求：</w:t>
      </w:r>
    </w:p>
    <w:p>
      <w:pPr>
        <w:pStyle w:val="79"/>
        <w:spacing w:afterLines="0" w:line="440" w:lineRule="exact"/>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标项一:</w:t>
      </w:r>
    </w:p>
    <w:p>
      <w:pPr>
        <w:pStyle w:val="79"/>
        <w:spacing w:afterLines="0" w:line="440" w:lineRule="exact"/>
        <w:ind w:firstLine="480"/>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lang w:val="en-US" w:eastAsia="zh-CN" w:bidi="ar-SA"/>
        </w:rPr>
        <w:t xml:space="preserve">标项名称: </w:t>
      </w:r>
      <w:r>
        <w:rPr>
          <w:rFonts w:hint="eastAsia" w:ascii="宋体" w:hAnsi="宋体" w:cs="宋体"/>
          <w:color w:val="auto"/>
          <w:highlight w:val="none"/>
          <w:u w:val="none"/>
          <w:lang w:eastAsia="zh-CN"/>
        </w:rPr>
        <w:t xml:space="preserve">2024年嵊州市公共交通有限公司公交车保险采购项目  </w:t>
      </w:r>
    </w:p>
    <w:p>
      <w:pPr>
        <w:pStyle w:val="79"/>
        <w:spacing w:afterLines="0" w:line="440" w:lineRule="exact"/>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预算金额（元）:</w:t>
      </w:r>
      <w:r>
        <w:rPr>
          <w:rFonts w:hint="eastAsia" w:ascii="宋体" w:hAnsi="宋体" w:cs="宋体"/>
          <w:color w:val="auto"/>
          <w:szCs w:val="24"/>
          <w:highlight w:val="none"/>
          <w:lang w:val="en-US" w:eastAsia="zh-CN"/>
        </w:rPr>
        <w:t>600000.00</w:t>
      </w:r>
    </w:p>
    <w:p>
      <w:pPr>
        <w:pStyle w:val="79"/>
        <w:spacing w:afterLines="0" w:line="440" w:lineRule="exact"/>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简要规格描述或项目基本概况介绍、用途：详见采购文件 </w:t>
      </w:r>
    </w:p>
    <w:p>
      <w:pPr>
        <w:pStyle w:val="79"/>
        <w:spacing w:afterLines="0" w:line="440" w:lineRule="exact"/>
        <w:ind w:firstLine="480"/>
        <w:rPr>
          <w:rFonts w:hint="eastAsia" w:ascii="宋体" w:hAnsi="宋体" w:eastAsia="宋体" w:cs="宋体"/>
          <w:color w:val="auto"/>
          <w:highlight w:val="none"/>
          <w:u w:val="none"/>
          <w:lang w:val="en-US" w:eastAsia="zh-CN"/>
        </w:rPr>
      </w:pPr>
      <w:r>
        <w:rPr>
          <w:rFonts w:hint="eastAsia" w:ascii="宋体" w:hAnsi="宋体" w:eastAsia="宋体" w:cs="宋体"/>
          <w:color w:val="auto"/>
          <w:kern w:val="2"/>
          <w:sz w:val="24"/>
          <w:szCs w:val="24"/>
          <w:highlight w:val="none"/>
          <w:lang w:val="en-US" w:eastAsia="zh-CN" w:bidi="ar-SA"/>
        </w:rPr>
        <w:t>合同履约期限：</w:t>
      </w:r>
      <w:r>
        <w:rPr>
          <w:rFonts w:hint="eastAsia" w:ascii="宋体" w:hAnsi="宋体" w:eastAsia="宋体" w:cs="宋体"/>
          <w:color w:val="auto"/>
          <w:highlight w:val="none"/>
          <w:u w:val="none"/>
          <w:lang w:val="en-US" w:eastAsia="zh-CN"/>
        </w:rPr>
        <w:t>两年</w:t>
      </w:r>
      <w:r>
        <w:rPr>
          <w:rFonts w:hint="eastAsia" w:ascii="宋体" w:hAnsi="宋体" w:eastAsia="宋体" w:cs="宋体"/>
          <w:color w:val="auto"/>
          <w:highlight w:val="none"/>
          <w:u w:val="none"/>
          <w:lang w:eastAsia="zh-CN"/>
        </w:rPr>
        <w:t>。</w:t>
      </w:r>
    </w:p>
    <w:p>
      <w:pPr>
        <w:pStyle w:val="79"/>
        <w:spacing w:afterLines="0" w:line="440" w:lineRule="exact"/>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本项目（否）接受联合体投标。</w:t>
      </w:r>
    </w:p>
    <w:p>
      <w:pPr>
        <w:spacing w:line="440" w:lineRule="exact"/>
        <w:rPr>
          <w:rFonts w:ascii="宋体" w:hAnsi="宋体" w:cs="宋体"/>
          <w:b/>
          <w:bCs/>
          <w:color w:val="auto"/>
          <w:spacing w:val="6"/>
          <w:szCs w:val="24"/>
          <w:highlight w:val="none"/>
        </w:rPr>
      </w:pPr>
      <w:bookmarkStart w:id="9" w:name="_Toc28359080"/>
      <w:bookmarkStart w:id="10" w:name="_Toc28359003"/>
      <w:bookmarkStart w:id="11" w:name="_Toc35393622"/>
      <w:bookmarkStart w:id="12" w:name="_Toc35393791"/>
      <w:r>
        <w:rPr>
          <w:rFonts w:hint="eastAsia" w:ascii="宋体" w:hAnsi="宋体" w:cs="宋体"/>
          <w:b/>
          <w:bCs/>
          <w:color w:val="auto"/>
          <w:spacing w:val="6"/>
          <w:szCs w:val="24"/>
          <w:highlight w:val="none"/>
        </w:rPr>
        <w:t>二、</w:t>
      </w:r>
      <w:r>
        <w:rPr>
          <w:rFonts w:hint="eastAsia" w:ascii="宋体" w:hAnsi="宋体" w:cs="宋体"/>
          <w:b/>
          <w:bCs/>
          <w:color w:val="auto"/>
          <w:spacing w:val="6"/>
          <w:szCs w:val="24"/>
          <w:highlight w:val="none"/>
          <w:lang w:val="en-US" w:eastAsia="zh-CN"/>
        </w:rPr>
        <w:t>供应商</w:t>
      </w:r>
      <w:r>
        <w:rPr>
          <w:rFonts w:hint="eastAsia" w:ascii="宋体" w:hAnsi="宋体" w:cs="宋体"/>
          <w:b/>
          <w:bCs/>
          <w:color w:val="auto"/>
          <w:spacing w:val="6"/>
          <w:szCs w:val="24"/>
          <w:highlight w:val="none"/>
        </w:rPr>
        <w:t>的资格要求：</w:t>
      </w:r>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cs="宋体"/>
          <w:color w:val="auto"/>
          <w:szCs w:val="24"/>
          <w:highlight w:val="none"/>
        </w:rPr>
      </w:pPr>
      <w:r>
        <w:rPr>
          <w:rFonts w:hint="eastAsia" w:ascii="宋体" w:hAnsi="宋体" w:cs="宋体"/>
          <w:color w:val="auto"/>
          <w:szCs w:val="24"/>
          <w:highlight w:val="none"/>
        </w:rPr>
        <w:t>（一）基本资格要求：</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lang w:val="en-US" w:eastAsia="zh-CN"/>
        </w:rPr>
        <w:t>1、</w:t>
      </w:r>
      <w:r>
        <w:rPr>
          <w:rFonts w:hint="eastAsia" w:ascii="宋体" w:hAnsi="宋体" w:eastAsia="宋体" w:cs="宋体"/>
          <w:snapToGrid w:val="0"/>
          <w:color w:val="auto"/>
          <w:kern w:val="28"/>
          <w:sz w:val="24"/>
          <w:szCs w:val="20"/>
          <w:highlight w:val="none"/>
          <w:lang w:val="en-US" w:eastAsia="zh-CN"/>
        </w:rPr>
        <w:t>具备以下条件</w:t>
      </w:r>
      <w:r>
        <w:rPr>
          <w:rFonts w:hint="eastAsia" w:ascii="宋体" w:hAnsi="宋体" w:cs="宋体"/>
          <w:snapToGrid w:val="0"/>
          <w:color w:val="auto"/>
          <w:kern w:val="28"/>
          <w:sz w:val="24"/>
          <w:szCs w:val="2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textAlignment w:val="auto"/>
        <w:rPr>
          <w:rFonts w:hint="eastAsia" w:ascii="宋体" w:hAnsi="宋体" w:eastAsia="宋体" w:cs="Times New Roman"/>
          <w:color w:val="auto"/>
          <w:highlight w:val="none"/>
          <w:lang w:val="en-US" w:eastAsia="zh-CN"/>
        </w:rPr>
      </w:pPr>
      <w:bookmarkStart w:id="13" w:name="_Toc28359004"/>
      <w:bookmarkStart w:id="14" w:name="_Toc28359081"/>
      <w:r>
        <w:rPr>
          <w:rFonts w:hint="eastAsia" w:ascii="宋体" w:hAnsi="宋体" w:eastAsia="宋体" w:cs="Times New Roman"/>
          <w:color w:val="auto"/>
          <w:highlight w:val="none"/>
          <w:lang w:val="en-US" w:eastAsia="zh-CN"/>
        </w:rPr>
        <w:t>1.1具有独立承担民事责任能力的法人。</w:t>
      </w: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1.2具有良好的商业信誉。</w:t>
      </w: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1.3具有履行合同所必需的设备和专业技术、售后保障等能力。</w:t>
      </w: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1.5参加采购活动前三年内，没有重大违法记录、严重失信行为和行贿记录。</w:t>
      </w: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textAlignment w:val="auto"/>
        <w:rPr>
          <w:rFonts w:hint="eastAsia" w:ascii="宋体" w:hAnsi="宋体" w:cs="宋体"/>
          <w:color w:val="auto"/>
          <w:szCs w:val="24"/>
          <w:highlight w:val="none"/>
        </w:rPr>
      </w:pPr>
      <w:r>
        <w:rPr>
          <w:rFonts w:hint="eastAsia" w:ascii="宋体" w:hAnsi="宋体" w:eastAsia="宋体" w:cs="Times New Roman"/>
          <w:color w:val="auto"/>
          <w:highlight w:val="none"/>
          <w:lang w:val="en-US" w:eastAsia="zh-CN"/>
        </w:rPr>
        <w:t>1.6法律、行政法规规定的其他条件。</w:t>
      </w:r>
    </w:p>
    <w:p>
      <w:pPr>
        <w:spacing w:line="500" w:lineRule="exact"/>
        <w:ind w:firstLine="480" w:firstLineChars="200"/>
        <w:rPr>
          <w:rFonts w:hint="eastAsia" w:ascii="宋体" w:hAnsi="宋体" w:cs="宋体"/>
          <w:color w:val="auto"/>
          <w:szCs w:val="24"/>
          <w:highlight w:val="none"/>
        </w:rPr>
      </w:pPr>
      <w:r>
        <w:rPr>
          <w:rFonts w:hint="eastAsia" w:ascii="宋体" w:hAnsi="宋体" w:eastAsia="宋体" w:cs="宋体"/>
          <w:snapToGrid w:val="0"/>
          <w:color w:val="auto"/>
          <w:kern w:val="28"/>
          <w:sz w:val="24"/>
          <w:szCs w:val="20"/>
          <w:highlight w:val="none"/>
          <w:lang w:val="en-US" w:eastAsia="zh-CN"/>
        </w:rPr>
        <w:t>2、</w:t>
      </w:r>
      <w:r>
        <w:rPr>
          <w:rFonts w:hint="eastAsia" w:ascii="宋体" w:hAnsi="宋体" w:eastAsia="宋体" w:cs="宋体"/>
          <w:snapToGrid w:val="0"/>
          <w:color w:val="auto"/>
          <w:kern w:val="28"/>
          <w:sz w:val="24"/>
          <w:szCs w:val="20"/>
          <w:highlight w:val="none"/>
        </w:rPr>
        <w:t>未被“信用中国”（www.creditchina.gov.cn)、中国政府采购网（www.ccgp.gov.cn）列入失信被执行人、重大税收违法案件当事人名单、政府采购严重违法失信行为记录名单；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460" w:lineRule="exact"/>
        <w:ind w:firstLine="720" w:firstLineChars="300"/>
        <w:textAlignment w:val="auto"/>
        <w:rPr>
          <w:rFonts w:hint="eastAsia" w:ascii="宋体" w:hAnsi="宋体" w:eastAsia="宋体" w:cs="Times New Roman"/>
          <w:color w:val="auto"/>
          <w:highlight w:val="none"/>
          <w:lang w:val="en-US" w:eastAsia="zh-CN"/>
        </w:rPr>
      </w:pPr>
      <w:r>
        <w:rPr>
          <w:rFonts w:hint="eastAsia" w:ascii="宋体" w:hAnsi="宋体" w:cs="宋体"/>
          <w:color w:val="auto"/>
          <w:szCs w:val="24"/>
          <w:highlight w:val="none"/>
        </w:rPr>
        <w:t>（二）特定资格要求：</w:t>
      </w:r>
      <w:bookmarkStart w:id="15" w:name="_Toc35393792"/>
      <w:bookmarkStart w:id="16" w:name="_Toc35393623"/>
      <w:r>
        <w:rPr>
          <w:rFonts w:hint="eastAsia" w:ascii="宋体" w:hAnsi="宋体" w:eastAsia="宋体" w:cs="Times New Roman"/>
          <w:color w:val="auto"/>
          <w:highlight w:val="none"/>
          <w:lang w:val="en-US" w:eastAsia="zh-CN"/>
        </w:rPr>
        <w:t>(1)具有中国保险监督管理委员</w:t>
      </w:r>
      <w:r>
        <w:rPr>
          <w:rFonts w:hint="eastAsia" w:ascii="宋体" w:hAnsi="宋体" w:cs="Times New Roman"/>
          <w:color w:val="auto"/>
          <w:highlight w:val="none"/>
          <w:lang w:val="en-US" w:eastAsia="zh-CN"/>
        </w:rPr>
        <w:t>会</w:t>
      </w:r>
      <w:r>
        <w:rPr>
          <w:rFonts w:hint="eastAsia" w:ascii="宋体" w:hAnsi="宋体" w:eastAsia="宋体" w:cs="Times New Roman"/>
          <w:color w:val="auto"/>
          <w:highlight w:val="none"/>
          <w:lang w:val="en-US" w:eastAsia="zh-CN"/>
        </w:rPr>
        <w:t>颁发的《经营保险业务许可证》;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Cs w:val="24"/>
          <w:highlight w:val="none"/>
          <w:lang w:val="en-US" w:eastAsia="zh-CN"/>
        </w:rPr>
      </w:pPr>
      <w:r>
        <w:rPr>
          <w:rFonts w:hint="eastAsia" w:ascii="宋体" w:hAnsi="宋体" w:eastAsia="宋体" w:cs="Times New Roman"/>
          <w:color w:val="auto"/>
          <w:highlight w:val="none"/>
          <w:lang w:val="en-US" w:eastAsia="zh-CN"/>
        </w:rPr>
        <w:t>(2)须经国家保险监督管理机构批准的在中华人民共和国境内设立和营业的保险公司或其授权的分支公司，并依法核定许可经营车辆保险业务的保险公司。</w:t>
      </w:r>
    </w:p>
    <w:p>
      <w:pPr>
        <w:spacing w:line="440" w:lineRule="exact"/>
        <w:rPr>
          <w:rFonts w:ascii="宋体" w:hAnsi="宋体" w:cs="宋体"/>
          <w:b/>
          <w:bCs/>
          <w:color w:val="auto"/>
          <w:spacing w:val="6"/>
          <w:szCs w:val="24"/>
          <w:highlight w:val="none"/>
        </w:rPr>
      </w:pPr>
      <w:r>
        <w:rPr>
          <w:rFonts w:hint="eastAsia" w:ascii="宋体" w:hAnsi="宋体" w:cs="宋体"/>
          <w:b/>
          <w:bCs/>
          <w:color w:val="auto"/>
          <w:spacing w:val="6"/>
          <w:szCs w:val="24"/>
          <w:highlight w:val="none"/>
        </w:rPr>
        <w:t>三、获取</w:t>
      </w:r>
      <w:bookmarkEnd w:id="13"/>
      <w:bookmarkEnd w:id="14"/>
      <w:bookmarkEnd w:id="15"/>
      <w:bookmarkEnd w:id="16"/>
      <w:r>
        <w:rPr>
          <w:rFonts w:hint="eastAsia" w:ascii="宋体" w:hAnsi="宋体" w:cs="宋体"/>
          <w:b/>
          <w:bCs/>
          <w:color w:val="auto"/>
          <w:spacing w:val="6"/>
          <w:szCs w:val="24"/>
          <w:highlight w:val="none"/>
          <w:lang w:val="en-US" w:eastAsia="zh-CN"/>
        </w:rPr>
        <w:t>采购</w:t>
      </w:r>
      <w:r>
        <w:rPr>
          <w:rFonts w:hint="eastAsia" w:ascii="宋体" w:hAnsi="宋体" w:cs="宋体"/>
          <w:b/>
          <w:bCs/>
          <w:color w:val="auto"/>
          <w:spacing w:val="6"/>
          <w:szCs w:val="24"/>
          <w:highlight w:val="none"/>
        </w:rPr>
        <w:t>文件</w:t>
      </w:r>
    </w:p>
    <w:p>
      <w:pPr>
        <w:spacing w:line="440" w:lineRule="exact"/>
        <w:ind w:firstLine="504" w:firstLineChars="200"/>
        <w:rPr>
          <w:bCs/>
          <w:color w:val="auto"/>
          <w:highlight w:val="none"/>
        </w:rPr>
      </w:pPr>
      <w:bookmarkStart w:id="17" w:name="_Toc28359005"/>
      <w:bookmarkStart w:id="18" w:name="_Toc35393624"/>
      <w:bookmarkStart w:id="19" w:name="_Toc35393793"/>
      <w:bookmarkStart w:id="20" w:name="_Toc28359082"/>
      <w:r>
        <w:rPr>
          <w:rFonts w:hint="eastAsia" w:ascii="宋体" w:hAnsi="宋体" w:cs="宋体"/>
          <w:color w:val="auto"/>
          <w:spacing w:val="6"/>
          <w:szCs w:val="24"/>
          <w:highlight w:val="none"/>
        </w:rPr>
        <w:t>1.采购文件获取时间：</w:t>
      </w:r>
      <w:r>
        <w:rPr>
          <w:rFonts w:hint="eastAsia" w:ascii="Times New Roman" w:hAnsi="Times New Roman" w:eastAsia="宋体" w:cs="Times New Roman"/>
          <w:bCs/>
          <w:color w:val="auto"/>
          <w:highlight w:val="none"/>
        </w:rPr>
        <w:t>/至</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2024</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eastAsia="zh-CN"/>
        </w:rPr>
        <w:t>年</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4</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val="en-US" w:eastAsia="zh-CN"/>
        </w:rPr>
        <w:t>月</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8</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val="en-US" w:eastAsia="zh-CN"/>
        </w:rPr>
        <w:t>日</w:t>
      </w:r>
      <w:r>
        <w:rPr>
          <w:rFonts w:hint="eastAsia" w:ascii="Times New Roman" w:hAnsi="Times New Roman" w:eastAsia="宋体" w:cs="Times New Roman"/>
          <w:bCs/>
          <w:color w:val="auto"/>
          <w:highlight w:val="none"/>
        </w:rPr>
        <w:t>。每</w:t>
      </w:r>
      <w:r>
        <w:rPr>
          <w:rFonts w:hint="eastAsia"/>
          <w:bCs/>
          <w:color w:val="auto"/>
          <w:highlight w:val="none"/>
        </w:rPr>
        <w:t>天上午</w:t>
      </w:r>
      <w:r>
        <w:rPr>
          <w:rFonts w:hint="eastAsia"/>
          <w:bCs/>
          <w:color w:val="auto"/>
          <w:highlight w:val="none"/>
          <w:u w:val="single"/>
        </w:rPr>
        <w:t>00:00</w:t>
      </w:r>
      <w:r>
        <w:rPr>
          <w:rFonts w:hint="eastAsia"/>
          <w:bCs/>
          <w:color w:val="auto"/>
          <w:highlight w:val="none"/>
        </w:rPr>
        <w:t>至</w:t>
      </w:r>
      <w:r>
        <w:rPr>
          <w:rFonts w:hint="eastAsia"/>
          <w:bCs/>
          <w:color w:val="auto"/>
          <w:highlight w:val="none"/>
          <w:u w:val="single"/>
        </w:rPr>
        <w:t>12:00</w:t>
      </w:r>
      <w:r>
        <w:rPr>
          <w:rFonts w:hint="eastAsia"/>
          <w:bCs/>
          <w:color w:val="auto"/>
          <w:highlight w:val="none"/>
        </w:rPr>
        <w:t>，下午</w:t>
      </w:r>
      <w:r>
        <w:rPr>
          <w:rFonts w:hint="eastAsia"/>
          <w:bCs/>
          <w:color w:val="auto"/>
          <w:highlight w:val="none"/>
          <w:u w:val="single"/>
        </w:rPr>
        <w:t>12:00</w:t>
      </w:r>
      <w:r>
        <w:rPr>
          <w:rFonts w:hint="eastAsia"/>
          <w:bCs/>
          <w:color w:val="auto"/>
          <w:highlight w:val="none"/>
        </w:rPr>
        <w:t>至</w:t>
      </w:r>
      <w:r>
        <w:rPr>
          <w:rFonts w:hint="eastAsia"/>
          <w:bCs/>
          <w:color w:val="auto"/>
          <w:highlight w:val="none"/>
          <w:u w:val="single"/>
        </w:rPr>
        <w:t>23:59</w:t>
      </w:r>
      <w:r>
        <w:rPr>
          <w:rFonts w:hint="eastAsia"/>
          <w:bCs/>
          <w:color w:val="auto"/>
          <w:highlight w:val="none"/>
        </w:rPr>
        <w:t>（北京时间，线上获取法定节假日均可，线下获取文件法定节假日除外）</w:t>
      </w:r>
    </w:p>
    <w:p>
      <w:pPr>
        <w:widowControl/>
        <w:spacing w:line="440" w:lineRule="exact"/>
        <w:ind w:firstLine="378" w:firstLineChars="150"/>
        <w:jc w:val="left"/>
        <w:rPr>
          <w:rFonts w:ascii="宋体" w:hAnsi="宋体" w:cs="宋体"/>
          <w:color w:val="auto"/>
          <w:spacing w:val="6"/>
          <w:szCs w:val="24"/>
          <w:highlight w:val="none"/>
        </w:rPr>
      </w:pPr>
      <w:r>
        <w:rPr>
          <w:rFonts w:ascii="宋体" w:hAnsi="宋体" w:cs="宋体"/>
          <w:color w:val="auto"/>
          <w:spacing w:val="6"/>
          <w:szCs w:val="24"/>
          <w:highlight w:val="none"/>
        </w:rPr>
        <w:t>2.地点（网址）：</w:t>
      </w:r>
      <w:r>
        <w:rPr>
          <w:rFonts w:hint="eastAsia" w:ascii="宋体" w:hAnsi="宋体" w:cs="宋体"/>
          <w:color w:val="auto"/>
          <w:spacing w:val="6"/>
          <w:szCs w:val="24"/>
          <w:highlight w:val="none"/>
        </w:rPr>
        <w:t>乐采云平台</w:t>
      </w:r>
      <w:r>
        <w:rPr>
          <w:rFonts w:ascii="宋体" w:hAnsi="宋体" w:cs="宋体"/>
          <w:color w:val="auto"/>
          <w:spacing w:val="6"/>
          <w:szCs w:val="24"/>
          <w:highlight w:val="none"/>
        </w:rPr>
        <w:t>（http://zfcg.czt.zj.gov.cn/） </w:t>
      </w:r>
    </w:p>
    <w:p>
      <w:pPr>
        <w:widowControl/>
        <w:spacing w:line="440" w:lineRule="exact"/>
        <w:jc w:val="left"/>
        <w:rPr>
          <w:rFonts w:ascii="宋体" w:hAnsi="宋体" w:cs="宋体"/>
          <w:color w:val="auto"/>
          <w:spacing w:val="6"/>
          <w:szCs w:val="24"/>
          <w:highlight w:val="none"/>
        </w:rPr>
      </w:pPr>
      <w:r>
        <w:rPr>
          <w:rFonts w:ascii="仿宋" w:hAnsi="仿宋" w:cs="宋体"/>
          <w:color w:val="auto"/>
          <w:kern w:val="0"/>
          <w:sz w:val="27"/>
          <w:szCs w:val="27"/>
          <w:highlight w:val="none"/>
        </w:rPr>
        <w:t> </w:t>
      </w:r>
      <w:r>
        <w:rPr>
          <w:rFonts w:hint="eastAsia" w:ascii="仿宋" w:hAnsi="仿宋" w:cs="宋体"/>
          <w:color w:val="auto"/>
          <w:kern w:val="0"/>
          <w:sz w:val="27"/>
          <w:szCs w:val="27"/>
          <w:highlight w:val="none"/>
          <w:lang w:val="en-US" w:eastAsia="zh-CN"/>
        </w:rPr>
        <w:t xml:space="preserve">  </w:t>
      </w:r>
      <w:r>
        <w:rPr>
          <w:rFonts w:ascii="宋体" w:hAnsi="宋体" w:cs="宋体"/>
          <w:color w:val="auto"/>
          <w:spacing w:val="6"/>
          <w:szCs w:val="24"/>
          <w:highlight w:val="none"/>
        </w:rPr>
        <w:t>3.方式：在线获取 </w:t>
      </w:r>
    </w:p>
    <w:p>
      <w:pPr>
        <w:widowControl/>
        <w:spacing w:line="440" w:lineRule="exact"/>
        <w:ind w:firstLine="360" w:firstLineChars="150"/>
        <w:jc w:val="left"/>
        <w:rPr>
          <w:bCs/>
          <w:color w:val="auto"/>
          <w:highlight w:val="none"/>
        </w:rPr>
      </w:pPr>
      <w:r>
        <w:rPr>
          <w:bCs/>
          <w:color w:val="auto"/>
          <w:szCs w:val="21"/>
          <w:highlight w:val="none"/>
        </w:rPr>
        <w:t>4.</w:t>
      </w:r>
      <w:r>
        <w:rPr>
          <w:rFonts w:hint="eastAsia"/>
          <w:bCs/>
          <w:color w:val="auto"/>
          <w:szCs w:val="21"/>
          <w:highlight w:val="none"/>
        </w:rPr>
        <w:t>售价（元）：</w:t>
      </w:r>
      <w:r>
        <w:rPr>
          <w:bCs/>
          <w:color w:val="auto"/>
          <w:highlight w:val="none"/>
        </w:rPr>
        <w:t>0</w:t>
      </w:r>
    </w:p>
    <w:p>
      <w:pPr>
        <w:pStyle w:val="24"/>
        <w:widowControl/>
        <w:spacing w:line="460" w:lineRule="exact"/>
        <w:outlineLvl w:val="1"/>
        <w:rPr>
          <w:b/>
          <w:color w:val="auto"/>
          <w:highlight w:val="none"/>
        </w:rPr>
      </w:pPr>
      <w:r>
        <w:rPr>
          <w:rFonts w:hint="eastAsia"/>
          <w:bCs/>
          <w:color w:val="auto"/>
          <w:szCs w:val="20"/>
          <w:highlight w:val="none"/>
        </w:rPr>
        <w:t> </w:t>
      </w:r>
      <w:bookmarkStart w:id="21" w:name="_Toc208"/>
      <w:bookmarkStart w:id="22" w:name="_Toc413"/>
      <w:r>
        <w:rPr>
          <w:b/>
          <w:color w:val="auto"/>
          <w:highlight w:val="none"/>
        </w:rPr>
        <w:t>四、提交投标文件截止时间、开标时间和地点</w:t>
      </w:r>
      <w:bookmarkEnd w:id="21"/>
      <w:bookmarkEnd w:id="22"/>
    </w:p>
    <w:p>
      <w:pPr>
        <w:pStyle w:val="24"/>
        <w:widowControl/>
        <w:spacing w:line="480" w:lineRule="exact"/>
        <w:ind w:firstLine="480" w:firstLineChars="200"/>
        <w:rPr>
          <w:bCs/>
          <w:color w:val="auto"/>
          <w:highlight w:val="none"/>
        </w:rPr>
      </w:pPr>
      <w:r>
        <w:rPr>
          <w:rFonts w:hint="eastAsia"/>
          <w:bCs/>
          <w:color w:val="auto"/>
          <w:highlight w:val="none"/>
        </w:rPr>
        <w:t>1.提交投标文件截止时间：</w:t>
      </w:r>
      <w:r>
        <w:rPr>
          <w:rFonts w:hint="eastAsia" w:cs="Times New Roman"/>
          <w:bCs/>
          <w:color w:val="auto"/>
          <w:highlight w:val="none"/>
          <w:u w:val="single"/>
          <w:lang w:val="en-US" w:eastAsia="zh-CN"/>
        </w:rPr>
        <w:t>2024</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eastAsia="zh-CN"/>
        </w:rPr>
        <w:t>年</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4</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val="en-US" w:eastAsia="zh-CN"/>
        </w:rPr>
        <w:t>月</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8</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val="en-US" w:eastAsia="zh-CN"/>
        </w:rPr>
        <w:t>日</w:t>
      </w:r>
      <w:r>
        <w:rPr>
          <w:rFonts w:hint="eastAsia"/>
          <w:bCs/>
          <w:color w:val="auto"/>
          <w:highlight w:val="none"/>
          <w:u w:val="single"/>
          <w:lang w:val="en-US" w:eastAsia="zh-CN"/>
        </w:rPr>
        <w:t xml:space="preserve"> 9</w:t>
      </w:r>
      <w:r>
        <w:rPr>
          <w:rFonts w:hint="eastAsia"/>
          <w:bCs/>
          <w:color w:val="auto"/>
          <w:highlight w:val="none"/>
          <w:u w:val="single"/>
        </w:rPr>
        <w:t>:00</w:t>
      </w:r>
      <w:r>
        <w:rPr>
          <w:rFonts w:hint="eastAsia"/>
          <w:bCs/>
          <w:color w:val="auto"/>
          <w:highlight w:val="none"/>
        </w:rPr>
        <w:t>（北京时间）</w:t>
      </w:r>
    </w:p>
    <w:p>
      <w:pPr>
        <w:pStyle w:val="24"/>
        <w:widowControl/>
        <w:spacing w:line="480" w:lineRule="exact"/>
        <w:ind w:firstLine="480" w:firstLineChars="200"/>
        <w:rPr>
          <w:bCs/>
          <w:color w:val="auto"/>
          <w:highlight w:val="none"/>
        </w:rPr>
      </w:pPr>
      <w:r>
        <w:rPr>
          <w:rFonts w:hint="eastAsia"/>
          <w:bCs/>
          <w:color w:val="auto"/>
          <w:highlight w:val="none"/>
        </w:rPr>
        <w:t>2.投标地点（网址）：</w:t>
      </w:r>
      <w:r>
        <w:rPr>
          <w:rStyle w:val="33"/>
          <w:rFonts w:hint="eastAsia"/>
          <w:color w:val="auto"/>
          <w:highlight w:val="none"/>
        </w:rPr>
        <w:t>通过“乐采云平台（</w:t>
      </w:r>
      <w:r>
        <w:rPr>
          <w:color w:val="auto"/>
          <w:highlight w:val="none"/>
        </w:rPr>
        <w:fldChar w:fldCharType="begin"/>
      </w:r>
      <w:r>
        <w:rPr>
          <w:color w:val="auto"/>
          <w:highlight w:val="none"/>
        </w:rPr>
        <w:instrText xml:space="preserve"> HYPERLINK "http://zfcg.czt.zj.gov.cn/" </w:instrText>
      </w:r>
      <w:r>
        <w:rPr>
          <w:color w:val="auto"/>
          <w:highlight w:val="none"/>
        </w:rPr>
        <w:fldChar w:fldCharType="separate"/>
      </w:r>
      <w:r>
        <w:rPr>
          <w:rStyle w:val="35"/>
          <w:color w:val="auto"/>
          <w:highlight w:val="none"/>
        </w:rPr>
        <w:t>http://zfcg.czt.zj.gov.cn/</w:t>
      </w:r>
      <w:r>
        <w:rPr>
          <w:rStyle w:val="35"/>
          <w:color w:val="auto"/>
          <w:highlight w:val="none"/>
        </w:rPr>
        <w:fldChar w:fldCharType="end"/>
      </w:r>
      <w:r>
        <w:rPr>
          <w:rStyle w:val="33"/>
          <w:rFonts w:hint="eastAsia"/>
          <w:color w:val="auto"/>
          <w:highlight w:val="none"/>
        </w:rPr>
        <w:t>）”实行在线投标响应</w:t>
      </w:r>
    </w:p>
    <w:p>
      <w:pPr>
        <w:pStyle w:val="24"/>
        <w:widowControl/>
        <w:spacing w:line="480" w:lineRule="exact"/>
        <w:ind w:firstLine="480" w:firstLineChars="200"/>
        <w:rPr>
          <w:bCs/>
          <w:color w:val="auto"/>
          <w:highlight w:val="none"/>
        </w:rPr>
      </w:pPr>
      <w:r>
        <w:rPr>
          <w:rFonts w:hint="eastAsia"/>
          <w:bCs/>
          <w:color w:val="auto"/>
          <w:highlight w:val="none"/>
        </w:rPr>
        <w:t>3.开标时间：</w:t>
      </w:r>
      <w:r>
        <w:rPr>
          <w:rFonts w:hint="eastAsia" w:cs="Times New Roman"/>
          <w:bCs/>
          <w:color w:val="auto"/>
          <w:highlight w:val="none"/>
          <w:u w:val="single"/>
          <w:lang w:val="en-US" w:eastAsia="zh-CN"/>
        </w:rPr>
        <w:t>2024</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eastAsia="zh-CN"/>
        </w:rPr>
        <w:t>年</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4</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val="en-US" w:eastAsia="zh-CN"/>
        </w:rPr>
        <w:t>月</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8</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val="en-US" w:eastAsia="zh-CN"/>
        </w:rPr>
        <w:t>日</w:t>
      </w:r>
      <w:r>
        <w:rPr>
          <w:rFonts w:hint="eastAsia"/>
          <w:bCs/>
          <w:color w:val="auto"/>
          <w:highlight w:val="none"/>
          <w:u w:val="single"/>
          <w:lang w:val="en-US" w:eastAsia="zh-CN"/>
        </w:rPr>
        <w:t xml:space="preserve"> 9</w:t>
      </w:r>
      <w:r>
        <w:rPr>
          <w:rFonts w:hint="eastAsia"/>
          <w:bCs/>
          <w:color w:val="auto"/>
          <w:highlight w:val="none"/>
          <w:u w:val="single"/>
        </w:rPr>
        <w:t>:00</w:t>
      </w:r>
      <w:r>
        <w:rPr>
          <w:rFonts w:hint="eastAsia"/>
          <w:bCs/>
          <w:color w:val="auto"/>
          <w:highlight w:val="none"/>
        </w:rPr>
        <w:t>（北京时间）</w:t>
      </w:r>
    </w:p>
    <w:p>
      <w:pPr>
        <w:spacing w:line="480" w:lineRule="exact"/>
        <w:ind w:firstLine="480" w:firstLineChars="200"/>
        <w:rPr>
          <w:rFonts w:ascii="宋体" w:hAnsi="宋体" w:cs="宋体"/>
          <w:bCs/>
          <w:color w:val="auto"/>
          <w:highlight w:val="none"/>
        </w:rPr>
      </w:pPr>
      <w:r>
        <w:rPr>
          <w:rFonts w:hint="eastAsia"/>
          <w:bCs/>
          <w:color w:val="auto"/>
          <w:highlight w:val="none"/>
        </w:rPr>
        <w:t>4.开标地点（网址）：</w:t>
      </w:r>
      <w:r>
        <w:rPr>
          <w:rFonts w:hint="eastAsia" w:ascii="宋体" w:hAnsi="宋体" w:cs="宋体"/>
          <w:bCs/>
          <w:color w:val="auto"/>
          <w:highlight w:val="none"/>
        </w:rPr>
        <w:t>乐采云平台（https://www.lecaiyun.com/）</w:t>
      </w:r>
    </w:p>
    <w:p>
      <w:pPr>
        <w:pStyle w:val="24"/>
        <w:widowControl/>
        <w:spacing w:line="460" w:lineRule="exact"/>
        <w:rPr>
          <w:b/>
          <w:color w:val="auto"/>
          <w:highlight w:val="none"/>
        </w:rPr>
      </w:pPr>
      <w:bookmarkStart w:id="23" w:name="_Toc14112"/>
      <w:bookmarkStart w:id="24" w:name="_Toc5110"/>
      <w:r>
        <w:rPr>
          <w:rFonts w:hint="eastAsia"/>
          <w:b/>
          <w:color w:val="auto"/>
          <w:highlight w:val="none"/>
          <w:lang w:val="en-US" w:eastAsia="zh-CN"/>
        </w:rPr>
        <w:t>五</w:t>
      </w:r>
      <w:r>
        <w:rPr>
          <w:b/>
          <w:color w:val="auto"/>
          <w:highlight w:val="none"/>
        </w:rPr>
        <w:t>、公告期限</w:t>
      </w:r>
      <w:bookmarkEnd w:id="23"/>
      <w:bookmarkEnd w:id="24"/>
    </w:p>
    <w:p>
      <w:pPr>
        <w:pStyle w:val="24"/>
        <w:widowControl/>
        <w:spacing w:line="460" w:lineRule="exact"/>
        <w:ind w:firstLine="480" w:firstLineChars="200"/>
        <w:rPr>
          <w:bCs/>
          <w:color w:val="auto"/>
          <w:highlight w:val="none"/>
        </w:rPr>
      </w:pPr>
      <w:r>
        <w:rPr>
          <w:rFonts w:hint="eastAsia"/>
          <w:bCs/>
          <w:color w:val="auto"/>
          <w:highlight w:val="none"/>
        </w:rPr>
        <w:t>自本公告发布之日起5个工作日。</w:t>
      </w:r>
    </w:p>
    <w:p>
      <w:pPr>
        <w:widowControl/>
        <w:spacing w:line="500" w:lineRule="exact"/>
        <w:rPr>
          <w:bCs/>
          <w:color w:val="auto"/>
          <w:highlight w:val="none"/>
        </w:rPr>
      </w:pPr>
      <w:r>
        <w:rPr>
          <w:rFonts w:hint="eastAsia" w:ascii="宋体" w:hAnsi="宋体" w:cs="宋体"/>
          <w:b/>
          <w:bCs/>
          <w:color w:val="auto"/>
          <w:spacing w:val="6"/>
          <w:szCs w:val="24"/>
          <w:highlight w:val="none"/>
          <w:lang w:val="en-US" w:eastAsia="zh-CN"/>
        </w:rPr>
        <w:t>六</w:t>
      </w:r>
      <w:r>
        <w:rPr>
          <w:rFonts w:hint="eastAsia" w:ascii="宋体" w:hAnsi="宋体" w:cs="宋体"/>
          <w:b/>
          <w:bCs/>
          <w:color w:val="auto"/>
          <w:spacing w:val="6"/>
          <w:szCs w:val="24"/>
          <w:highlight w:val="none"/>
        </w:rPr>
        <w:t>、其他补充事宜</w:t>
      </w:r>
    </w:p>
    <w:p>
      <w:pPr>
        <w:pStyle w:val="24"/>
        <w:widowControl/>
        <w:numPr>
          <w:ilvl w:val="0"/>
          <w:numId w:val="4"/>
        </w:numPr>
        <w:spacing w:line="460" w:lineRule="exact"/>
        <w:ind w:firstLine="480" w:firstLineChars="200"/>
        <w:jc w:val="left"/>
        <w:rPr>
          <w:color w:val="auto"/>
          <w:highlight w:val="none"/>
        </w:rPr>
      </w:pPr>
      <w:r>
        <w:rPr>
          <w:rFonts w:hint="eastAsia"/>
          <w:bCs/>
          <w:color w:val="auto"/>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代理机构提出质疑。质疑供应商对采购代理机构的答复不满意或者采购代理机构未在规定的时间内作出答复的，</w:t>
      </w:r>
      <w:r>
        <w:rPr>
          <w:rFonts w:hint="eastAsia" w:ascii="宋体" w:hAnsi="宋体" w:cs="宋体"/>
          <w:color w:val="auto"/>
          <w:szCs w:val="24"/>
          <w:highlight w:val="none"/>
        </w:rPr>
        <w:t>可以在答复期满后十五个工作日</w:t>
      </w:r>
      <w:r>
        <w:rPr>
          <w:rFonts w:hint="eastAsia" w:ascii="宋体" w:hAnsi="宋体" w:cs="宋体"/>
          <w:color w:val="auto"/>
          <w:szCs w:val="24"/>
          <w:highlight w:val="none"/>
          <w:lang w:val="en-US" w:eastAsia="zh-CN"/>
        </w:rPr>
        <w:t>内根据嵊国资委【2023】1号文件的规定</w:t>
      </w:r>
      <w:r>
        <w:rPr>
          <w:rFonts w:hint="eastAsia" w:ascii="宋体" w:hAnsi="宋体" w:cs="宋体"/>
          <w:color w:val="auto"/>
          <w:szCs w:val="24"/>
          <w:highlight w:val="none"/>
        </w:rPr>
        <w:t>提出投诉。</w:t>
      </w:r>
    </w:p>
    <w:bookmarkEnd w:id="17"/>
    <w:bookmarkEnd w:id="18"/>
    <w:bookmarkEnd w:id="19"/>
    <w:bookmarkEnd w:id="20"/>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1）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乐采云平台（www.lecaiyun.com）；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还可以在投标截止时间前直接提交或者以顺丰快递（建议）方式递交备份投标文件1份。⑨投标文件的解密：投标人按照平台提示和招标文件的规定在半小时内完成在线解密。通过乐采云平台（www.lecaiyun.com）上传递交的投标文件无法按时解密，投标供应商递交了备份投标文件的，以备份投标文件为依据，否则视为投标文件撤回。通过“乐采云平台”上传递交的投标文件已按时解密的，备份投标文件自动失效。投标人仅提交备份投标文件，没有在乐采云电子交易平台传输递交投标文件的，投标无效；⑩具体操作指南：详见政采云平台“服务中心-帮助文档-项目采购-操作流程-电子招投标-政府采购项目电子交易管理操作指南-供应商”。</w:t>
      </w:r>
    </w:p>
    <w:p>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b/>
          <w:bCs/>
          <w:color w:val="auto"/>
          <w:spacing w:val="6"/>
          <w:szCs w:val="24"/>
          <w:highlight w:val="none"/>
        </w:rPr>
      </w:pPr>
      <w:r>
        <w:rPr>
          <w:rFonts w:hint="eastAsia" w:ascii="宋体" w:hAnsi="宋体" w:cs="宋体"/>
          <w:b/>
          <w:bCs/>
          <w:color w:val="auto"/>
          <w:spacing w:val="6"/>
          <w:szCs w:val="24"/>
          <w:highlight w:val="none"/>
          <w:lang w:val="en-US" w:eastAsia="zh-CN"/>
        </w:rPr>
        <w:t>七</w:t>
      </w:r>
      <w:r>
        <w:rPr>
          <w:rFonts w:hint="eastAsia" w:ascii="宋体" w:hAnsi="宋体" w:cs="宋体"/>
          <w:b/>
          <w:bCs/>
          <w:color w:val="auto"/>
          <w:spacing w:val="6"/>
          <w:szCs w:val="24"/>
          <w:highlight w:val="none"/>
        </w:rPr>
        <w:t>、对本次采购提出询问、质疑、投诉，请按以下方式联系</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ascii="宋体" w:hAnsi="宋体" w:cs="宋体"/>
          <w:color w:val="auto"/>
          <w:kern w:val="0"/>
          <w:sz w:val="27"/>
          <w:szCs w:val="27"/>
          <w:highlight w:val="none"/>
        </w:rPr>
        <w:t> </w:t>
      </w:r>
      <w:r>
        <w:rPr>
          <w:rFonts w:ascii="仿宋" w:hAnsi="仿宋" w:cs="宋体"/>
          <w:color w:val="auto"/>
          <w:kern w:val="0"/>
          <w:sz w:val="27"/>
          <w:szCs w:val="27"/>
          <w:highlight w:val="none"/>
        </w:rPr>
        <w:t xml:space="preserve"> </w:t>
      </w:r>
      <w:r>
        <w:rPr>
          <w:bCs/>
          <w:color w:val="auto"/>
          <w:szCs w:val="24"/>
          <w:highlight w:val="none"/>
        </w:rPr>
        <w:t>1.</w:t>
      </w:r>
      <w:r>
        <w:rPr>
          <w:rFonts w:hint="eastAsia"/>
          <w:bCs/>
          <w:color w:val="auto"/>
          <w:szCs w:val="24"/>
          <w:highlight w:val="none"/>
        </w:rPr>
        <w:t>采购人信息</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eastAsia="宋体" w:cs="Arial" w:asciiTheme="minorEastAsia" w:hAnsiTheme="minorEastAsia"/>
          <w:bCs/>
          <w:color w:val="auto"/>
          <w:szCs w:val="24"/>
          <w:highlight w:val="none"/>
          <w:lang w:eastAsia="zh-CN"/>
        </w:rPr>
      </w:pPr>
      <w:r>
        <w:rPr>
          <w:rFonts w:hint="eastAsia"/>
          <w:bCs/>
          <w:color w:val="auto"/>
          <w:szCs w:val="24"/>
          <w:highlight w:val="none"/>
        </w:rPr>
        <w:t> 名   称：</w:t>
      </w:r>
      <w:r>
        <w:rPr>
          <w:rFonts w:hint="eastAsia"/>
          <w:bCs/>
          <w:color w:val="auto"/>
          <w:szCs w:val="24"/>
          <w:highlight w:val="none"/>
          <w:lang w:eastAsia="zh-CN"/>
        </w:rPr>
        <w:t>嵊州市公共交通有限公司</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eastAsia="zh-CN"/>
        </w:rPr>
      </w:pPr>
      <w:r>
        <w:rPr>
          <w:rFonts w:hint="eastAsia" w:ascii="Times New Roman" w:hAnsi="Times New Roman" w:eastAsia="宋体" w:cs="Times New Roman"/>
          <w:bCs/>
          <w:color w:val="auto"/>
          <w:szCs w:val="24"/>
          <w:highlight w:val="none"/>
        </w:rPr>
        <w:t> 地   址：</w:t>
      </w:r>
      <w:r>
        <w:rPr>
          <w:rFonts w:hint="eastAsia" w:ascii="Times New Roman" w:hAnsi="Times New Roman" w:eastAsia="宋体" w:cs="Times New Roman"/>
          <w:bCs/>
          <w:color w:val="auto"/>
          <w:szCs w:val="24"/>
          <w:highlight w:val="none"/>
          <w:lang w:eastAsia="zh-CN"/>
        </w:rPr>
        <w:t>浙江省绍兴市嵊州市浦口街道华发南路88号</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项目联系人：赵工</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联系电话：0575-83815023</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质疑联系人：黄工</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default" w:ascii="Times New Roman" w:hAnsi="Times New Roman" w:eastAsia="宋体" w:cs="Times New Roman"/>
          <w:bCs/>
          <w:color w:val="auto"/>
          <w:szCs w:val="24"/>
          <w:highlight w:val="none"/>
          <w:lang w:val="en-US"/>
        </w:rPr>
      </w:pPr>
      <w:r>
        <w:rPr>
          <w:rFonts w:hint="eastAsia" w:ascii="Times New Roman" w:hAnsi="Times New Roman" w:eastAsia="宋体" w:cs="Times New Roman"/>
          <w:bCs/>
          <w:color w:val="auto"/>
          <w:szCs w:val="24"/>
          <w:highlight w:val="none"/>
          <w:lang w:val="en-US" w:eastAsia="zh-CN"/>
        </w:rPr>
        <w:t>联系电话：</w:t>
      </w:r>
      <w:r>
        <w:rPr>
          <w:rFonts w:hint="eastAsia" w:cs="Times New Roman"/>
          <w:bCs/>
          <w:color w:val="auto"/>
          <w:szCs w:val="24"/>
          <w:highlight w:val="none"/>
          <w:lang w:val="en-US" w:eastAsia="zh-CN"/>
        </w:rPr>
        <w:t>18675326917</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lang w:val="en-US" w:eastAsia="zh-CN"/>
        </w:rPr>
        <w:t xml:space="preserve"> </w:t>
      </w:r>
      <w:r>
        <w:rPr>
          <w:bCs/>
          <w:color w:val="auto"/>
          <w:szCs w:val="24"/>
          <w:highlight w:val="none"/>
        </w:rPr>
        <w:t>2.</w:t>
      </w:r>
      <w:r>
        <w:rPr>
          <w:rFonts w:hint="eastAsia"/>
          <w:bCs/>
          <w:color w:val="auto"/>
          <w:szCs w:val="24"/>
          <w:highlight w:val="none"/>
        </w:rPr>
        <w:t>采购代理机构信息</w:t>
      </w:r>
      <w:r>
        <w:rPr>
          <w:bCs/>
          <w:color w:val="auto"/>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rPr>
        <w:t>名   称：浙江</w:t>
      </w:r>
      <w:r>
        <w:rPr>
          <w:bCs/>
          <w:color w:val="auto"/>
          <w:szCs w:val="24"/>
          <w:highlight w:val="none"/>
        </w:rPr>
        <w:t>明业项目管理有限公司</w:t>
      </w:r>
      <w:r>
        <w:rPr>
          <w:rFonts w:hint="eastAsia"/>
          <w:bCs/>
          <w:color w:val="auto"/>
          <w:szCs w:val="24"/>
          <w:highlight w:val="none"/>
        </w:rPr>
        <w:t>       </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rPr>
        <w:t>地   址：嵊州市</w:t>
      </w:r>
      <w:r>
        <w:rPr>
          <w:bCs/>
          <w:color w:val="auto"/>
          <w:szCs w:val="24"/>
          <w:highlight w:val="none"/>
        </w:rPr>
        <w:t>官河南路</w:t>
      </w:r>
      <w:r>
        <w:rPr>
          <w:rFonts w:hint="eastAsia"/>
          <w:bCs/>
          <w:color w:val="auto"/>
          <w:szCs w:val="24"/>
          <w:highlight w:val="none"/>
        </w:rPr>
        <w:t>489号君泰大厦北楼14层       </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lang w:val="en-US" w:eastAsia="zh-CN"/>
        </w:rPr>
        <w:t>项目</w:t>
      </w:r>
      <w:r>
        <w:rPr>
          <w:rFonts w:hint="eastAsia"/>
          <w:bCs/>
          <w:color w:val="auto"/>
          <w:szCs w:val="24"/>
          <w:highlight w:val="none"/>
        </w:rPr>
        <w:t>联系人</w:t>
      </w:r>
      <w:r>
        <w:rPr>
          <w:rFonts w:hint="eastAsia"/>
          <w:bCs/>
          <w:color w:val="auto"/>
          <w:szCs w:val="24"/>
          <w:highlight w:val="none"/>
          <w:lang w:eastAsia="zh-CN"/>
        </w:rPr>
        <w:t>（</w:t>
      </w:r>
      <w:r>
        <w:rPr>
          <w:rFonts w:hint="eastAsia"/>
          <w:bCs/>
          <w:color w:val="auto"/>
          <w:szCs w:val="24"/>
          <w:highlight w:val="none"/>
          <w:lang w:val="en-US" w:eastAsia="zh-CN"/>
        </w:rPr>
        <w:t>询问）：</w:t>
      </w:r>
      <w:r>
        <w:rPr>
          <w:rFonts w:hint="eastAsia"/>
          <w:bCs/>
          <w:color w:val="auto"/>
          <w:szCs w:val="24"/>
          <w:highlight w:val="none"/>
        </w:rPr>
        <w:t>任  燕   </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ascii="宋体" w:hAnsi="宋体" w:cs="宋体"/>
          <w:b/>
          <w:bCs/>
          <w:color w:val="auto"/>
          <w:kern w:val="0"/>
          <w:sz w:val="36"/>
          <w:highlight w:val="none"/>
        </w:rPr>
      </w:pPr>
      <w:r>
        <w:rPr>
          <w:rFonts w:hint="eastAsia"/>
          <w:bCs/>
          <w:color w:val="auto"/>
          <w:szCs w:val="24"/>
          <w:highlight w:val="none"/>
          <w:lang w:val="en-US" w:eastAsia="zh-CN"/>
        </w:rPr>
        <w:t>项目</w:t>
      </w:r>
      <w:r>
        <w:rPr>
          <w:rFonts w:hint="eastAsia"/>
          <w:bCs/>
          <w:color w:val="auto"/>
          <w:szCs w:val="24"/>
          <w:highlight w:val="none"/>
        </w:rPr>
        <w:t>联系方式</w:t>
      </w:r>
      <w:r>
        <w:rPr>
          <w:rFonts w:hint="eastAsia"/>
          <w:bCs/>
          <w:color w:val="auto"/>
          <w:szCs w:val="24"/>
          <w:highlight w:val="none"/>
          <w:lang w:eastAsia="zh-CN"/>
        </w:rPr>
        <w:t>（</w:t>
      </w:r>
      <w:r>
        <w:rPr>
          <w:rFonts w:hint="eastAsia"/>
          <w:bCs/>
          <w:color w:val="auto"/>
          <w:szCs w:val="24"/>
          <w:highlight w:val="none"/>
          <w:lang w:val="en-US" w:eastAsia="zh-CN"/>
        </w:rPr>
        <w:t>询问）</w:t>
      </w:r>
      <w:r>
        <w:rPr>
          <w:rFonts w:hint="eastAsia"/>
          <w:bCs/>
          <w:color w:val="auto"/>
          <w:szCs w:val="24"/>
          <w:highlight w:val="none"/>
        </w:rPr>
        <w:t>：0575-83338198   13757539220  </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default"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质疑联系人：周苏明</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b/>
          <w:bCs/>
          <w:color w:val="auto"/>
          <w:kern w:val="0"/>
          <w:sz w:val="36"/>
          <w:highlight w:val="none"/>
        </w:rPr>
      </w:pPr>
      <w:r>
        <w:rPr>
          <w:rFonts w:hint="eastAsia"/>
          <w:bCs/>
          <w:color w:val="auto"/>
          <w:szCs w:val="24"/>
          <w:highlight w:val="none"/>
          <w:lang w:val="en-US" w:eastAsia="zh-CN"/>
        </w:rPr>
        <w:t>质疑</w:t>
      </w:r>
      <w:r>
        <w:rPr>
          <w:rFonts w:hint="eastAsia"/>
          <w:bCs/>
          <w:color w:val="auto"/>
          <w:szCs w:val="24"/>
          <w:highlight w:val="none"/>
        </w:rPr>
        <w:t>联系方式</w:t>
      </w:r>
      <w:r>
        <w:rPr>
          <w:rFonts w:hint="eastAsia"/>
          <w:bCs/>
          <w:color w:val="auto"/>
          <w:szCs w:val="24"/>
          <w:highlight w:val="none"/>
          <w:lang w:eastAsia="zh-CN"/>
        </w:rPr>
        <w:t>：</w:t>
      </w:r>
      <w:r>
        <w:rPr>
          <w:rFonts w:hint="eastAsia"/>
          <w:bCs/>
          <w:color w:val="auto"/>
          <w:szCs w:val="24"/>
          <w:highlight w:val="none"/>
          <w:lang w:val="en-US" w:eastAsia="zh-CN"/>
        </w:rPr>
        <w:t>13456551520</w:t>
      </w:r>
      <w:bookmarkStart w:id="25" w:name="_Toc513456147"/>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r>
        <w:rPr>
          <w:rFonts w:hint="eastAsia" w:ascii="宋体" w:hAnsi="宋体" w:eastAsia="宋体" w:cs="宋体"/>
          <w:b/>
          <w:bCs/>
          <w:color w:val="auto"/>
          <w:kern w:val="0"/>
          <w:sz w:val="36"/>
          <w:highlight w:val="none"/>
        </w:rPr>
        <w:t>第二部分 投标须知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bookmarkStart w:id="26" w:name="_Hlk47616320"/>
      <w:r>
        <w:rPr>
          <w:rFonts w:hint="eastAsia" w:ascii="宋体" w:hAnsi="宋体" w:eastAsia="宋体" w:cs="宋体"/>
          <w:b/>
          <w:bCs/>
          <w:color w:val="auto"/>
          <w:kern w:val="0"/>
          <w:sz w:val="36"/>
          <w:highlight w:val="none"/>
        </w:rPr>
        <w:t>前附表</w:t>
      </w:r>
    </w:p>
    <w:tbl>
      <w:tblPr>
        <w:tblStyle w:val="3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60"/>
        <w:gridCol w:w="7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483" w:type="dxa"/>
            <w:gridSpan w:val="2"/>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83" w:type="dxa"/>
            <w:gridSpan w:val="2"/>
            <w:vAlign w:val="center"/>
          </w:tcPr>
          <w:p>
            <w:pPr>
              <w:snapToGrid w:val="0"/>
              <w:spacing w:line="440" w:lineRule="exact"/>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lang w:val="en-US" w:eastAsia="zh-CN"/>
              </w:rPr>
              <w:t>投标人按照项目要求</w:t>
            </w:r>
            <w:r>
              <w:rPr>
                <w:rFonts w:hint="eastAsia" w:ascii="宋体" w:hAnsi="宋体" w:eastAsia="宋体" w:cs="宋体"/>
                <w:b/>
                <w:color w:val="auto"/>
                <w:sz w:val="24"/>
                <w:szCs w:val="24"/>
                <w:highlight w:val="none"/>
              </w:rPr>
              <w:t>特许资格、资信证明文件（如果有）：</w:t>
            </w:r>
          </w:p>
          <w:p>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83" w:type="dxa"/>
            <w:gridSpan w:val="2"/>
            <w:vAlign w:val="center"/>
          </w:tcPr>
          <w:p>
            <w:pPr>
              <w:keepNext w:val="0"/>
              <w:keepLines w:val="0"/>
              <w:pageBreakBefore w:val="0"/>
              <w:widowControl w:val="0"/>
              <w:kinsoku/>
              <w:wordWrap/>
              <w:overflowPunct/>
              <w:topLinePunct w:val="0"/>
              <w:bidi w:val="0"/>
              <w:snapToGrid w:val="0"/>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资格审查方式：</w:t>
            </w:r>
          </w:p>
          <w:p>
            <w:pPr>
              <w:keepNext w:val="0"/>
              <w:keepLines w:val="0"/>
              <w:pageBreakBefore w:val="0"/>
              <w:widowControl w:val="0"/>
              <w:kinsoku/>
              <w:wordWrap/>
              <w:overflowPunct/>
              <w:topLinePunct w:val="0"/>
              <w:bidi w:val="0"/>
              <w:snapToGrid w:val="0"/>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1.资格后审。</w:t>
            </w:r>
          </w:p>
          <w:p>
            <w:pPr>
              <w:keepNext w:val="0"/>
              <w:keepLines w:val="0"/>
              <w:pageBreakBefore w:val="0"/>
              <w:widowControl w:val="0"/>
              <w:kinsoku/>
              <w:wordWrap/>
              <w:overflowPunct/>
              <w:topLinePunct w:val="0"/>
              <w:bidi w:val="0"/>
              <w:snapToGrid w:val="0"/>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w:t>
            </w:r>
            <w:r>
              <w:rPr>
                <w:rFonts w:hint="eastAsia" w:ascii="宋体" w:hAnsi="宋体" w:cs="宋体"/>
                <w:b/>
                <w:color w:val="auto"/>
                <w:sz w:val="24"/>
                <w:szCs w:val="24"/>
                <w:highlight w:val="none"/>
                <w:lang w:val="en-US" w:eastAsia="zh-CN"/>
              </w:rPr>
              <w:t>扫描</w:t>
            </w:r>
            <w:r>
              <w:rPr>
                <w:rFonts w:hint="eastAsia" w:ascii="宋体" w:hAnsi="宋体" w:eastAsia="宋体" w:cs="宋体"/>
                <w:b/>
                <w:color w:val="auto"/>
                <w:sz w:val="24"/>
                <w:szCs w:val="24"/>
                <w:highlight w:val="none"/>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83" w:type="dxa"/>
            <w:gridSpan w:val="2"/>
            <w:vAlign w:val="center"/>
          </w:tcPr>
          <w:p>
            <w:pPr>
              <w:keepNext w:val="0"/>
              <w:keepLines w:val="0"/>
              <w:pageBreakBefore w:val="0"/>
              <w:widowControl w:val="0"/>
              <w:kinsoku/>
              <w:wordWrap/>
              <w:overflowPunct/>
              <w:topLinePunct w:val="0"/>
              <w:autoSpaceDE w:val="0"/>
              <w:autoSpaceDN w:val="0"/>
              <w:bidi w:val="0"/>
              <w:spacing w:line="500" w:lineRule="exact"/>
              <w:textAlignment w:val="bottom"/>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投标有效期：</w:t>
            </w:r>
            <w:r>
              <w:rPr>
                <w:rFonts w:hint="eastAsia" w:ascii="宋体" w:hAnsi="宋体" w:eastAsia="宋体" w:cs="宋体"/>
                <w:color w:val="auto"/>
                <w:sz w:val="24"/>
                <w:szCs w:val="24"/>
                <w:highlight w:val="none"/>
              </w:rPr>
              <w:t>投标有效期为从提交投标文件的截止之日起90天。</w:t>
            </w:r>
            <w:r>
              <w:rPr>
                <w:rFonts w:hint="eastAsia" w:ascii="宋体" w:hAnsi="宋体" w:eastAsia="宋体" w:cs="宋体"/>
                <w:b/>
                <w:color w:val="auto"/>
                <w:sz w:val="24"/>
                <w:szCs w:val="24"/>
                <w:highlight w:val="none"/>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483" w:type="dxa"/>
            <w:gridSpan w:val="2"/>
            <w:vAlign w:val="center"/>
          </w:tcPr>
          <w:p>
            <w:pPr>
              <w:keepNext w:val="0"/>
              <w:keepLines w:val="0"/>
              <w:pageBreakBefore w:val="0"/>
              <w:widowControl w:val="0"/>
              <w:kinsoku/>
              <w:wordWrap/>
              <w:overflowPunct/>
              <w:topLinePunct w:val="0"/>
              <w:bidi w:val="0"/>
              <w:spacing w:line="5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转包：</w:t>
            </w:r>
            <w:r>
              <w:rPr>
                <w:rFonts w:hint="eastAsia" w:ascii="宋体" w:hAnsi="宋体" w:eastAsia="宋体" w:cs="宋体"/>
                <w:color w:val="auto"/>
                <w:sz w:val="24"/>
                <w:szCs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83" w:type="dxa"/>
            <w:gridSpan w:val="2"/>
            <w:vAlign w:val="center"/>
          </w:tcPr>
          <w:p>
            <w:pPr>
              <w:keepNext w:val="0"/>
              <w:keepLines w:val="0"/>
              <w:pageBreakBefore w:val="0"/>
              <w:widowControl w:val="0"/>
              <w:kinsoku/>
              <w:wordWrap/>
              <w:overflowPunct/>
              <w:topLinePunct w:val="0"/>
              <w:bidi w:val="0"/>
              <w:spacing w:line="500" w:lineRule="exact"/>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分包：</w:t>
            </w:r>
            <w:r>
              <w:rPr>
                <w:rFonts w:hint="eastAsia" w:ascii="宋体" w:hAnsi="宋体" w:eastAsia="宋体" w:cs="宋体"/>
                <w:b w:val="0"/>
                <w:bCs/>
                <w:color w:val="auto"/>
                <w:sz w:val="24"/>
                <w:szCs w:val="24"/>
                <w:highlight w:val="none"/>
                <w:lang w:val="en-US" w:eastAsia="zh-CN"/>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83" w:type="dxa"/>
            <w:gridSpan w:val="2"/>
            <w:vAlign w:val="center"/>
          </w:tcPr>
          <w:p>
            <w:pPr>
              <w:keepNext w:val="0"/>
              <w:keepLines w:val="0"/>
              <w:pageBreakBefore w:val="0"/>
              <w:widowControl w:val="0"/>
              <w:kinsoku/>
              <w:wordWrap/>
              <w:overflowPunct/>
              <w:topLinePunct w:val="0"/>
              <w:bidi w:val="0"/>
              <w:spacing w:line="5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投标文件份数：</w:t>
            </w:r>
            <w:r>
              <w:rPr>
                <w:rFonts w:hint="eastAsia" w:ascii="宋体" w:hAnsi="宋体" w:eastAsia="宋体" w:cs="宋体"/>
                <w:color w:val="auto"/>
                <w:sz w:val="24"/>
                <w:szCs w:val="24"/>
                <w:highlight w:val="none"/>
              </w:rPr>
              <w:t>本项目实行网上投标，供应商于“</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83" w:type="dxa"/>
            <w:gridSpan w:val="2"/>
            <w:vAlign w:val="center"/>
          </w:tcPr>
          <w:p>
            <w:pPr>
              <w:autoSpaceDE w:val="0"/>
              <w:autoSpaceDN w:val="0"/>
              <w:spacing w:line="336" w:lineRule="auto"/>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开标前答疑会或现场考察：</w:t>
            </w:r>
          </w:p>
          <w:p>
            <w:pPr>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A</w:t>
            </w:r>
            <w:r>
              <w:rPr>
                <w:rFonts w:hint="eastAsia" w:ascii="宋体" w:hAnsi="宋体" w:eastAsia="宋体" w:cs="宋体"/>
                <w:color w:val="auto"/>
                <w:sz w:val="24"/>
                <w:szCs w:val="24"/>
                <w:highlight w:val="none"/>
              </w:rPr>
              <w:t>不组织。</w:t>
            </w:r>
          </w:p>
          <w:p>
            <w:pPr>
              <w:keepNext w:val="0"/>
              <w:keepLines w:val="0"/>
              <w:pageBreakBefore w:val="0"/>
              <w:widowControl w:val="0"/>
              <w:kinsoku/>
              <w:wordWrap/>
              <w:overflowPunct/>
              <w:topLinePunct w:val="0"/>
              <w:autoSpaceDE w:val="0"/>
              <w:autoSpaceDN w:val="0"/>
              <w:bidi w:val="0"/>
              <w:spacing w:line="500" w:lineRule="exact"/>
              <w:textAlignment w:val="bottom"/>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B组织，</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83" w:type="dxa"/>
            <w:gridSpan w:val="2"/>
            <w:vAlign w:val="center"/>
          </w:tcPr>
          <w:p>
            <w:pPr>
              <w:spacing w:line="336"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样品提供：</w:t>
            </w:r>
          </w:p>
          <w:p>
            <w:pPr>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A</w:t>
            </w:r>
            <w:r>
              <w:rPr>
                <w:rFonts w:hint="eastAsia" w:ascii="宋体" w:hAnsi="宋体" w:eastAsia="宋体" w:cs="宋体"/>
                <w:color w:val="auto"/>
                <w:sz w:val="24"/>
                <w:szCs w:val="24"/>
                <w:highlight w:val="none"/>
              </w:rPr>
              <w:t>不要求提供。</w:t>
            </w:r>
          </w:p>
          <w:p>
            <w:pPr>
              <w:spacing w:line="336" w:lineRule="auto"/>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rPr>
              <w:t>□B要求提供，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83" w:type="dxa"/>
            <w:gridSpan w:val="2"/>
            <w:vAlign w:val="center"/>
          </w:tcPr>
          <w:p>
            <w:pPr>
              <w:spacing w:beforeLines="0" w:afterLines="0"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方案讲解演示：</w:t>
            </w:r>
          </w:p>
          <w:p>
            <w:pPr>
              <w:spacing w:beforeLines="0" w:afterLines="0"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A无方案讲解演示。</w:t>
            </w:r>
          </w:p>
          <w:p>
            <w:pPr>
              <w:spacing w:beforeLines="0" w:afterLines="0" w:line="44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□B有方案讲解演示：</w:t>
            </w:r>
          </w:p>
          <w:p>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（1）在评标时安排每个供应商进行方案讲解演示。每个供应商时间不超过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分钟（编制时可根据项目情况进行调整），讲解次序以磋商响应文件解密时间先后次序为准。讲解演示结束后按要求解答评标委员会提问。</w:t>
            </w:r>
          </w:p>
          <w:p>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（2）方案讲解演示可选择以下其中一种方式：</w:t>
            </w:r>
          </w:p>
          <w:p>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方式一：</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lang w:val="zh-CN"/>
              </w:rPr>
              <w:t>采云平台在线讲解演示。</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lang w:val="zh-CN"/>
              </w:rPr>
              <w:t>采云平台在线讲解需供应商根据</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lang w:val="zh-CN"/>
              </w:rPr>
              <w:t>采云平台操作要求做好准备工作，提前完善软硬件配置环境。</w:t>
            </w:r>
          </w:p>
          <w:p>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方式二：现场讲解演示。现场讲解地点为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szCs w:val="24"/>
                <w:highlight w:val="none"/>
                <w:lang w:val="zh-CN"/>
              </w:rPr>
              <w:t>讲解演示人员不超过</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lang w:val="zh-CN"/>
              </w:rPr>
              <w:t>人（编制时可根据项目情况进行调整）。</w:t>
            </w:r>
            <w:r>
              <w:rPr>
                <w:rFonts w:hint="eastAsia" w:ascii="宋体" w:hAnsi="宋体" w:eastAsia="宋体" w:cs="宋体"/>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注：因供应商自身原因导致无法演示或者演示效果不理想的，责任自负。因平台原因导致本项目方案讲解演示环节无法顺利开展，</w:t>
            </w:r>
            <w:r>
              <w:rPr>
                <w:rFonts w:hint="eastAsia" w:ascii="宋体" w:hAnsi="宋体" w:eastAsia="宋体" w:cs="宋体"/>
                <w:color w:val="auto"/>
                <w:sz w:val="24"/>
                <w:szCs w:val="24"/>
                <w:highlight w:val="none"/>
                <w:lang w:val="en-US" w:eastAsia="zh-CN"/>
              </w:rPr>
              <w:t>参</w:t>
            </w:r>
            <w:r>
              <w:rPr>
                <w:rFonts w:hint="eastAsia" w:ascii="宋体" w:hAnsi="宋体" w:eastAsia="宋体" w:cs="宋体"/>
                <w:color w:val="auto"/>
                <w:sz w:val="24"/>
                <w:szCs w:val="24"/>
                <w:highlight w:val="none"/>
                <w:lang w:val="zh-CN"/>
              </w:rPr>
              <w:t>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260" w:type="dxa"/>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进口</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产品</w:t>
            </w:r>
          </w:p>
        </w:tc>
        <w:tc>
          <w:tcPr>
            <w:tcW w:w="7223" w:type="dxa"/>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本项目不</w:t>
            </w:r>
            <w:r>
              <w:rPr>
                <w:rFonts w:hint="eastAsia" w:ascii="宋体" w:hAnsi="宋体" w:eastAsia="宋体" w:cs="宋体"/>
                <w:color w:val="auto"/>
                <w:sz w:val="24"/>
                <w:szCs w:val="24"/>
                <w:highlight w:val="none"/>
                <w:lang w:val="en-US" w:eastAsia="zh-CN"/>
              </w:rPr>
              <w:t>允许</w:t>
            </w:r>
            <w:r>
              <w:rPr>
                <w:rFonts w:hint="eastAsia" w:ascii="宋体" w:hAnsi="宋体" w:eastAsia="宋体" w:cs="宋体"/>
                <w:color w:val="auto"/>
                <w:sz w:val="24"/>
                <w:szCs w:val="24"/>
                <w:highlight w:val="none"/>
              </w:rPr>
              <w:t>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11</w:t>
            </w:r>
          </w:p>
        </w:tc>
        <w:tc>
          <w:tcPr>
            <w:tcW w:w="1260" w:type="dxa"/>
            <w:vAlign w:val="center"/>
          </w:tcPr>
          <w:p>
            <w:pPr>
              <w:keepNext w:val="0"/>
              <w:keepLines w:val="0"/>
              <w:pageBreakBefore w:val="0"/>
              <w:widowControl w:val="0"/>
              <w:kinsoku/>
              <w:wordWrap/>
              <w:overflowPunct/>
              <w:topLinePunct w:val="0"/>
              <w:bidi w:val="0"/>
              <w:adjustRightInd w:val="0"/>
              <w:snapToGrid w:val="0"/>
              <w:spacing w:line="500" w:lineRule="exact"/>
              <w:ind w:left="14" w:leftChars="0" w:right="0" w:rightChars="0" w:hanging="14" w:hangingChars="7"/>
              <w:rPr>
                <w:rFonts w:hint="eastAsia" w:ascii="仿宋" w:hAnsi="仿宋" w:eastAsia="仿宋" w:cs="仿宋"/>
                <w:b/>
                <w:color w:val="auto"/>
                <w:spacing w:val="-20"/>
                <w:kern w:val="2"/>
                <w:sz w:val="24"/>
                <w:highlight w:val="none"/>
                <w:lang w:val="en-US" w:eastAsia="zh-CN" w:bidi="ar-SA"/>
              </w:rPr>
            </w:pPr>
            <w:r>
              <w:rPr>
                <w:rFonts w:hint="eastAsia" w:ascii="仿宋" w:hAnsi="仿宋" w:eastAsia="仿宋" w:cs="仿宋"/>
                <w:b/>
                <w:color w:val="auto"/>
                <w:spacing w:val="-20"/>
                <w:sz w:val="24"/>
                <w:highlight w:val="none"/>
              </w:rPr>
              <w:t>项目属性与核心产品</w:t>
            </w:r>
          </w:p>
        </w:tc>
        <w:tc>
          <w:tcPr>
            <w:tcW w:w="7223"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4"/>
                <w:highlight w:val="none"/>
                <w:u w:val="single"/>
                <w:lang w:val="en-US" w:eastAsia="zh-CN"/>
              </w:rPr>
            </w:pPr>
            <w:r>
              <w:rPr>
                <w:rFonts w:hint="eastAsia" w:asciiTheme="minorEastAsia" w:hAnsiTheme="minorEastAsia" w:eastAsiaTheme="minorEastAsia" w:cstheme="minorEastAsia"/>
                <w:color w:val="auto"/>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textAlignment w:val="auto"/>
              <w:rPr>
                <w:rFonts w:hint="eastAsia" w:ascii="仿宋" w:hAnsi="仿宋" w:eastAsia="仿宋" w:cs="仿宋"/>
                <w:color w:val="auto"/>
                <w:kern w:val="2"/>
                <w:sz w:val="24"/>
                <w:highlight w:val="none"/>
                <w:lang w:val="en-US" w:eastAsia="zh-CN" w:bidi="ar-SA"/>
              </w:rPr>
            </w:pPr>
            <w:sdt>
              <w:sdtPr>
                <w:rPr>
                  <w:rFonts w:hint="eastAsia" w:ascii="仿宋" w:hAnsi="仿宋" w:eastAsia="仿宋" w:cs="仿宋"/>
                  <w:color w:val="auto"/>
                  <w:kern w:val="0"/>
                  <w:sz w:val="24"/>
                  <w:szCs w:val="24"/>
                  <w:highlight w:val="none"/>
                </w:rPr>
                <w:id w:val="11"/>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restart"/>
            <w:vAlign w:val="center"/>
          </w:tcPr>
          <w:p>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2</w:t>
            </w:r>
          </w:p>
        </w:tc>
        <w:tc>
          <w:tcPr>
            <w:tcW w:w="1260" w:type="dxa"/>
            <w:vMerge w:val="restart"/>
            <w:vAlign w:val="center"/>
          </w:tcPr>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投标人信用信息事项</w:t>
            </w:r>
          </w:p>
        </w:tc>
        <w:tc>
          <w:tcPr>
            <w:tcW w:w="7223" w:type="dxa"/>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信用信息查询渠道及截止时间：</w:t>
            </w:r>
            <w:r>
              <w:rPr>
                <w:rFonts w:hint="eastAsia" w:ascii="宋体" w:hAnsi="宋体" w:eastAsia="宋体" w:cs="宋体"/>
                <w:color w:val="auto"/>
                <w:sz w:val="24"/>
                <w:szCs w:val="24"/>
                <w:highlight w:val="none"/>
              </w:rPr>
              <w:t>采购人或采购代理机构将通过“信用中国”网站(www.creditchina.gov.cn)、中国政府采购网(www.ccgp.gov.cn)渠道查询投标人</w:t>
            </w:r>
            <w:r>
              <w:rPr>
                <w:rFonts w:hint="eastAsia" w:ascii="宋体" w:hAnsi="宋体" w:eastAsia="宋体" w:cs="宋体"/>
                <w:b/>
                <w:color w:val="auto"/>
                <w:sz w:val="24"/>
                <w:szCs w:val="24"/>
                <w:highlight w:val="none"/>
              </w:rPr>
              <w:t>开标当天</w:t>
            </w:r>
            <w:r>
              <w:rPr>
                <w:rFonts w:hint="eastAsia" w:ascii="宋体" w:hAnsi="宋体" w:eastAsia="宋体" w:cs="宋体"/>
                <w:color w:val="auto"/>
                <w:sz w:val="24"/>
                <w:szCs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rPr>
            </w:pPr>
          </w:p>
        </w:tc>
        <w:tc>
          <w:tcPr>
            <w:tcW w:w="1260" w:type="dxa"/>
            <w:vMerge w:val="continue"/>
            <w:vAlign w:val="center"/>
          </w:tcPr>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b/>
                <w:color w:val="auto"/>
                <w:sz w:val="24"/>
                <w:szCs w:val="24"/>
                <w:highlight w:val="none"/>
              </w:rPr>
            </w:pPr>
          </w:p>
        </w:tc>
        <w:tc>
          <w:tcPr>
            <w:tcW w:w="7223" w:type="dxa"/>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信用信息查询记录和证据留存的具体方式：</w:t>
            </w:r>
            <w:r>
              <w:rPr>
                <w:rFonts w:hint="eastAsia" w:ascii="宋体" w:hAnsi="宋体" w:eastAsia="宋体" w:cs="宋体"/>
                <w:color w:val="auto"/>
                <w:sz w:val="24"/>
                <w:szCs w:val="24"/>
                <w:highlight w:val="none"/>
              </w:rPr>
              <w:t>采购人或采购代理机构</w:t>
            </w:r>
            <w:r>
              <w:rPr>
                <w:rFonts w:hint="eastAsia" w:ascii="宋体" w:hAnsi="宋体" w:eastAsia="宋体" w:cs="宋体"/>
                <w:color w:val="auto"/>
                <w:spacing w:val="-6"/>
                <w:sz w:val="24"/>
                <w:szCs w:val="24"/>
                <w:highlight w:val="none"/>
              </w:rPr>
              <w:t>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rPr>
            </w:pPr>
          </w:p>
        </w:tc>
        <w:tc>
          <w:tcPr>
            <w:tcW w:w="1260" w:type="dxa"/>
            <w:vMerge w:val="continue"/>
            <w:vAlign w:val="center"/>
          </w:tcPr>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b/>
                <w:color w:val="auto"/>
                <w:sz w:val="24"/>
                <w:szCs w:val="24"/>
                <w:highlight w:val="none"/>
              </w:rPr>
            </w:pPr>
          </w:p>
        </w:tc>
        <w:tc>
          <w:tcPr>
            <w:tcW w:w="7223" w:type="dxa"/>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信用信息的使用规则：</w:t>
            </w:r>
            <w:r>
              <w:rPr>
                <w:rFonts w:hint="eastAsia" w:ascii="宋体" w:hAnsi="宋体" w:eastAsia="宋体" w:cs="宋体"/>
                <w:color w:val="auto"/>
                <w:sz w:val="24"/>
                <w:szCs w:val="24"/>
                <w:highlight w:val="none"/>
              </w:rPr>
              <w:t>经查询列入失信被执行人名单、重大税收违法案件当事人名单、政府采购严重违法失信行为记录名单的投标人将被拒绝参与采购活动。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3</w:t>
            </w:r>
          </w:p>
        </w:tc>
        <w:tc>
          <w:tcPr>
            <w:tcW w:w="8483" w:type="dxa"/>
            <w:gridSpan w:val="2"/>
            <w:vAlign w:val="center"/>
          </w:tcPr>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更正补充公告请自行登录</w:t>
            </w:r>
            <w:r>
              <w:rPr>
                <w:rFonts w:hint="eastAsia" w:ascii="宋体" w:hAnsi="宋体" w:cs="宋体"/>
                <w:color w:val="auto"/>
                <w:sz w:val="24"/>
                <w:szCs w:val="24"/>
                <w:highlight w:val="none"/>
                <w:lang w:val="en-US" w:eastAsia="zh-CN"/>
              </w:rPr>
              <w:t>乐采云平台</w:t>
            </w:r>
            <w:r>
              <w:rPr>
                <w:rFonts w:hint="eastAsia" w:ascii="宋体" w:hAnsi="宋体" w:eastAsia="宋体" w:cs="宋体"/>
                <w:color w:val="auto"/>
                <w:sz w:val="24"/>
                <w:szCs w:val="24"/>
                <w:highlight w:val="none"/>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4</w:t>
            </w:r>
          </w:p>
        </w:tc>
        <w:tc>
          <w:tcPr>
            <w:tcW w:w="8483" w:type="dxa"/>
            <w:gridSpan w:val="2"/>
            <w:vAlign w:val="center"/>
          </w:tcPr>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投标与开标注意事项：</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3.投标文件制作、递交、解密：</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3.1应按照本项目招标文件和</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采云平台的要求编制、加密传输投标文件。供应商在使用系统进行投标的过程中遇到涉及平台使用的任何问题，可致电</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采云平台技术支持热线咨询，联系方式：</w:t>
            </w:r>
            <w:r>
              <w:rPr>
                <w:rFonts w:hint="eastAsia" w:ascii="宋体" w:hAnsi="宋体" w:eastAsia="宋体" w:cs="宋体"/>
                <w:color w:val="auto"/>
                <w:sz w:val="24"/>
                <w:szCs w:val="24"/>
                <w:highlight w:val="none"/>
                <w:lang w:val="en-US" w:eastAsia="zh-CN"/>
              </w:rPr>
              <w:t>95763</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bidi w:val="0"/>
              <w:adjustRightInd/>
              <w:snapToGrid w:val="0"/>
              <w:spacing w:line="5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3.2投标人通过“</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3.3开标时间后30分钟内供应商可以登录“</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采云”平台，用“项目采购-开标评标”功能进行解密投标文件。若供应商</w:t>
            </w:r>
            <w:r>
              <w:rPr>
                <w:rFonts w:hint="eastAsia" w:ascii="宋体" w:hAnsi="宋体" w:eastAsia="宋体" w:cs="宋体"/>
                <w:b/>
                <w:color w:val="auto"/>
                <w:sz w:val="24"/>
                <w:szCs w:val="24"/>
                <w:highlight w:val="none"/>
                <w:u w:val="single"/>
              </w:rPr>
              <w:t>未按时解密的</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u w:val="single"/>
              </w:rPr>
              <w:t>视为投标文件撤回</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keepNext w:val="0"/>
              <w:keepLines w:val="0"/>
              <w:pageBreakBefore w:val="0"/>
              <w:widowControl w:val="0"/>
              <w:kinsoku/>
              <w:wordWrap/>
              <w:overflowPunct/>
              <w:topLinePunct w:val="0"/>
              <w:bidi w:val="0"/>
              <w:adjustRightInd/>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5</w:t>
            </w:r>
          </w:p>
        </w:tc>
        <w:tc>
          <w:tcPr>
            <w:tcW w:w="8483" w:type="dxa"/>
            <w:gridSpan w:val="2"/>
            <w:vAlign w:val="center"/>
          </w:tcPr>
          <w:p>
            <w:pPr>
              <w:pStyle w:val="65"/>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ascii="宋体" w:hAnsi="宋体" w:eastAsia="宋体" w:cs="宋体"/>
                <w:color w:val="auto"/>
                <w:sz w:val="24"/>
                <w:szCs w:val="24"/>
                <w:highlight w:val="none"/>
                <w:lang w:val="en-US" w:eastAsia="zh-CN"/>
              </w:rPr>
              <w:t>采购代理服务费：</w:t>
            </w:r>
            <w:r>
              <w:rPr>
                <w:rFonts w:hint="eastAsia" w:hAnsi="宋体" w:cs="宋体"/>
                <w:color w:val="auto"/>
                <w:szCs w:val="24"/>
                <w:highlight w:val="none"/>
              </w:rPr>
              <w:t>中标人</w:t>
            </w:r>
            <w:r>
              <w:rPr>
                <w:rFonts w:hint="eastAsia" w:hAnsi="宋体" w:cs="宋体"/>
                <w:color w:val="auto"/>
                <w:szCs w:val="24"/>
                <w:highlight w:val="none"/>
                <w:lang w:val="en-US" w:eastAsia="zh-CN"/>
              </w:rPr>
              <w:t>按</w:t>
            </w:r>
            <w:r>
              <w:rPr>
                <w:rFonts w:hint="eastAsia" w:hAnsi="宋体" w:cs="宋体"/>
                <w:color w:val="auto"/>
                <w:szCs w:val="24"/>
                <w:highlight w:val="none"/>
              </w:rPr>
              <w:t>如下标准和规定交纳中标服务费，请在投标报价中自行考虑：</w:t>
            </w:r>
          </w:p>
          <w:p>
            <w:pPr>
              <w:pStyle w:val="65"/>
              <w:keepNext w:val="0"/>
              <w:keepLines w:val="0"/>
              <w:pageBreakBefore w:val="0"/>
              <w:widowControl w:val="0"/>
              <w:numPr>
                <w:ilvl w:val="0"/>
                <w:numId w:val="5"/>
              </w:numPr>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《国家计委关于印发&lt;招标代理服务费管理暂行办法&gt;的通知》（计价格〔2002〕1980号）、〔2011〕534号的规定</w:t>
            </w:r>
            <w:r>
              <w:rPr>
                <w:rFonts w:hint="eastAsia" w:hAnsi="宋体" w:cs="宋体"/>
                <w:color w:val="auto"/>
                <w:szCs w:val="24"/>
                <w:highlight w:val="none"/>
                <w:lang w:val="en-US" w:eastAsia="zh-CN"/>
              </w:rPr>
              <w:t>下浮40%收取</w:t>
            </w:r>
            <w:r>
              <w:rPr>
                <w:rFonts w:hint="eastAsia" w:hAnsi="宋体" w:cs="宋体"/>
                <w:color w:val="auto"/>
                <w:szCs w:val="24"/>
                <w:highlight w:val="none"/>
              </w:rPr>
              <w:t>。</w:t>
            </w:r>
          </w:p>
          <w:p>
            <w:pPr>
              <w:pStyle w:val="65"/>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2、中标服务费的交纳方式：</w:t>
            </w:r>
          </w:p>
          <w:p>
            <w:pPr>
              <w:pStyle w:val="65"/>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用银行支票、汇票、电汇、现金等付款方式直接交纳中标服务费。</w:t>
            </w:r>
          </w:p>
          <w:p>
            <w:pPr>
              <w:pStyle w:val="65"/>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公司名称：浙江明业项目管理有限公司嵊州分公司</w:t>
            </w:r>
          </w:p>
          <w:p>
            <w:pPr>
              <w:pStyle w:val="65"/>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开户行：中国银行嵊州城东支行</w:t>
            </w:r>
          </w:p>
          <w:p>
            <w:pPr>
              <w:pStyle w:val="65"/>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int="default" w:ascii="宋体" w:hAnsi="宋体" w:eastAsia="宋体" w:cs="宋体"/>
                <w:color w:val="auto"/>
                <w:sz w:val="24"/>
                <w:szCs w:val="24"/>
                <w:highlight w:val="none"/>
                <w:lang w:val="en-US" w:eastAsia="zh-CN"/>
              </w:rPr>
            </w:pPr>
            <w:r>
              <w:rPr>
                <w:rFonts w:hint="eastAsia" w:hAnsi="宋体" w:cs="宋体"/>
                <w:color w:val="auto"/>
                <w:szCs w:val="24"/>
                <w:highlight w:val="none"/>
              </w:rPr>
              <w:t>账  号：367 558 339 668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9240" w:type="dxa"/>
            <w:gridSpan w:val="3"/>
            <w:vAlign w:val="center"/>
          </w:tcPr>
          <w:p>
            <w:pPr>
              <w:keepNext w:val="0"/>
              <w:keepLines w:val="0"/>
              <w:pageBreakBefore w:val="0"/>
              <w:widowControl w:val="0"/>
              <w:kinsoku/>
              <w:wordWrap/>
              <w:overflowPunct/>
              <w:topLinePunct w:val="0"/>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vAlign w:val="center"/>
          </w:tcPr>
          <w:p>
            <w:pPr>
              <w:keepNext w:val="0"/>
              <w:keepLines w:val="0"/>
              <w:pageBreakBefore w:val="0"/>
              <w:widowControl w:val="0"/>
              <w:kinsoku/>
              <w:wordWrap/>
              <w:overflowPunct/>
              <w:topLinePunct w:val="0"/>
              <w:bidi w:val="0"/>
              <w:adjustRightIn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注：中标人放弃中标资格或因质疑、投诉被取消中标资格或不能履行合同的，本项目重新组织采购。</w:t>
            </w:r>
          </w:p>
        </w:tc>
      </w:tr>
      <w:bookmarkEnd w:id="26"/>
    </w:tbl>
    <w:p>
      <w:pPr>
        <w:pageBreakBefore/>
        <w:snapToGrid w:val="0"/>
        <w:spacing w:line="30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“电子签名”系指数据电文中以电子形式所含、所附用于识别签名人身份并表明签名人认可其中内容的数据；“公章”系指单位法定名称章。</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指本项目采购活动所依托的</w:t>
      </w:r>
      <w:r>
        <w:rPr>
          <w:rFonts w:hint="eastAsia" w:ascii="宋体" w:hAnsi="宋体" w:eastAsia="宋体" w:cs="宋体"/>
          <w:color w:val="auto"/>
          <w:sz w:val="24"/>
          <w:highlight w:val="none"/>
          <w:lang w:val="en-US" w:eastAsia="zh-CN"/>
        </w:rPr>
        <w:t>乐</w:t>
      </w:r>
      <w:r>
        <w:rPr>
          <w:rFonts w:hint="eastAsia" w:ascii="宋体" w:hAnsi="宋体" w:eastAsia="宋体" w:cs="宋体"/>
          <w:color w:val="auto"/>
          <w:sz w:val="24"/>
          <w:highlight w:val="none"/>
        </w:rPr>
        <w:t>采云平台。</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sz w:val="24"/>
          <w:highlight w:val="none"/>
          <w:lang w:val="en" w:eastAsia="zh-CN"/>
        </w:rPr>
        <w:t>☑</w:t>
      </w:r>
      <w:r>
        <w:rPr>
          <w:rFonts w:hint="eastAsia" w:ascii="宋体" w:hAnsi="宋体" w:eastAsia="宋体" w:cs="宋体"/>
          <w:color w:val="auto"/>
          <w:sz w:val="24"/>
          <w:highlight w:val="none"/>
        </w:rPr>
        <w:t>” 系指适用本项目的要求，“☐” 系指不适用本项目的要求。</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.特别说明</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.1供应商投标所使用的资格、信誉、荣誉、业绩与企业认证必须为投标单位所拥有。供应商投标所使用的采购项目实施人员必须为投标单位正式员工。</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.2供应商应仔细阅读招标文件的所有内容，按照招标文件的要求提交投标文件，并对所提供的全部资料的真实性承担法律责任。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jc w:val="center"/>
        <w:textAlignment w:val="auto"/>
        <w:rPr>
          <w:rFonts w:hint="eastAsia" w:ascii="宋体" w:hAnsi="宋体" w:eastAsia="宋体" w:cs="宋体"/>
          <w:color w:val="auto"/>
          <w:sz w:val="36"/>
          <w:szCs w:val="36"/>
          <w:highlight w:val="none"/>
        </w:rPr>
      </w:pPr>
      <w:r>
        <w:rPr>
          <w:rFonts w:hint="eastAsia" w:ascii="宋体" w:hAnsi="宋体" w:eastAsia="宋体" w:cs="宋体"/>
          <w:b/>
          <w:color w:val="auto"/>
          <w:sz w:val="36"/>
          <w:szCs w:val="36"/>
          <w:highlight w:val="none"/>
        </w:rPr>
        <w:t>二、招标文件</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1．招标方式</w:t>
      </w:r>
    </w:p>
    <w:p>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本次招标采用</w:t>
      </w:r>
      <w:r>
        <w:rPr>
          <w:rFonts w:hint="eastAsia" w:ascii="宋体" w:hAnsi="宋体" w:eastAsia="宋体" w:cs="宋体"/>
          <w:b/>
          <w:color w:val="auto"/>
          <w:kern w:val="0"/>
          <w:sz w:val="24"/>
          <w:szCs w:val="24"/>
          <w:highlight w:val="none"/>
        </w:rPr>
        <w:t>公开招标</w:t>
      </w:r>
      <w:r>
        <w:rPr>
          <w:rFonts w:hint="eastAsia" w:ascii="宋体" w:hAnsi="宋体" w:eastAsia="宋体" w:cs="宋体"/>
          <w:color w:val="auto"/>
          <w:sz w:val="24"/>
          <w:szCs w:val="24"/>
          <w:highlight w:val="none"/>
        </w:rPr>
        <w:t>方式进行。</w:t>
      </w:r>
    </w:p>
    <w:p>
      <w:pPr>
        <w:snapToGrid w:val="0"/>
        <w:spacing w:line="44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1.2 如某一标项投标人或实质性响应招标文件的投标人不足三家时，由采购人重新组织招标或按有关规定实施。</w:t>
      </w:r>
    </w:p>
    <w:p>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本次招标设定限价，即招标公告中公布的各标项预算金额或最高限价（各标项之间的预算金额不能互相调整）。</w:t>
      </w:r>
    </w:p>
    <w:p>
      <w:pPr>
        <w:pStyle w:val="13"/>
        <w:snapToGrid w:val="0"/>
        <w:spacing w:after="0" w:line="440" w:lineRule="exact"/>
        <w:ind w:left="0" w:leftChars="0"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2.授权委托</w:t>
      </w:r>
    </w:p>
    <w:p>
      <w:pPr>
        <w:pStyle w:val="7"/>
        <w:numPr>
          <w:ilvl w:val="0"/>
          <w:numId w:val="0"/>
        </w:numPr>
        <w:spacing w:afterLines="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本项目为电子投标项目，投标人的法定代表人或其授权代表或个体工商户不需要参加现场投标和开标。</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 投标费用</w:t>
      </w:r>
    </w:p>
    <w:p>
      <w:pPr>
        <w:pStyle w:val="7"/>
        <w:numPr>
          <w:ilvl w:val="0"/>
          <w:numId w:val="0"/>
        </w:numPr>
        <w:spacing w:afterLines="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投标人应自行承担编制投标文件及参加本次投标所涉及的一切费用。不管投标结果如何，招标人对上述费用不负任何责任。对中标人免收采购代理服务费。</w:t>
      </w:r>
    </w:p>
    <w:p>
      <w:pPr>
        <w:numPr>
          <w:ilvl w:val="0"/>
          <w:numId w:val="6"/>
        </w:numPr>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招标文件的修改</w:t>
      </w:r>
    </w:p>
    <w:p>
      <w:pPr>
        <w:numPr>
          <w:ilvl w:val="0"/>
          <w:numId w:val="0"/>
        </w:numPr>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cs="宋体"/>
          <w:b/>
          <w:color w:val="auto"/>
          <w:sz w:val="24"/>
          <w:szCs w:val="24"/>
          <w:highlight w:val="none"/>
          <w:lang w:val="en-US" w:eastAsia="zh-CN"/>
        </w:rPr>
        <w:t>4.1</w:t>
      </w:r>
      <w:r>
        <w:rPr>
          <w:rFonts w:hint="eastAsia" w:ascii="宋体" w:hAnsi="宋体" w:eastAsia="宋体" w:cs="宋体"/>
          <w:color w:val="auto"/>
          <w:sz w:val="24"/>
          <w:szCs w:val="24"/>
          <w:highlight w:val="none"/>
          <w:lang w:val="en-US" w:eastAsia="zh-CN"/>
        </w:rPr>
        <w:t>招标文件包括本招标文件及所有的招标答疑记录（澄清、修改）和发出的补充通知。</w:t>
      </w:r>
    </w:p>
    <w:p>
      <w:pPr>
        <w:numPr>
          <w:ilvl w:val="0"/>
          <w:numId w:val="0"/>
        </w:numPr>
        <w:snapToGrid w:val="0"/>
        <w:spacing w:line="44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4.2招标文件的澄清  投标人对招标文件如有疑点要求澄清，可用书面形式（包括并不仅限于纸质、信件和数据电文(包括电报、电传、传真、电子数据交换和电子邮件）等通知招标人，但通知不得迟于开标前7日使招标人收到，招标人将予以答复。如有必要，可将不说明来源的答复发给所有投标人。</w:t>
      </w:r>
    </w:p>
    <w:p>
      <w:pPr>
        <w:pStyle w:val="7"/>
        <w:keepNext w:val="0"/>
        <w:keepLines w:val="0"/>
        <w:pageBreakBefore w:val="0"/>
        <w:widowControl w:val="0"/>
        <w:numPr>
          <w:ilvl w:val="0"/>
          <w:numId w:val="0"/>
        </w:numPr>
        <w:kinsoku/>
        <w:wordWrap/>
        <w:overflowPunct/>
        <w:topLinePunct w:val="0"/>
        <w:autoSpaceDE/>
        <w:autoSpaceDN/>
        <w:bidi w:val="0"/>
        <w:adjustRightInd/>
        <w:spacing w:line="48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4.3招标文件的修改</w:t>
      </w:r>
    </w:p>
    <w:p>
      <w:pPr>
        <w:pStyle w:val="7"/>
        <w:keepNext w:val="0"/>
        <w:keepLines w:val="0"/>
        <w:pageBreakBefore w:val="0"/>
        <w:widowControl w:val="0"/>
        <w:numPr>
          <w:ilvl w:val="0"/>
          <w:numId w:val="0"/>
        </w:numPr>
        <w:kinsoku/>
        <w:wordWrap/>
        <w:overflowPunct/>
        <w:topLinePunct w:val="0"/>
        <w:autoSpaceDE/>
        <w:autoSpaceDN/>
        <w:bidi w:val="0"/>
        <w:adjustRightInd/>
        <w:spacing w:line="480" w:lineRule="exact"/>
        <w:ind w:leftChars="-20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4.3.1在投标截止时间前，招标人有权修改招标文件，</w:t>
      </w:r>
      <w:r>
        <w:rPr>
          <w:rFonts w:hint="eastAsia" w:ascii="宋体" w:hAnsi="宋体" w:eastAsia="宋体" w:cs="宋体"/>
          <w:color w:val="auto"/>
          <w:kern w:val="2"/>
          <w:sz w:val="24"/>
          <w:szCs w:val="24"/>
          <w:highlight w:val="none"/>
          <w:lang w:val="en-US" w:eastAsia="zh-CN" w:bidi="ar-SA"/>
        </w:rPr>
        <w:t>将会在发布招标公告的网站上发布更正公告。澄清或者修改的内容可能影响投标文件编制的，更正公告在提交投标截止时间至少15日前发出；不足15日的，采购人应当顺延提交投标文件的截止时间。</w:t>
      </w:r>
    </w:p>
    <w:p>
      <w:pPr>
        <w:pStyle w:val="7"/>
        <w:keepNext w:val="0"/>
        <w:keepLines w:val="0"/>
        <w:pageBreakBefore w:val="0"/>
        <w:widowControl w:val="0"/>
        <w:numPr>
          <w:ilvl w:val="0"/>
          <w:numId w:val="0"/>
        </w:numPr>
        <w:kinsoku/>
        <w:wordWrap/>
        <w:overflowPunct/>
        <w:topLinePunct w:val="0"/>
        <w:autoSpaceDE/>
        <w:autoSpaceDN/>
        <w:bidi w:val="0"/>
        <w:adjustRightInd/>
        <w:spacing w:line="480" w:lineRule="exact"/>
        <w:ind w:leftChars="-20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4.3.2</w:t>
      </w:r>
      <w:r>
        <w:rPr>
          <w:rFonts w:hint="eastAsia" w:ascii="宋体" w:hAnsi="宋体" w:eastAsia="宋体" w:cs="宋体"/>
          <w:color w:val="auto"/>
          <w:kern w:val="2"/>
          <w:sz w:val="24"/>
          <w:szCs w:val="24"/>
          <w:highlight w:val="none"/>
          <w:lang w:val="en-US" w:eastAsia="zh-CN" w:bidi="ar-SA"/>
        </w:rPr>
        <w:t>更正公告为招标文件的组成部分，一经在网站发布，视同已通知所有招标文件的收受人，不再采用其它方式传达相关信息, 若因未能及时了解到上述网站上发布的相关信息而导致的一切后果自行承担。</w:t>
      </w:r>
    </w:p>
    <w:p>
      <w:pPr>
        <w:snapToGrid w:val="0"/>
        <w:spacing w:line="800" w:lineRule="exact"/>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三、投标文件</w:t>
      </w:r>
    </w:p>
    <w:p>
      <w:pPr>
        <w:numPr>
          <w:ilvl w:val="0"/>
          <w:numId w:val="7"/>
        </w:num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投标文件的语言、计量单位、形式及效力</w:t>
      </w:r>
    </w:p>
    <w:p>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1.4不按招标文件的要求提供的投标文件可能导致被拒绝。</w:t>
      </w:r>
    </w:p>
    <w:p>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1.5投标文件的形式和效力</w:t>
      </w:r>
    </w:p>
    <w:p>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1.5.2投标文件的效力：</w:t>
      </w:r>
    </w:p>
    <w:p>
      <w:pPr>
        <w:snapToGrid w:val="0"/>
        <w:spacing w:line="440" w:lineRule="exact"/>
        <w:ind w:firstLine="472" w:firstLineChars="196"/>
        <w:jc w:val="left"/>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 投标文件的组成</w:t>
      </w:r>
    </w:p>
    <w:p>
      <w:pPr>
        <w:keepNext w:val="0"/>
        <w:keepLines w:val="0"/>
        <w:pageBreakBefore w:val="0"/>
        <w:widowControl w:val="0"/>
        <w:kinsoku/>
        <w:wordWrap/>
        <w:overflowPunct/>
        <w:topLinePunct w:val="0"/>
        <w:autoSpaceDE/>
        <w:autoSpaceDN/>
        <w:bidi w:val="0"/>
        <w:spacing w:line="48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投标文件由</w:t>
      </w:r>
      <w:r>
        <w:rPr>
          <w:rFonts w:hint="eastAsia" w:ascii="宋体" w:hAnsi="宋体" w:eastAsia="宋体" w:cs="宋体"/>
          <w:b/>
          <w:bCs/>
          <w:color w:val="auto"/>
          <w:sz w:val="24"/>
          <w:szCs w:val="24"/>
          <w:highlight w:val="none"/>
          <w:lang w:eastAsia="zh-CN"/>
        </w:rPr>
        <w:t>“资格文件”、</w:t>
      </w:r>
      <w:r>
        <w:rPr>
          <w:rFonts w:hint="eastAsia" w:ascii="宋体" w:hAnsi="宋体" w:eastAsia="宋体" w:cs="宋体"/>
          <w:b/>
          <w:bCs/>
          <w:color w:val="auto"/>
          <w:sz w:val="24"/>
          <w:szCs w:val="24"/>
          <w:highlight w:val="none"/>
        </w:rPr>
        <w:t>“商务技术文件资料”、“报价文件资料”</w:t>
      </w: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部分组成，其中电子投标文件中所须加盖公章部分均应采用电子签章。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Times New Roman" w:eastAsia="宋体" w:cs="宋体"/>
          <w:color w:val="auto"/>
          <w:kern w:val="0"/>
          <w:sz w:val="24"/>
          <w:szCs w:val="24"/>
          <w:highlight w:val="none"/>
          <w:lang w:eastAsia="zh-CN"/>
        </w:rPr>
      </w:pPr>
      <w:r>
        <w:rPr>
          <w:rFonts w:hint="eastAsia" w:ascii="宋体" w:hAnsi="Times New Roman" w:eastAsia="宋体" w:cs="宋体"/>
          <w:color w:val="auto"/>
          <w:kern w:val="0"/>
          <w:sz w:val="24"/>
          <w:szCs w:val="24"/>
          <w:highlight w:val="none"/>
          <w:lang w:val="en-US" w:eastAsia="zh-CN"/>
        </w:rPr>
        <w:t>2.1.1</w:t>
      </w:r>
      <w:r>
        <w:rPr>
          <w:rFonts w:hint="eastAsia" w:ascii="宋体" w:hAnsi="Times New Roman" w:eastAsia="宋体" w:cs="宋体"/>
          <w:color w:val="auto"/>
          <w:kern w:val="0"/>
          <w:sz w:val="24"/>
          <w:szCs w:val="24"/>
          <w:highlight w:val="none"/>
          <w:lang w:eastAsia="zh-CN"/>
        </w:rPr>
        <w:t>营业执照扫描件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cs="宋体"/>
          <w:color w:val="auto"/>
          <w:kern w:val="0"/>
          <w:sz w:val="24"/>
          <w:szCs w:val="24"/>
          <w:highlight w:val="none"/>
          <w:lang w:val="en-US" w:eastAsia="zh-CN"/>
        </w:rPr>
      </w:pPr>
      <w:r>
        <w:rPr>
          <w:rFonts w:hint="eastAsia" w:ascii="宋体" w:cs="宋体"/>
          <w:color w:val="auto"/>
          <w:kern w:val="0"/>
          <w:sz w:val="24"/>
          <w:szCs w:val="24"/>
          <w:highlight w:val="none"/>
          <w:lang w:val="en-US" w:eastAsia="zh-CN"/>
        </w:rPr>
        <w:t>2.1.2</w:t>
      </w:r>
      <w:r>
        <w:rPr>
          <w:rFonts w:hint="eastAsia" w:ascii="宋体" w:cs="宋体"/>
          <w:color w:val="auto"/>
          <w:kern w:val="0"/>
          <w:sz w:val="24"/>
          <w:szCs w:val="24"/>
          <w:highlight w:val="none"/>
          <w:lang w:val="zh-CN"/>
        </w:rPr>
        <w:t>符合参加采购活动应当具备的一般条件的承诺函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highlight w:val="none"/>
          <w:lang w:val="en-US" w:eastAsia="zh-CN"/>
        </w:rPr>
      </w:pPr>
      <w:r>
        <w:rPr>
          <w:rFonts w:hint="eastAsia" w:ascii="宋体" w:cs="宋体"/>
          <w:color w:val="auto"/>
          <w:kern w:val="0"/>
          <w:sz w:val="24"/>
          <w:szCs w:val="24"/>
          <w:highlight w:val="none"/>
          <w:lang w:val="en-US" w:eastAsia="zh-CN"/>
        </w:rPr>
        <w:t>2.1.3</w:t>
      </w:r>
      <w:r>
        <w:rPr>
          <w:rFonts w:hint="eastAsia" w:ascii="宋体" w:hAnsi="宋体" w:cs="宋体"/>
          <w:color w:val="auto"/>
          <w:sz w:val="24"/>
          <w:szCs w:val="24"/>
          <w:highlight w:val="none"/>
        </w:rPr>
        <w:t>特定资格要求需提供的证明材料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若有）</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2.</w:t>
      </w:r>
      <w:r>
        <w:rPr>
          <w:rFonts w:hint="eastAsia" w:ascii="宋体" w:hAnsi="宋体" w:eastAsia="宋体" w:cs="宋体"/>
          <w:b/>
          <w:color w:val="auto"/>
          <w:sz w:val="24"/>
          <w:szCs w:val="24"/>
          <w:highlight w:val="none"/>
        </w:rPr>
        <w:t>2商务技术</w:t>
      </w:r>
      <w:r>
        <w:rPr>
          <w:rFonts w:hint="eastAsia" w:ascii="宋体" w:hAnsi="宋体" w:eastAsia="宋体" w:cs="宋体"/>
          <w:b/>
          <w:color w:val="auto"/>
          <w:sz w:val="24"/>
          <w:szCs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6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r>
        <w:rPr>
          <w:rFonts w:hint="eastAsia" w:ascii="宋体" w:hAnsi="宋体" w:eastAsia="宋体" w:cs="宋体"/>
          <w:color w:val="auto"/>
          <w:sz w:val="24"/>
          <w:szCs w:val="24"/>
          <w:highlight w:val="none"/>
          <w:lang w:val="zh-CN"/>
        </w:rPr>
        <w:t xml:space="preserve"> </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函；</w:t>
      </w:r>
    </w:p>
    <w:p>
      <w:pPr>
        <w:keepNext w:val="0"/>
        <w:keepLines w:val="0"/>
        <w:pageBreakBefore w:val="0"/>
        <w:widowControl w:val="0"/>
        <w:kinsoku/>
        <w:wordWrap/>
        <w:overflowPunct/>
        <w:topLinePunct w:val="0"/>
        <w:bidi w:val="0"/>
        <w:adjustRightInd w:val="0"/>
        <w:snapToGrid w:val="0"/>
        <w:spacing w:line="46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法定代表人身份证明书；</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2.2.3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法定代表人授权委托书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授权代表社保证明（</w:t>
      </w:r>
      <w:r>
        <w:rPr>
          <w:rFonts w:hint="eastAsia" w:ascii="宋体" w:hAnsi="宋体" w:eastAsia="宋体" w:cs="宋体"/>
          <w:color w:val="auto"/>
          <w:sz w:val="24"/>
          <w:szCs w:val="24"/>
          <w:highlight w:val="none"/>
          <w:lang w:val="en-US" w:eastAsia="zh-CN"/>
        </w:rPr>
        <w:t>若委托</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2.2.4</w:t>
      </w:r>
      <w:r>
        <w:rPr>
          <w:rFonts w:hint="eastAsia" w:ascii="宋体" w:hAnsi="宋体" w:eastAsia="宋体" w:cs="宋体"/>
          <w:color w:val="auto"/>
          <w:sz w:val="24"/>
          <w:szCs w:val="24"/>
          <w:highlight w:val="none"/>
          <w:lang w:val="en-US" w:eastAsia="zh-CN"/>
        </w:rPr>
        <w:t xml:space="preserve"> 评分索引表；</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2.2.5 商务响应表；</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xml:space="preserve"> 供应商廉洁自律承诺书；</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 xml:space="preserve"> 同类业绩证明；</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
        </w:rPr>
        <w:t>服务渠道</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9</w:t>
      </w:r>
      <w:r>
        <w:rPr>
          <w:rFonts w:hint="eastAsia" w:ascii="宋体" w:hAnsi="宋体" w:eastAsia="宋体" w:cs="宋体"/>
          <w:color w:val="auto"/>
          <w:kern w:val="2"/>
          <w:sz w:val="24"/>
          <w:szCs w:val="24"/>
          <w:highlight w:val="none"/>
          <w:lang w:val="en-US" w:eastAsia="zh-CN" w:bidi="ar"/>
        </w:rPr>
        <w:t>承保服务方案；</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cs="宋体"/>
          <w:color w:val="auto"/>
          <w:sz w:val="24"/>
          <w:szCs w:val="24"/>
          <w:highlight w:val="none"/>
          <w:lang w:val="en-US" w:eastAsia="zh-CN"/>
        </w:rPr>
        <w:t>0</w:t>
      </w:r>
      <w:r>
        <w:rPr>
          <w:rFonts w:hint="eastAsia" w:ascii="宋体" w:hAnsi="宋体" w:eastAsia="宋体" w:cs="宋体"/>
          <w:color w:val="auto"/>
          <w:kern w:val="2"/>
          <w:sz w:val="24"/>
          <w:szCs w:val="24"/>
          <w:highlight w:val="none"/>
          <w:lang w:val="en-US" w:eastAsia="zh-CN" w:bidi="ar"/>
        </w:rPr>
        <w:t>偿付能力充足率</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
        </w:rPr>
        <w:t>理赔服务方案</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sz w:val="24"/>
          <w:szCs w:val="24"/>
          <w:highlight w:val="none"/>
          <w:lang w:val="en-US" w:eastAsia="zh-CN"/>
        </w:rPr>
        <w:t xml:space="preserve">2.2.12 </w:t>
      </w:r>
      <w:r>
        <w:rPr>
          <w:rFonts w:hint="eastAsia" w:ascii="宋体" w:hAnsi="宋体" w:eastAsia="宋体" w:cs="宋体"/>
          <w:color w:val="auto"/>
          <w:kern w:val="2"/>
          <w:sz w:val="24"/>
          <w:szCs w:val="24"/>
          <w:highlight w:val="none"/>
          <w:lang w:val="en-US" w:eastAsia="zh-CN" w:bidi="ar"/>
        </w:rPr>
        <w:t>服务团队</w:t>
      </w:r>
    </w:p>
    <w:p>
      <w:pPr>
        <w:pStyle w:val="37"/>
        <w:keepNext w:val="0"/>
        <w:keepLines w:val="0"/>
        <w:pageBreakBefore w:val="0"/>
        <w:widowControl w:val="0"/>
        <w:kinsoku/>
        <w:wordWrap/>
        <w:overflowPunct/>
        <w:topLinePunct w:val="0"/>
        <w:bidi w:val="0"/>
        <w:adjustRightInd w:val="0"/>
        <w:spacing w:beforeLines="0" w:afterLines="0" w:line="460" w:lineRule="exact"/>
        <w:ind w:firstLine="720" w:firstLineChars="3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2.2.13 服务承诺</w:t>
      </w:r>
    </w:p>
    <w:p>
      <w:pPr>
        <w:pStyle w:val="37"/>
        <w:keepNext w:val="0"/>
        <w:keepLines w:val="0"/>
        <w:pageBreakBefore w:val="0"/>
        <w:widowControl w:val="0"/>
        <w:kinsoku/>
        <w:wordWrap/>
        <w:overflowPunct/>
        <w:topLinePunct w:val="0"/>
        <w:bidi w:val="0"/>
        <w:adjustRightInd w:val="0"/>
        <w:spacing w:beforeLines="0" w:afterLines="0" w:line="460" w:lineRule="exact"/>
        <w:ind w:firstLine="720" w:firstLineChars="300"/>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2.2.14 经营评级情况</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 xml:space="preserve"> 投标人认为需要说明的其他文件和说明（若有）。</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bCs/>
          <w:i w:val="0"/>
          <w:iCs w:val="0"/>
          <w:color w:val="auto"/>
          <w:kern w:val="2"/>
          <w:sz w:val="24"/>
          <w:szCs w:val="24"/>
          <w:highlight w:val="none"/>
          <w:vertAlign w:val="baseline"/>
          <w:lang w:val="zh-CN" w:eastAsia="zh-CN" w:bidi="ar-SA"/>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default"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2.3.1开标一览表（报价表）</w:t>
      </w:r>
      <w:r>
        <w:rPr>
          <w:rFonts w:hint="eastAsia" w:ascii="宋体" w:hAnsi="宋体" w:cs="宋体"/>
          <w:color w:val="auto"/>
          <w:sz w:val="24"/>
          <w:szCs w:val="24"/>
          <w:highlight w:val="none"/>
          <w:lang w:val="en-US" w:eastAsia="zh-CN"/>
        </w:rPr>
        <w:t>；</w:t>
      </w:r>
    </w:p>
    <w:p>
      <w:pPr>
        <w:pStyle w:val="37"/>
        <w:ind w:firstLine="720" w:firstLineChars="300"/>
        <w:rPr>
          <w:rFonts w:hint="eastAsia" w:eastAsia="宋体"/>
          <w:color w:val="auto"/>
          <w:highlight w:val="none"/>
          <w:lang w:val="en-US" w:eastAsia="zh-CN"/>
        </w:rPr>
      </w:pPr>
      <w:r>
        <w:rPr>
          <w:rFonts w:hint="eastAsia"/>
          <w:color w:val="auto"/>
          <w:highlight w:val="none"/>
          <w:lang w:val="en-US" w:eastAsia="zh-CN"/>
        </w:rPr>
        <w:t xml:space="preserve">2.3.2 </w:t>
      </w:r>
      <w:r>
        <w:rPr>
          <w:rFonts w:hint="eastAsia" w:ascii="宋体" w:hAnsi="宋体"/>
          <w:color w:val="auto"/>
          <w:highlight w:val="none"/>
        </w:rPr>
        <w:t>投标人针对报价需要说明的其他文件和说明</w:t>
      </w:r>
      <w:r>
        <w:rPr>
          <w:rFonts w:hint="eastAsia" w:ascii="宋体" w:hAnsi="宋体"/>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3. 投标报价</w:t>
      </w:r>
    </w:p>
    <w:p>
      <w:pPr>
        <w:pStyle w:val="15"/>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3.1投标人应按招标文件中《开标一览表》等附表要求填写。</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报价包括本次项目实施的物资、设备、劳务、管理、材料、交通费、保险、利润、税金、政策性收费以及实施本项目所需的其他一切费用，投标人应列入而未列入其中的费用及招标代理服务费均包含在总价之中，均视为已包含在内，风险由投标人承担。</w:t>
      </w:r>
    </w:p>
    <w:p>
      <w:pPr>
        <w:pStyle w:val="15"/>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3.3招标文件未列明，而投标人认为必需的费用也需列入报价。</w:t>
      </w:r>
    </w:p>
    <w:p>
      <w:pPr>
        <w:tabs>
          <w:tab w:val="left" w:pos="525"/>
        </w:tabs>
        <w:spacing w:line="440" w:lineRule="exact"/>
        <w:jc w:val="left"/>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t>3.4投标报价只允许有一个报价，有选择的报价将不予接受（除指定外）。</w:t>
      </w:r>
    </w:p>
    <w:p>
      <w:pPr>
        <w:pStyle w:val="7"/>
        <w:keepNext w:val="0"/>
        <w:keepLines w:val="0"/>
        <w:pageBreakBefore w:val="0"/>
        <w:widowControl w:val="0"/>
        <w:numPr>
          <w:ilvl w:val="0"/>
          <w:numId w:val="0"/>
        </w:numPr>
        <w:kinsoku/>
        <w:wordWrap/>
        <w:overflowPunct/>
        <w:topLinePunct w:val="0"/>
        <w:autoSpaceDE/>
        <w:autoSpaceDN/>
        <w:bidi w:val="0"/>
        <w:spacing w:line="460" w:lineRule="exact"/>
        <w:ind w:leftChars="-200" w:firstLine="241" w:firstLineChars="1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4.投标文件的有效期</w:t>
      </w:r>
    </w:p>
    <w:p>
      <w:pPr>
        <w:pStyle w:val="7"/>
        <w:keepNext w:val="0"/>
        <w:keepLines w:val="0"/>
        <w:pageBreakBefore w:val="0"/>
        <w:widowControl w:val="0"/>
        <w:numPr>
          <w:ilvl w:val="0"/>
          <w:numId w:val="0"/>
        </w:numPr>
        <w:kinsoku/>
        <w:wordWrap/>
        <w:overflowPunct/>
        <w:topLinePunct w:val="0"/>
        <w:autoSpaceDE/>
        <w:autoSpaceDN/>
        <w:bidi w:val="0"/>
        <w:spacing w:line="460" w:lineRule="exact"/>
        <w:ind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4.1投标有效期为从提交投标文件的截止之日起90天。</w:t>
      </w:r>
      <w:r>
        <w:rPr>
          <w:rFonts w:hint="eastAsia" w:ascii="宋体" w:hAnsi="宋体" w:eastAsia="宋体" w:cs="宋体"/>
          <w:b/>
          <w:color w:val="auto"/>
          <w:sz w:val="24"/>
          <w:szCs w:val="24"/>
          <w:highlight w:val="none"/>
        </w:rPr>
        <w:t>投标人的投标文件中承诺的投标有效期少于招标文件中载明的投标有效期的，投标无效。</w:t>
      </w:r>
    </w:p>
    <w:p>
      <w:pPr>
        <w:pStyle w:val="7"/>
        <w:keepNext w:val="0"/>
        <w:keepLines w:val="0"/>
        <w:pageBreakBefore w:val="0"/>
        <w:widowControl w:val="0"/>
        <w:numPr>
          <w:ilvl w:val="0"/>
          <w:numId w:val="0"/>
        </w:numPr>
        <w:kinsoku/>
        <w:wordWrap/>
        <w:overflowPunct/>
        <w:topLinePunct w:val="0"/>
        <w:autoSpaceDE/>
        <w:autoSpaceDN/>
        <w:bidi w:val="0"/>
        <w:spacing w:line="460" w:lineRule="exact"/>
        <w:ind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4.2在特殊情况下，招标人可与投标人协商延长投标书的有效期，这种要求和答复均以书面形式进行。</w:t>
      </w:r>
    </w:p>
    <w:p>
      <w:pPr>
        <w:pStyle w:val="7"/>
        <w:keepNext w:val="0"/>
        <w:keepLines w:val="0"/>
        <w:pageBreakBefore w:val="0"/>
        <w:widowControl w:val="0"/>
        <w:numPr>
          <w:ilvl w:val="0"/>
          <w:numId w:val="0"/>
        </w:numPr>
        <w:kinsoku/>
        <w:wordWrap/>
        <w:overflowPunct/>
        <w:topLinePunct w:val="0"/>
        <w:autoSpaceDE/>
        <w:autoSpaceDN/>
        <w:bidi w:val="0"/>
        <w:spacing w:line="460" w:lineRule="exact"/>
        <w:ind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4.3投标人可拒绝接受延期要求而不会导致投标保证金被没收。同意延长有效期的投标人不能修改投标文件。</w:t>
      </w:r>
    </w:p>
    <w:p>
      <w:pPr>
        <w:pStyle w:val="7"/>
        <w:keepNext w:val="0"/>
        <w:keepLines w:val="0"/>
        <w:pageBreakBefore w:val="0"/>
        <w:widowControl w:val="0"/>
        <w:numPr>
          <w:ilvl w:val="0"/>
          <w:numId w:val="0"/>
        </w:numPr>
        <w:kinsoku/>
        <w:wordWrap/>
        <w:overflowPunct/>
        <w:topLinePunct w:val="0"/>
        <w:autoSpaceDE/>
        <w:autoSpaceDN/>
        <w:bidi w:val="0"/>
        <w:spacing w:line="460" w:lineRule="exact"/>
        <w:textAlignment w:val="auto"/>
        <w:rPr>
          <w:rFonts w:hint="eastAsia" w:ascii="宋体" w:hAnsi="宋体" w:eastAsia="宋体" w:cs="宋体"/>
          <w:b/>
          <w:color w:val="auto"/>
          <w:sz w:val="24"/>
          <w:szCs w:val="24"/>
          <w:highlight w:val="none"/>
          <w:u w:val="none"/>
        </w:rPr>
      </w:pPr>
      <w:r>
        <w:rPr>
          <w:rFonts w:hint="eastAsia" w:ascii="宋体" w:hAnsi="宋体" w:cs="宋体"/>
          <w:color w:val="auto"/>
          <w:sz w:val="24"/>
          <w:szCs w:val="24"/>
          <w:highlight w:val="none"/>
          <w:lang w:val="en-US" w:eastAsia="zh-CN"/>
        </w:rPr>
        <w:t>5.</w:t>
      </w:r>
      <w:r>
        <w:rPr>
          <w:rFonts w:hint="eastAsia" w:ascii="宋体" w:hAnsi="宋体" w:eastAsia="宋体" w:cs="宋体"/>
          <w:b/>
          <w:color w:val="auto"/>
          <w:sz w:val="24"/>
          <w:szCs w:val="24"/>
          <w:highlight w:val="none"/>
          <w:u w:val="none"/>
        </w:rPr>
        <w:t>投标文件的规定</w:t>
      </w:r>
    </w:p>
    <w:p>
      <w:pPr>
        <w:keepNext w:val="0"/>
        <w:keepLines w:val="0"/>
        <w:pageBreakBefore w:val="0"/>
        <w:widowControl w:val="0"/>
        <w:numPr>
          <w:ilvl w:val="0"/>
          <w:numId w:val="0"/>
        </w:numPr>
        <w:kinsoku/>
        <w:wordWrap/>
        <w:overflowPunct/>
        <w:topLinePunct w:val="0"/>
        <w:autoSpaceDE/>
        <w:autoSpaceDN/>
        <w:bidi w:val="0"/>
        <w:snapToGrid w:val="0"/>
        <w:spacing w:line="460" w:lineRule="exact"/>
        <w:ind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5.1投标文件由</w:t>
      </w:r>
      <w:r>
        <w:rPr>
          <w:rFonts w:hint="eastAsia" w:ascii="宋体" w:hAnsi="宋体" w:eastAsia="宋体" w:cs="宋体"/>
          <w:color w:val="auto"/>
          <w:sz w:val="24"/>
          <w:szCs w:val="24"/>
          <w:highlight w:val="none"/>
          <w:lang w:eastAsia="zh-CN"/>
        </w:rPr>
        <w:t>“资格文件”、</w:t>
      </w:r>
      <w:r>
        <w:rPr>
          <w:rFonts w:hint="eastAsia" w:ascii="宋体" w:hAnsi="宋体" w:eastAsia="宋体" w:cs="宋体"/>
          <w:color w:val="auto"/>
          <w:sz w:val="24"/>
          <w:szCs w:val="24"/>
          <w:highlight w:val="none"/>
        </w:rPr>
        <w:t>“商务技术文件资料”、“报价文件资料”</w:t>
      </w:r>
      <w:r>
        <w:rPr>
          <w:rFonts w:hint="eastAsia" w:hAnsi="宋体" w:cs="宋体"/>
          <w:color w:val="auto"/>
          <w:sz w:val="24"/>
          <w:szCs w:val="24"/>
          <w:highlight w:val="none"/>
          <w:lang w:val="en-US" w:eastAsia="zh-CN"/>
        </w:rPr>
        <w:t>三</w:t>
      </w:r>
      <w:r>
        <w:rPr>
          <w:rFonts w:hint="eastAsia" w:ascii="宋体" w:hAnsi="宋体" w:eastAsia="宋体" w:cs="宋体"/>
          <w:color w:val="auto"/>
          <w:sz w:val="24"/>
          <w:szCs w:val="24"/>
          <w:highlight w:val="none"/>
        </w:rPr>
        <w:t>部分文件组成，应按统一格式填写。</w:t>
      </w:r>
    </w:p>
    <w:p>
      <w:pPr>
        <w:pStyle w:val="15"/>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5.2投标文件须按附件格式要求进行电子签章，投标人应写全称。</w:t>
      </w:r>
    </w:p>
    <w:p>
      <w:pPr>
        <w:pStyle w:val="15"/>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5.4投标文件因字迹潦草或表达不清所引起的后果由投标人负责。</w:t>
      </w:r>
    </w:p>
    <w:p>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6.投标文件的提交</w:t>
      </w:r>
    </w:p>
    <w:p>
      <w:pPr>
        <w:snapToGrid w:val="0"/>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投标人应按“招标公告”规定的时间、方式将投标文件提交给采购机构，</w:t>
      </w:r>
      <w:r>
        <w:rPr>
          <w:rFonts w:hint="eastAsia" w:ascii="宋体" w:hAnsi="宋体" w:eastAsia="宋体" w:cs="宋体"/>
          <w:b/>
          <w:color w:val="auto"/>
          <w:sz w:val="24"/>
          <w:szCs w:val="24"/>
          <w:highlight w:val="none"/>
        </w:rPr>
        <w:t>采购机构将拒绝接受逾期提交的投标文件。</w:t>
      </w:r>
    </w:p>
    <w:p>
      <w:pPr>
        <w:widowControl/>
        <w:snapToGrid w:val="0"/>
        <w:spacing w:line="440" w:lineRule="exact"/>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7．</w:t>
      </w:r>
      <w:r>
        <w:rPr>
          <w:rFonts w:hint="eastAsia" w:ascii="宋体" w:hAnsi="宋体" w:eastAsia="宋体" w:cs="宋体"/>
          <w:b/>
          <w:color w:val="auto"/>
          <w:kern w:val="0"/>
          <w:sz w:val="24"/>
          <w:szCs w:val="24"/>
          <w:highlight w:val="none"/>
        </w:rPr>
        <w:t>投标文件的补充和修改</w:t>
      </w:r>
    </w:p>
    <w:p>
      <w:pPr>
        <w:spacing w:line="44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keepNext w:val="0"/>
        <w:keepLines w:val="0"/>
        <w:pageBreakBefore w:val="0"/>
        <w:widowControl w:val="0"/>
        <w:kinsoku/>
        <w:wordWrap/>
        <w:overflowPunct/>
        <w:topLinePunct w:val="0"/>
        <w:autoSpaceDE/>
        <w:autoSpaceDN/>
        <w:bidi w:val="0"/>
        <w:adjustRightInd/>
        <w:spacing w:line="640" w:lineRule="exact"/>
        <w:jc w:val="center"/>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四、开标和评标</w:t>
      </w:r>
    </w:p>
    <w:p>
      <w:pPr>
        <w:keepNext w:val="0"/>
        <w:keepLines w:val="0"/>
        <w:pageBreakBefore w:val="0"/>
        <w:widowControl w:val="0"/>
        <w:kinsoku/>
        <w:wordWrap/>
        <w:overflowPunct/>
        <w:topLinePunct w:val="0"/>
        <w:autoSpaceDE/>
        <w:autoSpaceDN/>
        <w:bidi w:val="0"/>
        <w:adjustRightInd/>
        <w:snapToGrid w:val="0"/>
        <w:spacing w:line="6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1．电子招投标开标及评审程序</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1.1投标截止时间后，主持人宣布开标开始。</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1.2投标人登录政采云平台，用“项目采购-开标评标”功能对电子投标文件进行在线解密。在线解密电子投标文件时间为开标时间起30分钟内。</w:t>
      </w:r>
    </w:p>
    <w:p>
      <w:pPr>
        <w:snapToGrid w:val="0"/>
        <w:spacing w:line="48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1.3评标委员会对资格和商务技术响应文件进行评审</w:t>
      </w:r>
      <w:r>
        <w:rPr>
          <w:rFonts w:hint="eastAsia" w:ascii="宋体" w:hAnsi="宋体" w:eastAsia="宋体" w:cs="宋体"/>
          <w:color w:val="auto"/>
          <w:sz w:val="24"/>
          <w:szCs w:val="24"/>
          <w:highlight w:val="none"/>
          <w:lang w:eastAsia="zh-CN"/>
        </w:rPr>
        <w:t>。</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1.4主持人宣布商务技术得分及无效（废）投标情形（如有），公布经商务技术（资信）评审符合招标文件要求的投标人名单及其商务技术得分。</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1.6评标委员会对投标文件报价文件资料进行评审，核准投标报价及计算价格分，汇总商务技术分、价格分，根据得分排序确定中标候选人。</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1.7主持人公布评标结果。</w:t>
      </w:r>
    </w:p>
    <w:p>
      <w:pPr>
        <w:snapToGrid w:val="0"/>
        <w:spacing w:line="48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特别说明：政采云公司如对电子化开标及评审程序有调整的，按调整后的程序操作。</w:t>
      </w:r>
    </w:p>
    <w:p>
      <w:pPr>
        <w:snapToGrid w:val="0"/>
        <w:spacing w:line="48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2.1电子交易平台发生故障而无法登录访问的； </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2.2电子交易平台应用或数据库出现错误，不能进行正常操作的；</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2.3电子交易平台发现严重安全漏洞，有潜在泄密危险的；</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2.4病毒发作导致不能进行正常操作的； </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2.5其他无法保证电子交易的公平、公正和安全的情况。</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3．评标</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3.1评标委员会由招标采购单位依法组建，负责评标活动。评标委员会遵循公开、公平、公正、科学合理、竞争择优的原则。</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3.2评标委员会由采购人代表和有关方面的专家组成，成员人数为五人以上单数。</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3.3评标委员会负责对投标人资格的最终审定。</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供应商通过政采云平台交换的数据电文必须进行电子签章。</w:t>
      </w:r>
    </w:p>
    <w:p>
      <w:pPr>
        <w:widowControl/>
        <w:snapToGrid w:val="0"/>
        <w:spacing w:line="48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w:t>
      </w:r>
      <w:r>
        <w:rPr>
          <w:rFonts w:hint="eastAsia" w:ascii="宋体" w:hAnsi="宋体" w:eastAsia="宋体" w:cs="宋体"/>
          <w:color w:val="auto"/>
          <w:sz w:val="24"/>
          <w:szCs w:val="24"/>
          <w:highlight w:val="none"/>
        </w:rPr>
        <w:t>评标委员会</w:t>
      </w:r>
      <w:r>
        <w:rPr>
          <w:rFonts w:hint="eastAsia" w:ascii="宋体" w:hAnsi="宋体" w:eastAsia="宋体" w:cs="宋体"/>
          <w:color w:val="auto"/>
          <w:kern w:val="0"/>
          <w:sz w:val="24"/>
          <w:szCs w:val="24"/>
          <w:highlight w:val="none"/>
        </w:rPr>
        <w:t>对投标文件的判定，只依据投标文件和招标文件内容本身，不依据任何外来证明。</w:t>
      </w:r>
    </w:p>
    <w:p>
      <w:pPr>
        <w:widowControl/>
        <w:snapToGrid w:val="0"/>
        <w:spacing w:line="480" w:lineRule="exac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3.6评标委员会不向落标方解释落标的原因。</w:t>
      </w:r>
    </w:p>
    <w:p>
      <w:pPr>
        <w:snapToGrid w:val="0"/>
        <w:spacing w:line="48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4．投标文件的初审鉴定</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4.1资格性审查</w:t>
      </w:r>
    </w:p>
    <w:p>
      <w:pPr>
        <w:snapToGrid w:val="0"/>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4.1.1依据法律、法规和招标文件规定，采购人或采购人代表对投标人进行资格审查，以确定投标人是否具备投标资格。</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4.2符合性审查</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 xml:space="preserve">5. </w:t>
      </w:r>
      <w:r>
        <w:rPr>
          <w:rFonts w:hint="eastAsia" w:ascii="宋体" w:hAnsi="宋体" w:eastAsia="宋体" w:cs="宋体"/>
          <w:b/>
          <w:color w:val="auto"/>
          <w:sz w:val="24"/>
          <w:szCs w:val="24"/>
          <w:highlight w:val="none"/>
        </w:rPr>
        <w:t>投标文件报价出现前后不一致的，按照下列规定修正：</w:t>
      </w:r>
    </w:p>
    <w:p>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5.1投标文件中开标一览表（报价表）内容与投标文件中相应内容不一致的，以开标一览表（报价表）为准；</w:t>
      </w:r>
    </w:p>
    <w:p>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5.2大写金额和小写金额不一致的，以大写金额为准；</w:t>
      </w:r>
    </w:p>
    <w:p>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5.3单价金额小数点或者百分比有明显错位的，以开标一览表的总价为准，并修改单价；</w:t>
      </w:r>
    </w:p>
    <w:p>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5.4总价金额与按单价汇总金额不一致的，以单价金额计算结果为准。</w:t>
      </w:r>
    </w:p>
    <w:p>
      <w:pPr>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w:t>
      </w:r>
      <w:r>
        <w:rPr>
          <w:rFonts w:hint="eastAsia" w:ascii="宋体" w:hAnsi="宋体" w:eastAsia="宋体" w:cs="宋体"/>
          <w:bCs/>
          <w:color w:val="auto"/>
          <w:sz w:val="24"/>
          <w:szCs w:val="24"/>
          <w:highlight w:val="none"/>
        </w:rPr>
        <w:t>修正后的报价</w:t>
      </w:r>
      <w:r>
        <w:rPr>
          <w:rFonts w:hint="eastAsia" w:ascii="宋体" w:hAnsi="宋体" w:cs="宋体"/>
          <w:bCs/>
          <w:color w:val="auto"/>
          <w:sz w:val="24"/>
          <w:szCs w:val="24"/>
          <w:highlight w:val="none"/>
          <w:lang w:val="en-US" w:eastAsia="zh-CN"/>
        </w:rPr>
        <w:t>参</w:t>
      </w:r>
      <w:r>
        <w:rPr>
          <w:rFonts w:hint="eastAsia" w:ascii="宋体" w:hAnsi="宋体" w:eastAsia="宋体" w:cs="宋体"/>
          <w:bCs/>
          <w:color w:val="auto"/>
          <w:sz w:val="24"/>
          <w:szCs w:val="24"/>
          <w:highlight w:val="none"/>
        </w:rPr>
        <w:t>照财政部公布第87号令 《政府采购货物和服务招标投标管理办法》</w:t>
      </w:r>
      <w:r>
        <w:rPr>
          <w:rFonts w:hint="eastAsia" w:ascii="宋体" w:hAnsi="宋体" w:eastAsia="宋体" w:cs="宋体"/>
          <w:color w:val="auto"/>
          <w:sz w:val="24"/>
          <w:szCs w:val="24"/>
          <w:highlight w:val="none"/>
        </w:rPr>
        <w:t>第五十一条第二款的规定经投标人确认后产生约束力，投标人不确认的，其投标无效。</w:t>
      </w:r>
    </w:p>
    <w:p>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6.投标文件的评审、比较和否决</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6.1评标委员会将对在实质上响应招标文件要求的投标文件进行评估和比较。</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6.3在评标过程中，如发现与招标文件要求相偏离的，评标委员会可对其偏离情形进行必要的核实。</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6.5比较与评价。评标委员会应当按照评标标准，对符合性审查合格的投标文件进行商务和技术评估，综合比较与评价。</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6.6汇总（商务技术得分情况）。评标委员会各成员应当独立对每个投标人的商务技术（资信）文件进行评价，并汇总商务技术得分情况。</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 报价审核。对符合采购需求且通过商务技术（资信）评审的投标人的报价的合理性、准确性等进行审查核实。</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6.7.3如需投标价格修正，</w:t>
      </w:r>
      <w:r>
        <w:rPr>
          <w:rFonts w:hint="eastAsia" w:ascii="宋体" w:hAnsi="宋体" w:cs="宋体"/>
          <w:color w:val="auto"/>
          <w:sz w:val="24"/>
          <w:szCs w:val="24"/>
          <w:highlight w:val="none"/>
          <w:lang w:val="en-US" w:eastAsia="zh-CN"/>
        </w:rPr>
        <w:t>参照</w:t>
      </w:r>
      <w:r>
        <w:rPr>
          <w:rFonts w:hint="eastAsia" w:ascii="宋体" w:hAnsi="宋体" w:eastAsia="宋体" w:cs="宋体"/>
          <w:color w:val="auto"/>
          <w:sz w:val="24"/>
          <w:szCs w:val="24"/>
          <w:highlight w:val="none"/>
        </w:rPr>
        <w:t>财政部87号令第五十九条的规定对投标价格进行修正。</w:t>
      </w:r>
    </w:p>
    <w:p>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6.8评标委员会依据招标文件规定的评标标准和方法，对投标文件进行评审和比较后，向</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提供书面评标报告，并按得分高低排序推荐中标候选供应商。</w:t>
      </w:r>
    </w:p>
    <w:p>
      <w:pPr>
        <w:pStyle w:val="7"/>
        <w:widowControl w:val="0"/>
        <w:spacing w:afterLines="0" w:line="440" w:lineRule="exact"/>
        <w:ind w:left="0" w:firstLine="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7.投标文件的澄清</w:t>
      </w:r>
    </w:p>
    <w:p>
      <w:pPr>
        <w:pStyle w:val="7"/>
        <w:widowControl w:val="0"/>
        <w:spacing w:afterLines="0"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投标文件有下列情形之一的作无效投标处理：</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8.1未按照招标文件规定要求电子签章、签字或盖章的；</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8.2单位负责人为同一人或者存在直接控股、管理关系的不同供应商参加同一合同项下的采购活动的（均无效）；</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8.9报</w:t>
      </w:r>
      <w:r>
        <w:rPr>
          <w:rFonts w:hint="eastAsia" w:ascii="宋体" w:hAnsi="宋体" w:eastAsia="宋体" w:cs="宋体"/>
          <w:b/>
          <w:color w:val="auto"/>
          <w:sz w:val="24"/>
          <w:szCs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8.10</w:t>
      </w:r>
      <w:r>
        <w:rPr>
          <w:rFonts w:hint="eastAsia" w:ascii="宋体" w:hAnsi="宋体" w:eastAsia="宋体" w:cs="宋体"/>
          <w:b/>
          <w:color w:val="auto"/>
          <w:sz w:val="24"/>
          <w:szCs w:val="24"/>
          <w:highlight w:val="none"/>
        </w:rPr>
        <w:t>未按招标文件规定的格式填写，或对招标服务或技术或产品等要求未详细应答或应答内容不全、有缺失的,经评标委员会认定为无法评审的；</w:t>
      </w:r>
    </w:p>
    <w:p>
      <w:pPr>
        <w:pStyle w:val="15"/>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8.11出现同一标的物或本次招标产品(服务)内的主要产品(重要组成部分)出现商务技术（资信）文件资料、报价文件资料描述不一致或前后描述不一致，经评标委员会认定后为无法评审的；</w:t>
      </w:r>
    </w:p>
    <w:p>
      <w:pPr>
        <w:pStyle w:val="15"/>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8.12《技术偏离说明表》不真实填写或弄虚作假的；</w:t>
      </w:r>
    </w:p>
    <w:p>
      <w:pPr>
        <w:tabs>
          <w:tab w:val="left" w:pos="3870"/>
          <w:tab w:val="left" w:pos="4085"/>
        </w:tabs>
        <w:snapToGrid w:val="0"/>
        <w:spacing w:line="440" w:lineRule="exact"/>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8.13投</w:t>
      </w:r>
      <w:r>
        <w:rPr>
          <w:rFonts w:hint="eastAsia" w:ascii="宋体" w:hAnsi="宋体" w:eastAsia="宋体" w:cs="宋体"/>
          <w:b/>
          <w:color w:val="auto"/>
          <w:kern w:val="0"/>
          <w:sz w:val="24"/>
          <w:szCs w:val="24"/>
          <w:highlight w:val="none"/>
        </w:rPr>
        <w:t>标文件含有采购人不能接受的附加条件；</w:t>
      </w:r>
    </w:p>
    <w:p>
      <w:pPr>
        <w:tabs>
          <w:tab w:val="left" w:pos="3870"/>
          <w:tab w:val="left" w:pos="4085"/>
        </w:tabs>
        <w:snapToGrid w:val="0"/>
        <w:spacing w:line="440" w:lineRule="exact"/>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8.14评</w:t>
      </w:r>
      <w:r>
        <w:rPr>
          <w:rFonts w:hint="eastAsia" w:ascii="宋体" w:hAnsi="宋体" w:eastAsia="宋体" w:cs="宋体"/>
          <w:b/>
          <w:color w:val="auto"/>
          <w:sz w:val="24"/>
          <w:szCs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8.15报价超过招标文件中规定的预算金额或最高限价的；</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8.19投标人对根据修正原则修正后的报价不确认的；</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8.20.1使用伪造、变造的许可证件；</w:t>
      </w:r>
    </w:p>
    <w:p>
      <w:pPr>
        <w:tabs>
          <w:tab w:val="left" w:pos="3870"/>
          <w:tab w:val="left" w:pos="4085"/>
        </w:tabs>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8.20.2提供虚假的财务状况或者业绩；</w:t>
      </w:r>
    </w:p>
    <w:p>
      <w:pPr>
        <w:tabs>
          <w:tab w:val="left" w:pos="3870"/>
          <w:tab w:val="left" w:pos="4085"/>
        </w:tabs>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8.20.4提供虚假的信用状况；</w:t>
      </w:r>
    </w:p>
    <w:p>
      <w:pPr>
        <w:tabs>
          <w:tab w:val="left" w:pos="3870"/>
          <w:tab w:val="left" w:pos="4085"/>
        </w:tabs>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8.20.5其他弄虚作假的行为。</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8.22有下列情形之一的，属于恶意串通，其投标无效：</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8.22.1供应商直接或者间接从采购人或者采购机构处获得其他供应商的相关情况并修改其投标文件或者响应文件；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8.22.2供应商按照采购人或者采购机构的授意撤换、修改投标文件或者响应文件；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8.22.3供应商之间协商报价、技术方案等投标文件或者响应文件的实质性内容；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8.22.4属于同一集团、协会、商会等组织成员的供应商按照该组织要求协同参加采购活动；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8.22.5供应商之间事先约定由某一特定供应商中标、成交；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8.22.6供应商之间商定部分供应商放弃参加采购活动或者放弃中标、成交；</w:t>
      </w:r>
    </w:p>
    <w:p>
      <w:pPr>
        <w:tabs>
          <w:tab w:val="left" w:pos="3870"/>
          <w:tab w:val="left" w:pos="4085"/>
        </w:tabs>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8.23评标委员会认定有重大偏差或实质性不响应招标文件要求的；</w:t>
      </w:r>
    </w:p>
    <w:p>
      <w:pPr>
        <w:tabs>
          <w:tab w:val="left" w:pos="3870"/>
          <w:tab w:val="left" w:pos="4085"/>
        </w:tabs>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8.24报价文件中出现2个(含)以上的报价或方案的；</w:t>
      </w:r>
    </w:p>
    <w:p>
      <w:pPr>
        <w:spacing w:line="4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8.25其他违反法律、法规的情形。</w:t>
      </w:r>
    </w:p>
    <w:p>
      <w:pPr>
        <w:snapToGrid w:val="0"/>
        <w:spacing w:line="440" w:lineRule="exac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9. 评标过程保密</w:t>
      </w:r>
    </w:p>
    <w:p>
      <w:pPr>
        <w:snapToGrid w:val="0"/>
        <w:spacing w:line="44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w:t>
      </w:r>
      <w:r>
        <w:rPr>
          <w:rFonts w:hint="eastAsia" w:ascii="宋体" w:hAnsi="宋体" w:eastAsia="宋体" w:cs="宋体"/>
          <w:color w:val="auto"/>
          <w:sz w:val="24"/>
          <w:szCs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9.2 在评标期间，投标人企图影响招标人或</w:t>
      </w:r>
      <w:r>
        <w:rPr>
          <w:rFonts w:hint="eastAsia" w:ascii="宋体" w:hAnsi="宋体" w:eastAsia="宋体" w:cs="宋体"/>
          <w:color w:val="auto"/>
          <w:sz w:val="24"/>
          <w:szCs w:val="24"/>
          <w:highlight w:val="none"/>
        </w:rPr>
        <w:t>评标委员会</w:t>
      </w:r>
      <w:r>
        <w:rPr>
          <w:rFonts w:hint="eastAsia" w:ascii="宋体" w:hAnsi="宋体" w:eastAsia="宋体" w:cs="宋体"/>
          <w:color w:val="auto"/>
          <w:kern w:val="0"/>
          <w:sz w:val="24"/>
          <w:szCs w:val="24"/>
          <w:highlight w:val="none"/>
        </w:rPr>
        <w:t>的任何活动，都将导致投标被拒绝，并由其承担相应的法律责任。</w:t>
      </w:r>
    </w:p>
    <w:p>
      <w:pPr>
        <w:pStyle w:val="15"/>
        <w:spacing w:line="800" w:lineRule="exact"/>
        <w:ind w:firstLine="726"/>
        <w:jc w:val="center"/>
        <w:rPr>
          <w:rFonts w:hint="eastAsia" w:ascii="宋体" w:hAnsi="宋体" w:eastAsia="宋体" w:cs="宋体"/>
          <w:b/>
          <w:color w:val="auto"/>
          <w:sz w:val="36"/>
          <w:szCs w:val="36"/>
          <w:highlight w:val="none"/>
        </w:rPr>
      </w:pPr>
      <w:bookmarkStart w:id="27" w:name="_Toc81372776"/>
      <w:bookmarkStart w:id="28" w:name="_Toc84325929"/>
      <w:bookmarkStart w:id="29" w:name="_Toc81372953"/>
      <w:r>
        <w:rPr>
          <w:rFonts w:hint="eastAsia" w:ascii="宋体" w:hAnsi="宋体" w:eastAsia="宋体" w:cs="宋体"/>
          <w:b/>
          <w:color w:val="auto"/>
          <w:sz w:val="36"/>
          <w:szCs w:val="36"/>
          <w:highlight w:val="none"/>
        </w:rPr>
        <w:t>五、授予合同</w:t>
      </w:r>
    </w:p>
    <w:p>
      <w:pPr>
        <w:pStyle w:val="7"/>
        <w:numPr>
          <w:ilvl w:val="0"/>
          <w:numId w:val="0"/>
        </w:numPr>
        <w:spacing w:afterLines="0" w:line="440" w:lineRule="exact"/>
        <w:ind w:left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1.中标条件</w:t>
      </w:r>
    </w:p>
    <w:p>
      <w:pPr>
        <w:pStyle w:val="7"/>
        <w:numPr>
          <w:ilvl w:val="0"/>
          <w:numId w:val="0"/>
        </w:numPr>
        <w:spacing w:afterLines="0" w:line="440" w:lineRule="exact"/>
        <w:ind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1.1投标文件基本符合招标文件要求；</w:t>
      </w:r>
    </w:p>
    <w:p>
      <w:pPr>
        <w:pStyle w:val="7"/>
        <w:numPr>
          <w:ilvl w:val="0"/>
          <w:numId w:val="0"/>
        </w:numPr>
        <w:spacing w:afterLines="0" w:line="440" w:lineRule="exact"/>
        <w:ind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1.2投标人有很好的执行合同的能力；</w:t>
      </w:r>
    </w:p>
    <w:p>
      <w:pPr>
        <w:pStyle w:val="7"/>
        <w:numPr>
          <w:ilvl w:val="0"/>
          <w:numId w:val="0"/>
        </w:numPr>
        <w:spacing w:afterLines="0" w:line="440" w:lineRule="exact"/>
        <w:ind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1.3实施方案最合理并对招标人最为有利，最大限度满足招标文件的要求；</w:t>
      </w:r>
    </w:p>
    <w:p>
      <w:pPr>
        <w:pStyle w:val="7"/>
        <w:numPr>
          <w:ilvl w:val="0"/>
          <w:numId w:val="0"/>
        </w:numPr>
        <w:spacing w:afterLines="0" w:line="440" w:lineRule="exact"/>
        <w:ind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1.4投标人能够提供质量技术、商务经济占综合优势的系统及服务。</w:t>
      </w:r>
    </w:p>
    <w:p>
      <w:pPr>
        <w:pStyle w:val="7"/>
        <w:numPr>
          <w:ilvl w:val="0"/>
          <w:numId w:val="0"/>
        </w:numPr>
        <w:spacing w:afterLines="0" w:line="440" w:lineRule="exact"/>
        <w:ind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1.5招标人将把中标通知书授予最佳投标者，但最低价不是中标的绝对保证。</w:t>
      </w:r>
    </w:p>
    <w:bookmarkEnd w:id="27"/>
    <w:bookmarkEnd w:id="28"/>
    <w:bookmarkEnd w:id="29"/>
    <w:p>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2.中标确认</w:t>
      </w:r>
    </w:p>
    <w:p>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2.1采购人应当自收到评标报告之日起５个工作日内，在评标报告确定的中标候选人名单中按顺序确定中标人。</w:t>
      </w:r>
    </w:p>
    <w:p>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2.3采购人应在确认中标人前再次对资格条件和相关证件材料进一步查验核实。</w:t>
      </w:r>
    </w:p>
    <w:p>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3．中标通知</w:t>
      </w:r>
    </w:p>
    <w:p>
      <w:pPr>
        <w:pStyle w:val="107"/>
        <w:tabs>
          <w:tab w:val="left" w:pos="0"/>
        </w:tabs>
        <w:spacing w:before="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r>
        <w:rPr>
          <w:rFonts w:hint="eastAsia" w:ascii="宋体" w:hAnsi="宋体" w:eastAsia="宋体" w:cs="宋体"/>
          <w:color w:val="auto"/>
          <w:kern w:val="0"/>
          <w:sz w:val="24"/>
          <w:szCs w:val="24"/>
          <w:highlight w:val="none"/>
        </w:rPr>
        <w:t>采购代理机构</w:t>
      </w:r>
      <w:r>
        <w:rPr>
          <w:rFonts w:hint="eastAsia" w:ascii="宋体" w:hAnsi="宋体" w:eastAsia="宋体" w:cs="宋体"/>
          <w:color w:val="auto"/>
          <w:sz w:val="24"/>
          <w:szCs w:val="24"/>
          <w:highlight w:val="none"/>
        </w:rPr>
        <w:t>对中标结果在指定媒体</w:t>
      </w:r>
      <w:r>
        <w:rPr>
          <w:rFonts w:hint="eastAsia" w:ascii="宋体" w:hAnsi="宋体" w:eastAsia="宋体" w:cs="宋体"/>
          <w:color w:val="auto"/>
          <w:kern w:val="0"/>
          <w:sz w:val="24"/>
          <w:szCs w:val="24"/>
          <w:highlight w:val="none"/>
          <w:lang w:val="en-US" w:eastAsia="zh-CN" w:bidi="ar-SA"/>
        </w:rPr>
        <w:t>（乐采云平台</w:t>
      </w: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"http://www.zcygov.cn/获取采购文件，并于2023年" </w:instrText>
      </w:r>
      <w:r>
        <w:rPr>
          <w:rFonts w:hint="eastAsia" w:ascii="宋体" w:hAnsi="宋体" w:eastAsia="宋体" w:cs="宋体"/>
          <w:color w:val="auto"/>
          <w:kern w:val="0"/>
          <w:sz w:val="24"/>
          <w:szCs w:val="24"/>
          <w:highlight w:val="none"/>
          <w:lang w:val="en-US" w:eastAsia="zh-CN" w:bidi="ar-SA"/>
        </w:rPr>
        <w:fldChar w:fldCharType="separate"/>
      </w:r>
      <w:r>
        <w:rPr>
          <w:rFonts w:hint="eastAsia" w:ascii="宋体" w:hAnsi="宋体" w:eastAsia="宋体" w:cs="宋体"/>
          <w:color w:val="auto"/>
          <w:kern w:val="0"/>
          <w:sz w:val="24"/>
          <w:szCs w:val="24"/>
          <w:highlight w:val="none"/>
          <w:lang w:val="en-US" w:eastAsia="zh-CN" w:bidi="ar-SA"/>
        </w:rPr>
        <w:t>http://www.zcygov.cn/</w:t>
      </w:r>
      <w:r>
        <w:rPr>
          <w:rFonts w:hint="eastAsia" w:ascii="宋体" w:hAnsi="宋体" w:eastAsia="宋体" w:cs="宋体"/>
          <w:color w:val="auto"/>
          <w:kern w:val="0"/>
          <w:sz w:val="24"/>
          <w:szCs w:val="24"/>
          <w:highlight w:val="none"/>
          <w:lang w:val="en-US" w:eastAsia="zh-CN" w:bidi="ar-SA"/>
        </w:rPr>
        <w:fldChar w:fldCharType="end"/>
      </w: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rPr>
        <w:t>发布中标公告，中标公告期限为1个工作日。</w:t>
      </w:r>
    </w:p>
    <w:p>
      <w:pPr>
        <w:tabs>
          <w:tab w:val="left" w:pos="0"/>
        </w:tabs>
        <w:spacing w:line="440" w:lineRule="exact"/>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3.2在采购代理机构发出中标通知书前，中标供应商如有违反有关法律法规和本项目要求行为的，则取消该投标人的中标资格</w:t>
      </w:r>
      <w:r>
        <w:rPr>
          <w:rFonts w:hint="eastAsia" w:ascii="宋体" w:hAnsi="宋体" w:eastAsia="宋体" w:cs="宋体"/>
          <w:color w:val="auto"/>
          <w:kern w:val="0"/>
          <w:sz w:val="24"/>
          <w:szCs w:val="24"/>
          <w:highlight w:val="none"/>
          <w:lang w:val="zh-CN"/>
        </w:rPr>
        <w:t>。</w:t>
      </w:r>
    </w:p>
    <w:p>
      <w:pPr>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3.3采购代理机构对中标结果不作任何说明和解释，也不回答任何提问。</w:t>
      </w:r>
    </w:p>
    <w:p>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4．履约保证金</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履约保证金递交形式：银行支票、电汇</w:t>
      </w:r>
      <w:r>
        <w:rPr>
          <w:rFonts w:hint="eastAsia" w:ascii="宋体" w:hAnsi="宋体" w:cs="宋体"/>
          <w:b w:val="0"/>
          <w:bCs w:val="0"/>
          <w:color w:val="auto"/>
          <w:sz w:val="24"/>
          <w:szCs w:val="24"/>
          <w:highlight w:val="none"/>
          <w:lang w:val="en-US" w:eastAsia="zh-CN"/>
        </w:rPr>
        <w:t>、保函</w:t>
      </w:r>
      <w:r>
        <w:rPr>
          <w:rFonts w:hint="eastAsia" w:ascii="宋体" w:hAnsi="宋体" w:eastAsia="宋体" w:cs="宋体"/>
          <w:b w:val="0"/>
          <w:bCs w:val="0"/>
          <w:color w:val="auto"/>
          <w:sz w:val="24"/>
          <w:szCs w:val="24"/>
          <w:highlight w:val="none"/>
          <w:lang w:val="en-US" w:eastAsia="zh-CN"/>
        </w:rPr>
        <w:t>等。</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履约保证金的金额：</w:t>
      </w:r>
      <w:r>
        <w:rPr>
          <w:rFonts w:hint="eastAsia" w:ascii="宋体" w:hAnsi="宋体" w:eastAsia="宋体" w:cs="宋体"/>
          <w:b w:val="0"/>
          <w:bCs/>
          <w:color w:val="auto"/>
          <w:sz w:val="24"/>
          <w:szCs w:val="24"/>
          <w:highlight w:val="none"/>
          <w:lang w:val="en-US" w:eastAsia="zh-CN"/>
        </w:rPr>
        <w:t>中标金额的1%计取。</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履约保证金的递交时间：中标通知书发出之日起</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个工作日内。</w:t>
      </w:r>
    </w:p>
    <w:p>
      <w:pPr>
        <w:spacing w:line="440" w:lineRule="exact"/>
        <w:ind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履约保证金的期限：</w:t>
      </w:r>
      <w:r>
        <w:rPr>
          <w:rFonts w:hint="eastAsia" w:ascii="宋体" w:hAnsi="宋体" w:eastAsia="宋体" w:cs="宋体"/>
          <w:color w:val="auto"/>
          <w:sz w:val="24"/>
          <w:szCs w:val="24"/>
          <w:highlight w:val="none"/>
          <w:lang w:val="en-US" w:eastAsia="zh-CN"/>
        </w:rPr>
        <w:t>服务</w:t>
      </w:r>
      <w:r>
        <w:rPr>
          <w:rFonts w:hint="eastAsia" w:ascii="宋体" w:hAnsi="宋体" w:eastAsia="宋体" w:cs="宋体"/>
          <w:snapToGrid w:val="0"/>
          <w:color w:val="auto"/>
          <w:kern w:val="0"/>
          <w:sz w:val="24"/>
          <w:szCs w:val="24"/>
          <w:highlight w:val="none"/>
        </w:rPr>
        <w:t>期满</w:t>
      </w:r>
      <w:r>
        <w:rPr>
          <w:rFonts w:hint="eastAsia" w:ascii="宋体" w:hAnsi="宋体" w:eastAsia="宋体" w:cs="宋体"/>
          <w:snapToGrid w:val="0"/>
          <w:color w:val="auto"/>
          <w:kern w:val="0"/>
          <w:sz w:val="24"/>
          <w:szCs w:val="24"/>
          <w:highlight w:val="none"/>
          <w:lang w:val="en-US" w:eastAsia="zh-CN"/>
        </w:rPr>
        <w:t>无违约问题后30</w:t>
      </w:r>
      <w:r>
        <w:rPr>
          <w:rFonts w:hint="eastAsia" w:ascii="宋体" w:hAnsi="宋体" w:eastAsia="宋体" w:cs="宋体"/>
          <w:snapToGrid w:val="0"/>
          <w:color w:val="auto"/>
          <w:kern w:val="0"/>
          <w:sz w:val="24"/>
          <w:szCs w:val="24"/>
          <w:highlight w:val="none"/>
        </w:rPr>
        <w:t>日内无息退回。</w:t>
      </w:r>
    </w:p>
    <w:p>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．合同签订及备案</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5.1中标人应当在中标通知书发出之日起30天内与采购人签订合同，自采购合同签订之日起3个工作日内，通过电子交易平台进行备案。</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5.2如中标人为联合体的，由联合体成员各方法定代表人或其授权代表与采购人代表签订合同。</w:t>
      </w:r>
    </w:p>
    <w:p>
      <w:pPr>
        <w:snapToGrid w:val="0"/>
        <w:spacing w:line="800" w:lineRule="exact"/>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六、质疑与投诉</w:t>
      </w:r>
    </w:p>
    <w:p>
      <w:pPr>
        <w:spacing w:line="460" w:lineRule="exact"/>
        <w:ind w:firstLine="420"/>
        <w:rPr>
          <w:rFonts w:ascii="宋体" w:hAnsi="宋体" w:cs="宋体"/>
          <w:color w:val="auto"/>
          <w:szCs w:val="24"/>
          <w:highlight w:val="none"/>
        </w:rPr>
      </w:pPr>
      <w:r>
        <w:rPr>
          <w:rFonts w:hint="eastAsia" w:ascii="宋体" w:hAnsi="宋体" w:cs="宋体"/>
          <w:color w:val="auto"/>
          <w:szCs w:val="24"/>
          <w:highlight w:val="none"/>
        </w:rPr>
        <w:t>供应商（投标人，下同）可以依法提起质疑和投诉</w:t>
      </w:r>
      <w:r>
        <w:rPr>
          <w:rFonts w:hint="eastAsia" w:ascii="宋体" w:hAnsi="宋体" w:cs="宋体"/>
          <w:color w:val="auto"/>
          <w:szCs w:val="24"/>
          <w:highlight w:val="none"/>
          <w:lang w:eastAsia="zh-CN"/>
        </w:rPr>
        <w:t>，</w:t>
      </w:r>
      <w:r>
        <w:rPr>
          <w:rFonts w:hint="eastAsia" w:ascii="宋体" w:hAnsi="宋体" w:cs="宋体"/>
          <w:color w:val="auto"/>
          <w:szCs w:val="24"/>
          <w:highlight w:val="none"/>
        </w:rPr>
        <w:t>质疑函范本、投诉书范本请到浙江政府采购网下载专区下载。</w:t>
      </w:r>
    </w:p>
    <w:p>
      <w:pPr>
        <w:autoSpaceDE w:val="0"/>
        <w:autoSpaceDN w:val="0"/>
        <w:spacing w:line="360" w:lineRule="auto"/>
        <w:ind w:firstLine="472" w:firstLineChars="196"/>
        <w:jc w:val="left"/>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1.供应商询问</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供应商对采购活动事项有疑问的，可以向采购机构提出询问，采购机构将对供应商依法提出的询问作出答复，但答复的内容不得涉及商业秘密。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2.供应商质疑</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（2）对采购过程提出质疑的，质疑期限为各采购程序环节结束之日起计算。</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（3）对采购结果提出质疑的，质疑期限自采购结果公告（包括公示、预公告、结果变更公告等）期限届满之日起计算。</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（4）供应商应在法定质疑期内一次性提出针对同一采购程序环节的质疑。</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3.供应商提交提出质疑应当提交质疑书和必要的证明材料，质疑书需一式三份，质疑书至少应包括下列主要内容：</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（1）质疑人的名称、地址、邮政编码、联系人、联系电话，以及被质疑人名称及联系方式；</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（2）被质疑采购项目名称、编号及采购内容；</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（3）具体、明确的质疑事项和与质疑事项相关的请求</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（4）事实依据；</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（5）必要的法律依据；</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（6）认为自己合法权益受到损害或可能受到损害的相关证据材料；</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（7）提出质疑的日期。</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质疑书应当署名。质疑人为自然人的，应当由本人签字并附有效身份证明；质疑人为法人或其他组织的，应当由法定代表人或主要负责人签字（或盖章）并加盖单位公章。</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 质疑人因故不能自行办理质疑事项的，可以委托代理人办理质疑事宜，但应当向被质疑人提交授权委托书，并载明委托代理的具体权限和事项。</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（10）质疑人提供的相关材料中有外文资料的，应当将与质疑相关的外文资料完整、客观、真实地翻译为中文，并注明翻译人员姓名、工作单位、联系方式等信息。</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原则上由采购人回复的质疑：</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（1）对采购文件中特定资格条件、采购需求、评分办法提出的质疑；</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（2）对采购过程中有关现场考察或开标前答疑会事项提出的质疑。</w:t>
      </w:r>
    </w:p>
    <w:p>
      <w:pPr>
        <w:pStyle w:val="15"/>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原则上由采购代理机构回复的质疑：</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（1）除特定资格条件、采购需求、评分办法外，对采购文件中其他内容提出的质疑；</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（2）除有关现场考察或开标前答疑会事项外，对采购过程中其它事项提出的质疑；</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（3）对采购结果提出的质疑。</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5.采购机构应当在收到供应商的书面质疑后七个工作日内作出答复，并以书面形式通知质疑供应商和其他与质疑处理结果有利害关系的采购当事人，但答复的内容不得涉及商业秘密。</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6.询问或者质疑事项可能影响采购结果的，采购人应当暂停签订合同，已经签订合同的，应当中止履行合同。</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7.质疑函范本、投诉书范本请到浙江政府采购网下载专区下载。</w:t>
      </w:r>
    </w:p>
    <w:p>
      <w:pPr>
        <w:snapToGrid w:val="0"/>
        <w:spacing w:line="440" w:lineRule="exact"/>
        <w:jc w:val="center"/>
        <w:rPr>
          <w:rFonts w:hAnsi="宋体" w:cs="宋体"/>
          <w:b/>
          <w:bCs/>
          <w:color w:val="auto"/>
          <w:sz w:val="36"/>
          <w:szCs w:val="36"/>
          <w:highlight w:val="none"/>
        </w:rPr>
      </w:pPr>
    </w:p>
    <w:p>
      <w:pPr>
        <w:pageBreakBefore/>
        <w:snapToGrid w:val="0"/>
        <w:spacing w:line="800" w:lineRule="exact"/>
        <w:jc w:val="center"/>
        <w:rPr>
          <w:rFonts w:hint="eastAsia" w:ascii="宋体" w:hAnsi="宋体" w:cs="宋体"/>
          <w:b/>
          <w:bCs/>
          <w:color w:val="auto"/>
          <w:sz w:val="21"/>
          <w:szCs w:val="21"/>
          <w:highlight w:val="none"/>
        </w:rPr>
      </w:pPr>
      <w:r>
        <w:rPr>
          <w:rFonts w:hint="eastAsia" w:ascii="宋体" w:hAnsi="宋体" w:cs="宋体"/>
          <w:b/>
          <w:bCs/>
          <w:color w:val="auto"/>
          <w:kern w:val="0"/>
          <w:sz w:val="36"/>
          <w:highlight w:val="none"/>
        </w:rPr>
        <w:t>第三部分</w:t>
      </w:r>
      <w:r>
        <w:rPr>
          <w:rFonts w:hint="eastAsia" w:ascii="宋体" w:hAnsi="宋体" w:cs="宋体"/>
          <w:b/>
          <w:bCs/>
          <w:color w:val="auto"/>
          <w:kern w:val="0"/>
          <w:sz w:val="36"/>
          <w:highlight w:val="none"/>
          <w:lang w:val="en-US" w:eastAsia="zh-CN"/>
        </w:rPr>
        <w:t xml:space="preserve"> </w:t>
      </w:r>
      <w:r>
        <w:rPr>
          <w:rFonts w:hint="eastAsia" w:ascii="宋体" w:hAnsi="宋体" w:eastAsia="宋体" w:cs="宋体"/>
          <w:b/>
          <w:bCs/>
          <w:color w:val="auto"/>
          <w:kern w:val="0"/>
          <w:sz w:val="36"/>
          <w:highlight w:val="none"/>
        </w:rPr>
        <w:t>招标项目范围及要求</w:t>
      </w:r>
      <w:bookmarkEnd w:id="25"/>
      <w:bookmarkStart w:id="30" w:name="_Toc513456151"/>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一、项目概况</w:t>
      </w:r>
    </w:p>
    <w:p>
      <w:pPr>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为促进公交车安全防御与保险服务相结合，实现运输企业与保险公司合作共赢，故决定将本公司所属公交车辆交通事故责任强制险、车辆损失险、第三者商业责任险、承运人旅客责任险及不计免赔率特约险等保险服务进行采购。</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二、服务内容</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本项目为2024年嵊州市公共交通有限公司公交车保险采购项目。具体车辆险种：交通事故责任强制险、机动车商业险（车损险、第三者责任险300万、所有险种的不计免赔险）、承运人责任险每座150万（含站位）。(具体车辆信息、险种及日期以采购方提供的清单为准)。</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2.供应商报名参加投标后，必须就招标文件中的全部服务内容进行投标。</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3.车辆投保具体清单：</w:t>
      </w:r>
    </w:p>
    <w:tbl>
      <w:tblPr>
        <w:tblStyle w:val="30"/>
        <w:tblW w:w="9631" w:type="dxa"/>
        <w:tblInd w:w="-3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174"/>
        <w:gridCol w:w="1234"/>
        <w:gridCol w:w="1642"/>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52"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序号</w:t>
            </w:r>
          </w:p>
        </w:tc>
        <w:tc>
          <w:tcPr>
            <w:tcW w:w="3174" w:type="dxa"/>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保险项目</w:t>
            </w:r>
          </w:p>
        </w:tc>
        <w:tc>
          <w:tcPr>
            <w:tcW w:w="1234"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服务期限</w:t>
            </w:r>
          </w:p>
        </w:tc>
        <w:tc>
          <w:tcPr>
            <w:tcW w:w="164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预算价（元）</w:t>
            </w:r>
          </w:p>
        </w:tc>
        <w:tc>
          <w:tcPr>
            <w:tcW w:w="2829" w:type="dxa"/>
            <w:noWrap w:val="0"/>
            <w:vAlign w:val="center"/>
          </w:tcPr>
          <w:p>
            <w:pPr>
              <w:keepNext w:val="0"/>
              <w:keepLines w:val="0"/>
              <w:suppressLineNumbers w:val="0"/>
              <w:spacing w:before="0" w:beforeAutospacing="0" w:after="0" w:afterAutospacing="0" w:line="240" w:lineRule="auto"/>
              <w:ind w:left="0" w:right="0" w:firstLine="240" w:firstLineChars="1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52" w:type="dxa"/>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c>
          <w:tcPr>
            <w:tcW w:w="3174" w:type="dxa"/>
            <w:noWrap w:val="0"/>
            <w:vAlign w:val="center"/>
          </w:tcPr>
          <w:p>
            <w:pPr>
              <w:keepNext w:val="0"/>
              <w:keepLines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交通事故责任强制险</w:t>
            </w:r>
          </w:p>
        </w:tc>
        <w:tc>
          <w:tcPr>
            <w:tcW w:w="1234" w:type="dxa"/>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2年</w:t>
            </w:r>
          </w:p>
        </w:tc>
        <w:tc>
          <w:tcPr>
            <w:tcW w:w="1642" w:type="dxa"/>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600000</w:t>
            </w:r>
            <w:r>
              <w:rPr>
                <w:rFonts w:hint="eastAsia" w:ascii="宋体" w:hAnsi="宋体" w:cs="宋体"/>
                <w:color w:val="auto"/>
                <w:kern w:val="2"/>
                <w:sz w:val="24"/>
                <w:szCs w:val="24"/>
                <w:highlight w:val="none"/>
                <w:lang w:val="en-US" w:eastAsia="zh-CN" w:bidi="ar-SA"/>
              </w:rPr>
              <w:t>/2年</w:t>
            </w:r>
          </w:p>
        </w:tc>
        <w:tc>
          <w:tcPr>
            <w:tcW w:w="2829" w:type="dxa"/>
            <w:vMerge w:val="restart"/>
            <w:noWrap w:val="0"/>
            <w:vAlign w:val="center"/>
          </w:tcPr>
          <w:p>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1、8.5米城市公交车，品牌：比亚迪；数量20辆；</w:t>
            </w:r>
          </w:p>
          <w:p>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2、核定载客数：5</w:t>
            </w:r>
            <w:r>
              <w:rPr>
                <w:rFonts w:hint="eastAsia" w:ascii="宋体" w:hAnsi="宋体" w:cs="宋体"/>
                <w:color w:val="auto"/>
                <w:kern w:val="2"/>
                <w:sz w:val="24"/>
                <w:szCs w:val="24"/>
                <w:highlight w:val="none"/>
                <w:lang w:val="en-US" w:eastAsia="zh-CN" w:bidi="ar-SA"/>
              </w:rPr>
              <w:t>6</w:t>
            </w:r>
            <w:r>
              <w:rPr>
                <w:rFonts w:hint="eastAsia" w:ascii="宋体" w:hAnsi="宋体" w:eastAsia="宋体" w:cs="宋体"/>
                <w:color w:val="auto"/>
                <w:kern w:val="2"/>
                <w:sz w:val="24"/>
                <w:szCs w:val="24"/>
                <w:highlight w:val="none"/>
                <w:lang w:val="en-US" w:eastAsia="zh-CN" w:bidi="ar-SA"/>
              </w:rPr>
              <w:t>人。</w:t>
            </w:r>
          </w:p>
          <w:p>
            <w:pPr>
              <w:pStyle w:val="37"/>
              <w:keepNext w:val="0"/>
              <w:keepLines w:val="0"/>
              <w:widowControl/>
              <w:suppressLineNumbers w:val="0"/>
              <w:spacing w:before="0" w:beforeAutospacing="0" w:after="0" w:afterAutospacing="0"/>
              <w:ind w:left="0" w:right="0"/>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52" w:type="dxa"/>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3174" w:type="dxa"/>
            <w:noWrap w:val="0"/>
            <w:vAlign w:val="center"/>
          </w:tcPr>
          <w:p>
            <w:pPr>
              <w:keepNext w:val="0"/>
              <w:keepLines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机动车商业险</w:t>
            </w:r>
          </w:p>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（第三者责任险300万）</w:t>
            </w:r>
          </w:p>
        </w:tc>
        <w:tc>
          <w:tcPr>
            <w:tcW w:w="1234" w:type="dxa"/>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2年</w:t>
            </w:r>
          </w:p>
        </w:tc>
        <w:tc>
          <w:tcPr>
            <w:tcW w:w="1642" w:type="dxa"/>
            <w:vMerge w:val="continue"/>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c>
          <w:tcPr>
            <w:tcW w:w="2829" w:type="dxa"/>
            <w:vMerge w:val="continue"/>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52" w:type="dxa"/>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p>
        </w:tc>
        <w:tc>
          <w:tcPr>
            <w:tcW w:w="3174" w:type="dxa"/>
            <w:noWrap w:val="0"/>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承运人责任险（每座150万）</w:t>
            </w:r>
          </w:p>
        </w:tc>
        <w:tc>
          <w:tcPr>
            <w:tcW w:w="1234" w:type="dxa"/>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2年</w:t>
            </w:r>
          </w:p>
        </w:tc>
        <w:tc>
          <w:tcPr>
            <w:tcW w:w="1642" w:type="dxa"/>
            <w:vMerge w:val="continue"/>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c>
          <w:tcPr>
            <w:tcW w:w="2829" w:type="dxa"/>
            <w:vMerge w:val="continue"/>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r>
    </w:tbl>
    <w:p>
      <w:pPr>
        <w:spacing w:line="360" w:lineRule="auto"/>
        <w:ind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三、服务期限</w:t>
      </w:r>
    </w:p>
    <w:p>
      <w:pPr>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期限为2年（具体以采购人通知为准）。供应商的中标保险费适用于服务期招标年度嵊州市公共交通有限公司的车辆及承运人责任保险服务；投标人中标后，须按中标保险费与嵊州市公共交通有限公司签订保险服务合同，并签发保单。</w:t>
      </w:r>
    </w:p>
    <w:p>
      <w:pPr>
        <w:spacing w:line="360" w:lineRule="auto"/>
        <w:ind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四、服务要求</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1.投标人应指派专人负责采购人的保险业务联系工作。确保采购人获得优先服务的权利，享受大客户的便利条件。</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2.投标人应设有24小时全天报案服务电话，并设专人受理索赔，接、报案。</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中标人在接到投保人的出险报案后,市区范围内的理赔人员应于0.5小时以内,市郊1小时内赶到现场。超过该时限,视为保险公司已到达现场,事故车可自行移位,以被保险人留存的现场资料及处理事故的相关材料为依据进行全额赔付。投保车辆出险后,中标人须根据投保人的要求提供全程上门服务:包括到全国各地帮助理赔及参与交警及法院调解处理相关费用由中标方负责。</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4.发生交通事故，采购人如有需预付赔款、医药费等，中标方必须及时预付。</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5.赔款时限：20000元以下1个工作日内；20000-100000元3个工作日内；100000元以上10个工作日内。</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6.对发生保险事故的车辆，在嵊州市范围实行免费拖车施救。</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7.依法判决的理赔案处理应以法院判决的标准全额赔付。</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8.投标人应对投保车辆建立用户档案，开展跟踪服务，对各个保险标的及保险情况进行信息化管理。</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9.投标人不得限制采购人要求的出险次数。对承保车辆不得加扣多次事故免赔率。</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10.保险生效时间以保单中载述的起止时间为准。采购人的保险费按约定支付后，投标人须及时出具全额保单，不得拖延。</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11.投标人应提供保险知识、出险索赔程序，安全等方面的咨询服务，并举行定期的主题活动，宣传保险安全知识。</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12.投标人应协助采购人做好对投保经办人的廉政工作，不得以任何形式向投保方提供回扣。</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13.投标人的中标保险费即为合同履行价格，必须按中标保险费签发保单，若发现中标人不按此规定执行，一经查实立即取消中标人保险资格。</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14.保密要求：与本项目有关的资料及数据成果中涉及国家秘密的内容，均要求按照《国家保密法》及相关法律法规执行。涉及单位秘密或财务数据的，投标人应当保密。</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五、保险范围明细及特别服务要求</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1.保险项目明细</w:t>
      </w:r>
    </w:p>
    <w:tbl>
      <w:tblPr>
        <w:tblStyle w:val="30"/>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2578"/>
        <w:gridCol w:w="4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166" w:type="dxa"/>
            <w:noWrap w:val="0"/>
            <w:vAlign w:val="center"/>
          </w:tcPr>
          <w:p>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内容</w:t>
            </w:r>
          </w:p>
        </w:tc>
        <w:tc>
          <w:tcPr>
            <w:tcW w:w="2578" w:type="dxa"/>
            <w:noWrap w:val="0"/>
            <w:vAlign w:val="center"/>
          </w:tcPr>
          <w:p>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投保标的项目</w:t>
            </w:r>
          </w:p>
        </w:tc>
        <w:tc>
          <w:tcPr>
            <w:tcW w:w="4994" w:type="dxa"/>
            <w:noWrap w:val="0"/>
            <w:vAlign w:val="center"/>
          </w:tcPr>
          <w:p>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保额及险种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166" w:type="dxa"/>
            <w:vMerge w:val="restart"/>
            <w:noWrap w:val="0"/>
            <w:vAlign w:val="center"/>
          </w:tcPr>
          <w:p>
            <w:pPr>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车辆及承运人责任保险</w:t>
            </w:r>
          </w:p>
        </w:tc>
        <w:tc>
          <w:tcPr>
            <w:tcW w:w="2578" w:type="dxa"/>
            <w:noWrap w:val="0"/>
            <w:vAlign w:val="center"/>
          </w:tcPr>
          <w:p>
            <w:pPr>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交通事故责任强制险</w:t>
            </w:r>
          </w:p>
        </w:tc>
        <w:tc>
          <w:tcPr>
            <w:tcW w:w="4994" w:type="dxa"/>
            <w:noWrap w:val="0"/>
            <w:vAlign w:val="center"/>
          </w:tcPr>
          <w:p>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按国家相关规定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6" w:type="dxa"/>
            <w:vMerge w:val="continue"/>
            <w:noWrap w:val="0"/>
            <w:vAlign w:val="center"/>
          </w:tcPr>
          <w:p>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p>
        </w:tc>
        <w:tc>
          <w:tcPr>
            <w:tcW w:w="2578" w:type="dxa"/>
            <w:noWrap w:val="0"/>
            <w:vAlign w:val="center"/>
          </w:tcPr>
          <w:p>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机动车商业险</w:t>
            </w:r>
          </w:p>
        </w:tc>
        <w:tc>
          <w:tcPr>
            <w:tcW w:w="4994" w:type="dxa"/>
            <w:noWrap w:val="0"/>
            <w:vAlign w:val="center"/>
          </w:tcPr>
          <w:p>
            <w:pPr>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车损险、第三者责任险300万、所有险种的不计免赔险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166" w:type="dxa"/>
            <w:vMerge w:val="continue"/>
            <w:noWrap w:val="0"/>
            <w:vAlign w:val="center"/>
          </w:tcPr>
          <w:p>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p>
        </w:tc>
        <w:tc>
          <w:tcPr>
            <w:tcW w:w="2578" w:type="dxa"/>
            <w:noWrap w:val="0"/>
            <w:vAlign w:val="center"/>
          </w:tcPr>
          <w:p>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承运人责任险</w:t>
            </w:r>
          </w:p>
        </w:tc>
        <w:tc>
          <w:tcPr>
            <w:tcW w:w="4994" w:type="dxa"/>
            <w:noWrap w:val="0"/>
            <w:vAlign w:val="center"/>
          </w:tcPr>
          <w:p>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每座150万（含站位）</w:t>
            </w:r>
          </w:p>
        </w:tc>
      </w:tr>
    </w:tbl>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2.特别服务要求</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关于误工费、护理费的赔偿处理标准：投标方进行承诺及描述（包括但不限于以下内容：护理人数；抢救及治疗各阶段的护理赔偿标准和出院护理标准；收入较高者的实际收入减少的误工损失，退休返聘人员的误工费计算标准，无固定收入者以及各种户籍性质相对应的误工费赔偿标准）。</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2）误工时间的确认标准：请投标方承诺及描述实际理赔处理中的标准（不以公安部GB/T521-2004的规定期限作为唯一参考标准）。</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精神损失费的赔偿处理，请详细说明投标方实际理赔处理中的标准，如死亡、残疾事故的最高不同赔偿限额（要求按照法院调解的金额在交强险内作为第一顺序赔偿，法院依法判决的案件，以实际判决金额赔付）。</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4）关于对医疗费及营养费、鉴定费赔付，由投标人进行承诺及描述。</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5）后续治疗费用的赔偿：在伤者没有痊愈的状况下进行结案时，按照总医疗费的一定比例向伤者支付后续治疗费用，本比例由投标者自行承诺（该比例不得低于已发生医疗费用的30%）。</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6）关于涉及车损、第三者人伤以及车上乘客伤害小额赔案处理的需求，承诺不影响次年保费。</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7）属于人伤案的，采购人可以自行委托保险评估公司进行案件处理，投标人是否同意按评估公司处理方案进行理赔，由投标人承诺。</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8）为有效避免和减少事故发生，投标人应定期为采购人提相关安全知识培训，请投标人如何对驾驶员安全培训学习进行描述。</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9）属于采购人保额内自付费用，由投标人进行承诺及描述。</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10）为减少交通事故，由投标人提供防御性驾驶行为分析仪，并对仪器的品牌、性能及兼容性进行描述及承诺（具备哪些功能）。</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11）对于同属甲方公司所有的保险车辆发生双方/多方事故，则视同各方互为第三者。</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12）鉴于保险车辆的运营特点，其发动机等机器设备执行总成互换制度的保养规范，乙方同意在发生保险事故时，不因保险车辆的发动机号等机器设备型号与车辆行驶证或保单内容不符而拒绝赔偿。</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13）服务期内中标人的中标保险费适用于采购人的所有（含新增）车辆，采购人所有车辆的投保、退保实行按日计算保费。</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六、其他要求</w:t>
      </w:r>
    </w:p>
    <w:p>
      <w:pPr>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对车上乘客（包括司机和乘务人员）在车上发生意外事故，按照旅客运输合同责任赔付，整案赔付金额在10000元以下的，无事故证明及责任认定书，提供车载监控视频后，按旅客运输合同责任处理；10000元以上事故，提供相关事故证明及车载监控视频后，按旅客运输合同责任处理。</w:t>
      </w:r>
    </w:p>
    <w:p>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七、商务响应表</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0"/>
        <w:gridCol w:w="75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7"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bookmarkStart w:id="31" w:name="OLE_LINK16" w:colFirst="0" w:colLast="0"/>
            <w:r>
              <w:rPr>
                <w:rFonts w:hint="eastAsia" w:ascii="宋体" w:hAnsi="宋体" w:eastAsia="宋体" w:cs="宋体"/>
                <w:color w:val="auto"/>
                <w:kern w:val="2"/>
                <w:sz w:val="24"/>
                <w:szCs w:val="24"/>
                <w:highlight w:val="none"/>
                <w:lang w:val="en-US" w:eastAsia="zh-CN" w:bidi="ar-SA"/>
              </w:rPr>
              <w:t>服务期限</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服务期限2年（具体以采购人通知为准）。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服务时间</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保费到账后24小时内提供保单。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7"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结算依据</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900"/>
              </w:tabs>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第一年保费按实结算，第二年保费若实际保费低于最终报价则按实结算，若高于最终报价则按最终报价结算。（第二年投标报价由各供应商自行承担风险）。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3"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付款方式</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1、签订合同后3个工作日内付清第一年全额保费，以此类推。</w:t>
            </w:r>
          </w:p>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2、中标人在收到投保单位汇出的保险费当日（以到账时间为准）出具保单和正式发票，并于24小时内送至投保单位。</w:t>
            </w:r>
          </w:p>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3.期内报废/转卖车辆</w:t>
            </w:r>
          </w:p>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报废/转卖的车辆，保费于退保时一次性结清，并于7个工作日内转入采购人指定账户。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保险责任期限</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投保后保险有效期为1年。</w:t>
            </w:r>
          </w:p>
        </w:tc>
      </w:tr>
      <w:bookmarkEnd w:id="31"/>
    </w:tbl>
    <w:p>
      <w:pPr>
        <w:spacing w:line="240" w:lineRule="auto"/>
        <w:ind w:left="0" w:leftChars="0" w:firstLine="0" w:firstLineChars="0"/>
        <w:jc w:val="both"/>
        <w:rPr>
          <w:rFonts w:hint="eastAsia" w:ascii="仿宋" w:hAnsi="仿宋" w:eastAsia="仿宋" w:cs="仿宋"/>
          <w:b/>
          <w:color w:val="auto"/>
          <w:sz w:val="32"/>
          <w:szCs w:val="32"/>
          <w:highlight w:val="none"/>
        </w:rPr>
      </w:pPr>
    </w:p>
    <w:p>
      <w:pPr>
        <w:spacing w:line="240" w:lineRule="auto"/>
        <w:ind w:left="0" w:leftChars="0" w:firstLine="0" w:firstLineChars="0"/>
        <w:jc w:val="both"/>
        <w:rPr>
          <w:rFonts w:hint="eastAsia"/>
          <w:color w:val="auto"/>
          <w:highlight w:val="none"/>
        </w:rPr>
      </w:pPr>
      <w:r>
        <w:rPr>
          <w:rFonts w:hint="eastAsia" w:ascii="仿宋" w:hAnsi="仿宋" w:eastAsia="仿宋" w:cs="仿宋"/>
          <w:b/>
          <w:color w:val="auto"/>
          <w:sz w:val="28"/>
          <w:szCs w:val="28"/>
          <w:highlight w:val="none"/>
        </w:rPr>
        <w:t>附</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合计</w:t>
      </w:r>
      <w:r>
        <w:rPr>
          <w:rFonts w:hint="eastAsia" w:ascii="仿宋" w:hAnsi="仿宋" w:eastAsia="仿宋" w:cs="仿宋"/>
          <w:b/>
          <w:color w:val="auto"/>
          <w:sz w:val="28"/>
          <w:szCs w:val="28"/>
          <w:highlight w:val="none"/>
          <w:lang w:val="en-US" w:eastAsia="zh-CN"/>
        </w:rPr>
        <w:t>20</w:t>
      </w:r>
      <w:r>
        <w:rPr>
          <w:rFonts w:hint="eastAsia" w:ascii="仿宋" w:hAnsi="仿宋" w:eastAsia="仿宋" w:cs="仿宋"/>
          <w:b/>
          <w:color w:val="auto"/>
          <w:sz w:val="28"/>
          <w:szCs w:val="28"/>
          <w:highlight w:val="none"/>
        </w:rPr>
        <w:t>辆参保车辆的行驶证：</w:t>
      </w:r>
    </w:p>
    <w:p>
      <w:pPr>
        <w:rPr>
          <w:color w:val="auto"/>
          <w:highlight w:val="none"/>
        </w:rPr>
      </w:pPr>
      <w:r>
        <w:rPr>
          <w:color w:val="auto"/>
          <w:highlight w:val="none"/>
        </w:rPr>
        <w:drawing>
          <wp:inline distT="0" distB="0" distL="114300" distR="114300">
            <wp:extent cx="5276850" cy="1821180"/>
            <wp:effectExtent l="0" t="0" r="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76850" cy="18211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4945" cy="1804035"/>
            <wp:effectExtent l="0" t="0" r="1905" b="57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74945" cy="180403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7485" cy="1786890"/>
            <wp:effectExtent l="0" t="0" r="18415"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5277485" cy="178689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7485" cy="1848485"/>
            <wp:effectExtent l="0" t="0" r="18415"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5277485" cy="184848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6215" cy="1777365"/>
            <wp:effectExtent l="0" t="0" r="635" b="1333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5276215" cy="177736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2405" cy="1819275"/>
            <wp:effectExtent l="0" t="0" r="4445"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5272405" cy="18192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2405" cy="1830705"/>
            <wp:effectExtent l="0" t="0" r="4445" b="171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
                    <a:stretch>
                      <a:fillRect/>
                    </a:stretch>
                  </pic:blipFill>
                  <pic:spPr>
                    <a:xfrm>
                      <a:off x="0" y="0"/>
                      <a:ext cx="5272405" cy="183070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1135" cy="1791970"/>
            <wp:effectExtent l="0" t="0" r="5715" b="1778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5"/>
                    <a:stretch>
                      <a:fillRect/>
                    </a:stretch>
                  </pic:blipFill>
                  <pic:spPr>
                    <a:xfrm>
                      <a:off x="0" y="0"/>
                      <a:ext cx="5271135" cy="179197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drawing>
          <wp:inline distT="0" distB="0" distL="114300" distR="114300">
            <wp:extent cx="5272405" cy="1890395"/>
            <wp:effectExtent l="0" t="0" r="4445"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6"/>
                    <a:stretch>
                      <a:fillRect/>
                    </a:stretch>
                  </pic:blipFill>
                  <pic:spPr>
                    <a:xfrm>
                      <a:off x="0" y="0"/>
                      <a:ext cx="5272405" cy="189039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2405" cy="1825625"/>
            <wp:effectExtent l="0" t="0" r="4445" b="31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7"/>
                    <a:stretch>
                      <a:fillRect/>
                    </a:stretch>
                  </pic:blipFill>
                  <pic:spPr>
                    <a:xfrm>
                      <a:off x="0" y="0"/>
                      <a:ext cx="5272405" cy="182562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2405" cy="1882775"/>
            <wp:effectExtent l="0" t="0" r="4445" b="31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8"/>
                    <a:stretch>
                      <a:fillRect/>
                    </a:stretch>
                  </pic:blipFill>
                  <pic:spPr>
                    <a:xfrm>
                      <a:off x="0" y="0"/>
                      <a:ext cx="5272405" cy="188277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6850" cy="1865630"/>
            <wp:effectExtent l="0" t="0" r="0" b="12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9"/>
                    <a:stretch>
                      <a:fillRect/>
                    </a:stretch>
                  </pic:blipFill>
                  <pic:spPr>
                    <a:xfrm>
                      <a:off x="0" y="0"/>
                      <a:ext cx="5276850" cy="186563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drawing>
          <wp:inline distT="0" distB="0" distL="114300" distR="114300">
            <wp:extent cx="5274945" cy="1904365"/>
            <wp:effectExtent l="0" t="0" r="1905" b="63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0"/>
                    <a:stretch>
                      <a:fillRect/>
                    </a:stretch>
                  </pic:blipFill>
                  <pic:spPr>
                    <a:xfrm>
                      <a:off x="0" y="0"/>
                      <a:ext cx="5274945" cy="190436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1770" cy="1860550"/>
            <wp:effectExtent l="0" t="0" r="5080" b="635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1"/>
                    <a:stretch>
                      <a:fillRect/>
                    </a:stretch>
                  </pic:blipFill>
                  <pic:spPr>
                    <a:xfrm>
                      <a:off x="0" y="0"/>
                      <a:ext cx="5271770" cy="186055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2405" cy="1873885"/>
            <wp:effectExtent l="0" t="0" r="4445" b="1206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2"/>
                    <a:stretch>
                      <a:fillRect/>
                    </a:stretch>
                  </pic:blipFill>
                  <pic:spPr>
                    <a:xfrm>
                      <a:off x="0" y="0"/>
                      <a:ext cx="5272405" cy="187388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1135" cy="1955800"/>
            <wp:effectExtent l="0" t="0" r="5715" b="635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3"/>
                    <a:stretch>
                      <a:fillRect/>
                    </a:stretch>
                  </pic:blipFill>
                  <pic:spPr>
                    <a:xfrm>
                      <a:off x="0" y="0"/>
                      <a:ext cx="5271135" cy="195580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2405" cy="1835785"/>
            <wp:effectExtent l="0" t="0" r="4445" b="1206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4"/>
                    <a:stretch>
                      <a:fillRect/>
                    </a:stretch>
                  </pic:blipFill>
                  <pic:spPr>
                    <a:xfrm>
                      <a:off x="0" y="0"/>
                      <a:ext cx="5272405" cy="1835785"/>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drawing>
          <wp:inline distT="0" distB="0" distL="114300" distR="114300">
            <wp:extent cx="5272405" cy="1947545"/>
            <wp:effectExtent l="0" t="0" r="4445" b="1460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5"/>
                    <a:stretch>
                      <a:fillRect/>
                    </a:stretch>
                  </pic:blipFill>
                  <pic:spPr>
                    <a:xfrm>
                      <a:off x="0" y="0"/>
                      <a:ext cx="5272405" cy="1947545"/>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6850" cy="1864995"/>
            <wp:effectExtent l="0" t="0" r="0" b="190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6"/>
                    <a:stretch>
                      <a:fillRect/>
                    </a:stretch>
                  </pic:blipFill>
                  <pic:spPr>
                    <a:xfrm>
                      <a:off x="0" y="0"/>
                      <a:ext cx="5276850" cy="1864995"/>
                    </a:xfrm>
                    <a:prstGeom prst="rect">
                      <a:avLst/>
                    </a:prstGeom>
                    <a:noFill/>
                    <a:ln>
                      <a:noFill/>
                    </a:ln>
                  </pic:spPr>
                </pic:pic>
              </a:graphicData>
            </a:graphic>
          </wp:inline>
        </w:drawing>
      </w:r>
    </w:p>
    <w:p>
      <w:pPr>
        <w:rPr>
          <w:color w:val="auto"/>
          <w:highlight w:val="none"/>
        </w:rPr>
      </w:pPr>
    </w:p>
    <w:p>
      <w:pPr>
        <w:rPr>
          <w:rFonts w:hint="eastAsia" w:ascii="宋体" w:hAnsi="宋体" w:eastAsia="宋体" w:cs="宋体"/>
          <w:color w:val="auto"/>
          <w:sz w:val="36"/>
          <w:szCs w:val="36"/>
          <w:highlight w:val="none"/>
          <w:lang w:val="en-US" w:eastAsia="zh-CN"/>
        </w:rPr>
      </w:pPr>
      <w:r>
        <w:rPr>
          <w:color w:val="auto"/>
          <w:highlight w:val="none"/>
        </w:rPr>
        <w:drawing>
          <wp:inline distT="0" distB="0" distL="114300" distR="114300">
            <wp:extent cx="5272405" cy="1911985"/>
            <wp:effectExtent l="0" t="0" r="4445" b="1206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7"/>
                    <a:stretch>
                      <a:fillRect/>
                    </a:stretch>
                  </pic:blipFill>
                  <pic:spPr>
                    <a:xfrm>
                      <a:off x="0" y="0"/>
                      <a:ext cx="5272405" cy="1911985"/>
                    </a:xfrm>
                    <a:prstGeom prst="rect">
                      <a:avLst/>
                    </a:prstGeom>
                    <a:noFill/>
                    <a:ln>
                      <a:noFill/>
                    </a:ln>
                  </pic:spPr>
                </pic:pic>
              </a:graphicData>
            </a:graphic>
          </wp:inline>
        </w:drawing>
      </w: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eastAsia="宋体" w:cs="宋体"/>
          <w:color w:val="auto"/>
          <w:sz w:val="36"/>
          <w:szCs w:val="36"/>
          <w:highlight w:val="none"/>
          <w:lang w:val="en-US" w:eastAsia="zh-CN"/>
        </w:rPr>
      </w:pPr>
    </w:p>
    <w:p>
      <w:pPr>
        <w:pStyle w:val="2"/>
        <w:numPr>
          <w:ilvl w:val="0"/>
          <w:numId w:val="0"/>
        </w:numPr>
        <w:ind w:leftChars="0"/>
        <w:jc w:val="both"/>
        <w:rPr>
          <w:rFonts w:hint="eastAsia" w:ascii="宋体" w:hAnsi="宋体" w:eastAsia="宋体" w:cs="宋体"/>
          <w:color w:val="auto"/>
          <w:sz w:val="36"/>
          <w:szCs w:val="36"/>
          <w:highlight w:val="none"/>
          <w:lang w:val="en-US" w:eastAsia="zh-CN"/>
        </w:rPr>
      </w:pPr>
    </w:p>
    <w:p>
      <w:pPr>
        <w:pStyle w:val="2"/>
        <w:numPr>
          <w:ilvl w:val="0"/>
          <w:numId w:val="0"/>
        </w:numPr>
        <w:ind w:leftChars="0"/>
        <w:jc w:val="center"/>
        <w:rPr>
          <w:rFonts w:hint="eastAsia" w:ascii="宋体" w:hAnsi="宋体"/>
          <w:color w:val="auto"/>
          <w:highlight w:val="none"/>
        </w:rPr>
      </w:pPr>
      <w:r>
        <w:rPr>
          <w:rFonts w:hint="eastAsia" w:ascii="宋体" w:hAnsi="宋体" w:eastAsia="宋体" w:cs="宋体"/>
          <w:color w:val="auto"/>
          <w:sz w:val="36"/>
          <w:szCs w:val="36"/>
          <w:highlight w:val="none"/>
          <w:lang w:val="en-US" w:eastAsia="zh-CN"/>
        </w:rPr>
        <w:t xml:space="preserve">第四部分 </w:t>
      </w:r>
      <w:r>
        <w:rPr>
          <w:rFonts w:hint="eastAsia" w:ascii="宋体" w:hAnsi="宋体" w:eastAsia="宋体" w:cs="宋体"/>
          <w:color w:val="auto"/>
          <w:sz w:val="36"/>
          <w:szCs w:val="36"/>
          <w:highlight w:val="none"/>
        </w:rPr>
        <w:t>评标办法</w:t>
      </w:r>
    </w:p>
    <w:p>
      <w:pPr>
        <w:spacing w:line="440" w:lineRule="exact"/>
        <w:jc w:val="left"/>
        <w:rPr>
          <w:rFonts w:hint="eastAsia" w:ascii="宋体" w:hAnsi="宋体" w:eastAsia="宋体" w:cs="宋体"/>
          <w:b w:val="0"/>
          <w:i w:val="0"/>
          <w:iCs w:val="0"/>
          <w:color w:val="auto"/>
          <w:kern w:val="0"/>
          <w:sz w:val="24"/>
          <w:szCs w:val="24"/>
          <w:highlight w:val="none"/>
          <w:u w:val="none"/>
          <w:lang w:val="zh-CN" w:eastAsia="zh-CN" w:bidi="ar"/>
        </w:rPr>
      </w:pPr>
      <w:r>
        <w:rPr>
          <w:rFonts w:hint="eastAsia" w:ascii="宋体" w:hAnsi="宋体" w:eastAsia="宋体" w:cs="宋体"/>
          <w:b w:val="0"/>
          <w:i w:val="0"/>
          <w:iCs w:val="0"/>
          <w:color w:val="auto"/>
          <w:kern w:val="0"/>
          <w:sz w:val="24"/>
          <w:szCs w:val="24"/>
          <w:highlight w:val="none"/>
          <w:u w:val="none"/>
          <w:lang w:val="zh-CN" w:eastAsia="zh-CN" w:bidi="ar"/>
        </w:rPr>
        <w:t>1、评标方法：</w:t>
      </w:r>
    </w:p>
    <w:p>
      <w:pPr>
        <w:spacing w:line="440" w:lineRule="exact"/>
        <w:ind w:firstLine="480" w:firstLineChars="200"/>
        <w:jc w:val="left"/>
        <w:rPr>
          <w:rFonts w:hint="eastAsia" w:ascii="宋体" w:hAnsi="宋体" w:eastAsia="宋体" w:cs="宋体"/>
          <w:b w:val="0"/>
          <w:i w:val="0"/>
          <w:iCs w:val="0"/>
          <w:color w:val="auto"/>
          <w:kern w:val="0"/>
          <w:sz w:val="24"/>
          <w:szCs w:val="24"/>
          <w:highlight w:val="none"/>
          <w:u w:val="none"/>
          <w:lang w:val="zh-CN" w:eastAsia="zh-CN" w:bidi="ar"/>
        </w:rPr>
      </w:pPr>
      <w:r>
        <w:rPr>
          <w:rFonts w:hint="eastAsia" w:ascii="宋体" w:hAnsi="宋体" w:eastAsia="宋体" w:cs="宋体"/>
          <w:b w:val="0"/>
          <w:i w:val="0"/>
          <w:iCs w:val="0"/>
          <w:color w:val="auto"/>
          <w:kern w:val="0"/>
          <w:sz w:val="24"/>
          <w:szCs w:val="24"/>
          <w:highlight w:val="none"/>
          <w:u w:val="none"/>
          <w:lang w:val="zh-CN" w:eastAsia="zh-CN" w:bidi="ar"/>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w:t>
      </w:r>
      <w:r>
        <w:rPr>
          <w:rFonts w:hint="eastAsia" w:ascii="宋体" w:hAnsi="宋体" w:eastAsia="宋体" w:cs="宋体"/>
          <w:b w:val="0"/>
          <w:i w:val="0"/>
          <w:iCs w:val="0"/>
          <w:color w:val="auto"/>
          <w:kern w:val="0"/>
          <w:sz w:val="24"/>
          <w:szCs w:val="24"/>
          <w:highlight w:val="none"/>
          <w:u w:val="none"/>
          <w:lang w:val="en-US" w:eastAsia="zh-CN" w:bidi="ar"/>
        </w:rPr>
        <w:t>为一名，</w:t>
      </w:r>
      <w:r>
        <w:rPr>
          <w:rFonts w:hint="eastAsia" w:ascii="宋体" w:hAnsi="宋体" w:eastAsia="宋体" w:cs="宋体"/>
          <w:b w:val="0"/>
          <w:i w:val="0"/>
          <w:iCs w:val="0"/>
          <w:color w:val="auto"/>
          <w:kern w:val="0"/>
          <w:sz w:val="24"/>
          <w:szCs w:val="24"/>
          <w:highlight w:val="none"/>
          <w:u w:val="none"/>
          <w:lang w:val="zh-CN" w:eastAsia="zh-CN" w:bidi="ar"/>
        </w:rPr>
        <w:t>中标候选人并列的，采用随机抽取的方式确定。</w:t>
      </w:r>
    </w:p>
    <w:p>
      <w:pPr>
        <w:spacing w:line="440" w:lineRule="exact"/>
        <w:jc w:val="left"/>
        <w:rPr>
          <w:rFonts w:hint="eastAsia" w:ascii="宋体" w:hAnsi="宋体" w:eastAsia="宋体" w:cs="宋体"/>
          <w:b w:val="0"/>
          <w:i w:val="0"/>
          <w:iCs w:val="0"/>
          <w:color w:val="auto"/>
          <w:kern w:val="0"/>
          <w:sz w:val="24"/>
          <w:szCs w:val="24"/>
          <w:highlight w:val="none"/>
          <w:u w:val="none"/>
          <w:lang w:val="zh-CN" w:eastAsia="zh-CN" w:bidi="ar"/>
        </w:rPr>
      </w:pPr>
      <w:r>
        <w:rPr>
          <w:rFonts w:hint="eastAsia" w:ascii="宋体" w:hAnsi="宋体" w:eastAsia="宋体" w:cs="宋体"/>
          <w:b w:val="0"/>
          <w:i w:val="0"/>
          <w:iCs w:val="0"/>
          <w:color w:val="auto"/>
          <w:kern w:val="0"/>
          <w:sz w:val="24"/>
          <w:szCs w:val="24"/>
          <w:highlight w:val="none"/>
          <w:u w:val="none"/>
          <w:lang w:val="zh-CN" w:eastAsia="zh-CN" w:bidi="ar"/>
        </w:rPr>
        <w:t>2.评分标准：共100分，其中商务技术分</w:t>
      </w:r>
      <w:r>
        <w:rPr>
          <w:rFonts w:hint="eastAsia" w:ascii="宋体" w:hAnsi="宋体" w:cs="宋体"/>
          <w:b w:val="0"/>
          <w:i w:val="0"/>
          <w:iCs w:val="0"/>
          <w:color w:val="auto"/>
          <w:kern w:val="0"/>
          <w:sz w:val="24"/>
          <w:szCs w:val="24"/>
          <w:highlight w:val="none"/>
          <w:u w:val="none"/>
          <w:lang w:val="en-US" w:eastAsia="zh-CN" w:bidi="ar"/>
        </w:rPr>
        <w:t>5</w:t>
      </w:r>
      <w:r>
        <w:rPr>
          <w:rFonts w:hint="eastAsia" w:ascii="宋体" w:hAnsi="宋体" w:eastAsia="宋体" w:cs="宋体"/>
          <w:b w:val="0"/>
          <w:i w:val="0"/>
          <w:iCs w:val="0"/>
          <w:color w:val="auto"/>
          <w:kern w:val="0"/>
          <w:sz w:val="24"/>
          <w:szCs w:val="24"/>
          <w:highlight w:val="none"/>
          <w:u w:val="none"/>
          <w:lang w:val="zh-CN" w:eastAsia="zh-CN" w:bidi="ar"/>
        </w:rPr>
        <w:t>0分，价格分</w:t>
      </w:r>
      <w:r>
        <w:rPr>
          <w:rFonts w:hint="eastAsia" w:ascii="宋体" w:hAnsi="宋体" w:cs="宋体"/>
          <w:b w:val="0"/>
          <w:i w:val="0"/>
          <w:iCs w:val="0"/>
          <w:color w:val="auto"/>
          <w:kern w:val="0"/>
          <w:sz w:val="24"/>
          <w:szCs w:val="24"/>
          <w:highlight w:val="none"/>
          <w:u w:val="none"/>
          <w:lang w:val="en-US" w:eastAsia="zh-CN" w:bidi="ar"/>
        </w:rPr>
        <w:t>5</w:t>
      </w:r>
      <w:r>
        <w:rPr>
          <w:rFonts w:hint="eastAsia" w:ascii="宋体" w:hAnsi="宋体" w:eastAsia="宋体" w:cs="宋体"/>
          <w:b w:val="0"/>
          <w:i w:val="0"/>
          <w:iCs w:val="0"/>
          <w:color w:val="auto"/>
          <w:kern w:val="0"/>
          <w:sz w:val="24"/>
          <w:szCs w:val="24"/>
          <w:highlight w:val="none"/>
          <w:u w:val="none"/>
          <w:lang w:val="zh-CN" w:eastAsia="zh-CN" w:bidi="ar"/>
        </w:rPr>
        <w:t>0分。评分依下述所列为评标打分依据，分值如下（计算分值时，按其算术平均值保留小数2位）。</w:t>
      </w:r>
    </w:p>
    <w:p>
      <w:pPr>
        <w:spacing w:line="440" w:lineRule="exact"/>
        <w:rPr>
          <w:rFonts w:hint="eastAsia" w:ascii="仿宋_GB2312" w:hAnsi="宋体" w:eastAsia="仿宋_GB2312"/>
          <w:b/>
          <w:bCs/>
          <w:iCs/>
          <w:color w:val="auto"/>
          <w:sz w:val="24"/>
          <w:highlight w:val="none"/>
        </w:rPr>
      </w:pPr>
      <w:r>
        <w:rPr>
          <w:rFonts w:hint="eastAsia" w:ascii="宋体" w:hAnsi="宋体"/>
          <w:b/>
          <w:color w:val="auto"/>
          <w:highlight w:val="none"/>
          <w:lang w:val="en-US" w:eastAsia="zh-CN"/>
        </w:rPr>
        <w:t>2.1商务技术分（50分）</w:t>
      </w:r>
      <w:bookmarkEnd w:id="30"/>
      <w:bookmarkStart w:id="32" w:name="_Toc1479"/>
      <w:bookmarkStart w:id="33" w:name="_Toc23578"/>
      <w:bookmarkStart w:id="34" w:name="_Toc6326"/>
    </w:p>
    <w:tbl>
      <w:tblPr>
        <w:tblStyle w:val="31"/>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2930"/>
        <w:gridCol w:w="3742"/>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45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240" w:firstLineChars="1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评分项目</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评分细则</w:t>
            </w:r>
          </w:p>
        </w:tc>
        <w:tc>
          <w:tcPr>
            <w:tcW w:w="1114"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同类业绩</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根据投标人近三年(自2021年3月1日至今,以合同签订日为准)承保国有企业或行政事业单位车辆保险业绩的,每个合同得1分,最多3分。(提供合同及保险车辆清单扫描件,清单上必须有保单号)</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服务渠道</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根据投标人具备网络、电话、短信、网点及专员等多样化服务渠道，便于投保人对本合作项目的问题咨询，充分体现服务的人性化和各类服务渠道的便捷性等情况进行综合打分。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承保服务</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方案</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根据投标人提供的承保服务方案中提供可行详细的承保方案，保证获得优先服务的权利，成立专门的服务小组，及时签订商业车险和承运人责任险保单等情况进行综合打分。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3"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偿付能力充足率</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评标小组根据投标人所属总公司2020-2022年度偿付能力充足率进行比较打分，以下三项内容得分不累计：</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连续三年偿付能力充足率超过100%得1分；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至少两年（含两年）偿付能力充足率超过150%得3分；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至少两年（含两年）偿付能力充足率超过200%得5分。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注：评标时提供投标人所属总公司2020-2022年度偿付能力充足率书面材料并加盖公章，否则不得分。需提供2020-2022年度所属总公司由会计事务所出具的审计报告。</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理赔服务方案</w:t>
            </w:r>
          </w:p>
        </w:tc>
        <w:tc>
          <w:tcPr>
            <w:tcW w:w="293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根据理赔服务方案的完整性、合理性、可行性等进行打分</w:t>
            </w: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报案受理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查勘</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定损</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维修</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结算</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索赔程序</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救援设备及服务</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服务团队</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根据投标人针对本项目配置的服务团队整体专业经验和服务能力等情况进行综合打分。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45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服务承诺</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提供在合同期内组织采购人安全管理人员专业培训或组织驾驶员安全培训，有明确培训计划，确保采购人、投保人、被保险人充分理解保险、理赔流程等情况进行综合打分。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根据投标人针对本项目所提供的投保车辆基于安全保障方面的增值服务方案等情况进行综合打分。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kern w:val="2"/>
                <w:sz w:val="24"/>
                <w:szCs w:val="24"/>
                <w:highlight w:val="none"/>
              </w:rPr>
            </w:pPr>
            <w:bookmarkStart w:id="35" w:name="_Hlk34766359"/>
            <w:bookmarkEnd w:id="35"/>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根据交通事故伤者医疗跟踪服务承诺、重症病人抢救医疗保险额外药类理赔办法承诺等情况进行综合打分。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根据投标人承诺在收到提供齐全的索赔材料后的理赔时间等情况进行综合打分。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投标人具有理赔、查助车达5辆及以上的，得3分；具有理赔、查助车达5辆以下的，得1分。（提供车辆行驶证、设备购买发票等相关证明材料扫描件)</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451"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480" w:leftChars="0" w:right="0" w:rightChars="0" w:hanging="480" w:firstLineChars="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经营评级</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480" w:leftChars="0" w:right="0" w:rightChars="0" w:hanging="480" w:firstLineChars="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情况</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rightChars="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根据2021年度保险公司法人机构经营评价结果进行评分,A级及以上得1分,B级及以上得0.5分,其余不得分(须提供相关证明材料扫描件)</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480" w:leftChars="0" w:right="0" w:rightChars="0" w:hanging="480" w:firstLineChars="0"/>
              <w:jc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0-1分</w:t>
            </w:r>
          </w:p>
        </w:tc>
      </w:tr>
    </w:tbl>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5</w:t>
      </w:r>
      <w:r>
        <w:rPr>
          <w:rFonts w:hint="eastAsia" w:ascii="仿宋_GB2312" w:hAnsi="宋体" w:eastAsia="仿宋_GB2312"/>
          <w:b/>
          <w:bCs/>
          <w:iCs/>
          <w:color w:val="auto"/>
          <w:sz w:val="24"/>
          <w:highlight w:val="none"/>
        </w:rPr>
        <w:t>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spacing w:line="440" w:lineRule="exact"/>
        <w:ind w:firstLine="482" w:firstLineChars="200"/>
        <w:rPr>
          <w:rFonts w:ascii="仿宋_GB2312" w:hAnsi="宋体" w:eastAsia="仿宋_GB2312"/>
          <w:b/>
          <w:iCs/>
          <w:color w:val="auto"/>
          <w:sz w:val="24"/>
          <w:highlight w:val="none"/>
        </w:rPr>
      </w:pPr>
      <w:r>
        <w:rPr>
          <w:rFonts w:hint="eastAsia" w:ascii="仿宋_GB2312" w:hAnsi="宋体" w:eastAsia="仿宋_GB2312"/>
          <w:b/>
          <w:iCs/>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2"/>
        <w:keepNext w:val="0"/>
        <w:keepLines w:val="0"/>
        <w:pageBreakBefore/>
        <w:widowControl/>
        <w:tabs>
          <w:tab w:val="left" w:pos="478"/>
        </w:tabs>
        <w:autoSpaceDE w:val="0"/>
        <w:autoSpaceDN w:val="0"/>
        <w:spacing w:before="120" w:after="0" w:line="700" w:lineRule="exact"/>
        <w:jc w:val="center"/>
        <w:rPr>
          <w:rFonts w:hint="eastAsia" w:ascii="宋体" w:hAnsi="宋体" w:eastAsia="宋体" w:cs="宋体"/>
          <w:color w:val="auto"/>
          <w:sz w:val="36"/>
          <w:szCs w:val="36"/>
          <w:highlight w:val="none"/>
          <w:lang w:val="en-US" w:eastAsia="zh-CN"/>
        </w:rPr>
      </w:pPr>
      <w:r>
        <w:rPr>
          <w:rFonts w:hint="eastAsia" w:ascii="宋体" w:hAnsi="宋体" w:eastAsia="宋体" w:cs="宋体"/>
          <w:color w:val="auto"/>
          <w:sz w:val="36"/>
          <w:szCs w:val="36"/>
          <w:highlight w:val="none"/>
          <w:lang w:val="en-US" w:eastAsia="zh-CN"/>
        </w:rPr>
        <w:t>第五章  合同主要条款</w:t>
      </w:r>
    </w:p>
    <w:p>
      <w:pPr>
        <w:ind w:firstLine="0" w:firstLineChars="0"/>
        <w:jc w:val="center"/>
        <w:rPr>
          <w:rFonts w:hint="eastAsia" w:ascii="仿宋" w:hAnsi="仿宋" w:eastAsia="仿宋" w:cs="仿宋"/>
          <w:b/>
          <w:bCs/>
          <w:snapToGrid w:val="0"/>
          <w:color w:val="auto"/>
          <w:spacing w:val="12"/>
          <w:kern w:val="0"/>
          <w:sz w:val="36"/>
          <w:szCs w:val="36"/>
          <w:highlight w:val="none"/>
        </w:rPr>
      </w:pPr>
    </w:p>
    <w:p>
      <w:pPr>
        <w:autoSpaceDE w:val="0"/>
        <w:autoSpaceDN w:val="0"/>
        <w:adjustRightInd w:val="0"/>
        <w:snapToGrid w:val="0"/>
        <w:spacing w:after="120"/>
        <w:ind w:left="0" w:leftChars="0" w:firstLine="0" w:firstLineChars="0"/>
        <w:jc w:val="center"/>
        <w:rPr>
          <w:rFonts w:hint="default"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政府采购合同参考范本</w:t>
      </w:r>
    </w:p>
    <w:p>
      <w:pPr>
        <w:autoSpaceDE w:val="0"/>
        <w:autoSpaceDN w:val="0"/>
        <w:adjustRightInd w:val="0"/>
        <w:snapToGrid w:val="0"/>
        <w:spacing w:after="120"/>
        <w:ind w:left="480" w:leftChars="200" w:firstLine="2843" w:firstLineChars="1180"/>
        <w:rPr>
          <w:rFonts w:hint="eastAsia" w:ascii="仿宋" w:hAnsi="仿宋" w:eastAsia="仿宋" w:cs="仿宋"/>
          <w:b/>
          <w:color w:val="auto"/>
          <w:sz w:val="24"/>
          <w:szCs w:val="24"/>
          <w:highlight w:val="none"/>
        </w:rPr>
      </w:pPr>
    </w:p>
    <w:p>
      <w:pPr>
        <w:pStyle w:val="96"/>
        <w:rPr>
          <w:rFonts w:hint="eastAsia" w:ascii="仿宋" w:hAnsi="仿宋" w:eastAsia="仿宋" w:cs="仿宋"/>
          <w:b/>
          <w:color w:val="auto"/>
          <w:sz w:val="24"/>
          <w:szCs w:val="24"/>
          <w:highlight w:val="none"/>
        </w:rPr>
      </w:pPr>
    </w:p>
    <w:p>
      <w:pPr>
        <w:pStyle w:val="96"/>
        <w:rPr>
          <w:rFonts w:hint="eastAsia" w:ascii="仿宋" w:hAnsi="仿宋" w:eastAsia="仿宋" w:cs="仿宋"/>
          <w:b/>
          <w:color w:val="auto"/>
          <w:sz w:val="24"/>
          <w:szCs w:val="24"/>
          <w:highlight w:val="none"/>
        </w:rPr>
      </w:pPr>
    </w:p>
    <w:p>
      <w:pPr>
        <w:pStyle w:val="96"/>
        <w:rPr>
          <w:rFonts w:hint="eastAsia" w:ascii="仿宋" w:hAnsi="仿宋" w:eastAsia="仿宋" w:cs="仿宋"/>
          <w:b/>
          <w:color w:val="auto"/>
          <w:sz w:val="24"/>
          <w:szCs w:val="24"/>
          <w:highlight w:val="none"/>
        </w:rPr>
      </w:pPr>
    </w:p>
    <w:p>
      <w:pPr>
        <w:autoSpaceDE w:val="0"/>
        <w:autoSpaceDN w:val="0"/>
        <w:adjustRightInd w:val="0"/>
        <w:snapToGrid w:val="0"/>
        <w:spacing w:after="120"/>
        <w:ind w:left="0" w:leftChars="0"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合同书</w:t>
      </w:r>
    </w:p>
    <w:p>
      <w:pPr>
        <w:autoSpaceDE w:val="0"/>
        <w:autoSpaceDN w:val="0"/>
        <w:adjustRightInd w:val="0"/>
        <w:snapToGrid w:val="0"/>
        <w:spacing w:after="120"/>
        <w:ind w:left="480" w:leftChars="200" w:firstLine="480"/>
        <w:rPr>
          <w:rFonts w:hint="eastAsia" w:ascii="仿宋" w:hAnsi="仿宋" w:eastAsia="仿宋" w:cs="仿宋"/>
          <w:color w:val="auto"/>
          <w:sz w:val="24"/>
          <w:szCs w:val="24"/>
          <w:highlight w:val="none"/>
        </w:rPr>
      </w:pPr>
    </w:p>
    <w:p>
      <w:pPr>
        <w:autoSpaceDE w:val="0"/>
        <w:autoSpaceDN w:val="0"/>
        <w:adjustRightInd w:val="0"/>
        <w:snapToGrid w:val="0"/>
        <w:spacing w:after="120"/>
        <w:ind w:left="480" w:leftChars="200" w:firstLine="480"/>
        <w:rPr>
          <w:rFonts w:hint="eastAsia" w:ascii="仿宋" w:hAnsi="仿宋" w:eastAsia="仿宋" w:cs="仿宋"/>
          <w:color w:val="auto"/>
          <w:sz w:val="24"/>
          <w:szCs w:val="24"/>
          <w:highlight w:val="none"/>
        </w:rPr>
      </w:pPr>
    </w:p>
    <w:p>
      <w:pPr>
        <w:adjustRightInd w:val="0"/>
        <w:spacing w:before="120" w:line="22" w:lineRule="atLeast"/>
        <w:ind w:firstLine="0" w:firstLineChars="0"/>
        <w:rPr>
          <w:rFonts w:hint="eastAsia" w:ascii="仿宋" w:hAnsi="仿宋" w:eastAsia="仿宋" w:cs="仿宋"/>
          <w:color w:val="auto"/>
          <w:sz w:val="24"/>
          <w:szCs w:val="24"/>
          <w:highlight w:val="none"/>
        </w:rPr>
      </w:pPr>
    </w:p>
    <w:p>
      <w:pPr>
        <w:adjustRightInd w:val="0"/>
        <w:spacing w:before="120" w:line="22" w:lineRule="atLeast"/>
        <w:ind w:left="96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pPr>
        <w:spacing w:before="120" w:line="22" w:lineRule="atLeast"/>
        <w:ind w:firstLine="480"/>
        <w:rPr>
          <w:rFonts w:hint="eastAsia" w:ascii="宋体" w:hAnsi="宋体" w:eastAsia="宋体" w:cs="宋体"/>
          <w:color w:val="auto"/>
          <w:sz w:val="24"/>
          <w:szCs w:val="24"/>
          <w:highlight w:val="none"/>
        </w:rPr>
      </w:pPr>
    </w:p>
    <w:p>
      <w:pPr>
        <w:spacing w:before="120" w:line="22" w:lineRule="atLeast"/>
        <w:ind w:firstLine="480"/>
        <w:rPr>
          <w:rFonts w:hint="eastAsia" w:ascii="宋体" w:hAnsi="宋体" w:eastAsia="宋体" w:cs="宋体"/>
          <w:color w:val="auto"/>
          <w:sz w:val="24"/>
          <w:szCs w:val="24"/>
          <w:highlight w:val="none"/>
        </w:rPr>
      </w:pPr>
    </w:p>
    <w:p>
      <w:pPr>
        <w:adjustRightInd w:val="0"/>
        <w:spacing w:line="240" w:lineRule="auto"/>
        <w:ind w:firstLine="0" w:firstLineChars="0"/>
        <w:rPr>
          <w:rFonts w:hint="eastAsia" w:ascii="宋体" w:hAnsi="宋体" w:eastAsia="宋体" w:cs="宋体"/>
          <w:color w:val="auto"/>
          <w:sz w:val="24"/>
          <w:szCs w:val="24"/>
          <w:highlight w:val="none"/>
        </w:rPr>
      </w:pPr>
    </w:p>
    <w:p>
      <w:pPr>
        <w:adjustRightInd w:val="0"/>
        <w:spacing w:before="120" w:line="22" w:lineRule="atLeast"/>
        <w:ind w:left="960" w:firstLine="48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u w:val="single"/>
        </w:rPr>
        <w:t xml:space="preserve">                                       </w:t>
      </w:r>
    </w:p>
    <w:p>
      <w:pPr>
        <w:adjustRightInd w:val="0"/>
        <w:spacing w:before="120" w:line="22" w:lineRule="atLeast"/>
        <w:ind w:firstLine="0" w:firstLineChars="0"/>
        <w:rPr>
          <w:rFonts w:hint="eastAsia" w:ascii="宋体" w:hAnsi="宋体" w:eastAsia="宋体" w:cs="宋体"/>
          <w:color w:val="auto"/>
          <w:sz w:val="24"/>
          <w:szCs w:val="24"/>
          <w:highlight w:val="none"/>
        </w:rPr>
      </w:pPr>
    </w:p>
    <w:p>
      <w:pPr>
        <w:adjustRightInd w:val="0"/>
        <w:spacing w:before="120" w:line="22" w:lineRule="atLeast"/>
        <w:ind w:left="960" w:firstLine="48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u w:val="single"/>
        </w:rPr>
        <w:t xml:space="preserve">                                       </w:t>
      </w:r>
    </w:p>
    <w:p>
      <w:pPr>
        <w:adjustRightInd w:val="0"/>
        <w:spacing w:before="120" w:line="22" w:lineRule="atLeast"/>
        <w:ind w:firstLine="0" w:firstLineChars="0"/>
        <w:rPr>
          <w:rFonts w:hint="eastAsia" w:ascii="宋体" w:hAnsi="宋体" w:eastAsia="宋体" w:cs="宋体"/>
          <w:color w:val="auto"/>
          <w:sz w:val="24"/>
          <w:szCs w:val="24"/>
          <w:highlight w:val="none"/>
        </w:rPr>
      </w:pPr>
    </w:p>
    <w:p>
      <w:pPr>
        <w:adjustRightInd w:val="0"/>
        <w:spacing w:before="120" w:line="22" w:lineRule="atLeast"/>
        <w:ind w:firstLine="1440" w:firstLineChars="6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签订地：</w:t>
      </w:r>
      <w:r>
        <w:rPr>
          <w:rFonts w:hint="eastAsia" w:ascii="宋体" w:hAnsi="宋体" w:eastAsia="宋体" w:cs="宋体"/>
          <w:color w:val="auto"/>
          <w:sz w:val="24"/>
          <w:szCs w:val="24"/>
          <w:highlight w:val="none"/>
          <w:u w:val="single"/>
        </w:rPr>
        <w:t xml:space="preserve">                                     </w:t>
      </w:r>
    </w:p>
    <w:p>
      <w:pPr>
        <w:adjustRightInd w:val="0"/>
        <w:spacing w:before="120" w:line="22" w:lineRule="atLeast"/>
        <w:ind w:firstLine="0" w:firstLineChars="0"/>
        <w:rPr>
          <w:rFonts w:hint="eastAsia" w:ascii="宋体" w:hAnsi="宋体" w:eastAsia="宋体" w:cs="宋体"/>
          <w:color w:val="auto"/>
          <w:sz w:val="24"/>
          <w:szCs w:val="24"/>
          <w:highlight w:val="none"/>
        </w:rPr>
      </w:pPr>
    </w:p>
    <w:p>
      <w:pPr>
        <w:adjustRightInd w:val="0"/>
        <w:spacing w:before="120" w:line="22" w:lineRule="atLeast"/>
        <w:ind w:firstLine="1440" w:firstLineChars="6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签订日期：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widowControl/>
        <w:ind w:firstLine="480"/>
        <w:jc w:val="left"/>
        <w:rPr>
          <w:rFonts w:hint="eastAsia" w:ascii="宋体" w:hAnsi="宋体" w:eastAsia="宋体" w:cs="宋体"/>
          <w:color w:val="auto"/>
          <w:kern w:val="0"/>
          <w:sz w:val="24"/>
          <w:highlight w:val="none"/>
        </w:rPr>
        <w:sectPr>
          <w:footerReference r:id="rId4" w:type="default"/>
          <w:pgSz w:w="11907" w:h="16840"/>
          <w:pgMar w:top="1474" w:right="1417" w:bottom="1247" w:left="1417" w:header="851" w:footer="851" w:gutter="0"/>
          <w:pgNumType w:fmt="decimal" w:start="1"/>
          <w:cols w:space="720" w:num="1"/>
        </w:sectPr>
      </w:pPr>
    </w:p>
    <w:p>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bookmarkStart w:id="36" w:name="_Toc26214"/>
      <w:r>
        <w:rPr>
          <w:rFonts w:hint="eastAsia" w:ascii="宋体" w:hAnsi="宋体" w:eastAsia="宋体" w:cs="宋体"/>
          <w:bCs/>
          <w:color w:val="auto"/>
          <w:sz w:val="24"/>
          <w:szCs w:val="24"/>
          <w:highlight w:val="none"/>
        </w:rPr>
        <w:t>甲  方（使用方）：</w:t>
      </w:r>
    </w:p>
    <w:p>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乙  方（供应商）：</w:t>
      </w:r>
    </w:p>
    <w:p>
      <w:pPr>
        <w:pStyle w:val="15"/>
        <w:pageBreakBefore w:val="0"/>
        <w:numPr>
          <w:ilvl w:val="0"/>
          <w:numId w:val="0"/>
        </w:numPr>
        <w:tabs>
          <w:tab w:val="left" w:pos="180"/>
        </w:tabs>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Cs/>
          <w:color w:val="auto"/>
          <w:sz w:val="24"/>
          <w:szCs w:val="24"/>
          <w:highlight w:val="none"/>
        </w:rPr>
        <w:t>甲、</w:t>
      </w:r>
      <w:r>
        <w:rPr>
          <w:rFonts w:hint="eastAsia" w:ascii="宋体" w:hAnsi="宋体" w:eastAsia="宋体" w:cs="宋体"/>
          <w:color w:val="auto"/>
          <w:kern w:val="2"/>
          <w:sz w:val="24"/>
          <w:szCs w:val="24"/>
          <w:highlight w:val="none"/>
          <w:lang w:val="en-US" w:eastAsia="zh-CN" w:bidi="ar-SA"/>
        </w:rPr>
        <w:t>乙双方根据</w:t>
      </w:r>
      <w:r>
        <w:rPr>
          <w:rFonts w:hint="eastAsia" w:ascii="宋体" w:hAnsi="宋体" w:eastAsia="宋体" w:cs="宋体"/>
          <w:color w:val="auto"/>
          <w:kern w:val="2"/>
          <w:sz w:val="24"/>
          <w:szCs w:val="24"/>
          <w:highlight w:val="none"/>
          <w:lang w:val="zh-CN" w:eastAsia="zh-CN" w:bidi="ar-SA"/>
        </w:rPr>
        <w:t xml:space="preserve">2024年嵊州市公共交通有限公司公交车保险采购项目 </w:t>
      </w:r>
      <w:r>
        <w:rPr>
          <w:rFonts w:hint="eastAsia" w:ascii="宋体" w:hAnsi="宋体" w:eastAsia="宋体" w:cs="宋体"/>
          <w:color w:val="auto"/>
          <w:kern w:val="2"/>
          <w:sz w:val="24"/>
          <w:szCs w:val="24"/>
          <w:highlight w:val="none"/>
          <w:lang w:val="en-US" w:eastAsia="zh-CN" w:bidi="ar-SA"/>
        </w:rPr>
        <w:t>（项目编号：  ）公开招标的</w:t>
      </w:r>
      <w:r>
        <w:rPr>
          <w:rFonts w:hint="eastAsia" w:ascii="宋体" w:hAnsi="宋体" w:eastAsia="宋体" w:cs="宋体"/>
          <w:b w:val="0"/>
          <w:bCs/>
          <w:color w:val="auto"/>
          <w:kern w:val="2"/>
          <w:sz w:val="24"/>
          <w:szCs w:val="24"/>
          <w:highlight w:val="none"/>
          <w:lang w:val="en-US" w:eastAsia="zh-CN" w:bidi="ar-SA"/>
        </w:rPr>
        <w:t>结果，签署本合同。</w:t>
      </w:r>
    </w:p>
    <w:bookmarkEnd w:id="36"/>
    <w:p>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第一条、合同文件</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下列文件构成本合同的组成部分，应该认为是一个整体，彼此相互解释，相互补充。组成合同的多个文件的优先支配地位的次序如下：</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合同书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中标通知书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中标人投标文件(含澄清或询标内容)</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招标文件 (含澄清修改文件)</w:t>
      </w:r>
    </w:p>
    <w:p>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第二条、承保范围</w:t>
      </w:r>
    </w:p>
    <w:p>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乙方为甲方所有车辆提供</w:t>
      </w:r>
      <w:r>
        <w:rPr>
          <w:rFonts w:hint="eastAsia" w:ascii="宋体" w:hAnsi="宋体" w:eastAsia="宋体" w:cs="宋体"/>
          <w:color w:val="auto"/>
          <w:sz w:val="24"/>
          <w:szCs w:val="24"/>
          <w:highlight w:val="none"/>
          <w:u w:val="single"/>
        </w:rPr>
        <w:t>车辆及承运人责任保险服务</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具体车辆险种：交通事故责任强制险、机动车商业险（车损险、第三者责任险300万、所有险种的不计免赔险）、承运人责任险每座150万（含站位）。(具体车辆信息、险种及日期以采购方提供的清单为准)。</w:t>
      </w:r>
    </w:p>
    <w:p>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第三条、</w:t>
      </w:r>
      <w:r>
        <w:rPr>
          <w:rFonts w:hint="eastAsia" w:ascii="宋体" w:hAnsi="宋体" w:eastAsia="宋体" w:cs="宋体"/>
          <w:b/>
          <w:color w:val="auto"/>
          <w:sz w:val="24"/>
          <w:szCs w:val="24"/>
          <w:highlight w:val="none"/>
          <w:lang w:val="en-US" w:eastAsia="zh-CN"/>
        </w:rPr>
        <w:t>服务期</w:t>
      </w:r>
    </w:p>
    <w:p>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color w:val="auto"/>
          <w:kern w:val="0"/>
          <w:sz w:val="24"/>
          <w:szCs w:val="24"/>
          <w:highlight w:val="none"/>
          <w:lang w:val="en-US" w:eastAsia="zh-CN"/>
        </w:rPr>
        <w:t>服务期</w:t>
      </w:r>
      <w:r>
        <w:rPr>
          <w:rFonts w:hint="eastAsia" w:ascii="宋体" w:hAnsi="宋体" w:eastAsia="宋体" w:cs="宋体"/>
          <w:b w:val="0"/>
          <w:color w:val="auto"/>
          <w:sz w:val="24"/>
          <w:szCs w:val="24"/>
          <w:highlight w:val="none"/>
          <w:lang w:val="en-US" w:eastAsia="zh-CN"/>
        </w:rPr>
        <w:t>2年</w:t>
      </w:r>
      <w:r>
        <w:rPr>
          <w:rFonts w:hint="eastAsia" w:ascii="宋体" w:hAnsi="宋体" w:eastAsia="宋体" w:cs="宋体"/>
          <w:color w:val="auto"/>
          <w:sz w:val="24"/>
          <w:szCs w:val="24"/>
          <w:highlight w:val="none"/>
          <w:lang w:val="en-US" w:eastAsia="zh-CN"/>
        </w:rPr>
        <w:t>（具体以采购人通知为准）。</w:t>
      </w:r>
    </w:p>
    <w:p>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第四条、车辆投保数量及金额</w:t>
      </w:r>
    </w:p>
    <w:tbl>
      <w:tblPr>
        <w:tblStyle w:val="30"/>
        <w:tblW w:w="89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686"/>
        <w:gridCol w:w="1771"/>
        <w:gridCol w:w="1114"/>
        <w:gridCol w:w="20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16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品牌</w:t>
            </w:r>
          </w:p>
        </w:tc>
        <w:tc>
          <w:tcPr>
            <w:tcW w:w="17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w:t>
            </w:r>
          </w:p>
        </w:tc>
        <w:tc>
          <w:tcPr>
            <w:tcW w:w="11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20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kern w:val="0"/>
                <w:sz w:val="24"/>
                <w:szCs w:val="24"/>
                <w:highlight w:val="none"/>
              </w:rPr>
              <w:t>核定载人数</w:t>
            </w:r>
          </w:p>
        </w:tc>
        <w:tc>
          <w:tcPr>
            <w:tcW w:w="15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17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11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20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15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5"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合同金额：大写人民币         元整；                  RMB：元</w:t>
            </w:r>
          </w:p>
        </w:tc>
      </w:tr>
    </w:tbl>
    <w:p>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五</w:t>
      </w:r>
      <w:r>
        <w:rPr>
          <w:rFonts w:hint="eastAsia" w:ascii="宋体" w:hAnsi="宋体" w:eastAsia="宋体" w:cs="宋体"/>
          <w:b/>
          <w:color w:val="auto"/>
          <w:sz w:val="24"/>
          <w:szCs w:val="24"/>
          <w:highlight w:val="none"/>
        </w:rPr>
        <w:t>条、</w:t>
      </w:r>
      <w:r>
        <w:rPr>
          <w:rFonts w:hint="eastAsia" w:ascii="宋体" w:hAnsi="宋体" w:eastAsia="宋体" w:cs="宋体"/>
          <w:b/>
          <w:color w:val="auto"/>
          <w:sz w:val="24"/>
          <w:szCs w:val="24"/>
          <w:highlight w:val="none"/>
          <w:lang w:val="en-US" w:eastAsia="zh-CN"/>
        </w:rPr>
        <w:t>结算依据</w:t>
      </w:r>
    </w:p>
    <w:p>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lang w:val="en-US" w:eastAsia="zh-CN"/>
        </w:rPr>
        <w:t>第一年保费按实结算，第二年保费若实际保费低于最终报价则按实结算，若高于最终报价则按最终报价结算。（第二年投标报价由各供应商自行承担风险）。</w:t>
      </w:r>
    </w:p>
    <w:p>
      <w:pPr>
        <w:keepNext w:val="0"/>
        <w:keepLines w:val="0"/>
        <w:pageBreakBefore w:val="0"/>
        <w:widowControl w:val="0"/>
        <w:tabs>
          <w:tab w:val="left" w:pos="0"/>
        </w:tab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第六条、</w:t>
      </w:r>
      <w:r>
        <w:rPr>
          <w:rFonts w:hint="eastAsia" w:ascii="宋体" w:hAnsi="宋体" w:eastAsia="宋体" w:cs="宋体"/>
          <w:b/>
          <w:color w:val="auto"/>
          <w:sz w:val="24"/>
          <w:szCs w:val="24"/>
          <w:highlight w:val="none"/>
        </w:rPr>
        <w:t>履约保证金</w:t>
      </w:r>
    </w:p>
    <w:p>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val="0"/>
          <w:bCs/>
          <w:color w:val="auto"/>
          <w:sz w:val="24"/>
          <w:szCs w:val="24"/>
          <w:highlight w:val="none"/>
          <w:lang w:val="en-US" w:eastAsia="zh-CN"/>
        </w:rPr>
        <w:t>履约保证金按中标金额的1%计取，</w:t>
      </w:r>
      <w:r>
        <w:rPr>
          <w:rFonts w:hint="eastAsia" w:ascii="宋体" w:hAnsi="宋体" w:eastAsia="宋体" w:cs="宋体"/>
          <w:color w:val="auto"/>
          <w:kern w:val="2"/>
          <w:sz w:val="24"/>
          <w:szCs w:val="24"/>
          <w:highlight w:val="none"/>
          <w:lang w:val="en-US" w:eastAsia="zh-CN" w:bidi="ar-SA"/>
        </w:rPr>
        <w:t>中标单位中标通知书发出后5个工作日内向采购人递交履约保证金</w:t>
      </w:r>
      <w:r>
        <w:rPr>
          <w:rFonts w:hint="eastAsia" w:ascii="宋体" w:hAnsi="宋体" w:eastAsia="宋体" w:cs="宋体"/>
          <w:color w:val="auto"/>
          <w:spacing w:val="0"/>
          <w:w w:val="100"/>
          <w:position w:val="0"/>
          <w:sz w:val="24"/>
          <w:szCs w:val="24"/>
          <w:highlight w:val="none"/>
          <w:u w:val="none"/>
          <w:shd w:val="clear" w:color="auto" w:fill="auto"/>
          <w:lang w:val="en-US" w:eastAsia="zh-CN" w:bidi="zh-TW"/>
        </w:rPr>
        <w:t>（电汇/汇票/本 票等转账方式或银行保函方式），</w:t>
      </w:r>
      <w:r>
        <w:rPr>
          <w:rFonts w:hint="eastAsia" w:ascii="宋体" w:hAnsi="宋体" w:eastAsia="宋体" w:cs="宋体"/>
          <w:color w:val="auto"/>
          <w:sz w:val="24"/>
          <w:szCs w:val="24"/>
          <w:highlight w:val="none"/>
        </w:rPr>
        <w:t>履约保证金待</w:t>
      </w:r>
      <w:r>
        <w:rPr>
          <w:rFonts w:hint="eastAsia" w:ascii="宋体" w:hAnsi="宋体" w:eastAsia="宋体" w:cs="宋体"/>
          <w:color w:val="auto"/>
          <w:sz w:val="24"/>
          <w:szCs w:val="24"/>
          <w:highlight w:val="none"/>
          <w:lang w:val="en-US" w:eastAsia="zh-CN"/>
        </w:rPr>
        <w:t>服务</w:t>
      </w:r>
      <w:r>
        <w:rPr>
          <w:rFonts w:hint="eastAsia" w:ascii="宋体" w:hAnsi="宋体" w:eastAsia="宋体" w:cs="宋体"/>
          <w:snapToGrid w:val="0"/>
          <w:color w:val="auto"/>
          <w:kern w:val="0"/>
          <w:sz w:val="24"/>
          <w:szCs w:val="24"/>
          <w:highlight w:val="none"/>
        </w:rPr>
        <w:t>期满</w:t>
      </w:r>
      <w:r>
        <w:rPr>
          <w:rFonts w:hint="eastAsia" w:ascii="宋体" w:hAnsi="宋体" w:eastAsia="宋体" w:cs="宋体"/>
          <w:snapToGrid w:val="0"/>
          <w:color w:val="auto"/>
          <w:kern w:val="0"/>
          <w:sz w:val="24"/>
          <w:szCs w:val="24"/>
          <w:highlight w:val="none"/>
          <w:lang w:val="en-US" w:eastAsia="zh-CN"/>
        </w:rPr>
        <w:t>无违约问题后30</w:t>
      </w:r>
      <w:r>
        <w:rPr>
          <w:rFonts w:hint="eastAsia" w:ascii="宋体" w:hAnsi="宋体" w:eastAsia="宋体" w:cs="宋体"/>
          <w:snapToGrid w:val="0"/>
          <w:color w:val="auto"/>
          <w:kern w:val="0"/>
          <w:sz w:val="24"/>
          <w:szCs w:val="24"/>
          <w:highlight w:val="none"/>
        </w:rPr>
        <w:t>日内无息退回。</w:t>
      </w:r>
    </w:p>
    <w:p>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七</w:t>
      </w:r>
      <w:r>
        <w:rPr>
          <w:rFonts w:hint="eastAsia" w:ascii="宋体" w:hAnsi="宋体" w:eastAsia="宋体" w:cs="宋体"/>
          <w:b/>
          <w:color w:val="auto"/>
          <w:sz w:val="24"/>
          <w:szCs w:val="24"/>
          <w:highlight w:val="none"/>
        </w:rPr>
        <w:t>条、</w:t>
      </w:r>
      <w:r>
        <w:rPr>
          <w:rFonts w:hint="eastAsia" w:ascii="宋体" w:hAnsi="宋体" w:eastAsia="宋体" w:cs="宋体"/>
          <w:b/>
          <w:color w:val="auto"/>
          <w:sz w:val="24"/>
          <w:szCs w:val="24"/>
          <w:highlight w:val="none"/>
          <w:lang w:val="en-US" w:eastAsia="zh-CN"/>
        </w:rPr>
        <w:t>合同金额及</w:t>
      </w:r>
      <w:r>
        <w:rPr>
          <w:rFonts w:hint="eastAsia" w:ascii="宋体" w:hAnsi="宋体" w:eastAsia="宋体" w:cs="宋体"/>
          <w:b/>
          <w:color w:val="auto"/>
          <w:sz w:val="24"/>
          <w:szCs w:val="24"/>
          <w:highlight w:val="none"/>
        </w:rPr>
        <w:t>付款方式</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签订合同后3个工作日内付清第一年全额保费，以此类推。</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w:t>
      </w:r>
      <w:r>
        <w:rPr>
          <w:rFonts w:hint="eastAsia" w:ascii="宋体" w:hAnsi="宋体" w:eastAsia="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rPr>
        <w:t>在收到投保单位汇出的保险费当日（以到账时间为准）出具保单和正式发票，并于24小时内送至投保单位。</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3.期内报废/转卖车辆</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val="0"/>
          <w:bCs/>
          <w:color w:val="auto"/>
          <w:sz w:val="24"/>
          <w:szCs w:val="24"/>
          <w:highlight w:val="none"/>
        </w:rPr>
        <w:t>报废/转卖的车辆，保费于退保时一次性结清，并于7个工作日内转入甲方指定账户。</w:t>
      </w:r>
    </w:p>
    <w:p>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八</w:t>
      </w:r>
      <w:r>
        <w:rPr>
          <w:rFonts w:hint="eastAsia" w:ascii="宋体" w:hAnsi="宋体" w:eastAsia="宋体" w:cs="宋体"/>
          <w:b/>
          <w:color w:val="auto"/>
          <w:sz w:val="24"/>
          <w:szCs w:val="24"/>
          <w:highlight w:val="none"/>
        </w:rPr>
        <w:t>条、服务要求</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应指派专人负责</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的保险业务联系工作。确保</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获得优先服务的权利，享受大客户的便利条件。</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应设有24小时全天报案服务电话，并设专人受理索赔，接、报案。</w:t>
      </w:r>
    </w:p>
    <w:p>
      <w:pPr>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在接</w:t>
      </w:r>
      <w:r>
        <w:rPr>
          <w:rFonts w:hint="eastAsia" w:ascii="宋体" w:hAnsi="宋体" w:eastAsia="宋体" w:cs="宋体"/>
          <w:color w:val="auto"/>
          <w:sz w:val="24"/>
          <w:szCs w:val="24"/>
          <w:highlight w:val="none"/>
          <w:lang w:eastAsia="zh-CN"/>
        </w:rPr>
        <w:t>到</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的出险报案后,市区</w:t>
      </w:r>
      <w:r>
        <w:rPr>
          <w:rFonts w:hint="eastAsia" w:ascii="宋体" w:hAnsi="宋体" w:eastAsia="宋体" w:cs="宋体"/>
          <w:color w:val="auto"/>
          <w:sz w:val="24"/>
          <w:szCs w:val="24"/>
          <w:highlight w:val="none"/>
          <w:lang w:eastAsia="zh-CN"/>
        </w:rPr>
        <w:t>范围</w:t>
      </w:r>
      <w:r>
        <w:rPr>
          <w:rFonts w:hint="eastAsia" w:ascii="宋体" w:hAnsi="宋体" w:eastAsia="宋体" w:cs="宋体"/>
          <w:color w:val="auto"/>
          <w:sz w:val="24"/>
          <w:szCs w:val="24"/>
          <w:highlight w:val="none"/>
        </w:rPr>
        <w:t>内的理赔人员应于0</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5小时以内,市郊1小时内赶到现场。超过该时限,视为保险公司已到达现场,事故车可自行移位,以被保险人留存的现场资料及处理事故的相关材料为依据进行全额赔付。投保车辆出险后,</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须根据投保人的要求提供全程上门服务:包括到全国各地帮助理赔及参与交警及法院调解处理</w:t>
      </w:r>
      <w:r>
        <w:rPr>
          <w:rFonts w:hint="eastAsia" w:ascii="宋体" w:hAnsi="宋体" w:eastAsia="宋体" w:cs="宋体"/>
          <w:color w:val="auto"/>
          <w:sz w:val="24"/>
          <w:szCs w:val="24"/>
          <w:highlight w:val="none"/>
          <w:lang w:eastAsia="zh-CN"/>
        </w:rPr>
        <w:t>相关费用由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eastAsia="zh-CN"/>
        </w:rPr>
        <w:t>负责。</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发生交通事故，</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如有需预付赔款、医药费等，</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必须及时预付。</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赔款时限：20000元以下1个工作日内；20000-100000元3</w:t>
      </w:r>
      <w:r>
        <w:rPr>
          <w:rFonts w:hint="eastAsia" w:ascii="宋体" w:hAnsi="宋体" w:eastAsia="宋体" w:cs="宋体"/>
          <w:color w:val="auto"/>
          <w:sz w:val="24"/>
          <w:szCs w:val="24"/>
          <w:highlight w:val="none"/>
          <w:lang w:val="en-US" w:eastAsia="zh-CN"/>
        </w:rPr>
        <w:t>个</w:t>
      </w:r>
      <w:r>
        <w:rPr>
          <w:rFonts w:hint="eastAsia" w:ascii="宋体" w:hAnsi="宋体" w:eastAsia="宋体" w:cs="宋体"/>
          <w:color w:val="auto"/>
          <w:sz w:val="24"/>
          <w:szCs w:val="24"/>
          <w:highlight w:val="none"/>
        </w:rPr>
        <w:t>工作日内； 100000</w:t>
      </w:r>
      <w:r>
        <w:rPr>
          <w:rFonts w:hint="eastAsia" w:ascii="宋体" w:hAnsi="宋体" w:eastAsia="宋体" w:cs="宋体"/>
          <w:color w:val="auto"/>
          <w:sz w:val="24"/>
          <w:szCs w:val="24"/>
          <w:highlight w:val="none"/>
          <w:lang w:val="en-US" w:eastAsia="zh-CN"/>
        </w:rPr>
        <w:t>元</w:t>
      </w:r>
      <w:r>
        <w:rPr>
          <w:rFonts w:hint="eastAsia" w:ascii="宋体" w:hAnsi="宋体" w:eastAsia="宋体" w:cs="宋体"/>
          <w:color w:val="auto"/>
          <w:sz w:val="24"/>
          <w:szCs w:val="24"/>
          <w:highlight w:val="none"/>
        </w:rPr>
        <w:t>以上10个工作日内。</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对发生保险事故的车辆，在</w:t>
      </w:r>
      <w:r>
        <w:rPr>
          <w:rFonts w:hint="eastAsia" w:ascii="宋体" w:hAnsi="宋体" w:eastAsia="宋体" w:cs="宋体"/>
          <w:color w:val="auto"/>
          <w:sz w:val="24"/>
          <w:szCs w:val="24"/>
          <w:highlight w:val="none"/>
          <w:lang w:val="en-US" w:eastAsia="zh-CN"/>
        </w:rPr>
        <w:t>嵊州</w:t>
      </w:r>
      <w:r>
        <w:rPr>
          <w:rFonts w:hint="eastAsia" w:ascii="宋体" w:hAnsi="宋体" w:eastAsia="宋体" w:cs="宋体"/>
          <w:color w:val="auto"/>
          <w:sz w:val="24"/>
          <w:szCs w:val="24"/>
          <w:highlight w:val="none"/>
        </w:rPr>
        <w:t>市范围实行免费拖车施救。</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依法判决的理赔案处理应以法院判决的标准全额赔付。</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应对投保车辆建立用户档案，开展跟踪服务，对各个保险标的及保险情况进行信息化管理。</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不得限制</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要求的出险次数。对承保车辆不得加扣多次事故免赔率。</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10.</w:t>
      </w:r>
      <w:r>
        <w:rPr>
          <w:rFonts w:hint="eastAsia" w:ascii="宋体" w:hAnsi="宋体" w:eastAsia="宋体" w:cs="宋体"/>
          <w:color w:val="auto"/>
          <w:sz w:val="24"/>
          <w:szCs w:val="24"/>
          <w:highlight w:val="none"/>
        </w:rPr>
        <w:t>保险生效时间以保单中载述的起止时间为准。</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的保险费按约定支付后，</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须及时出具全额保单，不得拖延。</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应提供保险知识、出险索赔程序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安全等方面的咨询服务，并举行定期的主题活动，宣传保险安全知识。</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应协助</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做好对投保经办人的廉政工作，不得以任何形式向投保方提供回扣。</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的</w:t>
      </w:r>
      <w:r>
        <w:rPr>
          <w:rFonts w:hint="eastAsia" w:ascii="宋体" w:hAnsi="宋体" w:eastAsia="宋体" w:cs="宋体"/>
          <w:color w:val="auto"/>
          <w:kern w:val="2"/>
          <w:sz w:val="24"/>
          <w:szCs w:val="24"/>
          <w:highlight w:val="none"/>
          <w:lang w:val="en-US" w:eastAsia="zh-CN" w:bidi="ar-SA"/>
        </w:rPr>
        <w:t>中标保险费</w:t>
      </w:r>
      <w:r>
        <w:rPr>
          <w:rFonts w:hint="eastAsia" w:ascii="宋体" w:hAnsi="宋体" w:eastAsia="宋体" w:cs="宋体"/>
          <w:color w:val="auto"/>
          <w:sz w:val="24"/>
          <w:szCs w:val="24"/>
          <w:highlight w:val="none"/>
        </w:rPr>
        <w:t>即为合同履行</w:t>
      </w:r>
      <w:r>
        <w:rPr>
          <w:rFonts w:hint="eastAsia" w:ascii="宋体" w:hAnsi="宋体" w:eastAsia="宋体" w:cs="宋体"/>
          <w:color w:val="auto"/>
          <w:sz w:val="24"/>
          <w:szCs w:val="24"/>
          <w:highlight w:val="none"/>
          <w:lang w:val="en-US" w:eastAsia="zh-CN"/>
        </w:rPr>
        <w:t>价格</w:t>
      </w:r>
      <w:r>
        <w:rPr>
          <w:rFonts w:hint="eastAsia" w:ascii="宋体" w:hAnsi="宋体" w:eastAsia="宋体" w:cs="宋体"/>
          <w:color w:val="auto"/>
          <w:sz w:val="24"/>
          <w:szCs w:val="24"/>
          <w:highlight w:val="none"/>
        </w:rPr>
        <w:t>，必须按</w:t>
      </w:r>
      <w:r>
        <w:rPr>
          <w:rFonts w:hint="eastAsia" w:ascii="宋体" w:hAnsi="宋体" w:eastAsia="宋体" w:cs="宋体"/>
          <w:color w:val="auto"/>
          <w:kern w:val="2"/>
          <w:sz w:val="24"/>
          <w:szCs w:val="24"/>
          <w:highlight w:val="none"/>
          <w:lang w:val="en-US" w:eastAsia="zh-CN" w:bidi="ar-SA"/>
        </w:rPr>
        <w:t>中标保险费</w:t>
      </w:r>
      <w:r>
        <w:rPr>
          <w:rFonts w:hint="eastAsia" w:ascii="宋体" w:hAnsi="宋体" w:eastAsia="宋体" w:cs="宋体"/>
          <w:color w:val="auto"/>
          <w:sz w:val="24"/>
          <w:szCs w:val="24"/>
          <w:highlight w:val="none"/>
        </w:rPr>
        <w:t>签发保单，若发现</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不按此规定执行，一经查实立即取消中标人保险资格。</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保密要求：与本项目有关的资料及数据成果中涉及国家秘密的内容，均要求按照《国家保密法》及相关法律法规执行。涉及单位秘密或财务数据的，投标人应当保密。</w:t>
      </w:r>
    </w:p>
    <w:p>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九</w:t>
      </w:r>
      <w:r>
        <w:rPr>
          <w:rFonts w:hint="eastAsia" w:ascii="宋体" w:hAnsi="宋体" w:eastAsia="宋体" w:cs="宋体"/>
          <w:b/>
          <w:color w:val="auto"/>
          <w:sz w:val="24"/>
          <w:szCs w:val="24"/>
          <w:highlight w:val="none"/>
        </w:rPr>
        <w:t>条、理赔</w:t>
      </w:r>
    </w:p>
    <w:p>
      <w:pPr>
        <w:keepNext w:val="0"/>
        <w:keepLines w:val="0"/>
        <w:pageBreakBefore w:val="0"/>
        <w:widowControl w:val="0"/>
        <w:numPr>
          <w:ilvl w:val="0"/>
          <w:numId w:val="0"/>
        </w:numPr>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甲方的保险车辆出现车损及人伤事故后，乙方应根据服务承诺，对出险车辆及时提出处理意见，在车辆计损时必须以原厂配件价格为基数进行计算，并及时支付赔款。</w:t>
      </w:r>
    </w:p>
    <w:p>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赔偿处理按《机动车辆保险条款》有关条款处理，赔偿标准按照国家现行道路交通事故处理法律法规的相关规定及投保时保险车辆确定保险金额的方式处理，乙方必须主动及时协助甲方处理赔款事宜。</w:t>
      </w:r>
    </w:p>
    <w:p>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每月终了后五天内将《</w:t>
      </w:r>
      <w:r>
        <w:rPr>
          <w:rFonts w:hint="eastAsia" w:ascii="宋体" w:hAnsi="宋体" w:eastAsia="宋体" w:cs="宋体"/>
          <w:color w:val="auto"/>
          <w:sz w:val="24"/>
          <w:szCs w:val="24"/>
          <w:highlight w:val="none"/>
          <w:lang w:eastAsia="zh-CN"/>
        </w:rPr>
        <w:t>嵊州市公共交通有限公司</w:t>
      </w:r>
      <w:r>
        <w:rPr>
          <w:rFonts w:hint="eastAsia" w:ascii="宋体" w:hAnsi="宋体" w:eastAsia="宋体" w:cs="宋体"/>
          <w:color w:val="auto"/>
          <w:sz w:val="24"/>
          <w:szCs w:val="24"/>
          <w:highlight w:val="none"/>
        </w:rPr>
        <w:t>公交车辆保险赔款汇总表》和每份赔款复印件集中后交甲方备案。</w:t>
      </w:r>
    </w:p>
    <w:p>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十</w:t>
      </w:r>
      <w:r>
        <w:rPr>
          <w:rFonts w:hint="eastAsia" w:ascii="宋体" w:hAnsi="宋体" w:eastAsia="宋体" w:cs="宋体"/>
          <w:b/>
          <w:color w:val="auto"/>
          <w:sz w:val="24"/>
          <w:szCs w:val="24"/>
          <w:highlight w:val="none"/>
        </w:rPr>
        <w:t>条、特别约定</w:t>
      </w:r>
    </w:p>
    <w:p>
      <w:pPr>
        <w:keepNext w:val="0"/>
        <w:keepLines w:val="0"/>
        <w:pageBreakBefore w:val="0"/>
        <w:widowControl w:val="0"/>
        <w:numPr>
          <w:ilvl w:val="0"/>
          <w:numId w:val="8"/>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对于同属甲方公司所有的保险车辆发生双方/多方事故，则视同各方互为第三者。</w:t>
      </w:r>
    </w:p>
    <w:p>
      <w:pPr>
        <w:keepNext w:val="0"/>
        <w:keepLines w:val="0"/>
        <w:pageBreakBefore w:val="0"/>
        <w:widowControl w:val="0"/>
        <w:numPr>
          <w:ilvl w:val="0"/>
          <w:numId w:val="8"/>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鉴于保险车辆的运营特点，其发动机等机器设备执行总成互换制度的保养规范，乙方同意在发生保险事故时，不因保险车辆的发动机号等机器设备型号与车辆行驶证或保单内容不符而拒绝赔偿。</w:t>
      </w:r>
    </w:p>
    <w:p>
      <w:pPr>
        <w:keepNext w:val="0"/>
        <w:keepLines w:val="0"/>
        <w:pageBreakBefore w:val="0"/>
        <w:widowControl w:val="0"/>
        <w:numPr>
          <w:ilvl w:val="0"/>
          <w:numId w:val="8"/>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服务期内乙方的</w:t>
      </w:r>
      <w:r>
        <w:rPr>
          <w:rFonts w:hint="eastAsia" w:ascii="宋体" w:hAnsi="宋体" w:eastAsia="宋体" w:cs="宋体"/>
          <w:color w:val="auto"/>
          <w:kern w:val="2"/>
          <w:sz w:val="24"/>
          <w:szCs w:val="24"/>
          <w:highlight w:val="none"/>
          <w:lang w:val="en-US" w:eastAsia="zh-CN" w:bidi="ar-SA"/>
        </w:rPr>
        <w:t>中标保险费</w:t>
      </w:r>
      <w:r>
        <w:rPr>
          <w:rFonts w:hint="eastAsia" w:ascii="宋体" w:hAnsi="宋体" w:eastAsia="宋体" w:cs="宋体"/>
          <w:color w:val="auto"/>
          <w:sz w:val="24"/>
          <w:szCs w:val="24"/>
          <w:highlight w:val="none"/>
        </w:rPr>
        <w:t>适用于甲方的所有（含新增）车辆，甲方所有车辆的投保、退保实行按日计算保费。</w:t>
      </w:r>
    </w:p>
    <w:p>
      <w:pPr>
        <w:pageBreakBefore w:val="0"/>
        <w:kinsoku/>
        <w:wordWrap/>
        <w:overflowPunct/>
        <w:topLinePunct w:val="0"/>
        <w:autoSpaceDE/>
        <w:autoSpaceDN/>
        <w:bidi w:val="0"/>
        <w:adjustRightInd/>
        <w:snapToGrid w:val="0"/>
        <w:spacing w:line="480" w:lineRule="exact"/>
        <w:ind w:firstLine="482" w:firstLineChars="200"/>
        <w:jc w:val="left"/>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bCs/>
          <w:color w:val="auto"/>
          <w:kern w:val="2"/>
          <w:sz w:val="24"/>
          <w:szCs w:val="24"/>
          <w:highlight w:val="none"/>
          <w:lang w:val="en-US" w:eastAsia="zh-CN" w:bidi="ar-SA"/>
        </w:rPr>
        <w:t>对车上乘客（包括司机和乘务人员）在车上发生意外事故，按照旅客运输合同责任 赔付，整案赔付金额在10000元以下的，无事故证明及责任认定书，提供车载监控视频后，按旅客运输合同责任处理；10000元以上事故，提供相关事故证明及车载监控视频后，按旅客运输合同责任处理。</w:t>
      </w:r>
    </w:p>
    <w:p>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2"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十一</w:t>
      </w:r>
      <w:r>
        <w:rPr>
          <w:rFonts w:hint="eastAsia" w:ascii="宋体" w:hAnsi="宋体" w:eastAsia="宋体" w:cs="宋体"/>
          <w:b/>
          <w:color w:val="auto"/>
          <w:sz w:val="24"/>
          <w:szCs w:val="24"/>
          <w:highlight w:val="none"/>
        </w:rPr>
        <w:t>条、</w:t>
      </w:r>
      <w:r>
        <w:rPr>
          <w:rFonts w:hint="eastAsia" w:ascii="宋体" w:hAnsi="宋体" w:eastAsia="宋体" w:cs="宋体"/>
          <w:b/>
          <w:color w:val="auto"/>
          <w:sz w:val="24"/>
          <w:szCs w:val="24"/>
          <w:highlight w:val="none"/>
          <w:lang w:val="en-US" w:eastAsia="zh-CN"/>
        </w:rPr>
        <w:t>诉讼</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en-US" w:eastAsia="zh-CN" w:bidi="ar-SA"/>
        </w:rPr>
        <w:t>双方在执行合同中所发生的一切争议，应通过协商解决。如协商不成，可向合同签订地法院起诉。</w:t>
      </w:r>
    </w:p>
    <w:p>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条、违约责任：</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乙方有违约情形的，甲方有权从履约保证金中取得补偿。补偿额为因乙方未履约相关合条款而造成的相关经济损失。</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乙方有违约情形的，且情节严重，造成公司经济损失额5万以上的，甲方有权终止合同。</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在保险有效期内，乙方有服务不到位情形被甲方下属公司及工作人员投诉的，甲方进行调查核实，向乙方进行通报。经甲方三次通报仍无效的，甲方有权终止合同。</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发生上述</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3两种情形的，三年内乙方不得参与甲方机动车保险招投标。甲方选择终止合同的，乙方必须将剩余部分保险费在合同解除后五日内退还甲方。</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三</w:t>
      </w:r>
      <w:r>
        <w:rPr>
          <w:rFonts w:hint="eastAsia" w:ascii="宋体" w:hAnsi="宋体" w:eastAsia="宋体" w:cs="宋体"/>
          <w:b/>
          <w:color w:val="auto"/>
          <w:sz w:val="24"/>
          <w:szCs w:val="24"/>
          <w:highlight w:val="none"/>
        </w:rPr>
        <w:t>条、合同生效及其它</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合同经</w:t>
      </w:r>
      <w:r>
        <w:rPr>
          <w:rFonts w:hint="eastAsia" w:ascii="宋体" w:hAnsi="宋体" w:eastAsia="宋体" w:cs="宋体"/>
          <w:color w:val="auto"/>
          <w:sz w:val="24"/>
          <w:szCs w:val="24"/>
          <w:highlight w:val="none"/>
          <w:lang w:val="en-US" w:eastAsia="zh-CN"/>
        </w:rPr>
        <w:t>双</w:t>
      </w:r>
      <w:r>
        <w:rPr>
          <w:rFonts w:hint="eastAsia" w:ascii="宋体" w:hAnsi="宋体" w:eastAsia="宋体" w:cs="宋体"/>
          <w:color w:val="auto"/>
          <w:sz w:val="24"/>
          <w:szCs w:val="24"/>
          <w:highlight w:val="none"/>
        </w:rPr>
        <w:t>方法定代表人或授权代表签字并加盖单位公章后生效。</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合同执行中涉及采购资金和采购内容修改或补充的，须经国资部门审批，并签书面补充协议报国资管理部门备案，方可作为主合同不可分割的一部分。</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本合同未尽事宜，遵照《</w:t>
      </w:r>
      <w:r>
        <w:rPr>
          <w:rFonts w:hint="eastAsia" w:ascii="宋体" w:hAnsi="宋体" w:eastAsia="宋体" w:cs="宋体"/>
          <w:color w:val="auto"/>
          <w:sz w:val="24"/>
          <w:szCs w:val="24"/>
          <w:highlight w:val="none"/>
          <w:lang w:val="en-US" w:eastAsia="zh-CN"/>
        </w:rPr>
        <w:t>中华人民共和国民法典</w:t>
      </w:r>
      <w:r>
        <w:rPr>
          <w:rFonts w:hint="eastAsia" w:ascii="宋体" w:hAnsi="宋体" w:eastAsia="宋体" w:cs="宋体"/>
          <w:color w:val="auto"/>
          <w:sz w:val="24"/>
          <w:szCs w:val="24"/>
          <w:highlight w:val="none"/>
        </w:rPr>
        <w:t>》有关条文执行。</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本合同正本一式</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份，甲乙双方各执二份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招标代理机构各执一份，具有同等法律效力。</w:t>
      </w:r>
    </w:p>
    <w:p>
      <w:pPr>
        <w:pStyle w:val="15"/>
        <w:pageBreakBefore w:val="0"/>
        <w:kinsoku/>
        <w:wordWrap/>
        <w:overflowPunct/>
        <w:topLinePunct w:val="0"/>
        <w:autoSpaceDE/>
        <w:autoSpaceDN/>
        <w:bidi w:val="0"/>
        <w:adjustRightInd/>
        <w:snapToGrid w:val="0"/>
        <w:spacing w:line="48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甲方（盖章）：                      乙方（盖章）：</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法定代表人或受委托人                 法定代表人或受委托人</w:t>
      </w:r>
    </w:p>
    <w:p>
      <w:pPr>
        <w:pStyle w:val="15"/>
        <w:pageBreakBefore w:val="0"/>
        <w:kinsoku/>
        <w:wordWrap/>
        <w:overflowPunct/>
        <w:topLinePunct w:val="0"/>
        <w:autoSpaceDE/>
        <w:autoSpaceDN/>
        <w:bidi w:val="0"/>
        <w:adjustRightInd/>
        <w:snapToGrid w:val="0"/>
        <w:spacing w:line="480" w:lineRule="exact"/>
        <w:ind w:left="-24" w:leftChars="-85" w:hanging="180" w:hangingChars="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                             （签字）</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地址： </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                               邮编：</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电话：</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                               传真：</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开户银行：</w:t>
      </w:r>
    </w:p>
    <w:p>
      <w:pPr>
        <w:pageBreakBefore w:val="0"/>
        <w:widowControl/>
        <w:kinsoku/>
        <w:wordWrap/>
        <w:overflowPunct/>
        <w:topLinePunct w:val="0"/>
        <w:autoSpaceDE/>
        <w:autoSpaceDN/>
        <w:bidi w:val="0"/>
        <w:adjustRightInd/>
        <w:snapToGrid w:val="0"/>
        <w:spacing w:line="48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帐号：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帐号：</w:t>
      </w:r>
    </w:p>
    <w:p>
      <w:pPr>
        <w:keepNext/>
        <w:keepLines/>
        <w:pageBreakBefore w:val="0"/>
        <w:tabs>
          <w:tab w:val="left" w:pos="432"/>
        </w:tabs>
        <w:kinsoku/>
        <w:wordWrap/>
        <w:overflowPunct/>
        <w:topLinePunct w:val="0"/>
        <w:autoSpaceDE/>
        <w:autoSpaceDN/>
        <w:bidi w:val="0"/>
        <w:adjustRightInd/>
        <w:snapToGrid w:val="0"/>
        <w:spacing w:line="480" w:lineRule="exact"/>
        <w:ind w:left="432" w:firstLine="482"/>
        <w:jc w:val="left"/>
        <w:textAlignment w:val="auto"/>
        <w:outlineLvl w:val="1"/>
        <w:rPr>
          <w:rFonts w:hint="eastAsia" w:ascii="宋体" w:hAnsi="宋体" w:eastAsia="宋体" w:cs="宋体"/>
          <w:b/>
          <w:bCs/>
          <w:color w:val="auto"/>
          <w:sz w:val="24"/>
          <w:szCs w:val="24"/>
          <w:highlight w:val="none"/>
          <w:lang w:val="zh-CN"/>
        </w:rPr>
      </w:pPr>
      <w:r>
        <w:rPr>
          <w:rFonts w:hint="eastAsia" w:ascii="宋体" w:hAnsi="宋体" w:eastAsia="宋体" w:cs="宋体"/>
          <w:color w:val="auto"/>
          <w:sz w:val="24"/>
          <w:szCs w:val="24"/>
          <w:highlight w:val="none"/>
          <w:lang w:val="en-US" w:eastAsia="zh-CN"/>
        </w:rPr>
        <w:t>签订时间：</w:t>
      </w:r>
      <w:r>
        <w:rPr>
          <w:rFonts w:hint="eastAsia" w:ascii="宋体" w:hAnsi="宋体" w:eastAsia="宋体" w:cs="宋体"/>
          <w:b/>
          <w:bCs/>
          <w:color w:val="auto"/>
          <w:sz w:val="24"/>
          <w:szCs w:val="24"/>
          <w:highlight w:val="none"/>
        </w:rPr>
        <w:br w:type="page"/>
      </w: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36" w:lineRule="auto"/>
        <w:jc w:val="center"/>
        <w:outlineLvl w:val="0"/>
        <w:rPr>
          <w:rFonts w:hint="eastAsia" w:ascii="仿宋" w:hAnsi="仿宋" w:eastAsia="仿宋" w:cs="仿宋"/>
          <w:b/>
          <w:color w:val="auto"/>
          <w:kern w:val="0"/>
          <w:sz w:val="36"/>
          <w:szCs w:val="36"/>
          <w:highlight w:val="none"/>
        </w:rPr>
      </w:pPr>
    </w:p>
    <w:p>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36" w:lineRule="auto"/>
        <w:jc w:val="center"/>
        <w:outlineLvl w:val="0"/>
        <w:rPr>
          <w:rFonts w:ascii="仿宋" w:hAnsi="仿宋" w:eastAsia="仿宋" w:cs="仿宋"/>
          <w:b/>
          <w:color w:val="auto"/>
          <w:kern w:val="0"/>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eastAsia="仿宋" w:cs="仿宋"/>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rPr>
        <w:t>（1）</w:t>
      </w:r>
      <w:r>
        <w:rPr>
          <w:rFonts w:hint="eastAsia" w:ascii="宋体" w:hAnsi="Times New Roman" w:eastAsia="宋体" w:cs="宋体"/>
          <w:color w:val="auto"/>
          <w:kern w:val="0"/>
          <w:sz w:val="24"/>
          <w:szCs w:val="24"/>
          <w:highlight w:val="none"/>
          <w:lang w:eastAsia="zh-CN"/>
        </w:rPr>
        <w:t>营业执照扫描件</w:t>
      </w:r>
      <w:r>
        <w:rPr>
          <w:rFonts w:hint="eastAsia" w:ascii="宋体" w:hAnsi="Times New Roman" w:eastAsia="宋体" w:cs="宋体"/>
          <w:color w:val="auto"/>
          <w:kern w:val="0"/>
          <w:sz w:val="24"/>
          <w:szCs w:val="24"/>
          <w:highlight w:val="none"/>
        </w:rPr>
        <w:t>……………………………………………………………（页码）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cs="宋体"/>
          <w:color w:val="auto"/>
          <w:kern w:val="0"/>
          <w:sz w:val="24"/>
          <w:szCs w:val="24"/>
          <w:highlight w:val="none"/>
          <w:lang w:val="zh-CN"/>
        </w:rPr>
      </w:pPr>
      <w:r>
        <w:rPr>
          <w:rFonts w:hint="eastAsia" w:ascii="宋体" w:cs="宋体"/>
          <w:color w:val="auto"/>
          <w:kern w:val="0"/>
          <w:sz w:val="24"/>
          <w:szCs w:val="24"/>
          <w:highlight w:val="none"/>
        </w:rPr>
        <w:t>（</w:t>
      </w:r>
      <w:r>
        <w:rPr>
          <w:rFonts w:hint="eastAsia" w:ascii="宋体" w:cs="宋体"/>
          <w:color w:val="auto"/>
          <w:kern w:val="0"/>
          <w:sz w:val="24"/>
          <w:szCs w:val="24"/>
          <w:highlight w:val="none"/>
          <w:lang w:val="en-US" w:eastAsia="zh-CN"/>
        </w:rPr>
        <w:t>2</w:t>
      </w:r>
      <w:r>
        <w:rPr>
          <w:rFonts w:hint="eastAsia" w:ascii="宋体" w:cs="宋体"/>
          <w:color w:val="auto"/>
          <w:kern w:val="0"/>
          <w:sz w:val="24"/>
          <w:szCs w:val="24"/>
          <w:highlight w:val="none"/>
          <w:lang w:val="zh-CN"/>
        </w:rPr>
        <w:t>）符合参加采购活动应当具备的一般条件的承诺函</w:t>
      </w:r>
      <w:r>
        <w:rPr>
          <w:rFonts w:hint="eastAsia" w:ascii="宋体" w:hAnsi="Times New Roman" w:eastAsia="宋体" w:cs="宋体"/>
          <w:color w:val="auto"/>
          <w:kern w:val="0"/>
          <w:sz w:val="24"/>
          <w:szCs w:val="24"/>
          <w:highlight w:val="none"/>
        </w:rPr>
        <w:t>………………………（页码）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cs="宋体"/>
          <w:color w:val="auto"/>
          <w:kern w:val="0"/>
          <w:sz w:val="24"/>
          <w:szCs w:val="24"/>
          <w:highlight w:val="none"/>
        </w:rPr>
      </w:pPr>
      <w:r>
        <w:rPr>
          <w:rFonts w:hint="eastAsia" w:ascii="宋体" w:cs="宋体"/>
          <w:color w:val="auto"/>
          <w:kern w:val="0"/>
          <w:sz w:val="24"/>
          <w:szCs w:val="24"/>
          <w:highlight w:val="none"/>
          <w:lang w:eastAsia="zh-CN"/>
        </w:rPr>
        <w:t>（</w:t>
      </w:r>
      <w:r>
        <w:rPr>
          <w:rFonts w:hint="eastAsia" w:ascii="宋体" w:cs="宋体"/>
          <w:color w:val="auto"/>
          <w:kern w:val="0"/>
          <w:sz w:val="24"/>
          <w:szCs w:val="24"/>
          <w:highlight w:val="none"/>
          <w:lang w:val="en-US" w:eastAsia="zh-CN"/>
        </w:rPr>
        <w:t>3）</w:t>
      </w:r>
      <w:r>
        <w:rPr>
          <w:rFonts w:hint="eastAsia" w:ascii="宋体" w:hAnsi="宋体" w:cs="宋体"/>
          <w:color w:val="auto"/>
          <w:sz w:val="24"/>
          <w:szCs w:val="24"/>
          <w:highlight w:val="none"/>
        </w:rPr>
        <w:t>特定资格要求需提供的证明材料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若有）</w:t>
      </w:r>
      <w:r>
        <w:rPr>
          <w:rFonts w:hint="eastAsia" w:ascii="宋体" w:hAnsi="Times New Roman" w:eastAsia="宋体" w:cs="宋体"/>
          <w:color w:val="auto"/>
          <w:kern w:val="0"/>
          <w:sz w:val="24"/>
          <w:szCs w:val="24"/>
          <w:highlight w:val="none"/>
        </w:rPr>
        <w:t>………………………………（页码）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12"/>
        <w:rPr>
          <w:rFonts w:hint="eastAsia"/>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38"/>
        <w:rPr>
          <w:rFonts w:hint="eastAsia"/>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2"/>
        <w:rPr>
          <w:rFonts w:hint="eastAsia"/>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rPr>
        <w:t>一、</w:t>
      </w:r>
      <w:r>
        <w:rPr>
          <w:rFonts w:hint="eastAsia" w:ascii="仿宋" w:hAnsi="仿宋" w:eastAsia="仿宋" w:cs="仿宋"/>
          <w:b/>
          <w:color w:val="auto"/>
          <w:kern w:val="0"/>
          <w:sz w:val="32"/>
          <w:szCs w:val="32"/>
          <w:highlight w:val="none"/>
          <w:lang w:eastAsia="zh-CN"/>
        </w:rPr>
        <w:t>营业执照扫描件</w:t>
      </w:r>
    </w:p>
    <w:p>
      <w:pPr>
        <w:keepNext w:val="0"/>
        <w:keepLines w:val="0"/>
        <w:pageBreakBefore w:val="0"/>
        <w:widowControl w:val="0"/>
        <w:kinsoku/>
        <w:wordWrap/>
        <w:overflowPunct/>
        <w:topLinePunct w:val="0"/>
        <w:autoSpaceDE/>
        <w:autoSpaceDN/>
        <w:bidi w:val="0"/>
        <w:adjustRightInd w:val="0"/>
        <w:snapToGrid w:val="0"/>
        <w:spacing w:before="937" w:beforeLines="300" w:line="360" w:lineRule="auto"/>
        <w:ind w:right="482"/>
        <w:jc w:val="both"/>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符合参加采购活动应当具备的一般条件的承诺函</w:t>
      </w:r>
    </w:p>
    <w:p>
      <w:pPr>
        <w:spacing w:line="480" w:lineRule="auto"/>
        <w:rPr>
          <w:rFonts w:ascii="宋体" w:hAnsi="宋体"/>
          <w:color w:val="auto"/>
          <w:sz w:val="24"/>
          <w:szCs w:val="24"/>
          <w:highlight w:val="none"/>
          <w:u w:val="single"/>
        </w:rPr>
      </w:pPr>
      <w:r>
        <w:rPr>
          <w:rFonts w:hint="eastAsia" w:ascii="宋体" w:hAnsi="宋体"/>
          <w:color w:val="auto"/>
          <w:sz w:val="24"/>
          <w:szCs w:val="24"/>
          <w:highlight w:val="none"/>
          <w:u w:val="single"/>
        </w:rPr>
        <w:t>（采购</w:t>
      </w:r>
      <w:r>
        <w:rPr>
          <w:rFonts w:hint="eastAsia" w:ascii="宋体" w:hAnsi="宋体"/>
          <w:color w:val="auto"/>
          <w:sz w:val="24"/>
          <w:szCs w:val="24"/>
          <w:highlight w:val="none"/>
          <w:u w:val="single"/>
          <w:lang w:val="en-US" w:eastAsia="zh-CN"/>
        </w:rPr>
        <w:t>人</w:t>
      </w:r>
      <w:r>
        <w:rPr>
          <w:rFonts w:hint="eastAsia" w:ascii="宋体" w:hAnsi="宋体"/>
          <w:color w:val="auto"/>
          <w:sz w:val="24"/>
          <w:szCs w:val="24"/>
          <w:highlight w:val="none"/>
          <w:u w:val="single"/>
        </w:rPr>
        <w:t>）</w:t>
      </w: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lang w:val="en-US" w:eastAsia="zh-CN"/>
        </w:rPr>
        <w:t>采购代理机构）</w:t>
      </w:r>
      <w:r>
        <w:rPr>
          <w:rFonts w:hint="eastAsia" w:ascii="宋体" w:hAnsi="宋体"/>
          <w:color w:val="auto"/>
          <w:sz w:val="24"/>
          <w:szCs w:val="24"/>
          <w:highlight w:val="none"/>
          <w:u w:val="single"/>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Style w:val="67"/>
          <w:rFonts w:ascii="宋体" w:hAnsi="宋体"/>
          <w:color w:val="auto"/>
          <w:kern w:val="0"/>
          <w:sz w:val="24"/>
          <w:szCs w:val="24"/>
          <w:highlight w:val="none"/>
          <w:u w:val="single" w:color="000000"/>
        </w:rPr>
        <w:t>（</w:t>
      </w:r>
      <w:r>
        <w:rPr>
          <w:rStyle w:val="67"/>
          <w:rFonts w:hint="eastAsia" w:ascii="宋体" w:hAnsi="宋体"/>
          <w:color w:val="auto"/>
          <w:kern w:val="0"/>
          <w:sz w:val="24"/>
          <w:szCs w:val="24"/>
          <w:highlight w:val="none"/>
          <w:u w:val="single" w:color="000000"/>
        </w:rPr>
        <w:t xml:space="preserve">          项目名称     </w:t>
      </w:r>
      <w:r>
        <w:rPr>
          <w:rStyle w:val="67"/>
          <w:rFonts w:ascii="宋体" w:hAnsi="宋体"/>
          <w:color w:val="auto"/>
          <w:kern w:val="0"/>
          <w:sz w:val="24"/>
          <w:szCs w:val="24"/>
          <w:highlight w:val="none"/>
          <w:u w:val="single" w:color="000000"/>
        </w:rPr>
        <w:t xml:space="preserve">项目编号   </w:t>
      </w:r>
      <w:r>
        <w:rPr>
          <w:rStyle w:val="67"/>
          <w:rFonts w:ascii="宋体" w:hAnsi="宋体"/>
          <w:color w:val="auto"/>
          <w:kern w:val="0"/>
          <w:sz w:val="24"/>
          <w:szCs w:val="24"/>
          <w:highlight w:val="none"/>
        </w:rPr>
        <w:t>）</w:t>
      </w:r>
      <w:r>
        <w:rPr>
          <w:rFonts w:hint="eastAsia" w:ascii="仿宋" w:hAnsi="仿宋" w:eastAsia="仿宋" w:cs="仿宋"/>
          <w:color w:val="auto"/>
          <w:sz w:val="24"/>
          <w:highlight w:val="none"/>
        </w:rPr>
        <w:t>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w:t>
      </w:r>
      <w:r>
        <w:rPr>
          <w:rFonts w:hint="eastAsia" w:ascii="仿宋" w:hAnsi="仿宋" w:eastAsia="仿宋" w:cs="仿宋"/>
          <w:color w:val="auto"/>
          <w:sz w:val="24"/>
          <w:highlight w:val="none"/>
          <w:lang w:val="en-US" w:eastAsia="zh-CN"/>
        </w:rPr>
        <w:t>以下</w:t>
      </w:r>
      <w:r>
        <w:rPr>
          <w:rFonts w:hint="eastAsia" w:ascii="仿宋" w:hAnsi="仿宋" w:eastAsia="仿宋" w:cs="仿宋"/>
          <w:color w:val="auto"/>
          <w:sz w:val="24"/>
          <w:highlight w:val="none"/>
        </w:rPr>
        <w:t>条件：</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1、具有独立承担民事责任能力的法人。</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2、具有良好的商业信誉。</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3、具有履行合同所必需的设备和专业技术、售后保障等能力。</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5、参加采购活动前三年内，没有重大违法记录、严重失信行为和行贿记录。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lang w:val="zh-CN"/>
        </w:rPr>
      </w:pPr>
    </w:p>
    <w:p>
      <w:pPr>
        <w:snapToGrid w:val="0"/>
        <w:spacing w:line="360" w:lineRule="auto"/>
        <w:jc w:val="center"/>
        <w:rPr>
          <w:rFonts w:hint="eastAsia" w:ascii="宋体" w:hAnsi="宋体" w:cs="宋体"/>
          <w:color w:val="auto"/>
          <w:spacing w:val="6"/>
          <w:sz w:val="24"/>
          <w:szCs w:val="24"/>
          <w:highlight w:val="none"/>
        </w:rPr>
      </w:pPr>
      <w:r>
        <w:rPr>
          <w:rFonts w:hint="eastAsia" w:ascii="Times New Roman" w:hAnsi="宋体" w:eastAsia="宋体" w:cs="宋体"/>
          <w:color w:val="auto"/>
          <w:spacing w:val="6"/>
          <w:kern w:val="0"/>
          <w:sz w:val="24"/>
          <w:szCs w:val="24"/>
          <w:highlight w:val="none"/>
          <w:lang w:val="en-US" w:eastAsia="zh-CN" w:bidi="ar-SA"/>
        </w:rPr>
        <w:t xml:space="preserve">                                投标人(电子签名)</w:t>
      </w:r>
      <w:r>
        <w:rPr>
          <w:rFonts w:hint="eastAsia" w:ascii="宋体" w:hAnsi="宋体" w:cs="宋体"/>
          <w:color w:val="auto"/>
          <w:spacing w:val="6"/>
          <w:sz w:val="24"/>
          <w:szCs w:val="24"/>
          <w:highlight w:val="none"/>
        </w:rPr>
        <w:t>：</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idowControl/>
        <w:spacing w:line="360" w:lineRule="auto"/>
        <w:jc w:val="both"/>
        <w:rPr>
          <w:rFonts w:hint="eastAsia" w:ascii="仿宋" w:hAnsi="仿宋" w:eastAsia="仿宋" w:cs="仿宋"/>
          <w:b/>
          <w:color w:val="auto"/>
          <w:kern w:val="0"/>
          <w:sz w:val="32"/>
          <w:szCs w:val="32"/>
          <w:highlight w:val="none"/>
          <w:lang w:val="en-US" w:eastAsia="zh-CN"/>
        </w:rPr>
      </w:pPr>
    </w:p>
    <w:p>
      <w:pPr>
        <w:widowControl/>
        <w:spacing w:line="360" w:lineRule="auto"/>
        <w:ind w:left="150"/>
        <w:jc w:val="center"/>
        <w:rPr>
          <w:rFonts w:hint="eastAsia" w:ascii="仿宋" w:hAnsi="仿宋" w:eastAsia="仿宋" w:cs="仿宋"/>
          <w:b/>
          <w:bCs w:val="0"/>
          <w:color w:val="auto"/>
          <w:kern w:val="0"/>
          <w:sz w:val="32"/>
          <w:szCs w:val="32"/>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widowControl/>
        <w:spacing w:line="360" w:lineRule="auto"/>
        <w:jc w:val="both"/>
        <w:rPr>
          <w:rFonts w:hint="eastAsia" w:ascii="仿宋" w:hAnsi="仿宋" w:eastAsia="仿宋" w:cs="仿宋"/>
          <w:b/>
          <w:color w:val="auto"/>
          <w:kern w:val="0"/>
          <w:sz w:val="32"/>
          <w:szCs w:val="32"/>
          <w:highlight w:val="none"/>
          <w:lang w:eastAsia="zh-CN"/>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（根据</w:t>
      </w:r>
      <w:r>
        <w:rPr>
          <w:rFonts w:hint="eastAsia" w:ascii="仿宋" w:hAnsi="仿宋" w:eastAsia="仿宋" w:cs="仿宋"/>
          <w:b/>
          <w:bCs/>
          <w:color w:val="auto"/>
          <w:sz w:val="24"/>
          <w:highlight w:val="none"/>
          <w:lang w:val="en-US" w:eastAsia="zh-CN"/>
        </w:rPr>
        <w:t>招标</w:t>
      </w:r>
      <w:r>
        <w:rPr>
          <w:rFonts w:hint="eastAsia" w:ascii="仿宋" w:hAnsi="仿宋" w:eastAsia="仿宋" w:cs="仿宋"/>
          <w:b/>
          <w:bCs/>
          <w:color w:val="auto"/>
          <w:sz w:val="24"/>
          <w:highlight w:val="none"/>
        </w:rPr>
        <w:t>公告本项目的特定资格要求提供相应的材料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如果本项目没有设置特定资格条件，则不需要提供）</w:t>
      </w:r>
    </w:p>
    <w:p>
      <w:pPr>
        <w:spacing w:line="360" w:lineRule="auto"/>
        <w:jc w:val="center"/>
        <w:rPr>
          <w:rFonts w:hint="eastAsia" w:ascii="仿宋" w:hAnsi="仿宋" w:eastAsia="仿宋" w:cs="仿宋"/>
          <w:b/>
          <w:bCs/>
          <w:color w:val="auto"/>
          <w:sz w:val="24"/>
          <w:highlight w:val="none"/>
          <w:lang w:val="zh-CN"/>
        </w:rPr>
      </w:pPr>
    </w:p>
    <w:p>
      <w:pPr>
        <w:pStyle w:val="12"/>
        <w:rPr>
          <w:rFonts w:ascii="仿宋" w:hAnsi="仿宋" w:eastAsia="仿宋" w:cs="仿宋"/>
          <w:color w:val="auto"/>
          <w:kern w:val="0"/>
          <w:sz w:val="24"/>
          <w:highlight w:val="none"/>
          <w:lang w:val="zh-CN"/>
        </w:rPr>
      </w:pPr>
    </w:p>
    <w:p>
      <w:pPr>
        <w:pStyle w:val="27"/>
        <w:rPr>
          <w:rFonts w:ascii="仿宋" w:hAnsi="仿宋" w:eastAsia="仿宋" w:cs="仿宋"/>
          <w:color w:val="auto"/>
          <w:kern w:val="0"/>
          <w:sz w:val="24"/>
          <w:highlight w:val="none"/>
          <w:lang w:val="zh-CN"/>
        </w:rPr>
      </w:pPr>
    </w:p>
    <w:p>
      <w:pPr>
        <w:pStyle w:val="22"/>
        <w:rPr>
          <w:rFonts w:ascii="仿宋" w:hAnsi="仿宋" w:eastAsia="仿宋" w:cs="仿宋"/>
          <w:color w:val="auto"/>
          <w:kern w:val="0"/>
          <w:sz w:val="24"/>
          <w:highlight w:val="none"/>
          <w:lang w:val="zh-CN"/>
        </w:rPr>
      </w:pPr>
    </w:p>
    <w:p>
      <w:pPr>
        <w:rPr>
          <w:rFonts w:ascii="仿宋" w:hAnsi="仿宋" w:eastAsia="仿宋" w:cs="仿宋"/>
          <w:color w:val="auto"/>
          <w:kern w:val="0"/>
          <w:sz w:val="24"/>
          <w:highlight w:val="none"/>
          <w:lang w:val="zh-CN"/>
        </w:rPr>
      </w:pPr>
    </w:p>
    <w:p>
      <w:pPr>
        <w:pStyle w:val="12"/>
        <w:rPr>
          <w:rFonts w:ascii="仿宋" w:hAnsi="仿宋" w:eastAsia="仿宋" w:cs="仿宋"/>
          <w:color w:val="auto"/>
          <w:kern w:val="0"/>
          <w:sz w:val="24"/>
          <w:highlight w:val="none"/>
          <w:lang w:val="zh-CN"/>
        </w:rPr>
      </w:pPr>
    </w:p>
    <w:p>
      <w:pPr>
        <w:pStyle w:val="27"/>
        <w:rPr>
          <w:rFonts w:ascii="仿宋" w:hAnsi="仿宋" w:eastAsia="仿宋" w:cs="仿宋"/>
          <w:color w:val="auto"/>
          <w:kern w:val="0"/>
          <w:sz w:val="24"/>
          <w:highlight w:val="none"/>
          <w:lang w:val="zh-CN"/>
        </w:rPr>
      </w:pPr>
    </w:p>
    <w:p>
      <w:pPr>
        <w:pStyle w:val="22"/>
        <w:rPr>
          <w:rFonts w:ascii="仿宋" w:hAnsi="仿宋" w:eastAsia="仿宋" w:cs="仿宋"/>
          <w:color w:val="auto"/>
          <w:kern w:val="0"/>
          <w:sz w:val="24"/>
          <w:highlight w:val="none"/>
          <w:lang w:val="zh-CN"/>
        </w:rPr>
      </w:pPr>
    </w:p>
    <w:p>
      <w:pPr>
        <w:rPr>
          <w:rFonts w:ascii="仿宋" w:hAnsi="仿宋" w:eastAsia="仿宋" w:cs="仿宋"/>
          <w:color w:val="auto"/>
          <w:kern w:val="0"/>
          <w:sz w:val="24"/>
          <w:highlight w:val="none"/>
          <w:lang w:val="zh-CN"/>
        </w:rPr>
      </w:pPr>
    </w:p>
    <w:p>
      <w:pPr>
        <w:pStyle w:val="12"/>
        <w:rPr>
          <w:rFonts w:ascii="仿宋" w:hAnsi="仿宋" w:eastAsia="仿宋" w:cs="仿宋"/>
          <w:color w:val="auto"/>
          <w:kern w:val="0"/>
          <w:sz w:val="24"/>
          <w:highlight w:val="none"/>
          <w:lang w:val="zh-CN"/>
        </w:rPr>
      </w:pPr>
    </w:p>
    <w:p>
      <w:pPr>
        <w:pStyle w:val="27"/>
        <w:rPr>
          <w:rFonts w:ascii="仿宋" w:hAnsi="仿宋" w:eastAsia="仿宋" w:cs="仿宋"/>
          <w:color w:val="auto"/>
          <w:kern w:val="0"/>
          <w:sz w:val="24"/>
          <w:highlight w:val="none"/>
          <w:lang w:val="zh-CN"/>
        </w:rPr>
      </w:pPr>
    </w:p>
    <w:p>
      <w:pPr>
        <w:pStyle w:val="22"/>
        <w:rPr>
          <w:rFonts w:ascii="仿宋" w:hAnsi="仿宋" w:eastAsia="仿宋" w:cs="仿宋"/>
          <w:color w:val="auto"/>
          <w:kern w:val="0"/>
          <w:sz w:val="24"/>
          <w:highlight w:val="none"/>
          <w:lang w:val="zh-CN"/>
        </w:rPr>
      </w:pPr>
    </w:p>
    <w:p>
      <w:pPr>
        <w:rPr>
          <w:rFonts w:ascii="仿宋" w:hAnsi="仿宋" w:eastAsia="仿宋" w:cs="仿宋"/>
          <w:color w:val="auto"/>
          <w:kern w:val="0"/>
          <w:sz w:val="24"/>
          <w:highlight w:val="none"/>
          <w:lang w:val="zh-CN"/>
        </w:rPr>
      </w:pPr>
    </w:p>
    <w:p>
      <w:pPr>
        <w:pStyle w:val="12"/>
        <w:rPr>
          <w:rFonts w:ascii="仿宋" w:hAnsi="仿宋" w:eastAsia="仿宋" w:cs="仿宋"/>
          <w:color w:val="auto"/>
          <w:kern w:val="0"/>
          <w:sz w:val="24"/>
          <w:highlight w:val="none"/>
          <w:lang w:val="zh-CN"/>
        </w:rPr>
      </w:pPr>
    </w:p>
    <w:p>
      <w:pPr>
        <w:pStyle w:val="27"/>
        <w:rPr>
          <w:rFonts w:ascii="仿宋" w:hAnsi="仿宋" w:eastAsia="仿宋" w:cs="仿宋"/>
          <w:color w:val="auto"/>
          <w:kern w:val="0"/>
          <w:sz w:val="24"/>
          <w:highlight w:val="none"/>
          <w:lang w:val="zh-CN"/>
        </w:rPr>
      </w:pPr>
    </w:p>
    <w:p>
      <w:pPr>
        <w:pStyle w:val="22"/>
        <w:rPr>
          <w:rFonts w:ascii="仿宋" w:hAnsi="仿宋" w:eastAsia="仿宋" w:cs="仿宋"/>
          <w:color w:val="auto"/>
          <w:kern w:val="0"/>
          <w:sz w:val="24"/>
          <w:highlight w:val="none"/>
          <w:lang w:val="zh-CN"/>
        </w:rPr>
      </w:pPr>
    </w:p>
    <w:p>
      <w:pPr>
        <w:rPr>
          <w:rFonts w:ascii="仿宋" w:hAnsi="仿宋" w:eastAsia="仿宋" w:cs="仿宋"/>
          <w:color w:val="auto"/>
          <w:kern w:val="0"/>
          <w:sz w:val="24"/>
          <w:highlight w:val="none"/>
          <w:lang w:val="zh-CN"/>
        </w:rPr>
      </w:pPr>
    </w:p>
    <w:p>
      <w:pPr>
        <w:pStyle w:val="12"/>
        <w:rPr>
          <w:rFonts w:ascii="仿宋" w:hAnsi="仿宋" w:eastAsia="仿宋" w:cs="仿宋"/>
          <w:color w:val="auto"/>
          <w:kern w:val="0"/>
          <w:sz w:val="24"/>
          <w:highlight w:val="none"/>
          <w:lang w:val="zh-CN"/>
        </w:rPr>
      </w:pPr>
    </w:p>
    <w:p>
      <w:pPr>
        <w:pStyle w:val="27"/>
        <w:rPr>
          <w:rFonts w:ascii="仿宋" w:hAnsi="仿宋" w:eastAsia="仿宋" w:cs="仿宋"/>
          <w:color w:val="auto"/>
          <w:kern w:val="0"/>
          <w:sz w:val="24"/>
          <w:highlight w:val="none"/>
          <w:lang w:val="zh-CN"/>
        </w:rPr>
      </w:pPr>
    </w:p>
    <w:p>
      <w:pPr>
        <w:pStyle w:val="22"/>
        <w:rPr>
          <w:rFonts w:ascii="仿宋" w:hAnsi="仿宋" w:eastAsia="仿宋" w:cs="仿宋"/>
          <w:color w:val="auto"/>
          <w:kern w:val="0"/>
          <w:sz w:val="24"/>
          <w:highlight w:val="none"/>
          <w:lang w:val="zh-CN"/>
        </w:rPr>
      </w:pPr>
    </w:p>
    <w:p>
      <w:pPr>
        <w:rPr>
          <w:rFonts w:ascii="仿宋" w:hAnsi="仿宋" w:eastAsia="仿宋" w:cs="仿宋"/>
          <w:color w:val="auto"/>
          <w:kern w:val="0"/>
          <w:sz w:val="24"/>
          <w:highlight w:val="none"/>
          <w:lang w:val="zh-CN"/>
        </w:rPr>
      </w:pPr>
    </w:p>
    <w:p>
      <w:pPr>
        <w:pStyle w:val="2"/>
        <w:rPr>
          <w:rFonts w:ascii="仿宋" w:hAnsi="仿宋" w:eastAsia="仿宋" w:cs="仿宋"/>
          <w:color w:val="auto"/>
          <w:kern w:val="0"/>
          <w:sz w:val="24"/>
          <w:highlight w:val="none"/>
          <w:lang w:val="zh-CN"/>
        </w:rPr>
      </w:pPr>
    </w:p>
    <w:p>
      <w:pPr>
        <w:rPr>
          <w:rFonts w:ascii="仿宋" w:hAnsi="仿宋" w:eastAsia="仿宋" w:cs="仿宋"/>
          <w:color w:val="auto"/>
          <w:kern w:val="0"/>
          <w:sz w:val="24"/>
          <w:highlight w:val="none"/>
          <w:lang w:val="zh-CN"/>
        </w:rPr>
      </w:pPr>
    </w:p>
    <w:p>
      <w:pPr>
        <w:pStyle w:val="2"/>
        <w:rPr>
          <w:rFonts w:ascii="仿宋" w:hAnsi="仿宋" w:eastAsia="仿宋" w:cs="仿宋"/>
          <w:color w:val="auto"/>
          <w:kern w:val="0"/>
          <w:sz w:val="24"/>
          <w:highlight w:val="none"/>
          <w:lang w:val="zh-CN"/>
        </w:rPr>
      </w:pPr>
    </w:p>
    <w:p>
      <w:pPr>
        <w:rPr>
          <w:rFonts w:ascii="仿宋" w:hAnsi="仿宋" w:eastAsia="仿宋" w:cs="仿宋"/>
          <w:color w:val="auto"/>
          <w:kern w:val="0"/>
          <w:sz w:val="24"/>
          <w:highlight w:val="none"/>
          <w:lang w:val="zh-CN"/>
        </w:rPr>
      </w:pPr>
    </w:p>
    <w:p>
      <w:pPr>
        <w:pStyle w:val="2"/>
        <w:rPr>
          <w:rFonts w:ascii="仿宋" w:hAnsi="仿宋" w:eastAsia="仿宋" w:cs="仿宋"/>
          <w:color w:val="auto"/>
          <w:kern w:val="0"/>
          <w:sz w:val="24"/>
          <w:highlight w:val="none"/>
          <w:lang w:val="zh-CN"/>
        </w:rPr>
      </w:pPr>
    </w:p>
    <w:p>
      <w:pPr>
        <w:rPr>
          <w:rFonts w:ascii="仿宋" w:hAnsi="仿宋" w:eastAsia="仿宋" w:cs="仿宋"/>
          <w:color w:val="auto"/>
          <w:kern w:val="0"/>
          <w:sz w:val="24"/>
          <w:highlight w:val="none"/>
          <w:lang w:val="zh-CN"/>
        </w:rPr>
      </w:pPr>
    </w:p>
    <w:p>
      <w:pPr>
        <w:pStyle w:val="38"/>
        <w:spacing w:line="336" w:lineRule="auto"/>
        <w:rPr>
          <w:rFonts w:ascii="仿宋" w:hAnsi="仿宋" w:eastAsia="仿宋" w:cs="仿宋"/>
          <w:color w:val="auto"/>
          <w:highlight w:val="none"/>
          <w:lang w:val="zh-CN"/>
        </w:rPr>
      </w:pPr>
    </w:p>
    <w:p>
      <w:pPr>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pStyle w:val="39"/>
        <w:ind w:left="0" w:leftChars="0" w:firstLine="0" w:firstLineChars="0"/>
        <w:rPr>
          <w:color w:val="auto"/>
          <w:highlight w:val="none"/>
          <w:lang w:val="zh-CN"/>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w:t>
      </w:r>
      <w:r>
        <w:rPr>
          <w:rFonts w:hint="eastAsia" w:ascii="仿宋" w:hAnsi="仿宋" w:eastAsia="仿宋" w:cs="仿宋"/>
          <w:b/>
          <w:color w:val="auto"/>
          <w:kern w:val="0"/>
          <w:sz w:val="28"/>
          <w:szCs w:val="28"/>
          <w:highlight w:val="none"/>
          <w:lang w:val="en-US" w:eastAsia="zh-CN"/>
        </w:rPr>
        <w:t xml:space="preserve"> </w:t>
      </w:r>
      <w:r>
        <w:rPr>
          <w:rFonts w:hint="eastAsia" w:ascii="仿宋" w:hAnsi="仿宋" w:eastAsia="仿宋" w:cs="仿宋"/>
          <w:b/>
          <w:color w:val="auto"/>
          <w:kern w:val="0"/>
          <w:sz w:val="28"/>
          <w:szCs w:val="28"/>
          <w:highlight w:val="none"/>
        </w:rPr>
        <w:t>录</w:t>
      </w:r>
    </w:p>
    <w:p>
      <w:pPr>
        <w:pStyle w:val="39"/>
        <w:keepNext w:val="0"/>
        <w:keepLines w:val="0"/>
        <w:pageBreakBefore w:val="0"/>
        <w:kinsoku/>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zh-CN"/>
        </w:rPr>
      </w:pP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投标函</w:t>
      </w:r>
      <w:r>
        <w:rPr>
          <w:rFonts w:hint="eastAsia" w:ascii="宋体" w:hAnsi="宋体" w:eastAsia="宋体" w:cs="宋体"/>
          <w:color w:val="auto"/>
          <w:sz w:val="24"/>
          <w:szCs w:val="24"/>
          <w:highlight w:val="none"/>
        </w:rPr>
        <w:t>…………………………………………………………………………（页码）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法定代表人身份证明书………………………………………………………（页码）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法定代表人授权委托书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授权代表社保证明（</w:t>
      </w:r>
      <w:r>
        <w:rPr>
          <w:rFonts w:hint="eastAsia" w:ascii="宋体" w:hAnsi="宋体" w:eastAsia="宋体" w:cs="宋体"/>
          <w:color w:val="auto"/>
          <w:sz w:val="24"/>
          <w:szCs w:val="24"/>
          <w:highlight w:val="none"/>
          <w:lang w:val="en-US" w:eastAsia="zh-CN"/>
        </w:rPr>
        <w:t>若委托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评分索引表</w:t>
      </w:r>
      <w:r>
        <w:rPr>
          <w:rFonts w:hint="eastAsia" w:ascii="宋体" w:hAnsi="宋体" w:eastAsia="宋体" w:cs="宋体"/>
          <w:color w:val="auto"/>
          <w:sz w:val="24"/>
          <w:szCs w:val="24"/>
          <w:highlight w:val="none"/>
        </w:rPr>
        <w:t>……………………………………………………………………（页码）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商务响应表……………………………………………………………………（页码）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采购供应商廉洁自律承诺书</w:t>
      </w:r>
      <w:r>
        <w:rPr>
          <w:rFonts w:hint="eastAsia" w:ascii="宋体" w:hAnsi="宋体" w:eastAsia="宋体" w:cs="宋体"/>
          <w:color w:val="auto"/>
          <w:sz w:val="24"/>
          <w:szCs w:val="24"/>
          <w:highlight w:val="none"/>
        </w:rPr>
        <w:t>……………………………………………（页码）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同类</w:t>
      </w:r>
      <w:r>
        <w:rPr>
          <w:rFonts w:hint="eastAsia" w:ascii="宋体" w:hAnsi="宋体" w:eastAsia="宋体" w:cs="宋体"/>
          <w:color w:val="auto"/>
          <w:sz w:val="24"/>
          <w:szCs w:val="24"/>
          <w:highlight w:val="none"/>
          <w:lang w:val="zh-CN"/>
        </w:rPr>
        <w:t>业绩证明</w:t>
      </w:r>
      <w:r>
        <w:rPr>
          <w:rFonts w:hint="eastAsia" w:ascii="宋体" w:hAnsi="宋体" w:eastAsia="宋体" w:cs="宋体"/>
          <w:color w:val="auto"/>
          <w:sz w:val="24"/>
          <w:szCs w:val="24"/>
          <w:highlight w:val="none"/>
        </w:rPr>
        <w:t>…………………………………………………………………（页码）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服务渠道</w:t>
      </w:r>
      <w:r>
        <w:rPr>
          <w:rFonts w:hint="eastAsia" w:ascii="宋体" w:hAnsi="宋体" w:eastAsia="宋体" w:cs="宋体"/>
          <w:color w:val="auto"/>
          <w:sz w:val="24"/>
          <w:szCs w:val="24"/>
          <w:highlight w:val="none"/>
        </w:rPr>
        <w:t>………………………………………………………………………（页码）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承保服务方案</w:t>
      </w:r>
      <w:r>
        <w:rPr>
          <w:rFonts w:hint="eastAsia" w:ascii="宋体" w:hAnsi="宋体" w:eastAsia="宋体" w:cs="宋体"/>
          <w:color w:val="auto"/>
          <w:sz w:val="24"/>
          <w:szCs w:val="24"/>
          <w:highlight w:val="none"/>
        </w:rPr>
        <w:t>…………………………………………………………………（页码）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偿付能力充足率</w:t>
      </w:r>
      <w:r>
        <w:rPr>
          <w:rFonts w:hint="eastAsia" w:ascii="宋体" w:hAnsi="宋体" w:eastAsia="宋体" w:cs="宋体"/>
          <w:color w:val="auto"/>
          <w:sz w:val="24"/>
          <w:szCs w:val="24"/>
          <w:highlight w:val="none"/>
        </w:rPr>
        <w:t>………………………………………………………………（页码）</w:t>
      </w:r>
    </w:p>
    <w:p>
      <w:pPr>
        <w:pStyle w:val="82"/>
        <w:keepNext w:val="0"/>
        <w:keepLines w:val="0"/>
        <w:pageBreakBefore w:val="0"/>
        <w:numPr>
          <w:ilvl w:val="0"/>
          <w:numId w:val="9"/>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理赔服务方案</w:t>
      </w:r>
      <w:r>
        <w:rPr>
          <w:rFonts w:hint="eastAsia" w:ascii="宋体" w:hAnsi="宋体" w:eastAsia="宋体" w:cs="宋体"/>
          <w:color w:val="auto"/>
          <w:sz w:val="24"/>
          <w:szCs w:val="24"/>
          <w:highlight w:val="none"/>
        </w:rPr>
        <w:t>…………………………………………………………………（页码）</w:t>
      </w:r>
    </w:p>
    <w:p>
      <w:pPr>
        <w:keepNext w:val="0"/>
        <w:keepLines w:val="0"/>
        <w:pageBreakBefore w:val="0"/>
        <w:kinsoku/>
        <w:wordWrap/>
        <w:overflowPunct/>
        <w:topLinePunct w:val="0"/>
        <w:autoSpaceDE/>
        <w:autoSpaceDN/>
        <w:bidi w:val="0"/>
        <w:snapToGrid/>
        <w:spacing w:line="48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kern w:val="2"/>
          <w:sz w:val="24"/>
          <w:szCs w:val="24"/>
          <w:highlight w:val="none"/>
          <w:lang w:val="en-US" w:eastAsia="zh-CN" w:bidi="ar"/>
        </w:rPr>
        <w:t>服务团队</w:t>
      </w:r>
      <w:r>
        <w:rPr>
          <w:rFonts w:hint="eastAsia" w:ascii="宋体" w:hAnsi="宋体" w:eastAsia="宋体" w:cs="宋体"/>
          <w:color w:val="auto"/>
          <w:sz w:val="24"/>
          <w:szCs w:val="24"/>
          <w:highlight w:val="none"/>
        </w:rPr>
        <w:t>………………………………………………………………………（页码）</w:t>
      </w:r>
    </w:p>
    <w:p>
      <w:pPr>
        <w:keepNext w:val="0"/>
        <w:keepLines w:val="0"/>
        <w:pageBreakBefore w:val="0"/>
        <w:kinsoku/>
        <w:wordWrap/>
        <w:overflowPunct/>
        <w:topLinePunct w:val="0"/>
        <w:autoSpaceDE/>
        <w:autoSpaceDN/>
        <w:bidi w:val="0"/>
        <w:snapToGrid/>
        <w:spacing w:line="48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（13）服务承诺</w:t>
      </w:r>
      <w:r>
        <w:rPr>
          <w:rFonts w:hint="eastAsia" w:ascii="宋体" w:hAnsi="宋体" w:eastAsia="宋体" w:cs="宋体"/>
          <w:color w:val="auto"/>
          <w:sz w:val="24"/>
          <w:szCs w:val="24"/>
          <w:highlight w:val="none"/>
        </w:rPr>
        <w:t>………………………………………………………………………（页码）</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480" w:leftChars="0" w:right="0" w:rightChars="0" w:hanging="480" w:firstLine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kern w:val="2"/>
          <w:sz w:val="24"/>
          <w:szCs w:val="24"/>
          <w:highlight w:val="none"/>
          <w:lang w:val="en-US" w:eastAsia="zh-CN" w:bidi="ar"/>
        </w:rPr>
        <w:t>经营评级情况</w:t>
      </w:r>
      <w:r>
        <w:rPr>
          <w:rFonts w:hint="eastAsia" w:ascii="宋体" w:hAnsi="宋体" w:eastAsia="宋体" w:cs="宋体"/>
          <w:color w:val="auto"/>
          <w:sz w:val="24"/>
          <w:szCs w:val="24"/>
          <w:highlight w:val="none"/>
        </w:rPr>
        <w:t>…………………………………………………………………（页码）</w:t>
      </w:r>
    </w:p>
    <w:p>
      <w:pPr>
        <w:keepNext w:val="0"/>
        <w:keepLines w:val="0"/>
        <w:pageBreakBefore w:val="0"/>
        <w:kinsoku/>
        <w:wordWrap/>
        <w:overflowPunct/>
        <w:topLinePunct w:val="0"/>
        <w:autoSpaceDE/>
        <w:autoSpaceDN/>
        <w:bidi w:val="0"/>
        <w:snapToGrid/>
        <w:spacing w:line="48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（15）投标人认为需要说明的其他文件和说明（若有）</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（页码）</w:t>
      </w:r>
    </w:p>
    <w:p>
      <w:pPr>
        <w:keepNext w:val="0"/>
        <w:keepLines w:val="0"/>
        <w:pageBreakBefore w:val="0"/>
        <w:kinsoku/>
        <w:wordWrap/>
        <w:overflowPunct/>
        <w:topLinePunct w:val="0"/>
        <w:autoSpaceDE/>
        <w:autoSpaceDN/>
        <w:bidi w:val="0"/>
        <w:snapToGrid/>
        <w:spacing w:line="480" w:lineRule="exact"/>
        <w:jc w:val="center"/>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pPr>
        <w:pStyle w:val="12"/>
        <w:rPr>
          <w:rFonts w:hint="eastAsia" w:ascii="仿宋" w:eastAsia="仿宋" w:cs="仿宋"/>
          <w:color w:val="auto"/>
          <w:highlight w:val="none"/>
        </w:rPr>
      </w:pPr>
    </w:p>
    <w:p>
      <w:pPr>
        <w:pStyle w:val="27"/>
        <w:rPr>
          <w:rFonts w:hint="eastAsia"/>
          <w:color w:val="auto"/>
          <w:highlight w:val="none"/>
        </w:rPr>
      </w:pPr>
    </w:p>
    <w:p>
      <w:pPr>
        <w:rPr>
          <w:rFonts w:hint="eastAsia"/>
          <w:color w:val="auto"/>
          <w:highlight w:val="none"/>
        </w:rPr>
      </w:pPr>
    </w:p>
    <w:p>
      <w:pPr>
        <w:snapToGrid w:val="0"/>
        <w:spacing w:line="360" w:lineRule="auto"/>
        <w:jc w:val="both"/>
        <w:rPr>
          <w:rFonts w:hint="eastAsia" w:ascii="仿宋" w:hAnsi="仿宋" w:eastAsia="仿宋" w:cs="仿宋"/>
          <w:b/>
          <w:color w:val="auto"/>
          <w:kern w:val="0"/>
          <w:sz w:val="32"/>
          <w:szCs w:val="32"/>
          <w:highlight w:val="none"/>
          <w:lang w:val="en-US" w:eastAsia="zh-CN"/>
        </w:rPr>
      </w:pPr>
    </w:p>
    <w:p>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79"/>
        <w:keepNext w:val="0"/>
        <w:keepLines w:val="0"/>
        <w:pageBreakBefore w:val="0"/>
        <w:kinsoku/>
        <w:wordWrap/>
        <w:overflowPunct/>
        <w:topLinePunct w:val="0"/>
        <w:autoSpaceDE/>
        <w:autoSpaceDN/>
        <w:bidi w:val="0"/>
        <w:adjustRightInd/>
        <w:spacing w:afterLines="0" w:line="500" w:lineRule="exact"/>
        <w:ind w:firstLine="0" w:firstLineChars="0"/>
        <w:textAlignment w:val="auto"/>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rPr>
        <w:t>致：</w:t>
      </w:r>
      <w:r>
        <w:rPr>
          <w:rFonts w:hint="eastAsia" w:ascii="宋体" w:hAnsi="宋体" w:cs="宋体"/>
          <w:color w:val="auto"/>
          <w:szCs w:val="24"/>
          <w:highlight w:val="none"/>
          <w:u w:val="single"/>
          <w:lang w:val="en-US" w:eastAsia="zh-CN"/>
        </w:rPr>
        <w:t xml:space="preserve">             </w:t>
      </w:r>
      <w:r>
        <w:rPr>
          <w:rFonts w:hint="eastAsia" w:ascii="宋体" w:hAnsi="宋体"/>
          <w:color w:val="auto"/>
          <w:szCs w:val="21"/>
          <w:highlight w:val="none"/>
        </w:rPr>
        <w:t>（采购</w:t>
      </w:r>
      <w:r>
        <w:rPr>
          <w:rFonts w:hint="eastAsia" w:ascii="宋体" w:hAnsi="宋体"/>
          <w:color w:val="auto"/>
          <w:szCs w:val="21"/>
          <w:highlight w:val="none"/>
          <w:lang w:val="en-US" w:eastAsia="zh-CN"/>
        </w:rPr>
        <w:t>人</w:t>
      </w:r>
      <w:r>
        <w:rPr>
          <w:rFonts w:hint="eastAsia" w:ascii="宋体" w:hAnsi="宋体"/>
          <w:color w:val="auto"/>
          <w:szCs w:val="21"/>
          <w:highlight w:val="none"/>
        </w:rPr>
        <w:t>名称）</w:t>
      </w:r>
    </w:p>
    <w:p>
      <w:pPr>
        <w:pStyle w:val="79"/>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根据贵方（</w:t>
      </w:r>
      <w:r>
        <w:rPr>
          <w:rFonts w:hint="eastAsia" w:ascii="宋体" w:hAnsi="宋体" w:cs="宋体"/>
          <w:b/>
          <w:color w:val="auto"/>
          <w:szCs w:val="24"/>
          <w:highlight w:val="none"/>
          <w:u w:val="single"/>
        </w:rPr>
        <w:t>填写项目名称</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采购</w:t>
      </w:r>
      <w:r>
        <w:rPr>
          <w:rFonts w:hint="eastAsia" w:ascii="宋体" w:hAnsi="宋体" w:cs="宋体"/>
          <w:color w:val="auto"/>
          <w:szCs w:val="24"/>
          <w:highlight w:val="none"/>
        </w:rPr>
        <w:t>文件的要求，正式授权</w:t>
      </w:r>
      <w:r>
        <w:rPr>
          <w:rFonts w:hint="eastAsia" w:ascii="宋体" w:hAnsi="宋体" w:cs="宋体"/>
          <w:b/>
          <w:color w:val="auto"/>
          <w:szCs w:val="24"/>
          <w:highlight w:val="none"/>
          <w:u w:val="single"/>
        </w:rPr>
        <w:t>（全权代表姓名 、单位  、职务   ）</w:t>
      </w:r>
      <w:r>
        <w:rPr>
          <w:rFonts w:hint="eastAsia" w:ascii="宋体" w:hAnsi="宋体" w:cs="宋体"/>
          <w:color w:val="auto"/>
          <w:szCs w:val="24"/>
          <w:highlight w:val="none"/>
        </w:rPr>
        <w:t>代表投标人</w:t>
      </w:r>
      <w:r>
        <w:rPr>
          <w:rFonts w:hint="eastAsia" w:ascii="宋体" w:hAnsi="宋体" w:cs="宋体"/>
          <w:color w:val="auto"/>
          <w:szCs w:val="24"/>
          <w:highlight w:val="none"/>
          <w:u w:val="single"/>
        </w:rPr>
        <w:t>（</w:t>
      </w:r>
      <w:r>
        <w:rPr>
          <w:rFonts w:hint="eastAsia" w:ascii="宋体" w:hAnsi="宋体" w:cs="宋体"/>
          <w:b/>
          <w:color w:val="auto"/>
          <w:szCs w:val="24"/>
          <w:highlight w:val="none"/>
          <w:u w:val="single"/>
        </w:rPr>
        <w:t xml:space="preserve">填写单位 、地址 </w:t>
      </w:r>
      <w:r>
        <w:rPr>
          <w:rFonts w:hint="eastAsia" w:ascii="宋体" w:hAnsi="宋体" w:cs="宋体"/>
          <w:color w:val="auto"/>
          <w:szCs w:val="24"/>
          <w:highlight w:val="none"/>
          <w:u w:val="single"/>
        </w:rPr>
        <w:t>）</w:t>
      </w:r>
      <w:r>
        <w:rPr>
          <w:rFonts w:hint="eastAsia" w:ascii="宋体" w:hAnsi="宋体" w:cs="宋体"/>
          <w:color w:val="auto"/>
          <w:szCs w:val="24"/>
          <w:highlight w:val="none"/>
        </w:rPr>
        <w:t>提交投标文件。</w:t>
      </w:r>
    </w:p>
    <w:p>
      <w:pPr>
        <w:pStyle w:val="79"/>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我方已完全明白</w:t>
      </w:r>
      <w:r>
        <w:rPr>
          <w:rFonts w:hint="eastAsia" w:ascii="宋体" w:hAnsi="宋体" w:cs="宋体"/>
          <w:color w:val="auto"/>
          <w:szCs w:val="24"/>
          <w:highlight w:val="none"/>
          <w:lang w:val="en-US" w:eastAsia="zh-CN"/>
        </w:rPr>
        <w:t>采购</w:t>
      </w:r>
      <w:r>
        <w:rPr>
          <w:rFonts w:hint="eastAsia" w:ascii="宋体" w:hAnsi="宋体" w:cs="宋体"/>
          <w:color w:val="auto"/>
          <w:szCs w:val="24"/>
          <w:highlight w:val="none"/>
        </w:rPr>
        <w:t>文件的所有条款要求，兹声明同意如下：</w:t>
      </w:r>
    </w:p>
    <w:p>
      <w:pPr>
        <w:pStyle w:val="5"/>
        <w:keepNext w:val="0"/>
        <w:keepLines w:val="0"/>
        <w:pageBreakBefore w:val="0"/>
        <w:kinsoku/>
        <w:wordWrap/>
        <w:overflowPunct/>
        <w:topLinePunct w:val="0"/>
        <w:autoSpaceDE/>
        <w:autoSpaceDN/>
        <w:bidi w:val="0"/>
        <w:adjustRightInd/>
        <w:spacing w:line="500" w:lineRule="exact"/>
        <w:ind w:left="0"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我方同意在投标人</w:t>
      </w:r>
      <w:r>
        <w:rPr>
          <w:rFonts w:hint="eastAsia" w:ascii="宋体" w:hAnsi="宋体" w:cs="宋体"/>
          <w:color w:val="auto"/>
          <w:kern w:val="44"/>
          <w:szCs w:val="24"/>
          <w:highlight w:val="none"/>
        </w:rPr>
        <w:t>须知</w:t>
      </w:r>
      <w:r>
        <w:rPr>
          <w:rFonts w:hint="eastAsia" w:ascii="宋体" w:hAnsi="宋体" w:cs="宋体"/>
          <w:color w:val="auto"/>
          <w:szCs w:val="24"/>
          <w:highlight w:val="none"/>
        </w:rPr>
        <w:t>规定的开标日期起遵守本投标文件中的承诺且在投标有效期满之前均具有约束力。</w:t>
      </w:r>
    </w:p>
    <w:p>
      <w:pPr>
        <w:pStyle w:val="79"/>
        <w:keepNext w:val="0"/>
        <w:keepLines w:val="0"/>
        <w:pageBreakBefore w:val="0"/>
        <w:kinsoku/>
        <w:wordWrap/>
        <w:overflowPunct/>
        <w:topLinePunct w:val="0"/>
        <w:autoSpaceDE/>
        <w:autoSpaceDN/>
        <w:bidi w:val="0"/>
        <w:adjustRightInd/>
        <w:spacing w:afterLines="0" w:line="50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2.我方承诺已经具备</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中规定的参加采购活动的供应商应当具备的条件。</w:t>
      </w:r>
    </w:p>
    <w:p>
      <w:pPr>
        <w:pStyle w:val="5"/>
        <w:keepNext w:val="0"/>
        <w:keepLines w:val="0"/>
        <w:pageBreakBefore w:val="0"/>
        <w:numPr>
          <w:ilvl w:val="0"/>
          <w:numId w:val="0"/>
        </w:numPr>
        <w:kinsoku/>
        <w:wordWrap/>
        <w:overflowPunct/>
        <w:topLinePunct w:val="0"/>
        <w:autoSpaceDE/>
        <w:autoSpaceDN/>
        <w:bidi w:val="0"/>
        <w:adjustRightInd/>
        <w:spacing w:line="500" w:lineRule="exact"/>
        <w:ind w:leftChars="200"/>
        <w:textAlignment w:val="auto"/>
        <w:rPr>
          <w:color w:val="auto"/>
          <w:highlight w:val="none"/>
        </w:rPr>
      </w:pPr>
      <w:r>
        <w:rPr>
          <w:rFonts w:hint="eastAsia"/>
          <w:color w:val="auto"/>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79"/>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4.我方理解贵方将不受你们所收到的最低报价的约束。</w:t>
      </w:r>
    </w:p>
    <w:p>
      <w:pPr>
        <w:pStyle w:val="5"/>
        <w:keepNext w:val="0"/>
        <w:keepLines w:val="0"/>
        <w:pageBreakBefore w:val="0"/>
        <w:numPr>
          <w:ilvl w:val="0"/>
          <w:numId w:val="0"/>
        </w:numPr>
        <w:kinsoku/>
        <w:wordWrap/>
        <w:overflowPunct/>
        <w:topLinePunct w:val="0"/>
        <w:autoSpaceDE/>
        <w:autoSpaceDN/>
        <w:bidi w:val="0"/>
        <w:adjustRightInd/>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5.本投标自开标之日（投标截止之日）起90天内有效。</w:t>
      </w:r>
    </w:p>
    <w:p>
      <w:pPr>
        <w:pStyle w:val="79"/>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6.</w:t>
      </w:r>
      <w:r>
        <w:rPr>
          <w:rFonts w:hint="eastAsia" w:ascii="宋体" w:hAnsi="宋体"/>
          <w:color w:val="auto"/>
          <w:sz w:val="24"/>
          <w:highlight w:val="none"/>
        </w:rPr>
        <w:t>如在此有效期内，</w:t>
      </w:r>
      <w:r>
        <w:rPr>
          <w:rFonts w:hint="eastAsia" w:ascii="宋体" w:hAnsi="宋体" w:eastAsia="宋体" w:cs="宋体"/>
          <w:color w:val="auto"/>
          <w:sz w:val="24"/>
          <w:szCs w:val="24"/>
          <w:highlight w:val="none"/>
        </w:rPr>
        <w:t>我方出现下列行为之一者，同意无条件接受采购</w:t>
      </w:r>
      <w:r>
        <w:rPr>
          <w:rFonts w:hint="eastAsia" w:ascii="宋体" w:hAnsi="宋体" w:cs="宋体"/>
          <w:color w:val="auto"/>
          <w:sz w:val="24"/>
          <w:szCs w:val="24"/>
          <w:highlight w:val="none"/>
          <w:lang w:val="en-US" w:eastAsia="zh-CN"/>
        </w:rPr>
        <w:t>人</w:t>
      </w:r>
      <w:r>
        <w:rPr>
          <w:rFonts w:hint="eastAsia" w:ascii="宋体" w:hAnsi="宋体" w:eastAsia="宋体" w:cs="宋体"/>
          <w:color w:val="auto"/>
          <w:sz w:val="24"/>
          <w:szCs w:val="24"/>
          <w:highlight w:val="none"/>
        </w:rPr>
        <w:t>及上级部门的处罚。</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a)提供虚假材料谋取中标、成交的；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b)采取不正当手段诋毁、排挤其他供应商的；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c)与采购人、其它供应商或者采购代理机构恶意串通的；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e)在招标采购过程中与采购人进行协商谈判的；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f)拒绝有关部门监督检查或提供虚假情况的。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供应商有前款第a)至e)项情形之一的，中标、成交无效。</w:t>
      </w:r>
    </w:p>
    <w:p>
      <w:pPr>
        <w:pStyle w:val="79"/>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地址：　　　　　　　　　　　　　　　邮政编码：</w:t>
      </w:r>
    </w:p>
    <w:p>
      <w:pPr>
        <w:pStyle w:val="79"/>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电话：                              传真：</w:t>
      </w:r>
    </w:p>
    <w:p>
      <w:pPr>
        <w:pStyle w:val="79"/>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开户银行：                          帐号：</w:t>
      </w:r>
    </w:p>
    <w:p>
      <w:pPr>
        <w:pStyle w:val="79"/>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hint="eastAsia" w:ascii="Times New Roman" w:hAnsi="宋体" w:eastAsia="宋体" w:cs="宋体"/>
          <w:color w:val="auto"/>
          <w:szCs w:val="24"/>
          <w:highlight w:val="none"/>
        </w:rPr>
      </w:pPr>
      <w:r>
        <w:rPr>
          <w:rFonts w:hint="eastAsia" w:hAnsi="宋体" w:cs="宋体"/>
          <w:color w:val="auto"/>
          <w:szCs w:val="24"/>
          <w:highlight w:val="none"/>
        </w:rPr>
        <w:t>法定代表人或授权委托人</w:t>
      </w:r>
      <w:r>
        <w:rPr>
          <w:rFonts w:hint="eastAsia" w:hAnsi="宋体" w:cs="宋体"/>
          <w:color w:val="auto"/>
          <w:spacing w:val="20"/>
          <w:szCs w:val="24"/>
          <w:highlight w:val="none"/>
        </w:rPr>
        <w:t>签</w:t>
      </w:r>
      <w:r>
        <w:rPr>
          <w:rFonts w:hint="eastAsia" w:hAnsi="宋体" w:cs="宋体"/>
          <w:color w:val="auto"/>
          <w:spacing w:val="20"/>
          <w:szCs w:val="24"/>
          <w:highlight w:val="none"/>
          <w:lang w:val="en-US" w:eastAsia="zh-CN"/>
        </w:rPr>
        <w:t>字</w:t>
      </w:r>
      <w:r>
        <w:rPr>
          <w:rFonts w:hint="eastAsia" w:hAnsi="宋体" w:cs="宋体"/>
          <w:color w:val="auto"/>
          <w:spacing w:val="20"/>
          <w:szCs w:val="24"/>
          <w:highlight w:val="none"/>
        </w:rPr>
        <w:t>：</w:t>
      </w:r>
    </w:p>
    <w:p>
      <w:pPr>
        <w:keepNext w:val="0"/>
        <w:keepLines w:val="0"/>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Times New Roman" w:hAnsi="宋体" w:eastAsia="宋体" w:cs="宋体"/>
          <w:color w:val="auto"/>
          <w:kern w:val="0"/>
          <w:sz w:val="24"/>
          <w:szCs w:val="24"/>
          <w:highlight w:val="none"/>
          <w:lang w:val="en-US" w:eastAsia="zh-CN" w:bidi="ar-SA"/>
        </w:rPr>
      </w:pPr>
      <w:r>
        <w:rPr>
          <w:rFonts w:hint="eastAsia" w:ascii="Times New Roman" w:hAnsi="宋体" w:eastAsia="宋体" w:cs="宋体"/>
          <w:color w:val="auto"/>
          <w:kern w:val="0"/>
          <w:sz w:val="24"/>
          <w:szCs w:val="24"/>
          <w:highlight w:val="none"/>
          <w:lang w:val="en-US" w:eastAsia="zh-CN" w:bidi="ar-SA"/>
        </w:rPr>
        <w:t xml:space="preserve">投标人(电子签名)：　　　　　　　　　日期：  </w:t>
      </w:r>
    </w:p>
    <w:p>
      <w:pPr>
        <w:pStyle w:val="27"/>
        <w:keepNext w:val="0"/>
        <w:keepLines w:val="0"/>
        <w:pageBreakBefore w:val="0"/>
        <w:kinsoku/>
        <w:wordWrap/>
        <w:overflowPunct/>
        <w:topLinePunct w:val="0"/>
        <w:autoSpaceDE/>
        <w:autoSpaceDN/>
        <w:bidi w:val="0"/>
        <w:adjustRightInd/>
        <w:spacing w:after="0" w:line="500" w:lineRule="exact"/>
        <w:ind w:firstLine="480" w:firstLineChars="200"/>
        <w:textAlignment w:val="auto"/>
        <w:rPr>
          <w:rFonts w:hAnsi="宋体" w:cs="黑体"/>
          <w:bCs/>
          <w:color w:val="auto"/>
          <w:szCs w:val="24"/>
          <w:highlight w:val="none"/>
        </w:rPr>
      </w:pPr>
      <w:r>
        <w:rPr>
          <w:rFonts w:hint="eastAsia" w:ascii="宋体" w:hAnsi="宋体" w:cs="宋体"/>
          <w:color w:val="auto"/>
          <w:szCs w:val="24"/>
          <w:highlight w:val="none"/>
        </w:rPr>
        <w:t xml:space="preserve">  </w:t>
      </w:r>
    </w:p>
    <w:p>
      <w:pPr>
        <w:pStyle w:val="27"/>
        <w:ind w:firstLine="240"/>
        <w:rPr>
          <w:rFonts w:hAnsi="宋体" w:cs="黑体"/>
          <w:bCs/>
          <w:color w:val="auto"/>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both"/>
        <w:textAlignment w:val="auto"/>
        <w:rPr>
          <w:rFonts w:hint="eastAsia" w:ascii="仿宋" w:hAnsi="仿宋" w:eastAsia="仿宋" w:cs="仿宋"/>
          <w:b/>
          <w:color w:val="auto"/>
          <w:kern w:val="0"/>
          <w:sz w:val="32"/>
          <w:szCs w:val="32"/>
          <w:highlight w:val="none"/>
          <w:lang w:val="en-US" w:eastAsia="zh-CN"/>
        </w:rPr>
      </w:pPr>
    </w:p>
    <w:p>
      <w:pPr>
        <w:pStyle w:val="12"/>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lang w:val="en-US" w:eastAsia="zh-CN"/>
        </w:rPr>
        <w:t>二、法定代表人身份证明书</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w:t>
      </w:r>
      <w:r>
        <w:rPr>
          <w:rFonts w:hint="eastAsia" w:ascii="仿宋" w:hAnsi="仿宋" w:eastAsia="仿宋" w:cs="仿宋"/>
          <w:color w:val="auto"/>
          <w:sz w:val="24"/>
          <w:highlight w:val="none"/>
          <w:u w:val="single"/>
          <w:lang w:val="en-US" w:eastAsia="zh-CN"/>
        </w:rPr>
        <w:t>供应商</w:t>
      </w:r>
      <w:r>
        <w:rPr>
          <w:rFonts w:hint="eastAsia" w:ascii="仿宋" w:hAnsi="仿宋" w:eastAsia="仿宋" w:cs="仿宋"/>
          <w:color w:val="auto"/>
          <w:sz w:val="24"/>
          <w:highlight w:val="none"/>
          <w:u w:val="single"/>
        </w:rPr>
        <w:t>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的法定代表人。</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right"/>
        <w:textAlignment w:val="auto"/>
        <w:rPr>
          <w:rFonts w:hint="eastAsia" w:ascii="仿宋" w:hAnsi="仿宋" w:eastAsia="仿宋" w:cs="仿宋"/>
          <w:color w:val="auto"/>
          <w:sz w:val="24"/>
          <w:highlight w:val="none"/>
          <w:lang w:val="en-US" w:eastAsia="zh-CN"/>
        </w:rPr>
      </w:pPr>
      <w:r>
        <w:rPr>
          <w:rFonts w:hint="eastAsia" w:ascii="Times New Roman" w:hAnsi="宋体" w:eastAsia="宋体" w:cs="宋体"/>
          <w:color w:val="auto"/>
          <w:kern w:val="0"/>
          <w:sz w:val="24"/>
          <w:szCs w:val="24"/>
          <w:highlight w:val="none"/>
          <w:lang w:val="en-US" w:eastAsia="zh-CN" w:bidi="ar-SA"/>
        </w:rPr>
        <w:t>投标人(电子签名)</w:t>
      </w:r>
      <w:r>
        <w:rPr>
          <w:rFonts w:hint="eastAsia" w:ascii="仿宋" w:hAnsi="仿宋" w:eastAsia="仿宋" w:cs="仿宋"/>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480"/>
        <w:jc w:val="right"/>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   月   日</w:t>
      </w: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pStyle w:val="37"/>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both"/>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lang w:val="en-US" w:eastAsia="zh-CN"/>
        </w:rPr>
        <w:t>三、法定代表人授权委托书及授权代表社保证明（若委托）</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w:t>
      </w:r>
      <w:r>
        <w:rPr>
          <w:rFonts w:hint="eastAsia" w:ascii="仿宋" w:hAnsi="仿宋" w:eastAsia="仿宋" w:cs="仿宋"/>
          <w:color w:val="auto"/>
          <w:sz w:val="24"/>
          <w:highlight w:val="none"/>
          <w:u w:val="single"/>
          <w:lang w:val="en-US" w:eastAsia="zh-CN"/>
        </w:rPr>
        <w:t>供应商</w:t>
      </w:r>
      <w:r>
        <w:rPr>
          <w:rFonts w:hint="eastAsia" w:ascii="仿宋" w:hAnsi="仿宋" w:eastAsia="仿宋" w:cs="仿宋"/>
          <w:color w:val="auto"/>
          <w:sz w:val="24"/>
          <w:highlight w:val="none"/>
          <w:u w:val="single"/>
        </w:rPr>
        <w:t>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附：法定代表人身份证扫描件及委托代理人身份证扫描件</w:t>
      </w: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授权代表（签字或盖章）：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               年龄：</w:t>
      </w: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单位：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               职务：</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办公地址：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           传真：</w:t>
      </w: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Times New Roman" w:hAnsi="宋体" w:eastAsia="宋体" w:cs="宋体"/>
          <w:color w:val="auto"/>
          <w:kern w:val="0"/>
          <w:sz w:val="24"/>
          <w:szCs w:val="24"/>
          <w:highlight w:val="none"/>
          <w:lang w:val="en-US" w:eastAsia="zh-CN" w:bidi="ar-SA"/>
        </w:rPr>
        <w:t>投标人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sz w:val="24"/>
          <w:highlight w:val="none"/>
        </w:rPr>
        <w:t>）：</w:t>
      </w: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napToGrid w:val="0"/>
        <w:spacing w:line="360" w:lineRule="auto"/>
        <w:ind w:right="480"/>
        <w:jc w:val="right"/>
        <w:rPr>
          <w:rFonts w:hint="eastAsia" w:ascii="仿宋" w:hAnsi="仿宋" w:eastAsia="仿宋" w:cs="仿宋"/>
          <w:b/>
          <w:color w:val="auto"/>
          <w:kern w:val="0"/>
          <w:sz w:val="32"/>
          <w:szCs w:val="32"/>
          <w:highlight w:val="none"/>
          <w:lang w:val="en-US" w:eastAsia="zh-CN"/>
        </w:rPr>
      </w:pPr>
      <w:r>
        <w:rPr>
          <w:rFonts w:hint="eastAsia" w:ascii="仿宋" w:hAnsi="仿宋" w:eastAsia="仿宋" w:cs="仿宋"/>
          <w:color w:val="auto"/>
          <w:sz w:val="24"/>
          <w:highlight w:val="none"/>
        </w:rPr>
        <w:t>日期：    年   月   日</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color w:val="auto"/>
          <w:highlight w:val="none"/>
        </w:rPr>
      </w:pPr>
      <w:r>
        <w:rPr>
          <w:rFonts w:hint="eastAsia" w:ascii="仿宋" w:hAnsi="仿宋" w:eastAsia="仿宋" w:cs="仿宋"/>
          <w:b/>
          <w:bCs w:val="0"/>
          <w:color w:val="auto"/>
          <w:kern w:val="0"/>
          <w:sz w:val="24"/>
          <w:szCs w:val="24"/>
          <w:highlight w:val="none"/>
          <w:lang w:val="en-US" w:eastAsia="zh-CN"/>
        </w:rPr>
        <w:t>提供由社保机构出具的该授权代表的社保证明（1.如该授权代表为离退休返聘人员的，需提供退休证明及单位聘用证明;2.如由第三方代理社保事项的，则需提供加盖供应商公章的委托代理协议扫描件）</w:t>
      </w:r>
    </w:p>
    <w:p>
      <w:pPr>
        <w:rPr>
          <w:rFonts w:hint="eastAsia" w:ascii="仿宋" w:hAnsi="仿宋" w:eastAsia="仿宋" w:cs="仿宋"/>
          <w:b/>
          <w:bCs w:val="0"/>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val="0"/>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仿宋" w:hAnsi="仿宋" w:eastAsia="仿宋" w:cs="仿宋"/>
          <w:b/>
          <w:color w:val="auto"/>
          <w:kern w:val="0"/>
          <w:sz w:val="32"/>
          <w:szCs w:val="32"/>
          <w:highlight w:val="none"/>
          <w:lang w:val="en-US" w:eastAsia="zh-CN"/>
        </w:rPr>
      </w:pPr>
      <w:r>
        <w:rPr>
          <w:rFonts w:hint="eastAsia" w:ascii="仿宋" w:hAnsi="仿宋" w:eastAsia="仿宋" w:cs="仿宋"/>
          <w:b/>
          <w:bCs w:val="0"/>
          <w:color w:val="auto"/>
          <w:kern w:val="0"/>
          <w:sz w:val="32"/>
          <w:szCs w:val="32"/>
          <w:highlight w:val="none"/>
          <w:lang w:val="en-US" w:eastAsia="zh-CN"/>
        </w:rPr>
        <w:t>四、评分索引表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650"/>
        <w:gridCol w:w="2476"/>
        <w:gridCol w:w="992"/>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评审内容</w:t>
            </w: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评分细则及要求</w:t>
            </w: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对应页码</w:t>
            </w: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bl>
    <w:p>
      <w:pPr>
        <w:keepNext w:val="0"/>
        <w:keepLines w:val="0"/>
        <w:pageBreakBefore w:val="0"/>
        <w:widowControl w:val="0"/>
        <w:kinsoku/>
        <w:wordWrap/>
        <w:overflowPunct/>
        <w:topLinePunct w:val="0"/>
        <w:autoSpaceDE/>
        <w:autoSpaceDN/>
        <w:bidi w:val="0"/>
        <w:adjustRightInd w:val="0"/>
        <w:snapToGrid/>
        <w:spacing w:line="360" w:lineRule="auto"/>
        <w:ind w:firstLine="240" w:firstLineChars="100"/>
        <w:jc w:val="both"/>
        <w:textAlignment w:val="auto"/>
        <w:rPr>
          <w:rFonts w:hint="default"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对应</w:t>
      </w:r>
      <w:r>
        <w:rPr>
          <w:rFonts w:hint="default" w:ascii="仿宋" w:hAnsi="仿宋" w:eastAsia="仿宋" w:cs="仿宋"/>
          <w:b w:val="0"/>
          <w:bCs/>
          <w:color w:val="auto"/>
          <w:kern w:val="0"/>
          <w:sz w:val="24"/>
          <w:szCs w:val="24"/>
          <w:highlight w:val="none"/>
          <w:lang w:val="en-US" w:eastAsia="zh-CN"/>
        </w:rPr>
        <w:t>第四部分评标方法及标准</w:t>
      </w:r>
      <w:r>
        <w:rPr>
          <w:rFonts w:hint="eastAsia" w:ascii="仿宋" w:hAnsi="仿宋" w:eastAsia="仿宋" w:cs="仿宋"/>
          <w:b w:val="0"/>
          <w:bCs/>
          <w:color w:val="auto"/>
          <w:kern w:val="0"/>
          <w:sz w:val="24"/>
          <w:szCs w:val="24"/>
          <w:highlight w:val="none"/>
          <w:lang w:val="en-US" w:eastAsia="zh-CN"/>
        </w:rPr>
        <w:t>（报价除外）</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val="en-US" w:eastAsia="zh-CN"/>
        </w:rPr>
      </w:pPr>
    </w:p>
    <w:p>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2891" w:firstLineChars="900"/>
        <w:jc w:val="both"/>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商务响应表</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30"/>
        <w:tblW w:w="0" w:type="auto"/>
        <w:tblInd w:w="-17"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072"/>
        <w:gridCol w:w="2544"/>
        <w:gridCol w:w="1795"/>
        <w:gridCol w:w="2485"/>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rPr>
              <w:t>项目</w:t>
            </w: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lang w:val="en-US" w:eastAsia="zh-CN"/>
              </w:rPr>
              <w:t>采购</w:t>
            </w:r>
            <w:r>
              <w:rPr>
                <w:rFonts w:hint="eastAsia" w:ascii="黑体" w:hAnsi="黑体" w:eastAsia="黑体" w:cs="黑体"/>
                <w:color w:val="auto"/>
                <w:szCs w:val="24"/>
                <w:highlight w:val="none"/>
              </w:rPr>
              <w:t>文件要求</w:t>
            </w: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rPr>
              <w:t>是否响应</w:t>
            </w: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14"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9"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38"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43"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43"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20"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bl>
    <w:p>
      <w:pPr>
        <w:pStyle w:val="15"/>
        <w:spacing w:after="156" w:line="480" w:lineRule="auto"/>
        <w:jc w:val="left"/>
        <w:rPr>
          <w:rFonts w:hint="default" w:hAnsi="宋体" w:eastAsia="宋体"/>
          <w:b/>
          <w:color w:val="auto"/>
          <w:sz w:val="24"/>
          <w:szCs w:val="24"/>
          <w:highlight w:val="none"/>
          <w:lang w:val="en-US" w:eastAsia="zh-CN"/>
        </w:rPr>
      </w:pPr>
      <w:r>
        <w:rPr>
          <w:rFonts w:hint="eastAsia" w:hAnsi="宋体"/>
          <w:b/>
          <w:color w:val="auto"/>
          <w:sz w:val="24"/>
          <w:szCs w:val="24"/>
          <w:highlight w:val="none"/>
          <w:lang w:val="en-US" w:eastAsia="zh-CN"/>
        </w:rPr>
        <w:t>注：</w:t>
      </w:r>
      <w:r>
        <w:rPr>
          <w:rFonts w:hint="eastAsia" w:hAnsi="宋体"/>
          <w:b/>
          <w:color w:val="auto"/>
          <w:sz w:val="24"/>
          <w:szCs w:val="24"/>
          <w:highlight w:val="none"/>
        </w:rPr>
        <w:t>如不填写本表，则视为完全响应</w:t>
      </w:r>
      <w:r>
        <w:rPr>
          <w:rFonts w:hint="eastAsia" w:hAnsi="宋体"/>
          <w:b/>
          <w:color w:val="auto"/>
          <w:sz w:val="24"/>
          <w:szCs w:val="24"/>
          <w:highlight w:val="none"/>
          <w:lang w:val="en-US" w:eastAsia="zh-CN"/>
        </w:rPr>
        <w:t>采购</w:t>
      </w:r>
      <w:r>
        <w:rPr>
          <w:rFonts w:hint="eastAsia" w:hAnsi="宋体"/>
          <w:b/>
          <w:color w:val="auto"/>
          <w:sz w:val="24"/>
          <w:szCs w:val="24"/>
          <w:highlight w:val="none"/>
        </w:rPr>
        <w:t>文件。</w:t>
      </w:r>
    </w:p>
    <w:p>
      <w:pPr>
        <w:snapToGrid w:val="0"/>
        <w:spacing w:beforeLines="50" w:line="360" w:lineRule="auto"/>
        <w:rPr>
          <w:rFonts w:ascii="宋体" w:hAnsi="宋体" w:cs="宋体"/>
          <w:color w:val="auto"/>
          <w:szCs w:val="21"/>
          <w:highlight w:val="none"/>
        </w:rPr>
      </w:pPr>
    </w:p>
    <w:p>
      <w:pPr>
        <w:snapToGrid w:val="0"/>
        <w:spacing w:before="50" w:after="50" w:line="600" w:lineRule="exact"/>
        <w:rPr>
          <w:rFonts w:ascii="宋体" w:hAnsi="宋体" w:cs="宋体"/>
          <w:color w:val="auto"/>
          <w:spacing w:val="20"/>
          <w:szCs w:val="21"/>
          <w:highlight w:val="none"/>
          <w:u w:val="single"/>
        </w:rPr>
      </w:pPr>
      <w:r>
        <w:rPr>
          <w:rFonts w:hint="eastAsia" w:ascii="宋体" w:hAnsi="宋体" w:cs="宋体"/>
          <w:color w:val="auto"/>
          <w:szCs w:val="21"/>
          <w:highlight w:val="none"/>
        </w:rPr>
        <w:t xml:space="preserve">  法定代表人或授权委托人</w:t>
      </w:r>
      <w:r>
        <w:rPr>
          <w:rFonts w:hint="eastAsia" w:ascii="宋体" w:hAnsi="宋体" w:cs="宋体"/>
          <w:color w:val="auto"/>
          <w:spacing w:val="20"/>
          <w:szCs w:val="21"/>
          <w:highlight w:val="none"/>
        </w:rPr>
        <w:t>签</w:t>
      </w:r>
      <w:r>
        <w:rPr>
          <w:rFonts w:hint="eastAsia" w:ascii="宋体" w:hAnsi="宋体" w:cs="宋体"/>
          <w:color w:val="auto"/>
          <w:spacing w:val="20"/>
          <w:szCs w:val="21"/>
          <w:highlight w:val="none"/>
          <w:lang w:val="en-US" w:eastAsia="zh-CN"/>
        </w:rPr>
        <w:t>字</w:t>
      </w:r>
      <w:r>
        <w:rPr>
          <w:rFonts w:hint="eastAsia" w:ascii="宋体" w:hAnsi="宋体" w:cs="宋体"/>
          <w:color w:val="auto"/>
          <w:spacing w:val="20"/>
          <w:szCs w:val="21"/>
          <w:highlight w:val="none"/>
        </w:rPr>
        <w:t>：</w:t>
      </w:r>
    </w:p>
    <w:p>
      <w:pPr>
        <w:snapToGrid w:val="0"/>
        <w:spacing w:before="50" w:after="50" w:line="6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rPr>
        <w:t>电子签名</w:t>
      </w:r>
      <w:r>
        <w:rPr>
          <w:rFonts w:hint="eastAsia" w:ascii="宋体" w:hAnsi="宋体" w:eastAsia="宋体" w:cs="宋体"/>
          <w:color w:val="auto"/>
          <w:szCs w:val="21"/>
          <w:highlight w:val="none"/>
        </w:rPr>
        <w:t>）：</w:t>
      </w:r>
    </w:p>
    <w:p>
      <w:pPr>
        <w:snapToGrid w:val="0"/>
        <w:spacing w:before="50" w:after="50" w:line="600" w:lineRule="exact"/>
        <w:rPr>
          <w:rFonts w:ascii="宋体" w:hAnsi="宋体" w:cs="宋体"/>
          <w:color w:val="auto"/>
          <w:szCs w:val="21"/>
          <w:highlight w:val="none"/>
        </w:rPr>
      </w:pPr>
      <w:r>
        <w:rPr>
          <w:rFonts w:hint="eastAsia" w:ascii="宋体" w:hAnsi="宋体" w:cs="宋体"/>
          <w:color w:val="auto"/>
          <w:spacing w:val="20"/>
          <w:szCs w:val="21"/>
          <w:highlight w:val="none"/>
        </w:rPr>
        <w:t xml:space="preserve">  日         期：</w:t>
      </w:r>
    </w:p>
    <w:p>
      <w:pPr>
        <w:spacing w:line="360" w:lineRule="auto"/>
        <w:rPr>
          <w:rFonts w:hint="eastAsia" w:ascii="宋体" w:hAnsi="宋体" w:cs="Arial"/>
          <w:b/>
          <w:bCs/>
          <w:color w:val="auto"/>
          <w:szCs w:val="21"/>
          <w:highlight w:val="none"/>
        </w:rPr>
      </w:pPr>
    </w:p>
    <w:p>
      <w:pPr>
        <w:spacing w:line="360" w:lineRule="auto"/>
        <w:rPr>
          <w:rFonts w:ascii="宋体" w:hAnsi="宋体" w:cs="Arial"/>
          <w:b/>
          <w:bCs/>
          <w:color w:val="auto"/>
          <w:szCs w:val="21"/>
          <w:highlight w:val="none"/>
        </w:rPr>
      </w:pPr>
      <w:r>
        <w:rPr>
          <w:rFonts w:hint="eastAsia" w:ascii="宋体" w:hAnsi="宋体" w:cs="Arial"/>
          <w:b/>
          <w:bCs/>
          <w:color w:val="auto"/>
          <w:szCs w:val="21"/>
          <w:highlight w:val="none"/>
        </w:rPr>
        <w:t>注：</w:t>
      </w:r>
      <w:r>
        <w:rPr>
          <w:rFonts w:ascii="宋体" w:hAnsi="宋体" w:cs="Arial"/>
          <w:b/>
          <w:bCs/>
          <w:color w:val="auto"/>
          <w:szCs w:val="21"/>
          <w:highlight w:val="none"/>
        </w:rPr>
        <w:t>此表仅提供了表格形式，投标人可按此表格格式进行扩展。</w:t>
      </w:r>
    </w:p>
    <w:p>
      <w:pPr>
        <w:spacing w:line="480" w:lineRule="exact"/>
        <w:ind w:right="-108" w:firstLine="720"/>
        <w:jc w:val="center"/>
        <w:rPr>
          <w:rFonts w:ascii="宋体" w:cs="宋体"/>
          <w:color w:val="auto"/>
          <w:highlight w:val="none"/>
        </w:rPr>
      </w:pPr>
    </w:p>
    <w:p>
      <w:pPr>
        <w:spacing w:line="360" w:lineRule="auto"/>
        <w:ind w:right="420"/>
        <w:rPr>
          <w:rFonts w:hint="eastAsia" w:ascii="仿宋" w:hAnsi="仿宋" w:eastAsia="仿宋" w:cs="仿宋"/>
          <w:b/>
          <w:bCs/>
          <w:color w:val="auto"/>
          <w:sz w:val="32"/>
          <w:szCs w:val="32"/>
          <w:highlight w:val="none"/>
        </w:rPr>
      </w:pPr>
    </w:p>
    <w:p>
      <w:pPr>
        <w:widowControl/>
        <w:adjustRightInd/>
        <w:jc w:val="left"/>
        <w:rPr>
          <w:rFonts w:hint="eastAsia" w:ascii="仿宋" w:hAnsi="仿宋" w:eastAsia="仿宋" w:cs="仿宋"/>
          <w:b/>
          <w:bCs/>
          <w:color w:val="auto"/>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val="en-US" w:eastAsia="zh-CN"/>
        </w:rPr>
      </w:pPr>
    </w:p>
    <w:p>
      <w:pPr>
        <w:spacing w:line="480" w:lineRule="exact"/>
        <w:ind w:right="-108" w:firstLine="720"/>
        <w:jc w:val="center"/>
        <w:rPr>
          <w:rFonts w:ascii="宋体" w:cs="宋体"/>
          <w:color w:val="auto"/>
          <w:highlight w:val="none"/>
        </w:rPr>
      </w:pPr>
    </w:p>
    <w:p>
      <w:pPr>
        <w:widowControl/>
        <w:adjustRightInd/>
        <w:jc w:val="center"/>
        <w:rPr>
          <w:rFonts w:hint="eastAsia" w:ascii="仿宋" w:hAnsi="仿宋" w:eastAsia="仿宋" w:cs="仿宋"/>
          <w:b/>
          <w:bCs/>
          <w:color w:val="auto"/>
          <w:sz w:val="32"/>
          <w:szCs w:val="32"/>
          <w:highlight w:val="none"/>
          <w:lang w:val="en-US" w:eastAsia="zh-CN"/>
        </w:rPr>
      </w:pPr>
    </w:p>
    <w:p>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550"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550"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38"/>
        <w:jc w:val="center"/>
        <w:rPr>
          <w:rFonts w:hint="eastAsia" w:ascii="仿宋" w:hAnsi="仿宋" w:eastAsia="仿宋" w:cs="仿宋"/>
          <w:b/>
          <w:bCs/>
          <w:color w:val="auto"/>
          <w:sz w:val="24"/>
          <w:highlight w:val="none"/>
        </w:rPr>
      </w:pPr>
    </w:p>
    <w:p>
      <w:pP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br w:type="page"/>
      </w:r>
    </w:p>
    <w:p>
      <w:pPr>
        <w:keepNext w:val="0"/>
        <w:keepLines w:val="0"/>
        <w:pageBreakBefore w:val="0"/>
        <w:widowControl w:val="0"/>
        <w:kinsoku/>
        <w:wordWrap/>
        <w:overflowPunct/>
        <w:topLinePunct w:val="0"/>
        <w:bidi w:val="0"/>
        <w:adjustRightInd w:val="0"/>
        <w:snapToGrid/>
        <w:spacing w:line="360" w:lineRule="auto"/>
        <w:jc w:val="center"/>
        <w:textAlignment w:val="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32"/>
          <w:szCs w:val="32"/>
          <w:highlight w:val="none"/>
          <w:lang w:val="en-US"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sz w:val="32"/>
          <w:szCs w:val="32"/>
          <w:highlight w:val="none"/>
          <w:lang w:val="en-US" w:eastAsia="zh-CN"/>
        </w:rPr>
        <w:t>同类</w:t>
      </w:r>
      <w:r>
        <w:rPr>
          <w:rFonts w:hint="eastAsia" w:ascii="仿宋_GB2312" w:hAnsi="仿宋_GB2312" w:eastAsia="仿宋_GB2312" w:cs="仿宋_GB2312"/>
          <w:b/>
          <w:color w:val="auto"/>
          <w:kern w:val="0"/>
          <w:sz w:val="32"/>
          <w:szCs w:val="32"/>
          <w:highlight w:val="none"/>
          <w:lang w:val="zh-CN"/>
        </w:rPr>
        <w:t>业绩证明</w:t>
      </w:r>
    </w:p>
    <w:tbl>
      <w:tblPr>
        <w:tblStyle w:val="30"/>
        <w:tblW w:w="8634" w:type="dxa"/>
        <w:tblInd w:w="108" w:type="dxa"/>
        <w:tblLayout w:type="fixed"/>
        <w:tblCellMar>
          <w:top w:w="0" w:type="dxa"/>
          <w:left w:w="108" w:type="dxa"/>
          <w:bottom w:w="0" w:type="dxa"/>
          <w:right w:w="108" w:type="dxa"/>
        </w:tblCellMar>
      </w:tblPr>
      <w:tblGrid>
        <w:gridCol w:w="1438"/>
        <w:gridCol w:w="834"/>
        <w:gridCol w:w="1400"/>
        <w:gridCol w:w="1183"/>
        <w:gridCol w:w="1708"/>
        <w:gridCol w:w="1014"/>
        <w:gridCol w:w="1057"/>
      </w:tblGrid>
      <w:tr>
        <w:tblPrEx>
          <w:tblCellMar>
            <w:top w:w="0" w:type="dxa"/>
            <w:left w:w="108" w:type="dxa"/>
            <w:bottom w:w="0" w:type="dxa"/>
            <w:right w:w="108" w:type="dxa"/>
          </w:tblCellMar>
        </w:tblPrEx>
        <w:trPr>
          <w:trHeight w:val="692" w:hRule="atLeast"/>
        </w:trPr>
        <w:tc>
          <w:tcPr>
            <w:tcW w:w="1438"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834"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w:t>
            </w:r>
          </w:p>
        </w:tc>
        <w:tc>
          <w:tcPr>
            <w:tcW w:w="1400"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简要描述</w:t>
            </w:r>
          </w:p>
        </w:tc>
        <w:tc>
          <w:tcPr>
            <w:tcW w:w="1183"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w:t>
            </w:r>
          </w:p>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w:t>
            </w:r>
          </w:p>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1708"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项目地址与采购单位联系电话</w:t>
            </w:r>
          </w:p>
        </w:tc>
        <w:tc>
          <w:tcPr>
            <w:tcW w:w="1014" w:type="dxa"/>
            <w:tcBorders>
              <w:top w:val="single" w:color="auto" w:sz="6" w:space="0"/>
              <w:left w:val="single" w:color="auto" w:sz="6" w:space="0"/>
              <w:bottom w:val="single" w:color="auto" w:sz="6" w:space="0"/>
              <w:right w:val="single" w:color="auto" w:sz="6" w:space="0"/>
            </w:tcBorders>
            <w:vAlign w:val="center"/>
          </w:tcPr>
          <w:p>
            <w:pPr>
              <w:adjustRightInd/>
              <w:spacing w:line="380" w:lineRule="exact"/>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页码</w:t>
            </w:r>
          </w:p>
        </w:tc>
        <w:tc>
          <w:tcPr>
            <w:tcW w:w="1057"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备注</w:t>
            </w:r>
          </w:p>
        </w:tc>
      </w:tr>
      <w:tr>
        <w:tblPrEx>
          <w:tblCellMar>
            <w:top w:w="0" w:type="dxa"/>
            <w:left w:w="108" w:type="dxa"/>
            <w:bottom w:w="0" w:type="dxa"/>
            <w:right w:w="108" w:type="dxa"/>
          </w:tblCellMar>
        </w:tblPrEx>
        <w:trPr>
          <w:trHeight w:val="692" w:hRule="atLeast"/>
        </w:trPr>
        <w:tc>
          <w:tcPr>
            <w:tcW w:w="1438"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834"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400"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183"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708"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014" w:type="dxa"/>
            <w:tcBorders>
              <w:top w:val="single" w:color="auto" w:sz="6" w:space="0"/>
              <w:left w:val="single" w:color="auto" w:sz="6" w:space="0"/>
              <w:bottom w:val="single" w:color="auto" w:sz="6" w:space="0"/>
              <w:right w:val="single" w:color="auto" w:sz="6" w:space="0"/>
            </w:tcBorders>
            <w:vAlign w:val="center"/>
          </w:tcPr>
          <w:p>
            <w:pPr>
              <w:adjustRightInd/>
              <w:spacing w:line="380" w:lineRule="exact"/>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w:t>
            </w:r>
          </w:p>
        </w:tc>
        <w:tc>
          <w:tcPr>
            <w:tcW w:w="105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仿宋_GB2312" w:hAnsi="仿宋_GB2312" w:eastAsia="仿宋_GB2312" w:cs="仿宋_GB2312"/>
                <w:color w:val="auto"/>
                <w:sz w:val="24"/>
                <w:highlight w:val="none"/>
                <w:lang w:val="en-US" w:eastAsia="zh-CN"/>
              </w:rPr>
            </w:pPr>
          </w:p>
        </w:tc>
      </w:tr>
      <w:tr>
        <w:tblPrEx>
          <w:tblCellMar>
            <w:top w:w="0" w:type="dxa"/>
            <w:left w:w="108" w:type="dxa"/>
            <w:bottom w:w="0" w:type="dxa"/>
            <w:right w:w="108" w:type="dxa"/>
          </w:tblCellMar>
        </w:tblPrEx>
        <w:trPr>
          <w:trHeight w:val="659"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p>
    <w:p>
      <w:pPr>
        <w:pStyle w:val="2"/>
        <w:rPr>
          <w:color w:val="auto"/>
          <w:highlight w:val="none"/>
        </w:rPr>
      </w:pPr>
    </w:p>
    <w:p>
      <w:pPr>
        <w:autoSpaceDE w:val="0"/>
        <w:autoSpaceDN w:val="0"/>
        <w:spacing w:line="360" w:lineRule="auto"/>
        <w:jc w:val="right"/>
        <w:rPr>
          <w:rFonts w:ascii="仿宋_GB2312" w:hAnsi="仿宋_GB2312" w:eastAsia="仿宋_GB2312" w:cs="仿宋_GB2312"/>
          <w:color w:val="auto"/>
          <w:sz w:val="24"/>
          <w:highlight w:val="none"/>
        </w:rPr>
      </w:pPr>
    </w:p>
    <w:p>
      <w:pPr>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 xml:space="preserve">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  年   月   日</w:t>
      </w: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default" w:ascii="仿宋_GB2312" w:hAnsi="仿宋_GB2312" w:eastAsia="仿宋_GB2312" w:cs="仿宋_GB2312"/>
          <w:b/>
          <w:bCs/>
          <w:color w:val="auto"/>
          <w:sz w:val="32"/>
          <w:szCs w:val="32"/>
          <w:highlight w:val="none"/>
          <w:lang w:val="en-US"/>
        </w:rPr>
      </w:pP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lang w:val="zh-CN"/>
        </w:rPr>
        <w:t>、</w:t>
      </w:r>
      <w:r>
        <w:rPr>
          <w:rFonts w:hint="eastAsia" w:ascii="仿宋_GB2312" w:hAnsi="仿宋_GB2312" w:eastAsia="仿宋_GB2312" w:cs="仿宋_GB2312"/>
          <w:b/>
          <w:bCs/>
          <w:color w:val="auto"/>
          <w:sz w:val="32"/>
          <w:szCs w:val="32"/>
          <w:highlight w:val="none"/>
          <w:lang w:val="en-US" w:eastAsia="zh-CN"/>
        </w:rPr>
        <w:t>服务渠道</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九、承保服务方案</w:t>
      </w:r>
    </w:p>
    <w:p>
      <w:pPr>
        <w:spacing w:line="360" w:lineRule="auto"/>
        <w:ind w:firstLine="480" w:firstLineChars="200"/>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偿付能力充足率</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十一、理赔服务方案</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二、服务团队</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_GB2312" w:hAnsi="仿宋_GB2312" w:eastAsia="仿宋_GB2312" w:cs="仿宋_GB2312"/>
          <w:b/>
          <w:bCs/>
          <w:color w:val="auto"/>
          <w:sz w:val="32"/>
          <w:szCs w:val="32"/>
          <w:highlight w:val="none"/>
          <w:lang w:val="en-US" w:eastAsia="zh-CN"/>
        </w:rPr>
      </w:pPr>
    </w:p>
    <w:p>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十三、服务承诺</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十四、经营评级情况</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b/>
          <w:bCs/>
          <w:color w:val="auto"/>
          <w:sz w:val="32"/>
          <w:szCs w:val="32"/>
          <w:highlight w:val="none"/>
          <w:lang w:eastAsia="zh-CN"/>
        </w:rPr>
      </w:pPr>
    </w:p>
    <w:p>
      <w:pPr>
        <w:spacing w:line="360" w:lineRule="auto"/>
        <w:ind w:firstLine="964" w:firstLineChars="300"/>
        <w:jc w:val="both"/>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32"/>
          <w:szCs w:val="32"/>
          <w:highlight w:val="none"/>
          <w:lang w:val="en-US"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投标人认为</w:t>
      </w:r>
      <w:r>
        <w:rPr>
          <w:rFonts w:hint="eastAsia" w:ascii="仿宋_GB2312" w:hAnsi="仿宋_GB2312" w:eastAsia="仿宋_GB2312" w:cs="仿宋_GB2312"/>
          <w:b/>
          <w:bCs/>
          <w:color w:val="auto"/>
          <w:sz w:val="32"/>
          <w:szCs w:val="32"/>
          <w:highlight w:val="none"/>
        </w:rPr>
        <w:t>需要说明的其他文件和说明（若有）</w:t>
      </w:r>
    </w:p>
    <w:p>
      <w:pPr>
        <w:keepNext w:val="0"/>
        <w:keepLines w:val="0"/>
        <w:pageBreakBefore w:val="0"/>
        <w:widowControl w:val="0"/>
        <w:kinsoku/>
        <w:wordWrap/>
        <w:overflowPunct/>
        <w:topLinePunct w:val="0"/>
        <w:autoSpaceDE/>
        <w:autoSpaceDN/>
        <w:bidi w:val="0"/>
        <w:adjustRightInd w:val="0"/>
        <w:snapToGrid/>
        <w:spacing w:before="282" w:beforeLines="90"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ascii="仿宋" w:hAnsi="仿宋" w:eastAsia="仿宋" w:cs="仿宋"/>
          <w:b/>
          <w:color w:val="auto"/>
          <w:sz w:val="36"/>
          <w:szCs w:val="36"/>
          <w:highlight w:val="none"/>
        </w:rPr>
      </w:pPr>
    </w:p>
    <w:p>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outlineLvl w:val="0"/>
        <w:rPr>
          <w:rFonts w:hint="eastAsia" w:ascii="仿宋" w:hAnsi="仿宋" w:eastAsia="仿宋" w:cs="仿宋"/>
          <w:b/>
          <w:color w:val="auto"/>
          <w:kern w:val="0"/>
          <w:sz w:val="36"/>
          <w:szCs w:val="36"/>
          <w:highlight w:val="none"/>
        </w:rPr>
      </w:pPr>
    </w:p>
    <w:p>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36" w:lineRule="auto"/>
        <w:jc w:val="center"/>
        <w:outlineLvl w:val="0"/>
        <w:rPr>
          <w:rFonts w:ascii="仿宋" w:hAnsi="仿宋" w:eastAsia="仿宋" w:cs="仿宋"/>
          <w:b/>
          <w:color w:val="auto"/>
          <w:kern w:val="0"/>
          <w:sz w:val="36"/>
          <w:szCs w:val="36"/>
          <w:highlight w:val="none"/>
        </w:rPr>
      </w:pPr>
    </w:p>
    <w:p>
      <w:pPr>
        <w:snapToGrid w:val="0"/>
        <w:spacing w:line="360" w:lineRule="auto"/>
        <w:ind w:firstLine="480" w:firstLineChars="200"/>
        <w:jc w:val="left"/>
        <w:rPr>
          <w:rFonts w:hint="eastAsia" w:ascii="宋体" w:hAnsi="宋体"/>
          <w:color w:val="auto"/>
          <w:highlight w:val="none"/>
        </w:rPr>
      </w:pPr>
    </w:p>
    <w:p>
      <w:pPr>
        <w:snapToGrid w:val="0"/>
        <w:spacing w:line="360" w:lineRule="auto"/>
        <w:ind w:firstLine="480" w:firstLineChars="200"/>
        <w:jc w:val="left"/>
        <w:rPr>
          <w:rFonts w:ascii="宋体" w:hAnsi="宋体"/>
          <w:color w:val="auto"/>
          <w:highlight w:val="none"/>
        </w:rPr>
      </w:pPr>
      <w:r>
        <w:rPr>
          <w:rFonts w:hint="eastAsia" w:ascii="宋体" w:hAnsi="宋体"/>
          <w:color w:val="auto"/>
          <w:highlight w:val="none"/>
        </w:rPr>
        <w:t xml:space="preserve">（1）开标一览表（格式见附件1）； </w:t>
      </w:r>
    </w:p>
    <w:p>
      <w:pPr>
        <w:snapToGrid w:val="0"/>
        <w:spacing w:line="360" w:lineRule="auto"/>
        <w:ind w:firstLine="480" w:firstLineChars="200"/>
        <w:jc w:val="left"/>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2</w:t>
      </w:r>
      <w:r>
        <w:rPr>
          <w:rFonts w:hint="eastAsia" w:ascii="宋体" w:hAnsi="宋体"/>
          <w:color w:val="auto"/>
          <w:highlight w:val="none"/>
        </w:rPr>
        <w:t>）投标人针对报价需要说明的其他文件和说明（附件</w:t>
      </w:r>
      <w:r>
        <w:rPr>
          <w:rFonts w:hint="eastAsia" w:ascii="宋体" w:hAnsi="宋体"/>
          <w:color w:val="auto"/>
          <w:highlight w:val="none"/>
          <w:lang w:val="en-US" w:eastAsia="zh-CN"/>
        </w:rPr>
        <w:t>2</w:t>
      </w:r>
      <w:r>
        <w:rPr>
          <w:rFonts w:hint="eastAsia" w:ascii="宋体" w:hAnsi="宋体"/>
          <w:color w:val="auto"/>
          <w:highlight w:val="none"/>
        </w:rPr>
        <w:t>、格式自拟）。</w:t>
      </w:r>
    </w:p>
    <w:p>
      <w:pPr>
        <w:spacing w:line="360" w:lineRule="auto"/>
        <w:rPr>
          <w:rFonts w:ascii="宋体" w:hAnsi="宋体" w:cs="宋体"/>
          <w:b/>
          <w:color w:val="auto"/>
          <w:spacing w:val="6"/>
          <w:sz w:val="28"/>
          <w:szCs w:val="28"/>
          <w:highlight w:val="none"/>
        </w:rPr>
      </w:pPr>
    </w:p>
    <w:p>
      <w:pPr>
        <w:spacing w:line="360" w:lineRule="auto"/>
        <w:ind w:firstLine="482"/>
        <w:rPr>
          <w:rFonts w:ascii="宋体" w:hAnsi="宋体" w:cs="宋体"/>
          <w:color w:val="auto"/>
          <w:highlight w:val="none"/>
        </w:rPr>
      </w:pPr>
    </w:p>
    <w:p>
      <w:pPr>
        <w:pStyle w:val="27"/>
        <w:spacing w:line="360" w:lineRule="auto"/>
        <w:ind w:firstLine="240"/>
        <w:rPr>
          <w:rFonts w:hAnsi="宋体" w:cs="宋体"/>
          <w:color w:val="auto"/>
          <w:highlight w:val="none"/>
        </w:rPr>
      </w:pPr>
    </w:p>
    <w:p>
      <w:pPr>
        <w:pStyle w:val="27"/>
        <w:spacing w:line="360" w:lineRule="auto"/>
        <w:ind w:firstLine="240"/>
        <w:rPr>
          <w:rFonts w:hAnsi="宋体" w:cs="宋体"/>
          <w:color w:val="auto"/>
          <w:highlight w:val="none"/>
        </w:rPr>
      </w:pPr>
    </w:p>
    <w:p>
      <w:pPr>
        <w:pStyle w:val="27"/>
        <w:spacing w:line="360" w:lineRule="auto"/>
        <w:ind w:firstLine="240"/>
        <w:rPr>
          <w:rFonts w:hAnsi="宋体" w:cs="宋体"/>
          <w:color w:val="auto"/>
          <w:highlight w:val="none"/>
        </w:rPr>
      </w:pPr>
    </w:p>
    <w:p>
      <w:pPr>
        <w:pStyle w:val="27"/>
        <w:spacing w:line="360" w:lineRule="auto"/>
        <w:ind w:firstLine="240"/>
        <w:rPr>
          <w:rFonts w:hAnsi="宋体" w:cs="宋体"/>
          <w:color w:val="auto"/>
          <w:highlight w:val="none"/>
        </w:rPr>
      </w:pPr>
    </w:p>
    <w:p>
      <w:pPr>
        <w:pStyle w:val="27"/>
        <w:spacing w:line="360" w:lineRule="auto"/>
        <w:ind w:firstLine="240"/>
        <w:rPr>
          <w:rFonts w:hAnsi="宋体" w:cs="宋体"/>
          <w:color w:val="auto"/>
          <w:highlight w:val="none"/>
        </w:rPr>
      </w:pPr>
    </w:p>
    <w:p>
      <w:pPr>
        <w:pStyle w:val="23"/>
        <w:spacing w:line="390" w:lineRule="exact"/>
        <w:ind w:firstLine="480" w:firstLineChars="200"/>
        <w:rPr>
          <w:rFonts w:cs="宋体"/>
          <w:color w:val="auto"/>
          <w:szCs w:val="21"/>
          <w:highlight w:val="none"/>
        </w:rPr>
      </w:pPr>
    </w:p>
    <w:p>
      <w:pPr>
        <w:spacing w:line="360" w:lineRule="auto"/>
        <w:rPr>
          <w:rFonts w:ascii="黑体" w:hAnsi="黑体" w:eastAsia="黑体" w:cs="黑体"/>
          <w:b/>
          <w:color w:val="auto"/>
          <w:spacing w:val="6"/>
          <w:szCs w:val="21"/>
          <w:highlight w:val="none"/>
        </w:rPr>
      </w:pPr>
    </w:p>
    <w:p>
      <w:pPr>
        <w:spacing w:line="360" w:lineRule="auto"/>
        <w:rPr>
          <w:rFonts w:ascii="黑体" w:hAnsi="黑体" w:eastAsia="黑体" w:cs="黑体"/>
          <w:b/>
          <w:color w:val="auto"/>
          <w:spacing w:val="6"/>
          <w:szCs w:val="21"/>
          <w:highlight w:val="none"/>
        </w:rPr>
      </w:pPr>
    </w:p>
    <w:p>
      <w:pPr>
        <w:snapToGrid w:val="0"/>
        <w:spacing w:before="50" w:line="360" w:lineRule="auto"/>
        <w:jc w:val="center"/>
        <w:rPr>
          <w:rFonts w:ascii="宋体" w:hAnsi="宋体"/>
          <w:color w:val="auto"/>
          <w:szCs w:val="21"/>
          <w:highlight w:val="none"/>
        </w:rPr>
      </w:pPr>
    </w:p>
    <w:p>
      <w:pPr>
        <w:snapToGrid w:val="0"/>
        <w:spacing w:before="50" w:line="360" w:lineRule="auto"/>
        <w:jc w:val="center"/>
        <w:rPr>
          <w:rFonts w:ascii="宋体" w:hAnsi="宋体"/>
          <w:color w:val="auto"/>
          <w:szCs w:val="21"/>
          <w:highlight w:val="none"/>
        </w:rPr>
      </w:pPr>
    </w:p>
    <w:p>
      <w:pPr>
        <w:pStyle w:val="27"/>
        <w:ind w:firstLine="210"/>
        <w:rPr>
          <w:rFonts w:hAnsi="宋体" w:cs="黑体"/>
          <w:bCs/>
          <w:color w:val="auto"/>
          <w:sz w:val="21"/>
          <w:szCs w:val="21"/>
          <w:highlight w:val="none"/>
        </w:rPr>
      </w:pPr>
      <w:r>
        <w:rPr>
          <w:rFonts w:hint="eastAsia"/>
          <w:color w:val="auto"/>
          <w:sz w:val="21"/>
          <w:szCs w:val="21"/>
          <w:highlight w:val="none"/>
        </w:rPr>
        <w:br w:type="page"/>
      </w:r>
    </w:p>
    <w:p>
      <w:pPr>
        <w:snapToGrid w:val="0"/>
        <w:spacing w:line="600" w:lineRule="exact"/>
        <w:jc w:val="center"/>
        <w:rPr>
          <w:rFonts w:ascii="黑体" w:hAnsi="黑体" w:eastAsia="黑体" w:cs="黑体"/>
          <w:bCs/>
          <w:color w:val="auto"/>
          <w:sz w:val="36"/>
          <w:szCs w:val="36"/>
          <w:highlight w:val="none"/>
        </w:rPr>
      </w:pPr>
    </w:p>
    <w:p>
      <w:pPr>
        <w:snapToGrid w:val="0"/>
        <w:spacing w:before="50" w:afterLines="50"/>
        <w:jc w:val="center"/>
        <w:rPr>
          <w:rFonts w:ascii="黑体" w:hAnsi="黑体" w:eastAsia="黑体" w:cs="黑体"/>
          <w:bCs/>
          <w:color w:val="auto"/>
          <w:sz w:val="36"/>
          <w:szCs w:val="36"/>
          <w:highlight w:val="none"/>
        </w:rPr>
      </w:pPr>
      <w:r>
        <w:rPr>
          <w:rFonts w:hint="eastAsia" w:ascii="宋体" w:hAnsi="宋体"/>
          <w:b/>
          <w:bCs/>
          <w:color w:val="auto"/>
          <w:sz w:val="28"/>
          <w:szCs w:val="28"/>
          <w:highlight w:val="none"/>
          <w:lang w:val="en-US" w:eastAsia="zh-CN"/>
        </w:rPr>
        <w:t>一、</w:t>
      </w:r>
      <w:r>
        <w:rPr>
          <w:rFonts w:hint="eastAsia" w:ascii="宋体" w:hAnsi="宋体"/>
          <w:b/>
          <w:bCs/>
          <w:color w:val="auto"/>
          <w:sz w:val="28"/>
          <w:szCs w:val="28"/>
          <w:highlight w:val="none"/>
        </w:rPr>
        <w:t>开标一览表（报价表）</w:t>
      </w:r>
    </w:p>
    <w:p>
      <w:pPr>
        <w:rPr>
          <w:color w:val="auto"/>
          <w:szCs w:val="21"/>
          <w:highlight w:val="none"/>
          <w:u w:val="single"/>
        </w:rPr>
      </w:pPr>
    </w:p>
    <w:tbl>
      <w:tblPr>
        <w:tblStyle w:val="30"/>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3101"/>
        <w:gridCol w:w="163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74"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标号</w:t>
            </w:r>
          </w:p>
        </w:tc>
        <w:tc>
          <w:tcPr>
            <w:tcW w:w="3101"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标的内容</w:t>
            </w:r>
          </w:p>
        </w:tc>
        <w:tc>
          <w:tcPr>
            <w:tcW w:w="480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投标报价</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4"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310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小写</w:t>
            </w:r>
          </w:p>
        </w:tc>
        <w:tc>
          <w:tcPr>
            <w:tcW w:w="3172"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7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p>
        </w:tc>
        <w:tc>
          <w:tcPr>
            <w:tcW w:w="3101"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pPr>
              <w:keepNext w:val="0"/>
              <w:keepLines w:val="0"/>
              <w:suppressLineNumbers w:val="0"/>
              <w:spacing w:before="0" w:beforeAutospacing="0" w:after="0" w:afterAutospacing="0" w:line="240" w:lineRule="auto"/>
              <w:ind w:left="0" w:right="0"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p>
        </w:tc>
        <w:tc>
          <w:tcPr>
            <w:tcW w:w="3172" w:type="dxa"/>
            <w:vAlign w:val="center"/>
          </w:tcPr>
          <w:p>
            <w:pPr>
              <w:keepNext w:val="0"/>
              <w:keepLines w:val="0"/>
              <w:suppressLineNumbers w:val="0"/>
              <w:spacing w:before="0" w:beforeAutospacing="0" w:after="0" w:afterAutospacing="0" w:line="700" w:lineRule="exact"/>
              <w:ind w:left="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w:t>
            </w:r>
          </w:p>
        </w:tc>
      </w:tr>
    </w:tbl>
    <w:p>
      <w:pPr>
        <w:rPr>
          <w:i/>
          <w:color w:val="auto"/>
          <w:szCs w:val="21"/>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color w:val="auto"/>
          <w:kern w:val="0"/>
          <w:sz w:val="24"/>
          <w:szCs w:val="24"/>
          <w:highlight w:val="none"/>
          <w:lang w:val="zh-CN"/>
        </w:rPr>
        <w:t>注：</w:t>
      </w:r>
      <w:r>
        <w:rPr>
          <w:rFonts w:hint="eastAsia" w:ascii="仿宋" w:hAnsi="仿宋" w:eastAsia="仿宋" w:cs="仿宋"/>
          <w:color w:val="auto"/>
          <w:kern w:val="0"/>
          <w:sz w:val="24"/>
          <w:szCs w:val="24"/>
          <w:highlight w:val="none"/>
          <w:lang w:val="zh-CN"/>
        </w:rPr>
        <w:t>有关本项目实施所涉及的一切费用均计入报价。</w:t>
      </w:r>
      <w:r>
        <w:rPr>
          <w:rFonts w:hint="eastAsia" w:ascii="仿宋" w:hAnsi="仿宋" w:eastAsia="仿宋" w:cs="仿宋"/>
          <w:b/>
          <w:color w:val="auto"/>
          <w:kern w:val="0"/>
          <w:sz w:val="24"/>
          <w:szCs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szCs w:val="24"/>
          <w:highlight w:val="none"/>
          <w:lang w:val="zh-CN"/>
        </w:rPr>
        <w:t>，</w:t>
      </w:r>
      <w:r>
        <w:rPr>
          <w:rFonts w:hint="eastAsia" w:ascii="仿宋" w:hAnsi="仿宋" w:eastAsia="仿宋" w:cs="仿宋"/>
          <w:b/>
          <w:color w:val="auto"/>
          <w:kern w:val="0"/>
          <w:sz w:val="24"/>
          <w:szCs w:val="24"/>
          <w:highlight w:val="none"/>
          <w:lang w:val="zh-CN"/>
        </w:rPr>
        <w:t>不得出现“0元”“免费赠送”等形式的无偿报价，</w:t>
      </w:r>
      <w:r>
        <w:rPr>
          <w:rFonts w:hint="eastAsia" w:ascii="仿宋" w:hAnsi="仿宋" w:eastAsia="仿宋" w:cs="仿宋"/>
          <w:b/>
          <w:color w:val="auto"/>
          <w:kern w:val="0"/>
          <w:sz w:val="24"/>
          <w:szCs w:val="24"/>
          <w:highlight w:val="none"/>
        </w:rPr>
        <w:t>否则视为</w:t>
      </w:r>
      <w:r>
        <w:rPr>
          <w:rFonts w:hint="eastAsia" w:ascii="仿宋" w:hAnsi="仿宋" w:eastAsia="仿宋" w:cs="仿宋"/>
          <w:b/>
          <w:color w:val="auto"/>
          <w:sz w:val="24"/>
          <w:szCs w:val="24"/>
          <w:highlight w:val="none"/>
        </w:rPr>
        <w:t>投标文件含有采购人不能接受的附加条件的，投标无效</w:t>
      </w:r>
      <w:r>
        <w:rPr>
          <w:rFonts w:hint="eastAsia" w:ascii="仿宋" w:hAnsi="仿宋" w:eastAsia="仿宋" w:cs="仿宋"/>
          <w:b/>
          <w:color w:val="auto"/>
          <w:kern w:val="0"/>
          <w:sz w:val="24"/>
          <w:szCs w:val="24"/>
          <w:highlight w:val="none"/>
          <w:lang w:val="zh-CN"/>
        </w:rPr>
        <w:t>。</w:t>
      </w:r>
    </w:p>
    <w:p>
      <w:pPr>
        <w:keepNext w:val="0"/>
        <w:keepLines w:val="0"/>
        <w:pageBreakBefore w:val="0"/>
        <w:widowControl w:val="0"/>
        <w:kinsoku/>
        <w:wordWrap/>
        <w:overflowPunct/>
        <w:topLinePunct w:val="0"/>
        <w:autoSpaceDE/>
        <w:autoSpaceDN/>
        <w:bidi w:val="0"/>
        <w:snapToGrid/>
        <w:spacing w:line="360" w:lineRule="auto"/>
        <w:textAlignment w:val="auto"/>
        <w:rPr>
          <w:color w:val="auto"/>
          <w:szCs w:val="21"/>
          <w:highlight w:val="none"/>
        </w:rPr>
      </w:pPr>
    </w:p>
    <w:p>
      <w:pPr>
        <w:spacing w:line="600" w:lineRule="exact"/>
        <w:ind w:right="480"/>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 xml:space="preserve"> 投标人</w:t>
      </w:r>
      <w:r>
        <w:rPr>
          <w:rFonts w:hint="eastAsia" w:ascii="宋体" w:hAnsi="宋体" w:eastAsia="宋体" w:cs="宋体"/>
          <w:color w:val="auto"/>
          <w:szCs w:val="21"/>
          <w:highlight w:val="none"/>
        </w:rPr>
        <w:t>名称（电子签名）：</w:t>
      </w:r>
    </w:p>
    <w:p>
      <w:pPr>
        <w:spacing w:line="600" w:lineRule="exact"/>
        <w:jc w:val="right"/>
        <w:rPr>
          <w:rFonts w:ascii="宋体" w:hAnsi="宋体" w:cs="宋体"/>
          <w:color w:val="auto"/>
          <w:szCs w:val="21"/>
          <w:highlight w:val="none"/>
        </w:rPr>
      </w:pPr>
      <w:r>
        <w:rPr>
          <w:rFonts w:hint="eastAsia" w:ascii="宋体" w:hAnsi="宋体" w:cs="宋体"/>
          <w:color w:val="auto"/>
          <w:szCs w:val="21"/>
          <w:highlight w:val="none"/>
        </w:rPr>
        <w:t xml:space="preserve">法定代表人或授权委托人签字：            </w:t>
      </w:r>
    </w:p>
    <w:p>
      <w:pPr>
        <w:spacing w:line="600" w:lineRule="exact"/>
        <w:jc w:val="right"/>
        <w:rPr>
          <w:rFonts w:ascii="宋体" w:hAnsi="宋体" w:cs="宋体"/>
          <w:color w:val="auto"/>
          <w:szCs w:val="21"/>
          <w:highlight w:val="none"/>
        </w:rPr>
      </w:pPr>
      <w:r>
        <w:rPr>
          <w:rFonts w:hint="eastAsia" w:ascii="宋体" w:hAnsi="宋体" w:cs="宋体"/>
          <w:color w:val="auto"/>
          <w:szCs w:val="21"/>
          <w:highlight w:val="none"/>
        </w:rPr>
        <w:t xml:space="preserve">            年    月     日</w:t>
      </w:r>
    </w:p>
    <w:p>
      <w:pPr>
        <w:rPr>
          <w:color w:val="auto"/>
          <w:highlight w:val="none"/>
        </w:rPr>
      </w:pPr>
      <w:r>
        <w:rPr>
          <w:rFonts w:hint="eastAsia"/>
          <w:color w:val="auto"/>
          <w:sz w:val="21"/>
          <w:szCs w:val="21"/>
          <w:highlight w:val="none"/>
        </w:rPr>
        <w:br w:type="page"/>
      </w:r>
    </w:p>
    <w:p>
      <w:pPr>
        <w:adjustRightInd w:val="0"/>
        <w:snapToGrid w:val="0"/>
        <w:jc w:val="center"/>
        <w:textAlignment w:val="baseline"/>
        <w:rPr>
          <w:rFonts w:ascii="宋体" w:hAnsi="宋体" w:cs="宋体"/>
          <w:b/>
          <w:color w:val="auto"/>
          <w:sz w:val="28"/>
          <w:szCs w:val="28"/>
          <w:highlight w:val="none"/>
        </w:rPr>
      </w:pPr>
    </w:p>
    <w:p>
      <w:pPr>
        <w:snapToGrid w:val="0"/>
        <w:spacing w:before="50" w:afterLines="50"/>
        <w:jc w:val="left"/>
        <w:rPr>
          <w:rFonts w:hint="eastAsia" w:ascii="宋体" w:hAnsi="宋体" w:cs="黑体"/>
          <w:bCs/>
          <w:color w:val="auto"/>
          <w:kern w:val="0"/>
          <w:sz w:val="21"/>
          <w:szCs w:val="21"/>
          <w:highlight w:val="none"/>
        </w:rPr>
      </w:pPr>
    </w:p>
    <w:p>
      <w:pPr>
        <w:snapToGrid w:val="0"/>
        <w:spacing w:line="360" w:lineRule="auto"/>
        <w:ind w:firstLine="586" w:firstLineChars="200"/>
        <w:jc w:val="left"/>
        <w:rPr>
          <w:rFonts w:ascii="宋体" w:hAnsi="宋体"/>
          <w:b/>
          <w:color w:val="auto"/>
          <w:spacing w:val="6"/>
          <w:sz w:val="28"/>
          <w:szCs w:val="28"/>
          <w:highlight w:val="none"/>
        </w:rPr>
      </w:pPr>
    </w:p>
    <w:p>
      <w:pPr>
        <w:snapToGrid w:val="0"/>
        <w:spacing w:line="360" w:lineRule="auto"/>
        <w:ind w:firstLine="667" w:firstLineChars="200"/>
        <w:jc w:val="left"/>
        <w:rPr>
          <w:rFonts w:ascii="宋体" w:hAnsi="宋体"/>
          <w:b/>
          <w:color w:val="auto"/>
          <w:spacing w:val="6"/>
          <w:sz w:val="32"/>
          <w:szCs w:val="32"/>
          <w:highlight w:val="none"/>
        </w:rPr>
      </w:pPr>
      <w:r>
        <w:rPr>
          <w:rFonts w:hint="eastAsia" w:ascii="宋体" w:hAnsi="宋体"/>
          <w:b/>
          <w:color w:val="auto"/>
          <w:spacing w:val="6"/>
          <w:sz w:val="32"/>
          <w:szCs w:val="32"/>
          <w:highlight w:val="none"/>
          <w:lang w:val="en-US" w:eastAsia="zh-CN"/>
        </w:rPr>
        <w:t>二、</w:t>
      </w:r>
      <w:r>
        <w:rPr>
          <w:rFonts w:hint="eastAsia" w:ascii="宋体" w:hAnsi="宋体"/>
          <w:b/>
          <w:color w:val="auto"/>
          <w:spacing w:val="6"/>
          <w:sz w:val="32"/>
          <w:szCs w:val="32"/>
          <w:highlight w:val="none"/>
        </w:rPr>
        <w:t>投标人针对报价需要说明的其他文件和说明（格式自拟）</w:t>
      </w:r>
    </w:p>
    <w:p>
      <w:pPr>
        <w:spacing w:line="588" w:lineRule="exact"/>
        <w:rPr>
          <w:rFonts w:ascii="宋体"/>
          <w:color w:val="auto"/>
          <w:szCs w:val="21"/>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pStyle w:val="27"/>
        <w:keepNext w:val="0"/>
        <w:keepLines w:val="0"/>
        <w:pageBreakBefore w:val="0"/>
        <w:widowControl w:val="0"/>
        <w:kinsoku/>
        <w:wordWrap/>
        <w:overflowPunct/>
        <w:topLinePunct w:val="0"/>
        <w:autoSpaceDE/>
        <w:autoSpaceDN/>
        <w:bidi w:val="0"/>
        <w:adjustRightInd/>
        <w:snapToGrid/>
        <w:spacing w:line="440" w:lineRule="exact"/>
        <w:ind w:firstLine="360"/>
        <w:jc w:val="center"/>
        <w:textAlignment w:val="auto"/>
        <w:rPr>
          <w:rFonts w:ascii="黑体" w:hAnsi="黑体" w:eastAsia="黑体" w:cs="黑体"/>
          <w:color w:val="auto"/>
          <w:sz w:val="36"/>
          <w:szCs w:val="36"/>
          <w:highlight w:val="none"/>
        </w:rPr>
      </w:pPr>
      <w:r>
        <w:rPr>
          <w:rFonts w:ascii="黑体" w:hAnsi="黑体" w:eastAsia="黑体" w:cs="黑体"/>
          <w:color w:val="auto"/>
          <w:sz w:val="36"/>
          <w:szCs w:val="36"/>
          <w:highlight w:val="none"/>
        </w:rPr>
        <w:t>采购活动现场确认声明书</w:t>
      </w:r>
    </w:p>
    <w:p>
      <w:pPr>
        <w:keepNext w:val="0"/>
        <w:keepLines w:val="0"/>
        <w:pageBreakBefore w:val="0"/>
        <w:widowControl w:val="0"/>
        <w:kinsoku/>
        <w:wordWrap/>
        <w:overflowPunct/>
        <w:topLinePunct w:val="0"/>
        <w:autoSpaceDE/>
        <w:autoSpaceDN/>
        <w:bidi w:val="0"/>
        <w:adjustRightInd/>
        <w:snapToGrid/>
        <w:spacing w:line="440" w:lineRule="exact"/>
        <w:textAlignment w:val="auto"/>
        <w:rPr>
          <w:color w:val="auto"/>
          <w:highlight w:val="none"/>
        </w:rPr>
      </w:pPr>
      <w:r>
        <w:rPr>
          <w:rFonts w:hint="eastAsia"/>
          <w:color w:val="auto"/>
          <w:highlight w:val="none"/>
        </w:rPr>
        <w:t>（此声明书投标文件中不用做，</w:t>
      </w:r>
      <w:r>
        <w:rPr>
          <w:color w:val="auto"/>
          <w:highlight w:val="none"/>
        </w:rPr>
        <w:t>开标后供应商通过邮件形式将经授权代表签署的《采购活动现场确认声明书》扫描件发至代理机构经办人邮箱</w:t>
      </w:r>
      <w:r>
        <w:rPr>
          <w:color w:val="auto"/>
          <w:highlight w:val="none"/>
        </w:rPr>
        <w:fldChar w:fldCharType="begin"/>
      </w:r>
      <w:r>
        <w:rPr>
          <w:color w:val="auto"/>
          <w:highlight w:val="none"/>
        </w:rPr>
        <w:instrText xml:space="preserve"> HYPERLINK "mailto:360745117@qq.com" \h </w:instrText>
      </w:r>
      <w:r>
        <w:rPr>
          <w:color w:val="auto"/>
          <w:highlight w:val="none"/>
        </w:rPr>
        <w:fldChar w:fldCharType="separate"/>
      </w:r>
      <w:r>
        <w:rPr>
          <w:rFonts w:hint="eastAsia"/>
          <w:color w:val="auto"/>
          <w:highlight w:val="none"/>
        </w:rPr>
        <w:t>1039652341</w:t>
      </w:r>
      <w:r>
        <w:rPr>
          <w:color w:val="auto"/>
          <w:highlight w:val="none"/>
        </w:rPr>
        <w:t>@qq.com</w:t>
      </w:r>
      <w:r>
        <w:rPr>
          <w:color w:val="auto"/>
          <w:highlight w:val="none"/>
        </w:rPr>
        <w:fldChar w:fldCharType="end"/>
      </w:r>
      <w:r>
        <w:rPr>
          <w:color w:val="auto"/>
          <w:highlight w:val="none"/>
        </w:rPr>
        <w:t>，联系人：任燕，电话：0575-</w:t>
      </w:r>
      <w:r>
        <w:rPr>
          <w:rFonts w:hint="eastAsia"/>
          <w:color w:val="auto"/>
          <w:highlight w:val="none"/>
        </w:rPr>
        <w:t>83338198</w:t>
      </w:r>
      <w:r>
        <w:rPr>
          <w:color w:val="auto"/>
          <w:highlight w:val="none"/>
        </w:rPr>
        <w:t>）</w:t>
      </w:r>
    </w:p>
    <w:p>
      <w:pPr>
        <w:pStyle w:val="46"/>
        <w:keepNext w:val="0"/>
        <w:keepLines w:val="0"/>
        <w:pageBreakBefore w:val="0"/>
        <w:kinsoku/>
        <w:wordWrap/>
        <w:overflowPunct/>
        <w:topLinePunct w:val="0"/>
        <w:autoSpaceDE/>
        <w:autoSpaceDN/>
        <w:bidi w:val="0"/>
        <w:adjustRightInd/>
        <w:snapToGrid w:val="0"/>
        <w:spacing w:beforeLines="100" w:line="460" w:lineRule="exact"/>
        <w:textAlignment w:val="auto"/>
        <w:rPr>
          <w:rFonts w:hAnsi="宋体" w:cs="宋体"/>
          <w:b/>
          <w:color w:val="auto"/>
          <w:szCs w:val="24"/>
          <w:highlight w:val="none"/>
        </w:rPr>
      </w:pPr>
      <w:r>
        <w:rPr>
          <w:rFonts w:hAnsi="宋体" w:cs="宋体"/>
          <w:color w:val="auto"/>
          <w:kern w:val="0"/>
          <w:szCs w:val="24"/>
          <w:highlight w:val="none"/>
        </w:rPr>
        <w:t>（采</w:t>
      </w:r>
      <w:r>
        <w:rPr>
          <w:rFonts w:hint="eastAsia" w:hAnsi="宋体" w:cs="宋体"/>
          <w:color w:val="auto"/>
          <w:kern w:val="0"/>
          <w:szCs w:val="24"/>
          <w:highlight w:val="none"/>
          <w:lang w:val="en-US" w:eastAsia="zh-CN"/>
        </w:rPr>
        <w:t>购代理</w:t>
      </w:r>
      <w:r>
        <w:rPr>
          <w:rFonts w:hAnsi="宋体" w:cs="宋体"/>
          <w:color w:val="auto"/>
          <w:kern w:val="0"/>
          <w:szCs w:val="24"/>
          <w:highlight w:val="none"/>
        </w:rPr>
        <w:t>机构名称）：</w:t>
      </w:r>
    </w:p>
    <w:p>
      <w:pPr>
        <w:keepNext w:val="0"/>
        <w:keepLines w:val="0"/>
        <w:pageBreakBefore w:val="0"/>
        <w:tabs>
          <w:tab w:val="left" w:pos="9640"/>
        </w:tabs>
        <w:kinsoku/>
        <w:wordWrap/>
        <w:overflowPunct/>
        <w:topLinePunct w:val="0"/>
        <w:autoSpaceDE/>
        <w:autoSpaceDN/>
        <w:bidi w:val="0"/>
        <w:adjustRightInd/>
        <w:spacing w:line="460" w:lineRule="exact"/>
        <w:ind w:firstLine="504"/>
        <w:jc w:val="left"/>
        <w:textAlignment w:val="auto"/>
        <w:rPr>
          <w:rFonts w:ascii="宋体" w:hAnsi="宋体" w:cs="宋体"/>
          <w:color w:val="auto"/>
          <w:spacing w:val="6"/>
          <w:highlight w:val="none"/>
        </w:rPr>
      </w:pPr>
      <w:r>
        <w:rPr>
          <w:rFonts w:hint="eastAsia" w:ascii="宋体" w:hAnsi="宋体" w:cs="宋体"/>
          <w:color w:val="auto"/>
          <w:spacing w:val="6"/>
          <w:highlight w:val="none"/>
        </w:rPr>
        <w:t xml:space="preserve"> 本人（授权代表姓名）经由（单位</w:t>
      </w:r>
      <w:r>
        <w:rPr>
          <w:rFonts w:hint="eastAsia" w:ascii="宋体" w:hAnsi="宋体" w:cs="宋体"/>
          <w:color w:val="auto"/>
          <w:spacing w:val="6"/>
          <w:highlight w:val="none"/>
          <w:lang w:val="en-US" w:eastAsia="zh-CN"/>
        </w:rPr>
        <w:t xml:space="preserve">         </w:t>
      </w:r>
      <w:r>
        <w:rPr>
          <w:rFonts w:hint="eastAsia" w:ascii="宋体" w:hAnsi="宋体" w:cs="宋体"/>
          <w:color w:val="auto"/>
          <w:spacing w:val="6"/>
          <w:highlight w:val="none"/>
        </w:rPr>
        <w:t>) （法定代表人姓名）合法授权参加</w:t>
      </w:r>
      <w:r>
        <w:rPr>
          <w:rFonts w:hint="eastAsia" w:ascii="宋体" w:hAnsi="宋体" w:cs="宋体"/>
          <w:color w:val="auto"/>
          <w:spacing w:val="6"/>
          <w:highlight w:val="none"/>
          <w:u w:val="single"/>
          <w:lang w:val="en-US" w:eastAsia="zh-CN"/>
        </w:rPr>
        <w:t xml:space="preserve">            </w:t>
      </w:r>
      <w:r>
        <w:rPr>
          <w:rFonts w:hint="eastAsia" w:cs="宋体"/>
          <w:color w:val="auto"/>
          <w:kern w:val="0"/>
          <w:highlight w:val="none"/>
          <w:u w:val="single"/>
        </w:rPr>
        <w:t>项目</w:t>
      </w:r>
      <w:r>
        <w:rPr>
          <w:rFonts w:hint="eastAsia" w:ascii="宋体" w:hAnsi="宋体" w:cs="宋体"/>
          <w:color w:val="auto"/>
          <w:spacing w:val="6"/>
          <w:highlight w:val="none"/>
        </w:rPr>
        <w:t>（</w:t>
      </w:r>
      <w:r>
        <w:rPr>
          <w:rFonts w:hint="eastAsia" w:ascii="宋体" w:hAnsi="宋体" w:cs="宋体"/>
          <w:color w:val="auto"/>
          <w:spacing w:val="6"/>
          <w:highlight w:val="none"/>
          <w:lang w:val="en-US" w:eastAsia="zh-CN"/>
        </w:rPr>
        <w:t>项目</w:t>
      </w:r>
      <w:r>
        <w:rPr>
          <w:rFonts w:hint="eastAsia" w:ascii="宋体" w:hAnsi="宋体" w:cs="宋体"/>
          <w:color w:val="auto"/>
          <w:spacing w:val="6"/>
          <w:highlight w:val="none"/>
        </w:rPr>
        <w:t>编号：</w:t>
      </w:r>
      <w:r>
        <w:rPr>
          <w:rFonts w:hint="eastAsia" w:ascii="宋体" w:hAnsi="宋体" w:cs="宋体"/>
          <w:color w:val="auto"/>
          <w:spacing w:val="6"/>
          <w:highlight w:val="none"/>
          <w:lang w:val="en-US" w:eastAsia="zh-CN"/>
        </w:rPr>
        <w:t xml:space="preserve">         </w:t>
      </w:r>
      <w:r>
        <w:rPr>
          <w:rFonts w:hint="eastAsia" w:ascii="宋体" w:hAnsi="宋体" w:cs="宋体"/>
          <w:color w:val="auto"/>
          <w:spacing w:val="6"/>
          <w:highlight w:val="none"/>
        </w:rPr>
        <w:t xml:space="preserve">）采购活动，经与本单位法人代表（负责人）联系确认，现就有关公平竞争事项郑重声明如下： </w:t>
      </w:r>
    </w:p>
    <w:p>
      <w:pPr>
        <w:pStyle w:val="47"/>
        <w:keepNext w:val="0"/>
        <w:keepLines w:val="0"/>
        <w:pageBreakBefore w:val="0"/>
        <w:widowControl/>
        <w:numPr>
          <w:ilvl w:val="0"/>
          <w:numId w:val="10"/>
        </w:numPr>
        <w:kinsoku/>
        <w:wordWrap/>
        <w:overflowPunct/>
        <w:topLinePunct w:val="0"/>
        <w:autoSpaceDE/>
        <w:autoSpaceDN/>
        <w:bidi w:val="0"/>
        <w:adjustRightInd/>
        <w:snapToGrid w:val="0"/>
        <w:spacing w:line="460" w:lineRule="exact"/>
        <w:ind w:firstLine="453" w:firstLineChars="189"/>
        <w:textAlignment w:val="auto"/>
        <w:rPr>
          <w:rFonts w:ascii="宋体" w:hAnsi="宋体" w:cs="宋体"/>
          <w:color w:val="auto"/>
          <w:kern w:val="0"/>
          <w:szCs w:val="24"/>
          <w:highlight w:val="none"/>
        </w:rPr>
      </w:pPr>
      <w:r>
        <w:rPr>
          <w:rFonts w:ascii="宋体" w:hAnsi="宋体" w:cs="宋体"/>
          <w:color w:val="auto"/>
          <w:kern w:val="0"/>
          <w:szCs w:val="24"/>
          <w:highlight w:val="none"/>
        </w:rPr>
        <w:t xml:space="preserve">本单位与采购人之间 </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不存在利害关系 □存在下列利害关系：</w:t>
      </w:r>
    </w:p>
    <w:p>
      <w:pPr>
        <w:pStyle w:val="47"/>
        <w:keepNext w:val="0"/>
        <w:keepLines w:val="0"/>
        <w:pageBreakBefore w:val="0"/>
        <w:widowControl/>
        <w:kinsoku/>
        <w:wordWrap/>
        <w:overflowPunct/>
        <w:topLinePunct w:val="0"/>
        <w:autoSpaceDE/>
        <w:autoSpaceDN/>
        <w:bidi w:val="0"/>
        <w:adjustRightInd/>
        <w:snapToGrid w:val="0"/>
        <w:spacing w:line="460" w:lineRule="exact"/>
        <w:textAlignment w:val="auto"/>
        <w:rPr>
          <w:rFonts w:ascii="宋体" w:hAnsi="宋体" w:cs="宋体"/>
          <w:color w:val="auto"/>
          <w:kern w:val="0"/>
          <w:szCs w:val="24"/>
          <w:highlight w:val="none"/>
        </w:rPr>
      </w:pPr>
      <w:r>
        <w:rPr>
          <w:rFonts w:ascii="宋体" w:hAnsi="宋体" w:cs="宋体"/>
          <w:color w:val="auto"/>
          <w:kern w:val="0"/>
          <w:szCs w:val="24"/>
          <w:highlight w:val="none"/>
        </w:rPr>
        <w:t xml:space="preserve">    A.投资关系    B.行政隶属关系    C.业务指导关系</w:t>
      </w:r>
    </w:p>
    <w:p>
      <w:pPr>
        <w:pStyle w:val="47"/>
        <w:keepNext w:val="0"/>
        <w:keepLines w:val="0"/>
        <w:pageBreakBefore w:val="0"/>
        <w:widowControl/>
        <w:kinsoku/>
        <w:wordWrap/>
        <w:overflowPunct/>
        <w:topLinePunct w:val="0"/>
        <w:autoSpaceDE/>
        <w:autoSpaceDN/>
        <w:bidi w:val="0"/>
        <w:adjustRightInd/>
        <w:snapToGrid w:val="0"/>
        <w:spacing w:line="460" w:lineRule="exact"/>
        <w:textAlignment w:val="auto"/>
        <w:rPr>
          <w:rFonts w:ascii="宋体" w:hAnsi="宋体" w:cs="宋体"/>
          <w:color w:val="auto"/>
          <w:kern w:val="0"/>
          <w:szCs w:val="24"/>
          <w:highlight w:val="none"/>
        </w:rPr>
      </w:pPr>
      <w:r>
        <w:rPr>
          <w:rFonts w:ascii="宋体" w:hAnsi="宋体" w:cs="宋体"/>
          <w:color w:val="auto"/>
          <w:kern w:val="0"/>
          <w:szCs w:val="24"/>
          <w:highlight w:val="none"/>
        </w:rPr>
        <w:t xml:space="preserve">    D.其他可能</w:t>
      </w:r>
      <w:r>
        <w:rPr>
          <w:rFonts w:ascii="宋体" w:hAnsi="宋体" w:cs="宋体"/>
          <w:color w:val="auto"/>
          <w:szCs w:val="24"/>
          <w:highlight w:val="none"/>
        </w:rPr>
        <w:t>影响采购公正的</w:t>
      </w:r>
      <w:r>
        <w:rPr>
          <w:rFonts w:ascii="宋体" w:hAnsi="宋体" w:cs="宋体"/>
          <w:color w:val="auto"/>
          <w:kern w:val="0"/>
          <w:szCs w:val="24"/>
          <w:highlight w:val="none"/>
        </w:rPr>
        <w:t>利害关系</w:t>
      </w:r>
      <w:r>
        <w:rPr>
          <w:rFonts w:ascii="宋体" w:hAnsi="宋体" w:cs="宋体"/>
          <w:color w:val="auto"/>
          <w:kern w:val="0"/>
          <w:szCs w:val="24"/>
          <w:highlight w:val="none"/>
          <w:u w:val="single"/>
        </w:rPr>
        <w:t>（如有，请如实说明）</w:t>
      </w:r>
      <w:r>
        <w:rPr>
          <w:rFonts w:ascii="宋体" w:hAnsi="宋体" w:cs="宋体"/>
          <w:color w:val="auto"/>
          <w:kern w:val="0"/>
          <w:szCs w:val="24"/>
          <w:highlight w:val="none"/>
        </w:rPr>
        <w:t>。</w:t>
      </w:r>
    </w:p>
    <w:p>
      <w:pPr>
        <w:pStyle w:val="47"/>
        <w:keepNext w:val="0"/>
        <w:keepLines w:val="0"/>
        <w:pageBreakBefore w:val="0"/>
        <w:widowControl/>
        <w:kinsoku/>
        <w:wordWrap/>
        <w:overflowPunct/>
        <w:topLinePunct w:val="0"/>
        <w:autoSpaceDE/>
        <w:autoSpaceDN/>
        <w:bidi w:val="0"/>
        <w:adjustRightInd/>
        <w:snapToGrid w:val="0"/>
        <w:spacing w:line="460" w:lineRule="exact"/>
        <w:textAlignment w:val="auto"/>
        <w:rPr>
          <w:rFonts w:ascii="宋体" w:hAnsi="宋体" w:cs="宋体"/>
          <w:color w:val="auto"/>
          <w:kern w:val="0"/>
          <w:szCs w:val="24"/>
          <w:highlight w:val="none"/>
        </w:rPr>
      </w:pPr>
      <w:r>
        <w:rPr>
          <w:rFonts w:ascii="宋体" w:hAnsi="宋体" w:cs="宋体"/>
          <w:color w:val="auto"/>
          <w:spacing w:val="6"/>
          <w:szCs w:val="24"/>
          <w:highlight w:val="none"/>
        </w:rPr>
        <w:t xml:space="preserve">    二、</w:t>
      </w:r>
      <w:r>
        <w:rPr>
          <w:rFonts w:ascii="宋体" w:hAnsi="宋体" w:cs="宋体"/>
          <w:color w:val="auto"/>
          <w:kern w:val="0"/>
          <w:szCs w:val="24"/>
          <w:highlight w:val="none"/>
        </w:rPr>
        <w:t>现已清楚知道参加本项目采购活动的其他所有供应商名称，本单位□与其他所有供应商之间均不存在利害关系 □与</w:t>
      </w:r>
      <w:r>
        <w:rPr>
          <w:rFonts w:ascii="宋体" w:hAnsi="宋体" w:cs="宋体"/>
          <w:color w:val="auto"/>
          <w:kern w:val="0"/>
          <w:szCs w:val="24"/>
          <w:highlight w:val="none"/>
          <w:u w:val="single"/>
        </w:rPr>
        <w:t xml:space="preserve">                        （供应商名称) </w:t>
      </w:r>
      <w:r>
        <w:rPr>
          <w:rFonts w:ascii="宋体" w:hAnsi="宋体" w:cs="宋体"/>
          <w:color w:val="auto"/>
          <w:kern w:val="0"/>
          <w:szCs w:val="24"/>
          <w:highlight w:val="none"/>
        </w:rPr>
        <w:t>之间存在下列利害关系：</w:t>
      </w:r>
    </w:p>
    <w:p>
      <w:pPr>
        <w:pStyle w:val="46"/>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kern w:val="0"/>
          <w:szCs w:val="24"/>
          <w:highlight w:val="none"/>
        </w:rPr>
      </w:pPr>
      <w:r>
        <w:rPr>
          <w:rFonts w:hAnsi="宋体" w:cs="宋体"/>
          <w:color w:val="auto"/>
          <w:kern w:val="0"/>
          <w:szCs w:val="24"/>
          <w:highlight w:val="none"/>
        </w:rPr>
        <w:t xml:space="preserve">    A.法定代表人或负责人或实际控制人是同一人</w:t>
      </w:r>
    </w:p>
    <w:p>
      <w:pPr>
        <w:pStyle w:val="46"/>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kern w:val="0"/>
          <w:szCs w:val="24"/>
          <w:highlight w:val="none"/>
        </w:rPr>
        <w:t xml:space="preserve">    B.法定代表人或负责人或实际控制人是夫妻关系</w:t>
      </w:r>
    </w:p>
    <w:p>
      <w:pPr>
        <w:pStyle w:val="46"/>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kern w:val="0"/>
          <w:szCs w:val="24"/>
          <w:highlight w:val="none"/>
        </w:rPr>
        <w:t xml:space="preserve">    C.法定代表人或负责人或实际控制人是直系血亲关系</w:t>
      </w:r>
    </w:p>
    <w:p>
      <w:pPr>
        <w:pStyle w:val="46"/>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kern w:val="0"/>
          <w:szCs w:val="24"/>
          <w:highlight w:val="none"/>
        </w:rPr>
        <w:t xml:space="preserve">    D.法定代表人或负责人或实际控制人存在三代以内旁系血亲关系</w:t>
      </w:r>
    </w:p>
    <w:p>
      <w:pPr>
        <w:pStyle w:val="46"/>
        <w:keepNext w:val="0"/>
        <w:keepLines w:val="0"/>
        <w:pageBreakBefore w:val="0"/>
        <w:widowControl w:val="0"/>
        <w:kinsoku/>
        <w:wordWrap/>
        <w:overflowPunct/>
        <w:topLinePunct w:val="0"/>
        <w:autoSpaceDE/>
        <w:autoSpaceDN/>
        <w:bidi w:val="0"/>
        <w:adjustRightInd/>
        <w:snapToGrid w:val="0"/>
        <w:spacing w:line="460" w:lineRule="exact"/>
        <w:ind w:firstLine="480" w:firstLineChars="200"/>
        <w:jc w:val="both"/>
        <w:textAlignment w:val="auto"/>
        <w:rPr>
          <w:rFonts w:hAnsi="宋体" w:cs="宋体"/>
          <w:color w:val="auto"/>
          <w:kern w:val="0"/>
          <w:szCs w:val="24"/>
          <w:highlight w:val="none"/>
        </w:rPr>
      </w:pPr>
      <w:r>
        <w:rPr>
          <w:rFonts w:hAnsi="宋体" w:cs="宋体"/>
          <w:color w:val="auto"/>
          <w:kern w:val="0"/>
          <w:szCs w:val="24"/>
          <w:highlight w:val="none"/>
        </w:rPr>
        <w:t>E.法定代表人或负责人或实际控制人存在近姻亲关系</w:t>
      </w:r>
    </w:p>
    <w:p>
      <w:pPr>
        <w:pStyle w:val="46"/>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kern w:val="0"/>
          <w:szCs w:val="24"/>
          <w:highlight w:val="none"/>
        </w:rPr>
      </w:pPr>
      <w:r>
        <w:rPr>
          <w:rFonts w:hAnsi="宋体" w:cs="宋体"/>
          <w:color w:val="auto"/>
          <w:kern w:val="0"/>
          <w:szCs w:val="24"/>
          <w:highlight w:val="none"/>
        </w:rPr>
        <w:t xml:space="preserve">    F.法定代表人或负责人或实际控制人存在股份控制或实际控制关系</w:t>
      </w:r>
    </w:p>
    <w:p>
      <w:pPr>
        <w:pStyle w:val="46"/>
        <w:keepNext w:val="0"/>
        <w:keepLines w:val="0"/>
        <w:pageBreakBefore w:val="0"/>
        <w:widowControl w:val="0"/>
        <w:kinsoku/>
        <w:wordWrap/>
        <w:overflowPunct/>
        <w:topLinePunct w:val="0"/>
        <w:autoSpaceDE/>
        <w:autoSpaceDN/>
        <w:bidi w:val="0"/>
        <w:adjustRightInd/>
        <w:snapToGrid w:val="0"/>
        <w:spacing w:line="460" w:lineRule="exact"/>
        <w:jc w:val="both"/>
        <w:textAlignment w:val="auto"/>
        <w:outlineLvl w:val="0"/>
        <w:rPr>
          <w:rFonts w:hAnsi="宋体" w:cs="宋体"/>
          <w:color w:val="auto"/>
          <w:kern w:val="0"/>
          <w:szCs w:val="24"/>
          <w:highlight w:val="none"/>
        </w:rPr>
      </w:pPr>
      <w:r>
        <w:rPr>
          <w:rFonts w:hAnsi="宋体" w:cs="宋体"/>
          <w:color w:val="auto"/>
          <w:kern w:val="0"/>
          <w:szCs w:val="24"/>
          <w:highlight w:val="none"/>
        </w:rPr>
        <w:t xml:space="preserve">    G.存在共同直接或间接投资设立子公司、联营企业和合营企业情况</w:t>
      </w:r>
    </w:p>
    <w:p>
      <w:pPr>
        <w:pStyle w:val="46"/>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zCs w:val="24"/>
          <w:highlight w:val="none"/>
        </w:rPr>
      </w:pPr>
      <w:r>
        <w:rPr>
          <w:rFonts w:hAnsi="宋体" w:cs="宋体"/>
          <w:color w:val="auto"/>
          <w:kern w:val="0"/>
          <w:szCs w:val="24"/>
          <w:highlight w:val="none"/>
        </w:rPr>
        <w:t xml:space="preserve">    H.存在分级代理或代销关系、同一生产制造商关系、</w:t>
      </w:r>
      <w:r>
        <w:rPr>
          <w:rFonts w:hAnsi="宋体" w:cs="宋体"/>
          <w:color w:val="auto"/>
          <w:szCs w:val="24"/>
          <w:highlight w:val="none"/>
        </w:rPr>
        <w:t>管理关系、重要业务（占主营业务收入50%以上）或重要财务往来关系（如融资）等其他实质性控制关系</w:t>
      </w:r>
    </w:p>
    <w:p>
      <w:pPr>
        <w:pStyle w:val="46"/>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szCs w:val="24"/>
          <w:highlight w:val="none"/>
        </w:rPr>
        <w:t xml:space="preserve">    I</w:t>
      </w:r>
      <w:r>
        <w:rPr>
          <w:rFonts w:hAnsi="宋体" w:cs="宋体"/>
          <w:color w:val="auto"/>
          <w:kern w:val="0"/>
          <w:szCs w:val="24"/>
          <w:highlight w:val="none"/>
        </w:rPr>
        <w:t>.</w:t>
      </w:r>
      <w:r>
        <w:rPr>
          <w:rFonts w:hAnsi="宋体" w:cs="宋体"/>
          <w:color w:val="auto"/>
          <w:szCs w:val="24"/>
          <w:highlight w:val="none"/>
        </w:rPr>
        <w:t>其他利害关系情况</w:t>
      </w:r>
      <w:r>
        <w:rPr>
          <w:rFonts w:hAnsi="宋体" w:cs="宋体"/>
          <w:color w:val="auto"/>
          <w:kern w:val="0"/>
          <w:szCs w:val="24"/>
          <w:highlight w:val="none"/>
        </w:rPr>
        <w:t>。</w:t>
      </w:r>
    </w:p>
    <w:p>
      <w:pPr>
        <w:pStyle w:val="47"/>
        <w:keepNext w:val="0"/>
        <w:keepLines w:val="0"/>
        <w:pageBreakBefore w:val="0"/>
        <w:widowControl/>
        <w:numPr>
          <w:ilvl w:val="0"/>
          <w:numId w:val="11"/>
        </w:numPr>
        <w:kinsoku/>
        <w:wordWrap/>
        <w:overflowPunct/>
        <w:topLinePunct w:val="0"/>
        <w:autoSpaceDE/>
        <w:autoSpaceDN/>
        <w:bidi w:val="0"/>
        <w:adjustRightInd/>
        <w:snapToGrid w:val="0"/>
        <w:spacing w:line="460" w:lineRule="exact"/>
        <w:ind w:firstLine="453" w:firstLineChars="189"/>
        <w:textAlignment w:val="auto"/>
        <w:rPr>
          <w:rFonts w:ascii="宋体" w:hAnsi="宋体" w:cs="宋体"/>
          <w:color w:val="auto"/>
          <w:kern w:val="0"/>
          <w:szCs w:val="24"/>
          <w:highlight w:val="none"/>
        </w:rPr>
      </w:pPr>
      <w:r>
        <w:rPr>
          <w:rFonts w:ascii="宋体" w:hAnsi="宋体" w:cs="宋体"/>
          <w:color w:val="auto"/>
          <w:kern w:val="0"/>
          <w:szCs w:val="24"/>
          <w:highlight w:val="none"/>
        </w:rPr>
        <w:t>我发现</w:t>
      </w:r>
      <w:r>
        <w:rPr>
          <w:rFonts w:hint="eastAsia" w:ascii="宋体" w:hAnsi="宋体" w:cs="宋体"/>
          <w:color w:val="auto"/>
          <w:kern w:val="0"/>
          <w:szCs w:val="24"/>
          <w:highlight w:val="none"/>
          <w:u w:val="single"/>
          <w:lang w:val="en-US" w:eastAsia="zh-CN"/>
        </w:rPr>
        <w:t xml:space="preserve">        </w:t>
      </w:r>
      <w:r>
        <w:rPr>
          <w:rFonts w:ascii="宋体" w:hAnsi="宋体" w:cs="宋体"/>
          <w:color w:val="auto"/>
          <w:kern w:val="0"/>
          <w:szCs w:val="24"/>
          <w:highlight w:val="none"/>
        </w:rPr>
        <w:t>供应商之间存在或可能存在上述第二条第</w:t>
      </w:r>
      <w:r>
        <w:rPr>
          <w:rFonts w:hint="eastAsia" w:ascii="宋体" w:hAnsi="宋体" w:cs="宋体"/>
          <w:color w:val="auto"/>
          <w:kern w:val="0"/>
          <w:szCs w:val="24"/>
          <w:highlight w:val="none"/>
          <w:u w:val="single"/>
          <w:lang w:val="en-US" w:eastAsia="zh-CN"/>
        </w:rPr>
        <w:t xml:space="preserve">    </w:t>
      </w:r>
      <w:r>
        <w:rPr>
          <w:rFonts w:ascii="宋体" w:hAnsi="宋体" w:cs="宋体"/>
          <w:color w:val="auto"/>
          <w:kern w:val="0"/>
          <w:szCs w:val="24"/>
          <w:highlight w:val="none"/>
        </w:rPr>
        <w:t>项利害关系。</w:t>
      </w:r>
    </w:p>
    <w:p>
      <w:pPr>
        <w:pStyle w:val="46"/>
        <w:widowControl w:val="0"/>
        <w:snapToGrid w:val="0"/>
        <w:spacing w:line="500" w:lineRule="exact"/>
        <w:ind w:firstLine="480" w:firstLineChars="200"/>
        <w:jc w:val="center"/>
        <w:rPr>
          <w:rFonts w:hAnsi="宋体" w:cs="宋体"/>
          <w:color w:val="auto"/>
          <w:szCs w:val="24"/>
          <w:highlight w:val="none"/>
        </w:rPr>
      </w:pPr>
    </w:p>
    <w:p>
      <w:pPr>
        <w:pStyle w:val="46"/>
        <w:widowControl w:val="0"/>
        <w:snapToGrid w:val="0"/>
        <w:spacing w:line="500" w:lineRule="exact"/>
        <w:ind w:firstLine="480" w:firstLineChars="200"/>
        <w:jc w:val="center"/>
        <w:rPr>
          <w:rFonts w:hAnsi="宋体" w:cs="宋体"/>
          <w:color w:val="auto"/>
          <w:szCs w:val="24"/>
          <w:highlight w:val="none"/>
        </w:rPr>
      </w:pPr>
      <w:r>
        <w:rPr>
          <w:rFonts w:hAnsi="宋体" w:cs="宋体"/>
          <w:color w:val="auto"/>
          <w:szCs w:val="24"/>
          <w:highlight w:val="none"/>
        </w:rPr>
        <w:t xml:space="preserve"> 供应商代表签名：</w:t>
      </w:r>
    </w:p>
    <w:p>
      <w:pPr>
        <w:adjustRightInd w:val="0"/>
        <w:ind w:firstLine="0" w:firstLineChars="0"/>
        <w:jc w:val="left"/>
        <w:rPr>
          <w:rFonts w:hint="eastAsia" w:ascii="仿宋" w:hAnsi="仿宋" w:eastAsia="仿宋" w:cs="仿宋"/>
          <w:b/>
          <w:color w:val="auto"/>
          <w:spacing w:val="6"/>
          <w:sz w:val="32"/>
          <w:szCs w:val="32"/>
          <w:highlight w:val="none"/>
        </w:rPr>
      </w:pPr>
    </w:p>
    <w:p>
      <w:pPr>
        <w:adjustRightInd w:val="0"/>
        <w:ind w:firstLine="0" w:firstLineChars="0"/>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仿宋" w:hAnsi="仿宋" w:eastAsia="仿宋" w:cs="仿宋"/>
          <w:bCs/>
          <w:color w:val="auto"/>
          <w:sz w:val="24"/>
          <w:szCs w:val="24"/>
          <w:highlight w:val="none"/>
        </w:rPr>
        <w:t>一、</w:t>
      </w:r>
      <w:r>
        <w:rPr>
          <w:rFonts w:hint="eastAsia" w:ascii="宋体" w:hAnsi="宋体" w:eastAsia="宋体" w:cs="宋体"/>
          <w:bCs/>
          <w:color w:val="auto"/>
          <w:sz w:val="24"/>
          <w:szCs w:val="24"/>
          <w:highlight w:val="none"/>
        </w:rPr>
        <w:t>质疑供应商基本信息</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质疑供应商：</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联系人：联系电话：</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二、质疑项目基本情况</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质疑项目的编号：包号：</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采购人名称：</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采购文件获取日期：</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三、质疑事项具体内容</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法律依据：</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四、与质疑事项相关的质疑请求</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请求：</w:t>
      </w:r>
    </w:p>
    <w:p>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签字(签章)：公章：</w:t>
      </w:r>
    </w:p>
    <w:p>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p>
    <w:p>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Ansi="宋体" w:cs="宋体"/>
          <w:color w:val="auto"/>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r>
        <w:rPr>
          <w:rFonts w:hAnsi="宋体" w:cs="宋体"/>
          <w:color w:val="auto"/>
          <w:sz w:val="24"/>
          <w:szCs w:val="24"/>
          <w:highlight w:val="none"/>
        </w:rPr>
        <w:t xml:space="preserve">    </w:t>
      </w:r>
      <w:bookmarkEnd w:id="32"/>
      <w:bookmarkEnd w:id="33"/>
      <w:bookmarkEnd w:id="34"/>
    </w:p>
    <w:sectPr>
      <w:headerReference r:id="rId5" w:type="default"/>
      <w:footerReference r:id="rId6" w:type="default"/>
      <w:pgSz w:w="11906" w:h="16838"/>
      <w:pgMar w:top="1134" w:right="1289" w:bottom="1134" w:left="1797" w:header="851" w:footer="851"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
    <w:altName w:val="Tahoma"/>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script"/>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31DEDF"/>
    <w:multiLevelType w:val="multilevel"/>
    <w:tmpl w:val="A731DEDF"/>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D16E957A"/>
    <w:multiLevelType w:val="singleLevel"/>
    <w:tmpl w:val="D16E957A"/>
    <w:lvl w:ilvl="0" w:tentative="0">
      <w:start w:val="1"/>
      <w:numFmt w:val="decimal"/>
      <w:lvlText w:val="%1."/>
      <w:lvlJc w:val="left"/>
      <w:pPr>
        <w:tabs>
          <w:tab w:val="left" w:pos="312"/>
        </w:tabs>
      </w:pPr>
    </w:lvl>
  </w:abstractNum>
  <w:abstractNum w:abstractNumId="2">
    <w:nsid w:val="FDBDBD64"/>
    <w:multiLevelType w:val="singleLevel"/>
    <w:tmpl w:val="FDBDBD64"/>
    <w:lvl w:ilvl="0" w:tentative="0">
      <w:start w:val="1"/>
      <w:numFmt w:val="decimal"/>
      <w:pStyle w:val="14"/>
      <w:lvlText w:val="%1."/>
      <w:lvlJc w:val="left"/>
      <w:pPr>
        <w:tabs>
          <w:tab w:val="left" w:pos="1200"/>
        </w:tabs>
        <w:ind w:left="1200" w:hanging="360"/>
      </w:pPr>
    </w:lvl>
  </w:abstractNum>
  <w:abstractNum w:abstractNumId="3">
    <w:nsid w:val="FFFFFF88"/>
    <w:multiLevelType w:val="singleLevel"/>
    <w:tmpl w:val="FFFFFF88"/>
    <w:lvl w:ilvl="0" w:tentative="0">
      <w:start w:val="1"/>
      <w:numFmt w:val="decimal"/>
      <w:pStyle w:val="7"/>
      <w:lvlText w:val="%1."/>
      <w:lvlJc w:val="left"/>
      <w:pPr>
        <w:tabs>
          <w:tab w:val="left" w:pos="360"/>
        </w:tabs>
        <w:ind w:left="360" w:hanging="360" w:hangingChars="200"/>
      </w:p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6"/>
    <w:multiLevelType w:val="multilevel"/>
    <w:tmpl w:val="00000006"/>
    <w:lvl w:ilvl="0" w:tentative="0">
      <w:start w:val="1"/>
      <w:numFmt w:val="decimal"/>
      <w:lvlText w:val="%1."/>
      <w:lvlJc w:val="left"/>
      <w:pPr>
        <w:tabs>
          <w:tab w:val="left" w:pos="902"/>
        </w:tabs>
        <w:ind w:left="1052" w:hanging="420"/>
      </w:pPr>
    </w:lvl>
    <w:lvl w:ilvl="1" w:tentative="0">
      <w:start w:val="1"/>
      <w:numFmt w:val="lowerLetter"/>
      <w:lvlText w:val="%2)"/>
      <w:lvlJc w:val="left"/>
      <w:pPr>
        <w:tabs>
          <w:tab w:val="left" w:pos="1322"/>
        </w:tabs>
        <w:ind w:left="1472" w:hanging="420"/>
      </w:pPr>
    </w:lvl>
    <w:lvl w:ilvl="2" w:tentative="0">
      <w:start w:val="1"/>
      <w:numFmt w:val="lowerRoman"/>
      <w:lvlText w:val="%3."/>
      <w:lvlJc w:val="right"/>
      <w:pPr>
        <w:tabs>
          <w:tab w:val="left" w:pos="1742"/>
        </w:tabs>
        <w:ind w:left="1892" w:hanging="420"/>
      </w:pPr>
    </w:lvl>
    <w:lvl w:ilvl="3" w:tentative="0">
      <w:start w:val="1"/>
      <w:numFmt w:val="decimal"/>
      <w:lvlText w:val="%4."/>
      <w:lvlJc w:val="left"/>
      <w:pPr>
        <w:tabs>
          <w:tab w:val="left" w:pos="2162"/>
        </w:tabs>
        <w:ind w:left="2312" w:hanging="420"/>
      </w:pPr>
    </w:lvl>
    <w:lvl w:ilvl="4" w:tentative="0">
      <w:start w:val="1"/>
      <w:numFmt w:val="lowerLetter"/>
      <w:lvlText w:val="%5)"/>
      <w:lvlJc w:val="left"/>
      <w:pPr>
        <w:tabs>
          <w:tab w:val="left" w:pos="2582"/>
        </w:tabs>
        <w:ind w:left="2732" w:hanging="420"/>
      </w:pPr>
    </w:lvl>
    <w:lvl w:ilvl="5" w:tentative="0">
      <w:start w:val="1"/>
      <w:numFmt w:val="lowerRoman"/>
      <w:lvlText w:val="%6."/>
      <w:lvlJc w:val="right"/>
      <w:pPr>
        <w:tabs>
          <w:tab w:val="left" w:pos="3002"/>
        </w:tabs>
        <w:ind w:left="3152" w:hanging="420"/>
      </w:pPr>
    </w:lvl>
    <w:lvl w:ilvl="6" w:tentative="0">
      <w:start w:val="1"/>
      <w:numFmt w:val="decimal"/>
      <w:lvlText w:val="%7."/>
      <w:lvlJc w:val="left"/>
      <w:pPr>
        <w:tabs>
          <w:tab w:val="left" w:pos="3422"/>
        </w:tabs>
        <w:ind w:left="3572" w:hanging="420"/>
      </w:pPr>
    </w:lvl>
    <w:lvl w:ilvl="7" w:tentative="0">
      <w:start w:val="1"/>
      <w:numFmt w:val="lowerLetter"/>
      <w:lvlText w:val="%8)"/>
      <w:lvlJc w:val="left"/>
      <w:pPr>
        <w:tabs>
          <w:tab w:val="left" w:pos="3842"/>
        </w:tabs>
        <w:ind w:left="3992" w:hanging="420"/>
      </w:pPr>
    </w:lvl>
    <w:lvl w:ilvl="8" w:tentative="0">
      <w:start w:val="1"/>
      <w:numFmt w:val="lowerRoman"/>
      <w:lvlText w:val="%9."/>
      <w:lvlJc w:val="right"/>
      <w:pPr>
        <w:tabs>
          <w:tab w:val="left" w:pos="4262"/>
        </w:tabs>
        <w:ind w:left="4412" w:hanging="420"/>
      </w:pPr>
    </w:lvl>
  </w:abstractNum>
  <w:abstractNum w:abstractNumId="6">
    <w:nsid w:val="06AE6C26"/>
    <w:multiLevelType w:val="multilevel"/>
    <w:tmpl w:val="06AE6C2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7DF4A40"/>
    <w:multiLevelType w:val="singleLevel"/>
    <w:tmpl w:val="37DF4A40"/>
    <w:lvl w:ilvl="0" w:tentative="0">
      <w:start w:val="1"/>
      <w:numFmt w:val="decimal"/>
      <w:pStyle w:val="5"/>
      <w:lvlText w:val="%1."/>
      <w:lvlJc w:val="left"/>
      <w:pPr>
        <w:tabs>
          <w:tab w:val="left" w:pos="780"/>
        </w:tabs>
        <w:ind w:left="780" w:hanging="360"/>
      </w:pPr>
    </w:lvl>
  </w:abstractNum>
  <w:abstractNum w:abstractNumId="8">
    <w:nsid w:val="54F403B5"/>
    <w:multiLevelType w:val="singleLevel"/>
    <w:tmpl w:val="54F403B5"/>
    <w:lvl w:ilvl="0" w:tentative="0">
      <w:start w:val="1"/>
      <w:numFmt w:val="chineseCounting"/>
      <w:suff w:val="nothing"/>
      <w:lvlText w:val="%1、"/>
      <w:lvlJc w:val="left"/>
    </w:lvl>
  </w:abstractNum>
  <w:abstractNum w:abstractNumId="9">
    <w:nsid w:val="557FD3DA"/>
    <w:multiLevelType w:val="singleLevel"/>
    <w:tmpl w:val="557FD3DA"/>
    <w:lvl w:ilvl="0" w:tentative="0">
      <w:start w:val="3"/>
      <w:numFmt w:val="chineseCounting"/>
      <w:suff w:val="nothing"/>
      <w:lvlText w:val="%1、"/>
      <w:lvlJc w:val="left"/>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
  </w:num>
  <w:num w:numId="3">
    <w:abstractNumId w:val="2"/>
  </w:num>
  <w:num w:numId="4">
    <w:abstractNumId w:val="1"/>
  </w:num>
  <w:num w:numId="5">
    <w:abstractNumId w:val="6"/>
  </w:num>
  <w:num w:numId="6">
    <w:abstractNumId w:val="0"/>
  </w:num>
  <w:num w:numId="7">
    <w:abstractNumId w:val="10"/>
  </w:num>
  <w:num w:numId="8">
    <w:abstractNumId w:val="5"/>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4MWM1NjljYzJjZWFmZjIwZDE3ODM5ZjAwOTk3OGQifQ=="/>
  </w:docVars>
  <w:rsids>
    <w:rsidRoot w:val="00013255"/>
    <w:rsid w:val="00013255"/>
    <w:rsid w:val="000166EB"/>
    <w:rsid w:val="00027CDF"/>
    <w:rsid w:val="00031F0D"/>
    <w:rsid w:val="00043144"/>
    <w:rsid w:val="0006409E"/>
    <w:rsid w:val="00086AAA"/>
    <w:rsid w:val="000943F3"/>
    <w:rsid w:val="000973F2"/>
    <w:rsid w:val="000B50C7"/>
    <w:rsid w:val="000C40D6"/>
    <w:rsid w:val="000D068E"/>
    <w:rsid w:val="000E6478"/>
    <w:rsid w:val="000E675B"/>
    <w:rsid w:val="000F4900"/>
    <w:rsid w:val="00102456"/>
    <w:rsid w:val="00102B2E"/>
    <w:rsid w:val="001030B5"/>
    <w:rsid w:val="00104201"/>
    <w:rsid w:val="00105D32"/>
    <w:rsid w:val="00110BBD"/>
    <w:rsid w:val="00115618"/>
    <w:rsid w:val="00123322"/>
    <w:rsid w:val="001317C1"/>
    <w:rsid w:val="00137B84"/>
    <w:rsid w:val="00154675"/>
    <w:rsid w:val="00162152"/>
    <w:rsid w:val="00166961"/>
    <w:rsid w:val="001746B3"/>
    <w:rsid w:val="0018391E"/>
    <w:rsid w:val="001A3BFF"/>
    <w:rsid w:val="001A4F04"/>
    <w:rsid w:val="001A5B05"/>
    <w:rsid w:val="001C21D2"/>
    <w:rsid w:val="001D18AB"/>
    <w:rsid w:val="001D1961"/>
    <w:rsid w:val="001F18E2"/>
    <w:rsid w:val="001F290D"/>
    <w:rsid w:val="001F3B77"/>
    <w:rsid w:val="00203F43"/>
    <w:rsid w:val="00204F87"/>
    <w:rsid w:val="00216F62"/>
    <w:rsid w:val="00236524"/>
    <w:rsid w:val="00242DD9"/>
    <w:rsid w:val="00247EB6"/>
    <w:rsid w:val="00252247"/>
    <w:rsid w:val="00254D60"/>
    <w:rsid w:val="0025786A"/>
    <w:rsid w:val="00262733"/>
    <w:rsid w:val="00270620"/>
    <w:rsid w:val="00270BB0"/>
    <w:rsid w:val="00273880"/>
    <w:rsid w:val="00285358"/>
    <w:rsid w:val="0029345F"/>
    <w:rsid w:val="002A0D94"/>
    <w:rsid w:val="002C0859"/>
    <w:rsid w:val="002C2CAD"/>
    <w:rsid w:val="002E2146"/>
    <w:rsid w:val="002E59DF"/>
    <w:rsid w:val="00303F39"/>
    <w:rsid w:val="00320871"/>
    <w:rsid w:val="00323BD2"/>
    <w:rsid w:val="00363D1B"/>
    <w:rsid w:val="00386EBE"/>
    <w:rsid w:val="00387933"/>
    <w:rsid w:val="00387BC4"/>
    <w:rsid w:val="003A2D9E"/>
    <w:rsid w:val="003A5417"/>
    <w:rsid w:val="003B3EF0"/>
    <w:rsid w:val="003D5573"/>
    <w:rsid w:val="003E4683"/>
    <w:rsid w:val="004277C9"/>
    <w:rsid w:val="00446222"/>
    <w:rsid w:val="00455712"/>
    <w:rsid w:val="00461122"/>
    <w:rsid w:val="00462249"/>
    <w:rsid w:val="004B7001"/>
    <w:rsid w:val="004D4BD3"/>
    <w:rsid w:val="004D65B1"/>
    <w:rsid w:val="004D6899"/>
    <w:rsid w:val="004E2A2C"/>
    <w:rsid w:val="004F7CEB"/>
    <w:rsid w:val="00500CBB"/>
    <w:rsid w:val="005221C7"/>
    <w:rsid w:val="0054088A"/>
    <w:rsid w:val="0054524C"/>
    <w:rsid w:val="00556BCB"/>
    <w:rsid w:val="005A28DD"/>
    <w:rsid w:val="005A42FA"/>
    <w:rsid w:val="005A503E"/>
    <w:rsid w:val="005C088A"/>
    <w:rsid w:val="005C1676"/>
    <w:rsid w:val="005C76BB"/>
    <w:rsid w:val="005D21B5"/>
    <w:rsid w:val="005D4380"/>
    <w:rsid w:val="005E1CD9"/>
    <w:rsid w:val="005E6636"/>
    <w:rsid w:val="005E7B2B"/>
    <w:rsid w:val="006046E5"/>
    <w:rsid w:val="00612384"/>
    <w:rsid w:val="0061264F"/>
    <w:rsid w:val="006217BC"/>
    <w:rsid w:val="00637476"/>
    <w:rsid w:val="006474C9"/>
    <w:rsid w:val="0065211C"/>
    <w:rsid w:val="006554EE"/>
    <w:rsid w:val="0066601C"/>
    <w:rsid w:val="006872D9"/>
    <w:rsid w:val="006D15A9"/>
    <w:rsid w:val="006D1CB4"/>
    <w:rsid w:val="006D1E21"/>
    <w:rsid w:val="006D2CD0"/>
    <w:rsid w:val="006D5CC9"/>
    <w:rsid w:val="006E0C85"/>
    <w:rsid w:val="006E12E4"/>
    <w:rsid w:val="006E4A62"/>
    <w:rsid w:val="006E6927"/>
    <w:rsid w:val="006E6D7B"/>
    <w:rsid w:val="00717CE8"/>
    <w:rsid w:val="00737E1D"/>
    <w:rsid w:val="00740C9B"/>
    <w:rsid w:val="00745795"/>
    <w:rsid w:val="007526DE"/>
    <w:rsid w:val="00755EEF"/>
    <w:rsid w:val="007646C7"/>
    <w:rsid w:val="007701B1"/>
    <w:rsid w:val="007736D2"/>
    <w:rsid w:val="00797432"/>
    <w:rsid w:val="007C1215"/>
    <w:rsid w:val="007C14C1"/>
    <w:rsid w:val="007C2628"/>
    <w:rsid w:val="007C5513"/>
    <w:rsid w:val="007D637E"/>
    <w:rsid w:val="007F178D"/>
    <w:rsid w:val="00837BC8"/>
    <w:rsid w:val="00857E02"/>
    <w:rsid w:val="0088405E"/>
    <w:rsid w:val="00884A94"/>
    <w:rsid w:val="008906BF"/>
    <w:rsid w:val="008B5F98"/>
    <w:rsid w:val="008C2CD3"/>
    <w:rsid w:val="008E0C60"/>
    <w:rsid w:val="008F3559"/>
    <w:rsid w:val="00931B9D"/>
    <w:rsid w:val="00950938"/>
    <w:rsid w:val="009A2630"/>
    <w:rsid w:val="009A3274"/>
    <w:rsid w:val="009C0F8E"/>
    <w:rsid w:val="009C7398"/>
    <w:rsid w:val="009E3E84"/>
    <w:rsid w:val="009E41E4"/>
    <w:rsid w:val="009F2B74"/>
    <w:rsid w:val="00A316B4"/>
    <w:rsid w:val="00A35E4F"/>
    <w:rsid w:val="00A56502"/>
    <w:rsid w:val="00A63A56"/>
    <w:rsid w:val="00A775BA"/>
    <w:rsid w:val="00A77A87"/>
    <w:rsid w:val="00A8310F"/>
    <w:rsid w:val="00A95595"/>
    <w:rsid w:val="00A96843"/>
    <w:rsid w:val="00AA5080"/>
    <w:rsid w:val="00AC075E"/>
    <w:rsid w:val="00AE1E21"/>
    <w:rsid w:val="00AE2C9D"/>
    <w:rsid w:val="00AE448C"/>
    <w:rsid w:val="00AE51DC"/>
    <w:rsid w:val="00AE6FF9"/>
    <w:rsid w:val="00AF4E2F"/>
    <w:rsid w:val="00B12686"/>
    <w:rsid w:val="00B3403E"/>
    <w:rsid w:val="00B3769C"/>
    <w:rsid w:val="00B507A3"/>
    <w:rsid w:val="00B55DA3"/>
    <w:rsid w:val="00B72143"/>
    <w:rsid w:val="00B776BF"/>
    <w:rsid w:val="00B83D59"/>
    <w:rsid w:val="00BB567F"/>
    <w:rsid w:val="00BC4A01"/>
    <w:rsid w:val="00BC4E2D"/>
    <w:rsid w:val="00BD59DA"/>
    <w:rsid w:val="00BE2553"/>
    <w:rsid w:val="00BF581F"/>
    <w:rsid w:val="00BF5F1B"/>
    <w:rsid w:val="00C11B86"/>
    <w:rsid w:val="00C645C4"/>
    <w:rsid w:val="00C77375"/>
    <w:rsid w:val="00CA49EA"/>
    <w:rsid w:val="00CC51DF"/>
    <w:rsid w:val="00CD2556"/>
    <w:rsid w:val="00CD309D"/>
    <w:rsid w:val="00CE38B2"/>
    <w:rsid w:val="00CF377E"/>
    <w:rsid w:val="00CF537F"/>
    <w:rsid w:val="00D02837"/>
    <w:rsid w:val="00D25DFE"/>
    <w:rsid w:val="00D2706A"/>
    <w:rsid w:val="00D65AAF"/>
    <w:rsid w:val="00D66AF0"/>
    <w:rsid w:val="00D73674"/>
    <w:rsid w:val="00D76AB3"/>
    <w:rsid w:val="00D85D7D"/>
    <w:rsid w:val="00D86022"/>
    <w:rsid w:val="00D86938"/>
    <w:rsid w:val="00D92F87"/>
    <w:rsid w:val="00D94740"/>
    <w:rsid w:val="00D9717E"/>
    <w:rsid w:val="00DA58E7"/>
    <w:rsid w:val="00DC13D1"/>
    <w:rsid w:val="00DC533E"/>
    <w:rsid w:val="00DE1B95"/>
    <w:rsid w:val="00DE78F3"/>
    <w:rsid w:val="00DF0970"/>
    <w:rsid w:val="00DF7CCC"/>
    <w:rsid w:val="00E16EF2"/>
    <w:rsid w:val="00E16FC7"/>
    <w:rsid w:val="00E23BCA"/>
    <w:rsid w:val="00E25E80"/>
    <w:rsid w:val="00E26010"/>
    <w:rsid w:val="00E36E93"/>
    <w:rsid w:val="00E7316F"/>
    <w:rsid w:val="00E75FBE"/>
    <w:rsid w:val="00E76AEC"/>
    <w:rsid w:val="00E76CD3"/>
    <w:rsid w:val="00E84C3F"/>
    <w:rsid w:val="00E911C1"/>
    <w:rsid w:val="00EA000B"/>
    <w:rsid w:val="00EA40E8"/>
    <w:rsid w:val="00EB0547"/>
    <w:rsid w:val="00ED452B"/>
    <w:rsid w:val="00EF25F4"/>
    <w:rsid w:val="00F01B62"/>
    <w:rsid w:val="00F24582"/>
    <w:rsid w:val="00F3262D"/>
    <w:rsid w:val="00F35305"/>
    <w:rsid w:val="00F41897"/>
    <w:rsid w:val="00F41CBC"/>
    <w:rsid w:val="00F71E41"/>
    <w:rsid w:val="00F759B6"/>
    <w:rsid w:val="00F83193"/>
    <w:rsid w:val="00F84D83"/>
    <w:rsid w:val="00F9039A"/>
    <w:rsid w:val="00F92AF4"/>
    <w:rsid w:val="00F939DD"/>
    <w:rsid w:val="00FB01E8"/>
    <w:rsid w:val="00FB1A53"/>
    <w:rsid w:val="00FC0114"/>
    <w:rsid w:val="00FC7526"/>
    <w:rsid w:val="00FE6EBA"/>
    <w:rsid w:val="00FF0ACE"/>
    <w:rsid w:val="00FF51CB"/>
    <w:rsid w:val="011B0745"/>
    <w:rsid w:val="0147778C"/>
    <w:rsid w:val="017D4F5C"/>
    <w:rsid w:val="018E5AF2"/>
    <w:rsid w:val="019F1377"/>
    <w:rsid w:val="01BB2C92"/>
    <w:rsid w:val="01C20BC1"/>
    <w:rsid w:val="01CF32DE"/>
    <w:rsid w:val="01F43679"/>
    <w:rsid w:val="01F66ABD"/>
    <w:rsid w:val="02117D9A"/>
    <w:rsid w:val="0224688D"/>
    <w:rsid w:val="022F4BD9"/>
    <w:rsid w:val="02313F99"/>
    <w:rsid w:val="024E0ADE"/>
    <w:rsid w:val="028B5457"/>
    <w:rsid w:val="02B40E52"/>
    <w:rsid w:val="02C46BBB"/>
    <w:rsid w:val="02CB0818"/>
    <w:rsid w:val="03411FB9"/>
    <w:rsid w:val="03505229"/>
    <w:rsid w:val="035F6CF1"/>
    <w:rsid w:val="039756DF"/>
    <w:rsid w:val="03A8028B"/>
    <w:rsid w:val="03B44E81"/>
    <w:rsid w:val="03BD5AE4"/>
    <w:rsid w:val="03D66BA6"/>
    <w:rsid w:val="03E01183"/>
    <w:rsid w:val="03F60FF6"/>
    <w:rsid w:val="04221DEB"/>
    <w:rsid w:val="04267B2D"/>
    <w:rsid w:val="046A433F"/>
    <w:rsid w:val="0486237A"/>
    <w:rsid w:val="048B5BE2"/>
    <w:rsid w:val="04A10F62"/>
    <w:rsid w:val="04A96068"/>
    <w:rsid w:val="05014901"/>
    <w:rsid w:val="05277AB9"/>
    <w:rsid w:val="05301B95"/>
    <w:rsid w:val="058873C0"/>
    <w:rsid w:val="05A01219"/>
    <w:rsid w:val="05AB5E10"/>
    <w:rsid w:val="05D80FC6"/>
    <w:rsid w:val="05ED6429"/>
    <w:rsid w:val="066F6E3E"/>
    <w:rsid w:val="068C79F0"/>
    <w:rsid w:val="068F128E"/>
    <w:rsid w:val="06AD62E4"/>
    <w:rsid w:val="06BA27AF"/>
    <w:rsid w:val="070D7056"/>
    <w:rsid w:val="071D689A"/>
    <w:rsid w:val="071F0864"/>
    <w:rsid w:val="07351E35"/>
    <w:rsid w:val="07372051"/>
    <w:rsid w:val="0748600C"/>
    <w:rsid w:val="075141CC"/>
    <w:rsid w:val="077C5CB6"/>
    <w:rsid w:val="078A03D3"/>
    <w:rsid w:val="078A2181"/>
    <w:rsid w:val="078D1C71"/>
    <w:rsid w:val="07A31495"/>
    <w:rsid w:val="08040B54"/>
    <w:rsid w:val="080C0DE8"/>
    <w:rsid w:val="081B06DA"/>
    <w:rsid w:val="08234384"/>
    <w:rsid w:val="082D6FB0"/>
    <w:rsid w:val="0844165D"/>
    <w:rsid w:val="08444A26"/>
    <w:rsid w:val="08457EB8"/>
    <w:rsid w:val="08652BE4"/>
    <w:rsid w:val="086C1887"/>
    <w:rsid w:val="08875300"/>
    <w:rsid w:val="08AE022E"/>
    <w:rsid w:val="08CE0793"/>
    <w:rsid w:val="08F04266"/>
    <w:rsid w:val="09150170"/>
    <w:rsid w:val="09250379"/>
    <w:rsid w:val="092521FD"/>
    <w:rsid w:val="092B1742"/>
    <w:rsid w:val="0935611C"/>
    <w:rsid w:val="09817015"/>
    <w:rsid w:val="09A11A04"/>
    <w:rsid w:val="09BE43BF"/>
    <w:rsid w:val="09CD37EC"/>
    <w:rsid w:val="09DA6CC4"/>
    <w:rsid w:val="09EB2C7F"/>
    <w:rsid w:val="09F81004"/>
    <w:rsid w:val="0A2A7C4B"/>
    <w:rsid w:val="0A434869"/>
    <w:rsid w:val="0A637BEA"/>
    <w:rsid w:val="0A64315D"/>
    <w:rsid w:val="0A6676D3"/>
    <w:rsid w:val="0A6F38B0"/>
    <w:rsid w:val="0A821835"/>
    <w:rsid w:val="0A913826"/>
    <w:rsid w:val="0AD67BFB"/>
    <w:rsid w:val="0AD91B48"/>
    <w:rsid w:val="0AE222D4"/>
    <w:rsid w:val="0AF049F1"/>
    <w:rsid w:val="0AFD2902"/>
    <w:rsid w:val="0B093D05"/>
    <w:rsid w:val="0B100BEF"/>
    <w:rsid w:val="0B5D195B"/>
    <w:rsid w:val="0B6745CE"/>
    <w:rsid w:val="0BE16F32"/>
    <w:rsid w:val="0BEA32BC"/>
    <w:rsid w:val="0C07025C"/>
    <w:rsid w:val="0C18330D"/>
    <w:rsid w:val="0C214339"/>
    <w:rsid w:val="0C28640C"/>
    <w:rsid w:val="0C59158F"/>
    <w:rsid w:val="0C5B7150"/>
    <w:rsid w:val="0C8A5EE5"/>
    <w:rsid w:val="0CAF268A"/>
    <w:rsid w:val="0CB33F28"/>
    <w:rsid w:val="0CBE627B"/>
    <w:rsid w:val="0D077DD0"/>
    <w:rsid w:val="0D2564A8"/>
    <w:rsid w:val="0D35493D"/>
    <w:rsid w:val="0D557AE1"/>
    <w:rsid w:val="0D7C256C"/>
    <w:rsid w:val="0DAC2718"/>
    <w:rsid w:val="0DD20D46"/>
    <w:rsid w:val="0DD405FA"/>
    <w:rsid w:val="0E325AC7"/>
    <w:rsid w:val="0E3A41D5"/>
    <w:rsid w:val="0E4137B5"/>
    <w:rsid w:val="0E5168C6"/>
    <w:rsid w:val="0E606C70"/>
    <w:rsid w:val="0E9E29B6"/>
    <w:rsid w:val="0EC341CA"/>
    <w:rsid w:val="0EE8653B"/>
    <w:rsid w:val="0EFA4090"/>
    <w:rsid w:val="0F783207"/>
    <w:rsid w:val="0F8B51DE"/>
    <w:rsid w:val="0FD05A2E"/>
    <w:rsid w:val="101D790A"/>
    <w:rsid w:val="10321608"/>
    <w:rsid w:val="103435D2"/>
    <w:rsid w:val="10581E37"/>
    <w:rsid w:val="105A46BB"/>
    <w:rsid w:val="10771710"/>
    <w:rsid w:val="107F3A01"/>
    <w:rsid w:val="108654B0"/>
    <w:rsid w:val="109835A9"/>
    <w:rsid w:val="10985132"/>
    <w:rsid w:val="10A5002C"/>
    <w:rsid w:val="10AC449C"/>
    <w:rsid w:val="10C77FA2"/>
    <w:rsid w:val="10CA7A92"/>
    <w:rsid w:val="10CF6E57"/>
    <w:rsid w:val="10FE773C"/>
    <w:rsid w:val="112B49AA"/>
    <w:rsid w:val="113B0990"/>
    <w:rsid w:val="11427AB6"/>
    <w:rsid w:val="114E1FB0"/>
    <w:rsid w:val="11F94050"/>
    <w:rsid w:val="12174F59"/>
    <w:rsid w:val="122D269E"/>
    <w:rsid w:val="126134A6"/>
    <w:rsid w:val="1283439D"/>
    <w:rsid w:val="12955E7E"/>
    <w:rsid w:val="1299771C"/>
    <w:rsid w:val="129A3494"/>
    <w:rsid w:val="12C66037"/>
    <w:rsid w:val="12F2507E"/>
    <w:rsid w:val="1305022D"/>
    <w:rsid w:val="13165211"/>
    <w:rsid w:val="131B2827"/>
    <w:rsid w:val="136956F4"/>
    <w:rsid w:val="13763AD6"/>
    <w:rsid w:val="13A22600"/>
    <w:rsid w:val="13A36BE1"/>
    <w:rsid w:val="13AF4D1D"/>
    <w:rsid w:val="13E744B7"/>
    <w:rsid w:val="13E9022F"/>
    <w:rsid w:val="13E96481"/>
    <w:rsid w:val="14063EDB"/>
    <w:rsid w:val="141E7F46"/>
    <w:rsid w:val="142432AD"/>
    <w:rsid w:val="14460456"/>
    <w:rsid w:val="144638D4"/>
    <w:rsid w:val="144D6A10"/>
    <w:rsid w:val="149C7998"/>
    <w:rsid w:val="14E629C1"/>
    <w:rsid w:val="14FB2910"/>
    <w:rsid w:val="15033573"/>
    <w:rsid w:val="15527217"/>
    <w:rsid w:val="156E30E2"/>
    <w:rsid w:val="157E709D"/>
    <w:rsid w:val="1582093B"/>
    <w:rsid w:val="15A11260"/>
    <w:rsid w:val="15B716F5"/>
    <w:rsid w:val="15E74C42"/>
    <w:rsid w:val="16145F48"/>
    <w:rsid w:val="16302145"/>
    <w:rsid w:val="164B53B3"/>
    <w:rsid w:val="164E6A70"/>
    <w:rsid w:val="16A91EF8"/>
    <w:rsid w:val="16C74B4B"/>
    <w:rsid w:val="16D056D6"/>
    <w:rsid w:val="16D276A1"/>
    <w:rsid w:val="173A48D6"/>
    <w:rsid w:val="173B2B09"/>
    <w:rsid w:val="174840AA"/>
    <w:rsid w:val="174A117A"/>
    <w:rsid w:val="174D31CB"/>
    <w:rsid w:val="17683B61"/>
    <w:rsid w:val="177B3894"/>
    <w:rsid w:val="177E5564"/>
    <w:rsid w:val="179606CE"/>
    <w:rsid w:val="17DC00C1"/>
    <w:rsid w:val="18131D1F"/>
    <w:rsid w:val="18491BE4"/>
    <w:rsid w:val="1876405C"/>
    <w:rsid w:val="18802DD1"/>
    <w:rsid w:val="18E70460"/>
    <w:rsid w:val="19006747"/>
    <w:rsid w:val="194B6C84"/>
    <w:rsid w:val="1988673C"/>
    <w:rsid w:val="198A7DBF"/>
    <w:rsid w:val="19E25E4D"/>
    <w:rsid w:val="1A023DF9"/>
    <w:rsid w:val="1A085187"/>
    <w:rsid w:val="1A143B2C"/>
    <w:rsid w:val="1A271AB1"/>
    <w:rsid w:val="1A2A3962"/>
    <w:rsid w:val="1A3A3AD9"/>
    <w:rsid w:val="1A8910F2"/>
    <w:rsid w:val="1A9C249F"/>
    <w:rsid w:val="1AAB26E2"/>
    <w:rsid w:val="1AAC0209"/>
    <w:rsid w:val="1AF007D6"/>
    <w:rsid w:val="1B0167A6"/>
    <w:rsid w:val="1B0A2335"/>
    <w:rsid w:val="1B132036"/>
    <w:rsid w:val="1B1F1EE0"/>
    <w:rsid w:val="1B544B28"/>
    <w:rsid w:val="1BCD0437"/>
    <w:rsid w:val="1BD065D5"/>
    <w:rsid w:val="1BFF0584"/>
    <w:rsid w:val="1C5D5C5E"/>
    <w:rsid w:val="1C824A3B"/>
    <w:rsid w:val="1C8950B0"/>
    <w:rsid w:val="1CB00110"/>
    <w:rsid w:val="1CBB4733"/>
    <w:rsid w:val="1CC47A8B"/>
    <w:rsid w:val="1CE25E31"/>
    <w:rsid w:val="1D184A7F"/>
    <w:rsid w:val="1D5C1A72"/>
    <w:rsid w:val="1D5D51DB"/>
    <w:rsid w:val="1D844E1C"/>
    <w:rsid w:val="1D943902"/>
    <w:rsid w:val="1DB160B1"/>
    <w:rsid w:val="1DB82CDF"/>
    <w:rsid w:val="1DC31AF1"/>
    <w:rsid w:val="1DD7559C"/>
    <w:rsid w:val="1E01086B"/>
    <w:rsid w:val="1E6C2189"/>
    <w:rsid w:val="1EA10FA5"/>
    <w:rsid w:val="1EBD0C36"/>
    <w:rsid w:val="1EC73863"/>
    <w:rsid w:val="1ED71AE4"/>
    <w:rsid w:val="1EDB1B30"/>
    <w:rsid w:val="1EE401DE"/>
    <w:rsid w:val="1F2E5690"/>
    <w:rsid w:val="1F5F3A9B"/>
    <w:rsid w:val="1F7C63FB"/>
    <w:rsid w:val="1F7D3F22"/>
    <w:rsid w:val="1F8D23B7"/>
    <w:rsid w:val="1F8F25D3"/>
    <w:rsid w:val="1F9803AC"/>
    <w:rsid w:val="1FA94D17"/>
    <w:rsid w:val="1FB7615B"/>
    <w:rsid w:val="1FF57F5C"/>
    <w:rsid w:val="202B4C70"/>
    <w:rsid w:val="204B206D"/>
    <w:rsid w:val="20E1356A"/>
    <w:rsid w:val="20E96B05"/>
    <w:rsid w:val="213B685C"/>
    <w:rsid w:val="214A5CFC"/>
    <w:rsid w:val="218B47EA"/>
    <w:rsid w:val="21FE57EE"/>
    <w:rsid w:val="220A23E4"/>
    <w:rsid w:val="22105521"/>
    <w:rsid w:val="2228286B"/>
    <w:rsid w:val="223631D9"/>
    <w:rsid w:val="223C6316"/>
    <w:rsid w:val="226407A8"/>
    <w:rsid w:val="226C6405"/>
    <w:rsid w:val="228C4BA7"/>
    <w:rsid w:val="2297451F"/>
    <w:rsid w:val="22C83912"/>
    <w:rsid w:val="22D64075"/>
    <w:rsid w:val="231C21FE"/>
    <w:rsid w:val="23201794"/>
    <w:rsid w:val="23452FA8"/>
    <w:rsid w:val="23871813"/>
    <w:rsid w:val="238D507B"/>
    <w:rsid w:val="23982D72"/>
    <w:rsid w:val="23BB4C27"/>
    <w:rsid w:val="23E12CD1"/>
    <w:rsid w:val="240268DD"/>
    <w:rsid w:val="241308D1"/>
    <w:rsid w:val="242022A8"/>
    <w:rsid w:val="242332EA"/>
    <w:rsid w:val="2429118E"/>
    <w:rsid w:val="247C5AB7"/>
    <w:rsid w:val="24870CFE"/>
    <w:rsid w:val="249B7324"/>
    <w:rsid w:val="24AA57B9"/>
    <w:rsid w:val="24AE5A41"/>
    <w:rsid w:val="24BE4E0B"/>
    <w:rsid w:val="24C148B0"/>
    <w:rsid w:val="24E52C95"/>
    <w:rsid w:val="24F31271"/>
    <w:rsid w:val="255A3128"/>
    <w:rsid w:val="256B13EC"/>
    <w:rsid w:val="256C2A6E"/>
    <w:rsid w:val="257D4C7B"/>
    <w:rsid w:val="25FF1B34"/>
    <w:rsid w:val="26386260"/>
    <w:rsid w:val="26445799"/>
    <w:rsid w:val="265C6F87"/>
    <w:rsid w:val="26747E2C"/>
    <w:rsid w:val="26A37EBE"/>
    <w:rsid w:val="26A55B5E"/>
    <w:rsid w:val="26E054C2"/>
    <w:rsid w:val="26FD42C6"/>
    <w:rsid w:val="270513CC"/>
    <w:rsid w:val="272555CB"/>
    <w:rsid w:val="27433CA3"/>
    <w:rsid w:val="2749750B"/>
    <w:rsid w:val="276E0D20"/>
    <w:rsid w:val="278247CB"/>
    <w:rsid w:val="279F537D"/>
    <w:rsid w:val="27A43C03"/>
    <w:rsid w:val="27C070A1"/>
    <w:rsid w:val="28373807"/>
    <w:rsid w:val="284101E2"/>
    <w:rsid w:val="288B3B53"/>
    <w:rsid w:val="289F315B"/>
    <w:rsid w:val="28A569C3"/>
    <w:rsid w:val="28C66939"/>
    <w:rsid w:val="292518B2"/>
    <w:rsid w:val="293164A9"/>
    <w:rsid w:val="29325D7D"/>
    <w:rsid w:val="29341AF5"/>
    <w:rsid w:val="293715E5"/>
    <w:rsid w:val="294E705B"/>
    <w:rsid w:val="295959FF"/>
    <w:rsid w:val="298C36DF"/>
    <w:rsid w:val="29B0436D"/>
    <w:rsid w:val="29B6075C"/>
    <w:rsid w:val="29BB3FC4"/>
    <w:rsid w:val="29C53533"/>
    <w:rsid w:val="29CD3D28"/>
    <w:rsid w:val="29EE439A"/>
    <w:rsid w:val="29F51284"/>
    <w:rsid w:val="2A247DBB"/>
    <w:rsid w:val="2A2A78D0"/>
    <w:rsid w:val="2A2F7D67"/>
    <w:rsid w:val="2A4D7312"/>
    <w:rsid w:val="2A587A65"/>
    <w:rsid w:val="2A9F5694"/>
    <w:rsid w:val="2AAF1D7B"/>
    <w:rsid w:val="2ADC0696"/>
    <w:rsid w:val="2B08148B"/>
    <w:rsid w:val="2B1A2E54"/>
    <w:rsid w:val="2B334FBF"/>
    <w:rsid w:val="2B3C1135"/>
    <w:rsid w:val="2B522706"/>
    <w:rsid w:val="2B572F02"/>
    <w:rsid w:val="2B6C5576"/>
    <w:rsid w:val="2B7E6805"/>
    <w:rsid w:val="2B9D7E25"/>
    <w:rsid w:val="2BC41BFF"/>
    <w:rsid w:val="2BD31A99"/>
    <w:rsid w:val="2BD62420"/>
    <w:rsid w:val="2C0954BB"/>
    <w:rsid w:val="2C147DB3"/>
    <w:rsid w:val="2C4B5AD3"/>
    <w:rsid w:val="2C626979"/>
    <w:rsid w:val="2C635C8A"/>
    <w:rsid w:val="2CDE5FD9"/>
    <w:rsid w:val="2CDF446E"/>
    <w:rsid w:val="2CED26E7"/>
    <w:rsid w:val="2D026A64"/>
    <w:rsid w:val="2D08417F"/>
    <w:rsid w:val="2D087520"/>
    <w:rsid w:val="2D2D342B"/>
    <w:rsid w:val="2D4A18E7"/>
    <w:rsid w:val="2D4D7629"/>
    <w:rsid w:val="2D7921CC"/>
    <w:rsid w:val="2D85560F"/>
    <w:rsid w:val="2DB66924"/>
    <w:rsid w:val="2DDF3957"/>
    <w:rsid w:val="2DF504E4"/>
    <w:rsid w:val="2E057F04"/>
    <w:rsid w:val="2E183793"/>
    <w:rsid w:val="2E690493"/>
    <w:rsid w:val="2E755089"/>
    <w:rsid w:val="2E761EA4"/>
    <w:rsid w:val="2E7A26A0"/>
    <w:rsid w:val="2E8928E3"/>
    <w:rsid w:val="2EB040E3"/>
    <w:rsid w:val="2EB5368F"/>
    <w:rsid w:val="2ED51684"/>
    <w:rsid w:val="2EE47B19"/>
    <w:rsid w:val="2EFA10EB"/>
    <w:rsid w:val="2F13711A"/>
    <w:rsid w:val="2F4E1D0F"/>
    <w:rsid w:val="2F5051AF"/>
    <w:rsid w:val="2F7865AA"/>
    <w:rsid w:val="2F8A06C1"/>
    <w:rsid w:val="2FC21522"/>
    <w:rsid w:val="2FDE6606"/>
    <w:rsid w:val="2FF344B8"/>
    <w:rsid w:val="2FF7387C"/>
    <w:rsid w:val="2FFB511A"/>
    <w:rsid w:val="301F34FF"/>
    <w:rsid w:val="30284935"/>
    <w:rsid w:val="30B579BF"/>
    <w:rsid w:val="30BF439A"/>
    <w:rsid w:val="30CD2F5B"/>
    <w:rsid w:val="311E2422"/>
    <w:rsid w:val="315A40C3"/>
    <w:rsid w:val="319E66A5"/>
    <w:rsid w:val="31AE37B4"/>
    <w:rsid w:val="31B732C3"/>
    <w:rsid w:val="31E63BA8"/>
    <w:rsid w:val="3212499D"/>
    <w:rsid w:val="32456B21"/>
    <w:rsid w:val="32737B32"/>
    <w:rsid w:val="32B36CE5"/>
    <w:rsid w:val="32B37F2E"/>
    <w:rsid w:val="32B617CD"/>
    <w:rsid w:val="32CD730F"/>
    <w:rsid w:val="33062754"/>
    <w:rsid w:val="331F55C4"/>
    <w:rsid w:val="33260700"/>
    <w:rsid w:val="33294694"/>
    <w:rsid w:val="332C1A8F"/>
    <w:rsid w:val="333D5A4A"/>
    <w:rsid w:val="3353526D"/>
    <w:rsid w:val="336934AE"/>
    <w:rsid w:val="338423DD"/>
    <w:rsid w:val="33AB1439"/>
    <w:rsid w:val="33E04D53"/>
    <w:rsid w:val="341837B7"/>
    <w:rsid w:val="34321327"/>
    <w:rsid w:val="343E1A7A"/>
    <w:rsid w:val="34403A44"/>
    <w:rsid w:val="344A7002"/>
    <w:rsid w:val="344D7F0F"/>
    <w:rsid w:val="34680092"/>
    <w:rsid w:val="347D3C45"/>
    <w:rsid w:val="348410F4"/>
    <w:rsid w:val="34884A4A"/>
    <w:rsid w:val="34987531"/>
    <w:rsid w:val="34D81948"/>
    <w:rsid w:val="35165311"/>
    <w:rsid w:val="35311149"/>
    <w:rsid w:val="35386E11"/>
    <w:rsid w:val="35804783"/>
    <w:rsid w:val="35931E3C"/>
    <w:rsid w:val="35B4648C"/>
    <w:rsid w:val="35D25868"/>
    <w:rsid w:val="361C403D"/>
    <w:rsid w:val="36363350"/>
    <w:rsid w:val="363A74FC"/>
    <w:rsid w:val="36545584"/>
    <w:rsid w:val="367D0F7F"/>
    <w:rsid w:val="36883480"/>
    <w:rsid w:val="36AC53C0"/>
    <w:rsid w:val="36D358EB"/>
    <w:rsid w:val="370451FC"/>
    <w:rsid w:val="371B60A2"/>
    <w:rsid w:val="373B4C58"/>
    <w:rsid w:val="374455F9"/>
    <w:rsid w:val="374B2E2B"/>
    <w:rsid w:val="37D5272F"/>
    <w:rsid w:val="37EA083E"/>
    <w:rsid w:val="37F05781"/>
    <w:rsid w:val="382F44FB"/>
    <w:rsid w:val="3836588A"/>
    <w:rsid w:val="38397128"/>
    <w:rsid w:val="383E029A"/>
    <w:rsid w:val="38507FCD"/>
    <w:rsid w:val="38545D10"/>
    <w:rsid w:val="38613F89"/>
    <w:rsid w:val="386F66A6"/>
    <w:rsid w:val="38741F0E"/>
    <w:rsid w:val="38A65E3F"/>
    <w:rsid w:val="38B425CD"/>
    <w:rsid w:val="38E52E0C"/>
    <w:rsid w:val="3905700A"/>
    <w:rsid w:val="39134975"/>
    <w:rsid w:val="3927034E"/>
    <w:rsid w:val="39331DC9"/>
    <w:rsid w:val="393A4F06"/>
    <w:rsid w:val="394713D0"/>
    <w:rsid w:val="394C7064"/>
    <w:rsid w:val="39587E67"/>
    <w:rsid w:val="39721ED6"/>
    <w:rsid w:val="3980268B"/>
    <w:rsid w:val="398A630E"/>
    <w:rsid w:val="399B34CA"/>
    <w:rsid w:val="39BF7EC2"/>
    <w:rsid w:val="39CD3FCC"/>
    <w:rsid w:val="39DE7F87"/>
    <w:rsid w:val="3A290CED"/>
    <w:rsid w:val="3A471CD1"/>
    <w:rsid w:val="3A6769CF"/>
    <w:rsid w:val="3A963B49"/>
    <w:rsid w:val="3ADC2E01"/>
    <w:rsid w:val="3AEC66D3"/>
    <w:rsid w:val="3AEF3ACE"/>
    <w:rsid w:val="3B0C0B24"/>
    <w:rsid w:val="3B131EB2"/>
    <w:rsid w:val="3B4E4C98"/>
    <w:rsid w:val="3B6E0E96"/>
    <w:rsid w:val="3B781D15"/>
    <w:rsid w:val="3BB6283D"/>
    <w:rsid w:val="3BD55EF8"/>
    <w:rsid w:val="3BDD601C"/>
    <w:rsid w:val="3BE671AF"/>
    <w:rsid w:val="3BEC625F"/>
    <w:rsid w:val="3C0E61D6"/>
    <w:rsid w:val="3C3C71E7"/>
    <w:rsid w:val="3C68449E"/>
    <w:rsid w:val="3CC03974"/>
    <w:rsid w:val="3CC21C64"/>
    <w:rsid w:val="3CC66AB0"/>
    <w:rsid w:val="3CC87600"/>
    <w:rsid w:val="3CD94A35"/>
    <w:rsid w:val="3D475E43"/>
    <w:rsid w:val="3D4E0F7F"/>
    <w:rsid w:val="3D5227F9"/>
    <w:rsid w:val="3D566086"/>
    <w:rsid w:val="3D803DBC"/>
    <w:rsid w:val="3D8C4591"/>
    <w:rsid w:val="3D9C41C3"/>
    <w:rsid w:val="3DB31B27"/>
    <w:rsid w:val="3DB50FFF"/>
    <w:rsid w:val="3DB9344B"/>
    <w:rsid w:val="3DF77869"/>
    <w:rsid w:val="3E141C6C"/>
    <w:rsid w:val="3E3A1504"/>
    <w:rsid w:val="3E587BDC"/>
    <w:rsid w:val="3E7A2248"/>
    <w:rsid w:val="3E832EAB"/>
    <w:rsid w:val="3E94330A"/>
    <w:rsid w:val="3EC55271"/>
    <w:rsid w:val="3ED92ACB"/>
    <w:rsid w:val="3F636838"/>
    <w:rsid w:val="3FDC2ADC"/>
    <w:rsid w:val="4037219F"/>
    <w:rsid w:val="403A1342"/>
    <w:rsid w:val="40672358"/>
    <w:rsid w:val="408D6263"/>
    <w:rsid w:val="40953369"/>
    <w:rsid w:val="409C0254"/>
    <w:rsid w:val="40B3559D"/>
    <w:rsid w:val="40E13F83"/>
    <w:rsid w:val="40E63BC5"/>
    <w:rsid w:val="40F475A0"/>
    <w:rsid w:val="410C52E4"/>
    <w:rsid w:val="41236F59"/>
    <w:rsid w:val="41264427"/>
    <w:rsid w:val="4148218A"/>
    <w:rsid w:val="415723CD"/>
    <w:rsid w:val="416045CA"/>
    <w:rsid w:val="416F5968"/>
    <w:rsid w:val="41703483"/>
    <w:rsid w:val="41831414"/>
    <w:rsid w:val="41BD0482"/>
    <w:rsid w:val="41E2022F"/>
    <w:rsid w:val="41FD4D22"/>
    <w:rsid w:val="42075BA1"/>
    <w:rsid w:val="420E6F2F"/>
    <w:rsid w:val="42415557"/>
    <w:rsid w:val="4252745A"/>
    <w:rsid w:val="42813BA5"/>
    <w:rsid w:val="42AB6E74"/>
    <w:rsid w:val="42CD6DEA"/>
    <w:rsid w:val="42D1070F"/>
    <w:rsid w:val="42D71A17"/>
    <w:rsid w:val="42E2557F"/>
    <w:rsid w:val="436A288B"/>
    <w:rsid w:val="43A318F9"/>
    <w:rsid w:val="43AC2E51"/>
    <w:rsid w:val="43E04A33"/>
    <w:rsid w:val="440120F5"/>
    <w:rsid w:val="44145283"/>
    <w:rsid w:val="441F5D36"/>
    <w:rsid w:val="44202F4A"/>
    <w:rsid w:val="44242A3A"/>
    <w:rsid w:val="446F7A2D"/>
    <w:rsid w:val="44871D79"/>
    <w:rsid w:val="449F0313"/>
    <w:rsid w:val="44A44B31"/>
    <w:rsid w:val="44A91191"/>
    <w:rsid w:val="44AB6CB7"/>
    <w:rsid w:val="44DF1057"/>
    <w:rsid w:val="44F248E6"/>
    <w:rsid w:val="44F405A8"/>
    <w:rsid w:val="451A208F"/>
    <w:rsid w:val="455235D7"/>
    <w:rsid w:val="45576E3F"/>
    <w:rsid w:val="45594965"/>
    <w:rsid w:val="455E1F7C"/>
    <w:rsid w:val="45637592"/>
    <w:rsid w:val="45B82995"/>
    <w:rsid w:val="45C5024D"/>
    <w:rsid w:val="45C81AEB"/>
    <w:rsid w:val="4611121F"/>
    <w:rsid w:val="46342CDD"/>
    <w:rsid w:val="465B470D"/>
    <w:rsid w:val="467066EF"/>
    <w:rsid w:val="46CD560B"/>
    <w:rsid w:val="46CE4EDF"/>
    <w:rsid w:val="46CF76DE"/>
    <w:rsid w:val="46FF32EA"/>
    <w:rsid w:val="470321F6"/>
    <w:rsid w:val="47347438"/>
    <w:rsid w:val="473A07C7"/>
    <w:rsid w:val="476B0980"/>
    <w:rsid w:val="47CF316E"/>
    <w:rsid w:val="47DB3D58"/>
    <w:rsid w:val="47EA0BE5"/>
    <w:rsid w:val="47EB386F"/>
    <w:rsid w:val="47FB4ABF"/>
    <w:rsid w:val="48135CD5"/>
    <w:rsid w:val="481676AF"/>
    <w:rsid w:val="482A083B"/>
    <w:rsid w:val="48314507"/>
    <w:rsid w:val="48362D3C"/>
    <w:rsid w:val="48643D4D"/>
    <w:rsid w:val="48B77A66"/>
    <w:rsid w:val="48C52312"/>
    <w:rsid w:val="490270C2"/>
    <w:rsid w:val="492E2692"/>
    <w:rsid w:val="493B2612"/>
    <w:rsid w:val="493E738B"/>
    <w:rsid w:val="4970736E"/>
    <w:rsid w:val="4981448B"/>
    <w:rsid w:val="49861AA1"/>
    <w:rsid w:val="498D2E30"/>
    <w:rsid w:val="49A5202F"/>
    <w:rsid w:val="49B06B1E"/>
    <w:rsid w:val="49C65A76"/>
    <w:rsid w:val="49D56C33"/>
    <w:rsid w:val="4A162E25"/>
    <w:rsid w:val="4A370FED"/>
    <w:rsid w:val="4A8568AA"/>
    <w:rsid w:val="4A867F75"/>
    <w:rsid w:val="4A8F69E9"/>
    <w:rsid w:val="4AC7411F"/>
    <w:rsid w:val="4AE27640"/>
    <w:rsid w:val="4AE66C9B"/>
    <w:rsid w:val="4B7D0C82"/>
    <w:rsid w:val="4B984363"/>
    <w:rsid w:val="4BA44460"/>
    <w:rsid w:val="4BA72908"/>
    <w:rsid w:val="4BB01057"/>
    <w:rsid w:val="4BB96C17"/>
    <w:rsid w:val="4BD4520F"/>
    <w:rsid w:val="4BD9235C"/>
    <w:rsid w:val="4C0F3FD0"/>
    <w:rsid w:val="4C107D48"/>
    <w:rsid w:val="4C5145E8"/>
    <w:rsid w:val="4C520360"/>
    <w:rsid w:val="4C57465C"/>
    <w:rsid w:val="4C5900BC"/>
    <w:rsid w:val="4C8E7415"/>
    <w:rsid w:val="4C955995"/>
    <w:rsid w:val="4C995F8F"/>
    <w:rsid w:val="4CA94424"/>
    <w:rsid w:val="4CAD46FD"/>
    <w:rsid w:val="4CC11A74"/>
    <w:rsid w:val="4CC81A74"/>
    <w:rsid w:val="4CCB02D2"/>
    <w:rsid w:val="4CD60F91"/>
    <w:rsid w:val="4CDA2830"/>
    <w:rsid w:val="4CDD5E7C"/>
    <w:rsid w:val="4CFF2296"/>
    <w:rsid w:val="4D094EC3"/>
    <w:rsid w:val="4D241CFD"/>
    <w:rsid w:val="4D48391E"/>
    <w:rsid w:val="4DD728CB"/>
    <w:rsid w:val="4E044BF2"/>
    <w:rsid w:val="4E0B07C7"/>
    <w:rsid w:val="4E540A58"/>
    <w:rsid w:val="4EA74993"/>
    <w:rsid w:val="4EC3497B"/>
    <w:rsid w:val="4F0E056F"/>
    <w:rsid w:val="4F3A75B6"/>
    <w:rsid w:val="4F5F154A"/>
    <w:rsid w:val="4FAF7EFA"/>
    <w:rsid w:val="4FC13833"/>
    <w:rsid w:val="50080C22"/>
    <w:rsid w:val="501E21C5"/>
    <w:rsid w:val="50395ABF"/>
    <w:rsid w:val="505869A7"/>
    <w:rsid w:val="5089032A"/>
    <w:rsid w:val="50983711"/>
    <w:rsid w:val="50B45B0C"/>
    <w:rsid w:val="510F6820"/>
    <w:rsid w:val="51177ECF"/>
    <w:rsid w:val="5119144D"/>
    <w:rsid w:val="516F72BF"/>
    <w:rsid w:val="51856AE2"/>
    <w:rsid w:val="51AF590D"/>
    <w:rsid w:val="51BA49DE"/>
    <w:rsid w:val="51D610EC"/>
    <w:rsid w:val="51F04020"/>
    <w:rsid w:val="521237FC"/>
    <w:rsid w:val="524349D3"/>
    <w:rsid w:val="524D5555"/>
    <w:rsid w:val="528F6754"/>
    <w:rsid w:val="529E1C09"/>
    <w:rsid w:val="52B0193D"/>
    <w:rsid w:val="52B551A5"/>
    <w:rsid w:val="52BE04FE"/>
    <w:rsid w:val="52C04276"/>
    <w:rsid w:val="52DE64AA"/>
    <w:rsid w:val="531E2D4A"/>
    <w:rsid w:val="532365B3"/>
    <w:rsid w:val="53476745"/>
    <w:rsid w:val="538E5F89"/>
    <w:rsid w:val="53B611D5"/>
    <w:rsid w:val="53D33B35"/>
    <w:rsid w:val="53DE6642"/>
    <w:rsid w:val="53E53868"/>
    <w:rsid w:val="54091C4C"/>
    <w:rsid w:val="540D0751"/>
    <w:rsid w:val="5422529D"/>
    <w:rsid w:val="542A76F3"/>
    <w:rsid w:val="5452714F"/>
    <w:rsid w:val="545A03D8"/>
    <w:rsid w:val="549E2395"/>
    <w:rsid w:val="54A10956"/>
    <w:rsid w:val="54F16968"/>
    <w:rsid w:val="54F9581D"/>
    <w:rsid w:val="54FD35CB"/>
    <w:rsid w:val="54FE120F"/>
    <w:rsid w:val="55230AEC"/>
    <w:rsid w:val="55474D90"/>
    <w:rsid w:val="5556122E"/>
    <w:rsid w:val="556B681E"/>
    <w:rsid w:val="559B4E20"/>
    <w:rsid w:val="55C951EF"/>
    <w:rsid w:val="55EA4A72"/>
    <w:rsid w:val="55F01743"/>
    <w:rsid w:val="55F80501"/>
    <w:rsid w:val="55FB7373"/>
    <w:rsid w:val="560B3A5A"/>
    <w:rsid w:val="565F3DA6"/>
    <w:rsid w:val="566B44F9"/>
    <w:rsid w:val="569C6DA8"/>
    <w:rsid w:val="56AD68BF"/>
    <w:rsid w:val="56BF65F2"/>
    <w:rsid w:val="56F71F0D"/>
    <w:rsid w:val="572648C3"/>
    <w:rsid w:val="572D203D"/>
    <w:rsid w:val="573B5D90"/>
    <w:rsid w:val="574B1842"/>
    <w:rsid w:val="576A47B0"/>
    <w:rsid w:val="57DB3900"/>
    <w:rsid w:val="57E9601D"/>
    <w:rsid w:val="582157B7"/>
    <w:rsid w:val="583E3F5E"/>
    <w:rsid w:val="58474AF1"/>
    <w:rsid w:val="58594DCC"/>
    <w:rsid w:val="58607995"/>
    <w:rsid w:val="58896EB8"/>
    <w:rsid w:val="58A03E85"/>
    <w:rsid w:val="58B45C07"/>
    <w:rsid w:val="58DA3BB7"/>
    <w:rsid w:val="58E42340"/>
    <w:rsid w:val="59030A18"/>
    <w:rsid w:val="59097FF9"/>
    <w:rsid w:val="590D4ADB"/>
    <w:rsid w:val="592D31E7"/>
    <w:rsid w:val="59706A3E"/>
    <w:rsid w:val="59A450EF"/>
    <w:rsid w:val="59B47F65"/>
    <w:rsid w:val="59BE4D82"/>
    <w:rsid w:val="59BE5FF6"/>
    <w:rsid w:val="59C12681"/>
    <w:rsid w:val="59CD7278"/>
    <w:rsid w:val="59D77FD1"/>
    <w:rsid w:val="59ED3476"/>
    <w:rsid w:val="59FE68ED"/>
    <w:rsid w:val="5A006C9B"/>
    <w:rsid w:val="5A04713E"/>
    <w:rsid w:val="5A455061"/>
    <w:rsid w:val="5AA050D8"/>
    <w:rsid w:val="5AA734EC"/>
    <w:rsid w:val="5AC468CD"/>
    <w:rsid w:val="5ACB37B8"/>
    <w:rsid w:val="5ADC4F12"/>
    <w:rsid w:val="5AE107FB"/>
    <w:rsid w:val="5B13515F"/>
    <w:rsid w:val="5B177AA6"/>
    <w:rsid w:val="5B394BC5"/>
    <w:rsid w:val="5B3A6B8F"/>
    <w:rsid w:val="5B5C222A"/>
    <w:rsid w:val="5B765E19"/>
    <w:rsid w:val="5B835BCD"/>
    <w:rsid w:val="5B9E711E"/>
    <w:rsid w:val="5BAF4E87"/>
    <w:rsid w:val="5BDA4A94"/>
    <w:rsid w:val="5BEB6D33"/>
    <w:rsid w:val="5BFC7A7E"/>
    <w:rsid w:val="5C1709D2"/>
    <w:rsid w:val="5C2C64D8"/>
    <w:rsid w:val="5C4F21C6"/>
    <w:rsid w:val="5C657C3C"/>
    <w:rsid w:val="5CD14553"/>
    <w:rsid w:val="5D0E3E30"/>
    <w:rsid w:val="5D156F6C"/>
    <w:rsid w:val="5D2E60F1"/>
    <w:rsid w:val="5D667D88"/>
    <w:rsid w:val="5D746389"/>
    <w:rsid w:val="5DBB1B81"/>
    <w:rsid w:val="5DD9443E"/>
    <w:rsid w:val="5DEA664B"/>
    <w:rsid w:val="5E2926FE"/>
    <w:rsid w:val="5E3E0745"/>
    <w:rsid w:val="5E5B4E53"/>
    <w:rsid w:val="5E826883"/>
    <w:rsid w:val="5E846949"/>
    <w:rsid w:val="5E954808"/>
    <w:rsid w:val="5EAF2AE6"/>
    <w:rsid w:val="5EBA426F"/>
    <w:rsid w:val="5EC62C14"/>
    <w:rsid w:val="5ED657BB"/>
    <w:rsid w:val="5EFD0600"/>
    <w:rsid w:val="5F0B6879"/>
    <w:rsid w:val="5F4E49B7"/>
    <w:rsid w:val="5F5A7800"/>
    <w:rsid w:val="5F766F13"/>
    <w:rsid w:val="5F7A0949"/>
    <w:rsid w:val="5F954394"/>
    <w:rsid w:val="5FAF7B5C"/>
    <w:rsid w:val="5FD2383A"/>
    <w:rsid w:val="60017C7C"/>
    <w:rsid w:val="602C4CF9"/>
    <w:rsid w:val="6058433C"/>
    <w:rsid w:val="607641C6"/>
    <w:rsid w:val="608120FB"/>
    <w:rsid w:val="608C39E9"/>
    <w:rsid w:val="60B44CEE"/>
    <w:rsid w:val="610E08A2"/>
    <w:rsid w:val="611B20B9"/>
    <w:rsid w:val="615F4C5A"/>
    <w:rsid w:val="61761FA3"/>
    <w:rsid w:val="61952D71"/>
    <w:rsid w:val="619E7E05"/>
    <w:rsid w:val="619F1626"/>
    <w:rsid w:val="62015D11"/>
    <w:rsid w:val="622A34BA"/>
    <w:rsid w:val="623205C0"/>
    <w:rsid w:val="625D09DE"/>
    <w:rsid w:val="6291178B"/>
    <w:rsid w:val="62BE4EA7"/>
    <w:rsid w:val="62D022B3"/>
    <w:rsid w:val="62F35FA1"/>
    <w:rsid w:val="6300421A"/>
    <w:rsid w:val="630D63C6"/>
    <w:rsid w:val="632E0D88"/>
    <w:rsid w:val="633F2F95"/>
    <w:rsid w:val="63493A10"/>
    <w:rsid w:val="635A1B7D"/>
    <w:rsid w:val="63807109"/>
    <w:rsid w:val="63871D3B"/>
    <w:rsid w:val="63C32B18"/>
    <w:rsid w:val="63F907C6"/>
    <w:rsid w:val="641F7AB2"/>
    <w:rsid w:val="64395C36"/>
    <w:rsid w:val="64630F05"/>
    <w:rsid w:val="646507D9"/>
    <w:rsid w:val="648B3FB8"/>
    <w:rsid w:val="648F6CB2"/>
    <w:rsid w:val="64A66BD3"/>
    <w:rsid w:val="64AD03D2"/>
    <w:rsid w:val="64E738E4"/>
    <w:rsid w:val="650A75D2"/>
    <w:rsid w:val="653F3F71"/>
    <w:rsid w:val="657D6F6E"/>
    <w:rsid w:val="65B37C6A"/>
    <w:rsid w:val="65C309CF"/>
    <w:rsid w:val="65D8322D"/>
    <w:rsid w:val="65E17B5A"/>
    <w:rsid w:val="65E240AB"/>
    <w:rsid w:val="662621EA"/>
    <w:rsid w:val="66285F62"/>
    <w:rsid w:val="66293A88"/>
    <w:rsid w:val="66390AFD"/>
    <w:rsid w:val="669E7FD2"/>
    <w:rsid w:val="66A51361"/>
    <w:rsid w:val="66A827DC"/>
    <w:rsid w:val="66B45A48"/>
    <w:rsid w:val="66D9725C"/>
    <w:rsid w:val="672D4A0D"/>
    <w:rsid w:val="673152EA"/>
    <w:rsid w:val="673F17B5"/>
    <w:rsid w:val="67437A3D"/>
    <w:rsid w:val="674548F2"/>
    <w:rsid w:val="676314F1"/>
    <w:rsid w:val="67742476"/>
    <w:rsid w:val="67B70DFE"/>
    <w:rsid w:val="67BC2E06"/>
    <w:rsid w:val="67D53EC8"/>
    <w:rsid w:val="67EC1211"/>
    <w:rsid w:val="680B78E9"/>
    <w:rsid w:val="682C160E"/>
    <w:rsid w:val="685F19E3"/>
    <w:rsid w:val="6873723D"/>
    <w:rsid w:val="68967484"/>
    <w:rsid w:val="68B735CD"/>
    <w:rsid w:val="68BC3EF8"/>
    <w:rsid w:val="68D777CC"/>
    <w:rsid w:val="6922167D"/>
    <w:rsid w:val="692350BF"/>
    <w:rsid w:val="69470DF5"/>
    <w:rsid w:val="696E6CF7"/>
    <w:rsid w:val="6984688D"/>
    <w:rsid w:val="698C6808"/>
    <w:rsid w:val="699E02E9"/>
    <w:rsid w:val="69CF3481"/>
    <w:rsid w:val="69FF31EF"/>
    <w:rsid w:val="6A222CC8"/>
    <w:rsid w:val="6A5F5CCB"/>
    <w:rsid w:val="6A615EE7"/>
    <w:rsid w:val="6A6766E4"/>
    <w:rsid w:val="6A7A2B04"/>
    <w:rsid w:val="6AA10091"/>
    <w:rsid w:val="6AA61B4B"/>
    <w:rsid w:val="6AB8592C"/>
    <w:rsid w:val="6AC02C0D"/>
    <w:rsid w:val="6B0F5943"/>
    <w:rsid w:val="6B4A697B"/>
    <w:rsid w:val="6B6C68F1"/>
    <w:rsid w:val="6B96571C"/>
    <w:rsid w:val="6BA442DD"/>
    <w:rsid w:val="6BB42046"/>
    <w:rsid w:val="6BC424DC"/>
    <w:rsid w:val="6BDB75D3"/>
    <w:rsid w:val="6BE23524"/>
    <w:rsid w:val="6BF95CAB"/>
    <w:rsid w:val="6C1A70D2"/>
    <w:rsid w:val="6C53185F"/>
    <w:rsid w:val="6C835763"/>
    <w:rsid w:val="6CB00A5F"/>
    <w:rsid w:val="6CE85CBF"/>
    <w:rsid w:val="6D323B6A"/>
    <w:rsid w:val="6D390A55"/>
    <w:rsid w:val="6D410509"/>
    <w:rsid w:val="6D5B09CB"/>
    <w:rsid w:val="6D655CEE"/>
    <w:rsid w:val="6D6F4477"/>
    <w:rsid w:val="6DAF6F69"/>
    <w:rsid w:val="6DC718F1"/>
    <w:rsid w:val="6DF06593"/>
    <w:rsid w:val="6E057C20"/>
    <w:rsid w:val="6E7066F8"/>
    <w:rsid w:val="6E805CF1"/>
    <w:rsid w:val="6F03756C"/>
    <w:rsid w:val="6F1C23DC"/>
    <w:rsid w:val="6F27744D"/>
    <w:rsid w:val="6F2F6E1D"/>
    <w:rsid w:val="6F3843B2"/>
    <w:rsid w:val="6F533DC0"/>
    <w:rsid w:val="6F6D70DC"/>
    <w:rsid w:val="6FB645DF"/>
    <w:rsid w:val="6FBB39A3"/>
    <w:rsid w:val="6FCE7B7A"/>
    <w:rsid w:val="6FD56AEC"/>
    <w:rsid w:val="6FF0654E"/>
    <w:rsid w:val="7020414E"/>
    <w:rsid w:val="703210FB"/>
    <w:rsid w:val="703B6CD7"/>
    <w:rsid w:val="703D260A"/>
    <w:rsid w:val="70455963"/>
    <w:rsid w:val="70596D82"/>
    <w:rsid w:val="70A42689"/>
    <w:rsid w:val="70BD374B"/>
    <w:rsid w:val="70E319B5"/>
    <w:rsid w:val="71031AA6"/>
    <w:rsid w:val="71467832"/>
    <w:rsid w:val="7148086A"/>
    <w:rsid w:val="71610C71"/>
    <w:rsid w:val="71641ECA"/>
    <w:rsid w:val="71A4397A"/>
    <w:rsid w:val="71A5106C"/>
    <w:rsid w:val="71A87F57"/>
    <w:rsid w:val="723932A5"/>
    <w:rsid w:val="72542C05"/>
    <w:rsid w:val="725B1FB2"/>
    <w:rsid w:val="725B2386"/>
    <w:rsid w:val="728B1D53"/>
    <w:rsid w:val="72907369"/>
    <w:rsid w:val="72BF7C4E"/>
    <w:rsid w:val="72DF6B7C"/>
    <w:rsid w:val="72F07E08"/>
    <w:rsid w:val="72FD155C"/>
    <w:rsid w:val="739E095E"/>
    <w:rsid w:val="73AB1F81"/>
    <w:rsid w:val="73CA68AB"/>
    <w:rsid w:val="73CB44C1"/>
    <w:rsid w:val="73E6120B"/>
    <w:rsid w:val="73EB05CF"/>
    <w:rsid w:val="73F13E37"/>
    <w:rsid w:val="741B0EB4"/>
    <w:rsid w:val="7420296E"/>
    <w:rsid w:val="7459523B"/>
    <w:rsid w:val="74746816"/>
    <w:rsid w:val="747B5DF7"/>
    <w:rsid w:val="74B35591"/>
    <w:rsid w:val="74D15A17"/>
    <w:rsid w:val="75016C0B"/>
    <w:rsid w:val="75044386"/>
    <w:rsid w:val="75071439"/>
    <w:rsid w:val="751678CE"/>
    <w:rsid w:val="7517700E"/>
    <w:rsid w:val="7522622B"/>
    <w:rsid w:val="75271ADB"/>
    <w:rsid w:val="753239A2"/>
    <w:rsid w:val="75480117"/>
    <w:rsid w:val="7557416E"/>
    <w:rsid w:val="756D3991"/>
    <w:rsid w:val="75A40753"/>
    <w:rsid w:val="75E63744"/>
    <w:rsid w:val="76065B94"/>
    <w:rsid w:val="76612DCA"/>
    <w:rsid w:val="76966F18"/>
    <w:rsid w:val="76AF3B36"/>
    <w:rsid w:val="76C27D0D"/>
    <w:rsid w:val="76EC6B38"/>
    <w:rsid w:val="771B741D"/>
    <w:rsid w:val="772207AC"/>
    <w:rsid w:val="772B58B2"/>
    <w:rsid w:val="777668B4"/>
    <w:rsid w:val="77E872FF"/>
    <w:rsid w:val="77FC6F6B"/>
    <w:rsid w:val="787E5EB6"/>
    <w:rsid w:val="788758AB"/>
    <w:rsid w:val="789E20B4"/>
    <w:rsid w:val="78C230D4"/>
    <w:rsid w:val="78DC14F7"/>
    <w:rsid w:val="78DC44DF"/>
    <w:rsid w:val="78E26444"/>
    <w:rsid w:val="78F30652"/>
    <w:rsid w:val="791F1447"/>
    <w:rsid w:val="79224A93"/>
    <w:rsid w:val="795C61F7"/>
    <w:rsid w:val="795D0B6D"/>
    <w:rsid w:val="796C5D0E"/>
    <w:rsid w:val="798412AA"/>
    <w:rsid w:val="798870BE"/>
    <w:rsid w:val="798F7942"/>
    <w:rsid w:val="799A0ACD"/>
    <w:rsid w:val="79B25D48"/>
    <w:rsid w:val="79B87C08"/>
    <w:rsid w:val="79C36487"/>
    <w:rsid w:val="79FA5A10"/>
    <w:rsid w:val="7A09605E"/>
    <w:rsid w:val="7A480529"/>
    <w:rsid w:val="7A676AD2"/>
    <w:rsid w:val="7A765096"/>
    <w:rsid w:val="7ABC0ABE"/>
    <w:rsid w:val="7B0242B2"/>
    <w:rsid w:val="7B095F0A"/>
    <w:rsid w:val="7B4512D9"/>
    <w:rsid w:val="7B9C6593"/>
    <w:rsid w:val="7BC65BA9"/>
    <w:rsid w:val="7BF0290E"/>
    <w:rsid w:val="7C125D37"/>
    <w:rsid w:val="7C1E3C37"/>
    <w:rsid w:val="7C480CB4"/>
    <w:rsid w:val="7C501917"/>
    <w:rsid w:val="7C6364E6"/>
    <w:rsid w:val="7C776EA4"/>
    <w:rsid w:val="7C8F0691"/>
    <w:rsid w:val="7CA103C5"/>
    <w:rsid w:val="7CF60710"/>
    <w:rsid w:val="7D0D7808"/>
    <w:rsid w:val="7D0F17D2"/>
    <w:rsid w:val="7D276244"/>
    <w:rsid w:val="7D536175"/>
    <w:rsid w:val="7D537911"/>
    <w:rsid w:val="7D7004C3"/>
    <w:rsid w:val="7D9B26AB"/>
    <w:rsid w:val="7DBB1012"/>
    <w:rsid w:val="7DD6409E"/>
    <w:rsid w:val="7E9975A5"/>
    <w:rsid w:val="7EB536D1"/>
    <w:rsid w:val="7EBE0DBA"/>
    <w:rsid w:val="7ED14F91"/>
    <w:rsid w:val="7ED72141"/>
    <w:rsid w:val="7EF742CC"/>
    <w:rsid w:val="7F016C0F"/>
    <w:rsid w:val="7F016EF9"/>
    <w:rsid w:val="7F3217A8"/>
    <w:rsid w:val="7F4E6660"/>
    <w:rsid w:val="7F78494A"/>
    <w:rsid w:val="7F866A55"/>
    <w:rsid w:val="7F9D0021"/>
    <w:rsid w:val="7F9F508F"/>
    <w:rsid w:val="7FB14DC3"/>
    <w:rsid w:val="7FDA33F8"/>
    <w:rsid w:val="7FE01204"/>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qFormat="1"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link w:val="42"/>
    <w:autoRedefine/>
    <w:qFormat/>
    <w:uiPriority w:val="9"/>
    <w:pPr>
      <w:spacing w:line="360" w:lineRule="auto"/>
      <w:jc w:val="center"/>
      <w:outlineLvl w:val="0"/>
    </w:pPr>
    <w:rPr>
      <w:rFonts w:eastAsia="隶书"/>
      <w:b/>
      <w:sz w:val="36"/>
      <w:szCs w:val="36"/>
    </w:rPr>
  </w:style>
  <w:style w:type="paragraph" w:styleId="3">
    <w:name w:val="heading 2"/>
    <w:basedOn w:val="1"/>
    <w:next w:val="1"/>
    <w:link w:val="43"/>
    <w:autoRedefine/>
    <w:qFormat/>
    <w:uiPriority w:val="9"/>
    <w:pPr>
      <w:keepNext/>
      <w:keepLines/>
      <w:outlineLvl w:val="1"/>
    </w:pPr>
    <w:rPr>
      <w:rFonts w:ascii="Arial" w:hAnsi="Arial" w:eastAsia="黑体" w:cs="Arial"/>
      <w:b/>
      <w:sz w:val="32"/>
      <w:szCs w:val="32"/>
    </w:rPr>
  </w:style>
  <w:style w:type="paragraph" w:styleId="4">
    <w:name w:val="heading 3"/>
    <w:basedOn w:val="1"/>
    <w:next w:val="1"/>
    <w:link w:val="51"/>
    <w:autoRedefine/>
    <w:qFormat/>
    <w:uiPriority w:val="9"/>
    <w:pPr>
      <w:keepNext/>
      <w:keepLines/>
      <w:tabs>
        <w:tab w:val="left" w:pos="778"/>
      </w:tabs>
      <w:spacing w:beforeLines="50" w:afterLines="50" w:line="360" w:lineRule="auto"/>
      <w:ind w:firstLine="138" w:firstLineChars="49"/>
      <w:outlineLvl w:val="2"/>
    </w:pPr>
    <w:rPr>
      <w:rFonts w:ascii="Arial" w:hAnsi="Arial"/>
      <w:b/>
      <w:kern w:val="0"/>
      <w:sz w:val="28"/>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5">
    <w:name w:val="List Number 2"/>
    <w:basedOn w:val="1"/>
    <w:autoRedefine/>
    <w:semiHidden/>
    <w:unhideWhenUsed/>
    <w:qFormat/>
    <w:uiPriority w:val="99"/>
    <w:pPr>
      <w:numPr>
        <w:ilvl w:val="0"/>
        <w:numId w:val="1"/>
      </w:numPr>
    </w:pPr>
  </w:style>
  <w:style w:type="paragraph" w:styleId="6">
    <w:name w:val="table of authorities"/>
    <w:basedOn w:val="1"/>
    <w:next w:val="1"/>
    <w:autoRedefine/>
    <w:qFormat/>
    <w:uiPriority w:val="0"/>
    <w:pPr>
      <w:ind w:left="420" w:leftChars="200"/>
    </w:pPr>
  </w:style>
  <w:style w:type="paragraph" w:styleId="7">
    <w:name w:val="List Number"/>
    <w:basedOn w:val="1"/>
    <w:autoRedefine/>
    <w:unhideWhenUsed/>
    <w:qFormat/>
    <w:uiPriority w:val="0"/>
    <w:pPr>
      <w:numPr>
        <w:ilvl w:val="0"/>
        <w:numId w:val="2"/>
      </w:numPr>
      <w:contextualSpacing/>
    </w:pPr>
  </w:style>
  <w:style w:type="paragraph" w:styleId="8">
    <w:name w:val="Normal Indent"/>
    <w:basedOn w:val="1"/>
    <w:next w:val="1"/>
    <w:link w:val="70"/>
    <w:autoRedefine/>
    <w:qFormat/>
    <w:uiPriority w:val="0"/>
    <w:pPr>
      <w:ind w:firstLine="420"/>
    </w:pPr>
  </w:style>
  <w:style w:type="paragraph" w:styleId="9">
    <w:name w:val="caption"/>
    <w:basedOn w:val="1"/>
    <w:next w:val="1"/>
    <w:autoRedefine/>
    <w:qFormat/>
    <w:uiPriority w:val="0"/>
    <w:pPr>
      <w:spacing w:before="152" w:after="160"/>
    </w:pPr>
    <w:rPr>
      <w:rFonts w:ascii="Arial" w:hAnsi="Arial" w:eastAsia="黑体" w:cs="Arial"/>
      <w:sz w:val="20"/>
    </w:rPr>
  </w:style>
  <w:style w:type="paragraph" w:styleId="10">
    <w:name w:val="annotation text"/>
    <w:basedOn w:val="1"/>
    <w:link w:val="52"/>
    <w:autoRedefine/>
    <w:qFormat/>
    <w:uiPriority w:val="0"/>
    <w:pPr>
      <w:jc w:val="left"/>
    </w:pPr>
  </w:style>
  <w:style w:type="paragraph" w:styleId="11">
    <w:name w:val="Body Text 3"/>
    <w:basedOn w:val="1"/>
    <w:link w:val="53"/>
    <w:autoRedefine/>
    <w:qFormat/>
    <w:uiPriority w:val="0"/>
    <w:pPr>
      <w:snapToGrid w:val="0"/>
      <w:spacing w:before="50" w:after="50"/>
    </w:pPr>
    <w:rPr>
      <w:rFonts w:hAnsi="宋体" w:eastAsia="仿宋_GB2312"/>
      <w:b/>
      <w:bCs/>
    </w:rPr>
  </w:style>
  <w:style w:type="paragraph" w:styleId="12">
    <w:name w:val="Body Text"/>
    <w:basedOn w:val="1"/>
    <w:next w:val="1"/>
    <w:link w:val="44"/>
    <w:autoRedefine/>
    <w:unhideWhenUsed/>
    <w:qFormat/>
    <w:uiPriority w:val="0"/>
    <w:pPr>
      <w:spacing w:after="120"/>
    </w:pPr>
  </w:style>
  <w:style w:type="paragraph" w:styleId="13">
    <w:name w:val="Body Text Indent"/>
    <w:basedOn w:val="1"/>
    <w:next w:val="1"/>
    <w:link w:val="54"/>
    <w:autoRedefine/>
    <w:qFormat/>
    <w:uiPriority w:val="0"/>
    <w:pPr>
      <w:spacing w:line="200" w:lineRule="exact"/>
      <w:ind w:firstLine="301"/>
    </w:pPr>
    <w:rPr>
      <w:rFonts w:ascii="宋体" w:hAnsi="Courier New"/>
      <w:spacing w:val="-4"/>
      <w:sz w:val="18"/>
    </w:rPr>
  </w:style>
  <w:style w:type="paragraph" w:styleId="14">
    <w:name w:val="List Number 3"/>
    <w:basedOn w:val="1"/>
    <w:autoRedefine/>
    <w:semiHidden/>
    <w:unhideWhenUsed/>
    <w:qFormat/>
    <w:uiPriority w:val="99"/>
    <w:pPr>
      <w:numPr>
        <w:ilvl w:val="0"/>
        <w:numId w:val="3"/>
      </w:numPr>
    </w:pPr>
  </w:style>
  <w:style w:type="paragraph" w:styleId="15">
    <w:name w:val="Plain Text"/>
    <w:basedOn w:val="1"/>
    <w:next w:val="1"/>
    <w:link w:val="55"/>
    <w:autoRedefine/>
    <w:qFormat/>
    <w:uiPriority w:val="0"/>
    <w:rPr>
      <w:rFonts w:ascii="宋体" w:hAnsi="Courier New"/>
      <w:sz w:val="21"/>
    </w:rPr>
  </w:style>
  <w:style w:type="paragraph" w:styleId="16">
    <w:name w:val="Date"/>
    <w:next w:val="1"/>
    <w:link w:val="56"/>
    <w:autoRedefine/>
    <w:qFormat/>
    <w:uiPriority w:val="99"/>
    <w:pPr>
      <w:jc w:val="both"/>
    </w:pPr>
    <w:rPr>
      <w:rFonts w:ascii="楷体_GB2312" w:hAnsi="Times New Roman" w:eastAsia="楷体_GB2312" w:cs="Times New Roman"/>
      <w:sz w:val="32"/>
      <w:lang w:val="en-US" w:eastAsia="zh-CN" w:bidi="ar-SA"/>
    </w:rPr>
  </w:style>
  <w:style w:type="paragraph" w:styleId="17">
    <w:name w:val="Balloon Text"/>
    <w:basedOn w:val="1"/>
    <w:link w:val="57"/>
    <w:autoRedefine/>
    <w:qFormat/>
    <w:uiPriority w:val="0"/>
    <w:rPr>
      <w:sz w:val="18"/>
      <w:szCs w:val="18"/>
    </w:rPr>
  </w:style>
  <w:style w:type="paragraph" w:styleId="18">
    <w:name w:val="footer"/>
    <w:basedOn w:val="1"/>
    <w:link w:val="58"/>
    <w:autoRedefine/>
    <w:qFormat/>
    <w:uiPriority w:val="99"/>
    <w:pPr>
      <w:tabs>
        <w:tab w:val="center" w:pos="4153"/>
        <w:tab w:val="right" w:pos="8306"/>
      </w:tabs>
      <w:snapToGrid w:val="0"/>
      <w:jc w:val="left"/>
    </w:pPr>
    <w:rPr>
      <w:rFonts w:eastAsia="黑体"/>
      <w:snapToGrid w:val="0"/>
      <w:sz w:val="18"/>
      <w:szCs w:val="18"/>
    </w:rPr>
  </w:style>
  <w:style w:type="paragraph" w:styleId="19">
    <w:name w:val="header"/>
    <w:basedOn w:val="1"/>
    <w:link w:val="59"/>
    <w:autoRedefine/>
    <w:qFormat/>
    <w:uiPriority w:val="99"/>
    <w:pPr>
      <w:pBdr>
        <w:bottom w:val="single" w:color="auto" w:sz="6" w:space="1"/>
      </w:pBdr>
      <w:tabs>
        <w:tab w:val="center" w:pos="4153"/>
        <w:tab w:val="right" w:pos="8306"/>
      </w:tabs>
      <w:snapToGrid w:val="0"/>
      <w:jc w:val="center"/>
    </w:pPr>
    <w:rPr>
      <w:rFonts w:eastAsia="仿宋_GB2312"/>
      <w:sz w:val="18"/>
      <w:szCs w:val="24"/>
    </w:rPr>
  </w:style>
  <w:style w:type="paragraph" w:styleId="20">
    <w:name w:val="toc 1"/>
    <w:next w:val="1"/>
    <w:autoRedefine/>
    <w:qFormat/>
    <w:uiPriority w:val="39"/>
    <w:pPr>
      <w:widowControl w:val="0"/>
    </w:pPr>
    <w:rPr>
      <w:rFonts w:ascii="Times New Roman" w:hAnsi="Times New Roman" w:eastAsia="宋体" w:cs="Times New Roman"/>
      <w:b/>
      <w:caps/>
      <w:kern w:val="2"/>
      <w:lang w:val="en-US" w:eastAsia="zh-CN" w:bidi="ar-SA"/>
    </w:rPr>
  </w:style>
  <w:style w:type="paragraph" w:styleId="21">
    <w:name w:val="List"/>
    <w:basedOn w:val="1"/>
    <w:autoRedefine/>
    <w:qFormat/>
    <w:uiPriority w:val="0"/>
    <w:pPr>
      <w:ind w:left="200" w:hanging="200" w:hangingChars="200"/>
    </w:pPr>
    <w:rPr>
      <w:sz w:val="28"/>
    </w:rPr>
  </w:style>
  <w:style w:type="paragraph" w:styleId="22">
    <w:name w:val="toc 6"/>
    <w:basedOn w:val="1"/>
    <w:next w:val="1"/>
    <w:autoRedefine/>
    <w:qFormat/>
    <w:uiPriority w:val="0"/>
    <w:pPr>
      <w:ind w:left="2100" w:leftChars="1000"/>
    </w:pPr>
  </w:style>
  <w:style w:type="paragraph" w:styleId="23">
    <w:name w:val="Body Text 2"/>
    <w:basedOn w:val="1"/>
    <w:autoRedefine/>
    <w:qFormat/>
    <w:uiPriority w:val="0"/>
    <w:pPr>
      <w:spacing w:after="120" w:line="480" w:lineRule="auto"/>
    </w:pPr>
    <w:rPr>
      <w:rFonts w:ascii="Calibri" w:hAnsi="Calibri"/>
      <w:szCs w:val="22"/>
    </w:rPr>
  </w:style>
  <w:style w:type="paragraph" w:styleId="24">
    <w:name w:val="Normal (Web)"/>
    <w:basedOn w:val="1"/>
    <w:link w:val="73"/>
    <w:autoRedefine/>
    <w:qFormat/>
    <w:uiPriority w:val="0"/>
    <w:rPr>
      <w:szCs w:val="24"/>
    </w:rPr>
  </w:style>
  <w:style w:type="paragraph" w:styleId="25">
    <w:name w:val="Title"/>
    <w:basedOn w:val="1"/>
    <w:next w:val="1"/>
    <w:link w:val="60"/>
    <w:autoRedefine/>
    <w:qFormat/>
    <w:uiPriority w:val="0"/>
    <w:pPr>
      <w:spacing w:before="240" w:after="60"/>
      <w:jc w:val="center"/>
      <w:outlineLvl w:val="0"/>
    </w:pPr>
    <w:rPr>
      <w:rFonts w:ascii="Cambria" w:hAnsi="Cambria"/>
      <w:b/>
      <w:bCs/>
      <w:kern w:val="28"/>
      <w:sz w:val="32"/>
      <w:szCs w:val="32"/>
    </w:rPr>
  </w:style>
  <w:style w:type="paragraph" w:styleId="26">
    <w:name w:val="annotation subject"/>
    <w:basedOn w:val="10"/>
    <w:next w:val="10"/>
    <w:link w:val="61"/>
    <w:autoRedefine/>
    <w:qFormat/>
    <w:uiPriority w:val="0"/>
    <w:rPr>
      <w:b/>
      <w:bCs/>
    </w:rPr>
  </w:style>
  <w:style w:type="paragraph" w:styleId="27">
    <w:name w:val="Body Text First Indent"/>
    <w:basedOn w:val="12"/>
    <w:next w:val="1"/>
    <w:link w:val="45"/>
    <w:autoRedefine/>
    <w:unhideWhenUsed/>
    <w:qFormat/>
    <w:uiPriority w:val="0"/>
    <w:pPr>
      <w:ind w:firstLine="420" w:firstLineChars="100"/>
    </w:pPr>
  </w:style>
  <w:style w:type="paragraph" w:styleId="28">
    <w:name w:val="Body Text First Indent 2"/>
    <w:basedOn w:val="13"/>
    <w:next w:val="29"/>
    <w:link w:val="62"/>
    <w:autoRedefine/>
    <w:unhideWhenUsed/>
    <w:qFormat/>
    <w:uiPriority w:val="99"/>
    <w:pPr>
      <w:spacing w:after="120"/>
      <w:ind w:left="420" w:leftChars="200" w:firstLine="420"/>
    </w:pPr>
    <w:rPr>
      <w:rFonts w:cs="宋体"/>
      <w:sz w:val="21"/>
      <w:szCs w:val="21"/>
    </w:rPr>
  </w:style>
  <w:style w:type="paragraph" w:customStyle="1" w:styleId="29">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31">
    <w:name w:val="Table Grid"/>
    <w:basedOn w:val="30"/>
    <w:autoRedefine/>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22"/>
    <w:rPr>
      <w:b/>
      <w:bCs/>
    </w:rPr>
  </w:style>
  <w:style w:type="character" w:styleId="34">
    <w:name w:val="page number"/>
    <w:basedOn w:val="32"/>
    <w:autoRedefine/>
    <w:qFormat/>
    <w:uiPriority w:val="0"/>
  </w:style>
  <w:style w:type="character" w:styleId="35">
    <w:name w:val="Hyperlink"/>
    <w:autoRedefine/>
    <w:qFormat/>
    <w:uiPriority w:val="99"/>
    <w:rPr>
      <w:color w:val="0000FF"/>
      <w:u w:val="single"/>
    </w:rPr>
  </w:style>
  <w:style w:type="character" w:styleId="36">
    <w:name w:val="annotation reference"/>
    <w:autoRedefine/>
    <w:qFormat/>
    <w:uiPriority w:val="0"/>
    <w:rPr>
      <w:sz w:val="21"/>
      <w:szCs w:val="21"/>
    </w:rPr>
  </w:style>
  <w:style w:type="paragraph" w:customStyle="1" w:styleId="37">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38">
    <w:name w:val="Default"/>
    <w:next w:val="39"/>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9">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40">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rPr>
  </w:style>
  <w:style w:type="paragraph" w:customStyle="1" w:styleId="41">
    <w:name w:val="Heading1"/>
    <w:basedOn w:val="1"/>
    <w:next w:val="1"/>
    <w:autoRedefine/>
    <w:qFormat/>
    <w:uiPriority w:val="0"/>
    <w:pPr>
      <w:keepNext/>
      <w:keepLines/>
      <w:spacing w:before="340" w:after="330" w:line="578" w:lineRule="auto"/>
      <w:ind w:left="425" w:hanging="425"/>
    </w:pPr>
    <w:rPr>
      <w:rFonts w:eastAsia="仿宋_GB2312"/>
      <w:b/>
      <w:kern w:val="44"/>
      <w:sz w:val="44"/>
    </w:rPr>
  </w:style>
  <w:style w:type="character" w:customStyle="1" w:styleId="42">
    <w:name w:val="标题 1 字符"/>
    <w:basedOn w:val="32"/>
    <w:link w:val="2"/>
    <w:autoRedefine/>
    <w:qFormat/>
    <w:uiPriority w:val="9"/>
    <w:rPr>
      <w:rFonts w:eastAsia="隶书"/>
      <w:b/>
      <w:kern w:val="2"/>
      <w:sz w:val="36"/>
      <w:szCs w:val="36"/>
    </w:rPr>
  </w:style>
  <w:style w:type="character" w:customStyle="1" w:styleId="43">
    <w:name w:val="标题 2 字符"/>
    <w:basedOn w:val="32"/>
    <w:link w:val="3"/>
    <w:autoRedefine/>
    <w:qFormat/>
    <w:uiPriority w:val="0"/>
    <w:rPr>
      <w:rFonts w:ascii="Arial" w:hAnsi="Arial" w:eastAsia="黑体" w:cs="Arial"/>
      <w:b/>
      <w:kern w:val="2"/>
      <w:sz w:val="32"/>
      <w:szCs w:val="32"/>
    </w:rPr>
  </w:style>
  <w:style w:type="character" w:customStyle="1" w:styleId="44">
    <w:name w:val="正文文本 字符"/>
    <w:basedOn w:val="32"/>
    <w:link w:val="12"/>
    <w:autoRedefine/>
    <w:qFormat/>
    <w:uiPriority w:val="0"/>
    <w:rPr>
      <w:kern w:val="2"/>
      <w:sz w:val="21"/>
      <w:szCs w:val="24"/>
    </w:rPr>
  </w:style>
  <w:style w:type="character" w:customStyle="1" w:styleId="45">
    <w:name w:val="正文文本首行缩进 字符"/>
    <w:basedOn w:val="44"/>
    <w:link w:val="27"/>
    <w:autoRedefine/>
    <w:semiHidden/>
    <w:qFormat/>
    <w:uiPriority w:val="99"/>
    <w:rPr>
      <w:kern w:val="2"/>
      <w:sz w:val="21"/>
      <w:szCs w:val="24"/>
    </w:rPr>
  </w:style>
  <w:style w:type="paragraph" w:customStyle="1" w:styleId="46">
    <w:name w:val="纯文本1"/>
    <w:basedOn w:val="1"/>
    <w:autoRedefine/>
    <w:qFormat/>
    <w:uiPriority w:val="0"/>
    <w:pPr>
      <w:widowControl/>
      <w:jc w:val="left"/>
    </w:pPr>
    <w:rPr>
      <w:rFonts w:ascii="宋体" w:hAnsi="Courier New"/>
      <w:color w:val="000000"/>
      <w:kern w:val="1"/>
    </w:rPr>
  </w:style>
  <w:style w:type="paragraph" w:customStyle="1" w:styleId="47">
    <w:name w:val="正文1"/>
    <w:basedOn w:val="1"/>
    <w:autoRedefine/>
    <w:qFormat/>
    <w:uiPriority w:val="0"/>
    <w:rPr>
      <w:color w:val="000000"/>
      <w:kern w:val="1"/>
    </w:rPr>
  </w:style>
  <w:style w:type="paragraph" w:customStyle="1" w:styleId="48">
    <w:name w:val="+正文"/>
    <w:basedOn w:val="1"/>
    <w:autoRedefine/>
    <w:qFormat/>
    <w:uiPriority w:val="0"/>
    <w:pPr>
      <w:spacing w:line="360" w:lineRule="auto"/>
      <w:ind w:firstLine="200"/>
    </w:pPr>
    <w:rPr>
      <w:kern w:val="1"/>
    </w:rPr>
  </w:style>
  <w:style w:type="paragraph" w:customStyle="1" w:styleId="49">
    <w:name w:val="样式 列表编号 + 段后: 0.5 行"/>
    <w:basedOn w:val="7"/>
    <w:autoRedefine/>
    <w:qFormat/>
    <w:uiPriority w:val="0"/>
    <w:pPr>
      <w:numPr>
        <w:ilvl w:val="0"/>
        <w:numId w:val="0"/>
      </w:numPr>
      <w:tabs>
        <w:tab w:val="left" w:pos="720"/>
      </w:tabs>
      <w:ind w:left="720" w:hanging="360"/>
      <w:contextualSpacing w:val="0"/>
    </w:pPr>
  </w:style>
  <w:style w:type="paragraph" w:customStyle="1" w:styleId="50">
    <w:name w:val="正文 + 宋体"/>
    <w:basedOn w:val="1"/>
    <w:autoRedefine/>
    <w:qFormat/>
    <w:uiPriority w:val="0"/>
    <w:pPr>
      <w:spacing w:before="31" w:line="400" w:lineRule="atLeast"/>
      <w:ind w:firstLine="420"/>
    </w:pPr>
    <w:rPr>
      <w:rFonts w:ascii="宋体" w:hAnsi="宋体" w:cs="宋体"/>
      <w:kern w:val="1"/>
    </w:rPr>
  </w:style>
  <w:style w:type="character" w:customStyle="1" w:styleId="51">
    <w:name w:val="标题 3 字符"/>
    <w:basedOn w:val="32"/>
    <w:link w:val="4"/>
    <w:autoRedefine/>
    <w:qFormat/>
    <w:uiPriority w:val="0"/>
    <w:rPr>
      <w:rFonts w:ascii="Arial" w:hAnsi="Arial" w:eastAsia="宋体"/>
      <w:b/>
      <w:sz w:val="28"/>
    </w:rPr>
  </w:style>
  <w:style w:type="character" w:customStyle="1" w:styleId="52">
    <w:name w:val="批注文字 字符"/>
    <w:basedOn w:val="32"/>
    <w:link w:val="10"/>
    <w:autoRedefine/>
    <w:qFormat/>
    <w:uiPriority w:val="0"/>
    <w:rPr>
      <w:rFonts w:ascii="Times New Roman" w:hAnsi="Times New Roman" w:eastAsia="宋体"/>
      <w:kern w:val="2"/>
      <w:sz w:val="24"/>
    </w:rPr>
  </w:style>
  <w:style w:type="character" w:customStyle="1" w:styleId="53">
    <w:name w:val="正文文本 3 字符"/>
    <w:basedOn w:val="32"/>
    <w:link w:val="11"/>
    <w:autoRedefine/>
    <w:qFormat/>
    <w:uiPriority w:val="0"/>
    <w:rPr>
      <w:rFonts w:ascii="Times New Roman" w:hAnsi="宋体" w:eastAsia="仿宋_GB2312"/>
      <w:b/>
      <w:bCs/>
      <w:kern w:val="2"/>
      <w:sz w:val="24"/>
    </w:rPr>
  </w:style>
  <w:style w:type="character" w:customStyle="1" w:styleId="54">
    <w:name w:val="正文文本缩进 字符"/>
    <w:basedOn w:val="32"/>
    <w:link w:val="13"/>
    <w:autoRedefine/>
    <w:qFormat/>
    <w:uiPriority w:val="0"/>
    <w:rPr>
      <w:rFonts w:ascii="宋体" w:hAnsi="Courier New" w:eastAsia="宋体"/>
      <w:spacing w:val="-4"/>
      <w:kern w:val="2"/>
      <w:sz w:val="18"/>
    </w:rPr>
  </w:style>
  <w:style w:type="character" w:customStyle="1" w:styleId="55">
    <w:name w:val="纯文本 字符"/>
    <w:basedOn w:val="32"/>
    <w:link w:val="15"/>
    <w:autoRedefine/>
    <w:qFormat/>
    <w:uiPriority w:val="0"/>
    <w:rPr>
      <w:rFonts w:ascii="宋体" w:hAnsi="Courier New" w:eastAsia="宋体"/>
      <w:kern w:val="2"/>
      <w:sz w:val="21"/>
    </w:rPr>
  </w:style>
  <w:style w:type="character" w:customStyle="1" w:styleId="56">
    <w:name w:val="日期 字符"/>
    <w:basedOn w:val="32"/>
    <w:link w:val="16"/>
    <w:autoRedefine/>
    <w:qFormat/>
    <w:uiPriority w:val="99"/>
    <w:rPr>
      <w:rFonts w:ascii="楷体_GB2312" w:hAnsi="Times New Roman" w:eastAsia="楷体_GB2312"/>
      <w:sz w:val="32"/>
    </w:rPr>
  </w:style>
  <w:style w:type="character" w:customStyle="1" w:styleId="57">
    <w:name w:val="批注框文本 字符"/>
    <w:basedOn w:val="32"/>
    <w:link w:val="17"/>
    <w:autoRedefine/>
    <w:qFormat/>
    <w:uiPriority w:val="0"/>
    <w:rPr>
      <w:rFonts w:ascii="Times New Roman" w:hAnsi="Times New Roman" w:eastAsia="宋体"/>
      <w:kern w:val="2"/>
      <w:sz w:val="18"/>
      <w:szCs w:val="18"/>
    </w:rPr>
  </w:style>
  <w:style w:type="character" w:customStyle="1" w:styleId="58">
    <w:name w:val="页脚 字符"/>
    <w:basedOn w:val="32"/>
    <w:link w:val="18"/>
    <w:autoRedefine/>
    <w:qFormat/>
    <w:uiPriority w:val="99"/>
    <w:rPr>
      <w:rFonts w:ascii="Times New Roman" w:hAnsi="Times New Roman" w:eastAsia="黑体"/>
      <w:snapToGrid w:val="0"/>
      <w:kern w:val="2"/>
      <w:sz w:val="18"/>
      <w:szCs w:val="18"/>
    </w:rPr>
  </w:style>
  <w:style w:type="character" w:customStyle="1" w:styleId="59">
    <w:name w:val="页眉 字符"/>
    <w:basedOn w:val="32"/>
    <w:link w:val="19"/>
    <w:autoRedefine/>
    <w:qFormat/>
    <w:uiPriority w:val="99"/>
    <w:rPr>
      <w:rFonts w:ascii="Times New Roman" w:hAnsi="Times New Roman" w:eastAsia="仿宋_GB2312"/>
      <w:kern w:val="2"/>
      <w:sz w:val="18"/>
      <w:szCs w:val="24"/>
    </w:rPr>
  </w:style>
  <w:style w:type="character" w:customStyle="1" w:styleId="60">
    <w:name w:val="标题 字符"/>
    <w:basedOn w:val="32"/>
    <w:link w:val="25"/>
    <w:autoRedefine/>
    <w:qFormat/>
    <w:uiPriority w:val="0"/>
    <w:rPr>
      <w:rFonts w:ascii="Cambria" w:hAnsi="Cambria" w:eastAsia="宋体"/>
      <w:b/>
      <w:bCs/>
      <w:kern w:val="28"/>
      <w:sz w:val="32"/>
      <w:szCs w:val="32"/>
    </w:rPr>
  </w:style>
  <w:style w:type="character" w:customStyle="1" w:styleId="61">
    <w:name w:val="批注主题 字符"/>
    <w:basedOn w:val="52"/>
    <w:link w:val="26"/>
    <w:autoRedefine/>
    <w:qFormat/>
    <w:uiPriority w:val="0"/>
    <w:rPr>
      <w:rFonts w:ascii="Times New Roman" w:hAnsi="Times New Roman" w:eastAsia="宋体"/>
      <w:b/>
      <w:bCs/>
      <w:kern w:val="2"/>
      <w:sz w:val="24"/>
    </w:rPr>
  </w:style>
  <w:style w:type="character" w:customStyle="1" w:styleId="62">
    <w:name w:val="正文文本首行缩进 2 字符"/>
    <w:basedOn w:val="54"/>
    <w:link w:val="28"/>
    <w:autoRedefine/>
    <w:qFormat/>
    <w:uiPriority w:val="99"/>
    <w:rPr>
      <w:rFonts w:ascii="宋体" w:hAnsi="Courier New" w:eastAsia="宋体" w:cs="宋体"/>
      <w:spacing w:val="-4"/>
      <w:kern w:val="2"/>
      <w:sz w:val="21"/>
      <w:szCs w:val="21"/>
    </w:rPr>
  </w:style>
  <w:style w:type="paragraph" w:customStyle="1" w:styleId="63">
    <w:name w:val="GP正文(无首行缩进)"/>
    <w:autoRedefine/>
    <w:qFormat/>
    <w:uiPriority w:val="99"/>
    <w:pPr>
      <w:widowControl w:val="0"/>
      <w:spacing w:line="360" w:lineRule="auto"/>
    </w:pPr>
    <w:rPr>
      <w:rFonts w:ascii="Times New Roman" w:hAnsi="Times New Roman" w:eastAsia="宋体" w:cs="Times New Roman"/>
      <w:color w:val="000000"/>
      <w:kern w:val="1"/>
      <w:sz w:val="24"/>
      <w:szCs w:val="21"/>
      <w:lang w:val="en-US" w:eastAsia="zh-CN" w:bidi="ar-SA"/>
    </w:rPr>
  </w:style>
  <w:style w:type="paragraph" w:customStyle="1" w:styleId="64">
    <w:name w:val="表格文字"/>
    <w:basedOn w:val="15"/>
    <w:next w:val="12"/>
    <w:autoRedefine/>
    <w:qFormat/>
    <w:uiPriority w:val="0"/>
    <w:pPr>
      <w:jc w:val="left"/>
    </w:pPr>
    <w:rPr>
      <w:sz w:val="24"/>
    </w:rPr>
  </w:style>
  <w:style w:type="paragraph" w:customStyle="1" w:styleId="65">
    <w:name w:val="样式 宋体"/>
    <w:basedOn w:val="1"/>
    <w:next w:val="1"/>
    <w:autoRedefine/>
    <w:qFormat/>
    <w:uiPriority w:val="0"/>
    <w:pPr>
      <w:widowControl/>
    </w:pPr>
    <w:rPr>
      <w:rFonts w:ascii="宋体"/>
      <w:color w:val="000000"/>
    </w:rPr>
  </w:style>
  <w:style w:type="paragraph" w:customStyle="1" w:styleId="66">
    <w:name w:val="reader-word-layer reader-word-s1-8"/>
    <w:basedOn w:val="1"/>
    <w:autoRedefine/>
    <w:qFormat/>
    <w:uiPriority w:val="0"/>
    <w:pPr>
      <w:widowControl/>
      <w:spacing w:before="100" w:beforeAutospacing="1" w:after="100" w:afterAutospacing="1"/>
      <w:jc w:val="left"/>
    </w:pPr>
    <w:rPr>
      <w:rFonts w:ascii="宋体" w:hAnsi="宋体" w:cs="宋体"/>
      <w:kern w:val="0"/>
    </w:rPr>
  </w:style>
  <w:style w:type="character" w:customStyle="1" w:styleId="67">
    <w:name w:val="NormalCharacter"/>
    <w:autoRedefine/>
    <w:qFormat/>
    <w:uiPriority w:val="0"/>
  </w:style>
  <w:style w:type="paragraph" w:customStyle="1" w:styleId="68">
    <w:name w:val="UserStyle_89"/>
    <w:basedOn w:val="1"/>
    <w:autoRedefine/>
    <w:qFormat/>
    <w:uiPriority w:val="0"/>
    <w:pPr>
      <w:ind w:firstLine="420"/>
      <w:jc w:val="left"/>
    </w:pPr>
    <w:rPr>
      <w:kern w:val="0"/>
    </w:rPr>
  </w:style>
  <w:style w:type="paragraph" w:customStyle="1" w:styleId="69">
    <w:name w:val="HtmlNormal"/>
    <w:basedOn w:val="1"/>
    <w:autoRedefine/>
    <w:qFormat/>
    <w:uiPriority w:val="0"/>
    <w:pPr>
      <w:spacing w:before="100" w:beforeAutospacing="1" w:after="100" w:afterAutospacing="1"/>
      <w:jc w:val="left"/>
    </w:pPr>
    <w:rPr>
      <w:rFonts w:ascii="Arial Unicode MS" w:hAnsi="Arial Unicode MS" w:eastAsia="Arial Unicode MS"/>
      <w:color w:val="000000"/>
      <w:kern w:val="0"/>
      <w:sz w:val="19"/>
      <w:szCs w:val="19"/>
    </w:rPr>
  </w:style>
  <w:style w:type="character" w:customStyle="1" w:styleId="70">
    <w:name w:val="正文缩进 字符"/>
    <w:link w:val="8"/>
    <w:autoRedefine/>
    <w:qFormat/>
    <w:uiPriority w:val="0"/>
    <w:rPr>
      <w:rFonts w:ascii="Times New Roman" w:hAnsi="Times New Roman" w:eastAsia="宋体"/>
      <w:kern w:val="2"/>
      <w:sz w:val="24"/>
    </w:rPr>
  </w:style>
  <w:style w:type="character" w:customStyle="1" w:styleId="71">
    <w:name w:val="point_normal1"/>
    <w:autoRedefine/>
    <w:qFormat/>
    <w:uiPriority w:val="0"/>
    <w:rPr>
      <w:rFonts w:hint="default" w:ascii="Arial" w:hAnsi="Arial"/>
      <w:sz w:val="22"/>
    </w:rPr>
  </w:style>
  <w:style w:type="paragraph" w:customStyle="1" w:styleId="72">
    <w:name w:val="p0"/>
    <w:basedOn w:val="1"/>
    <w:autoRedefine/>
    <w:qFormat/>
    <w:uiPriority w:val="99"/>
    <w:pPr>
      <w:widowControl/>
      <w:spacing w:before="100" w:beforeAutospacing="1" w:after="100" w:afterAutospacing="1"/>
      <w:jc w:val="left"/>
    </w:pPr>
    <w:rPr>
      <w:rFonts w:ascii="宋体" w:hAnsi="宋体"/>
      <w:kern w:val="0"/>
    </w:rPr>
  </w:style>
  <w:style w:type="character" w:customStyle="1" w:styleId="73">
    <w:name w:val="普通(网站) 字符"/>
    <w:link w:val="24"/>
    <w:autoRedefine/>
    <w:qFormat/>
    <w:uiPriority w:val="0"/>
    <w:rPr>
      <w:rFonts w:ascii="Times New Roman" w:hAnsi="Times New Roman" w:eastAsia="宋体"/>
      <w:kern w:val="2"/>
      <w:sz w:val="24"/>
      <w:szCs w:val="24"/>
    </w:rPr>
  </w:style>
  <w:style w:type="character" w:customStyle="1" w:styleId="74">
    <w:name w:val="bookmark-item"/>
    <w:basedOn w:val="32"/>
    <w:autoRedefine/>
    <w:qFormat/>
    <w:uiPriority w:val="0"/>
  </w:style>
  <w:style w:type="paragraph" w:customStyle="1" w:styleId="75">
    <w:name w:val="列出段落1"/>
    <w:basedOn w:val="1"/>
    <w:autoRedefine/>
    <w:unhideWhenUsed/>
    <w:qFormat/>
    <w:uiPriority w:val="34"/>
    <w:pPr>
      <w:ind w:firstLine="420" w:firstLineChars="200"/>
    </w:pPr>
  </w:style>
  <w:style w:type="paragraph" w:customStyle="1" w:styleId="76">
    <w:name w:val="!表格正文"/>
    <w:basedOn w:val="1"/>
    <w:autoRedefine/>
    <w:qFormat/>
    <w:uiPriority w:val="0"/>
    <w:rPr>
      <w:rFonts w:cs="Calibri"/>
      <w:kern w:val="0"/>
      <w:szCs w:val="21"/>
    </w:rPr>
  </w:style>
  <w:style w:type="paragraph" w:customStyle="1" w:styleId="77">
    <w:name w:val="列出段落11"/>
    <w:basedOn w:val="1"/>
    <w:autoRedefine/>
    <w:qFormat/>
    <w:uiPriority w:val="0"/>
    <w:pPr>
      <w:ind w:firstLine="420"/>
    </w:pPr>
    <w:rPr>
      <w:rFonts w:ascii="Calibri" w:hAnsi="Calibri"/>
      <w:sz w:val="21"/>
    </w:rPr>
  </w:style>
  <w:style w:type="paragraph" w:customStyle="1" w:styleId="78">
    <w:name w:val="_正文段落"/>
    <w:basedOn w:val="1"/>
    <w:autoRedefine/>
    <w:qFormat/>
    <w:uiPriority w:val="99"/>
    <w:pPr>
      <w:spacing w:beforeLines="15" w:afterLines="30"/>
    </w:pPr>
    <w:rPr>
      <w:rFonts w:ascii="Calibri" w:hAnsi="Calibri"/>
      <w:szCs w:val="24"/>
    </w:rPr>
  </w:style>
  <w:style w:type="paragraph" w:customStyle="1" w:styleId="79">
    <w:name w:val="正文段"/>
    <w:basedOn w:val="1"/>
    <w:autoRedefine/>
    <w:qFormat/>
    <w:uiPriority w:val="0"/>
    <w:pPr>
      <w:widowControl/>
      <w:snapToGrid w:val="0"/>
      <w:spacing w:afterLines="50"/>
      <w:ind w:firstLine="200" w:firstLineChars="200"/>
    </w:pPr>
    <w:rPr>
      <w:kern w:val="0"/>
    </w:rPr>
  </w:style>
  <w:style w:type="paragraph" w:customStyle="1" w:styleId="80">
    <w:name w:val="CM4"/>
    <w:basedOn w:val="38"/>
    <w:next w:val="38"/>
    <w:autoRedefine/>
    <w:unhideWhenUsed/>
    <w:qFormat/>
    <w:uiPriority w:val="0"/>
    <w:pPr>
      <w:adjustRightInd/>
      <w:spacing w:line="411" w:lineRule="atLeast"/>
    </w:pPr>
    <w:rPr>
      <w:rFonts w:cs="Times New Roman"/>
      <w:szCs w:val="20"/>
    </w:rPr>
  </w:style>
  <w:style w:type="paragraph" w:customStyle="1" w:styleId="81">
    <w:name w:val="CM5"/>
    <w:basedOn w:val="38"/>
    <w:next w:val="38"/>
    <w:autoRedefine/>
    <w:unhideWhenUsed/>
    <w:qFormat/>
    <w:uiPriority w:val="0"/>
    <w:pPr>
      <w:adjustRightInd/>
      <w:spacing w:line="408" w:lineRule="atLeast"/>
    </w:pPr>
    <w:rPr>
      <w:rFonts w:cs="Times New Roman"/>
      <w:szCs w:val="20"/>
    </w:rPr>
  </w:style>
  <w:style w:type="paragraph" w:customStyle="1" w:styleId="82">
    <w:name w:val="样式5"/>
    <w:basedOn w:val="1"/>
    <w:autoRedefine/>
    <w:qFormat/>
    <w:uiPriority w:val="99"/>
    <w:pPr>
      <w:spacing w:line="360" w:lineRule="auto"/>
      <w:ind w:firstLine="200" w:firstLineChars="200"/>
      <w:jc w:val="left"/>
    </w:pPr>
  </w:style>
  <w:style w:type="character" w:customStyle="1" w:styleId="83">
    <w:name w:val="纯文本 Char3"/>
    <w:autoRedefine/>
    <w:qFormat/>
    <w:uiPriority w:val="0"/>
    <w:rPr>
      <w:rFonts w:ascii="??" w:hAnsi="??" w:eastAsia="??" w:cs="宋体"/>
      <w:kern w:val="2"/>
      <w:sz w:val="21"/>
      <w:szCs w:val="21"/>
    </w:rPr>
  </w:style>
  <w:style w:type="paragraph" w:customStyle="1" w:styleId="84">
    <w:name w:val="1册标题1"/>
    <w:basedOn w:val="1"/>
    <w:next w:val="1"/>
    <w:autoRedefine/>
    <w:qFormat/>
    <w:uiPriority w:val="0"/>
    <w:pPr>
      <w:spacing w:beforeLines="50" w:afterLines="50" w:line="300" w:lineRule="auto"/>
      <w:jc w:val="center"/>
      <w:outlineLvl w:val="0"/>
    </w:pPr>
    <w:rPr>
      <w:rFonts w:ascii="Arial" w:hAnsi="Arial" w:eastAsia="黑体"/>
      <w:b/>
      <w:bCs/>
      <w:sz w:val="48"/>
    </w:rPr>
  </w:style>
  <w:style w:type="paragraph" w:customStyle="1" w:styleId="85">
    <w:name w:val="无间隔2"/>
    <w:autoRedefine/>
    <w:qFormat/>
    <w:uiPriority w:val="99"/>
    <w:rPr>
      <w:rFonts w:ascii="Times New Roman" w:hAnsi="Times New Roman" w:eastAsia="Times New Roman" w:cs="Times New Roman"/>
      <w:kern w:val="2"/>
      <w:sz w:val="22"/>
      <w:szCs w:val="22"/>
      <w:lang w:val="en-US" w:eastAsia="zh-CN" w:bidi="ar-SA"/>
    </w:rPr>
  </w:style>
  <w:style w:type="paragraph" w:styleId="86">
    <w:name w:val="List Paragraph"/>
    <w:basedOn w:val="1"/>
    <w:autoRedefine/>
    <w:unhideWhenUsed/>
    <w:qFormat/>
    <w:uiPriority w:val="0"/>
    <w:pPr>
      <w:ind w:firstLine="420" w:firstLineChars="200"/>
    </w:pPr>
  </w:style>
  <w:style w:type="paragraph" w:customStyle="1" w:styleId="87">
    <w:name w:val="列表段落1"/>
    <w:basedOn w:val="1"/>
    <w:autoRedefine/>
    <w:qFormat/>
    <w:uiPriority w:val="99"/>
    <w:pPr>
      <w:spacing w:line="360" w:lineRule="auto"/>
      <w:ind w:firstLine="420" w:firstLineChars="200"/>
    </w:pPr>
    <w:rPr>
      <w:sz w:val="21"/>
    </w:rPr>
  </w:style>
  <w:style w:type="paragraph" w:customStyle="1" w:styleId="88">
    <w:name w:val="段落正文"/>
    <w:basedOn w:val="10"/>
    <w:link w:val="89"/>
    <w:autoRedefine/>
    <w:qFormat/>
    <w:uiPriority w:val="0"/>
    <w:pPr>
      <w:adjustRightInd w:val="0"/>
      <w:snapToGrid w:val="0"/>
      <w:spacing w:line="360" w:lineRule="auto"/>
      <w:ind w:firstLine="420" w:firstLineChars="200"/>
      <w:jc w:val="both"/>
    </w:pPr>
    <w:rPr>
      <w:sz w:val="21"/>
      <w:szCs w:val="21"/>
    </w:rPr>
  </w:style>
  <w:style w:type="character" w:customStyle="1" w:styleId="89">
    <w:name w:val="段落正文 字符"/>
    <w:basedOn w:val="52"/>
    <w:link w:val="88"/>
    <w:autoRedefine/>
    <w:qFormat/>
    <w:uiPriority w:val="0"/>
    <w:rPr>
      <w:rFonts w:ascii="Times New Roman" w:hAnsi="Times New Roman" w:eastAsia="宋体"/>
      <w:kern w:val="2"/>
      <w:sz w:val="21"/>
      <w:szCs w:val="21"/>
    </w:rPr>
  </w:style>
  <w:style w:type="paragraph" w:customStyle="1" w:styleId="90">
    <w:name w:val="正文格式"/>
    <w:basedOn w:val="1"/>
    <w:link w:val="91"/>
    <w:autoRedefine/>
    <w:qFormat/>
    <w:uiPriority w:val="0"/>
    <w:pPr>
      <w:spacing w:beforeLines="50" w:afterLines="50" w:line="360" w:lineRule="auto"/>
      <w:ind w:firstLine="480" w:firstLineChars="200"/>
    </w:pPr>
    <w:rPr>
      <w:kern w:val="0"/>
      <w:szCs w:val="24"/>
      <w:lang w:val="en-GB"/>
    </w:rPr>
  </w:style>
  <w:style w:type="character" w:customStyle="1" w:styleId="91">
    <w:name w:val="正文格式 Char"/>
    <w:link w:val="90"/>
    <w:autoRedefine/>
    <w:qFormat/>
    <w:uiPriority w:val="0"/>
    <w:rPr>
      <w:rFonts w:ascii="Times New Roman" w:hAnsi="Times New Roman" w:eastAsia="宋体"/>
      <w:sz w:val="24"/>
      <w:szCs w:val="24"/>
      <w:lang w:val="en-GB"/>
    </w:rPr>
  </w:style>
  <w:style w:type="character" w:customStyle="1" w:styleId="92">
    <w:name w:val="Unresolved Mention"/>
    <w:basedOn w:val="32"/>
    <w:autoRedefine/>
    <w:semiHidden/>
    <w:unhideWhenUsed/>
    <w:qFormat/>
    <w:uiPriority w:val="99"/>
    <w:rPr>
      <w:color w:val="605E5C"/>
      <w:shd w:val="clear" w:color="auto" w:fill="E1DFDD"/>
    </w:rPr>
  </w:style>
  <w:style w:type="table" w:customStyle="1" w:styleId="93">
    <w:name w:val="网格型浅色1"/>
    <w:basedOn w:val="30"/>
    <w:autoRedefine/>
    <w:qFormat/>
    <w:uiPriority w:val="40"/>
    <w:rPr>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94">
    <w:name w:val="正文缩进2"/>
    <w:basedOn w:val="1"/>
    <w:autoRedefine/>
    <w:qFormat/>
    <w:uiPriority w:val="0"/>
    <w:pPr>
      <w:spacing w:before="60"/>
      <w:ind w:firstLine="476"/>
    </w:pPr>
  </w:style>
  <w:style w:type="paragraph" w:customStyle="1" w:styleId="95">
    <w:name w:val="图"/>
    <w:basedOn w:val="1"/>
    <w:autoRedefine/>
    <w:qFormat/>
    <w:uiPriority w:val="0"/>
    <w:pPr>
      <w:keepNext/>
      <w:spacing w:before="60" w:after="60" w:line="300" w:lineRule="auto"/>
      <w:jc w:val="center"/>
    </w:pPr>
    <w:rPr>
      <w:spacing w:val="20"/>
      <w:sz w:val="24"/>
      <w:szCs w:val="20"/>
    </w:rPr>
  </w:style>
  <w:style w:type="paragraph" w:customStyle="1" w:styleId="96">
    <w:name w:val="_Style 3"/>
    <w:basedOn w:val="1"/>
    <w:autoRedefine/>
    <w:qFormat/>
    <w:uiPriority w:val="1"/>
    <w:pPr>
      <w:pBdr>
        <w:bottom w:val="single" w:color="auto" w:sz="6" w:space="1"/>
      </w:pBdr>
      <w:jc w:val="center"/>
    </w:pPr>
    <w:rPr>
      <w:rFonts w:ascii="Arial" w:hAnsi="Calibri"/>
      <w:vanish/>
      <w:sz w:val="16"/>
    </w:rPr>
  </w:style>
  <w:style w:type="paragraph" w:customStyle="1" w:styleId="97">
    <w:name w:val="Table Paragraph"/>
    <w:basedOn w:val="1"/>
    <w:autoRedefine/>
    <w:qFormat/>
    <w:uiPriority w:val="1"/>
    <w:pPr>
      <w:autoSpaceDE w:val="0"/>
      <w:autoSpaceDN w:val="0"/>
      <w:jc w:val="left"/>
    </w:pPr>
    <w:rPr>
      <w:rFonts w:ascii="宋体" w:hAnsi="宋体" w:cs="宋体"/>
      <w:kern w:val="0"/>
      <w:sz w:val="22"/>
      <w:szCs w:val="22"/>
      <w:lang w:val="zh-CN" w:bidi="zh-CN"/>
    </w:rPr>
  </w:style>
  <w:style w:type="character" w:customStyle="1" w:styleId="98">
    <w:name w:val="font12"/>
    <w:basedOn w:val="32"/>
    <w:autoRedefine/>
    <w:qFormat/>
    <w:uiPriority w:val="0"/>
    <w:rPr>
      <w:rFonts w:hint="eastAsia" w:ascii="宋体" w:hAnsi="宋体" w:eastAsia="宋体" w:cs="宋体"/>
      <w:color w:val="000000"/>
      <w:sz w:val="24"/>
      <w:szCs w:val="24"/>
      <w:u w:val="none"/>
    </w:rPr>
  </w:style>
  <w:style w:type="character" w:customStyle="1" w:styleId="99">
    <w:name w:val="font11"/>
    <w:basedOn w:val="32"/>
    <w:autoRedefine/>
    <w:qFormat/>
    <w:uiPriority w:val="0"/>
    <w:rPr>
      <w:rFonts w:hint="eastAsia" w:ascii="等线" w:hAnsi="等线" w:eastAsia="等线" w:cs="等线"/>
      <w:b/>
      <w:bCs/>
      <w:color w:val="000000"/>
      <w:sz w:val="44"/>
      <w:szCs w:val="44"/>
      <w:u w:val="none"/>
    </w:rPr>
  </w:style>
  <w:style w:type="character" w:customStyle="1" w:styleId="100">
    <w:name w:val="font21"/>
    <w:basedOn w:val="32"/>
    <w:autoRedefine/>
    <w:qFormat/>
    <w:uiPriority w:val="0"/>
    <w:rPr>
      <w:rFonts w:hint="eastAsia" w:ascii="等线" w:hAnsi="等线" w:eastAsia="等线" w:cs="等线"/>
      <w:b/>
      <w:bCs/>
      <w:color w:val="000000"/>
      <w:sz w:val="32"/>
      <w:szCs w:val="32"/>
      <w:u w:val="none"/>
    </w:rPr>
  </w:style>
  <w:style w:type="character" w:customStyle="1" w:styleId="101">
    <w:name w:val="font31"/>
    <w:basedOn w:val="32"/>
    <w:autoRedefine/>
    <w:qFormat/>
    <w:uiPriority w:val="0"/>
    <w:rPr>
      <w:rFonts w:hint="eastAsia" w:ascii="宋体" w:hAnsi="宋体" w:eastAsia="宋体" w:cs="宋体"/>
      <w:b/>
      <w:bCs/>
      <w:color w:val="000000"/>
      <w:sz w:val="24"/>
      <w:szCs w:val="24"/>
      <w:u w:val="none"/>
    </w:rPr>
  </w:style>
  <w:style w:type="character" w:customStyle="1" w:styleId="102">
    <w:name w:val="font51"/>
    <w:basedOn w:val="32"/>
    <w:autoRedefine/>
    <w:qFormat/>
    <w:uiPriority w:val="0"/>
    <w:rPr>
      <w:rFonts w:hint="eastAsia" w:ascii="宋体" w:hAnsi="宋体" w:eastAsia="宋体" w:cs="宋体"/>
      <w:color w:val="000000"/>
      <w:sz w:val="24"/>
      <w:szCs w:val="24"/>
      <w:u w:val="none"/>
    </w:rPr>
  </w:style>
  <w:style w:type="character" w:customStyle="1" w:styleId="103">
    <w:name w:val="font41"/>
    <w:basedOn w:val="32"/>
    <w:autoRedefine/>
    <w:qFormat/>
    <w:uiPriority w:val="0"/>
    <w:rPr>
      <w:rFonts w:hint="eastAsia" w:ascii="宋体" w:hAnsi="宋体" w:eastAsia="宋体" w:cs="宋体"/>
      <w:color w:val="000000"/>
      <w:sz w:val="24"/>
      <w:szCs w:val="24"/>
      <w:u w:val="none"/>
    </w:rPr>
  </w:style>
  <w:style w:type="paragraph" w:customStyle="1" w:styleId="104">
    <w:name w:val="BodyText1I2"/>
    <w:basedOn w:val="105"/>
    <w:autoRedefine/>
    <w:qFormat/>
    <w:uiPriority w:val="0"/>
    <w:pPr>
      <w:ind w:left="420" w:leftChars="200" w:firstLine="420" w:firstLineChars="200"/>
      <w:jc w:val="both"/>
      <w:textAlignment w:val="baseline"/>
    </w:pPr>
  </w:style>
  <w:style w:type="paragraph" w:customStyle="1" w:styleId="105">
    <w:name w:val="BodyTextIndent"/>
    <w:basedOn w:val="1"/>
    <w:next w:val="106"/>
    <w:autoRedefine/>
    <w:qFormat/>
    <w:uiPriority w:val="0"/>
    <w:pPr>
      <w:ind w:left="420" w:leftChars="200" w:firstLine="480" w:firstLineChars="200"/>
      <w:jc w:val="both"/>
      <w:textAlignment w:val="baseline"/>
    </w:pPr>
    <w:rPr>
      <w:kern w:val="2"/>
      <w:sz w:val="24"/>
      <w:szCs w:val="24"/>
      <w:lang w:val="en-US" w:eastAsia="zh-CN" w:bidi="ar-SA"/>
    </w:rPr>
  </w:style>
  <w:style w:type="paragraph" w:customStyle="1" w:styleId="106">
    <w:name w:val="EnvelopeReturn"/>
    <w:basedOn w:val="1"/>
    <w:autoRedefine/>
    <w:qFormat/>
    <w:uiPriority w:val="0"/>
    <w:pPr>
      <w:snapToGrid w:val="0"/>
      <w:jc w:val="both"/>
      <w:textAlignment w:val="baseline"/>
    </w:pPr>
    <w:rPr>
      <w:rFonts w:ascii="Arial" w:hAnsi="Arial"/>
      <w:kern w:val="2"/>
      <w:sz w:val="21"/>
      <w:szCs w:val="24"/>
      <w:lang w:val="en-US" w:eastAsia="zh-CN" w:bidi="ar-SA"/>
    </w:rPr>
  </w:style>
  <w:style w:type="paragraph" w:customStyle="1" w:styleId="107">
    <w:name w:val="正文2"/>
    <w:basedOn w:val="1"/>
    <w:autoRedefine/>
    <w:qFormat/>
    <w:uiPriority w:val="0"/>
    <w:pPr>
      <w:spacing w:before="156" w:line="360" w:lineRule="auto"/>
      <w:ind w:firstLine="510" w:firstLineChars="200"/>
    </w:pPr>
    <w:rPr>
      <w:sz w:val="24"/>
      <w:szCs w:val="20"/>
    </w:rPr>
  </w:style>
  <w:style w:type="paragraph" w:customStyle="1" w:styleId="108">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0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0">
    <w:name w:val="Body Text First Indent 2"/>
    <w:autoRedefine/>
    <w:qFormat/>
    <w:uiPriority w:val="0"/>
    <w:pPr>
      <w:widowControl w:val="0"/>
      <w:spacing w:after="120" w:afterLines="0" w:line="240" w:lineRule="auto"/>
      <w:ind w:left="420" w:leftChars="200" w:firstLine="420"/>
      <w:jc w:val="both"/>
    </w:pPr>
    <w:rPr>
      <w:rFonts w:ascii="Times New Roman" w:hAnsi="Times New Roman" w:eastAsia="宋体" w:cs="宋体"/>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35301</Words>
  <Characters>39285</Characters>
  <Lines>271</Lines>
  <Paragraphs>76</Paragraphs>
  <TotalTime>70</TotalTime>
  <ScaleCrop>false</ScaleCrop>
  <LinksUpToDate>false</LinksUpToDate>
  <CharactersWithSpaces>40797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2021-11-12T08:24:00Z</dcterms:created>
  <dc:creator>NTKO</dc:creator>
  <cp:lastModifiedBy>希望</cp:lastModifiedBy>
  <cp:lastPrinted>2023-07-18T09:24:00Z</cp:lastPrinted>
  <dcterms:modified xsi:type="dcterms:W3CDTF">2024-03-15T07:41:15Z</dcterms:modified>
  <cp:revision>199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03C9FF791C0346C99B90DDE808B246AC_13</vt:lpwstr>
  </property>
</Properties>
</file>