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stheme="minorEastAsia"/>
          <w:color w:val="auto"/>
          <w:sz w:val="48"/>
          <w:szCs w:val="48"/>
          <w:highlight w:val="none"/>
        </w:rPr>
      </w:pPr>
    </w:p>
    <w:p>
      <w:pPr>
        <w:spacing w:line="360" w:lineRule="auto"/>
        <w:jc w:val="center"/>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t>尚桥科技园区电力配套（一期）工程-市政业扩及迁改工程—土建部分</w:t>
      </w:r>
    </w:p>
    <w:p>
      <w:pPr>
        <w:spacing w:line="360" w:lineRule="auto"/>
        <w:jc w:val="center"/>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rPr>
        <w:t>竞争性</w:t>
      </w:r>
      <w:r>
        <w:rPr>
          <w:rFonts w:hint="eastAsia" w:asciiTheme="minorEastAsia" w:hAnsiTheme="minorEastAsia" w:eastAsiaTheme="minorEastAsia" w:cstheme="minorEastAsia"/>
          <w:color w:val="auto"/>
          <w:sz w:val="48"/>
          <w:szCs w:val="48"/>
          <w:highlight w:val="none"/>
          <w:lang w:val="en-US" w:eastAsia="zh-CN"/>
        </w:rPr>
        <w:t>磋商</w:t>
      </w:r>
      <w:r>
        <w:rPr>
          <w:rFonts w:hint="eastAsia" w:asciiTheme="minorEastAsia" w:hAnsiTheme="minorEastAsia" w:eastAsiaTheme="minorEastAsia" w:cstheme="minorEastAsia"/>
          <w:color w:val="auto"/>
          <w:sz w:val="48"/>
          <w:szCs w:val="48"/>
          <w:highlight w:val="none"/>
          <w:lang w:eastAsia="zh-CN"/>
        </w:rPr>
        <w:t>采购文件</w:t>
      </w:r>
    </w:p>
    <w:p>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（电子交易项目）</w:t>
      </w:r>
    </w:p>
    <w:p>
      <w:pPr>
        <w:snapToGrid w:val="0"/>
        <w:spacing w:line="360" w:lineRule="auto"/>
        <w:jc w:val="center"/>
        <w:rPr>
          <w:rFonts w:hint="default"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0000FF"/>
          <w:sz w:val="30"/>
          <w:szCs w:val="30"/>
          <w:highlight w:val="none"/>
        </w:rPr>
        <w:t xml:space="preserve"> </w:t>
      </w:r>
      <w:r>
        <w:rPr>
          <w:rFonts w:hint="eastAsia" w:asciiTheme="minorEastAsia" w:hAnsiTheme="minorEastAsia" w:eastAsiaTheme="minorEastAsia" w:cstheme="minorEastAsia"/>
          <w:color w:val="auto"/>
          <w:sz w:val="30"/>
          <w:szCs w:val="30"/>
          <w:highlight w:val="none"/>
          <w:lang w:val="en-US" w:eastAsia="zh-CN"/>
        </w:rPr>
        <w:t>FHGQZB(2024)113D</w:t>
      </w:r>
    </w:p>
    <w:p>
      <w:pPr>
        <w:spacing w:line="360" w:lineRule="auto"/>
        <w:rPr>
          <w:rFonts w:asciiTheme="minorEastAsia" w:hAnsiTheme="minorEastAsia" w:eastAsiaTheme="minorEastAsia" w:cstheme="minorEastAsia"/>
          <w:color w:val="auto"/>
          <w:sz w:val="28"/>
          <w:szCs w:val="20"/>
          <w:highlight w:val="none"/>
        </w:rPr>
      </w:pPr>
    </w:p>
    <w:p>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bookmarkStart w:id="465" w:name="_GoBack"/>
      <w:bookmarkEnd w:id="465"/>
    </w:p>
    <w:p>
      <w:pPr>
        <w:spacing w:line="360" w:lineRule="auto"/>
        <w:jc w:val="center"/>
        <w:rPr>
          <w:rFonts w:asciiTheme="minorEastAsia" w:hAnsiTheme="minorEastAsia" w:eastAsiaTheme="minorEastAsia" w:cstheme="minorEastAsia"/>
          <w:b/>
          <w:color w:val="auto"/>
          <w:sz w:val="44"/>
          <w:szCs w:val="44"/>
          <w:highlight w:val="none"/>
        </w:rPr>
      </w:pPr>
    </w:p>
    <w:p>
      <w:pPr>
        <w:pStyle w:val="35"/>
        <w:ind w:firstLine="560"/>
        <w:rPr>
          <w:rFonts w:asciiTheme="minorEastAsia" w:hAnsiTheme="minorEastAsia" w:eastAsiaTheme="minorEastAsia" w:cstheme="minorEastAsia"/>
          <w:color w:val="auto"/>
          <w:highlight w:val="none"/>
        </w:rPr>
      </w:pPr>
    </w:p>
    <w:p>
      <w:pPr>
        <w:pStyle w:val="35"/>
        <w:ind w:firstLine="560"/>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sz w:val="24"/>
          <w:highlight w:val="none"/>
        </w:rPr>
      </w:pPr>
    </w:p>
    <w:p>
      <w:pPr>
        <w:pStyle w:val="10"/>
        <w:rPr>
          <w:color w:val="auto"/>
          <w:highlight w:val="none"/>
        </w:rPr>
      </w:pPr>
    </w:p>
    <w:p>
      <w:pPr>
        <w:spacing w:line="360" w:lineRule="auto"/>
        <w:jc w:val="center"/>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360" w:lineRule="auto"/>
        <w:ind w:firstLine="960" w:firstLineChars="3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color w:val="auto"/>
          <w:sz w:val="32"/>
          <w:szCs w:val="32"/>
          <w:highlight w:val="none"/>
          <w:lang w:eastAsia="zh-CN"/>
        </w:rPr>
        <w:t>宁波市奉化区惠海地下管线投资有限公司</w:t>
      </w:r>
    </w:p>
    <w:p>
      <w:pPr>
        <w:snapToGrid w:val="0"/>
        <w:spacing w:line="360" w:lineRule="auto"/>
        <w:ind w:firstLine="960" w:firstLineChars="300"/>
        <w:jc w:val="both"/>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采购代理机构：</w:t>
      </w:r>
      <w:r>
        <w:rPr>
          <w:rFonts w:hint="eastAsia" w:asciiTheme="minorEastAsia" w:hAnsiTheme="minorEastAsia" w:eastAsiaTheme="minorEastAsia" w:cstheme="minorEastAsia"/>
          <w:bCs/>
          <w:color w:val="auto"/>
          <w:sz w:val="32"/>
          <w:szCs w:val="32"/>
          <w:highlight w:val="none"/>
          <w:lang w:eastAsia="zh-CN"/>
        </w:rPr>
        <w:t>浙江明业项目管理有限公司</w:t>
      </w:r>
    </w:p>
    <w:p>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二零二</w:t>
      </w:r>
      <w:r>
        <w:rPr>
          <w:rFonts w:hint="eastAsia" w:asciiTheme="minorEastAsia" w:hAnsiTheme="minorEastAsia" w:eastAsiaTheme="minorEastAsia" w:cstheme="minorEastAsia"/>
          <w:bCs/>
          <w:color w:val="auto"/>
          <w:sz w:val="32"/>
          <w:szCs w:val="32"/>
          <w:highlight w:val="none"/>
          <w:lang w:val="en-US" w:eastAsia="zh-CN"/>
        </w:rPr>
        <w:t>四</w:t>
      </w:r>
      <w:r>
        <w:rPr>
          <w:rFonts w:hint="eastAsia" w:asciiTheme="minorEastAsia" w:hAnsiTheme="minorEastAsia" w:eastAsiaTheme="minorEastAsia" w:cstheme="minorEastAsia"/>
          <w:bCs/>
          <w:color w:val="auto"/>
          <w:sz w:val="32"/>
          <w:szCs w:val="32"/>
          <w:highlight w:val="none"/>
        </w:rPr>
        <w:t>年</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pPr>
        <w:spacing w:line="360" w:lineRule="auto"/>
        <w:jc w:val="center"/>
        <w:rPr>
          <w:rFonts w:asciiTheme="minorEastAsia" w:hAnsiTheme="minorEastAsia" w:eastAsiaTheme="minorEastAsia" w:cstheme="minorEastAsia"/>
          <w:color w:val="auto"/>
          <w:sz w:val="24"/>
          <w:highlight w:val="none"/>
        </w:rPr>
      </w:pPr>
    </w:p>
    <w:p>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pPr>
        <w:spacing w:line="360" w:lineRule="auto"/>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360" w:lineRule="auto"/>
        <w:ind w:firstLine="732" w:firstLineChars="229"/>
        <w:rPr>
          <w:rFonts w:asciiTheme="minorEastAsia" w:hAnsiTheme="minorEastAsia" w:eastAsiaTheme="minorEastAsia" w:cstheme="minorEastAsia"/>
          <w:color w:val="auto"/>
          <w:sz w:val="32"/>
          <w:szCs w:val="32"/>
          <w:highlight w:val="none"/>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第一部分  竞争性磋商公告</w:t>
      </w:r>
    </w:p>
    <w:p>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响应须知</w:t>
      </w:r>
    </w:p>
    <w:p>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评审办法</w:t>
      </w:r>
    </w:p>
    <w:p>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合同文本</w:t>
      </w:r>
    </w:p>
    <w:p>
      <w:pPr>
        <w:spacing w:line="360" w:lineRule="auto"/>
        <w:ind w:firstLine="732" w:firstLineChars="22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color w:val="auto"/>
          <w:sz w:val="24"/>
          <w:highlight w:val="none"/>
        </w:rPr>
      </w:pPr>
    </w:p>
    <w:p>
      <w:pPr>
        <w:spacing w:line="360" w:lineRule="auto"/>
        <w:jc w:val="center"/>
        <w:outlineLvl w:val="0"/>
        <w:rPr>
          <w:rFonts w:asciiTheme="minorEastAsia" w:hAnsiTheme="minorEastAsia" w:eastAsiaTheme="minorEastAsia" w:cstheme="minorEastAsia"/>
          <w:b/>
          <w:color w:val="auto"/>
          <w:sz w:val="24"/>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竞争性磋商公告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40" w:firstLineChars="200"/>
        <w:textAlignment w:val="auto"/>
        <w:rPr>
          <w:rFonts w:hint="eastAsia" w:ascii="宋体" w:hAnsi="宋体" w:eastAsia="宋体" w:cs="宋体"/>
          <w:color w:val="auto"/>
          <w:sz w:val="21"/>
          <w:szCs w:val="21"/>
          <w:highlight w:val="none"/>
          <w:u w:val="single"/>
        </w:rPr>
      </w:pPr>
      <w:r>
        <w:rPr>
          <w:rFonts w:hint="eastAsia" w:eastAsia="宋体"/>
          <w:b w:val="0"/>
          <w:bCs w:val="0"/>
          <w:sz w:val="22"/>
          <w:szCs w:val="22"/>
          <w:u w:val="single"/>
          <w:lang w:eastAsia="zh-CN"/>
        </w:rPr>
        <w:t>尚桥科技园区电力配套（一期）工程-市政业扩及迁改工程—土建部分</w:t>
      </w:r>
      <w:r>
        <w:rPr>
          <w:rFonts w:hint="eastAsia" w:ascii="宋体" w:hAnsi="宋体" w:eastAsia="宋体" w:cs="宋体"/>
          <w:color w:val="auto"/>
          <w:sz w:val="21"/>
          <w:szCs w:val="21"/>
          <w:highlight w:val="none"/>
        </w:rPr>
        <w:t xml:space="preserve">的潜在供应商应在政采云平台（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"https://www.zcygov.cn/）获取（下载）招标文件，并于2022年00月00日14点30分00秒"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//www.zcygov.cn/）获取（下载）采购文件，并于202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点00分00秒</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递交（上传）响应文件。</w:t>
      </w:r>
    </w:p>
    <w:p>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default" w:ascii="宋体" w:hAnsi="宋体" w:eastAsia="宋体" w:cs="宋体"/>
          <w:bCs/>
          <w:snapToGrid w:val="0"/>
          <w:color w:val="auto"/>
          <w:kern w:val="2"/>
          <w:sz w:val="22"/>
          <w:szCs w:val="22"/>
          <w:highlight w:val="none"/>
          <w:lang w:val="en-US" w:eastAsia="zh-CN" w:bidi="ar-SA"/>
        </w:rPr>
      </w:pPr>
      <w:r>
        <w:rPr>
          <w:rFonts w:hint="eastAsia" w:ascii="宋体" w:hAnsi="宋体" w:eastAsia="宋体" w:cs="宋体"/>
          <w:b/>
          <w:color w:val="auto"/>
          <w:sz w:val="21"/>
          <w:szCs w:val="21"/>
          <w:highlight w:val="none"/>
        </w:rPr>
        <w:t>项目编号：</w:t>
      </w:r>
      <w:r>
        <w:rPr>
          <w:rFonts w:hint="eastAsia" w:ascii="宋体" w:hAnsi="宋体" w:cs="宋体"/>
          <w:b/>
          <w:color w:val="auto"/>
          <w:sz w:val="21"/>
          <w:szCs w:val="21"/>
          <w:highlight w:val="none"/>
          <w:lang w:val="en-US" w:eastAsia="zh-CN"/>
        </w:rPr>
        <w:t xml:space="preserve"> </w:t>
      </w:r>
      <w:r>
        <w:rPr>
          <w:rFonts w:hint="eastAsia" w:ascii="宋体" w:hAnsi="宋体" w:eastAsia="宋体" w:cs="宋体"/>
          <w:bCs/>
          <w:snapToGrid w:val="0"/>
          <w:color w:val="auto"/>
          <w:kern w:val="2"/>
          <w:sz w:val="22"/>
          <w:szCs w:val="22"/>
          <w:highlight w:val="none"/>
          <w:lang w:val="en-US" w:eastAsia="zh-CN" w:bidi="ar-SA"/>
        </w:rPr>
        <w:t>FHGQZB(2024)113D</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Cs/>
          <w:snapToGrid w:val="0"/>
          <w:color w:val="auto"/>
          <w:kern w:val="2"/>
          <w:sz w:val="22"/>
          <w:szCs w:val="22"/>
          <w:highlight w:val="none"/>
          <w:lang w:val="en-US" w:eastAsia="zh-CN" w:bidi="ar-SA"/>
        </w:rPr>
        <w:t>尚桥科技园区电力配套（一期）工程-市政业扩及迁改工程—土建部分</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default"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预算金额（元）：</w:t>
      </w:r>
      <w:r>
        <w:rPr>
          <w:rFonts w:hint="eastAsia" w:ascii="宋体" w:hAnsi="宋体" w:eastAsia="宋体" w:cs="宋体"/>
          <w:i w:val="0"/>
          <w:color w:val="000000"/>
          <w:kern w:val="0"/>
          <w:sz w:val="22"/>
          <w:szCs w:val="22"/>
          <w:highlight w:val="none"/>
          <w:u w:val="none"/>
          <w:lang w:val="en-US" w:eastAsia="zh-CN" w:bidi="ar"/>
        </w:rPr>
        <w:t>1733440</w:t>
      </w:r>
      <w:r>
        <w:rPr>
          <w:rFonts w:hint="eastAsia" w:ascii="宋体" w:hAnsi="宋体" w:eastAsia="宋体" w:cs="宋体"/>
          <w:bCs/>
          <w:snapToGrid w:val="0"/>
          <w:color w:val="auto"/>
          <w:kern w:val="2"/>
          <w:sz w:val="21"/>
          <w:szCs w:val="21"/>
          <w:highlight w:val="none"/>
          <w:lang w:val="en-US" w:eastAsia="zh-CN" w:bidi="ar-SA"/>
        </w:rPr>
        <w:t xml:space="preserve"> </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最高限价（元）：</w:t>
      </w:r>
      <w:r>
        <w:rPr>
          <w:rFonts w:hint="eastAsia" w:ascii="宋体" w:hAnsi="宋体" w:cs="宋体"/>
          <w:bCs/>
          <w:snapToGrid w:val="0"/>
          <w:color w:val="auto"/>
          <w:kern w:val="2"/>
          <w:sz w:val="22"/>
          <w:szCs w:val="22"/>
          <w:highlight w:val="none"/>
          <w:lang w:val="en-US" w:eastAsia="zh-CN" w:bidi="ar-SA"/>
        </w:rPr>
        <w:t>1629434</w:t>
      </w:r>
      <w:r>
        <w:rPr>
          <w:rFonts w:hint="eastAsia" w:ascii="宋体" w:hAnsi="宋体" w:eastAsia="宋体" w:cs="宋体"/>
          <w:bCs/>
          <w:snapToGrid w:val="0"/>
          <w:color w:val="auto"/>
          <w:kern w:val="2"/>
          <w:sz w:val="21"/>
          <w:szCs w:val="21"/>
          <w:highlight w:val="none"/>
          <w:lang w:val="en-US" w:eastAsia="zh-CN" w:bidi="ar-SA"/>
        </w:rPr>
        <w:t xml:space="preserve">，最高综合折扣率：94%  </w:t>
      </w:r>
    </w:p>
    <w:p>
      <w:pPr>
        <w:pStyle w:val="8"/>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采购需求：</w:t>
      </w:r>
      <w:r>
        <w:rPr>
          <w:rFonts w:hint="eastAsia" w:ascii="宋体" w:hAnsi="宋体" w:eastAsia="宋体" w:cs="宋体"/>
          <w:bCs/>
          <w:snapToGrid w:val="0"/>
          <w:color w:val="auto"/>
          <w:kern w:val="2"/>
          <w:sz w:val="22"/>
          <w:szCs w:val="22"/>
          <w:highlight w:val="none"/>
          <w:lang w:val="en-US" w:eastAsia="zh-CN" w:bidi="ar-SA"/>
        </w:rPr>
        <w:t>尚桥科技园区电力配套（一期）工程-市政业扩及迁改工程—土建部分</w:t>
      </w:r>
      <w:r>
        <w:rPr>
          <w:rFonts w:hint="eastAsia" w:ascii="宋体" w:hAnsi="宋体" w:eastAsia="宋体" w:cs="宋体"/>
          <w:bCs/>
          <w:snapToGrid w:val="0"/>
          <w:color w:val="auto"/>
          <w:kern w:val="2"/>
          <w:sz w:val="21"/>
          <w:szCs w:val="21"/>
          <w:highlight w:val="none"/>
          <w:lang w:val="en-US" w:eastAsia="zh-CN" w:bidi="ar-SA"/>
        </w:rPr>
        <w:t>，详见采购文件第三部分采购需求。</w:t>
      </w:r>
    </w:p>
    <w:p>
      <w:pPr>
        <w:pStyle w:val="51"/>
        <w:keepNext w:val="0"/>
        <w:keepLines w:val="0"/>
        <w:pageBreakBefore w:val="0"/>
        <w:kinsoku/>
        <w:wordWrap/>
        <w:overflowPunct/>
        <w:topLinePunct w:val="0"/>
        <w:autoSpaceDE/>
        <w:autoSpaceDN/>
        <w:bidi w:val="0"/>
        <w:adjustRightInd/>
        <w:spacing w:before="0" w:line="440" w:lineRule="exact"/>
        <w:ind w:firstLine="422" w:firstLineChars="200"/>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snapToGrid w:val="0"/>
          <w:color w:val="auto"/>
          <w:kern w:val="28"/>
          <w:sz w:val="21"/>
          <w:szCs w:val="21"/>
          <w:highlight w:val="none"/>
          <w:lang w:val="en-US" w:eastAsia="zh-CN" w:bidi="ar-SA"/>
        </w:rPr>
        <w:t>详见采购文件。</w:t>
      </w:r>
    </w:p>
    <w:p>
      <w:pPr>
        <w:pStyle w:val="8"/>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color w:val="auto"/>
          <w:kern w:val="0"/>
          <w:sz w:val="21"/>
          <w:szCs w:val="21"/>
          <w:highlight w:val="none"/>
        </w:rPr>
        <w:t>☐</w:t>
      </w:r>
      <w:r>
        <w:rPr>
          <w:rFonts w:hint="eastAsia" w:ascii="宋体" w:hAnsi="宋体" w:eastAsia="宋体" w:cs="宋体"/>
          <w:b/>
          <w:color w:val="auto"/>
          <w:sz w:val="21"/>
          <w:szCs w:val="21"/>
          <w:highlight w:val="none"/>
        </w:rPr>
        <w:t>是，</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sym w:font="Wingdings" w:char="F0FE"/>
      </w:r>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 xml:space="preserve">    2.落实政府采购政策需满足的资格要求：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3.1供应商须具有电力工程施工总承包三级及以上资质（或输变电工程专业承包叁级及以上）；</w:t>
      </w:r>
    </w:p>
    <w:p>
      <w:pPr>
        <w:shd w:val="clear"/>
        <w:spacing w:line="44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3.2供应商须具有有效的建筑施工企业安全生产许可证。</w:t>
      </w: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三、获取采购文件 </w:t>
      </w:r>
    </w:p>
    <w:p>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cs="宋体"/>
          <w:color w:val="auto"/>
          <w:sz w:val="21"/>
          <w:szCs w:val="21"/>
          <w:highlight w:val="none"/>
          <w:u w:val="single"/>
          <w:lang w:val="en-US" w:eastAsia="zh-CN"/>
        </w:rPr>
        <w:t>2024年4月17日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 ，下午12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00至23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59（北京时间）。</w:t>
      </w:r>
    </w:p>
    <w:p>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政采云平台（https</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//www.zcygov.cn/）。</w:t>
      </w:r>
    </w:p>
    <w:p>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供应商登录政采云平台https</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//www.zcygov.cn/在线申请获取采购文件（进入“项目采购”应用，在获取采购文件菜单中选择项目，申请获取采购文件）。 </w:t>
      </w:r>
    </w:p>
    <w:p>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四、首次提交响应文件截止时间、磋商时间和地点</w:t>
      </w:r>
    </w:p>
    <w:p>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首次提交响应文件截止时间：</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点00分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提交响应文件地点（网址）：</w:t>
      </w:r>
      <w:r>
        <w:rPr>
          <w:rFonts w:hint="eastAsia" w:ascii="宋体" w:hAnsi="宋体" w:eastAsia="宋体" w:cs="宋体"/>
          <w:color w:val="auto"/>
          <w:sz w:val="21"/>
          <w:szCs w:val="21"/>
          <w:highlight w:val="none"/>
        </w:rPr>
        <w:t>政采云平台（https</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//www.zcygov.cn/）。</w:t>
      </w:r>
    </w:p>
    <w:p>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首次提交响应文件开启时间：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点00分</w:t>
      </w:r>
      <w:r>
        <w:rPr>
          <w:rFonts w:hint="eastAsia" w:ascii="宋体" w:hAnsi="宋体" w:eastAsia="宋体" w:cs="宋体"/>
          <w:bCs/>
          <w:color w:val="auto"/>
          <w:sz w:val="21"/>
          <w:szCs w:val="21"/>
          <w:highlight w:val="none"/>
        </w:rPr>
        <w:t>。</w:t>
      </w:r>
    </w:p>
    <w:p>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首次提交响应文件开启地点（网址）：</w:t>
      </w:r>
      <w:r>
        <w:rPr>
          <w:rFonts w:hint="eastAsia" w:ascii="宋体" w:hAnsi="宋体" w:eastAsia="宋体" w:cs="宋体"/>
          <w:color w:val="auto"/>
          <w:sz w:val="21"/>
          <w:szCs w:val="21"/>
          <w:highlight w:val="none"/>
        </w:rPr>
        <w:t>政采云平台（https</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//www.zcygov.cn/）。</w:t>
      </w:r>
    </w:p>
    <w:p>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首次提交响应文件开启地点（线下）：</w:t>
      </w:r>
      <w:r>
        <w:rPr>
          <w:rFonts w:hint="eastAsia" w:ascii="宋体" w:hAnsi="宋体" w:eastAsia="宋体" w:cs="宋体"/>
          <w:bCs/>
          <w:color w:val="auto"/>
          <w:sz w:val="21"/>
          <w:szCs w:val="21"/>
          <w:highlight w:val="none"/>
        </w:rPr>
        <w:t>宁波市奉化区公共资源交易中心开标厅</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（宁波市奉化区大成东路277号4楼）</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eastAsia="宋体" w:cs="宋体"/>
          <w:color w:val="auto"/>
          <w:sz w:val="21"/>
          <w:szCs w:val="21"/>
          <w:highlight w:val="none"/>
          <w:lang w:val="en-US" w:eastAsia="zh-CN"/>
        </w:rPr>
        <w:t>监管部门</w:t>
      </w:r>
      <w:r>
        <w:rPr>
          <w:rFonts w:hint="eastAsia" w:ascii="宋体" w:hAnsi="宋体" w:eastAsia="宋体" w:cs="宋体"/>
          <w:color w:val="auto"/>
          <w:sz w:val="21"/>
          <w:szCs w:val="21"/>
          <w:highlight w:val="none"/>
        </w:rPr>
        <w:t>投诉。</w:t>
      </w: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事项：（1）需要落实的政府采购政策：包括节约资源、保护环境、支持创新、促进中小企业发展等。详见采购文件的第二部分总则。（2）电子交易的说明：①电子交易：本项目以数据电文形式，依托“政府采购云平台（www.zcygov.cn）”进行磋商活动，不接受纸质响应文件；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在磋商前应确保成为浙江省政府采购网正式注册入库供应商，并完成CA数字证书办理。完成CA数字证书办理在资料齐全的情况下预计7个工作日左右，请各</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合理预估时间，及时办理。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采购代理机构将依托政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按照平台提示和采购文件的规定在半小时内完成在线解密。⑨具体操作指南：详见政采云平台“服务中心-帮助文档-项目采购-操作流程-电子招投标-政府采购项目电子交易管理操作指南-供应商”。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称：宁波市奉化区惠海地下管线投资有限公司</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址：浙江省宁波市奉化区岳林街道中山东路518号金城大厦A座18楼</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项目联系人（询问）：袁工</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项目联系方式（询问）：13003743437</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质疑联系人：陈工</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cs="宋体"/>
          <w:color w:val="auto"/>
          <w:sz w:val="21"/>
          <w:szCs w:val="21"/>
          <w:highlight w:val="none"/>
          <w:lang w:val="en-US" w:eastAsia="zh-CN"/>
        </w:rPr>
        <w:t>0574-88523337</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浙江明业项目管理有限公司</w:t>
      </w:r>
    </w:p>
    <w:p>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址：宁波市奉化区岳林街道斗门路136号艾盛环球中心（润合大厦）七楼</w:t>
      </w:r>
    </w:p>
    <w:p>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应先生</w:t>
      </w:r>
    </w:p>
    <w:p>
      <w:pPr>
        <w:keepNext w:val="0"/>
        <w:keepLines w:val="0"/>
        <w:pageBreakBefore w:val="0"/>
        <w:kinsoku/>
        <w:wordWrap/>
        <w:overflowPunct/>
        <w:topLinePunct w:val="0"/>
        <w:bidi w:val="0"/>
        <w:spacing w:line="440" w:lineRule="exact"/>
        <w:ind w:firstLine="48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ascii="宋体" w:hAnsi="宋体" w:cs="宋体"/>
          <w:color w:val="auto"/>
          <w:sz w:val="21"/>
          <w:szCs w:val="21"/>
          <w:highlight w:val="none"/>
          <w:lang w:val="en-US" w:eastAsia="zh-CN"/>
        </w:rPr>
        <w:t>0574-88513998</w:t>
      </w:r>
    </w:p>
    <w:p>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质疑联系人： </w:t>
      </w:r>
      <w:r>
        <w:rPr>
          <w:rFonts w:hint="eastAsia" w:ascii="宋体" w:hAnsi="宋体" w:eastAsia="宋体" w:cs="宋体"/>
          <w:color w:val="auto"/>
          <w:sz w:val="21"/>
          <w:szCs w:val="21"/>
          <w:highlight w:val="none"/>
          <w:lang w:val="en-US" w:eastAsia="zh-CN"/>
        </w:rPr>
        <w:t>邹先生</w:t>
      </w:r>
    </w:p>
    <w:p>
      <w:pPr>
        <w:keepNext w:val="0"/>
        <w:keepLines w:val="0"/>
        <w:pageBreakBefore w:val="0"/>
        <w:kinsoku/>
        <w:wordWrap/>
        <w:overflowPunct/>
        <w:topLinePunct w:val="0"/>
        <w:bidi w:val="0"/>
        <w:spacing w:line="440" w:lineRule="exact"/>
        <w:ind w:firstLine="48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质疑联系方式：0574-</w:t>
      </w:r>
      <w:r>
        <w:rPr>
          <w:rFonts w:hint="eastAsia" w:ascii="宋体" w:hAnsi="宋体" w:eastAsia="宋体" w:cs="宋体"/>
          <w:color w:val="auto"/>
          <w:sz w:val="21"/>
          <w:szCs w:val="21"/>
          <w:highlight w:val="none"/>
          <w:lang w:val="en-US" w:eastAsia="zh-CN"/>
        </w:rPr>
        <w:t>88513998</w:t>
      </w:r>
    </w:p>
    <w:p>
      <w:pPr>
        <w:keepNext w:val="0"/>
        <w:keepLines w:val="0"/>
        <w:pageBreakBefore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3.监督管理部门            </w:t>
      </w:r>
    </w:p>
    <w:p>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名称：宁波市奉化区城市开发建设集团有限公司纪检监察室</w:t>
      </w:r>
    </w:p>
    <w:p>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地址：宁波市奉化区中山东路518号金城大厦B座</w:t>
      </w:r>
      <w:r>
        <w:rPr>
          <w:rFonts w:hint="eastAsia" w:ascii="宋体" w:hAnsi="宋体" w:eastAsia="宋体" w:cs="宋体"/>
          <w:color w:val="auto"/>
          <w:sz w:val="21"/>
          <w:szCs w:val="21"/>
          <w:highlight w:val="none"/>
          <w:lang w:val="en-US" w:eastAsia="zh-CN"/>
        </w:rPr>
        <w:t xml:space="preserve"> </w:t>
      </w:r>
    </w:p>
    <w:p>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联系人：应女士</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联系方式：0574-88680587       </w:t>
      </w: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//www.zcygov.cn/），点击右侧咨询小采，获取采小蜜智能服务管家帮助，或拨打政采云服务热线95763获取热线服务帮助。</w:t>
      </w: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pPr>
        <w:spacing w:line="360" w:lineRule="auto"/>
        <w:jc w:val="center"/>
        <w:outlineLvl w:val="0"/>
        <w:rPr>
          <w:rFonts w:hint="eastAsia" w:asciiTheme="minorEastAsia" w:hAnsiTheme="minorEastAsia" w:eastAsiaTheme="minorEastAsia" w:cstheme="minorEastAsia"/>
          <w:color w:val="auto"/>
          <w:sz w:val="24"/>
          <w:highlight w:val="none"/>
        </w:rPr>
      </w:pPr>
    </w:p>
    <w:p>
      <w:pPr>
        <w:spacing w:line="360" w:lineRule="auto"/>
        <w:jc w:val="center"/>
        <w:outlineLvl w:val="0"/>
        <w:rPr>
          <w:rFonts w:hint="eastAsia" w:asciiTheme="minorEastAsia" w:hAnsiTheme="minorEastAsia" w:eastAsiaTheme="minorEastAsia" w:cstheme="minorEastAsia"/>
          <w:color w:val="auto"/>
          <w:sz w:val="24"/>
          <w:highlight w:val="none"/>
        </w:rPr>
      </w:pPr>
    </w:p>
    <w:p>
      <w:pPr>
        <w:spacing w:line="360" w:lineRule="auto"/>
        <w:jc w:val="center"/>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p>
    <w:p>
      <w:pPr>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响应须知</w:t>
      </w:r>
      <w:bookmarkEnd w:id="9"/>
    </w:p>
    <w:p>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25"/>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color w:val="auto"/>
                <w:sz w:val="21"/>
                <w:szCs w:val="21"/>
                <w:highlight w:val="none"/>
              </w:rPr>
              <w:t>报价一览表是报价的唯一载体</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响应文件中</w:t>
            </w:r>
            <w:r>
              <w:rPr>
                <w:rFonts w:hint="eastAsia" w:ascii="宋体" w:hAnsi="宋体" w:cs="宋体"/>
                <w:b/>
                <w:bCs/>
                <w:color w:val="auto"/>
                <w:kern w:val="0"/>
                <w:sz w:val="21"/>
                <w:szCs w:val="21"/>
                <w:highlight w:val="none"/>
                <w:lang w:val="en-US" w:eastAsia="zh-CN"/>
              </w:rPr>
              <w:t>价格采用综合折扣率报价。</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响应报价出现下列情形的，响应无效：</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响应文件出现不是唯一的、有选择性响应报价的；</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响应报价超过采购文件中规定的</w:t>
            </w:r>
            <w:r>
              <w:rPr>
                <w:rFonts w:hint="eastAsia" w:ascii="宋体" w:hAnsi="宋体" w:cs="宋体"/>
                <w:b/>
                <w:color w:val="auto"/>
                <w:kern w:val="0"/>
                <w:sz w:val="21"/>
                <w:szCs w:val="21"/>
                <w:highlight w:val="none"/>
                <w:lang w:val="en-US" w:eastAsia="zh-CN"/>
              </w:rPr>
              <w:t>最高综合折扣率94%的</w:t>
            </w:r>
            <w:r>
              <w:rPr>
                <w:rFonts w:hint="eastAsia" w:ascii="宋体" w:hAnsi="宋体" w:eastAsia="宋体" w:cs="宋体"/>
                <w:b/>
                <w:color w:val="auto"/>
                <w:kern w:val="0"/>
                <w:sz w:val="21"/>
                <w:szCs w:val="21"/>
                <w:highlight w:val="none"/>
                <w:lang w:val="zh-CN"/>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报价明显低于其他通过符合性审查供应商的报价，有可能影响服务质量或者不能诚信履约的，未能按要求提供书面说明或者提交相关证明材料证明其报价合理性的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资格证明文件：见采购文件第二部分9.1。</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资格证明文件不全的或者不符合采购文件标明的资格要求的</w:t>
            </w:r>
            <w:r>
              <w:rPr>
                <w:rFonts w:hint="eastAsia" w:ascii="宋体" w:hAnsi="宋体" w:eastAsia="宋体" w:cs="宋体"/>
                <w:color w:val="auto"/>
                <w:sz w:val="21"/>
                <w:szCs w:val="21"/>
                <w:highlight w:val="none"/>
                <w:lang w:val="zh-CN"/>
              </w:rPr>
              <w:t>，视为供应商不具备采购文件中规定的资格要求，响应无效。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w:t>
            </w:r>
            <w:r>
              <w:rPr>
                <w:rFonts w:hint="eastAsia" w:ascii="宋体" w:hAnsi="宋体" w:eastAsia="宋体" w:cs="宋体"/>
                <w:bCs/>
                <w:snapToGrid w:val="0"/>
                <w:color w:val="auto"/>
                <w:kern w:val="2"/>
                <w:sz w:val="22"/>
                <w:szCs w:val="22"/>
                <w:highlight w:val="none"/>
                <w:lang w:val="en-US" w:eastAsia="zh-CN" w:bidi="ar-SA"/>
              </w:rPr>
              <w:t>尚桥科技园区电力配套（一期）工程-市政业扩及迁改工程—土建部分</w:t>
            </w:r>
            <w:r>
              <w:rPr>
                <w:rFonts w:hint="eastAsia" w:ascii="宋体" w:hAnsi="宋体" w:eastAsia="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建筑</w:t>
            </w:r>
            <w:r>
              <w:rPr>
                <w:rFonts w:hint="eastAsia" w:ascii="宋体" w:hAnsi="宋体" w:eastAsia="宋体" w:cs="宋体"/>
                <w:color w:val="auto"/>
                <w:kern w:val="0"/>
                <w:sz w:val="21"/>
                <w:szCs w:val="21"/>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2"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sz w:val="21"/>
                <w:szCs w:val="21"/>
                <w:highlight w:val="none"/>
              </w:rPr>
              <w:t>本采购</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根据国家发改委发改办价格[2003]857号通知和原国家计委计价格[2002]1980号文件规定的服务招标费率标准收取</w:t>
            </w:r>
            <w:r>
              <w:rPr>
                <w:rFonts w:hint="eastAsia" w:ascii="宋体" w:hAnsi="宋体" w:eastAsia="宋体" w:cs="宋体"/>
                <w:color w:val="auto"/>
                <w:sz w:val="21"/>
                <w:szCs w:val="21"/>
                <w:highlight w:val="none"/>
                <w:lang w:eastAsia="zh-CN"/>
              </w:rPr>
              <w:t>代理服务费</w:t>
            </w:r>
            <w:r>
              <w:rPr>
                <w:rFonts w:hint="eastAsia" w:ascii="宋体" w:hAnsi="宋体" w:eastAsia="宋体" w:cs="宋体"/>
                <w:color w:val="auto"/>
                <w:sz w:val="21"/>
                <w:szCs w:val="21"/>
                <w:highlight w:val="none"/>
              </w:rPr>
              <w:t>，按照成交通知书确定的成交总金额，向成交人收取代理服务费。成交人应在本公司发出成交通知书5个工作日内向本采购</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支付代理服务费。代理服务费只收现金、银行票汇款、电汇款。</w:t>
            </w:r>
          </w:p>
        </w:tc>
      </w:tr>
      <w:bookmarkEnd w:id="10"/>
    </w:tbl>
    <w:p>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bookmarkStart w:id="11" w:name="第三部分"/>
      <w:bookmarkStart w:id="12" w:name="_Toc164416483"/>
      <w:bookmarkStart w:id="13" w:name="第四部分"/>
      <w:r>
        <w:rPr>
          <w:rFonts w:hint="eastAsia" w:asciiTheme="minorEastAsia" w:hAnsiTheme="minorEastAsia" w:eastAsiaTheme="minorEastAsia" w:cstheme="minorEastAsia"/>
          <w:b/>
          <w:color w:val="auto"/>
          <w:sz w:val="32"/>
          <w:szCs w:val="20"/>
          <w:highlight w:val="none"/>
        </w:rPr>
        <w:t>一、总则</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适用范围</w:t>
      </w:r>
    </w:p>
    <w:p>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文件适用于该项目的</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响应文件开启</w:t>
      </w:r>
      <w:r>
        <w:rPr>
          <w:rFonts w:hint="eastAsia" w:asciiTheme="minorEastAsia" w:hAnsiTheme="minorEastAsia" w:eastAsiaTheme="minorEastAsia" w:cstheme="minorEastAsia"/>
          <w:color w:val="auto"/>
          <w:sz w:val="21"/>
          <w:szCs w:val="21"/>
          <w:highlight w:val="none"/>
        </w:rPr>
        <w:t>、资格审查及信用信息查询、评</w:t>
      </w:r>
      <w:r>
        <w:rPr>
          <w:rFonts w:hint="eastAsia" w:asciiTheme="minorEastAsia" w:hAnsiTheme="minorEastAsia" w:eastAsiaTheme="minorEastAsia" w:cstheme="minorEastAsia"/>
          <w:color w:val="auto"/>
          <w:sz w:val="21"/>
          <w:szCs w:val="21"/>
          <w:highlight w:val="none"/>
          <w:lang w:eastAsia="zh-CN"/>
        </w:rPr>
        <w:t>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成交供应商确定</w:t>
      </w:r>
      <w:r>
        <w:rPr>
          <w:rFonts w:hint="eastAsia" w:asciiTheme="minorEastAsia" w:hAnsiTheme="minorEastAsia" w:eastAsiaTheme="minorEastAsia" w:cstheme="minorEastAsia"/>
          <w:color w:val="auto"/>
          <w:sz w:val="21"/>
          <w:szCs w:val="21"/>
          <w:highlight w:val="none"/>
        </w:rPr>
        <w:t>、合同、验收等行为（法律、法规另有规定的，从其规定）。</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定义</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“采购人”系指竞争性磋商公告中载明的本项目的采购人。</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机构”系指竞争性磋商公告中载明的本项目的采购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 “</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”系指是指响应</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、参加</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竞争的法人、其他组织或者自然人。</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 “负责人”系指法人企业的法定负责人，或其他组织为法律、行政法规规定代表单位行使职权的主要负责人，或自然人本人。</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2.5“电子签名”系指数据电文中以电子形式所含、所附用于识别签名人身份并表明签名人认可其中内容的数据；“公章”系指单位法定名称章。</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2.6“电子交易平台”是指本项目政府采购活动所依托的政府采购云平台（https://www.zcygov.cn/）。</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 “▲” 系指实质性要求条款，“</w:t>
      </w:r>
      <w:r>
        <w:rPr>
          <w:rFonts w:hint="eastAsia" w:ascii="宋体" w:hAnsi="宋体" w:eastAsia="宋体" w:cs="宋体"/>
          <w:color w:val="auto"/>
          <w:kern w:val="0"/>
          <w:sz w:val="21"/>
          <w:szCs w:val="21"/>
          <w:highlight w:val="none"/>
        </w:rPr>
        <w:sym w:font="Wingdings" w:char="F0FE"/>
      </w:r>
      <w:r>
        <w:rPr>
          <w:rFonts w:hint="eastAsia" w:asciiTheme="minorEastAsia" w:hAnsiTheme="minorEastAsia" w:eastAsiaTheme="minorEastAsia" w:cstheme="minorEastAsia"/>
          <w:color w:val="auto"/>
          <w:sz w:val="21"/>
          <w:szCs w:val="21"/>
          <w:highlight w:val="none"/>
        </w:rPr>
        <w:t>” 系指适用本项目的要求，“</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 系指不适用本项目的要求。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采购项目需要落实的政府采购政策</w:t>
      </w:r>
    </w:p>
    <w:p>
      <w:pPr>
        <w:numPr>
          <w:ilvl w:val="1"/>
          <w:numId w:val="2"/>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本项目不允许采购进口产品。</w:t>
      </w:r>
    </w:p>
    <w:p>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支持绿色发展</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3.3支持中小企业发展</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符合中小企业划分标准的个体工商户，在政府采购活动中视同中小企业。</w:t>
      </w:r>
    </w:p>
    <w:p>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3.3.2</w:t>
      </w:r>
      <w:r>
        <w:rPr>
          <w:rFonts w:hint="eastAsia" w:asciiTheme="minorEastAsia" w:hAnsiTheme="minorEastAsia" w:eastAsiaTheme="minorEastAsia" w:cstheme="minorEastAsia"/>
          <w:color w:val="auto"/>
          <w:kern w:val="0"/>
          <w:sz w:val="21"/>
          <w:szCs w:val="21"/>
          <w:highlight w:val="none"/>
        </w:rPr>
        <w:t>在政府采购活动中，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提供的货物、工程或者服务符合下列情形的，享受中小企业扶持政策：</w:t>
      </w:r>
    </w:p>
    <w:p>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3.3.2.1在货物采购项目中，货物由中小企业制造，即货物由中小企业生产且使用该中小企业商号或者注册商标；</w:t>
      </w:r>
    </w:p>
    <w:p>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3.3.2.2在工程采购项目中，工程由中小企业承建，即工程施工单位为中小企业；</w:t>
      </w:r>
    </w:p>
    <w:p>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3.3.2.3在服务采购项目中，服务由中小企业承接，即提供服务的人员为中小企业依照《中华人民共和国劳动合同法》订立劳动合同的从业人员。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在货物采购项目中，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提供的货物既有中小企业制造货物，也有大型企业制造货物的，不享受中小企业扶持政策。</w:t>
      </w:r>
    </w:p>
    <w:p>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3.3.3对于未预留份额专门面向中小企业的政府采购货物或服务或工程项目，以及预留份额政府采购货物或服务项目中的非预留部分标项，对小型和微型企业的</w:t>
      </w:r>
      <w:r>
        <w:rPr>
          <w:rFonts w:hint="eastAsia" w:asciiTheme="minorEastAsia" w:hAnsiTheme="minorEastAsia" w:eastAsiaTheme="minorEastAsia" w:cstheme="minorEastAsia"/>
          <w:color w:val="auto"/>
          <w:sz w:val="21"/>
          <w:szCs w:val="21"/>
          <w:highlight w:val="none"/>
          <w:lang w:eastAsia="zh-CN"/>
        </w:rPr>
        <w:t>谈判</w:t>
      </w:r>
      <w:r>
        <w:rPr>
          <w:rFonts w:hint="eastAsia" w:asciiTheme="minorEastAsia" w:hAnsiTheme="minorEastAsia" w:eastAsiaTheme="minorEastAsia" w:cstheme="minorEastAsia"/>
          <w:color w:val="auto"/>
          <w:sz w:val="21"/>
          <w:szCs w:val="21"/>
          <w:highlight w:val="none"/>
        </w:rPr>
        <w:t>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%（工程项目为 2%）的扣除，用扣除后的价格参加评审。组成联合体或者接受分包的小微企业与联合体内其他企业、分包企业之间存在直接控股、管理关系的，不享受价格扣除优惠政策。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3.3.4符合《关于促进残疾人就业政府采购政策的通知》（财库〔2017〕141号）规定的条件并提供《残疾人福利性单位声明函》的残疾人福利性单位视同小型、微型企业；</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3.3.6可享受中小企业扶持政策的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文件格式要求提供《中小企业声明函》，</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提供的《中小企业声明函》与实际情况不符的，不享受中小企业扶持政策。声明内容不实的，属于提供虚假材料谋取中标、成交的，依法承担法律责任。</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3.3.7中小企业享受扶持政策获得政府采购合同的，小微企业不得将合同分包给大中型企业，中型企业不得将合同分包给大型企业。</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特别说明</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color w:val="auto"/>
          <w:sz w:val="21"/>
          <w:szCs w:val="21"/>
          <w:highlight w:val="none"/>
        </w:rPr>
        <w:t>关于分公司</w:t>
      </w:r>
      <w:r>
        <w:rPr>
          <w:rFonts w:hint="eastAsia" w:asciiTheme="minorEastAsia" w:hAnsiTheme="minorEastAsia" w:eastAsiaTheme="minorEastAsia" w:cstheme="minorEastAsia"/>
          <w:color w:val="auto"/>
          <w:sz w:val="21"/>
          <w:szCs w:val="21"/>
          <w:highlight w:val="none"/>
          <w:lang w:eastAsia="zh-CN"/>
        </w:rPr>
        <w:t>磋商响应</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除银行、保险、石油石化、电力、电信等特殊行业外。法人的分支机构由于不能独立承担民事责任，不能以分支机构的身份参加政府采购，只能</w:t>
      </w:r>
      <w:r>
        <w:rPr>
          <w:rFonts w:hint="eastAsia" w:asciiTheme="minorEastAsia" w:hAnsiTheme="minorEastAsia" w:eastAsiaTheme="minorEastAsia" w:cstheme="minorEastAsia"/>
          <w:color w:val="auto"/>
          <w:sz w:val="21"/>
          <w:szCs w:val="21"/>
          <w:highlight w:val="none"/>
          <w:lang w:eastAsia="zh-CN"/>
        </w:rPr>
        <w:t>以</w:t>
      </w:r>
      <w:r>
        <w:rPr>
          <w:rFonts w:hint="eastAsia" w:asciiTheme="minorEastAsia" w:hAnsiTheme="minorEastAsia" w:eastAsiaTheme="minorEastAsia" w:cstheme="minorEastAsia"/>
          <w:color w:val="auto"/>
          <w:sz w:val="21"/>
          <w:szCs w:val="21"/>
          <w:highlight w:val="none"/>
        </w:rPr>
        <w:t xml:space="preserve">法人身份参加。 </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4.2关于知识产权</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必须保证，采购人在中华人民共和国境内使用</w:t>
      </w:r>
      <w:r>
        <w:rPr>
          <w:rFonts w:hint="eastAsia" w:asciiTheme="minorEastAsia" w:hAnsiTheme="minorEastAsia" w:eastAsiaTheme="minorEastAsia" w:cstheme="minorEastAsia"/>
          <w:color w:val="auto"/>
          <w:sz w:val="21"/>
          <w:szCs w:val="21"/>
          <w:highlight w:val="none"/>
          <w:lang w:eastAsia="zh-CN"/>
        </w:rPr>
        <w:t>磋商响应</w:t>
      </w:r>
      <w:r>
        <w:rPr>
          <w:rFonts w:hint="eastAsia" w:asciiTheme="minorEastAsia" w:hAnsiTheme="minorEastAsia" w:eastAsiaTheme="minorEastAsia" w:cstheme="minorEastAsia"/>
          <w:color w:val="auto"/>
          <w:sz w:val="21"/>
          <w:szCs w:val="21"/>
          <w:highlight w:val="none"/>
        </w:rPr>
        <w:t>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报价应包含所有应向所有权人支付的专利权、商标权或其它知识产权的一切相关费用。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承担所有责任及费用。</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的风险</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应详细阅读</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中的全部内容和要求，按照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的要求提交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文件，没有按照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要求提供</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文件和资料导致的风险由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承担,并对所提供的全部资料的真实性承担法律责任。</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无论因何种原因导致本次采购活动终止致</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损失的，相关责任人均不承担任何责任。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询问、质疑、投诉</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.1供应商询问</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.2供应商质疑</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.1提出质疑的供应商应当是参与所质疑项目采购活动的供应商。潜在供应商已依法获取其可质疑的</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文件的，可以对该文件提出质疑。</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.2供应商认为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提出质疑，否则，采购人或者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不予受理：</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5.2.2.1对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文件提出质疑的，质疑期限为供应商获得</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文件之日或者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文件公告期限届满之日起计算。</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5.2.2.2对采购过程提出质疑的，质疑期限为各采购程序环节结束之日起计算。</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5.2.2.3对采购结果提出质疑的，质疑期限自采购结果公告期限届满之日起计算。</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5.2.2.4对同一采购程序环节的质疑，供应商须一次性提出。</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w:t>
      </w:r>
      <w:r>
        <w:rPr>
          <w:rFonts w:hint="eastAsia" w:asciiTheme="minorEastAsia" w:hAnsiTheme="minorEastAsia" w:eastAsiaTheme="minorEastAsia" w:cstheme="minorEastAsia"/>
          <w:color w:val="auto"/>
          <w:sz w:val="21"/>
          <w:szCs w:val="21"/>
          <w:highlight w:val="none"/>
          <w:lang w:val="en-US" w:eastAsia="zh-CN"/>
        </w:rPr>
        <w:t>供应商提出质疑应当提交质疑函和必要的证明材料。质疑函应当包括下列内容：</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.2.3.1供应商的姓名或者名称、地址、邮编、联系人及联系电话；</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.2.3.2质疑项目的名称、编号；</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.2.3.3具体、明确的质疑事项和与质疑事项相关的请求；</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.2.3.4事实依据；</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.2.3.5必要的法律依据；</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.2.3.6提出质疑的日期。</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5.2.3.7对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文件提出质疑的需要提供在政采云平台获取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文件的截图。</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质疑函范本请到浙江政府采购网下载专区下载。</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.4采购人或者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应当在收到供应商的书面质疑后七个工作日内作出答复，并以书面形式通知质疑供应商和其他与质疑处理结果有利害关系的政府采购当事人，但答复的内容不得涉及商业秘密。</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.5询问或者质疑事项可能影响采购结果的，采购人应当暂停签订合同，已经签订合同的，应当中止履行合同。</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.3供应商投诉</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5.3.1质疑供应商对采购人、采购代理机构的答复不满意或者采购人、采购代理机构未在规定的时间内作出答复的，可以在答复期满后十五个工作日内向集团纪检部门提出投诉，集团纪检部门应当在收到投诉后三十个工作日内，对投诉事项作出处理决定，并以书面形式通知投诉人和与投诉事项有关的当事人。</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供应商投诉的事项不得超出已质疑事项的范围，基于质疑答复内容提出的投诉事项除外。</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5.3.3供应商投诉应当有明确的请求和必要的证明材料。</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5.3.4 以联合体形式参加政府采购活动的，其投诉应当由组成联合体的所有供应商共同提出。</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FF"/>
          <w:sz w:val="21"/>
          <w:szCs w:val="21"/>
          <w:highlight w:val="none"/>
          <w:lang w:val="en-US" w:eastAsia="zh-CN"/>
        </w:rPr>
        <w:t>5.3.5投诉人对集团纪检部门的投诉处理决定不服或集团纪检部门逾期未作处理的，可以向区国资段落中心反映。供应商或相关厉害关系人在采购过程中发现涉及违法违纪行为或造成国有资产损失的，可以向纪检监察部门和区国资管理中心反映。举报违法行为，应提供有效线索和证明材料。</w:t>
      </w:r>
      <w:r>
        <w:rPr>
          <w:rFonts w:hint="eastAsia" w:asciiTheme="minorEastAsia" w:hAnsiTheme="minorEastAsia" w:eastAsiaTheme="minorEastAsia" w:cstheme="minorEastAsia"/>
          <w:color w:val="auto"/>
          <w:sz w:val="21"/>
          <w:szCs w:val="21"/>
          <w:highlight w:val="none"/>
          <w:lang w:val="en-US" w:eastAsia="zh-CN"/>
        </w:rPr>
        <w:t xml:space="preserve"> </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投诉书范本请到浙江政府采购网下载专区下载。</w:t>
      </w:r>
    </w:p>
    <w:p>
      <w:pPr>
        <w:spacing w:line="360" w:lineRule="auto"/>
        <w:ind w:firstLine="420" w:firstLineChars="20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b/>
          <w:color w:val="auto"/>
          <w:sz w:val="32"/>
          <w:szCs w:val="20"/>
          <w:highlight w:val="none"/>
        </w:rPr>
        <w:t xml:space="preserve">   </w:t>
      </w:r>
    </w:p>
    <w:p>
      <w:pP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p>
    <w:p>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w:t>
      </w:r>
      <w:r>
        <w:rPr>
          <w:rFonts w:hint="eastAsia" w:asciiTheme="minorEastAsia" w:hAnsiTheme="minorEastAsia" w:eastAsiaTheme="minorEastAsia" w:cstheme="minorEastAsia"/>
          <w:b/>
          <w:color w:val="auto"/>
          <w:sz w:val="32"/>
          <w:szCs w:val="20"/>
          <w:highlight w:val="none"/>
          <w:lang w:eastAsia="zh-CN"/>
        </w:rPr>
        <w:t>竞争性磋商</w:t>
      </w:r>
      <w:r>
        <w:rPr>
          <w:rFonts w:hint="eastAsia" w:asciiTheme="minorEastAsia" w:hAnsiTheme="minorEastAsia" w:eastAsiaTheme="minorEastAsia" w:cstheme="minorEastAsia"/>
          <w:b/>
          <w:color w:val="auto"/>
          <w:sz w:val="32"/>
          <w:szCs w:val="20"/>
          <w:highlight w:val="none"/>
        </w:rPr>
        <w:t>文件的构成、澄清、修改</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文件的构成</w:t>
      </w:r>
    </w:p>
    <w:p>
      <w:pPr>
        <w:pStyle w:val="13"/>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文件包括下列文件及附件：</w:t>
      </w:r>
    </w:p>
    <w:p>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6.1.1 竞争性磋商公告；</w:t>
      </w:r>
    </w:p>
    <w:p>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6.1.2 </w:t>
      </w:r>
      <w:r>
        <w:rPr>
          <w:rFonts w:hint="eastAsia" w:asciiTheme="minorEastAsia" w:hAnsiTheme="minorEastAsia" w:eastAsiaTheme="minorEastAsia" w:cstheme="minorEastAsia"/>
          <w:color w:val="auto"/>
          <w:sz w:val="21"/>
          <w:szCs w:val="21"/>
          <w:highlight w:val="none"/>
          <w:lang w:val="zh-CN" w:eastAsia="zh-CN"/>
        </w:rPr>
        <w:t>响应</w:t>
      </w:r>
      <w:r>
        <w:rPr>
          <w:rFonts w:hint="eastAsia" w:asciiTheme="minorEastAsia" w:hAnsiTheme="minorEastAsia" w:eastAsiaTheme="minorEastAsia" w:cstheme="minorEastAsia"/>
          <w:color w:val="auto"/>
          <w:sz w:val="21"/>
          <w:szCs w:val="21"/>
          <w:highlight w:val="none"/>
          <w:lang w:val="en-US" w:eastAsia="zh-CN"/>
        </w:rPr>
        <w:t>须知；</w:t>
      </w:r>
    </w:p>
    <w:p>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6.1.3 采购需求；</w:t>
      </w:r>
    </w:p>
    <w:p>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6.1.4 评审办法；</w:t>
      </w:r>
    </w:p>
    <w:p>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6.1.5 拟签订的合同文本；</w:t>
      </w:r>
    </w:p>
    <w:p>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6.1.6 应提交的有关格式范例。</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.2与本项目有关的</w:t>
      </w:r>
      <w:r>
        <w:rPr>
          <w:rFonts w:hint="eastAsia" w:asciiTheme="minorEastAsia" w:hAnsiTheme="minorEastAsia" w:eastAsiaTheme="minorEastAsia" w:cstheme="minorEastAsia"/>
          <w:bCs/>
          <w:color w:val="auto"/>
          <w:sz w:val="21"/>
          <w:szCs w:val="21"/>
          <w:highlight w:val="none"/>
        </w:rPr>
        <w:t>澄清或者修改的内容为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bCs/>
          <w:color w:val="auto"/>
          <w:sz w:val="21"/>
          <w:szCs w:val="21"/>
          <w:highlight w:val="none"/>
        </w:rPr>
        <w:t>文件的组成部分</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文件的澄清、修改</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7.1 采购人对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文件进行必要的澄清或者修改的，在采购信息发布网站上发布更正公告。澄清或者修改的内容可能影响响应文件编制的，更正公告在响应截止时间至少5日前发出；不足5日的，顺延提交响应文件截止时间。</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7.2 更正公告为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文件的组成部分，一经在网站发布，视同已通知所有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文件的收受人，不再采用其它方式传达相关信息, 若因未能及时了解到上述网站上发布的相关信息而导致的一切后果自行承担。</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7.3 如更正公告有重新发布电子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应下载最新发布的电子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文件制作响应文件。</w:t>
      </w:r>
    </w:p>
    <w:p>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7.4 已获取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文件的潜在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，若有问题需要澄清，应于响应截止时间前，以书面形式向采购代理机构提出。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在规定的时间内未对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文件提出疑问、质疑或要求澄清的，将视其为无异议。对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w:t>
      </w:r>
    </w:p>
    <w:p>
      <w:pPr>
        <w:adjustRightInd/>
        <w:spacing w:line="360" w:lineRule="auto"/>
        <w:jc w:val="center"/>
        <w:outlineLvl w:val="0"/>
        <w:rPr>
          <w:rFonts w:hint="eastAsia" w:asciiTheme="minorEastAsia" w:hAnsiTheme="minorEastAsia" w:eastAsiaTheme="minorEastAsia" w:cstheme="minorEastAsia"/>
          <w:b/>
          <w:color w:val="auto"/>
          <w:sz w:val="30"/>
          <w:szCs w:val="20"/>
          <w:highlight w:val="none"/>
          <w:lang w:eastAsia="zh-CN"/>
        </w:rPr>
      </w:pPr>
      <w:r>
        <w:rPr>
          <w:rFonts w:hint="eastAsia" w:asciiTheme="minorEastAsia" w:hAnsiTheme="minorEastAsia" w:eastAsiaTheme="minorEastAsia" w:cstheme="minorEastAsia"/>
          <w:b/>
          <w:color w:val="auto"/>
          <w:sz w:val="30"/>
          <w:szCs w:val="20"/>
          <w:highlight w:val="none"/>
        </w:rPr>
        <w:br w:type="page"/>
      </w:r>
      <w:r>
        <w:rPr>
          <w:rFonts w:hint="eastAsia" w:asciiTheme="minorEastAsia" w:hAnsiTheme="minorEastAsia" w:eastAsiaTheme="minorEastAsia" w:cstheme="minorEastAsia"/>
          <w:b/>
          <w:color w:val="auto"/>
          <w:sz w:val="30"/>
          <w:szCs w:val="20"/>
          <w:highlight w:val="none"/>
        </w:rPr>
        <w:t>三、</w:t>
      </w:r>
      <w:r>
        <w:rPr>
          <w:rFonts w:hint="eastAsia" w:asciiTheme="minorEastAsia" w:hAnsiTheme="minorEastAsia" w:eastAsiaTheme="minorEastAsia" w:cstheme="minorEastAsia"/>
          <w:b/>
          <w:color w:val="auto"/>
          <w:sz w:val="30"/>
          <w:szCs w:val="20"/>
          <w:highlight w:val="none"/>
          <w:lang w:eastAsia="zh-CN"/>
        </w:rPr>
        <w:t>响应</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文件的语言</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与采购有关的来往通知、函件和文件均应使用中文。</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文件的组成</w:t>
      </w:r>
    </w:p>
    <w:p>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资格文件：</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9.1.1有效的企业法人营业执照（或事业法人登记证）、其他组织（个体工商户）的营业执照或者民办非企业单位登记证书；</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9.1.2符合参加政府采购活动应当具备的一般条件的承诺函(格式见第六部分)；</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9.1.3落实政府采购政策需满足的资格要求（如适用）；</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9.1.4本项目的特定资格要求。</w:t>
      </w:r>
    </w:p>
    <w:p>
      <w:pPr>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9.1.5其他资料（如有）</w:t>
      </w:r>
    </w:p>
    <w:p>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zh-CN" w:eastAsia="zh-CN"/>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val="zh-CN"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商务技术</w:t>
      </w:r>
      <w:r>
        <w:rPr>
          <w:rFonts w:hint="eastAsia" w:asciiTheme="minorEastAsia" w:hAnsiTheme="minorEastAsia" w:eastAsiaTheme="minorEastAsia" w:cstheme="minorEastAsia"/>
          <w:b/>
          <w:bCs/>
          <w:color w:val="auto"/>
          <w:sz w:val="21"/>
          <w:szCs w:val="21"/>
          <w:highlight w:val="none"/>
          <w:lang w:val="zh-CN" w:eastAsia="zh-CN"/>
        </w:rPr>
        <w:t>文件：</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 评分索引表；</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9.2.2符合性自查表；</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9.2.3 磋商函；</w:t>
      </w:r>
      <w:r>
        <w:rPr>
          <w:rFonts w:hint="eastAsia" w:asciiTheme="minorEastAsia" w:hAnsiTheme="minorEastAsia" w:eastAsiaTheme="minorEastAsia" w:cstheme="minorEastAsia"/>
          <w:color w:val="auto"/>
          <w:sz w:val="21"/>
          <w:szCs w:val="21"/>
          <w:highlight w:val="none"/>
          <w:lang w:val="zh-CN" w:eastAsia="zh-CN"/>
        </w:rPr>
        <w:t xml:space="preserve"> </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9.2.4 授权委托书或法定代表人（单位负责人、自然人本人）身份证明；</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9.2.5 供应商情况表；</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9.2.6 距采购人最近或者能为本项目提供最优服务的网点情况表；</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7 评标标准相应的商务技术资料；</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9.2.8 商务响应表；</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9.2.9 技术响应表；</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9.2.10 同类业绩情况一览表；</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9.2.11</w:t>
      </w:r>
      <w:r>
        <w:rPr>
          <w:rFonts w:hint="eastAsia" w:asciiTheme="minorEastAsia" w:hAnsiTheme="minorEastAsia" w:eastAsiaTheme="minorEastAsia" w:cstheme="minorEastAsia"/>
          <w:color w:val="auto"/>
          <w:sz w:val="21"/>
          <w:szCs w:val="21"/>
          <w:highlight w:val="none"/>
          <w:lang w:val="zh-CN" w:eastAsia="zh-CN"/>
        </w:rPr>
        <w:t>政府采购供应商廉洁自律承诺书；</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9.2.12其他资料（如有）。</w:t>
      </w:r>
    </w:p>
    <w:p>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single"/>
          <w:lang w:val="zh-CN"/>
        </w:rPr>
      </w:pPr>
      <w:r>
        <w:rPr>
          <w:rFonts w:hint="eastAsia" w:asciiTheme="minorEastAsia" w:hAnsiTheme="minorEastAsia" w:eastAsiaTheme="minorEastAsia" w:cstheme="minorEastAsia"/>
          <w:b/>
          <w:bCs/>
          <w:color w:val="auto"/>
          <w:kern w:val="0"/>
          <w:sz w:val="21"/>
          <w:szCs w:val="21"/>
          <w:highlight w:val="none"/>
          <w:lang w:val="en-US" w:eastAsia="zh-CN"/>
        </w:rPr>
        <w:t>9</w:t>
      </w: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kern w:val="0"/>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 xml:space="preserve">报价文件： </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9.3.1 报价一览表；</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9.3.2 中小企业声明函（如有）；</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9.3.3残疾人福利性单位声明函（如有）；</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9.3.4监狱企业的证明文件（如有）；</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9.3.5 政府采购统计基础信息表；</w:t>
      </w:r>
    </w:p>
    <w:p>
      <w:pPr>
        <w:pStyle w:val="35"/>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9.3.6其他资料（如有）</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响应文件的编制</w:t>
      </w:r>
    </w:p>
    <w:p>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 w:val="21"/>
          <w:szCs w:val="21"/>
          <w:highlight w:val="none"/>
          <w:lang w:val="en-US" w:eastAsia="zh-CN"/>
        </w:rPr>
        <w:t>未有规定格式的资料，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rPr>
        <w:t>应自行编制，但至少须包含9.响应文件组成中的内容。</w:t>
      </w:r>
      <w:r>
        <w:rPr>
          <w:rFonts w:hint="eastAsia" w:asciiTheme="minorEastAsia" w:hAnsiTheme="minorEastAsia" w:eastAsiaTheme="minorEastAsia" w:cstheme="minorEastAsia"/>
          <w:color w:val="auto"/>
          <w:kern w:val="0"/>
          <w:sz w:val="21"/>
          <w:szCs w:val="21"/>
          <w:highlight w:val="none"/>
          <w:lang w:val="zh-CN"/>
        </w:rPr>
        <w:t>混乱的编排导致响应文件被误读或磋商小组查找不到有效文件是供应商的风险。</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.2供应商进行电子投标应安装客户端软件—“政采云电子交易客户端”，并按照竞争性磋商文件和电子交易平台的要求编制并加密响应文件。供应商未按规定加密的响应文件，电子交易平台将拒收并提示。</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.3使用“政采云电子交易客户端”需要提前申领CA数字证书，申领流程请自行前往“浙江政府采购网-下载专区-电子交易客户端-CA驱动和申领流程”进行查阅。</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文件的签署、盖章</w:t>
      </w:r>
    </w:p>
    <w:p>
      <w:pPr>
        <w:pStyle w:val="51"/>
        <w:snapToGrid w:val="0"/>
        <w:spacing w:before="0" w:line="360" w:lineRule="auto"/>
        <w:ind w:firstLine="48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文件第六部分格式要求进行签署、盖章。</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文件未按照</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文件要求签署、盖章的，其</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r>
        <w:rPr>
          <w:rFonts w:hint="eastAsia" w:asciiTheme="minorEastAsia" w:hAnsiTheme="minorEastAsia" w:eastAsiaTheme="minorEastAsia" w:cstheme="minorEastAsia"/>
          <w:color w:val="auto"/>
          <w:sz w:val="21"/>
          <w:szCs w:val="21"/>
          <w:highlight w:val="none"/>
        </w:rPr>
        <w:t>。</w:t>
      </w:r>
    </w:p>
    <w:p>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.2为确保网上操作合法、有效和安全，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截止时间前完成在“政府采购云平台”的身份认证，确保在电子投标过程中能够对相关数据电文进行加密和使用电子签名。</w:t>
      </w:r>
    </w:p>
    <w:p>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文件签署、盖章的要求适用于电子签名。</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响应文件的提交、补充、修改、撤回</w:t>
      </w:r>
    </w:p>
    <w:p>
      <w:pPr>
        <w:pStyle w:val="51"/>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 供应商应当在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文件的传输递交，并可以补充、修改或者撤回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文件。补充或者修改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文件的，应当先行撤回原文件，补充、修改后重新传输递交。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截止时间前未完成传输的，视为撤回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截止时间后递交的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文件，电子交易平台将拒收。</w:t>
      </w:r>
    </w:p>
    <w:p>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.2电子交易平台收到</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文件，将妥善保存并即时向供应商发出确认回执通知。在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截止时间前，除供应商补充、修改或者撤回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文件外，任何单位和个人不得解密或提取</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p>
    <w:p>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.3采购人、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可以视情况延长</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文件提交的截止时间。在上述情况下，</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以前在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截止期方面的全部权利、责任和义务，将适用于延长至新的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响应有效期</w:t>
      </w:r>
    </w:p>
    <w:p>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有效期为从提交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文件的截止之日起90天。▲</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文件中承诺的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有效期少于</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文件中载明的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p>
    <w:p>
      <w:pPr>
        <w:pStyle w:val="51"/>
        <w:spacing w:before="0" w:line="360" w:lineRule="auto"/>
        <w:ind w:firstLine="643"/>
        <w:rPr>
          <w:rFonts w:hint="eastAsia" w:asciiTheme="minorEastAsia" w:hAnsiTheme="minorEastAsia" w:eastAsiaTheme="minorEastAsia" w:cstheme="minorEastAsia"/>
          <w:b/>
          <w:color w:val="auto"/>
          <w:sz w:val="32"/>
          <w:highlight w:val="none"/>
        </w:rPr>
      </w:pPr>
    </w:p>
    <w:p>
      <w:pPr>
        <w:pStyle w:val="51"/>
        <w:spacing w:before="0" w:line="360" w:lineRule="auto"/>
        <w:ind w:left="0" w:leftChars="0"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w:t>
      </w:r>
      <w:r>
        <w:rPr>
          <w:rFonts w:hint="eastAsia" w:asciiTheme="minorEastAsia" w:hAnsiTheme="minorEastAsia" w:eastAsiaTheme="minorEastAsia" w:cstheme="minorEastAsia"/>
          <w:b/>
          <w:color w:val="auto"/>
          <w:sz w:val="32"/>
          <w:highlight w:val="none"/>
          <w:lang w:eastAsia="zh-CN"/>
        </w:rPr>
        <w:t>响应文件开启</w:t>
      </w:r>
      <w:r>
        <w:rPr>
          <w:rFonts w:hint="eastAsia" w:asciiTheme="minorEastAsia" w:hAnsiTheme="minorEastAsia" w:eastAsiaTheme="minorEastAsia" w:cstheme="minorEastAsia"/>
          <w:b/>
          <w:color w:val="auto"/>
          <w:sz w:val="32"/>
          <w:highlight w:val="none"/>
        </w:rPr>
        <w:t>、资格审查与信用信息查询</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 xml:space="preserve">响应文件开启 </w:t>
      </w:r>
    </w:p>
    <w:p>
      <w:pPr>
        <w:pStyle w:val="46"/>
        <w:spacing w:before="0" w:line="360" w:lineRule="auto"/>
        <w:ind w:left="0" w:firstLine="420" w:firstLineChars="2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文件规定的时间通过电子交易平台组织</w:t>
      </w:r>
      <w:r>
        <w:rPr>
          <w:rFonts w:hint="eastAsia" w:asciiTheme="minorEastAsia" w:hAnsiTheme="minorEastAsia" w:eastAsiaTheme="minorEastAsia" w:cstheme="minorEastAsia"/>
          <w:color w:val="auto"/>
          <w:sz w:val="21"/>
          <w:szCs w:val="21"/>
          <w:highlight w:val="none"/>
          <w:lang w:val="en-US" w:eastAsia="zh-CN"/>
        </w:rPr>
        <w:t>响应文件开启</w:t>
      </w: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均应当准时在线参加。</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不足3家的，不得开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w:t>
      </w:r>
    </w:p>
    <w:p>
      <w:pPr>
        <w:pStyle w:val="46"/>
        <w:spacing w:before="0" w:line="360" w:lineRule="auto"/>
        <w:ind w:left="0" w:firstLine="210" w:firstLineChars="1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.2开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时，电子交易平台按</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sz w:val="21"/>
          <w:szCs w:val="21"/>
          <w:highlight w:val="none"/>
        </w:rPr>
        <w:t>时间自动提取所有</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依托电子交易平台发起开始解密指令，</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按照平台提示和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文件的规定在半小时内完成在线解密。</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资格审查</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kern w:val="0"/>
          <w:sz w:val="21"/>
          <w:szCs w:val="21"/>
          <w:highlight w:val="none"/>
        </w:rPr>
        <w:t>后，采购人或</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依据法律法规和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文件的规定，对</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的资格条件进行审查。</w:t>
      </w:r>
    </w:p>
    <w:p>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对未通过资格审查的</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，采购人或</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告知其未通过的原因。</w:t>
      </w:r>
    </w:p>
    <w:p>
      <w:pPr>
        <w:pStyle w:val="51"/>
        <w:spacing w:before="0" w:line="360" w:lineRule="auto"/>
        <w:ind w:firstLine="48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合格</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不足3家的，不再</w:t>
      </w:r>
      <w:r>
        <w:rPr>
          <w:rFonts w:hint="eastAsia" w:asciiTheme="minorEastAsia" w:hAnsiTheme="minorEastAsia" w:eastAsiaTheme="minorEastAsia" w:cstheme="minorEastAsia"/>
          <w:color w:val="auto"/>
          <w:sz w:val="21"/>
          <w:szCs w:val="21"/>
          <w:highlight w:val="none"/>
          <w:lang w:eastAsia="zh-CN"/>
        </w:rPr>
        <w:t>评审，但符合《政府采购竞争性磋商采购方式管理暂行办法》第二十一条第三款和《财政部关于政府采购竞争性磋商采购方式管理暂行办法有关问题的补充通知》规定的情形，采购活动可以继续进行。</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信用信息查询</w:t>
      </w:r>
    </w:p>
    <w:p>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.1信用信息查询渠道及截止时间：</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将通过“信用中国”网站(www.creditchina.gov.cn)、中国政府采购网(www.ccgp.gov.cn)渠道查询</w:t>
      </w:r>
      <w:r>
        <w:rPr>
          <w:rFonts w:hint="eastAsia" w:asciiTheme="minorEastAsia" w:hAnsiTheme="minorEastAsia" w:eastAsiaTheme="minorEastAsia" w:cstheme="minorEastAsia"/>
          <w:color w:val="auto"/>
          <w:kern w:val="0"/>
          <w:sz w:val="21"/>
          <w:szCs w:val="21"/>
          <w:highlight w:val="none"/>
          <w:lang w:eastAsia="zh-CN"/>
        </w:rPr>
        <w:t>供应商响应</w:t>
      </w:r>
      <w:r>
        <w:rPr>
          <w:rFonts w:hint="eastAsia" w:asciiTheme="minorEastAsia" w:hAnsiTheme="minorEastAsia" w:eastAsiaTheme="minorEastAsia" w:cstheme="minorEastAsia"/>
          <w:color w:val="auto"/>
          <w:kern w:val="0"/>
          <w:sz w:val="21"/>
          <w:szCs w:val="21"/>
          <w:highlight w:val="none"/>
        </w:rPr>
        <w:t>截止时间当天的信用记录。</w:t>
      </w:r>
    </w:p>
    <w:p>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将被拒绝参与政府采购活动。</w:t>
      </w:r>
    </w:p>
    <w:p>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五、评</w:t>
      </w:r>
      <w:r>
        <w:rPr>
          <w:rFonts w:hint="eastAsia" w:asciiTheme="minorEastAsia" w:hAnsiTheme="minorEastAsia" w:eastAsiaTheme="minorEastAsia" w:cstheme="minorEastAsia"/>
          <w:b/>
          <w:color w:val="auto"/>
          <w:sz w:val="36"/>
          <w:szCs w:val="36"/>
          <w:highlight w:val="none"/>
          <w:lang w:eastAsia="zh-CN"/>
        </w:rPr>
        <w:t>审</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bookmarkStart w:id="14" w:name="_Toc91899903"/>
      <w:r>
        <w:rPr>
          <w:rFonts w:hint="eastAsia" w:asciiTheme="minorEastAsia" w:hAnsiTheme="minorEastAsia" w:eastAsiaTheme="minorEastAsia" w:cstheme="minorEastAsia"/>
          <w:b/>
          <w:color w:val="auto"/>
          <w:sz w:val="21"/>
          <w:szCs w:val="21"/>
          <w:highlight w:val="none"/>
          <w:lang w:val="en-US" w:eastAsia="zh-CN"/>
        </w:rPr>
        <w:t>磋商小组</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17.1 本次采购依法组建磋商小组。磋商小组由采购人代表和评审专家组成，评审专家从专家库随机抽取。</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17.2 评标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 评审专家有下列情形之一的，受到邀请应主动提出回避，采购当事人也可以要求该评审专家回避：</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17.3.1 参加采购活动前三年内，与供应商存在劳动关系，或者担任过供应商的董事、监事，或者是供应商的控股股东或实际控制人；</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17.3.2 与供应商的法定代表人或者负责人有夫妻、直系血亲、三代以内旁系血亲或者近姻亲关系；</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17.3.3 任职单位与参加该采购项目供应商存在行政隶属关系；</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17.3.4 曾经参加过该采购项目的进口产品或招标文件、采购需求、采购方式的论证和咨询服务工作；</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17.3.5 是参加该采购项目供应商的上级主管部门、控股或参股单位的工作人员，或与该供应商存在其他经济利益关系；</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17.3.6 评标委员会成员之间具有配偶、近亲属关系等；</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17.3.7 法律、法规、规章规定应当回避以及其他可能影响政府采购活动公平、公正进行的关系。</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17.4 评标委员会判断投标文件的有效性、合格性和响应情况，仅依据投标人所递交一切文件的真实表述，不受与本项目无直接关联的外部信息、传言而影响自身的专业判断。</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评标</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磋商小组将根据竞争性磋商文件和有关规定，履行评标工作职责，并按照评标方法及评分标准，全面衡量各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对竞争性磋商文件的响应情况。对实质上响应竞争性磋商文件的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，按照评审因素的量化指标推荐综合得分排名第一的为中标候选人。</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得分相同的，按投标报价由低到高顺序排列。得分且投标报价相同的，投标文件满足招标文件全部实质性要求，且按照评审因素的量化指标评审得分最高的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为排名第一的中标候选人。</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详见招标文件第四部分评标办法。</w:t>
      </w:r>
    </w:p>
    <w:p>
      <w:pPr>
        <w:spacing w:line="360" w:lineRule="auto"/>
        <w:rPr>
          <w:rFonts w:hint="eastAsia" w:asciiTheme="minorEastAsia" w:hAnsiTheme="minorEastAsia" w:eastAsiaTheme="minorEastAsia" w:cstheme="minorEastAsia"/>
          <w:b/>
          <w:color w:val="auto"/>
          <w:sz w:val="24"/>
          <w:highlight w:val="none"/>
        </w:rPr>
      </w:pPr>
    </w:p>
    <w:p>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确定成交供应商</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color w:val="auto"/>
          <w:kern w:val="0"/>
          <w:sz w:val="21"/>
          <w:szCs w:val="21"/>
          <w:highlight w:val="none"/>
          <w:lang w:val="en-US" w:eastAsia="zh-CN"/>
        </w:rPr>
        <w:t>本项目由磋商小组直接</w:t>
      </w:r>
      <w:r>
        <w:rPr>
          <w:color w:val="auto"/>
          <w:kern w:val="0"/>
          <w:sz w:val="21"/>
          <w:szCs w:val="21"/>
          <w:highlight w:val="none"/>
        </w:rPr>
        <w:t>确定评审报告排序第一的供应商为成交供应商。</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成交通知与成交结果公告</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20.1自成交供应商确定之日起2个工作日内，采购代理机构通过电子交易平台向成交供应商发出成交通知书，同时编制发布采购结果公告。采购代理机构也可以以纸质形式进行成交通知。</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20.3公告期限为1个工作日。</w:t>
      </w:r>
    </w:p>
    <w:p>
      <w:pPr>
        <w:snapToGrid w:val="0"/>
        <w:spacing w:line="360" w:lineRule="auto"/>
        <w:jc w:val="both"/>
        <w:rPr>
          <w:rFonts w:hint="eastAsia" w:asciiTheme="minorEastAsia" w:hAnsiTheme="minorEastAsia" w:eastAsiaTheme="minorEastAsia" w:cstheme="minorEastAsia"/>
          <w:b/>
          <w:color w:val="auto"/>
          <w:sz w:val="32"/>
          <w:highlight w:val="none"/>
        </w:rPr>
      </w:pP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合同授予</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合同主要条款详见第五部分拟签订的合同文本。</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合同的签订</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22.1 采购人与成交供应商应当通过电子交易平台在成交通知书发出之日起三十日内，按照竞争性磋商文件及成交供应商的响应文件确定的事项签订政府采购合同，并在合同签订之日起2个工作日内依法发布合同公告。</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eastAsia="zh-CN"/>
        </w:rPr>
        <w:t>2</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eastAsia="zh-CN"/>
        </w:rPr>
        <w:t>.2成交供应商按规定的日期、时间、地点，由法定代表人或其授权代表与采购人代表签订合同。如成交人为联合体的，由联合体成员各方法定代表人或其授权代表与采购人代表签订合同。</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22.3如签订合同并生效后，供应商无故拒绝或延期，除按照合同条款处理外，列入不良行为记录名单，并给予通报。</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22.4</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供应商拒绝与采购人签订合同的，列入不良行为记录名单，采购人、采购代理机构重新开展政府采购活动。</w:t>
      </w:r>
    </w:p>
    <w:p>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22.5采购合同由采购人与</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供应商根据竞争性磋商文件、响应文件等内容通过政府采购电子交易平台在线签订，自动备案。</w:t>
      </w:r>
    </w:p>
    <w:p>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电子交易活动的中止</w:t>
      </w:r>
    </w:p>
    <w:p>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可中止电子交易活动：</w:t>
      </w:r>
    </w:p>
    <w:p>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.1电子交易平台发生故障而无法登录访问的； </w:t>
      </w:r>
    </w:p>
    <w:p>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.2电子交易平台应用或数据库出现错误，不能进行正常操作的；</w:t>
      </w:r>
    </w:p>
    <w:p>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.3电子交易平台发现严重安全漏洞，有潜在泄密危险的；</w:t>
      </w:r>
    </w:p>
    <w:p>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.4病毒发作导致不能进行正常操作的； </w:t>
      </w:r>
    </w:p>
    <w:p>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.5其他无法保证电子交易的公平、公正和安全的情况。</w:t>
      </w:r>
    </w:p>
    <w:p>
      <w:pPr>
        <w:snapToGrid w:val="0"/>
        <w:spacing w:line="360" w:lineRule="auto"/>
        <w:jc w:val="both"/>
        <w:rPr>
          <w:rFonts w:hint="eastAsia" w:asciiTheme="minorEastAsia" w:hAnsiTheme="minorEastAsia" w:eastAsiaTheme="minorEastAsia" w:cstheme="minorEastAsia"/>
          <w:b/>
          <w:color w:val="auto"/>
          <w:sz w:val="32"/>
          <w:highlight w:val="none"/>
        </w:rPr>
      </w:pPr>
    </w:p>
    <w:p>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验收</w:t>
      </w:r>
    </w:p>
    <w:p>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严格按照采购合同开展履约验收。采购人成立验收小组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为社会公众提供的公共服务项目验收时，验收小组成员必须包含部分服务对象</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w:t>
      </w:r>
      <w:r>
        <w:rPr>
          <w:rFonts w:hint="eastAsia" w:asciiTheme="minorEastAsia" w:hAnsiTheme="minorEastAsia" w:eastAsiaTheme="minorEastAsia" w:cstheme="minorEastAsia"/>
          <w:color w:val="auto"/>
          <w:kern w:val="0"/>
          <w:sz w:val="21"/>
          <w:szCs w:val="21"/>
          <w:highlight w:val="none"/>
          <w:lang w:val="en-US" w:eastAsia="zh-CN"/>
        </w:rPr>
        <w:t>监管部门</w:t>
      </w:r>
      <w:r>
        <w:rPr>
          <w:rFonts w:hint="eastAsia" w:asciiTheme="minorEastAsia" w:hAnsiTheme="minorEastAsia" w:eastAsiaTheme="minorEastAsia" w:cstheme="minorEastAsia"/>
          <w:color w:val="auto"/>
          <w:kern w:val="0"/>
          <w:sz w:val="21"/>
          <w:szCs w:val="21"/>
          <w:highlight w:val="none"/>
        </w:rPr>
        <w:t>。</w:t>
      </w:r>
      <w:bookmarkEnd w:id="11"/>
      <w:bookmarkEnd w:id="12"/>
      <w:bookmarkEnd w:id="14"/>
      <w:bookmarkStart w:id="15" w:name="_Hlt74707468"/>
      <w:bookmarkEnd w:id="15"/>
      <w:bookmarkStart w:id="16" w:name="_Hlt75236101"/>
      <w:bookmarkEnd w:id="16"/>
      <w:bookmarkStart w:id="17" w:name="_Hlt75236290"/>
      <w:bookmarkEnd w:id="17"/>
      <w:bookmarkStart w:id="18" w:name="_Hlt74714665"/>
      <w:bookmarkEnd w:id="18"/>
      <w:bookmarkStart w:id="19" w:name="_Hlt68072998"/>
      <w:bookmarkEnd w:id="19"/>
      <w:bookmarkStart w:id="20" w:name="_Hlt68073093"/>
      <w:bookmarkEnd w:id="20"/>
      <w:bookmarkStart w:id="21" w:name="_Hlt74729768"/>
      <w:bookmarkEnd w:id="21"/>
      <w:bookmarkStart w:id="22" w:name="_Hlt74730295"/>
      <w:bookmarkEnd w:id="22"/>
      <w:bookmarkStart w:id="23" w:name="_Hlt75236011"/>
      <w:bookmarkEnd w:id="23"/>
      <w:bookmarkStart w:id="24" w:name="_Hlt68057669"/>
      <w:bookmarkEnd w:id="24"/>
      <w:bookmarkStart w:id="25" w:name="_Hlt68072990"/>
      <w:bookmarkEnd w:id="25"/>
      <w:bookmarkStart w:id="26" w:name="_Hlt68403820"/>
      <w:bookmarkEnd w:id="26"/>
    </w:p>
    <w:p>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page"/>
      </w:r>
    </w:p>
    <w:p>
      <w:pPr>
        <w:tabs>
          <w:tab w:val="left" w:pos="0"/>
        </w:tabs>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第三部分   采购需求</w:t>
      </w:r>
    </w:p>
    <w:p>
      <w:pPr>
        <w:shd w:val="clear"/>
        <w:spacing w:beforeLines="50" w:line="360" w:lineRule="auto"/>
        <w:ind w:firstLine="422" w:firstLineChars="200"/>
        <w:rPr>
          <w:rFonts w:ascii="宋体" w:hAnsi="宋体" w:cs="宋体"/>
          <w:b/>
          <w:color w:val="auto"/>
          <w:szCs w:val="21"/>
          <w:highlight w:val="none"/>
        </w:rPr>
      </w:pPr>
      <w:bookmarkStart w:id="27" w:name="_Hlk128151554"/>
      <w:r>
        <w:rPr>
          <w:rFonts w:hint="eastAsia" w:ascii="宋体" w:hAnsi="宋体" w:cs="宋体"/>
          <w:b/>
          <w:color w:val="auto"/>
          <w:szCs w:val="21"/>
          <w:highlight w:val="none"/>
        </w:rPr>
        <w:t>（一）采购范围</w:t>
      </w:r>
    </w:p>
    <w:p>
      <w:pPr>
        <w:shd w:val="clear"/>
        <w:spacing w:beforeLines="50" w:line="360" w:lineRule="auto"/>
        <w:ind w:firstLine="420" w:firstLineChars="200"/>
        <w:rPr>
          <w:rFonts w:ascii="宋体" w:hAnsi="宋体" w:cs="宋体"/>
          <w:bCs/>
          <w:color w:val="auto"/>
          <w:szCs w:val="21"/>
          <w:highlight w:val="none"/>
        </w:rPr>
      </w:pPr>
      <w:r>
        <w:rPr>
          <w:rFonts w:hint="eastAsia" w:ascii="宋体" w:hAnsi="宋体" w:eastAsia="宋体" w:cs="宋体"/>
          <w:bCs/>
          <w:color w:val="auto"/>
          <w:szCs w:val="21"/>
          <w:highlight w:val="none"/>
          <w:lang w:val="en-US" w:eastAsia="zh-CN"/>
        </w:rPr>
        <w:t>施工图范围内的电力排管、电缆井、环网站等。</w:t>
      </w:r>
    </w:p>
    <w:p>
      <w:pPr>
        <w:shd w:val="clear"/>
        <w:spacing w:beforeLines="50"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（二）施工图设计内容：</w:t>
      </w:r>
    </w:p>
    <w:p>
      <w:pPr>
        <w:shd w:val="clear"/>
        <w:spacing w:beforeLines="50"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1、新建16+2孔排管219米，新建XGJ-Z3030A电缆井4座，新建XGJ-Z3030B电缆井3座。打16+2孔1处（C20混凝土30cm厚），开1.42m*1.26m窗2处（C30混凝土20cm厚），环网站一座。</w:t>
      </w:r>
    </w:p>
    <w:p>
      <w:pPr>
        <w:spacing w:before="156" w:beforeLines="50" w:line="360" w:lineRule="auto"/>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3"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3"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73"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3" w:type="dxa"/>
            <w:vAlign w:val="center"/>
          </w:tcPr>
          <w:p>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3" w:type="dxa"/>
            <w:vAlign w:val="center"/>
          </w:tcPr>
          <w:p>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安全文明费、提前竣工增加费、其它施工组织措施费</w:t>
            </w:r>
          </w:p>
        </w:tc>
        <w:tc>
          <w:tcPr>
            <w:tcW w:w="3103"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安全文明施工费按市区一般工程考虑，</w:t>
            </w:r>
            <w:r>
              <w:rPr>
                <w:rFonts w:hint="eastAsia" w:ascii="宋体" w:hAnsi="Calibri" w:eastAsia="宋体" w:cs="Times New Roman"/>
                <w:b w:val="0"/>
                <w:bCs w:val="0"/>
                <w:color w:val="auto"/>
                <w:szCs w:val="21"/>
                <w:highlight w:val="none"/>
                <w:lang w:val="en-US" w:eastAsia="zh-CN"/>
              </w:rPr>
              <w:t>标化工地增加费、提前竣工增加费、二次搬运费、行车、行人干扰增加费及其他项目费</w:t>
            </w:r>
            <w:r>
              <w:rPr>
                <w:rFonts w:hint="eastAsia" w:ascii="宋体" w:hAnsi="Calibri" w:eastAsia="宋体" w:cs="Times New Roman"/>
                <w:b w:val="0"/>
                <w:bCs w:val="0"/>
                <w:color w:val="auto"/>
                <w:szCs w:val="21"/>
                <w:highlight w:val="none"/>
                <w:lang w:eastAsia="zh-CN"/>
              </w:rPr>
              <w:t>不计取</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3" w:type="dxa"/>
          </w:tcPr>
          <w:p>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tcPr>
          <w:p>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tcPr>
          <w:p>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tcPr>
          <w:p>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73" w:type="dxa"/>
          </w:tcPr>
          <w:p>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9</w:t>
            </w:r>
          </w:p>
        </w:tc>
        <w:tc>
          <w:tcPr>
            <w:tcW w:w="3669" w:type="dxa"/>
          </w:tcPr>
          <w:p>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是否同意合同条款及合同附件格式</w:t>
            </w:r>
          </w:p>
        </w:tc>
        <w:tc>
          <w:tcPr>
            <w:tcW w:w="3103" w:type="dxa"/>
            <w:vAlign w:val="top"/>
          </w:tcPr>
          <w:p>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pPr>
        <w:spacing w:before="156" w:beforeLines="50"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pPr>
        <w:keepNext w:val="0"/>
        <w:keepLines w:val="0"/>
        <w:pageBreakBefore w:val="0"/>
        <w:widowControl w:val="0"/>
        <w:kinsoku/>
        <w:wordWrap/>
        <w:overflowPunct/>
        <w:topLinePunct w:val="0"/>
        <w:autoSpaceDE/>
        <w:autoSpaceDN/>
        <w:bidi w:val="0"/>
        <w:adjustRightInd/>
        <w:snapToGrid/>
        <w:spacing w:before="156" w:beforeLines="50" w:line="440" w:lineRule="exact"/>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(四）工程量清单、图纸</w:t>
      </w:r>
    </w:p>
    <w:p>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详见采购文件附件：工程造价咨询报告书、图纸</w:t>
      </w:r>
    </w:p>
    <w:p>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1、工程量清单说明</w:t>
      </w:r>
    </w:p>
    <w:p>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1.1本工程量清单应与采购文件中的竞争性磋商须知、合同条款、技术标准和要求及图纸（如有）等一起阅读和理解。</w:t>
      </w:r>
    </w:p>
    <w:p>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供应商不得擅自改动采购人提供的工程量清单内容（计量单位、工程数量等），磋商综合折扣率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pPr>
        <w:keepNext w:val="0"/>
        <w:keepLines w:val="0"/>
        <w:pageBreakBefore w:val="0"/>
        <w:widowControl w:val="0"/>
        <w:tabs>
          <w:tab w:val="left" w:pos="4915"/>
        </w:tabs>
        <w:kinsoku/>
        <w:wordWrap/>
        <w:overflowPunct/>
        <w:topLinePunct w:val="0"/>
        <w:autoSpaceDE/>
        <w:autoSpaceDN/>
        <w:bidi w:val="0"/>
        <w:adjustRightInd/>
        <w:snapToGrid/>
        <w:spacing w:line="440" w:lineRule="exact"/>
        <w:textAlignment w:val="auto"/>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（五）主要人员要求</w:t>
      </w:r>
    </w:p>
    <w:p>
      <w:pPr>
        <w:keepNext w:val="0"/>
        <w:keepLines w:val="0"/>
        <w:pageBreakBefore w:val="0"/>
        <w:widowControl w:val="0"/>
        <w:shd w:val="clear"/>
        <w:tabs>
          <w:tab w:val="left" w:pos="4915"/>
        </w:tabs>
        <w:kinsoku/>
        <w:wordWrap/>
        <w:overflowPunct/>
        <w:topLinePunct w:val="0"/>
        <w:autoSpaceDE/>
        <w:autoSpaceDN/>
        <w:bidi w:val="0"/>
        <w:adjustRightInd/>
        <w:snapToGrid/>
        <w:spacing w:line="440" w:lineRule="exact"/>
        <w:ind w:firstLine="422" w:firstLineChars="200"/>
        <w:textAlignment w:val="auto"/>
        <w:rPr>
          <w:rFonts w:cs="宋体"/>
          <w:color w:val="auto"/>
          <w:szCs w:val="21"/>
          <w:highlight w:val="none"/>
        </w:rPr>
      </w:pPr>
      <w:r>
        <w:rPr>
          <w:rFonts w:hint="eastAsia" w:ascii="宋体" w:hAnsi="宋体" w:cs="宋体"/>
          <w:b/>
          <w:color w:val="auto"/>
          <w:szCs w:val="21"/>
          <w:highlight w:val="none"/>
        </w:rPr>
        <w:t>▲</w:t>
      </w:r>
      <w:r>
        <w:rPr>
          <w:rFonts w:hint="eastAsia" w:cs="宋体"/>
          <w:color w:val="auto"/>
          <w:szCs w:val="21"/>
          <w:highlight w:val="none"/>
        </w:rPr>
        <w:t>5.1项目负责人：具</w:t>
      </w:r>
      <w:r>
        <w:rPr>
          <w:rFonts w:hint="eastAsia" w:ascii="Times New Roman" w:hAnsi="Times New Roman" w:cs="宋体"/>
          <w:color w:val="auto"/>
          <w:szCs w:val="21"/>
          <w:highlight w:val="none"/>
        </w:rPr>
        <w:t>有市政公用工程专业注册建造师贰级及以上证书，并具有有效的</w:t>
      </w:r>
      <w:r>
        <w:rPr>
          <w:rFonts w:hint="eastAsia" w:cs="宋体"/>
          <w:color w:val="auto"/>
          <w:szCs w:val="21"/>
          <w:highlight w:val="none"/>
        </w:rPr>
        <w:t>《安全生产考核合格证书》</w:t>
      </w:r>
      <w:r>
        <w:rPr>
          <w:rFonts w:hint="eastAsia" w:ascii="Times New Roman" w:hAnsi="Times New Roman" w:cs="宋体"/>
          <w:color w:val="auto"/>
          <w:szCs w:val="21"/>
          <w:highlight w:val="none"/>
        </w:rPr>
        <w:t>（B证）；（投标文件中提供相关证书证明材料）</w:t>
      </w:r>
    </w:p>
    <w:p>
      <w:pPr>
        <w:keepNext w:val="0"/>
        <w:keepLines w:val="0"/>
        <w:pageBreakBefore w:val="0"/>
        <w:widowControl w:val="0"/>
        <w:shd w:val="clear"/>
        <w:tabs>
          <w:tab w:val="left" w:pos="4915"/>
        </w:tabs>
        <w:kinsoku/>
        <w:wordWrap/>
        <w:overflowPunct/>
        <w:topLinePunct w:val="0"/>
        <w:autoSpaceDE/>
        <w:autoSpaceDN/>
        <w:bidi w:val="0"/>
        <w:adjustRightInd/>
        <w:snapToGrid/>
        <w:spacing w:line="440" w:lineRule="exact"/>
        <w:ind w:firstLine="422" w:firstLineChars="200"/>
        <w:textAlignment w:val="auto"/>
        <w:rPr>
          <w:rFonts w:cs="宋体"/>
          <w:color w:val="auto"/>
          <w:szCs w:val="21"/>
          <w:highlight w:val="none"/>
        </w:rPr>
      </w:pPr>
      <w:r>
        <w:rPr>
          <w:rFonts w:hint="eastAsia" w:ascii="宋体" w:hAnsi="宋体" w:cs="宋体"/>
          <w:b/>
          <w:color w:val="auto"/>
          <w:szCs w:val="21"/>
          <w:highlight w:val="none"/>
        </w:rPr>
        <w:t>▲</w:t>
      </w:r>
      <w:r>
        <w:rPr>
          <w:rFonts w:hint="eastAsia" w:cs="宋体"/>
          <w:color w:val="auto"/>
          <w:szCs w:val="21"/>
          <w:highlight w:val="none"/>
        </w:rPr>
        <w:t>5.2</w:t>
      </w:r>
      <w:r>
        <w:rPr>
          <w:rFonts w:cs="宋体"/>
          <w:color w:val="auto"/>
          <w:szCs w:val="21"/>
          <w:highlight w:val="none"/>
        </w:rPr>
        <w:t xml:space="preserve"> </w:t>
      </w:r>
      <w:r>
        <w:rPr>
          <w:rFonts w:hint="eastAsia" w:cs="宋体"/>
          <w:color w:val="auto"/>
          <w:szCs w:val="21"/>
          <w:highlight w:val="none"/>
        </w:rPr>
        <w:t>项目专职安全员1名：具备有效的《安全生产考核合格证书》（C证）</w:t>
      </w:r>
      <w:r>
        <w:rPr>
          <w:rFonts w:hint="eastAsia" w:ascii="宋体" w:hAnsi="宋体" w:cs="宋体"/>
          <w:bCs/>
          <w:color w:val="auto"/>
          <w:szCs w:val="21"/>
          <w:highlight w:val="none"/>
        </w:rPr>
        <w:t>。</w:t>
      </w:r>
      <w:r>
        <w:rPr>
          <w:rFonts w:hint="eastAsia" w:ascii="Times New Roman" w:hAnsi="Times New Roman" w:cs="宋体"/>
          <w:color w:val="auto"/>
          <w:szCs w:val="21"/>
          <w:highlight w:val="none"/>
        </w:rPr>
        <w:t>（投标文件中提供相关证书证明材料）</w:t>
      </w:r>
    </w:p>
    <w:p>
      <w:pPr>
        <w:keepNext w:val="0"/>
        <w:keepLines w:val="0"/>
        <w:pageBreakBefore w:val="0"/>
        <w:widowControl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color w:val="auto"/>
          <w:sz w:val="21"/>
          <w:szCs w:val="21"/>
          <w:highlight w:val="none"/>
          <w:lang w:val="en-US" w:eastAsia="zh-CN"/>
        </w:rPr>
        <w:t>（六）系统设计说明：详见图纸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br w:type="page"/>
      </w:r>
    </w:p>
    <w:p>
      <w:pPr>
        <w:spacing w:before="156" w:beforeLines="50"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（七）</w:t>
      </w:r>
      <w:r>
        <w:rPr>
          <w:rFonts w:hint="eastAsia" w:ascii="宋体" w:hAnsi="宋体" w:eastAsia="宋体" w:cs="宋体"/>
          <w:b/>
          <w:bCs w:val="0"/>
          <w:color w:val="auto"/>
          <w:sz w:val="21"/>
          <w:szCs w:val="21"/>
          <w:highlight w:val="none"/>
          <w:lang w:val="en-US" w:eastAsia="zh-CN"/>
        </w:rPr>
        <w:t>商务要求</w:t>
      </w:r>
    </w:p>
    <w:bookmarkEnd w:id="27"/>
    <w:tbl>
      <w:tblPr>
        <w:tblStyle w:val="25"/>
        <w:tblW w:w="9055"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38" w:type="dxa"/>
            <w:noWrap w:val="0"/>
            <w:vAlign w:val="center"/>
          </w:tcPr>
          <w:p>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8017" w:type="dxa"/>
            <w:noWrap w:val="0"/>
            <w:vAlign w:val="center"/>
          </w:tcPr>
          <w:p>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038" w:type="dxa"/>
            <w:noWrap w:val="0"/>
            <w:vAlign w:val="center"/>
          </w:tcPr>
          <w:p>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8017" w:type="dxa"/>
            <w:noWrap w:val="0"/>
            <w:vAlign w:val="center"/>
          </w:tcPr>
          <w:p>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38" w:type="dxa"/>
            <w:noWrap w:val="0"/>
            <w:vAlign w:val="center"/>
          </w:tcPr>
          <w:p>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8017" w:type="dxa"/>
            <w:noWrap w:val="0"/>
            <w:vAlign w:val="center"/>
          </w:tcPr>
          <w:p>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安全等级要求：合格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38" w:type="dxa"/>
            <w:noWrap w:val="0"/>
            <w:vAlign w:val="center"/>
          </w:tcPr>
          <w:p>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8017" w:type="dxa"/>
            <w:noWrap w:val="0"/>
            <w:vAlign w:val="center"/>
          </w:tcPr>
          <w:p>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1038" w:type="dxa"/>
            <w:noWrap w:val="0"/>
            <w:vAlign w:val="center"/>
          </w:tcPr>
          <w:p>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8017" w:type="dxa"/>
            <w:noWrap w:val="0"/>
            <w:vAlign w:val="center"/>
          </w:tcPr>
          <w:p>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38" w:type="dxa"/>
            <w:noWrap w:val="0"/>
            <w:vAlign w:val="center"/>
          </w:tcPr>
          <w:p>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8017" w:type="dxa"/>
            <w:noWrap w:val="0"/>
            <w:vAlign w:val="center"/>
          </w:tcPr>
          <w:p>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0000FF"/>
                <w:sz w:val="21"/>
                <w:szCs w:val="21"/>
                <w:highlight w:val="none"/>
                <w:lang w:val="en-US" w:eastAsia="zh-CN"/>
              </w:rPr>
              <w:t>90</w:t>
            </w:r>
            <w:r>
              <w:rPr>
                <w:rFonts w:hint="eastAsia" w:ascii="宋体" w:hAnsi="宋体" w:eastAsia="宋体" w:cs="宋体"/>
                <w:b w:val="0"/>
                <w:bCs/>
                <w:color w:val="auto"/>
                <w:sz w:val="21"/>
                <w:szCs w:val="21"/>
                <w:highlight w:val="none"/>
                <w:lang w:val="en-US" w:eastAsia="zh-CN"/>
              </w:rPr>
              <w:t>日历天内完工</w:t>
            </w:r>
          </w:p>
          <w:p>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cs="宋体"/>
                <w:bCs/>
                <w:color w:val="auto"/>
                <w:szCs w:val="21"/>
                <w:highlight w:val="none"/>
              </w:rPr>
              <w:t>施工地点：业主指定地点。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038" w:type="dxa"/>
            <w:noWrap w:val="0"/>
            <w:vAlign w:val="center"/>
          </w:tcPr>
          <w:p>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p>
        </w:tc>
        <w:tc>
          <w:tcPr>
            <w:tcW w:w="8017" w:type="dxa"/>
            <w:noWrap w:val="0"/>
            <w:vAlign w:val="center"/>
          </w:tcPr>
          <w:p>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报价方式：按采购文件附件“工程量清单”的价格报统一综合折扣率，折扣率不得高于94%。</w:t>
            </w:r>
          </w:p>
          <w:p>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cs="宋体"/>
                <w:bCs/>
                <w:color w:val="auto"/>
                <w:szCs w:val="21"/>
                <w:highlight w:val="none"/>
              </w:rPr>
              <w:t>本项目为单价合同，工程量按实结算。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38" w:type="dxa"/>
            <w:noWrap w:val="0"/>
            <w:vAlign w:val="center"/>
          </w:tcPr>
          <w:p>
            <w:pPr>
              <w:spacing w:before="156" w:beforeLines="50"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8017" w:type="dxa"/>
            <w:noWrap w:val="0"/>
            <w:vAlign w:val="center"/>
          </w:tcPr>
          <w:p>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本项目签约合同价计算公式：</w:t>
            </w:r>
            <w:r>
              <w:rPr>
                <w:rFonts w:hint="eastAsia" w:ascii="宋体" w:hAnsi="宋体" w:eastAsia="宋体" w:cs="宋体"/>
                <w:b w:val="0"/>
                <w:bCs/>
                <w:color w:val="0000FF"/>
                <w:sz w:val="21"/>
                <w:szCs w:val="21"/>
                <w:highlight w:val="none"/>
                <w:lang w:val="en-US" w:eastAsia="zh-CN"/>
              </w:rPr>
              <w:t>预算金额</w:t>
            </w:r>
            <w:r>
              <w:rPr>
                <w:rFonts w:hint="default" w:ascii="Arial" w:hAnsi="Arial" w:cs="Arial"/>
                <w:b w:val="0"/>
                <w:bCs/>
                <w:color w:val="0000FF"/>
                <w:sz w:val="21"/>
                <w:szCs w:val="21"/>
                <w:highlight w:val="none"/>
                <w:lang w:val="en-US" w:eastAsia="zh-CN"/>
              </w:rPr>
              <w:t>×</w:t>
            </w:r>
            <w:r>
              <w:rPr>
                <w:rFonts w:hint="eastAsia" w:ascii="宋体" w:hAnsi="宋体" w:eastAsia="宋体" w:cs="宋体"/>
                <w:b w:val="0"/>
                <w:bCs/>
                <w:color w:val="0000FF"/>
                <w:sz w:val="21"/>
                <w:szCs w:val="21"/>
                <w:highlight w:val="none"/>
                <w:lang w:val="en-US" w:eastAsia="zh-CN"/>
              </w:rPr>
              <w:t>中标综合折扣率</w:t>
            </w:r>
          </w:p>
        </w:tc>
      </w:tr>
    </w:tbl>
    <w:p>
      <w:pPr>
        <w:jc w:val="both"/>
        <w:rPr>
          <w:rFonts w:hint="eastAsia" w:asciiTheme="minorEastAsia" w:hAnsiTheme="minorEastAsia" w:eastAsiaTheme="minorEastAsia" w:cstheme="minorEastAsia"/>
          <w:b/>
          <w:color w:val="auto"/>
          <w:sz w:val="36"/>
          <w:szCs w:val="36"/>
          <w:highlight w:val="none"/>
        </w:rPr>
      </w:pPr>
    </w:p>
    <w:p>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12107"/>
      <w:bookmarkEnd w:id="28"/>
      <w:bookmarkStart w:id="29" w:name="_Toc184308105"/>
      <w:bookmarkEnd w:id="29"/>
      <w:bookmarkStart w:id="30" w:name="_Toc184313294"/>
      <w:bookmarkEnd w:id="30"/>
      <w:bookmarkStart w:id="31" w:name="_Toc184308041"/>
      <w:bookmarkEnd w:id="31"/>
      <w:bookmarkStart w:id="32" w:name="_Toc184310330"/>
      <w:bookmarkEnd w:id="32"/>
      <w:bookmarkStart w:id="33" w:name="_Toc184310272"/>
      <w:bookmarkEnd w:id="33"/>
      <w:bookmarkStart w:id="34" w:name="_Toc184312113"/>
      <w:bookmarkEnd w:id="34"/>
      <w:bookmarkStart w:id="35" w:name="_Toc184313243"/>
      <w:bookmarkEnd w:id="35"/>
      <w:bookmarkStart w:id="36" w:name="_Toc184312125"/>
      <w:bookmarkEnd w:id="36"/>
      <w:bookmarkStart w:id="37" w:name="_Toc184313305"/>
      <w:bookmarkEnd w:id="37"/>
      <w:bookmarkStart w:id="38" w:name="_Toc184313256"/>
      <w:bookmarkEnd w:id="38"/>
      <w:bookmarkStart w:id="39" w:name="_Toc184308046"/>
      <w:bookmarkEnd w:id="39"/>
      <w:bookmarkStart w:id="40" w:name="_Toc184308094"/>
      <w:bookmarkEnd w:id="40"/>
      <w:bookmarkStart w:id="41" w:name="_Toc184312136"/>
      <w:bookmarkEnd w:id="41"/>
      <w:bookmarkStart w:id="42" w:name="_Toc184308076"/>
      <w:bookmarkEnd w:id="42"/>
      <w:bookmarkStart w:id="43" w:name="_Toc184313262"/>
      <w:bookmarkEnd w:id="43"/>
      <w:bookmarkStart w:id="44" w:name="_Toc184308091"/>
      <w:bookmarkEnd w:id="44"/>
      <w:bookmarkStart w:id="45" w:name="_Toc184310334"/>
      <w:bookmarkEnd w:id="45"/>
      <w:bookmarkStart w:id="46" w:name="_Toc184312072"/>
      <w:bookmarkEnd w:id="46"/>
      <w:bookmarkStart w:id="47" w:name="_Toc184308074"/>
      <w:bookmarkEnd w:id="47"/>
      <w:bookmarkStart w:id="48" w:name="_Toc184314428"/>
      <w:bookmarkEnd w:id="48"/>
      <w:bookmarkStart w:id="49" w:name="_Toc184314460"/>
      <w:bookmarkEnd w:id="49"/>
      <w:bookmarkStart w:id="50" w:name="_Toc184313254"/>
      <w:bookmarkEnd w:id="50"/>
      <w:bookmarkStart w:id="51" w:name="_Toc184313269"/>
      <w:bookmarkEnd w:id="51"/>
      <w:bookmarkStart w:id="52" w:name="_Toc184313267"/>
      <w:bookmarkEnd w:id="52"/>
      <w:bookmarkStart w:id="53" w:name="_Toc184313291"/>
      <w:bookmarkEnd w:id="53"/>
      <w:bookmarkStart w:id="54" w:name="_Toc184314430"/>
      <w:bookmarkEnd w:id="54"/>
      <w:bookmarkStart w:id="55" w:name="_Toc184312121"/>
      <w:bookmarkEnd w:id="55"/>
      <w:bookmarkStart w:id="56" w:name="_Toc184310312"/>
      <w:bookmarkEnd w:id="56"/>
      <w:bookmarkStart w:id="57" w:name="_Toc184310309"/>
      <w:bookmarkEnd w:id="57"/>
      <w:bookmarkStart w:id="58" w:name="_Toc184310301"/>
      <w:bookmarkEnd w:id="58"/>
      <w:bookmarkStart w:id="59" w:name="_Toc184314434"/>
      <w:bookmarkEnd w:id="59"/>
      <w:bookmarkStart w:id="60" w:name="_Toc184312102"/>
      <w:bookmarkEnd w:id="60"/>
      <w:bookmarkStart w:id="61" w:name="_Toc184312097"/>
      <w:bookmarkEnd w:id="61"/>
      <w:bookmarkStart w:id="62" w:name="_Toc184310287"/>
      <w:bookmarkEnd w:id="62"/>
      <w:bookmarkStart w:id="63" w:name="_Toc184313266"/>
      <w:bookmarkEnd w:id="63"/>
      <w:bookmarkStart w:id="64" w:name="_Toc184310284"/>
      <w:bookmarkEnd w:id="64"/>
      <w:bookmarkStart w:id="65" w:name="_Toc184313279"/>
      <w:bookmarkEnd w:id="65"/>
      <w:bookmarkStart w:id="66" w:name="_Toc184314475"/>
      <w:bookmarkEnd w:id="66"/>
      <w:bookmarkStart w:id="67" w:name="_Toc184310343"/>
      <w:bookmarkEnd w:id="67"/>
      <w:bookmarkStart w:id="68" w:name="_Toc184308056"/>
      <w:bookmarkEnd w:id="68"/>
      <w:bookmarkStart w:id="69" w:name="_Toc184308075"/>
      <w:bookmarkEnd w:id="69"/>
      <w:bookmarkStart w:id="70" w:name="_Toc184308045"/>
      <w:bookmarkEnd w:id="70"/>
      <w:bookmarkStart w:id="71" w:name="_Toc184314452"/>
      <w:bookmarkEnd w:id="71"/>
      <w:bookmarkStart w:id="72" w:name="_Toc184308077"/>
      <w:bookmarkEnd w:id="72"/>
      <w:bookmarkStart w:id="73" w:name="_Toc184310311"/>
      <w:bookmarkEnd w:id="73"/>
      <w:bookmarkStart w:id="74" w:name="_Toc184313282"/>
      <w:bookmarkEnd w:id="74"/>
      <w:bookmarkStart w:id="75" w:name="_Toc184310282"/>
      <w:bookmarkEnd w:id="75"/>
      <w:bookmarkStart w:id="76" w:name="_Toc184310336"/>
      <w:bookmarkEnd w:id="76"/>
      <w:bookmarkStart w:id="77" w:name="_Toc184312085"/>
      <w:bookmarkEnd w:id="77"/>
      <w:bookmarkStart w:id="78" w:name="_Toc184313255"/>
      <w:bookmarkEnd w:id="78"/>
      <w:bookmarkStart w:id="79" w:name="_Toc184310340"/>
      <w:bookmarkEnd w:id="79"/>
      <w:bookmarkStart w:id="80" w:name="_Toc184308044"/>
      <w:bookmarkEnd w:id="80"/>
      <w:bookmarkStart w:id="81" w:name="_Toc184314455"/>
      <w:bookmarkEnd w:id="81"/>
      <w:bookmarkStart w:id="82" w:name="_Toc184314435"/>
      <w:bookmarkEnd w:id="82"/>
      <w:bookmarkStart w:id="83" w:name="_Toc184313274"/>
      <w:bookmarkEnd w:id="83"/>
      <w:bookmarkStart w:id="84" w:name="_Toc184314436"/>
      <w:bookmarkEnd w:id="84"/>
      <w:bookmarkStart w:id="85" w:name="_Toc184308107"/>
      <w:bookmarkEnd w:id="85"/>
      <w:bookmarkStart w:id="86" w:name="_Toc184308063"/>
      <w:bookmarkEnd w:id="86"/>
      <w:bookmarkStart w:id="87" w:name="_Toc184308053"/>
      <w:bookmarkEnd w:id="87"/>
      <w:bookmarkStart w:id="88" w:name="_Toc184314416"/>
      <w:bookmarkEnd w:id="88"/>
      <w:bookmarkStart w:id="89" w:name="_Toc184310322"/>
      <w:bookmarkEnd w:id="89"/>
      <w:bookmarkStart w:id="90" w:name="_Toc184313249"/>
      <w:bookmarkEnd w:id="90"/>
      <w:bookmarkStart w:id="91" w:name="_Toc184312075"/>
      <w:bookmarkEnd w:id="91"/>
      <w:bookmarkStart w:id="92" w:name="_Toc184314448"/>
      <w:bookmarkEnd w:id="92"/>
      <w:bookmarkStart w:id="93" w:name="_Toc184312083"/>
      <w:bookmarkEnd w:id="93"/>
      <w:bookmarkStart w:id="94" w:name="_Toc184308037"/>
      <w:bookmarkEnd w:id="94"/>
      <w:bookmarkStart w:id="95" w:name="_Toc184314459"/>
      <w:bookmarkEnd w:id="95"/>
      <w:bookmarkStart w:id="96" w:name="_Toc184313310"/>
      <w:bookmarkEnd w:id="96"/>
      <w:bookmarkStart w:id="97" w:name="_Toc184308082"/>
      <w:bookmarkEnd w:id="97"/>
      <w:bookmarkStart w:id="98" w:name="_Toc184312084"/>
      <w:bookmarkEnd w:id="98"/>
      <w:bookmarkStart w:id="99" w:name="_Toc184313263"/>
      <w:bookmarkEnd w:id="99"/>
      <w:bookmarkStart w:id="100" w:name="_Toc184313298"/>
      <w:bookmarkEnd w:id="100"/>
      <w:bookmarkStart w:id="101" w:name="_Toc184308065"/>
      <w:bookmarkEnd w:id="101"/>
      <w:bookmarkStart w:id="102" w:name="_Toc184313280"/>
      <w:bookmarkEnd w:id="102"/>
      <w:bookmarkStart w:id="103" w:name="_Toc184308084"/>
      <w:bookmarkEnd w:id="103"/>
      <w:bookmarkStart w:id="104" w:name="_Toc184312129"/>
      <w:bookmarkEnd w:id="104"/>
      <w:bookmarkStart w:id="105" w:name="_Toc184310273"/>
      <w:bookmarkEnd w:id="105"/>
      <w:bookmarkStart w:id="106" w:name="_Toc184310341"/>
      <w:bookmarkEnd w:id="106"/>
      <w:bookmarkStart w:id="107" w:name="_Toc184308060"/>
      <w:bookmarkEnd w:id="107"/>
      <w:bookmarkStart w:id="108" w:name="_Toc184310316"/>
      <w:bookmarkEnd w:id="108"/>
      <w:bookmarkStart w:id="109" w:name="_Toc184313265"/>
      <w:bookmarkEnd w:id="109"/>
      <w:bookmarkStart w:id="110" w:name="_Toc184310338"/>
      <w:bookmarkEnd w:id="110"/>
      <w:bookmarkStart w:id="111" w:name="_Toc184312098"/>
      <w:bookmarkEnd w:id="111"/>
      <w:bookmarkStart w:id="112" w:name="_Toc184310299"/>
      <w:bookmarkEnd w:id="112"/>
      <w:bookmarkStart w:id="113" w:name="_Toc184314470"/>
      <w:bookmarkEnd w:id="113"/>
      <w:bookmarkStart w:id="114" w:name="_Toc184312105"/>
      <w:bookmarkEnd w:id="114"/>
      <w:bookmarkStart w:id="115" w:name="_Toc184314451"/>
      <w:bookmarkEnd w:id="115"/>
      <w:bookmarkStart w:id="116" w:name="_Toc184314461"/>
      <w:bookmarkEnd w:id="116"/>
      <w:bookmarkStart w:id="117" w:name="_Toc184314447"/>
      <w:bookmarkEnd w:id="117"/>
      <w:bookmarkStart w:id="118" w:name="_Toc184313309"/>
      <w:bookmarkEnd w:id="118"/>
      <w:bookmarkStart w:id="119" w:name="_Toc184313259"/>
      <w:bookmarkEnd w:id="119"/>
      <w:bookmarkStart w:id="120" w:name="_Toc184314424"/>
      <w:bookmarkEnd w:id="120"/>
      <w:bookmarkStart w:id="121" w:name="_Toc184313293"/>
      <w:bookmarkEnd w:id="121"/>
      <w:bookmarkStart w:id="122" w:name="_Toc184308039"/>
      <w:bookmarkEnd w:id="122"/>
      <w:bookmarkStart w:id="123" w:name="_Toc184314423"/>
      <w:bookmarkEnd w:id="123"/>
      <w:bookmarkStart w:id="124" w:name="_Toc184312126"/>
      <w:bookmarkEnd w:id="124"/>
      <w:bookmarkStart w:id="125" w:name="_Toc184310295"/>
      <w:bookmarkEnd w:id="125"/>
      <w:bookmarkStart w:id="126" w:name="_Toc184313270"/>
      <w:bookmarkEnd w:id="126"/>
      <w:bookmarkStart w:id="127" w:name="_Toc184312077"/>
      <w:bookmarkEnd w:id="127"/>
      <w:bookmarkStart w:id="128" w:name="_Toc184313246"/>
      <w:bookmarkEnd w:id="128"/>
      <w:bookmarkStart w:id="129" w:name="_Toc184314477"/>
      <w:bookmarkEnd w:id="129"/>
      <w:bookmarkStart w:id="130" w:name="_Toc184310278"/>
      <w:bookmarkEnd w:id="130"/>
      <w:bookmarkStart w:id="131" w:name="_Toc184308085"/>
      <w:bookmarkEnd w:id="131"/>
      <w:bookmarkStart w:id="132" w:name="_Toc184308090"/>
      <w:bookmarkEnd w:id="132"/>
      <w:bookmarkStart w:id="133" w:name="_Toc184310324"/>
      <w:bookmarkEnd w:id="133"/>
      <w:bookmarkStart w:id="134" w:name="_Toc184312095"/>
      <w:bookmarkEnd w:id="134"/>
      <w:bookmarkStart w:id="135" w:name="_Toc184313242"/>
      <w:bookmarkEnd w:id="135"/>
      <w:bookmarkStart w:id="136" w:name="_Toc184308089"/>
      <w:bookmarkEnd w:id="136"/>
      <w:bookmarkStart w:id="137" w:name="_Toc184312106"/>
      <w:bookmarkEnd w:id="137"/>
      <w:bookmarkStart w:id="138" w:name="_Toc184308038"/>
      <w:bookmarkEnd w:id="138"/>
      <w:bookmarkStart w:id="139" w:name="_Toc184313284"/>
      <w:bookmarkEnd w:id="139"/>
      <w:bookmarkStart w:id="140" w:name="_Toc184313303"/>
      <w:bookmarkEnd w:id="140"/>
      <w:bookmarkStart w:id="141" w:name="_Toc184308070"/>
      <w:bookmarkEnd w:id="141"/>
      <w:bookmarkStart w:id="142" w:name="_Toc184312074"/>
      <w:bookmarkEnd w:id="142"/>
      <w:bookmarkStart w:id="143" w:name="_Toc184312108"/>
      <w:bookmarkEnd w:id="143"/>
      <w:bookmarkStart w:id="144" w:name="_Toc184312094"/>
      <w:bookmarkEnd w:id="144"/>
      <w:bookmarkStart w:id="145" w:name="_Toc184308086"/>
      <w:bookmarkEnd w:id="145"/>
      <w:bookmarkStart w:id="146" w:name="_Toc184313275"/>
      <w:bookmarkEnd w:id="146"/>
      <w:bookmarkStart w:id="147" w:name="_Toc184310307"/>
      <w:bookmarkEnd w:id="147"/>
      <w:bookmarkStart w:id="148" w:name="_Toc184314479"/>
      <w:bookmarkEnd w:id="148"/>
      <w:bookmarkStart w:id="149" w:name="_Toc184310333"/>
      <w:bookmarkEnd w:id="149"/>
      <w:bookmarkStart w:id="150" w:name="_Toc184314440"/>
      <w:bookmarkEnd w:id="150"/>
      <w:bookmarkStart w:id="151" w:name="_Toc184310288"/>
      <w:bookmarkEnd w:id="151"/>
      <w:bookmarkStart w:id="152" w:name="_Toc184310314"/>
      <w:bookmarkEnd w:id="152"/>
      <w:bookmarkStart w:id="153" w:name="_Toc184310281"/>
      <w:bookmarkEnd w:id="153"/>
      <w:bookmarkStart w:id="154" w:name="_Toc184308098"/>
      <w:bookmarkEnd w:id="154"/>
      <w:bookmarkStart w:id="155" w:name="_Toc184308106"/>
      <w:bookmarkEnd w:id="155"/>
      <w:bookmarkStart w:id="156" w:name="_Toc184310286"/>
      <w:bookmarkEnd w:id="156"/>
      <w:bookmarkStart w:id="157" w:name="_Toc184312087"/>
      <w:bookmarkEnd w:id="157"/>
      <w:bookmarkStart w:id="158" w:name="_Toc184308048"/>
      <w:bookmarkEnd w:id="158"/>
      <w:bookmarkStart w:id="159" w:name="_Toc184314410"/>
      <w:bookmarkEnd w:id="159"/>
      <w:bookmarkStart w:id="160" w:name="_Toc184314474"/>
      <w:bookmarkEnd w:id="160"/>
      <w:bookmarkStart w:id="161" w:name="_Toc184312088"/>
      <w:bookmarkEnd w:id="161"/>
      <w:bookmarkStart w:id="162" w:name="_Toc184308042"/>
      <w:bookmarkEnd w:id="162"/>
      <w:bookmarkStart w:id="163" w:name="_Toc184314462"/>
      <w:bookmarkEnd w:id="163"/>
      <w:bookmarkStart w:id="164" w:name="_Toc184313283"/>
      <w:bookmarkEnd w:id="164"/>
      <w:bookmarkStart w:id="165" w:name="_Toc184308068"/>
      <w:bookmarkEnd w:id="165"/>
      <w:bookmarkStart w:id="166" w:name="_Toc184314421"/>
      <w:bookmarkEnd w:id="166"/>
      <w:bookmarkStart w:id="167" w:name="_Toc184312080"/>
      <w:bookmarkEnd w:id="167"/>
      <w:bookmarkStart w:id="168" w:name="_Toc184314458"/>
      <w:bookmarkEnd w:id="168"/>
      <w:bookmarkStart w:id="169" w:name="_Toc184308083"/>
      <w:bookmarkEnd w:id="169"/>
      <w:bookmarkStart w:id="170" w:name="_Toc184314441"/>
      <w:bookmarkEnd w:id="170"/>
      <w:bookmarkStart w:id="171" w:name="_Toc184312079"/>
      <w:bookmarkEnd w:id="171"/>
      <w:bookmarkStart w:id="172" w:name="_Toc184308055"/>
      <w:bookmarkEnd w:id="172"/>
      <w:bookmarkStart w:id="173" w:name="_Toc184312128"/>
      <w:bookmarkEnd w:id="173"/>
      <w:bookmarkStart w:id="174" w:name="_Toc184314411"/>
      <w:bookmarkEnd w:id="174"/>
      <w:bookmarkStart w:id="175" w:name="_Toc184313261"/>
      <w:bookmarkEnd w:id="175"/>
      <w:bookmarkStart w:id="176" w:name="_Toc184308104"/>
      <w:bookmarkEnd w:id="176"/>
      <w:bookmarkStart w:id="177" w:name="_Toc184310306"/>
      <w:bookmarkEnd w:id="177"/>
      <w:bookmarkStart w:id="178" w:name="_Toc184313241"/>
      <w:bookmarkEnd w:id="178"/>
      <w:bookmarkStart w:id="179" w:name="_Toc184310291"/>
      <w:bookmarkEnd w:id="179"/>
      <w:bookmarkStart w:id="180" w:name="_Toc184312071"/>
      <w:bookmarkEnd w:id="180"/>
      <w:bookmarkStart w:id="181" w:name="_Toc184314419"/>
      <w:bookmarkEnd w:id="181"/>
      <w:bookmarkStart w:id="182" w:name="_Toc184314472"/>
      <w:bookmarkEnd w:id="182"/>
      <w:bookmarkStart w:id="183" w:name="_Toc184310313"/>
      <w:bookmarkEnd w:id="183"/>
      <w:bookmarkStart w:id="184" w:name="_Toc184312101"/>
      <w:bookmarkEnd w:id="184"/>
      <w:bookmarkStart w:id="185" w:name="_Toc184310317"/>
      <w:bookmarkEnd w:id="185"/>
      <w:bookmarkStart w:id="186" w:name="_Toc184313264"/>
      <w:bookmarkEnd w:id="186"/>
      <w:bookmarkStart w:id="187" w:name="_Toc184310283"/>
      <w:bookmarkEnd w:id="187"/>
      <w:bookmarkStart w:id="188" w:name="_Toc184312092"/>
      <w:bookmarkEnd w:id="188"/>
      <w:bookmarkStart w:id="189" w:name="_Toc184308049"/>
      <w:bookmarkEnd w:id="189"/>
      <w:bookmarkStart w:id="190" w:name="_Toc184310285"/>
      <w:bookmarkEnd w:id="190"/>
      <w:bookmarkStart w:id="191" w:name="_Toc184312104"/>
      <w:bookmarkEnd w:id="191"/>
      <w:bookmarkStart w:id="192" w:name="_Toc184312111"/>
      <w:bookmarkEnd w:id="192"/>
      <w:bookmarkStart w:id="193" w:name="_Toc184312110"/>
      <w:bookmarkEnd w:id="193"/>
      <w:bookmarkStart w:id="194" w:name="_Toc184308059"/>
      <w:bookmarkEnd w:id="194"/>
      <w:bookmarkStart w:id="195" w:name="_Toc184310274"/>
      <w:bookmarkEnd w:id="195"/>
      <w:bookmarkStart w:id="196" w:name="_Toc184314457"/>
      <w:bookmarkEnd w:id="196"/>
      <w:bookmarkStart w:id="197" w:name="_Toc184313308"/>
      <w:bookmarkEnd w:id="197"/>
      <w:bookmarkStart w:id="198" w:name="_Toc184310326"/>
      <w:bookmarkEnd w:id="198"/>
      <w:bookmarkStart w:id="199" w:name="_Toc184312131"/>
      <w:bookmarkEnd w:id="199"/>
      <w:bookmarkStart w:id="200" w:name="_Toc184308057"/>
      <w:bookmarkEnd w:id="200"/>
      <w:bookmarkStart w:id="201" w:name="_Toc184308067"/>
      <w:bookmarkEnd w:id="201"/>
      <w:bookmarkStart w:id="202" w:name="_Toc184308102"/>
      <w:bookmarkEnd w:id="202"/>
      <w:bookmarkStart w:id="203" w:name="_Toc184314431"/>
      <w:bookmarkEnd w:id="203"/>
      <w:bookmarkStart w:id="204" w:name="_Toc184312122"/>
      <w:bookmarkEnd w:id="204"/>
      <w:bookmarkStart w:id="205" w:name="_Toc184312127"/>
      <w:bookmarkEnd w:id="205"/>
      <w:bookmarkStart w:id="206" w:name="_Toc184314464"/>
      <w:bookmarkEnd w:id="206"/>
      <w:bookmarkStart w:id="207" w:name="_Toc184313297"/>
      <w:bookmarkEnd w:id="207"/>
      <w:bookmarkStart w:id="208" w:name="_Toc184308043"/>
      <w:bookmarkEnd w:id="208"/>
      <w:bookmarkStart w:id="209" w:name="_Toc184314471"/>
      <w:bookmarkEnd w:id="209"/>
      <w:bookmarkStart w:id="210" w:name="_Toc184314429"/>
      <w:bookmarkEnd w:id="210"/>
      <w:bookmarkStart w:id="211" w:name="_Toc184312096"/>
      <w:bookmarkEnd w:id="211"/>
      <w:bookmarkStart w:id="212" w:name="_Toc184310337"/>
      <w:bookmarkEnd w:id="212"/>
      <w:bookmarkStart w:id="213" w:name="_Toc184310294"/>
      <w:bookmarkEnd w:id="213"/>
      <w:bookmarkStart w:id="214" w:name="_Toc184313248"/>
      <w:bookmarkEnd w:id="214"/>
      <w:bookmarkStart w:id="215" w:name="_Toc184310318"/>
      <w:bookmarkEnd w:id="215"/>
      <w:bookmarkStart w:id="216" w:name="_Toc184313296"/>
      <w:bookmarkEnd w:id="216"/>
      <w:bookmarkStart w:id="217" w:name="_Toc184310279"/>
      <w:bookmarkEnd w:id="217"/>
      <w:bookmarkStart w:id="218" w:name="_Toc184314480"/>
      <w:bookmarkEnd w:id="218"/>
      <w:bookmarkStart w:id="219" w:name="_Toc184308079"/>
      <w:bookmarkEnd w:id="219"/>
      <w:bookmarkStart w:id="220" w:name="_Toc184310277"/>
      <w:bookmarkEnd w:id="220"/>
      <w:bookmarkStart w:id="221" w:name="_Toc184312138"/>
      <w:bookmarkEnd w:id="221"/>
      <w:bookmarkStart w:id="222" w:name="_Toc184312076"/>
      <w:bookmarkEnd w:id="222"/>
      <w:bookmarkStart w:id="223" w:name="_Toc184312135"/>
      <w:bookmarkEnd w:id="223"/>
      <w:bookmarkStart w:id="224" w:name="_Toc184313276"/>
      <w:bookmarkEnd w:id="224"/>
      <w:bookmarkStart w:id="225" w:name="_Toc184313268"/>
      <w:bookmarkEnd w:id="225"/>
      <w:bookmarkStart w:id="226" w:name="_Toc184308097"/>
      <w:bookmarkEnd w:id="226"/>
      <w:bookmarkStart w:id="227" w:name="_Toc184308087"/>
      <w:bookmarkEnd w:id="227"/>
      <w:bookmarkStart w:id="228" w:name="_Toc184312093"/>
      <w:bookmarkEnd w:id="228"/>
      <w:bookmarkStart w:id="229" w:name="_Toc184308040"/>
      <w:bookmarkEnd w:id="229"/>
      <w:bookmarkStart w:id="230" w:name="_Toc184314481"/>
      <w:bookmarkEnd w:id="230"/>
      <w:bookmarkStart w:id="231" w:name="_Toc184310323"/>
      <w:bookmarkEnd w:id="231"/>
      <w:bookmarkStart w:id="232" w:name="_Toc184310332"/>
      <w:bookmarkEnd w:id="232"/>
      <w:bookmarkStart w:id="233" w:name="_Toc184308101"/>
      <w:bookmarkEnd w:id="233"/>
      <w:bookmarkStart w:id="234" w:name="_Toc184314418"/>
      <w:bookmarkEnd w:id="234"/>
      <w:bookmarkStart w:id="235" w:name="_Toc184310293"/>
      <w:bookmarkEnd w:id="235"/>
      <w:bookmarkStart w:id="236" w:name="_Toc184314478"/>
      <w:bookmarkEnd w:id="236"/>
      <w:bookmarkStart w:id="237" w:name="_Toc184313251"/>
      <w:bookmarkEnd w:id="237"/>
      <w:bookmarkStart w:id="238" w:name="_Toc184312089"/>
      <w:bookmarkEnd w:id="238"/>
      <w:bookmarkStart w:id="239" w:name="_Toc184312118"/>
      <w:bookmarkEnd w:id="239"/>
      <w:bookmarkStart w:id="240" w:name="_Toc184313281"/>
      <w:bookmarkEnd w:id="240"/>
      <w:bookmarkStart w:id="241" w:name="_Toc184308047"/>
      <w:bookmarkEnd w:id="241"/>
      <w:bookmarkStart w:id="242" w:name="_Toc184314439"/>
      <w:bookmarkEnd w:id="242"/>
      <w:bookmarkStart w:id="243" w:name="_Toc184310275"/>
      <w:bookmarkEnd w:id="243"/>
      <w:bookmarkStart w:id="244" w:name="_Toc184308093"/>
      <w:bookmarkEnd w:id="244"/>
      <w:bookmarkStart w:id="245" w:name="_Toc184314456"/>
      <w:bookmarkEnd w:id="245"/>
      <w:bookmarkStart w:id="246" w:name="_Toc184313289"/>
      <w:bookmarkEnd w:id="246"/>
      <w:bookmarkStart w:id="247" w:name="_Toc184314444"/>
      <w:bookmarkEnd w:id="247"/>
      <w:bookmarkStart w:id="248" w:name="_Toc184310344"/>
      <w:bookmarkEnd w:id="248"/>
      <w:bookmarkStart w:id="249" w:name="_Toc184312112"/>
      <w:bookmarkEnd w:id="249"/>
      <w:bookmarkStart w:id="250" w:name="_Toc184314422"/>
      <w:bookmarkEnd w:id="250"/>
      <w:bookmarkStart w:id="251" w:name="_Toc184312069"/>
      <w:bookmarkEnd w:id="251"/>
      <w:bookmarkStart w:id="252" w:name="_Toc184313304"/>
      <w:bookmarkEnd w:id="252"/>
      <w:bookmarkStart w:id="253" w:name="_Toc184308096"/>
      <w:bookmarkEnd w:id="253"/>
      <w:bookmarkStart w:id="254" w:name="_Toc184312123"/>
      <w:bookmarkEnd w:id="254"/>
      <w:bookmarkStart w:id="255" w:name="_Toc184314412"/>
      <w:bookmarkEnd w:id="255"/>
      <w:bookmarkStart w:id="256" w:name="_Toc184310302"/>
      <w:bookmarkEnd w:id="256"/>
      <w:bookmarkStart w:id="257" w:name="_Toc184308092"/>
      <w:bookmarkEnd w:id="257"/>
      <w:bookmarkStart w:id="258" w:name="_Toc184314446"/>
      <w:bookmarkEnd w:id="258"/>
      <w:bookmarkStart w:id="259" w:name="_Toc184312137"/>
      <w:bookmarkEnd w:id="259"/>
      <w:bookmarkStart w:id="260" w:name="_Toc184312091"/>
      <w:bookmarkEnd w:id="260"/>
      <w:bookmarkStart w:id="261" w:name="_Toc184313306"/>
      <w:bookmarkEnd w:id="261"/>
      <w:bookmarkStart w:id="262" w:name="_Toc184312081"/>
      <w:bookmarkEnd w:id="262"/>
      <w:bookmarkStart w:id="263" w:name="_Toc184308051"/>
      <w:bookmarkEnd w:id="263"/>
      <w:bookmarkStart w:id="264" w:name="_Toc184308050"/>
      <w:bookmarkEnd w:id="264"/>
      <w:bookmarkStart w:id="265" w:name="_Toc184310310"/>
      <w:bookmarkEnd w:id="265"/>
      <w:bookmarkStart w:id="266" w:name="_Toc184312103"/>
      <w:bookmarkEnd w:id="266"/>
      <w:bookmarkStart w:id="267" w:name="_Toc184308078"/>
      <w:bookmarkEnd w:id="267"/>
      <w:bookmarkStart w:id="268" w:name="_Toc184314443"/>
      <w:bookmarkEnd w:id="268"/>
      <w:bookmarkStart w:id="269" w:name="_Toc184310320"/>
      <w:bookmarkEnd w:id="269"/>
      <w:bookmarkStart w:id="270" w:name="_Toc184312109"/>
      <w:bookmarkEnd w:id="270"/>
      <w:bookmarkStart w:id="271" w:name="_Toc184313271"/>
      <w:bookmarkEnd w:id="271"/>
      <w:bookmarkStart w:id="272" w:name="_Toc184310327"/>
      <w:bookmarkEnd w:id="272"/>
      <w:bookmarkStart w:id="273" w:name="_Toc184314426"/>
      <w:bookmarkEnd w:id="273"/>
      <w:bookmarkStart w:id="274" w:name="_Toc184308071"/>
      <w:bookmarkEnd w:id="274"/>
      <w:bookmarkStart w:id="275" w:name="_Toc184314445"/>
      <w:bookmarkEnd w:id="275"/>
      <w:bookmarkStart w:id="276" w:name="_Toc184314482"/>
      <w:bookmarkEnd w:id="276"/>
      <w:bookmarkStart w:id="277" w:name="_Toc184310321"/>
      <w:bookmarkEnd w:id="277"/>
      <w:bookmarkStart w:id="278" w:name="_Toc184313245"/>
      <w:bookmarkEnd w:id="278"/>
      <w:bookmarkStart w:id="279" w:name="_Toc184314433"/>
      <w:bookmarkEnd w:id="279"/>
      <w:bookmarkStart w:id="280" w:name="_Toc184310296"/>
      <w:bookmarkEnd w:id="280"/>
      <w:bookmarkStart w:id="281" w:name="_Toc184312116"/>
      <w:bookmarkEnd w:id="281"/>
      <w:bookmarkStart w:id="282" w:name="_Toc184310325"/>
      <w:bookmarkEnd w:id="282"/>
      <w:bookmarkStart w:id="283" w:name="_Toc184310335"/>
      <w:bookmarkEnd w:id="283"/>
      <w:bookmarkStart w:id="284" w:name="_Toc184308081"/>
      <w:bookmarkEnd w:id="284"/>
      <w:bookmarkStart w:id="285" w:name="_Toc184310331"/>
      <w:bookmarkEnd w:id="285"/>
      <w:bookmarkStart w:id="286" w:name="_Toc184308052"/>
      <w:bookmarkEnd w:id="286"/>
      <w:bookmarkStart w:id="287" w:name="_Toc184312130"/>
      <w:bookmarkEnd w:id="287"/>
      <w:bookmarkStart w:id="288" w:name="_Toc184314438"/>
      <w:bookmarkEnd w:id="288"/>
      <w:bookmarkStart w:id="289" w:name="_Toc184308036"/>
      <w:bookmarkEnd w:id="289"/>
      <w:bookmarkStart w:id="290" w:name="_Toc184310303"/>
      <w:bookmarkEnd w:id="290"/>
      <w:bookmarkStart w:id="291" w:name="_Toc184314437"/>
      <w:bookmarkEnd w:id="291"/>
      <w:bookmarkStart w:id="292" w:name="_Toc184314449"/>
      <w:bookmarkEnd w:id="292"/>
      <w:bookmarkStart w:id="293" w:name="_Toc184312132"/>
      <w:bookmarkEnd w:id="293"/>
      <w:bookmarkStart w:id="294" w:name="_Toc184313285"/>
      <w:bookmarkEnd w:id="294"/>
      <w:bookmarkStart w:id="295" w:name="_Toc184312068"/>
      <w:bookmarkEnd w:id="295"/>
      <w:bookmarkStart w:id="296" w:name="_Toc184314413"/>
      <w:bookmarkEnd w:id="296"/>
      <w:bookmarkStart w:id="297" w:name="_Toc184313302"/>
      <w:bookmarkEnd w:id="297"/>
      <w:bookmarkStart w:id="298" w:name="_Toc184313295"/>
      <w:bookmarkEnd w:id="298"/>
      <w:bookmarkStart w:id="299" w:name="_Toc184312099"/>
      <w:bookmarkEnd w:id="299"/>
      <w:bookmarkStart w:id="300" w:name="_Toc184312073"/>
      <w:bookmarkEnd w:id="300"/>
      <w:bookmarkStart w:id="301" w:name="_Toc184314463"/>
      <w:bookmarkEnd w:id="301"/>
      <w:bookmarkStart w:id="302" w:name="_Toc184312119"/>
      <w:bookmarkEnd w:id="302"/>
      <w:bookmarkStart w:id="303" w:name="_Toc184310329"/>
      <w:bookmarkEnd w:id="303"/>
      <w:bookmarkStart w:id="304" w:name="_Toc184314469"/>
      <w:bookmarkEnd w:id="304"/>
      <w:bookmarkStart w:id="305" w:name="_Toc184313277"/>
      <w:bookmarkEnd w:id="305"/>
      <w:bookmarkStart w:id="306" w:name="_Toc184313273"/>
      <w:bookmarkEnd w:id="306"/>
      <w:bookmarkStart w:id="307" w:name="_Toc184310300"/>
      <w:bookmarkEnd w:id="307"/>
      <w:bookmarkStart w:id="308" w:name="_Toc184308099"/>
      <w:bookmarkEnd w:id="308"/>
      <w:bookmarkStart w:id="309" w:name="_Toc184310304"/>
      <w:bookmarkEnd w:id="309"/>
      <w:bookmarkStart w:id="310" w:name="_Toc184312067"/>
      <w:bookmarkEnd w:id="310"/>
      <w:bookmarkStart w:id="311" w:name="_Toc184310276"/>
      <w:bookmarkEnd w:id="311"/>
      <w:bookmarkStart w:id="312" w:name="_Toc184313299"/>
      <w:bookmarkEnd w:id="312"/>
      <w:bookmarkStart w:id="313" w:name="_Toc184308062"/>
      <w:bookmarkEnd w:id="313"/>
      <w:bookmarkStart w:id="314" w:name="_Toc184313253"/>
      <w:bookmarkEnd w:id="314"/>
      <w:bookmarkStart w:id="315" w:name="_Toc184313260"/>
      <w:bookmarkEnd w:id="315"/>
      <w:bookmarkStart w:id="316" w:name="_Toc184310305"/>
      <w:bookmarkEnd w:id="316"/>
      <w:bookmarkStart w:id="317" w:name="_Toc184313301"/>
      <w:bookmarkEnd w:id="317"/>
      <w:bookmarkStart w:id="318" w:name="_Toc184313257"/>
      <w:bookmarkEnd w:id="318"/>
      <w:bookmarkStart w:id="319" w:name="_Toc184313307"/>
      <w:bookmarkEnd w:id="319"/>
      <w:bookmarkStart w:id="320" w:name="_Toc184313278"/>
      <w:bookmarkEnd w:id="320"/>
      <w:bookmarkStart w:id="321" w:name="_Toc184310290"/>
      <w:bookmarkEnd w:id="321"/>
      <w:bookmarkStart w:id="322" w:name="_Toc184308069"/>
      <w:bookmarkEnd w:id="322"/>
      <w:bookmarkStart w:id="323" w:name="_Toc184310298"/>
      <w:bookmarkEnd w:id="323"/>
      <w:bookmarkStart w:id="324" w:name="_Toc184313272"/>
      <w:bookmarkEnd w:id="324"/>
      <w:bookmarkStart w:id="325" w:name="_Toc184308061"/>
      <w:bookmarkEnd w:id="325"/>
      <w:bookmarkStart w:id="326" w:name="_Toc184313292"/>
      <w:bookmarkEnd w:id="326"/>
      <w:bookmarkStart w:id="327" w:name="_Toc184312090"/>
      <w:bookmarkEnd w:id="327"/>
      <w:bookmarkStart w:id="328" w:name="_Toc184313288"/>
      <w:bookmarkEnd w:id="328"/>
      <w:bookmarkStart w:id="329" w:name="_Toc184312134"/>
      <w:bookmarkEnd w:id="329"/>
      <w:bookmarkStart w:id="330" w:name="_Toc184313244"/>
      <w:bookmarkEnd w:id="330"/>
      <w:bookmarkStart w:id="331" w:name="_Toc184313240"/>
      <w:bookmarkEnd w:id="331"/>
      <w:bookmarkStart w:id="332" w:name="_Toc184308088"/>
      <w:bookmarkEnd w:id="332"/>
      <w:bookmarkStart w:id="333" w:name="_Toc184313290"/>
      <w:bookmarkEnd w:id="333"/>
      <w:bookmarkStart w:id="334" w:name="_Toc184312100"/>
      <w:bookmarkEnd w:id="334"/>
      <w:bookmarkStart w:id="335" w:name="_Toc184314427"/>
      <w:bookmarkEnd w:id="335"/>
      <w:bookmarkStart w:id="336" w:name="_Toc184312070"/>
      <w:bookmarkEnd w:id="336"/>
      <w:bookmarkStart w:id="337" w:name="_Toc184310292"/>
      <w:bookmarkEnd w:id="337"/>
      <w:bookmarkStart w:id="338" w:name="_Toc184314473"/>
      <w:bookmarkEnd w:id="338"/>
      <w:bookmarkStart w:id="339" w:name="_Toc184312115"/>
      <w:bookmarkEnd w:id="339"/>
      <w:bookmarkStart w:id="340" w:name="_Toc184310289"/>
      <w:bookmarkEnd w:id="340"/>
      <w:bookmarkStart w:id="341" w:name="_Toc184314442"/>
      <w:bookmarkEnd w:id="341"/>
      <w:bookmarkStart w:id="342" w:name="_Toc184314453"/>
      <w:bookmarkEnd w:id="342"/>
      <w:bookmarkStart w:id="343" w:name="_Toc184310319"/>
      <w:bookmarkEnd w:id="343"/>
      <w:bookmarkStart w:id="344" w:name="_Toc184308064"/>
      <w:bookmarkEnd w:id="344"/>
      <w:bookmarkStart w:id="345" w:name="_Toc184314476"/>
      <w:bookmarkEnd w:id="345"/>
      <w:bookmarkStart w:id="346" w:name="_Toc184310339"/>
      <w:bookmarkEnd w:id="346"/>
      <w:bookmarkStart w:id="347" w:name="_Toc184314466"/>
      <w:bookmarkEnd w:id="347"/>
      <w:bookmarkStart w:id="348" w:name="_Toc184308080"/>
      <w:bookmarkEnd w:id="348"/>
      <w:bookmarkStart w:id="349" w:name="_Toc184310280"/>
      <w:bookmarkEnd w:id="349"/>
      <w:bookmarkStart w:id="350" w:name="_Toc184314465"/>
      <w:bookmarkEnd w:id="350"/>
      <w:bookmarkStart w:id="351" w:name="_Toc184313287"/>
      <w:bookmarkEnd w:id="351"/>
      <w:bookmarkStart w:id="352" w:name="_Toc184313258"/>
      <w:bookmarkEnd w:id="352"/>
      <w:bookmarkStart w:id="353" w:name="_Toc184314450"/>
      <w:bookmarkEnd w:id="353"/>
      <w:bookmarkStart w:id="354" w:name="_Toc184314425"/>
      <w:bookmarkEnd w:id="354"/>
      <w:bookmarkStart w:id="355" w:name="_Toc184313286"/>
      <w:bookmarkEnd w:id="355"/>
      <w:bookmarkStart w:id="356" w:name="_Toc184314417"/>
      <w:bookmarkEnd w:id="356"/>
      <w:bookmarkStart w:id="357" w:name="_Toc184308095"/>
      <w:bookmarkEnd w:id="357"/>
      <w:bookmarkStart w:id="358" w:name="_Toc184312082"/>
      <w:bookmarkEnd w:id="358"/>
      <w:bookmarkStart w:id="359" w:name="_Toc184308054"/>
      <w:bookmarkEnd w:id="359"/>
      <w:bookmarkStart w:id="360" w:name="_Toc184313300"/>
      <w:bookmarkEnd w:id="360"/>
      <w:bookmarkStart w:id="361" w:name="_Toc184313238"/>
      <w:bookmarkEnd w:id="361"/>
      <w:bookmarkStart w:id="362" w:name="_Toc184312117"/>
      <w:bookmarkEnd w:id="362"/>
      <w:bookmarkStart w:id="363" w:name="_Toc184314468"/>
      <w:bookmarkEnd w:id="363"/>
      <w:bookmarkStart w:id="364" w:name="_Toc184314432"/>
      <w:bookmarkEnd w:id="364"/>
      <w:bookmarkStart w:id="365" w:name="_Toc184313250"/>
      <w:bookmarkEnd w:id="365"/>
      <w:bookmarkStart w:id="366" w:name="_Toc184312120"/>
      <w:bookmarkEnd w:id="366"/>
      <w:bookmarkStart w:id="367" w:name="_Toc184312086"/>
      <w:bookmarkEnd w:id="367"/>
      <w:bookmarkStart w:id="368" w:name="_Toc184310315"/>
      <w:bookmarkEnd w:id="368"/>
      <w:bookmarkStart w:id="369" w:name="_Toc184308108"/>
      <w:bookmarkEnd w:id="369"/>
      <w:bookmarkStart w:id="370" w:name="_Toc184312124"/>
      <w:bookmarkEnd w:id="370"/>
      <w:bookmarkStart w:id="371" w:name="_Toc184308103"/>
      <w:bookmarkEnd w:id="371"/>
      <w:bookmarkStart w:id="372" w:name="_Toc184308066"/>
      <w:bookmarkEnd w:id="372"/>
      <w:bookmarkStart w:id="373" w:name="_Toc184308100"/>
      <w:bookmarkEnd w:id="373"/>
      <w:bookmarkStart w:id="374" w:name="_Toc184308072"/>
      <w:bookmarkEnd w:id="374"/>
      <w:bookmarkStart w:id="375" w:name="_Toc184308073"/>
      <w:bookmarkEnd w:id="375"/>
      <w:bookmarkStart w:id="376" w:name="_Toc184310342"/>
      <w:bookmarkEnd w:id="376"/>
      <w:bookmarkStart w:id="377" w:name="_Toc184313239"/>
      <w:bookmarkEnd w:id="377"/>
      <w:bookmarkStart w:id="378" w:name="_Toc184308058"/>
      <w:bookmarkEnd w:id="378"/>
      <w:bookmarkStart w:id="379" w:name="_Toc184312133"/>
      <w:bookmarkEnd w:id="379"/>
      <w:bookmarkStart w:id="380" w:name="_Toc184313247"/>
      <w:bookmarkEnd w:id="380"/>
      <w:bookmarkStart w:id="381" w:name="_Toc184314454"/>
      <w:bookmarkEnd w:id="381"/>
      <w:bookmarkStart w:id="382" w:name="_Toc184312078"/>
      <w:bookmarkEnd w:id="382"/>
      <w:bookmarkStart w:id="383" w:name="_Toc184312114"/>
      <w:bookmarkEnd w:id="383"/>
      <w:bookmarkStart w:id="384" w:name="_Toc184314414"/>
      <w:bookmarkEnd w:id="384"/>
      <w:bookmarkStart w:id="385" w:name="_Toc184313252"/>
      <w:bookmarkEnd w:id="385"/>
      <w:bookmarkStart w:id="386" w:name="_Toc184314420"/>
      <w:bookmarkEnd w:id="386"/>
      <w:bookmarkStart w:id="387" w:name="_Toc184310308"/>
      <w:bookmarkEnd w:id="387"/>
      <w:bookmarkStart w:id="388" w:name="_Toc184314415"/>
      <w:bookmarkEnd w:id="388"/>
      <w:bookmarkStart w:id="389" w:name="_Toc184310297"/>
      <w:bookmarkEnd w:id="389"/>
      <w:bookmarkStart w:id="390" w:name="_Toc184312139"/>
      <w:bookmarkEnd w:id="390"/>
      <w:bookmarkStart w:id="391" w:name="_Toc184314467"/>
      <w:bookmarkEnd w:id="391"/>
      <w:bookmarkStart w:id="392" w:name="_Toc184310328"/>
      <w:bookmarkEnd w:id="392"/>
      <w:r>
        <w:rPr>
          <w:rFonts w:hint="eastAsia" w:asciiTheme="minorEastAsia" w:hAnsiTheme="minorEastAsia" w:eastAsiaTheme="minorEastAsia" w:cstheme="minorEastAsia"/>
          <w:b/>
          <w:color w:val="auto"/>
          <w:sz w:val="36"/>
          <w:szCs w:val="36"/>
          <w:highlight w:val="none"/>
        </w:rPr>
        <w:t>评审办法</w:t>
      </w:r>
    </w:p>
    <w:p>
      <w:pPr>
        <w:snapToGrid w:val="0"/>
        <w:spacing w:line="360" w:lineRule="auto"/>
        <w:jc w:val="center"/>
        <w:rPr>
          <w:rFonts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b/>
          <w:color w:val="auto"/>
          <w:sz w:val="32"/>
          <w:szCs w:val="20"/>
          <w:highlight w:val="none"/>
        </w:rPr>
        <w:t>评审办法前附表</w:t>
      </w:r>
    </w:p>
    <w:tbl>
      <w:tblPr>
        <w:tblStyle w:val="25"/>
        <w:tblW w:w="93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95"/>
        <w:gridCol w:w="74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pPr>
              <w:pageBreakBefore w:val="0"/>
              <w:kinsoku/>
              <w:wordWrap/>
              <w:overflowPunct/>
              <w:topLinePunct w:val="0"/>
              <w:bidi w:val="0"/>
              <w:spacing w:line="360" w:lineRule="auto"/>
              <w:rPr>
                <w:color w:val="auto"/>
                <w:szCs w:val="21"/>
                <w:highlight w:val="none"/>
              </w:rPr>
            </w:pPr>
          </w:p>
        </w:tc>
        <w:tc>
          <w:tcPr>
            <w:tcW w:w="1195" w:type="dxa"/>
            <w:noWrap w:val="0"/>
            <w:vAlign w:val="center"/>
          </w:tcPr>
          <w:p>
            <w:pPr>
              <w:pageBreakBefore w:val="0"/>
              <w:kinsoku/>
              <w:wordWrap/>
              <w:overflowPunct/>
              <w:topLinePunct w:val="0"/>
              <w:bidi w:val="0"/>
              <w:spacing w:line="360" w:lineRule="auto"/>
              <w:jc w:val="center"/>
              <w:rPr>
                <w:color w:val="auto"/>
                <w:szCs w:val="21"/>
                <w:highlight w:val="none"/>
              </w:rPr>
            </w:pPr>
            <w:r>
              <w:rPr>
                <w:rFonts w:hint="eastAsia"/>
                <w:color w:val="auto"/>
                <w:highlight w:val="none"/>
              </w:rPr>
              <w:t>项目</w:t>
            </w:r>
          </w:p>
        </w:tc>
        <w:tc>
          <w:tcPr>
            <w:tcW w:w="7442" w:type="dxa"/>
            <w:noWrap w:val="0"/>
            <w:vAlign w:val="center"/>
          </w:tcPr>
          <w:p>
            <w:pPr>
              <w:pageBreakBefore w:val="0"/>
              <w:tabs>
                <w:tab w:val="left" w:pos="4915"/>
              </w:tabs>
              <w:kinsoku/>
              <w:wordWrap/>
              <w:overflowPunct/>
              <w:topLinePunct w:val="0"/>
              <w:bidi w:val="0"/>
              <w:spacing w:line="360" w:lineRule="auto"/>
              <w:jc w:val="center"/>
              <w:rPr>
                <w:color w:val="auto"/>
                <w:szCs w:val="21"/>
                <w:highlight w:val="none"/>
              </w:rPr>
            </w:pPr>
            <w:r>
              <w:rPr>
                <w:rFonts w:hint="eastAsia"/>
                <w:color w:val="auto"/>
                <w:highlight w:val="none"/>
              </w:rPr>
              <w:t>评分细则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748" w:type="dxa"/>
            <w:vMerge w:val="restart"/>
            <w:noWrap w:val="0"/>
            <w:vAlign w:val="center"/>
          </w:tcPr>
          <w:p>
            <w:pPr>
              <w:pageBreakBefore w:val="0"/>
              <w:kinsoku/>
              <w:wordWrap/>
              <w:overflowPunct/>
              <w:topLinePunct w:val="0"/>
              <w:bidi w:val="0"/>
              <w:spacing w:line="360" w:lineRule="auto"/>
              <w:rPr>
                <w:color w:val="auto"/>
                <w:szCs w:val="21"/>
                <w:highlight w:val="none"/>
              </w:rPr>
            </w:pPr>
            <w:r>
              <w:rPr>
                <w:color w:val="auto"/>
                <w:szCs w:val="21"/>
                <w:highlight w:val="none"/>
              </w:rPr>
              <w:t>技术资信</w:t>
            </w:r>
            <w:r>
              <w:rPr>
                <w:rFonts w:hint="eastAsia"/>
                <w:color w:val="auto"/>
                <w:szCs w:val="21"/>
                <w:highlight w:val="none"/>
              </w:rPr>
              <w:t>部分</w:t>
            </w:r>
            <w:r>
              <w:rPr>
                <w:rFonts w:hint="eastAsia"/>
                <w:color w:val="auto"/>
                <w:szCs w:val="21"/>
                <w:highlight w:val="none"/>
                <w:lang w:val="en-US" w:eastAsia="zh-CN"/>
              </w:rPr>
              <w:t>65</w:t>
            </w:r>
            <w:r>
              <w:rPr>
                <w:color w:val="auto"/>
                <w:szCs w:val="21"/>
                <w:highlight w:val="none"/>
              </w:rPr>
              <w:t>分</w:t>
            </w:r>
          </w:p>
        </w:tc>
        <w:tc>
          <w:tcPr>
            <w:tcW w:w="1195" w:type="dxa"/>
            <w:noWrap w:val="0"/>
            <w:vAlign w:val="center"/>
          </w:tcPr>
          <w:p>
            <w:pPr>
              <w:pageBreakBefore w:val="0"/>
              <w:kinsoku/>
              <w:wordWrap/>
              <w:overflowPunct/>
              <w:topLinePunct w:val="0"/>
              <w:bidi w:val="0"/>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项目主要</w:t>
            </w:r>
            <w:r>
              <w:rPr>
                <w:color w:val="auto"/>
                <w:szCs w:val="21"/>
                <w:highlight w:val="none"/>
              </w:rPr>
              <w:t>技术</w:t>
            </w:r>
            <w:r>
              <w:rPr>
                <w:rFonts w:hint="eastAsia"/>
                <w:color w:val="auto"/>
                <w:szCs w:val="21"/>
                <w:highlight w:val="none"/>
                <w:lang w:val="en-US" w:eastAsia="zh-CN"/>
              </w:rPr>
              <w:t>要求</w:t>
            </w:r>
          </w:p>
          <w:p>
            <w:pPr>
              <w:pageBreakBefore w:val="0"/>
              <w:kinsoku/>
              <w:wordWrap/>
              <w:overflowPunct/>
              <w:topLinePunct w:val="0"/>
              <w:bidi w:val="0"/>
              <w:spacing w:line="360" w:lineRule="auto"/>
              <w:jc w:val="center"/>
              <w:rPr>
                <w:color w:val="auto"/>
                <w:szCs w:val="21"/>
                <w:highlight w:val="none"/>
              </w:rPr>
            </w:pPr>
            <w:r>
              <w:rPr>
                <w:color w:val="auto"/>
                <w:szCs w:val="21"/>
                <w:highlight w:val="none"/>
              </w:rPr>
              <w:t>响应情况</w:t>
            </w:r>
          </w:p>
          <w:p>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lang w:val="en-US" w:eastAsia="zh-CN"/>
              </w:rPr>
              <w:t>15</w:t>
            </w:r>
            <w:r>
              <w:rPr>
                <w:color w:val="auto"/>
                <w:szCs w:val="21"/>
                <w:highlight w:val="none"/>
              </w:rPr>
              <w:t>分）</w:t>
            </w:r>
          </w:p>
        </w:tc>
        <w:tc>
          <w:tcPr>
            <w:tcW w:w="7442" w:type="dxa"/>
            <w:noWrap w:val="0"/>
            <w:vAlign w:val="center"/>
          </w:tcPr>
          <w:p>
            <w:pPr>
              <w:pageBreakBefore w:val="0"/>
              <w:numPr>
                <w:ilvl w:val="0"/>
                <w:numId w:val="0"/>
              </w:numPr>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1、项目技术要求</w:t>
            </w:r>
            <w:r>
              <w:rPr>
                <w:rFonts w:hint="eastAsia" w:cs="宋体"/>
                <w:color w:val="auto"/>
                <w:szCs w:val="21"/>
                <w:highlight w:val="none"/>
              </w:rPr>
              <w:t>响应情况（</w:t>
            </w:r>
            <w:r>
              <w:rPr>
                <w:rFonts w:hint="eastAsia" w:cs="宋体"/>
                <w:color w:val="auto"/>
                <w:szCs w:val="21"/>
                <w:highlight w:val="none"/>
                <w:lang w:val="en-US" w:eastAsia="zh-CN"/>
              </w:rPr>
              <w:t>15</w:t>
            </w:r>
            <w:r>
              <w:rPr>
                <w:rFonts w:hint="eastAsia" w:cs="宋体"/>
                <w:color w:val="auto"/>
                <w:szCs w:val="21"/>
                <w:highlight w:val="none"/>
              </w:rPr>
              <w:t>分）</w:t>
            </w:r>
          </w:p>
          <w:p>
            <w:pPr>
              <w:pageBreakBefore w:val="0"/>
              <w:numPr>
                <w:ilvl w:val="0"/>
                <w:numId w:val="0"/>
              </w:numPr>
              <w:tabs>
                <w:tab w:val="left" w:pos="4915"/>
              </w:tabs>
              <w:kinsoku/>
              <w:wordWrap/>
              <w:overflowPunct/>
              <w:topLinePunct w:val="0"/>
              <w:bidi w:val="0"/>
              <w:spacing w:line="360" w:lineRule="auto"/>
              <w:rPr>
                <w:rFonts w:hint="default" w:cs="宋体"/>
                <w:color w:val="auto"/>
                <w:szCs w:val="21"/>
                <w:highlight w:val="none"/>
                <w:lang w:val="en-US" w:eastAsia="zh-CN"/>
              </w:rPr>
            </w:pPr>
            <w:r>
              <w:rPr>
                <w:rFonts w:hint="eastAsia" w:ascii="Calibri" w:hAnsi="Calibri" w:eastAsia="宋体" w:cs="宋体"/>
                <w:color w:val="auto"/>
                <w:kern w:val="2"/>
                <w:sz w:val="21"/>
                <w:szCs w:val="21"/>
                <w:highlight w:val="none"/>
                <w:lang w:val="en-US" w:eastAsia="zh-CN" w:bidi="ar-SA"/>
              </w:rPr>
              <w:t>响应文件对“采购文件第三部分采购需求”的响应情况：全部满足采购文件要求的得</w:t>
            </w:r>
            <w:r>
              <w:rPr>
                <w:rFonts w:hint="eastAsia" w:cs="宋体"/>
                <w:color w:val="auto"/>
                <w:kern w:val="2"/>
                <w:sz w:val="21"/>
                <w:szCs w:val="21"/>
                <w:highlight w:val="none"/>
                <w:lang w:val="en-US" w:eastAsia="zh-CN" w:bidi="ar-SA"/>
              </w:rPr>
              <w:t>15</w:t>
            </w:r>
            <w:r>
              <w:rPr>
                <w:rFonts w:hint="eastAsia" w:ascii="Calibri" w:hAnsi="Calibri" w:eastAsia="宋体" w:cs="宋体"/>
                <w:color w:val="auto"/>
                <w:kern w:val="2"/>
                <w:sz w:val="21"/>
                <w:szCs w:val="21"/>
                <w:highlight w:val="none"/>
                <w:lang w:val="en-US" w:eastAsia="zh-CN" w:bidi="ar-SA"/>
              </w:rPr>
              <w:t>分，每负偏离一项扣1分，扣完为止。</w:t>
            </w:r>
            <w:r>
              <w:rPr>
                <w:rFonts w:hint="eastAsia" w:ascii="Calibri" w:hAnsi="Calibri" w:eastAsia="宋体" w:cs="宋体"/>
                <w:color w:val="0000FF"/>
                <w:kern w:val="2"/>
                <w:sz w:val="21"/>
                <w:szCs w:val="21"/>
                <w:highlight w:val="none"/>
                <w:lang w:val="en-US" w:eastAsia="zh-CN" w:bidi="ar-SA"/>
              </w:rPr>
              <w:t>标有“▲”的</w:t>
            </w:r>
            <w:r>
              <w:rPr>
                <w:rFonts w:hint="eastAsia" w:eastAsia="宋体" w:cs="宋体"/>
                <w:color w:val="0000FF"/>
                <w:kern w:val="2"/>
                <w:sz w:val="21"/>
                <w:szCs w:val="21"/>
                <w:highlight w:val="none"/>
                <w:lang w:val="en-US" w:eastAsia="zh-CN" w:bidi="ar-SA"/>
              </w:rPr>
              <w:t>服务要求有</w:t>
            </w:r>
            <w:r>
              <w:rPr>
                <w:rFonts w:hint="eastAsia" w:ascii="Calibri" w:hAnsi="Calibri" w:eastAsia="宋体" w:cs="宋体"/>
                <w:color w:val="0000FF"/>
                <w:kern w:val="2"/>
                <w:sz w:val="21"/>
                <w:szCs w:val="21"/>
                <w:highlight w:val="none"/>
                <w:lang w:val="en-US" w:eastAsia="zh-CN" w:bidi="ar-SA"/>
              </w:rPr>
              <w:t>负偏离</w:t>
            </w:r>
            <w:r>
              <w:rPr>
                <w:rFonts w:hint="eastAsia" w:eastAsia="宋体" w:cs="宋体"/>
                <w:color w:val="0000FF"/>
                <w:kern w:val="2"/>
                <w:sz w:val="21"/>
                <w:szCs w:val="21"/>
                <w:highlight w:val="none"/>
                <w:lang w:val="en-US" w:eastAsia="zh-CN" w:bidi="ar-SA"/>
              </w:rPr>
              <w:t>的</w:t>
            </w:r>
            <w:r>
              <w:rPr>
                <w:rFonts w:hint="eastAsia" w:ascii="Calibri" w:hAnsi="Calibri" w:eastAsia="宋体" w:cs="宋体"/>
                <w:color w:val="0000FF"/>
                <w:kern w:val="2"/>
                <w:sz w:val="21"/>
                <w:szCs w:val="21"/>
                <w:highlight w:val="none"/>
                <w:lang w:val="en-US" w:eastAsia="zh-CN" w:bidi="ar-SA"/>
              </w:rPr>
              <w:t>作无效标处理。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748"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1195" w:type="dxa"/>
            <w:vMerge w:val="restart"/>
            <w:noWrap w:val="0"/>
            <w:vAlign w:val="center"/>
          </w:tcPr>
          <w:p>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施工组织方案</w:t>
            </w:r>
          </w:p>
          <w:p>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rPr>
              <w:t>3</w:t>
            </w:r>
            <w:r>
              <w:rPr>
                <w:rFonts w:hint="eastAsia"/>
                <w:color w:val="auto"/>
                <w:szCs w:val="21"/>
                <w:highlight w:val="none"/>
                <w:lang w:val="en-US" w:eastAsia="zh-CN"/>
              </w:rPr>
              <w:t>0</w:t>
            </w:r>
            <w:r>
              <w:rPr>
                <w:color w:val="auto"/>
                <w:szCs w:val="21"/>
                <w:highlight w:val="none"/>
              </w:rPr>
              <w:t>分）</w:t>
            </w:r>
          </w:p>
        </w:tc>
        <w:tc>
          <w:tcPr>
            <w:tcW w:w="7442" w:type="dxa"/>
            <w:noWrap w:val="0"/>
            <w:vAlign w:val="center"/>
          </w:tcPr>
          <w:p>
            <w:pPr>
              <w:pageBreakBefore w:val="0"/>
              <w:numPr>
                <w:ilvl w:val="0"/>
                <w:numId w:val="3"/>
              </w:numPr>
              <w:tabs>
                <w:tab w:val="left" w:pos="4915"/>
              </w:tabs>
              <w:kinsoku/>
              <w:wordWrap/>
              <w:overflowPunct/>
              <w:topLinePunct w:val="0"/>
              <w:bidi w:val="0"/>
              <w:spacing w:line="360" w:lineRule="auto"/>
              <w:rPr>
                <w:rFonts w:hint="eastAsia" w:cs="宋体"/>
                <w:color w:val="auto"/>
                <w:szCs w:val="21"/>
                <w:highlight w:val="none"/>
                <w:lang w:val="en-US" w:eastAsia="zh-CN"/>
              </w:rPr>
            </w:pPr>
            <w:r>
              <w:rPr>
                <w:rFonts w:hint="eastAsia" w:cs="宋体"/>
                <w:color w:val="auto"/>
                <w:szCs w:val="21"/>
                <w:highlight w:val="none"/>
                <w:lang w:val="en-US" w:eastAsia="zh-CN"/>
              </w:rPr>
              <w:t>项目背景调查（5分）</w:t>
            </w:r>
          </w:p>
          <w:p>
            <w:pPr>
              <w:pageBreakBefore w:val="0"/>
              <w:numPr>
                <w:ilvl w:val="0"/>
                <w:numId w:val="0"/>
              </w:numPr>
              <w:tabs>
                <w:tab w:val="left" w:pos="4915"/>
              </w:tabs>
              <w:kinsoku/>
              <w:wordWrap/>
              <w:overflowPunct/>
              <w:topLinePunct w:val="0"/>
              <w:bidi w:val="0"/>
              <w:spacing w:line="360" w:lineRule="auto"/>
              <w:rPr>
                <w:rFonts w:hint="default" w:eastAsia="宋体" w:cs="宋体"/>
                <w:color w:val="auto"/>
                <w:szCs w:val="21"/>
                <w:highlight w:val="none"/>
                <w:lang w:val="en-US" w:eastAsia="zh-CN"/>
              </w:rPr>
            </w:pPr>
            <w:r>
              <w:rPr>
                <w:rFonts w:hint="eastAsia" w:cs="宋体"/>
                <w:color w:val="auto"/>
                <w:szCs w:val="21"/>
                <w:highlight w:val="none"/>
              </w:rPr>
              <w:t>评委对</w:t>
            </w:r>
            <w:r>
              <w:rPr>
                <w:rFonts w:hint="eastAsia" w:cs="宋体"/>
                <w:color w:val="auto"/>
                <w:szCs w:val="21"/>
                <w:highlight w:val="none"/>
                <w:lang w:val="en-US" w:eastAsia="zh-CN"/>
              </w:rPr>
              <w:t>供应商根据目前项目情况所进行的调查和分析</w:t>
            </w:r>
            <w:r>
              <w:rPr>
                <w:rFonts w:hint="eastAsia" w:cs="宋体"/>
                <w:color w:val="auto"/>
                <w:szCs w:val="21"/>
                <w:highlight w:val="none"/>
              </w:rPr>
              <w:t>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调查充分、分析全面</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调查不够充分、分析不够全面</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0000FF"/>
                <w:szCs w:val="21"/>
                <w:highlight w:val="none"/>
                <w:lang w:val="en-US" w:eastAsia="zh-CN"/>
              </w:rPr>
              <w:t>未提供的得0分</w:t>
            </w:r>
            <w:r>
              <w:rPr>
                <w:rFonts w:hint="eastAsia" w:cs="宋体"/>
                <w:color w:val="0000FF"/>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748"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3、</w:t>
            </w:r>
            <w:r>
              <w:rPr>
                <w:rFonts w:hint="eastAsia" w:cs="宋体"/>
                <w:color w:val="auto"/>
                <w:szCs w:val="21"/>
                <w:highlight w:val="none"/>
              </w:rPr>
              <w:t>施工组织方案</w:t>
            </w:r>
            <w:r>
              <w:rPr>
                <w:rFonts w:hint="eastAsia" w:cs="宋体"/>
                <w:color w:val="auto"/>
                <w:szCs w:val="21"/>
                <w:highlight w:val="none"/>
                <w:lang w:val="en-US" w:eastAsia="zh-CN"/>
              </w:rPr>
              <w:t>实施</w:t>
            </w:r>
            <w:r>
              <w:rPr>
                <w:rFonts w:hint="eastAsia" w:cs="宋体"/>
                <w:color w:val="auto"/>
                <w:szCs w:val="21"/>
                <w:highlight w:val="none"/>
              </w:rPr>
              <w:t>（5分）</w:t>
            </w:r>
          </w:p>
          <w:p>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评委对整体施工组织方案进行综合评议并打分：方案完全符合本项目需求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工程关键节点分析准确、把控得当</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工程关键节点把控不够明确</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0000FF"/>
                <w:szCs w:val="21"/>
                <w:highlight w:val="none"/>
                <w:lang w:val="en-US" w:eastAsia="zh-CN"/>
              </w:rPr>
              <w:t>未提供的得0分</w:t>
            </w:r>
            <w:r>
              <w:rPr>
                <w:rFonts w:hint="eastAsia" w:cs="宋体"/>
                <w:color w:val="0000FF"/>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748"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4、</w:t>
            </w:r>
            <w:r>
              <w:rPr>
                <w:rFonts w:hint="eastAsia" w:cs="宋体"/>
                <w:color w:val="auto"/>
                <w:szCs w:val="21"/>
                <w:highlight w:val="none"/>
              </w:rPr>
              <w:t>工程质量保证措施（5分）</w:t>
            </w:r>
          </w:p>
          <w:p>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评委对工程质量保证措施进行综合评议并打分：</w:t>
            </w:r>
            <w:r>
              <w:rPr>
                <w:rFonts w:hint="eastAsia" w:cs="宋体"/>
                <w:color w:val="auto"/>
                <w:szCs w:val="21"/>
                <w:highlight w:val="none"/>
                <w:lang w:val="en-US" w:eastAsia="zh-CN"/>
              </w:rPr>
              <w:t>各项保证</w:t>
            </w:r>
            <w:r>
              <w:rPr>
                <w:rFonts w:hint="eastAsia" w:cs="宋体"/>
                <w:color w:val="auto"/>
                <w:szCs w:val="21"/>
                <w:highlight w:val="none"/>
              </w:rPr>
              <w:t>措施有力</w:t>
            </w:r>
            <w:r>
              <w:rPr>
                <w:rFonts w:hint="eastAsia" w:cs="宋体"/>
                <w:color w:val="auto"/>
                <w:szCs w:val="21"/>
                <w:highlight w:val="none"/>
                <w:lang w:eastAsia="zh-CN"/>
              </w:rPr>
              <w:t>、</w:t>
            </w:r>
            <w:r>
              <w:rPr>
                <w:rFonts w:hint="eastAsia" w:cs="宋体"/>
                <w:color w:val="auto"/>
                <w:szCs w:val="21"/>
                <w:highlight w:val="none"/>
                <w:lang w:val="en-US" w:eastAsia="zh-CN"/>
              </w:rPr>
              <w:t>符合行业规范</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上有主体内容的缺项</w:t>
            </w:r>
            <w:r>
              <w:rPr>
                <w:rFonts w:hint="eastAsia" w:cs="宋体"/>
                <w:color w:val="auto"/>
                <w:szCs w:val="21"/>
                <w:highlight w:val="none"/>
              </w:rPr>
              <w:t>或缺少具体</w:t>
            </w:r>
            <w:r>
              <w:rPr>
                <w:rFonts w:hint="eastAsia" w:cs="宋体"/>
                <w:color w:val="auto"/>
                <w:szCs w:val="21"/>
                <w:highlight w:val="none"/>
                <w:lang w:val="en-US" w:eastAsia="zh-CN"/>
              </w:rPr>
              <w:t>有效的保证措施</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保证满足项目需求的得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0000FF"/>
                <w:szCs w:val="21"/>
                <w:highlight w:val="none"/>
                <w:lang w:val="en-US" w:eastAsia="zh-CN"/>
              </w:rPr>
              <w:t>未提供的得0分</w:t>
            </w:r>
            <w:r>
              <w:rPr>
                <w:rFonts w:hint="eastAsia" w:cs="宋体"/>
                <w:color w:val="0000FF"/>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748"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5、</w:t>
            </w:r>
            <w:r>
              <w:rPr>
                <w:rFonts w:hint="eastAsia" w:cs="宋体"/>
                <w:color w:val="auto"/>
                <w:szCs w:val="21"/>
                <w:highlight w:val="none"/>
              </w:rPr>
              <w:t>施工进度管理与控制（5分）</w:t>
            </w:r>
          </w:p>
          <w:p>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评委对施工进度管理与控制进行综合评议并打分：</w:t>
            </w:r>
            <w:r>
              <w:rPr>
                <w:rFonts w:hint="eastAsia" w:cs="宋体"/>
                <w:color w:val="auto"/>
                <w:szCs w:val="21"/>
                <w:highlight w:val="none"/>
                <w:lang w:val="en-US" w:eastAsia="zh-CN"/>
              </w:rPr>
              <w:t>进度计划安排得当、各时间节点明确、项目工期有有效保障的得5分；进度安排尚能满足项目需求、部分时间节点不够明确或存在前松后紧的得3分；进度安排存在明显不合理之处、或时间节点混乱、难以保障项目工期的得1分</w:t>
            </w:r>
            <w:r>
              <w:rPr>
                <w:rFonts w:hint="eastAsia" w:cs="宋体"/>
                <w:color w:val="auto"/>
                <w:szCs w:val="21"/>
                <w:highlight w:val="none"/>
                <w:lang w:eastAsia="zh-CN"/>
              </w:rPr>
              <w:t>；</w:t>
            </w:r>
            <w:r>
              <w:rPr>
                <w:rFonts w:hint="eastAsia" w:cs="宋体"/>
                <w:color w:val="0000FF"/>
                <w:szCs w:val="21"/>
                <w:highlight w:val="none"/>
                <w:lang w:val="en-US" w:eastAsia="zh-CN"/>
              </w:rPr>
              <w:t>未提供的得0分</w:t>
            </w:r>
            <w:r>
              <w:rPr>
                <w:rFonts w:hint="eastAsia" w:cs="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48"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6、</w:t>
            </w:r>
            <w:r>
              <w:rPr>
                <w:rFonts w:hint="eastAsia" w:cs="宋体"/>
                <w:color w:val="auto"/>
                <w:szCs w:val="21"/>
                <w:highlight w:val="none"/>
              </w:rPr>
              <w:t>安全生产、文明施工措施（5分）</w:t>
            </w:r>
          </w:p>
          <w:p>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评委对安全生产、文明施工措施进行综合评议并打分：</w:t>
            </w:r>
            <w:r>
              <w:rPr>
                <w:rFonts w:hint="eastAsia" w:cs="宋体"/>
                <w:color w:val="auto"/>
                <w:szCs w:val="21"/>
                <w:highlight w:val="none"/>
                <w:lang w:val="en-US" w:eastAsia="zh-CN"/>
              </w:rPr>
              <w:t>对施工噪音、施工震动、施工扬尘等防治</w:t>
            </w:r>
            <w:r>
              <w:rPr>
                <w:rFonts w:hint="eastAsia" w:cs="宋体"/>
                <w:color w:val="auto"/>
                <w:szCs w:val="21"/>
                <w:highlight w:val="none"/>
              </w:rPr>
              <w:t>措施</w:t>
            </w:r>
            <w:r>
              <w:rPr>
                <w:rFonts w:hint="eastAsia" w:cs="宋体"/>
                <w:color w:val="auto"/>
                <w:szCs w:val="21"/>
                <w:highlight w:val="none"/>
                <w:lang w:val="en-US" w:eastAsia="zh-CN"/>
              </w:rPr>
              <w:t>具体有效</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w:t>
            </w:r>
            <w:r>
              <w:rPr>
                <w:rFonts w:hint="eastAsia" w:cs="宋体"/>
                <w:color w:val="auto"/>
                <w:szCs w:val="21"/>
                <w:highlight w:val="none"/>
                <w:lang w:val="en-US" w:eastAsia="zh-CN"/>
              </w:rPr>
              <w:t>存在细节</w:t>
            </w:r>
            <w:r>
              <w:rPr>
                <w:rFonts w:hint="eastAsia" w:cs="宋体"/>
                <w:color w:val="auto"/>
                <w:szCs w:val="21"/>
                <w:highlight w:val="none"/>
              </w:rPr>
              <w:t>部分欠缺，</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有缺项</w:t>
            </w:r>
            <w:r>
              <w:rPr>
                <w:rFonts w:hint="eastAsia" w:cs="宋体"/>
                <w:color w:val="auto"/>
                <w:szCs w:val="21"/>
                <w:highlight w:val="none"/>
              </w:rPr>
              <w:t>或缺少</w:t>
            </w:r>
            <w:r>
              <w:rPr>
                <w:rFonts w:hint="eastAsia" w:cs="宋体"/>
                <w:color w:val="auto"/>
                <w:szCs w:val="21"/>
                <w:highlight w:val="none"/>
                <w:lang w:val="en-US" w:eastAsia="zh-CN"/>
              </w:rPr>
              <w:t>有效防治手段</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0000FF"/>
                <w:szCs w:val="21"/>
                <w:highlight w:val="none"/>
                <w:lang w:val="en-US" w:eastAsia="zh-CN"/>
              </w:rPr>
              <w:t>未提供的得0分</w:t>
            </w:r>
            <w:r>
              <w:rPr>
                <w:rFonts w:hint="eastAsia" w:cs="宋体"/>
                <w:color w:val="0000FF"/>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748"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7、</w:t>
            </w:r>
            <w:r>
              <w:rPr>
                <w:rFonts w:hint="eastAsia" w:cs="宋体"/>
                <w:color w:val="auto"/>
                <w:szCs w:val="21"/>
                <w:highlight w:val="none"/>
              </w:rPr>
              <w:t>环保管理体系和措施（5分）</w:t>
            </w:r>
          </w:p>
          <w:p>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评委对环保管理体系和措施进行综合评议并打分：</w:t>
            </w:r>
            <w:r>
              <w:rPr>
                <w:rFonts w:hint="eastAsia" w:cs="宋体"/>
                <w:color w:val="auto"/>
                <w:szCs w:val="21"/>
                <w:highlight w:val="none"/>
                <w:lang w:val="en-US" w:eastAsia="zh-CN"/>
              </w:rPr>
              <w:t>环保管理体系健全有效</w:t>
            </w:r>
            <w:r>
              <w:rPr>
                <w:rFonts w:hint="eastAsia" w:cs="宋体"/>
                <w:color w:val="auto"/>
                <w:szCs w:val="21"/>
                <w:highlight w:val="none"/>
              </w:rPr>
              <w:t>、措施</w:t>
            </w:r>
            <w:r>
              <w:rPr>
                <w:rFonts w:hint="eastAsia" w:cs="宋体"/>
                <w:color w:val="auto"/>
                <w:szCs w:val="21"/>
                <w:highlight w:val="none"/>
                <w:lang w:val="en-US" w:eastAsia="zh-CN"/>
              </w:rPr>
              <w:t>具体细致</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措施上有部分欠缺，</w:t>
            </w:r>
            <w:r>
              <w:rPr>
                <w:rFonts w:hint="eastAsia" w:cs="宋体"/>
                <w:color w:val="auto"/>
                <w:szCs w:val="21"/>
                <w:highlight w:val="none"/>
                <w:lang w:val="en-US" w:eastAsia="zh-CN"/>
              </w:rPr>
              <w:t>但尚不影响实施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w:t>
            </w:r>
            <w:r>
              <w:rPr>
                <w:rFonts w:hint="eastAsia" w:cs="宋体"/>
                <w:color w:val="auto"/>
                <w:szCs w:val="21"/>
                <w:highlight w:val="none"/>
                <w:lang w:val="en-US" w:eastAsia="zh-CN"/>
              </w:rPr>
              <w:t>有明显缺漏项</w:t>
            </w:r>
            <w:r>
              <w:rPr>
                <w:rFonts w:hint="eastAsia" w:cs="宋体"/>
                <w:color w:val="auto"/>
                <w:szCs w:val="21"/>
                <w:highlight w:val="none"/>
              </w:rPr>
              <w:t>，</w:t>
            </w:r>
            <w:r>
              <w:rPr>
                <w:rFonts w:hint="eastAsia" w:cs="宋体"/>
                <w:color w:val="auto"/>
                <w:szCs w:val="21"/>
                <w:highlight w:val="none"/>
                <w:lang w:val="en-US" w:eastAsia="zh-CN"/>
              </w:rPr>
              <w:t>或过于笼统</w:t>
            </w:r>
            <w:r>
              <w:rPr>
                <w:rFonts w:hint="eastAsia" w:cs="宋体"/>
                <w:color w:val="auto"/>
                <w:szCs w:val="21"/>
                <w:highlight w:val="none"/>
              </w:rPr>
              <w:t>无法保证项目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0000FF"/>
                <w:szCs w:val="21"/>
                <w:highlight w:val="none"/>
                <w:lang w:val="en-US" w:eastAsia="zh-CN"/>
              </w:rPr>
              <w:t>未提供的得0分</w:t>
            </w:r>
            <w:r>
              <w:rPr>
                <w:rFonts w:hint="eastAsia" w:cs="宋体"/>
                <w:color w:val="0000FF"/>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748"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项目团队（</w:t>
            </w:r>
            <w:r>
              <w:rPr>
                <w:rFonts w:hint="eastAsia"/>
                <w:color w:val="auto"/>
                <w:szCs w:val="21"/>
                <w:highlight w:val="none"/>
                <w:lang w:val="en-US" w:eastAsia="zh-CN"/>
              </w:rPr>
              <w:t>5</w:t>
            </w:r>
            <w:r>
              <w:rPr>
                <w:rFonts w:hint="eastAsia"/>
                <w:color w:val="auto"/>
                <w:szCs w:val="21"/>
                <w:highlight w:val="none"/>
              </w:rPr>
              <w:t>分）</w:t>
            </w:r>
          </w:p>
        </w:tc>
        <w:tc>
          <w:tcPr>
            <w:tcW w:w="7442" w:type="dxa"/>
            <w:noWrap w:val="0"/>
            <w:vAlign w:val="center"/>
          </w:tcPr>
          <w:p>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8、</w:t>
            </w:r>
            <w:r>
              <w:rPr>
                <w:rFonts w:hint="eastAsia" w:cs="宋体"/>
                <w:color w:val="auto"/>
                <w:szCs w:val="21"/>
                <w:highlight w:val="none"/>
              </w:rPr>
              <w:t>其他施工人员配备（</w:t>
            </w:r>
            <w:r>
              <w:rPr>
                <w:rFonts w:hint="eastAsia" w:cs="宋体"/>
                <w:color w:val="auto"/>
                <w:szCs w:val="21"/>
                <w:highlight w:val="none"/>
                <w:lang w:val="en-US" w:eastAsia="zh-CN"/>
              </w:rPr>
              <w:t>5</w:t>
            </w:r>
            <w:r>
              <w:rPr>
                <w:rFonts w:hint="eastAsia" w:cs="宋体"/>
                <w:color w:val="auto"/>
                <w:szCs w:val="21"/>
                <w:highlight w:val="none"/>
              </w:rPr>
              <w:t>分）</w:t>
            </w:r>
          </w:p>
          <w:p>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rPr>
              <w:t>评委对其他施工人员配备进行综合评议并打分：人员配置</w:t>
            </w:r>
            <w:r>
              <w:rPr>
                <w:rFonts w:hint="eastAsia" w:cs="宋体"/>
                <w:color w:val="auto"/>
                <w:szCs w:val="21"/>
                <w:highlight w:val="none"/>
                <w:lang w:val="en-US" w:eastAsia="zh-CN"/>
              </w:rPr>
              <w:t>满足</w:t>
            </w:r>
            <w:r>
              <w:rPr>
                <w:rFonts w:hint="eastAsia" w:cs="宋体"/>
                <w:color w:val="auto"/>
                <w:szCs w:val="21"/>
                <w:highlight w:val="none"/>
              </w:rPr>
              <w:t>项目需求、人员经过</w:t>
            </w:r>
            <w:r>
              <w:rPr>
                <w:rFonts w:hint="eastAsia" w:cs="宋体"/>
                <w:color w:val="auto"/>
                <w:szCs w:val="21"/>
                <w:highlight w:val="none"/>
                <w:lang w:val="en-US" w:eastAsia="zh-CN"/>
              </w:rPr>
              <w:t>规范</w:t>
            </w:r>
            <w:r>
              <w:rPr>
                <w:rFonts w:hint="eastAsia" w:cs="宋体"/>
                <w:color w:val="auto"/>
                <w:szCs w:val="21"/>
                <w:highlight w:val="none"/>
              </w:rPr>
              <w:t>的上岗前培训</w:t>
            </w:r>
            <w:r>
              <w:rPr>
                <w:rFonts w:hint="eastAsia" w:cs="宋体"/>
                <w:color w:val="auto"/>
                <w:szCs w:val="21"/>
                <w:highlight w:val="none"/>
                <w:lang w:val="en-US" w:eastAsia="zh-CN"/>
              </w:rPr>
              <w:t>并考试合格</w:t>
            </w:r>
            <w:r>
              <w:rPr>
                <w:rFonts w:hint="eastAsia" w:cs="宋体"/>
                <w:color w:val="auto"/>
                <w:szCs w:val="21"/>
                <w:highlight w:val="none"/>
              </w:rPr>
              <w:t>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人员配置满足项目需求的、上岗培训不足的得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w:t>
            </w:r>
            <w:r>
              <w:rPr>
                <w:rFonts w:hint="eastAsia" w:cs="宋体"/>
                <w:color w:val="auto"/>
                <w:szCs w:val="21"/>
                <w:highlight w:val="none"/>
                <w:lang w:val="en-US" w:eastAsia="zh-CN"/>
              </w:rPr>
              <w:t>难以</w:t>
            </w:r>
            <w:r>
              <w:rPr>
                <w:rFonts w:hint="eastAsia" w:cs="宋体"/>
                <w:color w:val="auto"/>
                <w:szCs w:val="21"/>
                <w:highlight w:val="none"/>
              </w:rPr>
              <w:t>满足项目需求、或未经上岗前培训的得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0000FF"/>
                <w:szCs w:val="21"/>
                <w:highlight w:val="none"/>
                <w:lang w:val="en-US" w:eastAsia="zh-CN"/>
              </w:rPr>
              <w:t>未提供的得0分</w:t>
            </w:r>
            <w:r>
              <w:rPr>
                <w:rFonts w:hint="eastAsia" w:cs="宋体"/>
                <w:color w:val="0000FF"/>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748"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pPr>
              <w:pageBreakBefore w:val="0"/>
              <w:kinsoku/>
              <w:wordWrap/>
              <w:overflowPunct/>
              <w:topLinePunct w:val="0"/>
              <w:bidi w:val="0"/>
              <w:spacing w:line="360" w:lineRule="auto"/>
              <w:rPr>
                <w:rFonts w:ascii="Calibri" w:hAnsi="Calibri" w:cs="Calibri"/>
                <w:color w:val="auto"/>
                <w:szCs w:val="21"/>
                <w:highlight w:val="none"/>
              </w:rPr>
            </w:pPr>
            <w:r>
              <w:rPr>
                <w:rFonts w:hint="eastAsia" w:ascii="Calibri" w:hAnsi="Calibri" w:cs="Calibri"/>
                <w:color w:val="auto"/>
                <w:szCs w:val="21"/>
                <w:highlight w:val="none"/>
              </w:rPr>
              <w:t>售后服务方案（</w:t>
            </w:r>
            <w:r>
              <w:rPr>
                <w:rFonts w:hint="eastAsia" w:ascii="Calibri" w:hAnsi="Calibri" w:cs="Calibri"/>
                <w:color w:val="auto"/>
                <w:szCs w:val="21"/>
                <w:highlight w:val="none"/>
                <w:lang w:val="en-US" w:eastAsia="zh-CN"/>
              </w:rPr>
              <w:t>5</w:t>
            </w:r>
            <w:r>
              <w:rPr>
                <w:rFonts w:hint="eastAsia" w:ascii="Calibri" w:hAnsi="Calibri" w:cs="Calibri"/>
                <w:color w:val="auto"/>
                <w:szCs w:val="21"/>
                <w:highlight w:val="none"/>
              </w:rPr>
              <w:t>分）</w:t>
            </w:r>
          </w:p>
        </w:tc>
        <w:tc>
          <w:tcPr>
            <w:tcW w:w="7442" w:type="dxa"/>
            <w:noWrap w:val="0"/>
            <w:vAlign w:val="center"/>
          </w:tcPr>
          <w:p>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Calibri"/>
                <w:color w:val="auto"/>
                <w:szCs w:val="21"/>
                <w:highlight w:val="none"/>
                <w:lang w:val="en-US" w:eastAsia="zh-CN"/>
              </w:rPr>
              <w:t>9</w:t>
            </w:r>
            <w:r>
              <w:rPr>
                <w:rFonts w:hint="eastAsia" w:ascii="Calibri" w:hAnsi="Calibri" w:cs="Calibri"/>
                <w:color w:val="auto"/>
                <w:szCs w:val="21"/>
                <w:highlight w:val="none"/>
                <w:lang w:val="en-US" w:eastAsia="zh-CN"/>
              </w:rPr>
              <w:t>、</w:t>
            </w:r>
            <w:r>
              <w:rPr>
                <w:rFonts w:hint="eastAsia" w:ascii="Calibri" w:hAnsi="Calibri" w:cs="Calibri"/>
                <w:color w:val="auto"/>
                <w:szCs w:val="21"/>
                <w:highlight w:val="none"/>
              </w:rPr>
              <w:t>售后服务方案</w:t>
            </w:r>
            <w:r>
              <w:rPr>
                <w:rFonts w:hint="eastAsia" w:cs="宋体"/>
                <w:color w:val="auto"/>
                <w:szCs w:val="21"/>
                <w:highlight w:val="none"/>
              </w:rPr>
              <w:t>（</w:t>
            </w:r>
            <w:r>
              <w:rPr>
                <w:rFonts w:hint="eastAsia" w:cs="宋体"/>
                <w:color w:val="auto"/>
                <w:szCs w:val="21"/>
                <w:highlight w:val="none"/>
                <w:lang w:val="en-US" w:eastAsia="zh-CN"/>
              </w:rPr>
              <w:t>5</w:t>
            </w:r>
            <w:r>
              <w:rPr>
                <w:rFonts w:hint="eastAsia" w:cs="宋体"/>
                <w:color w:val="auto"/>
                <w:szCs w:val="21"/>
                <w:highlight w:val="none"/>
              </w:rPr>
              <w:t>分）</w:t>
            </w:r>
          </w:p>
          <w:p>
            <w:pPr>
              <w:pageBreakBefore w:val="0"/>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评委对</w:t>
            </w:r>
            <w:r>
              <w:rPr>
                <w:rFonts w:hint="eastAsia" w:cs="宋体"/>
                <w:color w:val="auto"/>
                <w:szCs w:val="21"/>
                <w:highlight w:val="none"/>
              </w:rPr>
              <w:t>售后服务</w:t>
            </w:r>
            <w:r>
              <w:rPr>
                <w:rFonts w:hint="eastAsia" w:cs="宋体"/>
                <w:color w:val="auto"/>
                <w:szCs w:val="21"/>
                <w:highlight w:val="none"/>
                <w:lang w:val="en-US" w:eastAsia="zh-CN"/>
              </w:rPr>
              <w:t>方案进行综合评议并打分</w:t>
            </w:r>
            <w:r>
              <w:rPr>
                <w:rFonts w:hint="eastAsia" w:cs="宋体"/>
                <w:color w:val="auto"/>
                <w:szCs w:val="21"/>
                <w:highlight w:val="none"/>
              </w:rPr>
              <w:t>：</w:t>
            </w:r>
            <w:r>
              <w:rPr>
                <w:rFonts w:hint="eastAsia" w:cs="宋体"/>
                <w:color w:val="auto"/>
                <w:szCs w:val="21"/>
                <w:highlight w:val="none"/>
                <w:lang w:val="en-US" w:eastAsia="zh-CN"/>
              </w:rPr>
              <w:t>服务</w:t>
            </w:r>
            <w:r>
              <w:rPr>
                <w:rFonts w:hint="eastAsia" w:cs="宋体"/>
                <w:color w:val="auto"/>
                <w:szCs w:val="21"/>
                <w:highlight w:val="none"/>
              </w:rPr>
              <w:t>保障</w:t>
            </w:r>
            <w:r>
              <w:rPr>
                <w:rFonts w:hint="eastAsia" w:cs="宋体"/>
                <w:color w:val="auto"/>
                <w:szCs w:val="21"/>
                <w:highlight w:val="none"/>
                <w:lang w:val="en-US" w:eastAsia="zh-CN"/>
              </w:rPr>
              <w:t>体系完备、方</w:t>
            </w:r>
            <w:r>
              <w:rPr>
                <w:rFonts w:hint="eastAsia" w:cs="宋体"/>
                <w:color w:val="auto"/>
                <w:szCs w:val="21"/>
                <w:highlight w:val="none"/>
              </w:rPr>
              <w:t>案内容完全符合本项目需求得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有服务保障体系但部分</w:t>
            </w:r>
            <w:r>
              <w:rPr>
                <w:rFonts w:hint="eastAsia" w:cs="宋体"/>
                <w:color w:val="auto"/>
                <w:szCs w:val="21"/>
                <w:highlight w:val="none"/>
              </w:rPr>
              <w:t>内容有欠缺、但尚不影响履约得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val="en-US" w:eastAsia="zh-CN"/>
              </w:rPr>
              <w:t>没有服务保障体系或方案</w:t>
            </w:r>
            <w:r>
              <w:rPr>
                <w:rFonts w:hint="eastAsia" w:cs="宋体"/>
                <w:color w:val="auto"/>
                <w:szCs w:val="21"/>
                <w:highlight w:val="none"/>
              </w:rPr>
              <w:t>内容</w:t>
            </w:r>
            <w:r>
              <w:rPr>
                <w:rFonts w:hint="eastAsia" w:cs="宋体"/>
                <w:color w:val="auto"/>
                <w:szCs w:val="21"/>
                <w:highlight w:val="none"/>
                <w:lang w:val="en-US" w:eastAsia="zh-CN"/>
              </w:rPr>
              <w:t>存在明显缺漏项</w:t>
            </w:r>
            <w:r>
              <w:rPr>
                <w:rFonts w:hint="eastAsia" w:cs="宋体"/>
                <w:color w:val="auto"/>
                <w:szCs w:val="21"/>
                <w:highlight w:val="none"/>
              </w:rPr>
              <w:t>、不</w:t>
            </w:r>
            <w:r>
              <w:rPr>
                <w:rFonts w:hint="eastAsia" w:cs="宋体"/>
                <w:color w:val="auto"/>
                <w:szCs w:val="21"/>
                <w:highlight w:val="none"/>
                <w:lang w:val="en-US" w:eastAsia="zh-CN"/>
              </w:rPr>
              <w:t>符合规范的</w:t>
            </w:r>
            <w:r>
              <w:rPr>
                <w:rFonts w:hint="eastAsia" w:cs="宋体"/>
                <w:color w:val="auto"/>
                <w:szCs w:val="21"/>
                <w:highlight w:val="none"/>
              </w:rPr>
              <w:t>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0000FF"/>
                <w:szCs w:val="21"/>
                <w:highlight w:val="none"/>
                <w:lang w:val="en-US" w:eastAsia="zh-CN"/>
              </w:rPr>
              <w:t>未提供的得0分</w:t>
            </w:r>
            <w:r>
              <w:rPr>
                <w:rFonts w:hint="eastAsia" w:cs="宋体"/>
                <w:color w:val="0000FF"/>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48"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pPr>
              <w:pageBreakBefore w:val="0"/>
              <w:tabs>
                <w:tab w:val="left" w:pos="4915"/>
              </w:tabs>
              <w:kinsoku/>
              <w:wordWrap/>
              <w:overflowPunct/>
              <w:topLinePunct w:val="0"/>
              <w:bidi w:val="0"/>
              <w:spacing w:line="360" w:lineRule="auto"/>
              <w:rPr>
                <w:rFonts w:hint="eastAsia" w:ascii="Calibri" w:hAnsi="Calibri" w:cs="Calibri"/>
                <w:color w:val="auto"/>
                <w:szCs w:val="21"/>
                <w:highlight w:val="none"/>
              </w:rPr>
            </w:pPr>
            <w:r>
              <w:rPr>
                <w:rFonts w:hint="eastAsia" w:ascii="Calibri" w:hAnsi="Calibri" w:cs="Calibri"/>
                <w:color w:val="auto"/>
                <w:szCs w:val="21"/>
                <w:highlight w:val="none"/>
              </w:rPr>
              <w:t>突发性事件应急预案</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5分</w:t>
            </w:r>
            <w:r>
              <w:rPr>
                <w:rFonts w:hint="eastAsia" w:ascii="Calibri" w:hAnsi="Calibri" w:cs="Calibri"/>
                <w:color w:val="auto"/>
                <w:szCs w:val="21"/>
                <w:highlight w:val="none"/>
                <w:lang w:eastAsia="zh-CN"/>
              </w:rPr>
              <w:t>）</w:t>
            </w:r>
          </w:p>
        </w:tc>
        <w:tc>
          <w:tcPr>
            <w:tcW w:w="7442" w:type="dxa"/>
            <w:noWrap w:val="0"/>
            <w:vAlign w:val="center"/>
          </w:tcPr>
          <w:p>
            <w:pPr>
              <w:pageBreakBefore w:val="0"/>
              <w:kinsoku/>
              <w:wordWrap/>
              <w:overflowPunct/>
              <w:topLinePunct w:val="0"/>
              <w:bidi w:val="0"/>
              <w:spacing w:line="360" w:lineRule="auto"/>
              <w:rPr>
                <w:color w:val="auto"/>
                <w:szCs w:val="21"/>
                <w:highlight w:val="none"/>
              </w:rPr>
            </w:pPr>
            <w:r>
              <w:rPr>
                <w:rFonts w:hint="eastAsia" w:cs="宋体"/>
                <w:color w:val="auto"/>
                <w:szCs w:val="21"/>
                <w:highlight w:val="none"/>
                <w:lang w:val="en-US" w:eastAsia="zh-CN"/>
              </w:rPr>
              <w:t>10、</w:t>
            </w:r>
            <w:r>
              <w:rPr>
                <w:rFonts w:hint="eastAsia" w:cs="宋体"/>
                <w:color w:val="auto"/>
                <w:szCs w:val="21"/>
                <w:highlight w:val="none"/>
              </w:rPr>
              <w:t>评委对突发性事件应急预案进行综合评议并打分</w:t>
            </w:r>
            <w:r>
              <w:rPr>
                <w:rFonts w:hint="eastAsia" w:cs="宋体"/>
                <w:color w:val="auto"/>
                <w:szCs w:val="21"/>
                <w:highlight w:val="none"/>
                <w:lang w:eastAsia="zh-CN"/>
              </w:rPr>
              <w:t>：</w:t>
            </w:r>
            <w:r>
              <w:rPr>
                <w:rFonts w:hint="eastAsia" w:cs="宋体"/>
                <w:color w:val="auto"/>
                <w:szCs w:val="21"/>
                <w:highlight w:val="none"/>
              </w:rPr>
              <w:t>应急预案内容完全符合本项目需求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应急</w:t>
            </w:r>
            <w:r>
              <w:rPr>
                <w:rFonts w:hint="eastAsia" w:cs="宋体"/>
                <w:color w:val="auto"/>
                <w:szCs w:val="21"/>
                <w:highlight w:val="none"/>
              </w:rPr>
              <w:t>保障</w:t>
            </w:r>
            <w:r>
              <w:rPr>
                <w:rFonts w:hint="eastAsia" w:cs="宋体"/>
                <w:color w:val="auto"/>
                <w:szCs w:val="21"/>
                <w:highlight w:val="none"/>
                <w:lang w:val="en-US" w:eastAsia="zh-CN"/>
              </w:rPr>
              <w:t>体系完备得5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w:t>
            </w:r>
            <w:r>
              <w:rPr>
                <w:rFonts w:hint="eastAsia" w:cs="宋体"/>
                <w:color w:val="auto"/>
                <w:szCs w:val="21"/>
                <w:highlight w:val="none"/>
              </w:rPr>
              <w:t>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预案不全</w:t>
            </w:r>
            <w:r>
              <w:rPr>
                <w:rFonts w:hint="eastAsia" w:cs="宋体"/>
                <w:color w:val="auto"/>
                <w:szCs w:val="21"/>
                <w:highlight w:val="none"/>
              </w:rPr>
              <w:t>或</w:t>
            </w:r>
            <w:r>
              <w:rPr>
                <w:rFonts w:hint="eastAsia" w:cs="宋体"/>
                <w:color w:val="auto"/>
                <w:szCs w:val="21"/>
                <w:highlight w:val="none"/>
                <w:lang w:val="en-US" w:eastAsia="zh-CN"/>
              </w:rPr>
              <w:t>过于笼统</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0000FF"/>
                <w:szCs w:val="21"/>
                <w:highlight w:val="none"/>
                <w:lang w:val="en-US" w:eastAsia="zh-CN"/>
              </w:rPr>
              <w:t>未提供的得0分</w:t>
            </w:r>
            <w:r>
              <w:rPr>
                <w:rFonts w:hint="eastAsia" w:cs="宋体"/>
                <w:color w:val="0000FF"/>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8"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pPr>
              <w:pageBreakBefore w:val="0"/>
              <w:kinsoku/>
              <w:wordWrap/>
              <w:overflowPunct/>
              <w:topLinePunct w:val="0"/>
              <w:bidi w:val="0"/>
              <w:spacing w:line="360" w:lineRule="auto"/>
              <w:jc w:val="center"/>
              <w:rPr>
                <w:rFonts w:hint="eastAsia" w:cs="宋体"/>
                <w:color w:val="auto"/>
                <w:szCs w:val="21"/>
                <w:highlight w:val="none"/>
              </w:rPr>
            </w:pPr>
            <w:r>
              <w:rPr>
                <w:color w:val="auto"/>
                <w:szCs w:val="21"/>
                <w:highlight w:val="none"/>
              </w:rPr>
              <w:t>合理化建议（</w:t>
            </w:r>
            <w:r>
              <w:rPr>
                <w:rFonts w:hint="eastAsia"/>
                <w:color w:val="auto"/>
                <w:szCs w:val="21"/>
                <w:highlight w:val="none"/>
                <w:lang w:val="en-US" w:eastAsia="zh-CN"/>
              </w:rPr>
              <w:t>1</w:t>
            </w:r>
            <w:r>
              <w:rPr>
                <w:color w:val="auto"/>
                <w:szCs w:val="21"/>
                <w:highlight w:val="none"/>
              </w:rPr>
              <w:t>分）</w:t>
            </w:r>
          </w:p>
        </w:tc>
        <w:tc>
          <w:tcPr>
            <w:tcW w:w="7442" w:type="dxa"/>
            <w:noWrap w:val="0"/>
            <w:vAlign w:val="center"/>
          </w:tcPr>
          <w:p>
            <w:pPr>
              <w:pageBreakBefore w:val="0"/>
              <w:kinsoku/>
              <w:wordWrap/>
              <w:overflowPunct/>
              <w:topLinePunct w:val="0"/>
              <w:bidi w:val="0"/>
              <w:spacing w:line="360" w:lineRule="auto"/>
              <w:rPr>
                <w:color w:val="auto"/>
                <w:szCs w:val="21"/>
                <w:highlight w:val="none"/>
              </w:rPr>
            </w:pPr>
            <w:r>
              <w:rPr>
                <w:rFonts w:hint="eastAsia"/>
                <w:color w:val="auto"/>
                <w:szCs w:val="21"/>
                <w:highlight w:val="none"/>
                <w:lang w:val="en-US" w:eastAsia="zh-CN"/>
              </w:rPr>
              <w:t>11、</w:t>
            </w:r>
            <w:r>
              <w:rPr>
                <w:color w:val="auto"/>
                <w:szCs w:val="21"/>
                <w:highlight w:val="none"/>
              </w:rPr>
              <w:t>根据</w:t>
            </w:r>
            <w:r>
              <w:rPr>
                <w:rFonts w:hint="eastAsia"/>
                <w:color w:val="auto"/>
                <w:szCs w:val="21"/>
                <w:highlight w:val="none"/>
              </w:rPr>
              <w:t>供应商</w:t>
            </w:r>
            <w:r>
              <w:rPr>
                <w:color w:val="auto"/>
                <w:szCs w:val="21"/>
                <w:highlight w:val="none"/>
              </w:rPr>
              <w:t>提出的针对本项目的合理化建议与承诺进行评议（</w:t>
            </w:r>
            <w:r>
              <w:rPr>
                <w:rFonts w:hint="eastAsia"/>
                <w:color w:val="auto"/>
                <w:szCs w:val="21"/>
                <w:highlight w:val="none"/>
                <w:lang w:val="en-US" w:eastAsia="zh-CN"/>
              </w:rPr>
              <w:t>1</w:t>
            </w:r>
            <w:r>
              <w:rPr>
                <w:color w:val="auto"/>
                <w:szCs w:val="21"/>
                <w:highlight w:val="none"/>
              </w:rPr>
              <w:t>分）</w:t>
            </w:r>
          </w:p>
          <w:p>
            <w:pPr>
              <w:pageBreakBefore w:val="0"/>
              <w:kinsoku/>
              <w:wordWrap/>
              <w:overflowPunct/>
              <w:topLinePunct w:val="0"/>
              <w:bidi w:val="0"/>
              <w:spacing w:line="360" w:lineRule="auto"/>
              <w:rPr>
                <w:rFonts w:hint="eastAsia" w:cs="宋体"/>
                <w:color w:val="auto"/>
                <w:szCs w:val="21"/>
                <w:highlight w:val="none"/>
              </w:rPr>
            </w:pPr>
            <w:r>
              <w:rPr>
                <w:color w:val="auto"/>
                <w:szCs w:val="21"/>
                <w:highlight w:val="none"/>
              </w:rPr>
              <w:t>提出的建议与承诺具有实际意义</w:t>
            </w:r>
            <w:r>
              <w:rPr>
                <w:rFonts w:hint="eastAsia"/>
                <w:color w:val="auto"/>
                <w:szCs w:val="21"/>
                <w:highlight w:val="none"/>
              </w:rPr>
              <w:t>并得到采纳</w:t>
            </w:r>
            <w:r>
              <w:rPr>
                <w:color w:val="auto"/>
                <w:szCs w:val="21"/>
                <w:highlight w:val="none"/>
              </w:rPr>
              <w:t>，每项得</w:t>
            </w:r>
            <w:r>
              <w:rPr>
                <w:rFonts w:hint="eastAsia"/>
                <w:color w:val="auto"/>
                <w:szCs w:val="21"/>
                <w:highlight w:val="none"/>
                <w:lang w:val="en-US" w:eastAsia="zh-CN"/>
              </w:rPr>
              <w:t>0.5分</w:t>
            </w:r>
            <w:r>
              <w:rPr>
                <w:color w:val="auto"/>
                <w:szCs w:val="21"/>
                <w:highlight w:val="none"/>
              </w:rPr>
              <w:t>，最高得</w:t>
            </w:r>
            <w:r>
              <w:rPr>
                <w:rFonts w:hint="eastAsia"/>
                <w:color w:val="auto"/>
                <w:szCs w:val="21"/>
                <w:highlight w:val="none"/>
                <w:lang w:val="en-US" w:eastAsia="zh-CN"/>
              </w:rPr>
              <w:t>1</w:t>
            </w:r>
            <w:r>
              <w:rPr>
                <w:color w:val="auto"/>
                <w:szCs w:val="21"/>
                <w:highlight w:val="none"/>
              </w:rPr>
              <w:t>分。与本项目</w:t>
            </w:r>
            <w:r>
              <w:rPr>
                <w:rFonts w:hint="eastAsia"/>
                <w:color w:val="auto"/>
                <w:szCs w:val="21"/>
                <w:highlight w:val="none"/>
                <w:lang w:val="en-US" w:eastAsia="zh-CN"/>
              </w:rPr>
              <w:t>履约</w:t>
            </w:r>
            <w:r>
              <w:rPr>
                <w:color w:val="auto"/>
                <w:szCs w:val="21"/>
                <w:highlight w:val="none"/>
              </w:rPr>
              <w:t>无关的建议</w:t>
            </w:r>
            <w:r>
              <w:rPr>
                <w:rFonts w:hint="eastAsia"/>
                <w:color w:val="auto"/>
                <w:szCs w:val="21"/>
                <w:highlight w:val="none"/>
                <w:lang w:val="en-US" w:eastAsia="zh-CN"/>
              </w:rPr>
              <w:t>与承诺</w:t>
            </w:r>
            <w:r>
              <w:rPr>
                <w:color w:val="auto"/>
                <w:szCs w:val="21"/>
                <w:highlight w:val="none"/>
              </w:rPr>
              <w:t>不予认可。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748"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pPr>
              <w:pageBreakBefore w:val="0"/>
              <w:kinsoku/>
              <w:wordWrap/>
              <w:overflowPunct/>
              <w:topLinePunct w:val="0"/>
              <w:bidi w:val="0"/>
              <w:spacing w:line="360" w:lineRule="auto"/>
              <w:jc w:val="center"/>
              <w:rPr>
                <w:rFonts w:hint="eastAsia" w:eastAsia="宋体"/>
                <w:color w:val="auto"/>
                <w:szCs w:val="21"/>
                <w:highlight w:val="none"/>
                <w:lang w:val="en-US" w:eastAsia="zh-CN"/>
              </w:rPr>
            </w:pPr>
            <w:r>
              <w:rPr>
                <w:rFonts w:hint="eastAsia"/>
                <w:color w:val="auto"/>
                <w:szCs w:val="21"/>
                <w:highlight w:val="none"/>
                <w:lang w:val="en-US" w:eastAsia="zh-CN"/>
              </w:rPr>
              <w:t>业绩（3分）</w:t>
            </w:r>
          </w:p>
        </w:tc>
        <w:tc>
          <w:tcPr>
            <w:tcW w:w="7442" w:type="dxa"/>
            <w:noWrap w:val="0"/>
            <w:vAlign w:val="center"/>
          </w:tcPr>
          <w:p>
            <w:pPr>
              <w:pageBreakBefore w:val="0"/>
              <w:kinsoku/>
              <w:wordWrap/>
              <w:overflowPunct/>
              <w:topLinePunct w:val="0"/>
              <w:bidi w:val="0"/>
              <w:spacing w:line="360" w:lineRule="auto"/>
              <w:rPr>
                <w:rFonts w:hint="default" w:eastAsia="宋体"/>
                <w:color w:val="auto"/>
                <w:szCs w:val="21"/>
                <w:highlight w:val="none"/>
                <w:lang w:val="en-US" w:eastAsia="zh-CN"/>
              </w:rPr>
            </w:pPr>
            <w:r>
              <w:rPr>
                <w:rFonts w:hint="eastAsia"/>
                <w:color w:val="auto"/>
                <w:szCs w:val="21"/>
                <w:highlight w:val="none"/>
                <w:lang w:val="en-US" w:eastAsia="zh-CN"/>
              </w:rPr>
              <w:t>12、</w:t>
            </w:r>
            <w:r>
              <w:rPr>
                <w:rFonts w:hint="eastAsia" w:ascii="宋体" w:hAnsi="宋体"/>
                <w:bCs/>
                <w:color w:val="auto"/>
                <w:sz w:val="21"/>
                <w:szCs w:val="21"/>
                <w:highlight w:val="none"/>
                <w:lang w:eastAsia="zh-CN"/>
              </w:rPr>
              <w:t>供应商</w:t>
            </w:r>
            <w:r>
              <w:rPr>
                <w:rFonts w:hint="eastAsia" w:ascii="宋体" w:hAnsi="宋体" w:eastAsia="宋体"/>
                <w:bCs/>
                <w:color w:val="auto"/>
                <w:sz w:val="21"/>
                <w:szCs w:val="21"/>
                <w:highlight w:val="none"/>
              </w:rPr>
              <w:t>自2020年1月1日以后承担过</w:t>
            </w:r>
            <w:r>
              <w:rPr>
                <w:rFonts w:hint="eastAsia" w:ascii="宋体" w:hAnsi="宋体"/>
                <w:bCs/>
                <w:color w:val="auto"/>
                <w:szCs w:val="21"/>
                <w:highlight w:val="none"/>
              </w:rPr>
              <w:t>电力市政工程类</w:t>
            </w:r>
            <w:r>
              <w:rPr>
                <w:rFonts w:hint="eastAsia" w:ascii="宋体" w:hAnsi="宋体" w:eastAsia="宋体"/>
                <w:bCs/>
                <w:color w:val="auto"/>
                <w:sz w:val="21"/>
                <w:szCs w:val="21"/>
                <w:highlight w:val="none"/>
              </w:rPr>
              <w:t>项目的，每提供一个项目业绩合同得</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分，最高得</w:t>
            </w:r>
            <w:r>
              <w:rPr>
                <w:rFonts w:hint="eastAsia" w:ascii="宋体" w:hAnsi="宋体" w:eastAsia="宋体"/>
                <w:bCs/>
                <w:color w:val="auto"/>
                <w:sz w:val="21"/>
                <w:szCs w:val="21"/>
                <w:highlight w:val="none"/>
                <w:lang w:val="en-US" w:eastAsia="zh-CN"/>
              </w:rPr>
              <w:t>3</w:t>
            </w:r>
            <w:r>
              <w:rPr>
                <w:rFonts w:hint="eastAsia" w:ascii="宋体" w:hAnsi="宋体" w:eastAsia="宋体"/>
                <w:bCs/>
                <w:color w:val="auto"/>
                <w:sz w:val="21"/>
                <w:szCs w:val="21"/>
                <w:highlight w:val="none"/>
              </w:rPr>
              <w:t>分。（</w:t>
            </w:r>
            <w:r>
              <w:rPr>
                <w:rFonts w:hint="eastAsia" w:ascii="宋体" w:hAnsi="宋体"/>
                <w:bCs/>
                <w:color w:val="auto"/>
                <w:szCs w:val="21"/>
                <w:highlight w:val="none"/>
              </w:rPr>
              <w:t>注：需同时提供中标（成交）通知（确认）书和施工合同复印件，未提供或提供不全均不得分。</w:t>
            </w:r>
            <w:r>
              <w:rPr>
                <w:rFonts w:hint="eastAsia" w:ascii="宋体" w:hAnsi="宋体" w:eastAsia="宋体"/>
                <w:bCs/>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48" w:type="dxa"/>
            <w:vMerge w:val="continue"/>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pPr>
              <w:pageBreakBefore w:val="0"/>
              <w:kinsoku/>
              <w:wordWrap/>
              <w:overflowPunct/>
              <w:topLinePunct w:val="0"/>
              <w:bidi w:val="0"/>
              <w:spacing w:line="360" w:lineRule="auto"/>
              <w:jc w:val="center"/>
              <w:rPr>
                <w:color w:val="auto"/>
                <w:szCs w:val="21"/>
                <w:highlight w:val="none"/>
              </w:rPr>
            </w:pPr>
            <w:r>
              <w:rPr>
                <w:rFonts w:hint="eastAsia" w:hAnsi="宋体" w:cs="Calibri"/>
                <w:color w:val="auto"/>
                <w:szCs w:val="21"/>
                <w:highlight w:val="none"/>
              </w:rPr>
              <w:t>政策性加分（1分）</w:t>
            </w:r>
          </w:p>
        </w:tc>
        <w:tc>
          <w:tcPr>
            <w:tcW w:w="7442" w:type="dxa"/>
            <w:noWrap w:val="0"/>
            <w:vAlign w:val="center"/>
          </w:tcPr>
          <w:p>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color w:val="auto"/>
                <w:szCs w:val="21"/>
                <w:highlight w:val="none"/>
                <w:lang w:val="en-US" w:eastAsia="zh-CN"/>
              </w:rPr>
              <w:t>13、</w:t>
            </w:r>
            <w:r>
              <w:rPr>
                <w:rFonts w:hint="eastAsia" w:ascii="Times New Roman" w:hAnsi="Times New Roman" w:eastAsia="宋体" w:cs="Times New Roman"/>
                <w:color w:val="auto"/>
                <w:szCs w:val="21"/>
                <w:highlight w:val="none"/>
              </w:rPr>
              <w:t>供应商是国家认定的少数民族地区企业的加</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分。</w:t>
            </w:r>
          </w:p>
          <w:p>
            <w:pPr>
              <w:pageBreakBefore w:val="0"/>
              <w:kinsoku/>
              <w:wordWrap/>
              <w:overflowPunct/>
              <w:topLinePunct w:val="0"/>
              <w:bidi w:val="0"/>
              <w:spacing w:line="360" w:lineRule="auto"/>
              <w:rPr>
                <w:rFonts w:hint="eastAsia" w:eastAsia="宋体"/>
                <w:color w:val="auto"/>
                <w:szCs w:val="21"/>
                <w:highlight w:val="none"/>
                <w:lang w:eastAsia="zh-CN"/>
              </w:rPr>
            </w:pPr>
            <w:r>
              <w:rPr>
                <w:rFonts w:hint="eastAsia" w:ascii="Times New Roman" w:hAnsi="Times New Roman" w:eastAsia="宋体" w:cs="Times New Roman"/>
                <w:color w:val="auto"/>
                <w:szCs w:val="21"/>
                <w:highlight w:val="none"/>
              </w:rPr>
              <w:t>提供证明文件复印件并加盖公章。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748" w:type="dxa"/>
            <w:noWrap w:val="0"/>
            <w:vAlign w:val="center"/>
          </w:tcPr>
          <w:p>
            <w:pPr>
              <w:pageBreakBefore w:val="0"/>
              <w:widowControl/>
              <w:kinsoku/>
              <w:wordWrap/>
              <w:overflowPunct/>
              <w:topLinePunct w:val="0"/>
              <w:bidi w:val="0"/>
              <w:spacing w:line="360" w:lineRule="auto"/>
              <w:jc w:val="left"/>
              <w:rPr>
                <w:color w:val="auto"/>
                <w:szCs w:val="21"/>
                <w:highlight w:val="none"/>
              </w:rPr>
            </w:pPr>
            <w:r>
              <w:rPr>
                <w:color w:val="auto"/>
                <w:szCs w:val="21"/>
                <w:highlight w:val="none"/>
              </w:rPr>
              <w:t>价格</w:t>
            </w:r>
            <w:r>
              <w:rPr>
                <w:rFonts w:hint="eastAsia"/>
                <w:color w:val="auto"/>
                <w:szCs w:val="21"/>
                <w:highlight w:val="none"/>
              </w:rPr>
              <w:t>部分</w:t>
            </w:r>
            <w:r>
              <w:rPr>
                <w:rFonts w:hint="eastAsia"/>
                <w:color w:val="auto"/>
                <w:szCs w:val="21"/>
                <w:highlight w:val="none"/>
                <w:lang w:val="en-US" w:eastAsia="zh-CN"/>
              </w:rPr>
              <w:t>35</w:t>
            </w:r>
            <w:r>
              <w:rPr>
                <w:color w:val="auto"/>
                <w:szCs w:val="21"/>
                <w:highlight w:val="none"/>
              </w:rPr>
              <w:t>分</w:t>
            </w:r>
          </w:p>
        </w:tc>
        <w:tc>
          <w:tcPr>
            <w:tcW w:w="1195" w:type="dxa"/>
            <w:noWrap w:val="0"/>
            <w:vAlign w:val="center"/>
          </w:tcPr>
          <w:p>
            <w:pPr>
              <w:pageBreakBefore w:val="0"/>
              <w:kinsoku/>
              <w:wordWrap/>
              <w:overflowPunct/>
              <w:topLinePunct w:val="0"/>
              <w:bidi w:val="0"/>
              <w:spacing w:line="360" w:lineRule="auto"/>
              <w:jc w:val="center"/>
              <w:rPr>
                <w:color w:val="auto"/>
                <w:szCs w:val="21"/>
                <w:highlight w:val="none"/>
              </w:rPr>
            </w:pPr>
            <w:r>
              <w:rPr>
                <w:color w:val="auto"/>
                <w:szCs w:val="21"/>
                <w:highlight w:val="none"/>
              </w:rPr>
              <w:t>投标报价（</w:t>
            </w:r>
            <w:r>
              <w:rPr>
                <w:rFonts w:hint="eastAsia"/>
                <w:color w:val="auto"/>
                <w:szCs w:val="21"/>
                <w:highlight w:val="none"/>
                <w:lang w:val="en-US" w:eastAsia="zh-CN"/>
              </w:rPr>
              <w:t>35</w:t>
            </w:r>
            <w:r>
              <w:rPr>
                <w:color w:val="auto"/>
                <w:szCs w:val="21"/>
                <w:highlight w:val="none"/>
              </w:rPr>
              <w:t>分）</w:t>
            </w:r>
          </w:p>
        </w:tc>
        <w:tc>
          <w:tcPr>
            <w:tcW w:w="7442" w:type="dxa"/>
            <w:noWrap w:val="0"/>
            <w:vAlign w:val="center"/>
          </w:tcPr>
          <w:p>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满足磋商文件要求且最</w:t>
            </w:r>
            <w:r>
              <w:rPr>
                <w:rFonts w:hint="eastAsia" w:ascii="Times New Roman" w:hAnsi="Times New Roman" w:eastAsia="宋体" w:cs="Times New Roman"/>
                <w:color w:val="auto"/>
                <w:szCs w:val="21"/>
                <w:highlight w:val="none"/>
                <w:lang w:val="en-US" w:eastAsia="zh-CN"/>
              </w:rPr>
              <w:t>终综合折扣率</w:t>
            </w:r>
            <w:r>
              <w:rPr>
                <w:rFonts w:hint="eastAsia" w:ascii="Times New Roman" w:hAnsi="Times New Roman" w:eastAsia="宋体" w:cs="Times New Roman"/>
                <w:color w:val="auto"/>
                <w:szCs w:val="21"/>
                <w:highlight w:val="none"/>
              </w:rPr>
              <w:t>最低的价格为磋商基准价，其价格分为满分。其他供应商的价格分统一按照下列公式计算：</w:t>
            </w:r>
            <w:r>
              <w:rPr>
                <w:rFonts w:hint="eastAsia" w:ascii="Times New Roman" w:hAnsi="Times New Roman" w:eastAsia="宋体" w:cs="Times New Roman"/>
                <w:color w:val="auto"/>
                <w:szCs w:val="21"/>
                <w:highlight w:val="none"/>
              </w:rPr>
              <w:br w:type="textWrapping"/>
            </w:r>
            <w:r>
              <w:rPr>
                <w:rFonts w:hint="eastAsia" w:ascii="Times New Roman" w:hAnsi="Times New Roman" w:eastAsia="宋体" w:cs="Times New Roman"/>
                <w:color w:val="auto"/>
                <w:szCs w:val="21"/>
                <w:highlight w:val="none"/>
              </w:rPr>
              <w:t>磋商报价得分=（磋商基准价/</w:t>
            </w:r>
            <w:r>
              <w:rPr>
                <w:rFonts w:hint="eastAsia" w:ascii="Times New Roman" w:hAnsi="Times New Roman" w:cs="Times New Roman"/>
                <w:color w:val="auto"/>
                <w:szCs w:val="21"/>
                <w:highlight w:val="none"/>
                <w:lang w:val="en-US" w:eastAsia="zh-CN"/>
              </w:rPr>
              <w:t>参与评审的</w:t>
            </w:r>
            <w:r>
              <w:rPr>
                <w:rFonts w:hint="eastAsia" w:ascii="Times New Roman" w:hAnsi="Times New Roman" w:eastAsia="宋体" w:cs="Times New Roman"/>
                <w:color w:val="auto"/>
                <w:szCs w:val="21"/>
                <w:highlight w:val="none"/>
              </w:rPr>
              <w:t>最</w:t>
            </w:r>
            <w:r>
              <w:rPr>
                <w:rFonts w:hint="eastAsia" w:ascii="Times New Roman" w:hAnsi="Times New Roman" w:eastAsia="宋体" w:cs="Times New Roman"/>
                <w:color w:val="auto"/>
                <w:szCs w:val="21"/>
                <w:highlight w:val="none"/>
                <w:lang w:val="en-US" w:eastAsia="zh-CN"/>
              </w:rPr>
              <w:t>终综合折扣率</w:t>
            </w:r>
            <w:r>
              <w:rPr>
                <w:rFonts w:hint="eastAsia" w:ascii="Times New Roman" w:hAnsi="Times New Roman" w:eastAsia="宋体" w:cs="Times New Roman"/>
                <w:color w:val="auto"/>
                <w:szCs w:val="21"/>
                <w:highlight w:val="none"/>
              </w:rPr>
              <w:t xml:space="preserve">）×价格权值×100 </w:t>
            </w:r>
          </w:p>
          <w:p>
            <w:pPr>
              <w:pStyle w:val="35"/>
              <w:ind w:left="0" w:leftChars="0" w:firstLine="0" w:firstLineChars="0"/>
              <w:rPr>
                <w:rFonts w:hint="eastAsia" w:eastAsia="宋体"/>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参与评审的最终综合折扣率=投标报价×（1-小微企业价格扣除优惠值）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48" w:type="dxa"/>
            <w:noWrap w:val="0"/>
            <w:vAlign w:val="center"/>
          </w:tcPr>
          <w:p>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pPr>
              <w:pageBreakBefore w:val="0"/>
              <w:kinsoku/>
              <w:wordWrap/>
              <w:overflowPunct/>
              <w:topLinePunct w:val="0"/>
              <w:bidi w:val="0"/>
              <w:spacing w:line="360" w:lineRule="auto"/>
              <w:jc w:val="center"/>
              <w:rPr>
                <w:color w:val="auto"/>
                <w:szCs w:val="21"/>
                <w:highlight w:val="none"/>
              </w:rPr>
            </w:pPr>
            <w:r>
              <w:rPr>
                <w:color w:val="auto"/>
                <w:szCs w:val="21"/>
                <w:highlight w:val="none"/>
              </w:rPr>
              <w:t>总</w:t>
            </w:r>
            <w:r>
              <w:rPr>
                <w:rFonts w:hint="eastAsia"/>
                <w:color w:val="auto"/>
                <w:szCs w:val="21"/>
                <w:highlight w:val="none"/>
              </w:rPr>
              <w:t xml:space="preserve"> </w:t>
            </w:r>
            <w:r>
              <w:rPr>
                <w:color w:val="auto"/>
                <w:szCs w:val="21"/>
                <w:highlight w:val="none"/>
              </w:rPr>
              <w:t>分</w:t>
            </w:r>
          </w:p>
        </w:tc>
        <w:tc>
          <w:tcPr>
            <w:tcW w:w="7442" w:type="dxa"/>
            <w:noWrap w:val="0"/>
            <w:vAlign w:val="center"/>
          </w:tcPr>
          <w:p>
            <w:pPr>
              <w:pStyle w:val="8"/>
              <w:pageBreakBefore w:val="0"/>
              <w:kinsoku/>
              <w:wordWrap/>
              <w:overflowPunct/>
              <w:topLinePunct w:val="0"/>
              <w:bidi w:val="0"/>
              <w:spacing w:line="360" w:lineRule="auto"/>
              <w:ind w:firstLine="0" w:firstLineChars="0"/>
              <w:rPr>
                <w:color w:val="auto"/>
                <w:szCs w:val="21"/>
                <w:highlight w:val="none"/>
              </w:rPr>
            </w:pPr>
          </w:p>
        </w:tc>
      </w:tr>
    </w:tbl>
    <w:p>
      <w:pPr>
        <w:widowControl/>
        <w:jc w:val="left"/>
        <w:rPr>
          <w:rFonts w:asciiTheme="minorEastAsia" w:hAnsiTheme="minorEastAsia" w:eastAsiaTheme="minorEastAsia" w:cstheme="minorEastAsia"/>
          <w:color w:val="auto"/>
          <w:sz w:val="28"/>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b/>
          <w:color w:val="auto"/>
          <w:sz w:val="21"/>
          <w:szCs w:val="21"/>
          <w:highlight w:val="none"/>
        </w:rPr>
        <w:t>备注：</w:t>
      </w:r>
      <w:r>
        <w:rPr>
          <w:rFonts w:hint="eastAsia" w:asciiTheme="minorEastAsia" w:hAnsiTheme="minorEastAsia" w:eastAsiaTheme="minorEastAsia" w:cstheme="minorEastAsia"/>
          <w:color w:val="auto"/>
          <w:kern w:val="0"/>
          <w:sz w:val="21"/>
          <w:szCs w:val="21"/>
          <w:highlight w:val="none"/>
          <w:lang w:val="zh-CN"/>
        </w:rPr>
        <w:t>供应商编制响应文件（商务技术文件部分）时，建议按此目录（序号和内容）提供评标标准相应的商务技术资料。</w:t>
      </w:r>
    </w:p>
    <w:p>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一、评审方法</w:t>
      </w:r>
    </w:p>
    <w:bookmarkEnd w:id="13"/>
    <w:p>
      <w:pPr>
        <w:adjustRightInd/>
        <w:spacing w:line="360" w:lineRule="auto"/>
        <w:ind w:firstLine="413" w:firstLineChars="196"/>
        <w:rPr>
          <w:rFonts w:hint="eastAsia" w:asciiTheme="minorEastAsia" w:hAnsiTheme="minorEastAsia" w:eastAsiaTheme="minorEastAsia" w:cstheme="minorEastAsia"/>
          <w:color w:val="auto"/>
          <w:kern w:val="0"/>
          <w:sz w:val="21"/>
          <w:szCs w:val="21"/>
          <w:highlight w:val="none"/>
        </w:rPr>
      </w:pPr>
      <w:bookmarkStart w:id="393" w:name="第五部分"/>
      <w:bookmarkStart w:id="394" w:name="_Toc86217003"/>
      <w:r>
        <w:rPr>
          <w:rFonts w:hint="eastAsia" w:asciiTheme="minorEastAsia" w:hAnsiTheme="minorEastAsia" w:eastAsiaTheme="minorEastAsia" w:cstheme="minorEastAsia"/>
          <w:b/>
          <w:color w:val="auto"/>
          <w:kern w:val="0"/>
          <w:sz w:val="21"/>
          <w:szCs w:val="21"/>
          <w:highlight w:val="none"/>
        </w:rPr>
        <w:t>1.本项目采用综合评分法。</w:t>
      </w:r>
      <w:r>
        <w:rPr>
          <w:rFonts w:hint="eastAsia" w:asciiTheme="minorEastAsia" w:hAnsiTheme="minorEastAsia" w:eastAsiaTheme="minorEastAsia" w:cstheme="minorEastAsia"/>
          <w:color w:val="auto"/>
          <w:kern w:val="0"/>
          <w:sz w:val="21"/>
          <w:szCs w:val="21"/>
          <w:highlight w:val="none"/>
        </w:rPr>
        <w:t>综合评分法，是指</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为</w:t>
      </w:r>
      <w:r>
        <w:rPr>
          <w:rFonts w:hint="eastAsia" w:asciiTheme="minorEastAsia" w:hAnsiTheme="minorEastAsia" w:eastAsiaTheme="minorEastAsia" w:cstheme="minorEastAsia"/>
          <w:color w:val="auto"/>
          <w:kern w:val="0"/>
          <w:sz w:val="21"/>
          <w:szCs w:val="21"/>
          <w:highlight w:val="none"/>
          <w:lang w:eastAsia="zh-CN"/>
        </w:rPr>
        <w:t>成交候选供应商</w:t>
      </w:r>
      <w:r>
        <w:rPr>
          <w:rFonts w:hint="eastAsia" w:asciiTheme="minorEastAsia" w:hAnsiTheme="minorEastAsia" w:eastAsiaTheme="minorEastAsia" w:cstheme="minorEastAsia"/>
          <w:color w:val="auto"/>
          <w:kern w:val="0"/>
          <w:sz w:val="21"/>
          <w:szCs w:val="21"/>
          <w:highlight w:val="none"/>
        </w:rPr>
        <w:t>的评标方法。</w:t>
      </w: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二、评标标准</w:t>
      </w:r>
    </w:p>
    <w:p>
      <w:pPr>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评标标准：</w:t>
      </w:r>
      <w:r>
        <w:rPr>
          <w:rFonts w:hint="eastAsia" w:asciiTheme="minorEastAsia" w:hAnsiTheme="minorEastAsia" w:eastAsiaTheme="minorEastAsia" w:cstheme="minorEastAsia"/>
          <w:color w:val="auto"/>
          <w:kern w:val="0"/>
          <w:sz w:val="21"/>
          <w:szCs w:val="21"/>
          <w:highlight w:val="none"/>
        </w:rPr>
        <w:t>见评标办法前附表。</w:t>
      </w: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三、评标程序</w:t>
      </w:r>
    </w:p>
    <w:p>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default" w:asciiTheme="minorEastAsia" w:hAnsiTheme="minorEastAsia" w:eastAsiaTheme="minorEastAsia" w:cstheme="minorEastAsia"/>
          <w:b w:val="0"/>
          <w:bCs/>
          <w:color w:val="0000FF"/>
          <w:kern w:val="0"/>
          <w:sz w:val="21"/>
          <w:szCs w:val="21"/>
          <w:highlight w:val="yellow"/>
          <w:lang w:val="en-US" w:eastAsia="zh-CN"/>
        </w:rPr>
      </w:pPr>
      <w:r>
        <w:rPr>
          <w:rFonts w:hint="eastAsia" w:asciiTheme="minorEastAsia" w:hAnsiTheme="minorEastAsia" w:eastAsiaTheme="minorEastAsia" w:cstheme="minorEastAsia"/>
          <w:b/>
          <w:color w:val="0000FF"/>
          <w:kern w:val="0"/>
          <w:sz w:val="21"/>
          <w:szCs w:val="21"/>
          <w:highlight w:val="none"/>
          <w:lang w:val="en-US" w:eastAsia="zh-CN"/>
        </w:rPr>
        <w:t>3.1资格审查。</w:t>
      </w:r>
      <w:r>
        <w:rPr>
          <w:rFonts w:hint="eastAsia" w:asciiTheme="minorEastAsia" w:hAnsiTheme="minorEastAsia" w:eastAsiaTheme="minorEastAsia" w:cstheme="minorEastAsia"/>
          <w:b w:val="0"/>
          <w:bCs/>
          <w:color w:val="0000FF"/>
          <w:kern w:val="0"/>
          <w:sz w:val="21"/>
          <w:szCs w:val="21"/>
          <w:highlight w:val="none"/>
          <w:lang w:val="en-US" w:eastAsia="zh-CN"/>
        </w:rPr>
        <w:t>磋商小组应当对</w:t>
      </w:r>
      <w:r>
        <w:rPr>
          <w:rFonts w:hint="eastAsia" w:asciiTheme="minorEastAsia" w:hAnsiTheme="minorEastAsia" w:eastAsiaTheme="minorEastAsia" w:cstheme="minorEastAsia"/>
          <w:b w:val="0"/>
          <w:bCs/>
          <w:color w:val="0000FF"/>
          <w:kern w:val="0"/>
          <w:sz w:val="21"/>
          <w:szCs w:val="21"/>
          <w:highlight w:val="none"/>
          <w:lang w:val="zh-CN" w:eastAsia="zh-CN"/>
        </w:rPr>
        <w:t>供应商</w:t>
      </w:r>
      <w:r>
        <w:rPr>
          <w:rFonts w:hint="eastAsia" w:asciiTheme="minorEastAsia" w:hAnsiTheme="minorEastAsia" w:eastAsiaTheme="minorEastAsia" w:cstheme="minorEastAsia"/>
          <w:b w:val="0"/>
          <w:bCs/>
          <w:color w:val="0000FF"/>
          <w:kern w:val="0"/>
          <w:sz w:val="21"/>
          <w:szCs w:val="21"/>
          <w:highlight w:val="none"/>
          <w:lang w:val="en-US" w:eastAsia="zh-CN"/>
        </w:rPr>
        <w:t>的资格响应文件进行审查，以确定其是否满足竞争性磋商文件的实质性要求。不满足竞争性磋商文件的实质性要求的，响应无效。</w:t>
      </w:r>
    </w:p>
    <w:p>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2</w:t>
      </w:r>
      <w:r>
        <w:rPr>
          <w:rFonts w:hint="eastAsia" w:asciiTheme="minorEastAsia" w:hAnsiTheme="minorEastAsia" w:eastAsiaTheme="minorEastAsia" w:cstheme="minorEastAsia"/>
          <w:b/>
          <w:color w:val="auto"/>
          <w:kern w:val="0"/>
          <w:sz w:val="21"/>
          <w:szCs w:val="21"/>
          <w:highlight w:val="none"/>
        </w:rPr>
        <w:t>符合性审查。</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应当对符合资格的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文件进行符合性审查，以确定其是否满足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文件的实质性要求。不满足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3</w:t>
      </w:r>
      <w:r>
        <w:rPr>
          <w:rFonts w:hint="eastAsia" w:asciiTheme="minorEastAsia" w:hAnsiTheme="minorEastAsia" w:eastAsiaTheme="minorEastAsia" w:cstheme="minorEastAsia"/>
          <w:b/>
          <w:color w:val="auto"/>
          <w:kern w:val="0"/>
          <w:sz w:val="21"/>
          <w:szCs w:val="21"/>
          <w:highlight w:val="none"/>
        </w:rPr>
        <w:t>磋商</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 w:val="21"/>
          <w:szCs w:val="21"/>
          <w:highlight w:val="none"/>
        </w:rPr>
        <w:t>项目需求的技术、服务条款”以及“合同条款”进行实质性变动</w:t>
      </w:r>
      <w:r>
        <w:rPr>
          <w:rFonts w:hint="eastAsia" w:asciiTheme="minorEastAsia" w:hAnsiTheme="minorEastAsia" w:eastAsiaTheme="minorEastAsia" w:cstheme="minorEastAsia"/>
          <w:color w:val="auto"/>
          <w:kern w:val="0"/>
          <w:sz w:val="21"/>
          <w:szCs w:val="21"/>
          <w:highlight w:val="none"/>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3.3.2</w:t>
      </w:r>
      <w:r>
        <w:rPr>
          <w:rFonts w:hint="eastAsia" w:asciiTheme="minorEastAsia" w:hAnsiTheme="minorEastAsia" w:eastAsiaTheme="minorEastAsia" w:cstheme="minorEastAsia"/>
          <w:b/>
          <w:bCs/>
          <w:color w:val="auto"/>
          <w:kern w:val="0"/>
          <w:sz w:val="21"/>
          <w:szCs w:val="21"/>
          <w:highlight w:val="none"/>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 w:val="21"/>
          <w:szCs w:val="21"/>
          <w:highlight w:val="none"/>
        </w:rPr>
        <w:t>。已提交响应文件的供应商，在提交最终报价之前，可以根据磋商情况退出磋商。</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.3经磋商确定最终采购需求和提交最后报价的供应商后，由磋商小组采用综合评分法对提交最后报价的供应商的响应文件和最后报价进行综合评分。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4</w:t>
      </w:r>
      <w:r>
        <w:rPr>
          <w:rFonts w:hint="eastAsia" w:asciiTheme="minorEastAsia" w:hAnsiTheme="minorEastAsia" w:eastAsiaTheme="minorEastAsia" w:cstheme="minorEastAsia"/>
          <w:b/>
          <w:color w:val="auto"/>
          <w:kern w:val="0"/>
          <w:sz w:val="21"/>
          <w:szCs w:val="21"/>
          <w:highlight w:val="none"/>
        </w:rPr>
        <w:t xml:space="preserve"> </w:t>
      </w:r>
      <w:r>
        <w:rPr>
          <w:rFonts w:hint="eastAsia" w:asciiTheme="minorEastAsia" w:hAnsiTheme="minorEastAsia" w:eastAsiaTheme="minorEastAsia" w:cstheme="minorEastAsia"/>
          <w:b/>
          <w:color w:val="auto"/>
          <w:kern w:val="0"/>
          <w:sz w:val="21"/>
          <w:szCs w:val="21"/>
          <w:highlight w:val="none"/>
          <w:lang w:eastAsia="zh-CN"/>
        </w:rPr>
        <w:t>商务技术</w:t>
      </w:r>
      <w:r>
        <w:rPr>
          <w:rFonts w:hint="eastAsia" w:asciiTheme="minorEastAsia" w:hAnsiTheme="minorEastAsia" w:eastAsiaTheme="minorEastAsia" w:cstheme="minorEastAsia"/>
          <w:b/>
          <w:color w:val="auto"/>
          <w:kern w:val="0"/>
          <w:sz w:val="21"/>
          <w:szCs w:val="21"/>
          <w:highlight w:val="none"/>
        </w:rPr>
        <w:t>评</w:t>
      </w:r>
      <w:r>
        <w:rPr>
          <w:rFonts w:hint="eastAsia" w:asciiTheme="minorEastAsia" w:hAnsiTheme="minorEastAsia" w:eastAsiaTheme="minorEastAsia" w:cstheme="minorEastAsia"/>
          <w:b/>
          <w:color w:val="auto"/>
          <w:kern w:val="0"/>
          <w:sz w:val="21"/>
          <w:szCs w:val="21"/>
          <w:highlight w:val="none"/>
          <w:lang w:eastAsia="zh-CN"/>
        </w:rPr>
        <w:t>审</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文件中规定的评标方法和标准，对符合性审查合格的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文件进行商务和技术评估。</w:t>
      </w:r>
    </w:p>
    <w:p>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5</w:t>
      </w:r>
      <w:r>
        <w:rPr>
          <w:rFonts w:hint="eastAsia" w:asciiTheme="minorEastAsia" w:hAnsiTheme="minorEastAsia" w:eastAsiaTheme="minorEastAsia" w:cstheme="minorEastAsia"/>
          <w:b/>
          <w:color w:val="auto"/>
          <w:kern w:val="0"/>
          <w:sz w:val="21"/>
          <w:szCs w:val="21"/>
          <w:highlight w:val="none"/>
        </w:rPr>
        <w:t>汇总商务技术得分。</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各成员应当独立对每个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的商务和技术文件进行评价，并汇总商务技术得分情况。</w:t>
      </w:r>
    </w:p>
    <w:p>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6</w:t>
      </w:r>
      <w:r>
        <w:rPr>
          <w:rFonts w:hint="eastAsia" w:asciiTheme="minorEastAsia" w:hAnsiTheme="minorEastAsia" w:eastAsiaTheme="minorEastAsia" w:cstheme="minorEastAsia"/>
          <w:b/>
          <w:color w:val="auto"/>
          <w:kern w:val="0"/>
          <w:sz w:val="21"/>
          <w:szCs w:val="21"/>
          <w:highlight w:val="none"/>
        </w:rPr>
        <w:t>报价评审。</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磋商小组对供应商提交的报价进行评审。</w:t>
      </w:r>
    </w:p>
    <w:p>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文件报价出现前后不一致的，按照下列规定修正：</w:t>
      </w:r>
    </w:p>
    <w:p>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.1.1</w:t>
      </w:r>
      <w:r>
        <w:rPr>
          <w:rFonts w:hint="eastAsia" w:asciiTheme="minorEastAsia" w:hAnsiTheme="minorEastAsia" w:eastAsiaTheme="minorEastAsia" w:cstheme="minorEastAsia"/>
          <w:color w:val="auto"/>
          <w:kern w:val="0"/>
          <w:sz w:val="21"/>
          <w:szCs w:val="21"/>
          <w:highlight w:val="none"/>
          <w:lang w:val="en-US" w:eastAsia="zh-CN"/>
        </w:rPr>
        <w:t>电子交易平台生成的开标记录表</w:t>
      </w:r>
      <w:r>
        <w:rPr>
          <w:rFonts w:hint="eastAsia" w:asciiTheme="minorEastAsia" w:hAnsiTheme="minorEastAsia" w:eastAsiaTheme="minorEastAsia" w:cstheme="minorEastAsia"/>
          <w:color w:val="auto"/>
          <w:kern w:val="0"/>
          <w:sz w:val="21"/>
          <w:szCs w:val="21"/>
          <w:highlight w:val="none"/>
        </w:rPr>
        <w:t>(报价表)内容</w:t>
      </w:r>
      <w:r>
        <w:rPr>
          <w:rFonts w:hint="eastAsia" w:asciiTheme="minorEastAsia" w:hAnsiTheme="minorEastAsia" w:eastAsiaTheme="minorEastAsia" w:cstheme="minorEastAsia"/>
          <w:color w:val="auto"/>
          <w:kern w:val="0"/>
          <w:sz w:val="21"/>
          <w:szCs w:val="21"/>
          <w:highlight w:val="none"/>
          <w:lang w:val="en-US" w:eastAsia="zh-CN"/>
        </w:rPr>
        <w:t>与响应文件中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不一致的，以响应文件中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为准</w:t>
      </w:r>
      <w:r>
        <w:rPr>
          <w:rFonts w:hint="eastAsia" w:asciiTheme="minorEastAsia" w:hAnsiTheme="minorEastAsia" w:eastAsiaTheme="minorEastAsia" w:cstheme="minorEastAsia"/>
          <w:color w:val="auto"/>
          <w:kern w:val="0"/>
          <w:sz w:val="21"/>
          <w:szCs w:val="21"/>
          <w:highlight w:val="none"/>
          <w:lang w:eastAsia="zh-CN"/>
        </w:rPr>
        <w:t>；</w:t>
      </w:r>
    </w:p>
    <w:p>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(报价表)内容与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文件中相应内容不一致的，以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(报价表)为准</w:t>
      </w:r>
      <w:r>
        <w:rPr>
          <w:rFonts w:hint="eastAsia" w:asciiTheme="minorEastAsia" w:hAnsiTheme="minorEastAsia" w:eastAsiaTheme="minorEastAsia" w:cstheme="minorEastAsia"/>
          <w:color w:val="auto"/>
          <w:kern w:val="0"/>
          <w:sz w:val="21"/>
          <w:szCs w:val="21"/>
          <w:highlight w:val="none"/>
          <w:lang w:eastAsia="zh-CN"/>
        </w:rPr>
        <w:t>；</w:t>
      </w:r>
    </w:p>
    <w:p>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大写金额和小写金额不一致的，以大写金额为准;</w:t>
      </w:r>
    </w:p>
    <w:p>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.1.4</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单价金额小数点或者百分比有明显错位的，以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的总价为准，并修改单价;</w:t>
      </w:r>
    </w:p>
    <w:p>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3.6.1.5</w:t>
      </w:r>
      <w:r>
        <w:rPr>
          <w:rFonts w:hint="eastAsia" w:asciiTheme="minorEastAsia" w:hAnsiTheme="minorEastAsia" w:eastAsiaTheme="minorEastAsia" w:cstheme="minorEastAsia"/>
          <w:color w:val="auto"/>
          <w:kern w:val="0"/>
          <w:sz w:val="21"/>
          <w:szCs w:val="21"/>
          <w:highlight w:val="none"/>
        </w:rPr>
        <w:t>同时出现两种以上不一致的，按照3.4.1规定的顺序修正。修正后的报价经</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确认后产生约束力。</w:t>
      </w:r>
    </w:p>
    <w:p>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文件出现不是唯一的、有选择性</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报价超过</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文件中规定的预算金额或者最高限价的，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认为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的报价明显低于其他通过符合性审查</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的报价，有可能影响产品质量或者不能诚信履约的，应当要求其在</w:t>
      </w:r>
      <w:r>
        <w:rPr>
          <w:rFonts w:hint="eastAsia" w:asciiTheme="minorEastAsia" w:hAnsiTheme="minorEastAsia" w:eastAsiaTheme="minorEastAsia" w:cstheme="minorEastAsia"/>
          <w:color w:val="auto"/>
          <w:kern w:val="0"/>
          <w:sz w:val="21"/>
          <w:szCs w:val="21"/>
          <w:highlight w:val="none"/>
          <w:lang w:val="en-US" w:eastAsia="zh-CN"/>
        </w:rPr>
        <w:t>30分钟</w:t>
      </w:r>
      <w:r>
        <w:rPr>
          <w:rFonts w:hint="eastAsia" w:asciiTheme="minorEastAsia" w:hAnsiTheme="minorEastAsia" w:eastAsiaTheme="minorEastAsia" w:cstheme="minorEastAsia"/>
          <w:color w:val="auto"/>
          <w:kern w:val="0"/>
          <w:sz w:val="21"/>
          <w:szCs w:val="21"/>
          <w:highlight w:val="none"/>
        </w:rPr>
        <w:t>内提供书面说明，必要时提交相关证明材料;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不能证明其报价合理性的，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应当将其作为无效</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处理。</w:t>
      </w:r>
    </w:p>
    <w:p>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7</w:t>
      </w:r>
      <w:r>
        <w:rPr>
          <w:rFonts w:hint="eastAsia" w:asciiTheme="minorEastAsia" w:hAnsiTheme="minorEastAsia" w:eastAsiaTheme="minorEastAsia" w:cstheme="minorEastAsia"/>
          <w:b/>
          <w:bCs/>
          <w:color w:val="auto"/>
          <w:kern w:val="0"/>
          <w:sz w:val="21"/>
          <w:szCs w:val="21"/>
          <w:highlight w:val="none"/>
          <w:lang w:val="en-US" w:eastAsia="zh-CN" w:bidi="ar-SA"/>
        </w:rPr>
        <w:t>综合评议。</w:t>
      </w:r>
      <w:r>
        <w:rPr>
          <w:rFonts w:hint="eastAsia" w:asciiTheme="minorEastAsia" w:hAnsiTheme="minorEastAsia" w:eastAsiaTheme="minorEastAsia" w:cstheme="minorEastAsia"/>
          <w:color w:val="auto"/>
          <w:kern w:val="0"/>
          <w:sz w:val="21"/>
          <w:szCs w:val="21"/>
          <w:highlight w:val="none"/>
          <w:lang w:val="en-US" w:eastAsia="zh-CN" w:bidi="ar-SA"/>
        </w:rPr>
        <w:t>评分汇总（汇总各评委的评分，计算所有评委评出的总分的算术平均值作为供应商的综合得分）；按综合得分从高到低排序。</w:t>
      </w:r>
    </w:p>
    <w:p>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8</w:t>
      </w:r>
      <w:r>
        <w:rPr>
          <w:rFonts w:hint="eastAsia" w:asciiTheme="minorEastAsia" w:hAnsiTheme="minorEastAsia" w:eastAsiaTheme="minorEastAsia" w:cstheme="minorEastAsia"/>
          <w:b/>
          <w:bCs/>
          <w:color w:val="auto"/>
          <w:kern w:val="0"/>
          <w:sz w:val="21"/>
          <w:szCs w:val="21"/>
          <w:highlight w:val="none"/>
          <w:lang w:val="en-US" w:eastAsia="zh-CN" w:bidi="ar-SA"/>
        </w:rPr>
        <w:t>磋商小组根据综合评分情况</w:t>
      </w:r>
      <w:r>
        <w:rPr>
          <w:rFonts w:hint="eastAsia" w:asciiTheme="minorEastAsia" w:hAnsiTheme="minorEastAsia" w:eastAsiaTheme="minorEastAsia" w:cstheme="minorEastAsia"/>
          <w:color w:val="auto"/>
          <w:kern w:val="0"/>
          <w:sz w:val="21"/>
          <w:szCs w:val="21"/>
          <w:highlight w:val="none"/>
          <w:lang w:val="en-US" w:eastAsia="zh-CN" w:bidi="ar-SA"/>
        </w:rPr>
        <w:t>，按照评审得分由高到低顺序推荐3名成交候选供应商。评审得分相同的，按照最后报价由低到高的顺序推荐。评审得分且最后报价相同的，按照技术指标优劣顺序推荐。</w:t>
      </w:r>
    </w:p>
    <w:p>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9</w:t>
      </w:r>
      <w:r>
        <w:rPr>
          <w:rFonts w:hint="eastAsia" w:asciiTheme="minorEastAsia" w:hAnsiTheme="minorEastAsia" w:eastAsiaTheme="minorEastAsia" w:cstheme="minorEastAsia"/>
          <w:b/>
          <w:color w:val="auto"/>
          <w:kern w:val="0"/>
          <w:sz w:val="21"/>
          <w:szCs w:val="21"/>
          <w:highlight w:val="none"/>
        </w:rPr>
        <w:t>编写评标报告。</w:t>
      </w:r>
      <w:r>
        <w:rPr>
          <w:rFonts w:hint="eastAsia" w:asciiTheme="minorEastAsia" w:hAnsiTheme="minorEastAsia" w:eastAsiaTheme="minorEastAsia" w:cstheme="minorEastAsia"/>
          <w:color w:val="auto"/>
          <w:kern w:val="0"/>
          <w:sz w:val="21"/>
          <w:szCs w:val="21"/>
          <w:highlight w:val="none"/>
          <w:lang w:val="en-US" w:eastAsia="zh-CN" w:bidi="ar-SA"/>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pPr>
        <w:pStyle w:val="51"/>
        <w:keepNext w:val="0"/>
        <w:keepLines w:val="0"/>
        <w:pageBreakBefore w:val="0"/>
        <w:kinsoku/>
        <w:wordWrap/>
        <w:overflowPunct/>
        <w:topLinePunct w:val="0"/>
        <w:autoSpaceDE/>
        <w:autoSpaceDN/>
        <w:bidi w:val="0"/>
        <w:spacing w:before="0"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4.1</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澄清、说明或者补正。</w:t>
      </w:r>
      <w:r>
        <w:rPr>
          <w:rFonts w:hint="eastAsia" w:asciiTheme="minorEastAsia" w:hAnsiTheme="minorEastAsia" w:eastAsiaTheme="minorEastAsia" w:cstheme="minorEastAsia"/>
          <w:color w:val="auto"/>
          <w:kern w:val="0"/>
          <w:sz w:val="21"/>
          <w:szCs w:val="21"/>
          <w:highlight w:val="none"/>
        </w:rPr>
        <w:t>对于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作出必要的澄清、说明或者补正的，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通过电子交易平台交换数据电文，</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提交澄清、说明或补正的时间不得少于半小时，</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已经明确表示澄清说明或补正完毕的除外。</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的澄清、说明或者补正不得超出</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文件的范围或者改变</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文件的实质性内容。</w:t>
      </w:r>
    </w:p>
    <w:p>
      <w:pPr>
        <w:pStyle w:val="11"/>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4.2</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无效</w:t>
      </w:r>
      <w:r>
        <w:rPr>
          <w:rFonts w:hint="eastAsia" w:asciiTheme="minorEastAsia" w:hAnsiTheme="minorEastAsia" w:eastAsiaTheme="minorEastAsia" w:cstheme="minorEastAsia"/>
          <w:b/>
          <w:color w:val="auto"/>
          <w:kern w:val="0"/>
          <w:sz w:val="21"/>
          <w:szCs w:val="21"/>
          <w:highlight w:val="none"/>
          <w:lang w:val="en-US" w:eastAsia="zh-CN"/>
        </w:rPr>
        <w:t>的情形</w:t>
      </w:r>
      <w:r>
        <w:rPr>
          <w:rFonts w:hint="eastAsia" w:asciiTheme="minorEastAsia" w:hAnsiTheme="minorEastAsia" w:eastAsiaTheme="minorEastAsia" w:cstheme="minorEastAsia"/>
          <w:b/>
          <w:color w:val="auto"/>
          <w:kern w:val="0"/>
          <w:sz w:val="21"/>
          <w:szCs w:val="21"/>
          <w:highlight w:val="none"/>
        </w:rPr>
        <w:t>。</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4.2.1 没有响应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文件实质性要求的响应将被视为无效响应。</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文件要求的，应认定其响应无效。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修改、补正响应文件后，不影响磋商小组对其响应文件所作的评价和评分结果。</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 在电子开评标时，如发现下列情形之一的，将被视为无效响应文件：</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4.2.2.1电子投标文件解密失败的；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4.2.2.2响应文件未按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文件要求加密、签字、盖章的；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 在资格审查、符合性审查和商务评审时，如发现下列情形之一的，将被视为无效响应文件：</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 资格证明文件不全的或者不符合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文件标明的资格要求的；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4.2.3.2 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文件要求签署、盖章的；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4.2.3.3 响应代表人未能出具身份证明或身份证明与法定代表授权委托书不符的。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4.2.3.4 响应文件格式不规范、项目不齐全或者内容虚假的；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文件要求的（经磋商小组认定并允许其当场更正的笔误除外）；</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4.2.3.6 响应有效期、交货时间、质保期等商务条款不能满足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4.2.3.7 带“▲”的条款不能满足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文件要求、未实质性响应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文件要求或者响应文件有采购人不能接受的附加条件的；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4.2.3.8 单位负责人为同一人或者存在直接控股、管理关系的不同供应商参加同一合同项下的政府采购活动的；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4.2.3.9 为采购项目提供整体设计、规范编制或者项目管理、监理、检测等服务的供应商参加该采购项目的其他采购活动的；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4.2.3.10 商务技术文件中出现本项目磋商报价或单价的。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4.3.在技术评审时，如发现下列情形之一的，将被视为无效响应文件：</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4.3.1未提供或未如实提供磋商货物的技术参数，或者响应文件标明的响应或偏离与事实不符或虚假响应的；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4.3.2 明显不符合竞争性磋商文件要求的规格型号、质量标准，或者与竞争性磋商文件中标“▲”的技术指标、主要功能项目发生实质性偏离的；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4.3.3 允许偏离的技术、性能指标或辅助功能项目发生负偏离达/项（含）以上的；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4.3.4 技术方案不明确，存在一个或一个以上备选（替代）技术方案的；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4.3.5 与其他参加本次磋商</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的响应文件（技术文件）的文字表述内容差错相同2处以上的；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4.3.6 采购人拟采购的产品属于政府强制采购的节能产品品目清单范围的，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未按竞争性磋商文件要求提供国家确定的认证机构出具的、处于有效期之内的节能产品认证证书的。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 在报价评审时，如发现下列情形之一的，响应文件将被视为无效：</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4.4.1 未采用人民币报价或者未按照竞争性磋商文件标明的币种报价的；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4.4.2 报价超出最高综合折扣率的；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4.4.3 磋商报价具有选择性的；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4.4.4 磋商报价中出现缺项、漏项或被磋商小组认定为有可能影响产品质量或者不能诚信履约的且不能在合理的时间内证明其报价合理性的；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4.4.5供应商对根据修正原则修正后的报价不确认的。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4.5其他无效情形：</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4.5.1 不同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的响应文件出自同一终端设备或在相同Internet主机分配地址（相同IP地址）进行网上报名、磋商的；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4.5.2 </w:t>
      </w:r>
      <w:r>
        <w:rPr>
          <w:rFonts w:hint="eastAsia" w:asciiTheme="minorEastAsia" w:hAnsiTheme="minorEastAsia" w:eastAsiaTheme="minorEastAsia" w:cstheme="minorEastAsia"/>
          <w:color w:val="auto"/>
          <w:kern w:val="0"/>
          <w:sz w:val="21"/>
          <w:szCs w:val="21"/>
          <w:highlight w:val="none"/>
        </w:rPr>
        <w:t>法律、法规、规章（适用本市的）及省级以上规范性文件（适用本市的）规定的其他无效情形。</w:t>
      </w:r>
    </w:p>
    <w:p>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5.采购终止的情形。</w:t>
      </w:r>
      <w:r>
        <w:rPr>
          <w:rFonts w:hint="eastAsia" w:asciiTheme="minorEastAsia" w:hAnsiTheme="minorEastAsia" w:eastAsiaTheme="minorEastAsia" w:cstheme="minorEastAsia"/>
          <w:color w:val="auto"/>
          <w:kern w:val="0"/>
          <w:sz w:val="21"/>
          <w:szCs w:val="21"/>
          <w:highlight w:val="none"/>
        </w:rPr>
        <w:t>在本项目磋商采购中，出现下列情形之一的，应当终止竞争性磋商采购活动，发布项目终止公告并说明原因，重新开展采购活动：</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5.1因情况变化，不再符合规定的竞争性磋商采购方式适用情形的；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5.2出现影响采购公正的违法、违规行为的；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5.4电子交易平台无法正常运行，无法保证电子交易的公平、公正和安全的情况。</w:t>
      </w:r>
    </w:p>
    <w:p>
      <w:pPr>
        <w:pStyle w:val="11"/>
        <w:keepNext w:val="0"/>
        <w:keepLines w:val="0"/>
        <w:pageBreakBefore w:val="0"/>
        <w:kinsoku/>
        <w:wordWrap/>
        <w:overflowPunct/>
        <w:topLinePunct w:val="0"/>
        <w:autoSpaceDE/>
        <w:autoSpaceDN/>
        <w:bidi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6.修改</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文件，重新组织采购活动。</w:t>
      </w: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发现</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文件存在歧义、重大缺陷导致评标工作无法进行，或者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文件内容违反国家有关强制性规定的，将停止评标工作，并与采购人、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沟通并作书面记录。采购人、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确认后，将修改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文件，重新组织采购活动。</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7.重新开展采购。</w:t>
      </w:r>
      <w:r>
        <w:rPr>
          <w:rFonts w:hint="eastAsia" w:asciiTheme="minorEastAsia" w:hAnsiTheme="minorEastAsia" w:eastAsiaTheme="minorEastAsia" w:cstheme="minorEastAsia"/>
          <w:color w:val="auto"/>
          <w:sz w:val="21"/>
          <w:szCs w:val="21"/>
          <w:highlight w:val="none"/>
        </w:rPr>
        <w:t>有政府采购法第七十一条、第七十二条规定的违法行为之一，影响或者可能影响中标、成交结果的，依照下列规定处理：</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7.1未确定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人的，终止本次政府采购活动，重新开展政府采购活动。</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7.2已确定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人但尚未签订政府采购合同的，</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或者成交结果无效，重新开展政府采购活动。</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7.3政府采购合同已签订但尚未履行的，撤销合同，重新开展政府采购活动。</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7.4政府采购合同已经履行，给采购人、供应商造成损失的，由责任人承担赔偿责任。</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7.5政府采购当事人有其他违反政府采购法</w:t>
      </w:r>
      <w:r>
        <w:rPr>
          <w:rFonts w:hint="eastAsia" w:asciiTheme="minorEastAsia" w:hAnsiTheme="minorEastAsia" w:eastAsiaTheme="minorEastAsia" w:cstheme="minorEastAsia"/>
          <w:color w:val="auto"/>
          <w:kern w:val="0"/>
          <w:sz w:val="21"/>
          <w:szCs w:val="21"/>
          <w:highlight w:val="none"/>
        </w:rPr>
        <w:t>或者政府采购法实施条例等法律法规规定</w:t>
      </w:r>
      <w:r>
        <w:rPr>
          <w:rFonts w:hint="eastAsia" w:asciiTheme="minorEastAsia" w:hAnsiTheme="minorEastAsia" w:eastAsiaTheme="minorEastAsia" w:cstheme="minorEastAsia"/>
          <w:color w:val="auto"/>
          <w:sz w:val="21"/>
          <w:szCs w:val="21"/>
          <w:highlight w:val="none"/>
        </w:rPr>
        <w:t>的行为，经改正后仍然影响或者可能影响中标、成交结果或者依法被认定为中标、成交无效的，依照7.1-7.4规定处理。</w:t>
      </w:r>
    </w:p>
    <w:p>
      <w:pPr>
        <w:pStyle w:val="11"/>
        <w:numPr>
          <w:ilvl w:val="0"/>
          <w:numId w:val="0"/>
        </w:numPr>
        <w:adjustRightInd w:val="0"/>
        <w:snapToGrid w:val="0"/>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color w:val="auto"/>
          <w:sz w:val="36"/>
          <w:szCs w:val="36"/>
          <w:highlight w:val="none"/>
        </w:rPr>
        <w:t>合同文本（</w:t>
      </w:r>
      <w:r>
        <w:rPr>
          <w:rFonts w:hint="eastAsia" w:asciiTheme="minorEastAsia" w:hAnsiTheme="minorEastAsia" w:eastAsiaTheme="minorEastAsia" w:cstheme="minorEastAsia"/>
          <w:b/>
          <w:color w:val="auto"/>
          <w:sz w:val="36"/>
          <w:szCs w:val="36"/>
          <w:highlight w:val="none"/>
          <w:lang w:val="en-US" w:eastAsia="zh-CN"/>
        </w:rPr>
        <w:t>工程类</w:t>
      </w:r>
      <w:r>
        <w:rPr>
          <w:rFonts w:hint="eastAsia" w:asciiTheme="minorEastAsia" w:hAnsiTheme="minorEastAsia" w:eastAsiaTheme="minorEastAsia" w:cstheme="minorEastAsia"/>
          <w:b/>
          <w:color w:val="auto"/>
          <w:sz w:val="36"/>
          <w:szCs w:val="36"/>
          <w:highlight w:val="none"/>
        </w:rPr>
        <w:t>）</w:t>
      </w:r>
    </w:p>
    <w:p>
      <w:pPr>
        <w:pStyle w:val="52"/>
        <w:ind w:left="0" w:leftChars="0" w:firstLine="0" w:firstLineChars="0"/>
        <w:rPr>
          <w:rFonts w:asciiTheme="minorEastAsia" w:hAnsiTheme="minorEastAsia" w:eastAsiaTheme="minorEastAsia" w:cstheme="minorEastAsia"/>
          <w:color w:val="auto"/>
          <w:szCs w:val="24"/>
          <w:highlight w:val="none"/>
        </w:rPr>
      </w:pPr>
    </w:p>
    <w:p>
      <w:pPr>
        <w:pStyle w:val="52"/>
        <w:rPr>
          <w:rFonts w:asciiTheme="minorEastAsia" w:hAnsiTheme="minorEastAsia" w:eastAsiaTheme="minorEastAsia" w:cstheme="minorEastAsia"/>
          <w:color w:val="auto"/>
          <w:szCs w:val="24"/>
          <w:highlight w:val="none"/>
        </w:rPr>
      </w:pPr>
    </w:p>
    <w:p>
      <w:pPr>
        <w:pStyle w:val="52"/>
        <w:ind w:left="0" w:leftChars="0" w:firstLine="0" w:firstLineChars="0"/>
        <w:rPr>
          <w:rFonts w:asciiTheme="minorEastAsia" w:hAnsiTheme="minorEastAsia" w:eastAsiaTheme="minorEastAsia" w:cstheme="minorEastAsia"/>
          <w:color w:val="auto"/>
          <w:szCs w:val="24"/>
          <w:highlight w:val="none"/>
        </w:rPr>
      </w:pPr>
    </w:p>
    <w:p>
      <w:pPr>
        <w:spacing w:before="120" w:line="360" w:lineRule="auto"/>
        <w:rPr>
          <w:rFonts w:asciiTheme="minorEastAsia" w:hAnsiTheme="minorEastAsia" w:eastAsiaTheme="minorEastAsia" w:cstheme="minorEastAsia"/>
          <w:color w:val="auto"/>
          <w:sz w:val="24"/>
          <w:highlight w:val="none"/>
        </w:rPr>
      </w:pPr>
    </w:p>
    <w:p>
      <w:pPr>
        <w:spacing w:before="120" w:line="360" w:lineRule="auto"/>
        <w:ind w:left="960" w:firstLine="720" w:firstLineChars="3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lang w:val="en-US" w:eastAsia="zh-CN"/>
        </w:rPr>
        <w:t xml:space="preserve">                                    </w:t>
      </w:r>
    </w:p>
    <w:p>
      <w:pPr>
        <w:pStyle w:val="44"/>
        <w:spacing w:before="120"/>
        <w:rPr>
          <w:rFonts w:asciiTheme="minorEastAsia" w:hAnsiTheme="minorEastAsia" w:eastAsiaTheme="minorEastAsia" w:cstheme="minorEastAsia"/>
          <w:color w:val="auto"/>
          <w:szCs w:val="24"/>
          <w:highlight w:val="none"/>
        </w:rPr>
      </w:pPr>
    </w:p>
    <w:p>
      <w:pPr>
        <w:pStyle w:val="44"/>
        <w:spacing w:before="120"/>
        <w:rPr>
          <w:rFonts w:asciiTheme="minorEastAsia" w:hAnsiTheme="minorEastAsia" w:eastAsiaTheme="minorEastAsia" w:cstheme="minorEastAsia"/>
          <w:color w:val="auto"/>
          <w:szCs w:val="24"/>
          <w:highlight w:val="none"/>
        </w:rPr>
      </w:pPr>
    </w:p>
    <w:p>
      <w:pPr>
        <w:spacing w:line="360" w:lineRule="auto"/>
        <w:rPr>
          <w:rFonts w:asciiTheme="minorEastAsia" w:hAnsiTheme="minorEastAsia" w:eastAsiaTheme="minorEastAsia" w:cstheme="minorEastAsia"/>
          <w:color w:val="auto"/>
          <w:sz w:val="24"/>
          <w:highlight w:val="none"/>
        </w:rPr>
      </w:pPr>
    </w:p>
    <w:p>
      <w:pPr>
        <w:spacing w:before="120" w:line="600" w:lineRule="auto"/>
        <w:ind w:left="960" w:firstLine="720" w:firstLineChars="3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lang w:val="en-US" w:eastAsia="zh-CN"/>
        </w:rPr>
        <w:t xml:space="preserve">                                   </w:t>
      </w:r>
    </w:p>
    <w:p>
      <w:pPr>
        <w:spacing w:before="120" w:line="600" w:lineRule="auto"/>
        <w:ind w:left="960"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spacing w:line="360" w:lineRule="auto"/>
        <w:jc w:val="center"/>
        <w:outlineLvl w:val="1"/>
        <w:rPr>
          <w:rFonts w:hint="eastAsia" w:ascii="宋体" w:hAnsi="宋体" w:cs="宋体"/>
          <w:color w:val="auto"/>
          <w:sz w:val="30"/>
          <w:szCs w:val="30"/>
          <w:highlight w:val="none"/>
        </w:rPr>
      </w:pPr>
      <w:r>
        <w:rPr>
          <w:rFonts w:hint="eastAsia" w:asciiTheme="minorEastAsia" w:hAnsiTheme="minorEastAsia" w:eastAsiaTheme="minorEastAsia" w:cstheme="minorEastAsia"/>
          <w:color w:val="auto"/>
          <w:sz w:val="24"/>
          <w:highlight w:val="none"/>
          <w:u w:val="single"/>
          <w:lang w:val="zh-CN"/>
        </w:rPr>
        <w:br w:type="page"/>
      </w:r>
      <w:r>
        <w:rPr>
          <w:rFonts w:hint="eastAsia" w:ascii="宋体" w:hAnsi="宋体" w:cs="宋体"/>
          <w:color w:val="auto"/>
          <w:sz w:val="30"/>
          <w:szCs w:val="30"/>
          <w:highlight w:val="none"/>
        </w:rPr>
        <w:t>第一部分  协 议 书</w:t>
      </w:r>
    </w:p>
    <w:p>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发包人（甲方）</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宁波市奉化区惠海地下管线投资有限公司 </w:t>
      </w:r>
    </w:p>
    <w:p>
      <w:pPr>
        <w:spacing w:line="360" w:lineRule="auto"/>
        <w:rPr>
          <w:rFonts w:hint="default" w:ascii="宋体" w:hAnsi="宋体" w:eastAsia="宋体" w:cs="宋体"/>
          <w:color w:val="auto"/>
          <w:sz w:val="21"/>
          <w:szCs w:val="21"/>
          <w:highlight w:val="none"/>
          <w:u w:val="single"/>
          <w:lang w:val="en-US"/>
        </w:rPr>
      </w:pPr>
      <w:r>
        <w:rPr>
          <w:rFonts w:hint="eastAsia" w:ascii="宋体" w:hAnsi="宋体" w:cs="宋体"/>
          <w:color w:val="auto"/>
          <w:sz w:val="21"/>
          <w:szCs w:val="21"/>
          <w:highlight w:val="none"/>
        </w:rPr>
        <w:t>承包人（乙方）：</w:t>
      </w:r>
      <w:r>
        <w:rPr>
          <w:rFonts w:hint="eastAsia" w:ascii="宋体" w:hAnsi="宋体" w:eastAsia="宋体" w:cs="宋体"/>
          <w:color w:val="auto"/>
          <w:sz w:val="21"/>
          <w:szCs w:val="21"/>
          <w:highlight w:val="none"/>
          <w:u w:val="single"/>
          <w:lang w:val="en-US" w:eastAsia="zh-CN"/>
        </w:rPr>
        <w:t xml:space="preserve">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依照《中华人民共和国</w:t>
      </w:r>
      <w:r>
        <w:rPr>
          <w:rFonts w:hint="eastAsia" w:ascii="宋体" w:hAnsi="宋体" w:cs="宋体"/>
          <w:color w:val="auto"/>
          <w:sz w:val="21"/>
          <w:szCs w:val="21"/>
          <w:highlight w:val="none"/>
          <w:lang w:eastAsia="zh-CN"/>
        </w:rPr>
        <w:t>民法典</w:t>
      </w:r>
      <w:r>
        <w:rPr>
          <w:rFonts w:hint="eastAsia" w:ascii="宋体" w:hAnsi="宋体" w:cs="宋体"/>
          <w:color w:val="auto"/>
          <w:sz w:val="21"/>
          <w:szCs w:val="21"/>
          <w:highlight w:val="none"/>
        </w:rPr>
        <w:t>》、《中华人民共和国建筑法》及其他有关法律、行政法规、遵循平等、自愿、公平和诚实信用的原则，发包人和承包人本着平等互利的原则，根据</w:t>
      </w:r>
      <w:r>
        <w:rPr>
          <w:rFonts w:hint="eastAsia" w:ascii="宋体" w:hAnsi="宋体" w:cs="宋体"/>
          <w:color w:val="auto"/>
          <w:sz w:val="21"/>
          <w:szCs w:val="21"/>
          <w:highlight w:val="none"/>
          <w:lang w:val="en-US" w:eastAsia="zh-CN"/>
        </w:rPr>
        <w:t>交易须知</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eastAsia="zh-CN"/>
        </w:rPr>
        <w:t>成交确认书</w:t>
      </w:r>
      <w:r>
        <w:rPr>
          <w:rFonts w:hint="eastAsia" w:ascii="宋体" w:hAnsi="宋体" w:cs="宋体"/>
          <w:color w:val="auto"/>
          <w:sz w:val="21"/>
          <w:szCs w:val="21"/>
          <w:highlight w:val="none"/>
        </w:rPr>
        <w:t>，按下述条款和条件签署本合同。</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一、工程概况</w:t>
      </w:r>
    </w:p>
    <w:p>
      <w:pPr>
        <w:spacing w:line="360" w:lineRule="auto"/>
        <w:ind w:left="1529" w:leftChars="228" w:hanging="1050" w:hangingChars="5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工程名称：</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尚桥科技园区电力配套（一期）工程-市政业扩及迁改工程—土建部分 ）  </w:t>
      </w:r>
    </w:p>
    <w:p>
      <w:pPr>
        <w:spacing w:line="360" w:lineRule="auto"/>
        <w:ind w:left="1529" w:leftChars="228" w:hanging="1050" w:hangingChars="5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工程地点：</w:t>
      </w:r>
      <w:r>
        <w:rPr>
          <w:rFonts w:hint="eastAsia" w:ascii="宋体" w:hAnsi="宋体" w:eastAsia="宋体" w:cs="宋体"/>
          <w:color w:val="auto"/>
          <w:sz w:val="21"/>
          <w:szCs w:val="21"/>
          <w:highlight w:val="none"/>
          <w:u w:val="single"/>
          <w:lang w:val="en-US" w:eastAsia="zh-CN"/>
        </w:rPr>
        <w:t xml:space="preserve">     业主指定地点        </w:t>
      </w:r>
    </w:p>
    <w:p>
      <w:pPr>
        <w:spacing w:line="360" w:lineRule="auto"/>
        <w:ind w:firstLine="420" w:firstLineChars="200"/>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none"/>
          <w:lang w:eastAsia="zh-CN"/>
        </w:rPr>
        <w:t>工程内容：</w:t>
      </w:r>
      <w:r>
        <w:rPr>
          <w:rFonts w:hint="eastAsia" w:ascii="宋体" w:hAnsi="宋体" w:eastAsia="宋体" w:cs="Times New Roman"/>
          <w:color w:val="auto"/>
          <w:sz w:val="21"/>
          <w:szCs w:val="21"/>
          <w:highlight w:val="none"/>
          <w:u w:val="single"/>
          <w:lang w:eastAsia="zh-CN"/>
        </w:rPr>
        <w:t>详见图纸</w:t>
      </w:r>
    </w:p>
    <w:p>
      <w:pPr>
        <w:spacing w:line="360" w:lineRule="auto"/>
        <w:ind w:left="1739" w:leftChars="228" w:hanging="1260" w:hangingChars="6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工程立项批准文号：</w:t>
      </w:r>
      <w:r>
        <w:rPr>
          <w:rFonts w:hint="eastAsia" w:ascii="宋体" w:hAnsi="宋体" w:eastAsia="宋体" w:cs="宋体"/>
          <w:color w:val="auto"/>
          <w:sz w:val="21"/>
          <w:szCs w:val="21"/>
          <w:highlight w:val="none"/>
          <w:u w:val="single"/>
          <w:lang w:val="en-US" w:eastAsia="zh-CN"/>
        </w:rPr>
        <w:t xml:space="preserve">                         </w:t>
      </w:r>
    </w:p>
    <w:p>
      <w:pPr>
        <w:spacing w:line="360" w:lineRule="auto"/>
        <w:ind w:left="1739" w:leftChars="228" w:hanging="1260" w:hangingChars="60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资金来源：</w:t>
      </w:r>
      <w:r>
        <w:rPr>
          <w:rFonts w:hint="eastAsia" w:ascii="宋体" w:hAnsi="宋体" w:cs="宋体"/>
          <w:color w:val="auto"/>
          <w:sz w:val="21"/>
          <w:szCs w:val="21"/>
          <w:highlight w:val="none"/>
          <w:u w:val="single"/>
          <w:lang w:val="en-US" w:eastAsia="zh-CN"/>
        </w:rPr>
        <w:t xml:space="preserve">  自筹   </w:t>
      </w:r>
    </w:p>
    <w:p>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二、工程承包范围</w:t>
      </w:r>
    </w:p>
    <w:p>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承包范围</w:t>
      </w:r>
      <w:r>
        <w:rPr>
          <w:rFonts w:hint="eastAsia" w:ascii="宋体" w:hAnsi="宋体" w:eastAsia="宋体" w:cs="宋体"/>
          <w:color w:val="auto"/>
          <w:sz w:val="21"/>
          <w:szCs w:val="21"/>
          <w:highlight w:val="none"/>
          <w:u w:val="none"/>
          <w:lang w:val="en-US"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施工图范围内的电力排管、电缆井、环网站等</w:t>
      </w:r>
      <w:r>
        <w:rPr>
          <w:rFonts w:hint="eastAsia" w:ascii="宋体" w:hAnsi="宋体" w:cs="宋体"/>
          <w:color w:val="auto"/>
          <w:sz w:val="21"/>
          <w:szCs w:val="21"/>
          <w:highlight w:val="none"/>
          <w:u w:val="single"/>
          <w:lang w:val="en-US" w:eastAsia="zh-CN"/>
        </w:rPr>
        <w:t xml:space="preserve"> </w:t>
      </w:r>
    </w:p>
    <w:p>
      <w:pPr>
        <w:pStyle w:val="66"/>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三、合同工期</w:t>
      </w:r>
    </w:p>
    <w:p>
      <w:pPr>
        <w:spacing w:line="360" w:lineRule="auto"/>
        <w:ind w:firstLine="403" w:firstLineChars="192"/>
        <w:rPr>
          <w:rFonts w:hint="eastAsia" w:ascii="宋体" w:hAnsi="宋体" w:cs="宋体"/>
          <w:color w:val="auto"/>
          <w:sz w:val="21"/>
          <w:szCs w:val="21"/>
          <w:highlight w:val="none"/>
        </w:rPr>
      </w:pPr>
      <w:r>
        <w:rPr>
          <w:rFonts w:hint="eastAsia" w:ascii="宋体" w:hAnsi="宋体" w:cs="宋体"/>
          <w:color w:val="auto"/>
          <w:sz w:val="21"/>
          <w:szCs w:val="21"/>
          <w:highlight w:val="none"/>
        </w:rPr>
        <w:t>计划开工日期：</w:t>
      </w:r>
      <w:r>
        <w:rPr>
          <w:rFonts w:hint="eastAsia" w:ascii="宋体" w:hAnsi="宋体" w:cs="宋体"/>
          <w:color w:val="auto"/>
          <w:sz w:val="21"/>
          <w:szCs w:val="21"/>
          <w:highlight w:val="none"/>
          <w:u w:val="single"/>
          <w:lang w:val="en-US" w:eastAsia="zh-CN"/>
        </w:rPr>
        <w:t xml:space="preserve"> 2024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日(具体以监理开工</w:t>
      </w:r>
      <w:r>
        <w:rPr>
          <w:rFonts w:hint="eastAsia" w:ascii="宋体" w:hAnsi="宋体" w:cs="宋体"/>
          <w:color w:val="auto"/>
          <w:sz w:val="21"/>
          <w:szCs w:val="21"/>
          <w:highlight w:val="none"/>
          <w:lang w:eastAsia="zh-CN"/>
        </w:rPr>
        <w:t>令</w:t>
      </w:r>
      <w:r>
        <w:rPr>
          <w:rFonts w:hint="eastAsia" w:ascii="宋体" w:hAnsi="宋体" w:cs="宋体"/>
          <w:color w:val="auto"/>
          <w:sz w:val="21"/>
          <w:szCs w:val="21"/>
          <w:highlight w:val="none"/>
        </w:rPr>
        <w:t>为准)</w:t>
      </w:r>
    </w:p>
    <w:p>
      <w:pPr>
        <w:spacing w:line="360" w:lineRule="auto"/>
        <w:ind w:firstLine="403" w:firstLineChars="192"/>
        <w:rPr>
          <w:rFonts w:hint="eastAsia" w:ascii="宋体" w:hAnsi="宋体" w:cs="宋体"/>
          <w:color w:val="auto"/>
          <w:sz w:val="21"/>
          <w:szCs w:val="21"/>
          <w:highlight w:val="none"/>
        </w:rPr>
      </w:pPr>
      <w:r>
        <w:rPr>
          <w:rFonts w:hint="eastAsia" w:ascii="宋体" w:hAnsi="宋体" w:cs="宋体"/>
          <w:color w:val="auto"/>
          <w:sz w:val="21"/>
          <w:szCs w:val="21"/>
          <w:highlight w:val="none"/>
        </w:rPr>
        <w:t>合同工期总日历天数：</w:t>
      </w:r>
      <w:r>
        <w:rPr>
          <w:rFonts w:hint="eastAsia" w:ascii="宋体" w:hAnsi="宋体" w:cs="宋体"/>
          <w:color w:val="auto"/>
          <w:sz w:val="21"/>
          <w:szCs w:val="21"/>
          <w:highlight w:val="none"/>
          <w:u w:val="single"/>
          <w:lang w:val="en-US" w:eastAsia="zh-CN"/>
        </w:rPr>
        <w:t>90</w:t>
      </w:r>
      <w:r>
        <w:rPr>
          <w:rFonts w:hint="eastAsia" w:ascii="宋体" w:hAnsi="宋体" w:cs="宋体"/>
          <w:color w:val="auto"/>
          <w:sz w:val="21"/>
          <w:szCs w:val="21"/>
          <w:highlight w:val="none"/>
          <w:u w:val="none"/>
          <w:lang w:eastAsia="zh-CN"/>
        </w:rPr>
        <w:t>日历</w:t>
      </w:r>
      <w:r>
        <w:rPr>
          <w:rFonts w:hint="eastAsia" w:ascii="宋体" w:hAnsi="宋体" w:cs="宋体"/>
          <w:color w:val="auto"/>
          <w:sz w:val="21"/>
          <w:szCs w:val="21"/>
          <w:highlight w:val="none"/>
        </w:rPr>
        <w:t>天。</w:t>
      </w:r>
    </w:p>
    <w:p>
      <w:pPr>
        <w:spacing w:line="360" w:lineRule="auto"/>
        <w:ind w:firstLine="403" w:firstLineChars="192"/>
        <w:rPr>
          <w:rFonts w:hint="eastAsia" w:ascii="宋体" w:hAnsi="宋体" w:cs="宋体"/>
          <w:b/>
          <w:color w:val="auto"/>
          <w:sz w:val="21"/>
          <w:szCs w:val="21"/>
          <w:highlight w:val="none"/>
        </w:rPr>
      </w:pPr>
      <w:r>
        <w:rPr>
          <w:rFonts w:hint="eastAsia" w:ascii="宋体" w:hAnsi="宋体" w:cs="宋体"/>
          <w:color w:val="auto"/>
          <w:sz w:val="21"/>
          <w:szCs w:val="21"/>
          <w:highlight w:val="none"/>
        </w:rPr>
        <w:t>若实际开工日期由于甲方原因或不可抗力因素造成滞后,则以甲方正式批准的实际开工之日为准。</w:t>
      </w:r>
    </w:p>
    <w:p>
      <w:pPr>
        <w:spacing w:line="360" w:lineRule="auto"/>
        <w:ind w:firstLine="476" w:firstLineChars="227"/>
        <w:rPr>
          <w:rFonts w:hint="eastAsia" w:ascii="宋体" w:hAnsi="宋体" w:cs="宋体"/>
          <w:color w:val="auto"/>
          <w:sz w:val="21"/>
          <w:szCs w:val="21"/>
          <w:highlight w:val="none"/>
        </w:rPr>
      </w:pPr>
      <w:r>
        <w:rPr>
          <w:rFonts w:hint="eastAsia" w:ascii="宋体" w:hAnsi="宋体" w:cs="宋体"/>
          <w:color w:val="auto"/>
          <w:sz w:val="21"/>
          <w:szCs w:val="21"/>
          <w:highlight w:val="none"/>
        </w:rPr>
        <w:t>四、质量与安全要求</w:t>
      </w:r>
    </w:p>
    <w:p>
      <w:pPr>
        <w:spacing w:line="360" w:lineRule="auto"/>
        <w:ind w:firstLine="476" w:firstLineChars="227"/>
        <w:rPr>
          <w:rFonts w:hint="eastAsia" w:ascii="宋体" w:hAnsi="宋体" w:cs="宋体"/>
          <w:color w:val="auto"/>
          <w:sz w:val="21"/>
          <w:szCs w:val="21"/>
          <w:highlight w:val="none"/>
        </w:rPr>
      </w:pPr>
      <w:r>
        <w:rPr>
          <w:rFonts w:hint="eastAsia" w:ascii="宋体" w:hAnsi="宋体" w:cs="宋体"/>
          <w:color w:val="auto"/>
          <w:sz w:val="21"/>
          <w:szCs w:val="21"/>
          <w:highlight w:val="none"/>
        </w:rPr>
        <w:t>1、达到国家和行业施工验收规范一次性验收合格。</w:t>
      </w:r>
    </w:p>
    <w:p>
      <w:pPr>
        <w:spacing w:line="360" w:lineRule="auto"/>
        <w:ind w:firstLine="457" w:firstLineChars="218"/>
        <w:rPr>
          <w:rFonts w:hint="eastAsia" w:ascii="宋体" w:hAnsi="宋体" w:cs="宋体"/>
          <w:color w:val="auto"/>
          <w:sz w:val="21"/>
          <w:szCs w:val="21"/>
          <w:highlight w:val="none"/>
        </w:rPr>
      </w:pPr>
      <w:r>
        <w:rPr>
          <w:rFonts w:hint="eastAsia" w:ascii="宋体" w:hAnsi="宋体" w:cs="宋体"/>
          <w:color w:val="auto"/>
          <w:sz w:val="21"/>
          <w:szCs w:val="21"/>
          <w:highlight w:val="none"/>
        </w:rPr>
        <w:t>2、工程安全要求：合格。</w:t>
      </w:r>
    </w:p>
    <w:p>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五、合同价款</w:t>
      </w:r>
    </w:p>
    <w:p>
      <w:pPr>
        <w:spacing w:line="360" w:lineRule="auto"/>
        <w:ind w:firstLine="403" w:firstLineChars="192"/>
        <w:rPr>
          <w:rFonts w:hint="eastAsia" w:ascii="宋体" w:hAnsi="宋体" w:cs="宋体"/>
          <w:color w:val="auto"/>
          <w:sz w:val="21"/>
          <w:szCs w:val="21"/>
          <w:highlight w:val="none"/>
          <w:u w:val="none"/>
        </w:rPr>
      </w:pPr>
      <w:r>
        <w:rPr>
          <w:rFonts w:hint="eastAsia" w:ascii="宋体" w:hAnsi="宋体" w:cs="宋体"/>
          <w:color w:val="auto"/>
          <w:sz w:val="21"/>
          <w:szCs w:val="21"/>
          <w:highlight w:val="none"/>
        </w:rPr>
        <w:t>金额（大写）：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rPr>
        <w:t xml:space="preserve">整 </w:t>
      </w:r>
      <w:r>
        <w:rPr>
          <w:rFonts w:hint="eastAsia" w:ascii="宋体" w:hAnsi="宋体" w:cs="宋体"/>
          <w:color w:val="auto"/>
          <w:sz w:val="21"/>
          <w:szCs w:val="21"/>
          <w:highlight w:val="none"/>
        </w:rPr>
        <w:t>，</w:t>
      </w:r>
      <w:r>
        <w:rPr>
          <w:rFonts w:hint="eastAsia" w:ascii="宋体" w:hAnsi="宋体" w:cs="宋体"/>
          <w:color w:val="auto"/>
          <w:spacing w:val="14"/>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综合折扣率</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w:t>
      </w:r>
      <w:r>
        <w:rPr>
          <w:rFonts w:hint="eastAsia" w:ascii="宋体" w:hAnsi="宋体" w:cs="宋体"/>
          <w:color w:val="auto"/>
          <w:sz w:val="21"/>
          <w:szCs w:val="21"/>
          <w:highlight w:val="none"/>
          <w:u w:val="none"/>
        </w:rPr>
        <w:t>。</w:t>
      </w:r>
    </w:p>
    <w:p>
      <w:pPr>
        <w:spacing w:line="360" w:lineRule="auto"/>
        <w:ind w:firstLine="403" w:firstLineChars="192"/>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合同价格类型：</w:t>
      </w:r>
      <w:r>
        <w:rPr>
          <w:rFonts w:hint="eastAsia" w:ascii="宋体" w:hAnsi="宋体" w:cs="宋体"/>
          <w:color w:val="auto"/>
          <w:sz w:val="21"/>
          <w:szCs w:val="21"/>
          <w:highlight w:val="none"/>
          <w:u w:val="single"/>
          <w:lang w:eastAsia="zh-CN"/>
        </w:rPr>
        <w:t>单价</w:t>
      </w:r>
      <w:r>
        <w:rPr>
          <w:rFonts w:hint="eastAsia" w:ascii="宋体" w:hAnsi="宋体" w:eastAsia="宋体" w:cs="宋体"/>
          <w:color w:val="auto"/>
          <w:sz w:val="21"/>
          <w:szCs w:val="21"/>
          <w:highlight w:val="none"/>
          <w:u w:val="single"/>
        </w:rPr>
        <w:t>合同</w:t>
      </w:r>
      <w:r>
        <w:rPr>
          <w:rFonts w:hint="eastAsia" w:ascii="宋体" w:hAnsi="宋体" w:cs="宋体"/>
          <w:color w:val="auto"/>
          <w:sz w:val="21"/>
          <w:szCs w:val="21"/>
          <w:highlight w:val="none"/>
          <w:u w:val="single"/>
        </w:rPr>
        <w:t>。</w:t>
      </w:r>
    </w:p>
    <w:p>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六、组成合同的文件</w:t>
      </w:r>
    </w:p>
    <w:p>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组成本合同的文件包括：</w:t>
      </w:r>
    </w:p>
    <w:p>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1、本协议书</w:t>
      </w:r>
    </w:p>
    <w:p>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2、成交确认书</w:t>
      </w:r>
    </w:p>
    <w:p>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3、本合同专用条款及其附件</w:t>
      </w:r>
    </w:p>
    <w:p>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交易公告</w:t>
      </w:r>
      <w:r>
        <w:rPr>
          <w:rFonts w:hint="eastAsia" w:ascii="宋体" w:hAnsi="宋体" w:cs="宋体"/>
          <w:color w:val="auto"/>
          <w:sz w:val="21"/>
          <w:szCs w:val="21"/>
          <w:highlight w:val="none"/>
        </w:rPr>
        <w:t>及其附件</w:t>
      </w:r>
    </w:p>
    <w:p>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5、本合同通用条款</w:t>
      </w:r>
    </w:p>
    <w:p>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6、标准、规范及有关技术文件</w:t>
      </w:r>
    </w:p>
    <w:p>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7、图纸</w:t>
      </w:r>
    </w:p>
    <w:p>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8、工程量清单或预算书</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双方有关工程的洽商、变更等书面协议或文件视为本合同的组成部分。</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七</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本协议书中有关词语含义与本合同第二部分《通用条款》中分别赋予它们的定义相同。</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八、承包人向发包人承诺按照合同约定进行施工、竣工并在质量保修期内承担工程质量保修责任。</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color w:val="auto"/>
          <w:sz w:val="21"/>
          <w:szCs w:val="21"/>
          <w:highlight w:val="none"/>
        </w:rPr>
        <w:t>九、发包人向承包人承诺按照合同约定的期限和方式支付合同价款及其他应当支付的款项。</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十、合同生效</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合同订立时间：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2024</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日 </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合同订立地点：宁波市奉化区 </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本合同双方约定</w:t>
      </w:r>
      <w:r>
        <w:rPr>
          <w:rFonts w:hint="eastAsia" w:ascii="宋体" w:hAnsi="宋体" w:cs="宋体"/>
          <w:color w:val="auto"/>
          <w:sz w:val="21"/>
          <w:szCs w:val="21"/>
          <w:highlight w:val="none"/>
          <w:u w:val="single"/>
        </w:rPr>
        <w:t>加盖双方单位印章并经法定代表人或其委托代理人签字，并按约定提供履约担保</w:t>
      </w:r>
      <w:r>
        <w:rPr>
          <w:rFonts w:hint="eastAsia" w:ascii="宋体" w:hAnsi="宋体" w:cs="宋体"/>
          <w:color w:val="auto"/>
          <w:sz w:val="21"/>
          <w:szCs w:val="21"/>
          <w:highlight w:val="none"/>
        </w:rPr>
        <w:t>后生效。</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十一、合同份数</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olor w:val="auto"/>
          <w:sz w:val="21"/>
          <w:szCs w:val="21"/>
          <w:highlight w:val="none"/>
        </w:rPr>
        <w:t>本合同一式陆份，发包方贰份，承包方肆份。</w:t>
      </w:r>
    </w:p>
    <w:p>
      <w:pPr>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rPr>
      </w:pPr>
    </w:p>
    <w:p>
      <w:pPr>
        <w:autoSpaceDE w:val="0"/>
        <w:autoSpaceDN w:val="0"/>
        <w:adjustRightInd w:val="0"/>
        <w:spacing w:line="38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kern w:val="0"/>
          <w:sz w:val="21"/>
          <w:szCs w:val="21"/>
          <w:highlight w:val="none"/>
          <w:lang w:val="zh-CN"/>
        </w:rPr>
        <w:t>宁波市奉化区惠海</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kern w:val="0"/>
          <w:sz w:val="21"/>
          <w:szCs w:val="21"/>
          <w:highlight w:val="none"/>
          <w:lang w:val="en-US" w:eastAsia="zh-CN"/>
        </w:rPr>
        <w:t xml:space="preserve">              </w:t>
      </w:r>
    </w:p>
    <w:p>
      <w:pPr>
        <w:autoSpaceDE w:val="0"/>
        <w:autoSpaceDN w:val="0"/>
        <w:adjustRightInd w:val="0"/>
        <w:spacing w:line="380" w:lineRule="exact"/>
        <w:ind w:firstLine="1470" w:firstLineChars="7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地下管线投资有限公司</w:t>
      </w:r>
    </w:p>
    <w:p>
      <w:pPr>
        <w:autoSpaceDE w:val="0"/>
        <w:autoSpaceDN w:val="0"/>
        <w:adjustRightInd w:val="0"/>
        <w:spacing w:line="380" w:lineRule="exact"/>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xml:space="preserve">奉化区岳林街道中山东路518号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p>
    <w:p>
      <w:pPr>
        <w:autoSpaceDE w:val="0"/>
        <w:autoSpaceDN w:val="0"/>
        <w:adjustRightInd w:val="0"/>
        <w:spacing w:line="380" w:lineRule="exact"/>
        <w:ind w:left="521" w:leftChars="24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金城大厦</w:t>
      </w:r>
      <w:r>
        <w:rPr>
          <w:rFonts w:hint="eastAsia" w:ascii="宋体" w:hAnsi="宋体" w:eastAsia="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rPr>
        <w:t>座1</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楼</w:t>
      </w:r>
    </w:p>
    <w:p>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法定代表人</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法定代表人</w:t>
      </w:r>
      <w:r>
        <w:rPr>
          <w:rFonts w:hint="eastAsia" w:ascii="宋体" w:hAnsi="宋体" w:eastAsia="宋体" w:cs="宋体"/>
          <w:color w:val="auto"/>
          <w:kern w:val="0"/>
          <w:sz w:val="21"/>
          <w:szCs w:val="21"/>
          <w:highlight w:val="none"/>
        </w:rPr>
        <w:t xml:space="preserve">： </w:t>
      </w:r>
    </w:p>
    <w:p>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委托代理人</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委托代理人</w:t>
      </w:r>
      <w:r>
        <w:rPr>
          <w:rFonts w:hint="eastAsia" w:ascii="宋体" w:hAnsi="宋体" w:eastAsia="宋体" w:cs="宋体"/>
          <w:color w:val="auto"/>
          <w:kern w:val="0"/>
          <w:sz w:val="21"/>
          <w:szCs w:val="21"/>
          <w:highlight w:val="none"/>
        </w:rPr>
        <w:t>：</w:t>
      </w:r>
    </w:p>
    <w:p>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zh-CN"/>
        </w:rPr>
        <w:t>电话：0574-88967016</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电话：</w:t>
      </w:r>
      <w:r>
        <w:rPr>
          <w:rFonts w:hint="eastAsia" w:ascii="宋体" w:hAnsi="宋体" w:eastAsia="宋体" w:cs="宋体"/>
          <w:color w:val="auto"/>
          <w:kern w:val="0"/>
          <w:sz w:val="21"/>
          <w:szCs w:val="21"/>
          <w:highlight w:val="none"/>
          <w:lang w:val="en-US" w:eastAsia="zh-CN"/>
        </w:rPr>
        <w:t xml:space="preserve"> </w:t>
      </w:r>
    </w:p>
    <w:p>
      <w:pPr>
        <w:autoSpaceDE w:val="0"/>
        <w:autoSpaceDN w:val="0"/>
        <w:adjustRightInd w:val="0"/>
        <w:spacing w:line="440" w:lineRule="exact"/>
        <w:ind w:left="479" w:leftChars="228" w:firstLine="35" w:firstLineChars="17"/>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 xml:space="preserve">开户银行：宁波银行股份有限公司岳林支行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lang w:val="en-US" w:eastAsia="zh-CN"/>
        </w:rPr>
        <w:t xml:space="preserve">    </w:t>
      </w:r>
    </w:p>
    <w:p>
      <w:pPr>
        <w:autoSpaceDE w:val="0"/>
        <w:autoSpaceDN w:val="0"/>
        <w:adjustRightInd w:val="0"/>
        <w:spacing w:line="440" w:lineRule="exact"/>
        <w:ind w:left="479" w:leftChars="228" w:firstLine="35" w:firstLineChars="17"/>
        <w:jc w:val="left"/>
        <w:rPr>
          <w:rFonts w:hint="default" w:eastAsia="宋体"/>
          <w:color w:val="auto"/>
          <w:sz w:val="21"/>
          <w:szCs w:val="21"/>
          <w:highlight w:val="none"/>
          <w:lang w:val="en-US" w:eastAsia="zh-CN"/>
        </w:rPr>
      </w:pPr>
      <w:r>
        <w:rPr>
          <w:rFonts w:hint="eastAsia" w:ascii="宋体" w:hAnsi="宋体" w:eastAsia="宋体" w:cs="宋体"/>
          <w:color w:val="auto"/>
          <w:kern w:val="0"/>
          <w:sz w:val="21"/>
          <w:szCs w:val="21"/>
          <w:highlight w:val="none"/>
          <w:lang w:val="zh-CN"/>
        </w:rPr>
        <w:t xml:space="preserve">账号：64040122 000030230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lang w:val="en-US" w:eastAsia="zh-CN"/>
        </w:rPr>
        <w:t xml:space="preserve">           </w:t>
      </w:r>
    </w:p>
    <w:p>
      <w:pPr>
        <w:spacing w:line="360" w:lineRule="auto"/>
        <w:jc w:val="center"/>
        <w:rPr>
          <w:rFonts w:hint="eastAsia" w:ascii="宋体" w:hAnsi="宋体" w:cs="宋体"/>
          <w:b/>
          <w:bCs/>
          <w:color w:val="auto"/>
          <w:sz w:val="21"/>
          <w:szCs w:val="21"/>
          <w:highlight w:val="none"/>
        </w:rPr>
      </w:pPr>
    </w:p>
    <w:p>
      <w:pPr>
        <w:spacing w:line="360" w:lineRule="auto"/>
        <w:jc w:val="center"/>
        <w:rPr>
          <w:rFonts w:hint="eastAsia" w:ascii="宋体" w:hAnsi="宋体" w:cs="宋体"/>
          <w:b/>
          <w:bCs/>
          <w:color w:val="auto"/>
          <w:sz w:val="21"/>
          <w:szCs w:val="21"/>
          <w:highlight w:val="none"/>
        </w:rPr>
      </w:pPr>
    </w:p>
    <w:p>
      <w:pPr>
        <w:spacing w:line="360" w:lineRule="auto"/>
        <w:jc w:val="center"/>
        <w:rPr>
          <w:rFonts w:hint="eastAsia" w:ascii="宋体" w:hAnsi="宋体" w:cs="宋体"/>
          <w:b/>
          <w:bCs/>
          <w:color w:val="auto"/>
          <w:sz w:val="21"/>
          <w:szCs w:val="21"/>
          <w:highlight w:val="none"/>
        </w:rPr>
      </w:pPr>
    </w:p>
    <w:p>
      <w:pPr>
        <w:spacing w:line="360" w:lineRule="auto"/>
        <w:jc w:val="center"/>
        <w:rPr>
          <w:rFonts w:hint="eastAsia" w:ascii="宋体" w:hAnsi="宋体" w:cs="宋体"/>
          <w:b/>
          <w:bCs/>
          <w:color w:val="auto"/>
          <w:sz w:val="21"/>
          <w:szCs w:val="21"/>
          <w:highlight w:val="none"/>
        </w:rPr>
      </w:pPr>
    </w:p>
    <w:p>
      <w:pPr>
        <w:spacing w:line="360" w:lineRule="auto"/>
        <w:jc w:val="center"/>
        <w:rPr>
          <w:rFonts w:hint="eastAsia" w:ascii="宋体" w:hAnsi="宋体" w:cs="宋体"/>
          <w:b/>
          <w:bCs/>
          <w:color w:val="auto"/>
          <w:sz w:val="21"/>
          <w:szCs w:val="21"/>
          <w:highlight w:val="none"/>
        </w:rPr>
      </w:pPr>
    </w:p>
    <w:p>
      <w:pPr>
        <w:spacing w:line="360" w:lineRule="auto"/>
        <w:jc w:val="center"/>
        <w:rPr>
          <w:rFonts w:hint="eastAsia" w:ascii="宋体" w:hAnsi="宋体" w:cs="宋体"/>
          <w:b/>
          <w:bCs/>
          <w:color w:val="auto"/>
          <w:sz w:val="21"/>
          <w:szCs w:val="21"/>
          <w:highlight w:val="none"/>
        </w:rPr>
      </w:pPr>
    </w:p>
    <w:p>
      <w:pPr>
        <w:pStyle w:val="33"/>
        <w:rPr>
          <w:rFonts w:hint="eastAsia" w:ascii="宋体" w:hAnsi="宋体" w:cs="宋体"/>
          <w:b/>
          <w:bCs/>
          <w:color w:val="auto"/>
          <w:sz w:val="21"/>
          <w:szCs w:val="21"/>
          <w:highlight w:val="none"/>
        </w:rPr>
      </w:pPr>
    </w:p>
    <w:p>
      <w:pPr>
        <w:pStyle w:val="33"/>
        <w:rPr>
          <w:rFonts w:hint="eastAsia" w:ascii="宋体" w:hAnsi="宋体" w:cs="宋体"/>
          <w:b/>
          <w:bCs/>
          <w:color w:val="auto"/>
          <w:sz w:val="21"/>
          <w:szCs w:val="21"/>
          <w:highlight w:val="none"/>
        </w:rPr>
      </w:pPr>
    </w:p>
    <w:p>
      <w:pPr>
        <w:spacing w:line="360" w:lineRule="auto"/>
        <w:jc w:val="center"/>
        <w:rPr>
          <w:rFonts w:hint="eastAsia" w:ascii="宋体" w:hAnsi="宋体" w:cs="宋体"/>
          <w:b/>
          <w:color w:val="auto"/>
          <w:sz w:val="21"/>
          <w:szCs w:val="21"/>
          <w:highlight w:val="none"/>
        </w:rPr>
      </w:pPr>
      <w:r>
        <w:rPr>
          <w:rFonts w:hint="eastAsia" w:ascii="宋体" w:hAnsi="宋体" w:cs="宋体"/>
          <w:b/>
          <w:bCs/>
          <w:color w:val="auto"/>
          <w:sz w:val="21"/>
          <w:szCs w:val="21"/>
          <w:highlight w:val="none"/>
        </w:rPr>
        <w:t>第二部分</w:t>
      </w:r>
      <w:r>
        <w:rPr>
          <w:rFonts w:hint="eastAsia" w:ascii="宋体" w:hAnsi="宋体" w:cs="宋体"/>
          <w:b/>
          <w:color w:val="auto"/>
          <w:sz w:val="21"/>
          <w:szCs w:val="21"/>
          <w:highlight w:val="none"/>
        </w:rPr>
        <w:t xml:space="preserve"> 通用合同条款</w:t>
      </w:r>
    </w:p>
    <w:p>
      <w:pPr>
        <w:spacing w:line="420" w:lineRule="exact"/>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通用合同条款直接引用建市[2017]214号“住房城乡建设部、工商总局关于印发建设工程施工合同（示范文本）的通知”附件《建设工程施工合同（示范文本）（GF-2017-0201）第二部分“通用合同条款”内容。</w:t>
      </w:r>
    </w:p>
    <w:p>
      <w:pPr>
        <w:spacing w:line="360" w:lineRule="auto"/>
        <w:rPr>
          <w:rFonts w:hint="eastAsia" w:ascii="宋体" w:hAnsi="宋体" w:cs="宋体"/>
          <w:color w:val="auto"/>
          <w:sz w:val="21"/>
          <w:szCs w:val="21"/>
          <w:highlight w:val="none"/>
        </w:rPr>
      </w:pPr>
    </w:p>
    <w:p>
      <w:pPr>
        <w:pStyle w:val="5"/>
        <w:spacing w:before="120" w:line="360" w:lineRule="auto"/>
        <w:jc w:val="center"/>
        <w:rPr>
          <w:rFonts w:hint="eastAsia" w:ascii="宋体" w:hAnsi="宋体" w:cs="宋体"/>
          <w:color w:val="auto"/>
          <w:sz w:val="21"/>
          <w:szCs w:val="21"/>
          <w:highlight w:val="none"/>
        </w:rPr>
      </w:pPr>
      <w:bookmarkStart w:id="395" w:name="_Toc364853223"/>
      <w:r>
        <w:rPr>
          <w:rFonts w:hint="eastAsia" w:ascii="宋体" w:hAnsi="宋体" w:cs="宋体"/>
          <w:color w:val="auto"/>
          <w:sz w:val="21"/>
          <w:szCs w:val="21"/>
          <w:highlight w:val="none"/>
        </w:rPr>
        <w:t>第三部分 专用合同条款</w:t>
      </w:r>
      <w:bookmarkEnd w:id="395"/>
    </w:p>
    <w:p>
      <w:pPr>
        <w:spacing w:line="420" w:lineRule="exact"/>
        <w:ind w:firstLine="420" w:firstLineChars="200"/>
        <w:rPr>
          <w:rFonts w:hint="eastAsia" w:ascii="宋体" w:hAnsi="宋体"/>
          <w:color w:val="auto"/>
          <w:kern w:val="0"/>
          <w:sz w:val="21"/>
          <w:szCs w:val="21"/>
          <w:highlight w:val="none"/>
        </w:rPr>
      </w:pPr>
      <w:bookmarkStart w:id="396" w:name="_Toc364853224"/>
      <w:r>
        <w:rPr>
          <w:rFonts w:hint="eastAsia" w:ascii="宋体" w:hAnsi="宋体"/>
          <w:color w:val="auto"/>
          <w:kern w:val="0"/>
          <w:sz w:val="21"/>
          <w:szCs w:val="21"/>
          <w:highlight w:val="none"/>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 一般约定</w:t>
      </w:r>
      <w:bookmarkEnd w:id="396"/>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 xml:space="preserve">1.3 法律 </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适用于合同的其他规范性文件：浙江省、宁波市有关工程建设的法规、规章及规范性文件。</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1.4 标准和规范</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1.4.1适用于工程的标准规范包括：浙江省、宁波市工程建设相关的施工及验收规范和标准。</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1.5 合同文件的优先顺序</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合同文件的优先解释顺序执行通用条款。</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1.6 图纸和承包人文件</w:t>
      </w:r>
      <w:r>
        <w:rPr>
          <w:rFonts w:hint="eastAsia" w:hAnsi="宋体" w:cs="宋体"/>
          <w:color w:val="auto"/>
          <w:sz w:val="21"/>
          <w:szCs w:val="21"/>
          <w:highlight w:val="none"/>
        </w:rPr>
        <w:tab/>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1.6.1图纸的提供</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发包人向承包人提供图纸的期限：向承包人发出成交确认书后3天内；</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发包人向承包人提供图纸的数量：一式五套；</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发包人向承包人提供图纸的内容：工程承包范围内的各专业工程。</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1.6.4 承包人文件</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需要由承包人提供的文件，包括：施工组织设计、工程进度计划、专项施工方案、加工图、大样图、协调配合图等；</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承包人提供的文件的期限为：施工组织设计、工程进度计划在工程开工前7天，其他文件在相应专项工程或部位施工前7天；</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承包人提供的文件的数量为：一式五套；</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1.6.5 现场图纸准备</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关于现场图纸准备的约定：承包人在施工现场保存至少一套完整的图纸和承包人文件。</w:t>
      </w:r>
    </w:p>
    <w:p>
      <w:pPr>
        <w:spacing w:line="45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1.7联络</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1.7.1发包人和承包人应当在通用条款规定的时间内将与合同有关的通知、批准、证明、证书、指示、指令、要求、请求、同意、意见、确定和决定等书面函件送达对方当事人。</w:t>
      </w:r>
    </w:p>
    <w:p>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1.7.2发包人接收文件的地点：</w:t>
      </w:r>
      <w:r>
        <w:rPr>
          <w:rFonts w:hint="eastAsia" w:ascii="宋体" w:hAnsi="宋体" w:cs="宋体"/>
          <w:color w:val="auto"/>
          <w:sz w:val="21"/>
          <w:szCs w:val="21"/>
          <w:highlight w:val="none"/>
          <w:u w:val="single"/>
        </w:rPr>
        <w:t>发包人驻项目办公所在地</w:t>
      </w:r>
      <w:r>
        <w:rPr>
          <w:rFonts w:hint="eastAsia" w:ascii="宋体" w:hAnsi="宋体" w:cs="宋体"/>
          <w:color w:val="auto"/>
          <w:sz w:val="21"/>
          <w:szCs w:val="21"/>
          <w:highlight w:val="none"/>
        </w:rPr>
        <w:t>；</w:t>
      </w:r>
    </w:p>
    <w:p>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发包人指定的接收人为：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1.10 交通运输</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1.10.1 出入现场的权利：执行通用条款。</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1.10.3 关于场外交通和场内交通边界的约定：</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1.10.4 超大件和超重件的运输</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承包人</w:t>
      </w:r>
      <w:r>
        <w:rPr>
          <w:rFonts w:hint="eastAsia" w:ascii="宋体" w:hAnsi="宋体" w:cs="宋体"/>
          <w:color w:val="auto"/>
          <w:sz w:val="21"/>
          <w:szCs w:val="21"/>
          <w:highlight w:val="none"/>
        </w:rPr>
        <w:t xml:space="preserve">承担。 </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1.11 知识产权</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关于本合同的知识产权、使用及使用费用约定：执行通用条款。</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1.13工程量清单错误的修正</w:t>
      </w:r>
    </w:p>
    <w:p>
      <w:pPr>
        <w:spacing w:line="450" w:lineRule="exact"/>
        <w:ind w:firstLine="420" w:firstLineChars="200"/>
        <w:rPr>
          <w:rFonts w:hint="eastAsia" w:ascii="宋体" w:hAnsi="宋体" w:cs="宋体"/>
          <w:color w:val="auto"/>
          <w:sz w:val="21"/>
          <w:szCs w:val="21"/>
          <w:highlight w:val="none"/>
        </w:rPr>
      </w:pPr>
      <w:bookmarkStart w:id="397" w:name="_Toc364853225"/>
      <w:r>
        <w:rPr>
          <w:rFonts w:hint="eastAsia" w:ascii="宋体" w:hAnsi="宋体" w:cs="宋体"/>
          <w:color w:val="auto"/>
          <w:sz w:val="21"/>
          <w:szCs w:val="21"/>
          <w:highlight w:val="none"/>
        </w:rPr>
        <w:t>允许对下列工程量清单的错误进行调整：（1）工程量清单存在缺项、漏项；（2）任一招标工程量清单项目的工程量有偏差；（3）未按照国家现行计量规范强制性规定计量。</w:t>
      </w:r>
    </w:p>
    <w:p>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 发包人</w:t>
      </w:r>
      <w:bookmarkEnd w:id="397"/>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2.2 发包人代表</w:t>
      </w:r>
    </w:p>
    <w:p>
      <w:pPr>
        <w:pStyle w:val="67"/>
        <w:spacing w:before="120" w:line="360" w:lineRule="auto"/>
        <w:ind w:firstLine="401" w:firstLineChars="19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发包人代表姓名：</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pPr>
        <w:pStyle w:val="67"/>
        <w:spacing w:before="120" w:line="360" w:lineRule="auto"/>
        <w:ind w:firstLine="401" w:firstLineChars="19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身份证号码：</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pPr>
        <w:pStyle w:val="67"/>
        <w:spacing w:before="120" w:line="360" w:lineRule="auto"/>
        <w:ind w:firstLine="401" w:firstLineChars="19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联系电话</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2.5 资金来源证明及支付担保</w:t>
      </w:r>
    </w:p>
    <w:p>
      <w:pPr>
        <w:spacing w:line="450" w:lineRule="exact"/>
        <w:ind w:firstLine="420" w:firstLineChars="200"/>
        <w:rPr>
          <w:rFonts w:hint="eastAsia" w:ascii="宋体" w:hAnsi="宋体" w:cs="宋体"/>
          <w:color w:val="auto"/>
          <w:sz w:val="21"/>
          <w:szCs w:val="21"/>
          <w:highlight w:val="none"/>
        </w:rPr>
      </w:pPr>
      <w:bookmarkStart w:id="398" w:name="_Toc364853226"/>
      <w:r>
        <w:rPr>
          <w:rFonts w:hint="eastAsia" w:ascii="宋体" w:hAnsi="宋体" w:cs="宋体"/>
          <w:color w:val="auto"/>
          <w:sz w:val="21"/>
          <w:szCs w:val="21"/>
          <w:highlight w:val="none"/>
        </w:rPr>
        <w:t>按《宁波市房屋建筑和市政基础设施工程担保管理办法（试行）》规定，发包人</w:t>
      </w:r>
      <w:r>
        <w:rPr>
          <w:rFonts w:hint="eastAsia" w:ascii="宋体" w:hAnsi="宋体" w:cs="宋体"/>
          <w:color w:val="auto"/>
          <w:kern w:val="0"/>
          <w:sz w:val="21"/>
          <w:szCs w:val="21"/>
          <w:highlight w:val="none"/>
          <w:u w:val="single"/>
        </w:rPr>
        <w:t xml:space="preserve">不需 </w:t>
      </w:r>
      <w:r>
        <w:rPr>
          <w:rFonts w:hint="eastAsia" w:ascii="宋体" w:hAnsi="宋体" w:cs="宋体"/>
          <w:color w:val="auto"/>
          <w:sz w:val="21"/>
          <w:szCs w:val="21"/>
          <w:highlight w:val="none"/>
        </w:rPr>
        <w:t>向承包人提供合同款的支付担保。</w:t>
      </w:r>
    </w:p>
    <w:p>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 承包人</w:t>
      </w:r>
      <w:bookmarkEnd w:id="398"/>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3.1 承包人的一般义务</w:t>
      </w:r>
    </w:p>
    <w:p>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kern w:val="0"/>
          <w:sz w:val="21"/>
          <w:szCs w:val="21"/>
          <w:highlight w:val="none"/>
        </w:rPr>
        <w:t>（9）</w:t>
      </w:r>
      <w:r>
        <w:rPr>
          <w:rFonts w:hint="eastAsia" w:ascii="宋体" w:hAnsi="宋体" w:cs="宋体"/>
          <w:color w:val="auto"/>
          <w:sz w:val="21"/>
          <w:szCs w:val="21"/>
          <w:highlight w:val="none"/>
        </w:rPr>
        <w:t>承包人应在具备竣工验收合格条件后2个月内按宁波市奉化区城建档案归档要求向发包人提交竣工资料，至少包括纸质及电子资料各3套，为此产生的费用由承包人承担。</w:t>
      </w:r>
    </w:p>
    <w:p>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3.2 项目经理</w:t>
      </w:r>
    </w:p>
    <w:p>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项目经理姓名：</w:t>
      </w:r>
      <w:r>
        <w:rPr>
          <w:rFonts w:hint="eastAsia" w:hAnsi="宋体" w:cs="宋体"/>
          <w:color w:val="auto"/>
          <w:sz w:val="21"/>
          <w:szCs w:val="21"/>
          <w:highlight w:val="none"/>
          <w:u w:val="single"/>
          <w:lang w:val="en-US" w:eastAsia="zh-CN"/>
        </w:rPr>
        <w:t xml:space="preserve">                      </w:t>
      </w:r>
    </w:p>
    <w:p>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lang w:val="en-US" w:eastAsia="zh-CN"/>
        </w:rPr>
        <w:t xml:space="preserve">                      </w:t>
      </w:r>
    </w:p>
    <w:p>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安全员姓名：</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p>
    <w:p>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3.2.1承包人委派的项目</w:t>
      </w:r>
      <w:r>
        <w:rPr>
          <w:rFonts w:hint="eastAsia" w:ascii="宋体" w:hAnsi="宋体" w:cs="宋体"/>
          <w:color w:val="auto"/>
          <w:sz w:val="21"/>
          <w:szCs w:val="21"/>
          <w:highlight w:val="none"/>
        </w:rPr>
        <w:t>经理</w:t>
      </w:r>
      <w:r>
        <w:rPr>
          <w:rFonts w:hint="eastAsia" w:ascii="宋体" w:hAnsi="宋体" w:cs="宋体"/>
          <w:color w:val="auto"/>
          <w:kern w:val="0"/>
          <w:sz w:val="21"/>
          <w:szCs w:val="21"/>
          <w:highlight w:val="none"/>
        </w:rPr>
        <w:t>及其执业行为应遵守通用条款约定，违反约定的，按本专用条款约定，承担违约责任。</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（2）承包人对项目经理的授权范围如下：在承</w:t>
      </w:r>
      <w:r>
        <w:rPr>
          <w:rFonts w:hint="eastAsia" w:ascii="宋体" w:hAnsi="宋体" w:cs="宋体"/>
          <w:color w:val="auto"/>
          <w:kern w:val="0"/>
          <w:sz w:val="21"/>
          <w:szCs w:val="21"/>
          <w:highlight w:val="none"/>
        </w:rPr>
        <w:t>包人授权范围内履行承包人的职权，对工程建设的质量、安全、工期以及工程造价控制负责，所有上报给发包人的文件均需项目经理签字。</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（3）承包人未提交劳动合同，以及没有为项目经理缴纳社会保险证明的违约责任：发包人有权解除合同，由此造成的费用增加和工期延误损失均由承包人承担。</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（4）关于项目经理每月在施工现场的时间要求：每月在施工现场时间不得少于</w:t>
      </w:r>
      <w:r>
        <w:rPr>
          <w:rFonts w:hint="eastAsia" w:ascii="宋体" w:hAnsi="宋体" w:cs="宋体"/>
          <w:color w:val="auto"/>
          <w:kern w:val="0"/>
          <w:sz w:val="21"/>
          <w:szCs w:val="21"/>
          <w:highlight w:val="none"/>
          <w:u w:val="single"/>
        </w:rPr>
        <w:t xml:space="preserve"> 25</w:t>
      </w:r>
      <w:r>
        <w:rPr>
          <w:rFonts w:hint="eastAsia" w:ascii="宋体" w:hAnsi="宋体" w:cs="宋体"/>
          <w:color w:val="auto"/>
          <w:kern w:val="0"/>
          <w:sz w:val="21"/>
          <w:szCs w:val="21"/>
          <w:highlight w:val="none"/>
        </w:rPr>
        <w:t>天，每天工作时间不得少于</w:t>
      </w:r>
      <w:r>
        <w:rPr>
          <w:rFonts w:hint="eastAsia" w:ascii="宋体" w:hAnsi="宋体" w:cs="宋体"/>
          <w:color w:val="auto"/>
          <w:kern w:val="0"/>
          <w:sz w:val="21"/>
          <w:szCs w:val="21"/>
          <w:highlight w:val="none"/>
          <w:u w:val="single"/>
        </w:rPr>
        <w:t xml:space="preserve"> 8 </w:t>
      </w:r>
      <w:r>
        <w:rPr>
          <w:rFonts w:hint="eastAsia" w:ascii="宋体" w:hAnsi="宋体" w:cs="宋体"/>
          <w:color w:val="auto"/>
          <w:kern w:val="0"/>
          <w:sz w:val="21"/>
          <w:szCs w:val="21"/>
          <w:highlight w:val="none"/>
        </w:rPr>
        <w:t>小时，且重要工程例会及验收环节等必须由项目经理参加。</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（5）项目经理未经批准，擅自离开施工现场的违约责任：处违约金</w:t>
      </w:r>
      <w:r>
        <w:rPr>
          <w:rFonts w:hint="eastAsia" w:ascii="宋体" w:hAnsi="宋体" w:cs="宋体"/>
          <w:color w:val="auto"/>
          <w:kern w:val="0"/>
          <w:sz w:val="21"/>
          <w:szCs w:val="21"/>
          <w:highlight w:val="none"/>
          <w:u w:val="single"/>
        </w:rPr>
        <w:t>1000</w:t>
      </w:r>
      <w:r>
        <w:rPr>
          <w:rFonts w:hint="eastAsia" w:ascii="宋体" w:hAnsi="宋体" w:cs="宋体"/>
          <w:color w:val="auto"/>
          <w:kern w:val="0"/>
          <w:sz w:val="21"/>
          <w:szCs w:val="21"/>
          <w:highlight w:val="none"/>
        </w:rPr>
        <w:t>元/次，违约金从投标函附录中承诺的“未履行项目经理及主要施工管理人员到场承诺违约金限额”中扣除，该项限额不足时，发包人有权向承包人追偿。</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发包人对项目经理擅自离开施工现场的违约处理，应根据监理人对项目经理的考勤结果进行。</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3.2.3 承包人擅自更换项目经理的违约责任：处违约金</w:t>
      </w:r>
      <w:r>
        <w:rPr>
          <w:rFonts w:hint="eastAsia" w:ascii="宋体" w:hAnsi="宋体" w:cs="宋体"/>
          <w:color w:val="auto"/>
          <w:kern w:val="0"/>
          <w:sz w:val="21"/>
          <w:szCs w:val="21"/>
          <w:highlight w:val="none"/>
          <w:u w:val="single"/>
        </w:rPr>
        <w:t xml:space="preserve"> 10000 </w:t>
      </w:r>
      <w:r>
        <w:rPr>
          <w:rFonts w:hint="eastAsia" w:ascii="宋体" w:hAnsi="宋体" w:cs="宋体"/>
          <w:color w:val="auto"/>
          <w:kern w:val="0"/>
          <w:sz w:val="21"/>
          <w:szCs w:val="21"/>
          <w:highlight w:val="none"/>
        </w:rPr>
        <w:t>元/次，违约金从投标函附录中承诺的“未履行项目经理及主要施工管理人员到场承诺违约金限额”中扣除，该项限额不足时，发包人有权向承包人追偿，且有权拒绝接受其擅自更换的项目经理。</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投标函附录中承诺的“未履行项目经理及主要施工管理人员到场承诺违约金限额”。情节严重的，发包人有权解除合同，由此造成的一切损失由承包人承担。</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3.3 承包人人员</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3.3.1 承包人应接到开工通知后7天内提交与</w:t>
      </w:r>
      <w:r>
        <w:rPr>
          <w:rFonts w:hint="eastAsia" w:ascii="宋体" w:hAnsi="宋体" w:cs="宋体"/>
          <w:color w:val="auto"/>
          <w:sz w:val="21"/>
          <w:szCs w:val="21"/>
          <w:highlight w:val="none"/>
        </w:rPr>
        <w:t>投标时所承诺的人员一致的</w:t>
      </w:r>
      <w:r>
        <w:rPr>
          <w:rFonts w:hint="eastAsia" w:ascii="宋体" w:hAnsi="宋体" w:cs="宋体"/>
          <w:color w:val="auto"/>
          <w:kern w:val="0"/>
          <w:sz w:val="21"/>
          <w:szCs w:val="21"/>
          <w:highlight w:val="none"/>
        </w:rPr>
        <w:t>项目管理机构及施工现场管理人员安排报告。</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投标函附录中承诺中的“未履行项目经理及主要施工管理人员到场承诺违约金限额”。</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3.3.5 承包人擅自更换主要施工管理人员的违约责任：处违约金5000元/人/次，违约金从投标函附录中承诺中的“未履行项目经理及主要施工管理人员到场承诺违约金限额”中扣除，该项限额不足时，发包人有权向承包人追偿，且有权拒绝接受其擅自更换的主要施工管理人员。</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主要施工管理人员擅自离开施工现场的违约责任：处违约金2000元/人/次，违约金从投标函附录中承诺的“未履行项目经理及主要施工管理人员到场承诺违约金限额”中扣除，该项限额不足时，发包人有权向承包人追偿。</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3.5 分包</w:t>
      </w:r>
    </w:p>
    <w:p>
      <w:pPr>
        <w:pStyle w:val="67"/>
        <w:spacing w:before="120" w:line="450" w:lineRule="exact"/>
        <w:ind w:firstLine="399" w:firstLineChars="190"/>
        <w:rPr>
          <w:rFonts w:hint="eastAsia" w:hAnsi="宋体" w:cs="宋体"/>
          <w:b w:val="0"/>
          <w:bCs/>
          <w:color w:val="auto"/>
          <w:kern w:val="0"/>
          <w:sz w:val="21"/>
          <w:szCs w:val="21"/>
          <w:highlight w:val="none"/>
        </w:rPr>
      </w:pPr>
      <w:r>
        <w:rPr>
          <w:rFonts w:hint="eastAsia" w:hAnsi="宋体" w:cs="宋体"/>
          <w:b w:val="0"/>
          <w:bCs/>
          <w:color w:val="auto"/>
          <w:kern w:val="0"/>
          <w:sz w:val="21"/>
          <w:szCs w:val="21"/>
          <w:highlight w:val="none"/>
        </w:rPr>
        <w:t>不允许。</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3.6 工程照管与成品、半成品保护</w:t>
      </w:r>
    </w:p>
    <w:p>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工程照管与成品、半成品保护有关约定：执行通用条款。</w:t>
      </w:r>
    </w:p>
    <w:p>
      <w:pPr>
        <w:pStyle w:val="67"/>
        <w:spacing w:before="120" w:line="450" w:lineRule="exact"/>
        <w:ind w:firstLine="401" w:firstLineChars="190"/>
        <w:rPr>
          <w:rFonts w:hint="eastAsia" w:hAnsi="宋体" w:cs="宋体"/>
          <w:color w:val="auto"/>
          <w:sz w:val="21"/>
          <w:szCs w:val="21"/>
          <w:highlight w:val="none"/>
        </w:rPr>
      </w:pPr>
      <w:bookmarkStart w:id="399" w:name="_Toc364853227"/>
      <w:r>
        <w:rPr>
          <w:rFonts w:hint="eastAsia" w:hAnsi="宋体" w:cs="宋体"/>
          <w:color w:val="auto"/>
          <w:sz w:val="21"/>
          <w:szCs w:val="21"/>
          <w:highlight w:val="none"/>
        </w:rPr>
        <w:t>3.7 履约担保</w:t>
      </w:r>
    </w:p>
    <w:p>
      <w:pPr>
        <w:pStyle w:val="67"/>
        <w:spacing w:before="120" w:line="450" w:lineRule="exact"/>
        <w:ind w:left="120" w:hanging="105" w:hanging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（1）承包人提供的履约担保形式为</w:t>
      </w:r>
      <w:r>
        <w:rPr>
          <w:rFonts w:hint="eastAsia" w:hAnsi="宋体" w:cs="宋体"/>
          <w:b w:val="0"/>
          <w:color w:val="auto"/>
          <w:kern w:val="0"/>
          <w:sz w:val="21"/>
          <w:szCs w:val="21"/>
          <w:highlight w:val="none"/>
          <w:u w:val="single"/>
        </w:rPr>
        <w:t xml:space="preserve">  </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rPr>
        <w:t xml:space="preserve">（ A、履约保函；/  B、履约保证金电汇、/  </w:t>
      </w:r>
      <w:r>
        <w:rPr>
          <w:rFonts w:hint="eastAsia" w:hAnsi="宋体" w:cs="宋体"/>
          <w:b w:val="0"/>
          <w:color w:val="auto"/>
          <w:kern w:val="0"/>
          <w:sz w:val="21"/>
          <w:szCs w:val="21"/>
          <w:highlight w:val="none"/>
          <w:lang w:val="en-US" w:eastAsia="zh-CN"/>
        </w:rPr>
        <w:t>C</w:t>
      </w:r>
      <w:r>
        <w:rPr>
          <w:rFonts w:hint="eastAsia" w:hAnsi="宋体" w:cs="宋体"/>
          <w:b w:val="0"/>
          <w:color w:val="auto"/>
          <w:kern w:val="0"/>
          <w:sz w:val="21"/>
          <w:szCs w:val="21"/>
          <w:highlight w:val="none"/>
        </w:rPr>
        <w:t xml:space="preserve">、银行支票、/ </w:t>
      </w:r>
      <w:r>
        <w:rPr>
          <w:rFonts w:hint="eastAsia" w:hAnsi="宋体" w:cs="宋体"/>
          <w:b w:val="0"/>
          <w:color w:val="auto"/>
          <w:kern w:val="0"/>
          <w:sz w:val="21"/>
          <w:szCs w:val="21"/>
          <w:highlight w:val="none"/>
          <w:lang w:val="en-US" w:eastAsia="zh-CN"/>
        </w:rPr>
        <w:t>D</w:t>
      </w:r>
      <w:r>
        <w:rPr>
          <w:rFonts w:hint="eastAsia" w:hAnsi="宋体" w:cs="宋体"/>
          <w:b w:val="0"/>
          <w:color w:val="auto"/>
          <w:kern w:val="0"/>
          <w:sz w:val="21"/>
          <w:szCs w:val="21"/>
          <w:highlight w:val="none"/>
        </w:rPr>
        <w:t xml:space="preserve">、银行保函、/  </w:t>
      </w:r>
      <w:r>
        <w:rPr>
          <w:rFonts w:hint="eastAsia" w:hAnsi="宋体" w:cs="宋体"/>
          <w:b w:val="0"/>
          <w:color w:val="auto"/>
          <w:kern w:val="0"/>
          <w:sz w:val="21"/>
          <w:szCs w:val="21"/>
          <w:highlight w:val="none"/>
          <w:lang w:val="en-US" w:eastAsia="zh-CN"/>
        </w:rPr>
        <w:t>E</w:t>
      </w:r>
      <w:r>
        <w:rPr>
          <w:rFonts w:hint="eastAsia" w:hAnsi="宋体" w:cs="宋体"/>
          <w:b w:val="0"/>
          <w:color w:val="auto"/>
          <w:kern w:val="0"/>
          <w:sz w:val="21"/>
          <w:szCs w:val="21"/>
          <w:highlight w:val="none"/>
        </w:rPr>
        <w:t xml:space="preserve">、保险公司担保）。                </w:t>
      </w:r>
    </w:p>
    <w:p>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① 如提供履约保函的，将向发包人提供符合本合同附件6格式的履约保函一份。</w:t>
      </w:r>
    </w:p>
    <w:p>
      <w:pPr>
        <w:pStyle w:val="67"/>
        <w:spacing w:before="120" w:line="450" w:lineRule="exact"/>
        <w:ind w:left="554" w:leftChars="114" w:hanging="315" w:hangingChars="1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②提供履约保证金的，承包人在签订合同</w:t>
      </w:r>
      <w:r>
        <w:rPr>
          <w:rFonts w:hint="eastAsia" w:hAnsi="宋体" w:cs="宋体"/>
          <w:b w:val="0"/>
          <w:color w:val="auto"/>
          <w:kern w:val="0"/>
          <w:sz w:val="21"/>
          <w:szCs w:val="21"/>
          <w:highlight w:val="none"/>
          <w:lang w:eastAsia="zh-CN"/>
        </w:rPr>
        <w:t>的</w:t>
      </w:r>
      <w:r>
        <w:rPr>
          <w:rFonts w:hint="eastAsia" w:hAnsi="宋体" w:cs="宋体"/>
          <w:b w:val="0"/>
          <w:color w:val="auto"/>
          <w:kern w:val="0"/>
          <w:sz w:val="21"/>
          <w:szCs w:val="21"/>
          <w:highlight w:val="none"/>
          <w:lang w:val="en-US" w:eastAsia="zh-CN"/>
        </w:rPr>
        <w:t>同时</w:t>
      </w:r>
      <w:r>
        <w:rPr>
          <w:rFonts w:hint="eastAsia" w:hAnsi="宋体" w:cs="宋体"/>
          <w:b w:val="0"/>
          <w:color w:val="auto"/>
          <w:kern w:val="0"/>
          <w:sz w:val="21"/>
          <w:szCs w:val="21"/>
          <w:highlight w:val="none"/>
        </w:rPr>
        <w:t>向发包人提交合同价款的</w:t>
      </w:r>
      <w:r>
        <w:rPr>
          <w:rFonts w:hint="eastAsia" w:hAnsi="宋体" w:cs="宋体"/>
          <w:b w:val="0"/>
          <w:color w:val="auto"/>
          <w:kern w:val="0"/>
          <w:sz w:val="21"/>
          <w:szCs w:val="21"/>
          <w:highlight w:val="none"/>
          <w:lang w:val="en-US" w:eastAsia="zh-CN"/>
        </w:rPr>
        <w:t>2</w:t>
      </w:r>
      <w:r>
        <w:rPr>
          <w:rFonts w:hint="eastAsia" w:hAnsi="宋体" w:cs="宋体"/>
          <w:b w:val="0"/>
          <w:color w:val="auto"/>
          <w:kern w:val="0"/>
          <w:sz w:val="21"/>
          <w:szCs w:val="21"/>
          <w:highlight w:val="none"/>
        </w:rPr>
        <w:t>%</w:t>
      </w:r>
      <w:r>
        <w:rPr>
          <w:rFonts w:hint="eastAsia" w:hAnsi="宋体" w:cs="宋体"/>
          <w:b w:val="0"/>
          <w:color w:val="auto"/>
          <w:kern w:val="0"/>
          <w:sz w:val="21"/>
          <w:szCs w:val="21"/>
          <w:highlight w:val="none"/>
          <w:lang w:eastAsia="zh-CN"/>
        </w:rPr>
        <w:t>（即</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lang w:val="en-US" w:eastAsia="zh-CN"/>
        </w:rPr>
        <w:t>元</w:t>
      </w:r>
      <w:r>
        <w:rPr>
          <w:rFonts w:hint="eastAsia" w:hAnsi="宋体" w:cs="宋体"/>
          <w:b w:val="0"/>
          <w:color w:val="auto"/>
          <w:kern w:val="0"/>
          <w:sz w:val="21"/>
          <w:szCs w:val="21"/>
          <w:highlight w:val="none"/>
          <w:lang w:eastAsia="zh-CN"/>
        </w:rPr>
        <w:t>）</w:t>
      </w:r>
      <w:r>
        <w:rPr>
          <w:rFonts w:hint="eastAsia" w:hAnsi="宋体" w:cs="宋体"/>
          <w:b w:val="0"/>
          <w:color w:val="auto"/>
          <w:kern w:val="0"/>
          <w:sz w:val="21"/>
          <w:szCs w:val="21"/>
          <w:highlight w:val="none"/>
        </w:rPr>
        <w:t>的履约保证金；</w:t>
      </w:r>
    </w:p>
    <w:p>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（2）履约担保期限自合同生效之日起至发包人签认并由监理人向承包人出具工程接收证书之日止。</w:t>
      </w:r>
    </w:p>
    <w:p>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（4）履约担保在工程竣工验收合格后28天内予以退还。</w:t>
      </w:r>
    </w:p>
    <w:p>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color w:val="auto"/>
          <w:sz w:val="21"/>
          <w:szCs w:val="21"/>
          <w:highlight w:val="none"/>
        </w:rPr>
        <w:t>4. 监理人</w:t>
      </w:r>
      <w:bookmarkEnd w:id="399"/>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4.1监理人的一般规定</w:t>
      </w:r>
    </w:p>
    <w:p>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关于监理人的监理内容：工程建设监理合同授予监理人的权利。</w:t>
      </w:r>
    </w:p>
    <w:p>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关于监理人的监理权限：涉及费用、工期、图纸更改等工程变更指令和付款、暂停工程施工指令的下达权需取得发包人书面批准方可执行。 </w:t>
      </w:r>
    </w:p>
    <w:p>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关于监理人在施工现场的办公场所、生活场所的提供和费用承担的约定：执行通用条款。</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4.4 商定或确定</w:t>
      </w:r>
    </w:p>
    <w:p>
      <w:pPr>
        <w:spacing w:line="450" w:lineRule="exact"/>
        <w:ind w:firstLine="441" w:firstLineChars="210"/>
        <w:rPr>
          <w:rFonts w:hint="eastAsia" w:ascii="宋体" w:hAnsi="宋体" w:cs="宋体"/>
          <w:color w:val="auto"/>
          <w:kern w:val="0"/>
          <w:sz w:val="21"/>
          <w:szCs w:val="21"/>
          <w:highlight w:val="none"/>
        </w:rPr>
      </w:pPr>
      <w:bookmarkStart w:id="400" w:name="_Toc364853228"/>
      <w:r>
        <w:rPr>
          <w:rFonts w:hint="eastAsia" w:ascii="宋体" w:hAnsi="宋体" w:cs="宋体"/>
          <w:color w:val="auto"/>
          <w:kern w:val="0"/>
          <w:sz w:val="21"/>
          <w:szCs w:val="21"/>
          <w:highlight w:val="none"/>
        </w:rPr>
        <w:t>当合同当事人对需要商定或确定的事项不能达成一致时，总监理工程师应按照合同约定作出公正确定，应在合同当事人会商之日起 7 天内提供书面确定意见。</w:t>
      </w:r>
    </w:p>
    <w:p>
      <w:pPr>
        <w:spacing w:line="450" w:lineRule="exact"/>
        <w:ind w:firstLine="103" w:firstLineChars="49"/>
        <w:rPr>
          <w:rFonts w:hint="eastAsia" w:ascii="宋体" w:hAnsi="宋体" w:cs="宋体"/>
          <w:b/>
          <w:color w:val="auto"/>
          <w:kern w:val="0"/>
          <w:sz w:val="21"/>
          <w:szCs w:val="21"/>
          <w:highlight w:val="none"/>
        </w:rPr>
      </w:pPr>
      <w:r>
        <w:rPr>
          <w:rFonts w:hint="eastAsia" w:ascii="宋体" w:hAnsi="宋体" w:cs="宋体"/>
          <w:b/>
          <w:color w:val="auto"/>
          <w:sz w:val="21"/>
          <w:szCs w:val="21"/>
          <w:highlight w:val="none"/>
        </w:rPr>
        <w:t>5. 工程质量</w:t>
      </w:r>
      <w:bookmarkEnd w:id="400"/>
    </w:p>
    <w:p>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 质量要求:</w:t>
      </w:r>
      <w:r>
        <w:rPr>
          <w:rFonts w:hint="eastAsia" w:ascii="宋体" w:hAnsi="宋体" w:cs="宋体"/>
          <w:color w:val="auto"/>
          <w:kern w:val="0"/>
          <w:sz w:val="21"/>
          <w:szCs w:val="21"/>
          <w:highlight w:val="none"/>
          <w:u w:val="single"/>
        </w:rPr>
        <w:t>达到国家和行业施工验收规范一次性验收合格</w:t>
      </w:r>
    </w:p>
    <w:p>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5.1.1 特殊质量标准和要求：</w:t>
      </w:r>
      <w:r>
        <w:rPr>
          <w:rFonts w:hint="eastAsia" w:ascii="宋体" w:hAnsi="宋体" w:cs="宋体"/>
          <w:color w:val="auto"/>
          <w:kern w:val="0"/>
          <w:sz w:val="21"/>
          <w:szCs w:val="21"/>
          <w:highlight w:val="none"/>
          <w:u w:val="single"/>
        </w:rPr>
        <w:t xml:space="preserve">     无   </w:t>
      </w:r>
      <w:r>
        <w:rPr>
          <w:rFonts w:hint="eastAsia" w:ascii="宋体" w:hAnsi="宋体" w:cs="宋体"/>
          <w:color w:val="auto"/>
          <w:kern w:val="0"/>
          <w:sz w:val="21"/>
          <w:szCs w:val="21"/>
          <w:highlight w:val="none"/>
        </w:rPr>
        <w:t>。</w:t>
      </w:r>
    </w:p>
    <w:p>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5.3 隐蔽工程检查</w:t>
      </w:r>
    </w:p>
    <w:p>
      <w:pPr>
        <w:spacing w:line="450" w:lineRule="exact"/>
        <w:ind w:firstLine="441" w:firstLineChars="210"/>
        <w:rPr>
          <w:rFonts w:hint="eastAsia" w:ascii="宋体" w:hAnsi="宋体" w:cs="宋体"/>
          <w:color w:val="auto"/>
          <w:kern w:val="0"/>
          <w:sz w:val="21"/>
          <w:szCs w:val="21"/>
          <w:highlight w:val="none"/>
        </w:rPr>
      </w:pPr>
      <w:bookmarkStart w:id="401" w:name="_Toc364853229"/>
      <w:r>
        <w:rPr>
          <w:rFonts w:hint="eastAsia" w:ascii="宋体" w:hAnsi="宋体" w:cs="宋体"/>
          <w:color w:val="auto"/>
          <w:kern w:val="0"/>
          <w:sz w:val="21"/>
          <w:szCs w:val="21"/>
          <w:highlight w:val="none"/>
        </w:rPr>
        <w:t>5.3.2承包人提前通知监理人隐蔽工程检查的期限的约定：承包人应在共同检查前</w:t>
      </w:r>
      <w:r>
        <w:rPr>
          <w:rFonts w:hint="eastAsia" w:ascii="宋体" w:hAnsi="宋体" w:cs="宋体"/>
          <w:color w:val="auto"/>
          <w:kern w:val="0"/>
          <w:sz w:val="21"/>
          <w:szCs w:val="21"/>
          <w:highlight w:val="none"/>
          <w:u w:val="single"/>
        </w:rPr>
        <w:t xml:space="preserve">24 </w:t>
      </w:r>
      <w:r>
        <w:rPr>
          <w:rFonts w:hint="eastAsia" w:ascii="宋体" w:hAnsi="宋体" w:cs="宋体"/>
          <w:color w:val="auto"/>
          <w:kern w:val="0"/>
          <w:sz w:val="21"/>
          <w:szCs w:val="21"/>
          <w:highlight w:val="none"/>
        </w:rPr>
        <w:t>小时书面通知监理人检查。</w:t>
      </w:r>
    </w:p>
    <w:p>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监理人不能按时进行检查时，应提前</w:t>
      </w:r>
      <w:r>
        <w:rPr>
          <w:rFonts w:hint="eastAsia" w:ascii="宋体" w:hAnsi="宋体" w:cs="宋体"/>
          <w:color w:val="auto"/>
          <w:kern w:val="0"/>
          <w:sz w:val="21"/>
          <w:szCs w:val="21"/>
          <w:highlight w:val="none"/>
          <w:u w:val="single"/>
        </w:rPr>
        <w:t xml:space="preserve">  24 </w:t>
      </w:r>
      <w:r>
        <w:rPr>
          <w:rFonts w:hint="eastAsia" w:ascii="宋体" w:hAnsi="宋体" w:cs="宋体"/>
          <w:color w:val="auto"/>
          <w:kern w:val="0"/>
          <w:sz w:val="21"/>
          <w:szCs w:val="21"/>
          <w:highlight w:val="none"/>
        </w:rPr>
        <w:t>小时提交书面延期要求。延期最长不得超过：</w:t>
      </w:r>
      <w:r>
        <w:rPr>
          <w:rFonts w:hint="eastAsia" w:ascii="宋体" w:hAnsi="宋体" w:cs="宋体"/>
          <w:color w:val="auto"/>
          <w:kern w:val="0"/>
          <w:sz w:val="21"/>
          <w:szCs w:val="21"/>
          <w:highlight w:val="none"/>
          <w:u w:val="single"/>
        </w:rPr>
        <w:t xml:space="preserve"> 48</w:t>
      </w:r>
      <w:r>
        <w:rPr>
          <w:rFonts w:hint="eastAsia" w:ascii="宋体" w:hAnsi="宋体" w:cs="宋体"/>
          <w:color w:val="auto"/>
          <w:kern w:val="0"/>
          <w:sz w:val="21"/>
          <w:szCs w:val="21"/>
          <w:highlight w:val="none"/>
        </w:rPr>
        <w:t>小时。</w:t>
      </w:r>
    </w:p>
    <w:p>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 安全文明施工与环境保护</w:t>
      </w:r>
      <w:bookmarkEnd w:id="401"/>
    </w:p>
    <w:p>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6.1安全文明施工</w:t>
      </w:r>
    </w:p>
    <w:p>
      <w:pPr>
        <w:spacing w:line="450" w:lineRule="exact"/>
        <w:ind w:firstLine="420" w:firstLineChars="200"/>
        <w:rPr>
          <w:rFonts w:hint="eastAsia" w:ascii="宋体" w:hAnsi="宋体" w:cs="宋体"/>
          <w:color w:val="auto"/>
          <w:kern w:val="0"/>
          <w:sz w:val="21"/>
          <w:szCs w:val="21"/>
          <w:highlight w:val="none"/>
        </w:rPr>
      </w:pPr>
      <w:bookmarkStart w:id="402" w:name="_Toc364853230"/>
      <w:r>
        <w:rPr>
          <w:rFonts w:hint="eastAsia" w:ascii="宋体" w:hAnsi="宋体" w:cs="宋体"/>
          <w:color w:val="auto"/>
          <w:kern w:val="0"/>
          <w:sz w:val="21"/>
          <w:szCs w:val="21"/>
          <w:highlight w:val="none"/>
        </w:rPr>
        <w:t>6.1.1 项目安全生产的达标目标及相应事项的约定：</w:t>
      </w:r>
      <w:r>
        <w:rPr>
          <w:rFonts w:hint="eastAsia" w:ascii="宋体" w:hAnsi="宋体" w:cs="宋体"/>
          <w:color w:val="auto"/>
          <w:sz w:val="21"/>
          <w:szCs w:val="21"/>
          <w:highlight w:val="none"/>
          <w:u w:val="single"/>
        </w:rPr>
        <w:t>合格</w:t>
      </w:r>
      <w:r>
        <w:rPr>
          <w:rFonts w:hint="eastAsia" w:ascii="宋体" w:hAnsi="宋体" w:cs="宋体"/>
          <w:color w:val="auto"/>
          <w:kern w:val="0"/>
          <w:sz w:val="21"/>
          <w:szCs w:val="21"/>
          <w:highlight w:val="none"/>
        </w:rPr>
        <w:t>。</w:t>
      </w:r>
    </w:p>
    <w:p>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施工期间由于承包人违反安全操作规范，发生重大死亡及其它事故，发包人将根据事故的严重程度对承包人予以处罚；被政府部门处罚的，承包人承担一切责任。</w:t>
      </w:r>
    </w:p>
    <w:p>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6.1.1.1 承包方未履行安全文明施工发生以下情况之一的，视为承包方未履行安全生产文明施工违约，承包方须支付合同价款的1% 给发包方：</w:t>
      </w:r>
    </w:p>
    <w:p>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(1)未达到合同要求的安全等级要求（安全等级以宁波市奉化区住房和城乡建设局文件和上级文件为准）；</w:t>
      </w:r>
    </w:p>
    <w:p>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（2）在施工期间，施工单位发生事故等级为一般事故及以上生产安全责任事故（事故等级和责任按按国务院第493号令和行政部门的事故调查报告认定）；</w:t>
      </w:r>
    </w:p>
    <w:p>
      <w:pPr>
        <w:spacing w:line="450" w:lineRule="exact"/>
        <w:ind w:firstLine="422" w:firstLineChars="200"/>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 xml:space="preserve"> （3）在施工期间，发现承包方现场管理混乱，安全隐患整改不力，对发包方、监理单位及上级部门提出的安全隐患整改不到位，被认定为三次及以上的。</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6.1.4 关于治安保卫的特别约定：执行通用条款。</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6.1.5文明施工应按《宁波市建设工程文明施工管理规定》文件要求执行。</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6.1.6 关于安全文明施工费相关约定：</w:t>
      </w:r>
      <w:r>
        <w:rPr>
          <w:rFonts w:hint="eastAsia" w:ascii="宋体" w:hAnsi="Calibri" w:eastAsia="宋体" w:cs="Times New Roman"/>
          <w:b w:val="0"/>
          <w:bCs w:val="0"/>
          <w:color w:val="auto"/>
          <w:szCs w:val="21"/>
          <w:highlight w:val="none"/>
          <w:lang w:eastAsia="zh-CN"/>
        </w:rPr>
        <w:t>市区一般工程考虑</w:t>
      </w:r>
      <w:r>
        <w:rPr>
          <w:rFonts w:hint="eastAsia" w:ascii="宋体" w:eastAsia="宋体" w:cs="Times New Roman"/>
          <w:b w:val="0"/>
          <w:bCs w:val="0"/>
          <w:color w:val="auto"/>
          <w:szCs w:val="21"/>
          <w:highlight w:val="none"/>
          <w:lang w:eastAsia="zh-CN"/>
        </w:rPr>
        <w:t>。</w:t>
      </w:r>
    </w:p>
    <w:p>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 工期和进度</w:t>
      </w:r>
      <w:bookmarkEnd w:id="402"/>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7.1 施工组织设计</w:t>
      </w:r>
    </w:p>
    <w:p>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7.1.1 合同当事人约定的施工组织设计应包括的其他内容：</w:t>
      </w:r>
      <w:r>
        <w:rPr>
          <w:rFonts w:hint="eastAsia" w:ascii="宋体" w:hAnsi="宋体" w:cs="宋体"/>
          <w:color w:val="auto"/>
          <w:kern w:val="0"/>
          <w:sz w:val="21"/>
          <w:szCs w:val="21"/>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 w:val="21"/>
          <w:szCs w:val="21"/>
          <w:highlight w:val="none"/>
        </w:rPr>
        <w:t>。</w:t>
      </w:r>
    </w:p>
    <w:p>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7.1.2 施工组织设计的提交和修改：按通用条款约定执行。</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7.2 施工进度计划</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施工进度计划的编制和修订：按通用条款约定执行。</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7.3 开工</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7.3.1 开工准备</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关于承包人提交工程开工报审表的期限：按第7.1款[施工组织设计]约定的时间。</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关于发包人应完成的其他开工准备工作及期限：在第7.3.2项[开工通知]载明的开工日期前7天获得开工所需的各项行政审批和许可手续。</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关于承包人应完成的其他开工准备工作及期限： 在第7.3.2项[开工通知]载明的开工日期前7天签订材料、工程设备、周转材料等的采购合同，确定劳动力、材料、机械的进场安排。</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7.3.2 开工通知</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因发包人原因造成监理人未能在通用条款规定的期限内发出开工通知的，承包人有权提出价格调整要求，或者解除合同。</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7.4 测量放线</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7.4.1 发包人通过监理人向承包人提供测量基准点、基准线和水准点及其书面资料的期限：不得晚于在第7.3.2项[开工通知]载明的开工日期前7天。</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7.5 工期延误</w:t>
      </w:r>
    </w:p>
    <w:p>
      <w:pPr>
        <w:pStyle w:val="67"/>
        <w:spacing w:before="120" w:line="450" w:lineRule="exact"/>
        <w:ind w:firstLine="401" w:firstLineChars="190"/>
        <w:rPr>
          <w:rFonts w:hint="eastAsia" w:hAnsi="宋体" w:cs="宋体"/>
          <w:b w:val="0"/>
          <w:color w:val="auto"/>
          <w:sz w:val="21"/>
          <w:szCs w:val="21"/>
          <w:highlight w:val="none"/>
        </w:rPr>
      </w:pPr>
      <w:r>
        <w:rPr>
          <w:rFonts w:hint="eastAsia" w:hAnsi="宋体" w:cs="宋体"/>
          <w:color w:val="auto"/>
          <w:sz w:val="21"/>
          <w:szCs w:val="21"/>
          <w:highlight w:val="none"/>
        </w:rPr>
        <w:t xml:space="preserve">7.5.1 </w:t>
      </w:r>
      <w:r>
        <w:rPr>
          <w:rFonts w:hint="eastAsia" w:hAnsi="宋体" w:cs="宋体"/>
          <w:b w:val="0"/>
          <w:color w:val="auto"/>
          <w:sz w:val="21"/>
          <w:szCs w:val="21"/>
          <w:highlight w:val="none"/>
        </w:rPr>
        <w:t>因发包人原因导致工期延误</w:t>
      </w:r>
    </w:p>
    <w:p>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sz w:val="21"/>
          <w:szCs w:val="21"/>
          <w:highlight w:val="none"/>
        </w:rPr>
        <w:t>（7）因发包人原因导致工期延误的其他情形：</w:t>
      </w:r>
      <w:r>
        <w:rPr>
          <w:rFonts w:hint="eastAsia" w:hAnsi="宋体" w:cs="宋体"/>
          <w:b w:val="0"/>
          <w:color w:val="auto"/>
          <w:sz w:val="21"/>
          <w:szCs w:val="21"/>
          <w:highlight w:val="none"/>
          <w:u w:val="single"/>
        </w:rPr>
        <w:t xml:space="preserve">  无  </w:t>
      </w:r>
      <w:r>
        <w:rPr>
          <w:rFonts w:hint="eastAsia" w:hAnsi="宋体" w:cs="宋体"/>
          <w:b w:val="0"/>
          <w:color w:val="auto"/>
          <w:sz w:val="21"/>
          <w:szCs w:val="21"/>
          <w:highlight w:val="none"/>
        </w:rPr>
        <w:t>。</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7.5.2 因承包人原因导致工期延误</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因承包人原因造成工期延误，逾期竣工违约金的计算方法根据“投标函附录”承诺确定，为</w:t>
      </w:r>
      <w:r>
        <w:rPr>
          <w:rFonts w:hint="eastAsia" w:ascii="宋体" w:hAnsi="宋体" w:cs="宋体"/>
          <w:color w:val="auto"/>
          <w:kern w:val="0"/>
          <w:sz w:val="21"/>
          <w:szCs w:val="21"/>
          <w:highlight w:val="none"/>
          <w:u w:val="single"/>
          <w:lang w:val="en-US" w:eastAsia="zh-CN"/>
        </w:rPr>
        <w:t>1</w:t>
      </w:r>
      <w:r>
        <w:rPr>
          <w:rFonts w:hint="eastAsia" w:ascii="宋体" w:hAnsi="宋体" w:cs="宋体"/>
          <w:color w:val="auto"/>
          <w:kern w:val="0"/>
          <w:sz w:val="21"/>
          <w:szCs w:val="21"/>
          <w:highlight w:val="none"/>
          <w:u w:val="single"/>
        </w:rPr>
        <w:t>000</w:t>
      </w:r>
      <w:r>
        <w:rPr>
          <w:rFonts w:hint="eastAsia" w:ascii="宋体" w:hAnsi="宋体" w:cs="宋体"/>
          <w:color w:val="auto"/>
          <w:kern w:val="0"/>
          <w:sz w:val="21"/>
          <w:szCs w:val="21"/>
          <w:highlight w:val="none"/>
        </w:rPr>
        <w:t>元/天。</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因承包人原因造成工期延误，逾期竣工违约金的上限根据“投标函附录”承诺确定，为合同价款的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2</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7.6 不利物质条件</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不利物质条件的其他情形和有关约定：地勘资料未设计的地下管道、地雷、岩层等，但不包括气候条件。</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7.7异常恶劣的气候条件</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发包人和承包人同意以下情形视为异常恶劣的气候条件：</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（1）12小时内降雨量达到50mm以上；</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（2）风速达到8级及以上的热带风暴（或台风）；</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（3）日最高气温超过38度或低于零下10度；</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（4）造成工程损坏的冰雹和12小时内降雪量达到4mm及以上的大雪灾害。</w:t>
      </w:r>
    </w:p>
    <w:p>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（5）政府有关部门通知停工的其它恶劣气候条件。</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7.9 提前竣工的奖励</w:t>
      </w:r>
    </w:p>
    <w:p>
      <w:pPr>
        <w:autoSpaceDE w:val="0"/>
        <w:autoSpaceDN w:val="0"/>
        <w:adjustRightInd w:val="0"/>
        <w:spacing w:line="450" w:lineRule="exact"/>
        <w:ind w:left="630" w:leftChars="200" w:hanging="210" w:hangingChars="1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7.9.2 提前竣工的奖励：根据“投标函附录”承诺，提前竣工奖励为</w:t>
      </w:r>
      <w:r>
        <w:rPr>
          <w:rFonts w:hint="eastAsia" w:ascii="宋体" w:hAnsi="宋体" w:cs="宋体"/>
          <w:color w:val="auto"/>
          <w:kern w:val="0"/>
          <w:sz w:val="21"/>
          <w:szCs w:val="21"/>
          <w:highlight w:val="none"/>
          <w:u w:val="single"/>
        </w:rPr>
        <w:t xml:space="preserve">  0 </w:t>
      </w:r>
      <w:r>
        <w:rPr>
          <w:rFonts w:hint="eastAsia" w:ascii="宋体" w:hAnsi="宋体" w:cs="宋体"/>
          <w:color w:val="auto"/>
          <w:kern w:val="0"/>
          <w:sz w:val="21"/>
          <w:szCs w:val="21"/>
          <w:highlight w:val="none"/>
        </w:rPr>
        <w:t>元/天。</w:t>
      </w:r>
      <w:bookmarkStart w:id="403" w:name="_Toc364853231"/>
    </w:p>
    <w:p>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 材料与设备</w:t>
      </w:r>
      <w:bookmarkEnd w:id="403"/>
    </w:p>
    <w:p>
      <w:pPr>
        <w:pStyle w:val="67"/>
        <w:spacing w:before="120" w:line="450" w:lineRule="exact"/>
        <w:ind w:firstLine="310" w:firstLineChars="147"/>
        <w:rPr>
          <w:rFonts w:hint="eastAsia" w:hAnsi="宋体" w:cs="宋体"/>
          <w:color w:val="auto"/>
          <w:sz w:val="21"/>
          <w:szCs w:val="21"/>
          <w:highlight w:val="none"/>
        </w:rPr>
      </w:pPr>
      <w:r>
        <w:rPr>
          <w:rFonts w:hint="eastAsia" w:hAnsi="宋体" w:cs="宋体"/>
          <w:color w:val="auto"/>
          <w:sz w:val="21"/>
          <w:szCs w:val="21"/>
          <w:highlight w:val="none"/>
        </w:rPr>
        <w:t xml:space="preserve"> 8.2承包人采购材料与工程设备</w:t>
      </w:r>
    </w:p>
    <w:p>
      <w:pPr>
        <w:pStyle w:val="67"/>
        <w:spacing w:before="120" w:line="450" w:lineRule="exact"/>
        <w:ind w:firstLine="480"/>
        <w:rPr>
          <w:rFonts w:hint="eastAsia" w:hAnsi="宋体" w:cs="宋体"/>
          <w:b w:val="0"/>
          <w:color w:val="auto"/>
          <w:sz w:val="21"/>
          <w:szCs w:val="21"/>
          <w:highlight w:val="none"/>
        </w:rPr>
      </w:pPr>
      <w:r>
        <w:rPr>
          <w:rFonts w:hint="eastAsia" w:hAnsi="宋体" w:cs="宋体"/>
          <w:b w:val="0"/>
          <w:color w:val="auto"/>
          <w:sz w:val="21"/>
          <w:szCs w:val="21"/>
          <w:highlight w:val="none"/>
        </w:rPr>
        <w:t>承包人负责采购材料、工程设备的，应按照设计和有关标准要求采购，并提供产品合格证明及出厂证明，对材料、工程设备质量负责。</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8.4材料与工程设备的保管与使用</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bookmarkStart w:id="404" w:name="_Toc292559373"/>
      <w:bookmarkStart w:id="405" w:name="_Toc292559878"/>
      <w:r>
        <w:rPr>
          <w:rFonts w:hint="eastAsia" w:ascii="宋体" w:hAnsi="宋体" w:cs="宋体"/>
          <w:color w:val="auto"/>
          <w:kern w:val="0"/>
          <w:sz w:val="21"/>
          <w:szCs w:val="21"/>
          <w:highlight w:val="none"/>
        </w:rPr>
        <w:t>.4.1保管费用承担：执行通用条款。</w:t>
      </w:r>
      <w:bookmarkEnd w:id="404"/>
      <w:bookmarkEnd w:id="405"/>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8.8 施工设备和临时设施</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8.8.1 承包人提供的施工设备和临时设施</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关于修建临时设施费用承担的约定：执行通用条款。</w:t>
      </w:r>
      <w:bookmarkStart w:id="406" w:name="_Toc364853232"/>
    </w:p>
    <w:bookmarkEnd w:id="406"/>
    <w:p>
      <w:pPr>
        <w:pStyle w:val="6"/>
        <w:spacing w:line="450" w:lineRule="exact"/>
        <w:ind w:firstLine="211" w:firstLineChars="100"/>
        <w:rPr>
          <w:rFonts w:hint="eastAsia" w:ascii="宋体" w:hAnsi="宋体" w:cs="宋体"/>
          <w:color w:val="auto"/>
          <w:sz w:val="21"/>
          <w:szCs w:val="21"/>
          <w:highlight w:val="none"/>
        </w:rPr>
      </w:pPr>
      <w:bookmarkStart w:id="407" w:name="_Toc364853233"/>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 变更</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10</w:t>
      </w:r>
      <w:r>
        <w:rPr>
          <w:rFonts w:hint="eastAsia" w:hAnsi="宋体" w:cs="宋体"/>
          <w:color w:val="auto"/>
          <w:sz w:val="21"/>
          <w:szCs w:val="21"/>
          <w:highlight w:val="none"/>
        </w:rPr>
        <w:t>.1变更的范围</w:t>
      </w:r>
    </w:p>
    <w:p>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合同双方当事人约定：合同履行过程中发生以下情形时，应按照本条约定进行合同变更。</w:t>
      </w:r>
    </w:p>
    <w:p>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1）、法律法规以及政府主管部门的政策性调整；</w:t>
      </w:r>
    </w:p>
    <w:p>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2）、增加或减少合同中任何工作，或追加额外的工作；</w:t>
      </w:r>
    </w:p>
    <w:p>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3）、取消合同中任何工作，但转由他人实施的工作除外；</w:t>
      </w:r>
    </w:p>
    <w:p>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4)、改变合同中任何工作的质量标准或其他特性；</w:t>
      </w:r>
    </w:p>
    <w:p>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5)、改变工程的基线、标高、位置和尺寸；</w:t>
      </w:r>
    </w:p>
    <w:p>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6)、改变工程的时间安排或实施顺序。</w:t>
      </w:r>
    </w:p>
    <w:p>
      <w:pPr>
        <w:shd w:val="clear"/>
        <w:spacing w:line="450" w:lineRule="exact"/>
        <w:ind w:firstLine="422" w:firstLineChars="200"/>
        <w:rPr>
          <w:rFonts w:hint="eastAsia" w:ascii="宋体" w:hAnsi="宋体" w:eastAsia="宋体" w:cs="宋体"/>
          <w:b/>
          <w:color w:val="auto"/>
          <w:kern w:val="2"/>
          <w:sz w:val="21"/>
          <w:szCs w:val="21"/>
          <w:highlight w:val="none"/>
          <w:lang w:val="en-US" w:eastAsia="zh-CN" w:bidi="ar-SA"/>
        </w:rPr>
      </w:pPr>
    </w:p>
    <w:p>
      <w:pPr>
        <w:shd w:val="clear"/>
        <w:spacing w:line="450" w:lineRule="exact"/>
        <w:ind w:firstLine="422" w:firstLineChars="200"/>
        <w:rPr>
          <w:rFonts w:hint="eastAsia" w:ascii="宋体" w:hAnsi="宋体" w:eastAsia="宋体" w:cs="宋体"/>
          <w:b/>
          <w:color w:val="auto"/>
          <w:kern w:val="2"/>
          <w:sz w:val="21"/>
          <w:szCs w:val="21"/>
          <w:highlight w:val="none"/>
          <w:lang w:val="en-US" w:eastAsia="zh-CN" w:bidi="ar-SA"/>
        </w:rPr>
      </w:pPr>
    </w:p>
    <w:p>
      <w:pPr>
        <w:shd w:val="clear"/>
        <w:spacing w:line="450" w:lineRule="exact"/>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10.4</w:t>
      </w:r>
      <w:r>
        <w:rPr>
          <w:rFonts w:hint="eastAsia" w:ascii="宋体" w:hAnsi="宋体" w:eastAsia="宋体" w:cs="宋体"/>
          <w:b/>
          <w:color w:val="auto"/>
          <w:kern w:val="2"/>
          <w:sz w:val="21"/>
          <w:szCs w:val="21"/>
          <w:highlight w:val="none"/>
          <w:lang w:val="en-US" w:eastAsia="zh-CN" w:bidi="ar-SA"/>
        </w:rPr>
        <w:t>变更估价</w:t>
      </w:r>
    </w:p>
    <w:p>
      <w:pPr>
        <w:shd w:val="clear"/>
        <w:spacing w:line="45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10.4.1</w:t>
      </w:r>
      <w:r>
        <w:rPr>
          <w:rFonts w:hint="eastAsia" w:ascii="宋体" w:hAnsi="宋体" w:eastAsia="宋体" w:cs="宋体"/>
          <w:color w:val="auto"/>
          <w:kern w:val="0"/>
          <w:szCs w:val="21"/>
          <w:highlight w:val="none"/>
        </w:rPr>
        <w:t>变更估价原则</w:t>
      </w:r>
    </w:p>
    <w:p>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10.4.1.1</w:t>
      </w:r>
      <w:r>
        <w:rPr>
          <w:rFonts w:hint="eastAsia" w:ascii="宋体" w:hAnsi="宋体" w:cs="宋体"/>
          <w:color w:val="auto"/>
          <w:kern w:val="0"/>
          <w:szCs w:val="21"/>
          <w:highlight w:val="none"/>
        </w:rPr>
        <w:t>关于变更估价的约定：</w:t>
      </w:r>
    </w:p>
    <w:p>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（1）工程预算书有相同项目的，按照相同项目单价结合</w:t>
      </w:r>
      <w:r>
        <w:rPr>
          <w:rFonts w:hint="eastAsia" w:ascii="宋体" w:hAnsi="宋体" w:cs="宋体"/>
          <w:b/>
          <w:color w:val="auto"/>
          <w:kern w:val="0"/>
          <w:szCs w:val="21"/>
          <w:highlight w:val="none"/>
        </w:rPr>
        <w:t>综合折扣率</w:t>
      </w:r>
      <w:r>
        <w:rPr>
          <w:rFonts w:hint="eastAsia" w:ascii="宋体" w:hAnsi="宋体" w:cs="宋体"/>
          <w:color w:val="auto"/>
          <w:kern w:val="0"/>
          <w:szCs w:val="21"/>
          <w:highlight w:val="none"/>
        </w:rPr>
        <w:t>认定；</w:t>
      </w:r>
    </w:p>
    <w:p>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（2）工程预算书中无相同项目，但有类似项目的，参照类似项目单价结合</w:t>
      </w:r>
      <w:r>
        <w:rPr>
          <w:rFonts w:hint="eastAsia" w:ascii="宋体" w:hAnsi="宋体" w:cs="宋体"/>
          <w:b/>
          <w:color w:val="auto"/>
          <w:kern w:val="0"/>
          <w:szCs w:val="21"/>
          <w:highlight w:val="none"/>
        </w:rPr>
        <w:t>综合折扣率</w:t>
      </w:r>
      <w:r>
        <w:rPr>
          <w:rFonts w:hint="eastAsia" w:ascii="宋体" w:hAnsi="宋体" w:cs="宋体"/>
          <w:color w:val="auto"/>
          <w:kern w:val="0"/>
          <w:szCs w:val="21"/>
          <w:highlight w:val="none"/>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highlight w:val="none"/>
        </w:rPr>
        <w:t>综合折扣率</w:t>
      </w:r>
      <w:r>
        <w:rPr>
          <w:rFonts w:hint="eastAsia" w:ascii="宋体" w:hAnsi="宋体" w:cs="宋体"/>
          <w:color w:val="auto"/>
          <w:kern w:val="0"/>
          <w:szCs w:val="21"/>
          <w:highlight w:val="none"/>
        </w:rPr>
        <w:t>后提出综合单价，经监理人及发包人或其委托的咨询单位工程师确认，作为结算依据。</w:t>
      </w:r>
    </w:p>
    <w:p>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highlight w:val="none"/>
        </w:rPr>
        <w:t>综合折扣率</w:t>
      </w:r>
      <w:r>
        <w:rPr>
          <w:rFonts w:hint="eastAsia" w:ascii="宋体" w:hAnsi="宋体" w:cs="宋体"/>
          <w:color w:val="auto"/>
          <w:kern w:val="0"/>
          <w:szCs w:val="21"/>
          <w:highlight w:val="none"/>
        </w:rPr>
        <w:t>提出综合单价，经签证方式确定的材料、设备价格不作下浮。</w:t>
      </w:r>
    </w:p>
    <w:p>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.1.2 关于变更措施项目费的约定：</w:t>
      </w:r>
    </w:p>
    <w:p>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w:t>
      </w:r>
      <w:r>
        <w:rPr>
          <w:rFonts w:hint="eastAsia" w:ascii="宋体" w:hAnsi="宋体" w:cs="宋体"/>
          <w:color w:val="auto"/>
          <w:kern w:val="0"/>
          <w:szCs w:val="21"/>
          <w:highlight w:val="none"/>
          <w:lang w:val="en-US" w:eastAsia="zh-CN"/>
        </w:rPr>
        <w:t>10.4.1.1</w:t>
      </w:r>
      <w:r>
        <w:rPr>
          <w:rFonts w:hint="eastAsia" w:ascii="宋体" w:hAnsi="宋体" w:cs="宋体"/>
          <w:color w:val="auto"/>
          <w:kern w:val="0"/>
          <w:szCs w:val="21"/>
          <w:highlight w:val="none"/>
        </w:rPr>
        <w:t>条款约定原则计算的单价提出措施费；采用以“项”计价的措施项目，根据工程量清单中的措施项目和金额结合</w:t>
      </w:r>
      <w:r>
        <w:rPr>
          <w:rFonts w:hint="eastAsia" w:ascii="宋体" w:hAnsi="宋体" w:cs="宋体"/>
          <w:b/>
          <w:color w:val="auto"/>
          <w:kern w:val="0"/>
          <w:szCs w:val="21"/>
          <w:highlight w:val="none"/>
        </w:rPr>
        <w:t>综合折扣率</w:t>
      </w:r>
      <w:r>
        <w:rPr>
          <w:rFonts w:hint="eastAsia" w:ascii="宋体" w:hAnsi="宋体" w:cs="宋体"/>
          <w:color w:val="auto"/>
          <w:kern w:val="0"/>
          <w:szCs w:val="21"/>
          <w:highlight w:val="none"/>
        </w:rPr>
        <w:t>或发承包双方确认调整后的措施项目和金额计算。</w:t>
      </w:r>
    </w:p>
    <w:p>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（1）原措施项目费中已有的措施项目，按原措施项目费的组价方法调整。</w:t>
      </w:r>
    </w:p>
    <w:p>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（2）原措施费没有的措施项目，承包人根据实际措施项目内容、规定的工程取费类别、现行计价依据并结合</w:t>
      </w:r>
      <w:r>
        <w:rPr>
          <w:rFonts w:hint="eastAsia" w:ascii="宋体" w:hAnsi="宋体" w:cs="宋体"/>
          <w:b/>
          <w:color w:val="auto"/>
          <w:kern w:val="0"/>
          <w:szCs w:val="21"/>
          <w:highlight w:val="none"/>
        </w:rPr>
        <w:t>综合折扣率</w:t>
      </w:r>
      <w:r>
        <w:rPr>
          <w:rFonts w:hint="eastAsia" w:ascii="宋体" w:hAnsi="宋体" w:cs="宋体"/>
          <w:color w:val="auto"/>
          <w:kern w:val="0"/>
          <w:szCs w:val="21"/>
          <w:highlight w:val="none"/>
        </w:rPr>
        <w:t>后提出措施费。</w:t>
      </w:r>
    </w:p>
    <w:p>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10.4.1.3</w:t>
      </w:r>
      <w:r>
        <w:rPr>
          <w:rFonts w:hint="eastAsia" w:ascii="宋体" w:hAnsi="宋体" w:cs="宋体"/>
          <w:color w:val="auto"/>
          <w:kern w:val="0"/>
          <w:szCs w:val="21"/>
          <w:highlight w:val="none"/>
        </w:rPr>
        <w:t>关于其他项目费变更的约定：</w:t>
      </w:r>
    </w:p>
    <w:p>
      <w:pPr>
        <w:shd w:val="clear"/>
        <w:spacing w:line="45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pPr>
        <w:keepNext w:val="0"/>
        <w:keepLines w:val="0"/>
        <w:pageBreakBefore w:val="0"/>
        <w:widowControl w:val="0"/>
        <w:shd w:val="clear"/>
        <w:kinsoku/>
        <w:wordWrap/>
        <w:overflowPunct/>
        <w:topLinePunct w:val="0"/>
        <w:bidi w:val="0"/>
        <w:snapToGrid/>
        <w:spacing w:line="450" w:lineRule="exact"/>
        <w:ind w:firstLine="420" w:firstLineChars="200"/>
        <w:textAlignment w:val="auto"/>
        <w:rPr>
          <w:rFonts w:ascii="宋体" w:hAnsi="宋体" w:cs="宋体"/>
          <w:color w:val="auto"/>
          <w:szCs w:val="21"/>
          <w:highlight w:val="none"/>
        </w:rPr>
      </w:pPr>
      <w:r>
        <w:rPr>
          <w:rFonts w:hint="eastAsia" w:ascii="宋体" w:hAnsi="宋体"/>
          <w:color w:val="auto"/>
          <w:szCs w:val="21"/>
          <w:highlight w:val="none"/>
          <w:lang w:val="en-US" w:eastAsia="zh-CN"/>
        </w:rPr>
        <w:t>10.4.1.4</w:t>
      </w:r>
      <w:r>
        <w:rPr>
          <w:rFonts w:hint="eastAsia" w:ascii="宋体" w:hAnsi="宋体" w:cs="宋体"/>
          <w:color w:val="auto"/>
          <w:szCs w:val="21"/>
          <w:highlight w:val="none"/>
        </w:rPr>
        <w:t>计价依据：</w:t>
      </w:r>
      <w:r>
        <w:rPr>
          <w:rFonts w:hint="eastAsia" w:ascii="宋体" w:hAnsi="宋体" w:cs="宋体"/>
          <w:color w:val="auto"/>
          <w:kern w:val="0"/>
          <w:szCs w:val="21"/>
          <w:highlight w:val="none"/>
        </w:rPr>
        <w:t xml:space="preserve">                                                                                                                                                                                               </w:t>
      </w:r>
    </w:p>
    <w:p>
      <w:pPr>
        <w:shd w:val="clear"/>
        <w:spacing w:line="450" w:lineRule="exact"/>
        <w:ind w:firstLine="42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eastAsia="宋体" w:cs="宋体"/>
          <w:color w:val="auto"/>
          <w:kern w:val="0"/>
          <w:szCs w:val="21"/>
          <w:highlight w:val="none"/>
        </w:rPr>
        <w:t>由建设单位提供的由</w:t>
      </w:r>
      <w:r>
        <w:rPr>
          <w:rFonts w:hint="eastAsia" w:ascii="宋体" w:hAnsi="宋体" w:eastAsia="宋体" w:cs="宋体"/>
          <w:color w:val="auto"/>
          <w:kern w:val="0"/>
          <w:szCs w:val="21"/>
          <w:highlight w:val="none"/>
          <w:lang w:eastAsia="zh-CN"/>
        </w:rPr>
        <w:t>宁波恒晨电力建设有限公司</w:t>
      </w:r>
      <w:r>
        <w:rPr>
          <w:rFonts w:hint="eastAsia" w:ascii="宋体" w:hAnsi="宋体" w:eastAsia="宋体" w:cs="宋体"/>
          <w:color w:val="auto"/>
          <w:kern w:val="0"/>
          <w:szCs w:val="21"/>
          <w:highlight w:val="none"/>
        </w:rPr>
        <w:t>负责设计的工程施工图纸及施工标底的情况说明、会议纪要、图纸答疑等相关资料；工程量计算：建设单位提供的施工图纸，施工标底的情况说明、图纸答疑等相关资料；</w:t>
      </w:r>
    </w:p>
    <w:p>
      <w:pPr>
        <w:keepNext w:val="0"/>
        <w:keepLines w:val="0"/>
        <w:pageBreakBefore w:val="0"/>
        <w:widowControl w:val="0"/>
        <w:numPr>
          <w:ilvl w:val="0"/>
          <w:numId w:val="0"/>
        </w:numPr>
        <w:shd w:val="clear"/>
        <w:kinsoku/>
        <w:wordWrap/>
        <w:overflowPunct/>
        <w:topLinePunct w:val="0"/>
        <w:bidi w:val="0"/>
        <w:snapToGrid/>
        <w:spacing w:line="45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定额采用：</w:t>
      </w:r>
    </w:p>
    <w:p>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1.《建设工程工程量清单计价规范》（GB50500-2013）</w:t>
      </w:r>
      <w:r>
        <w:rPr>
          <w:rFonts w:hint="eastAsia" w:ascii="宋体" w:hAnsi="宋体" w:eastAsia="宋体" w:cs="宋体"/>
          <w:color w:val="auto"/>
          <w:kern w:val="0"/>
          <w:szCs w:val="21"/>
          <w:highlight w:val="none"/>
          <w:lang w:eastAsia="zh-CN"/>
        </w:rPr>
        <w:t>。</w:t>
      </w:r>
    </w:p>
    <w:p>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2.《浙江省市政工程预算定额》（2018版）</w:t>
      </w:r>
      <w:r>
        <w:rPr>
          <w:rFonts w:hint="eastAsia" w:ascii="宋体" w:hAnsi="宋体" w:eastAsia="宋体" w:cs="宋体"/>
          <w:color w:val="auto"/>
          <w:kern w:val="0"/>
          <w:szCs w:val="21"/>
          <w:highlight w:val="none"/>
          <w:lang w:eastAsia="zh-CN"/>
        </w:rPr>
        <w:t>。</w:t>
      </w:r>
    </w:p>
    <w:p>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3.《浙江省建设工程计价规则》（2018版）。</w:t>
      </w:r>
    </w:p>
    <w:p>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4.《浙江省房屋建筑与装饰工程预算定额》（2018版）</w:t>
      </w:r>
      <w:r>
        <w:rPr>
          <w:rFonts w:hint="eastAsia" w:ascii="宋体" w:hAnsi="宋体" w:eastAsia="宋体" w:cs="宋体"/>
          <w:color w:val="auto"/>
          <w:kern w:val="0"/>
          <w:szCs w:val="21"/>
          <w:highlight w:val="none"/>
          <w:lang w:eastAsia="zh-CN"/>
        </w:rPr>
        <w:t>。</w:t>
      </w:r>
    </w:p>
    <w:p>
      <w:pPr>
        <w:pStyle w:val="24"/>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5.《浙江省通用安装工程预算定额》（2018版）</w:t>
      </w:r>
    </w:p>
    <w:p>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浙建建【2018】61号、浙建建发【2019】92号、甬发改投资【2018】601号及省、市有关造价依据</w:t>
      </w:r>
      <w:r>
        <w:rPr>
          <w:rFonts w:hint="eastAsia" w:ascii="宋体" w:hAnsi="宋体" w:eastAsia="宋体" w:cs="宋体"/>
          <w:color w:val="auto"/>
          <w:kern w:val="0"/>
          <w:szCs w:val="21"/>
          <w:highlight w:val="none"/>
          <w:lang w:eastAsia="zh-CN"/>
        </w:rPr>
        <w:t>。</w:t>
      </w:r>
    </w:p>
    <w:p>
      <w:pPr>
        <w:shd w:val="clear"/>
        <w:autoSpaceDE w:val="0"/>
        <w:autoSpaceDN w:val="0"/>
        <w:adjustRightInd w:val="0"/>
        <w:spacing w:before="9" w:line="450" w:lineRule="exact"/>
        <w:ind w:right="-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（3）材料信息价：</w:t>
      </w:r>
      <w:r>
        <w:rPr>
          <w:rFonts w:hint="eastAsia" w:ascii="宋体" w:hAnsi="宋体" w:cs="宋体"/>
          <w:color w:val="auto"/>
          <w:kern w:val="0"/>
          <w:szCs w:val="21"/>
          <w:highlight w:val="none"/>
        </w:rPr>
        <w:t>人工及材料市场信息价采用202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月份《宁波建设工程造价信息》（综合版）。材料市场信息价优先计取顺序为202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月份的《宁波建设工程造价信息（综合版奉化栏）》、《宁波建设工程造价信息（综合版）》、《浙江造价信息》；无信息价部分结合相关文件并市场询价取定。</w:t>
      </w:r>
    </w:p>
    <w:p>
      <w:pPr>
        <w:keepNext w:val="0"/>
        <w:keepLines w:val="0"/>
        <w:pageBreakBefore w:val="0"/>
        <w:widowControl w:val="0"/>
        <w:shd w:val="clear"/>
        <w:kinsoku/>
        <w:wordWrap/>
        <w:overflowPunct/>
        <w:topLinePunct w:val="0"/>
        <w:autoSpaceDE w:val="0"/>
        <w:autoSpaceDN w:val="0"/>
        <w:bidi w:val="0"/>
        <w:adjustRightInd w:val="0"/>
        <w:snapToGrid/>
        <w:spacing w:before="9" w:line="450" w:lineRule="exact"/>
        <w:ind w:right="-20" w:firstLine="420" w:firstLineChars="200"/>
        <w:textAlignment w:val="auto"/>
        <w:rPr>
          <w:rFonts w:hint="eastAsia"/>
          <w:color w:val="auto"/>
          <w:highlight w:val="none"/>
        </w:rPr>
      </w:pPr>
      <w:r>
        <w:rPr>
          <w:rFonts w:hint="eastAsia" w:ascii="宋体" w:hAnsi="宋体" w:eastAsia="宋体" w:cs="宋体"/>
          <w:snapToGrid/>
          <w:color w:val="auto"/>
          <w:kern w:val="0"/>
          <w:sz w:val="21"/>
          <w:szCs w:val="21"/>
          <w:highlight w:val="none"/>
          <w:lang w:val="en-US" w:eastAsia="zh-CN" w:bidi="ar-SA"/>
        </w:rPr>
        <w:t>（4）取费标准:本工程工程费用</w:t>
      </w:r>
      <w:r>
        <w:rPr>
          <w:rFonts w:hint="eastAsia" w:ascii="宋体" w:hAnsi="宋体" w:cs="宋体"/>
          <w:sz w:val="24"/>
          <w:szCs w:val="24"/>
        </w:rPr>
        <w:t>类</w:t>
      </w:r>
      <w:r>
        <w:rPr>
          <w:rFonts w:hint="eastAsia" w:ascii="宋体" w:hAnsi="宋体" w:eastAsia="宋体" w:cs="宋体"/>
          <w:color w:val="auto"/>
          <w:kern w:val="0"/>
          <w:szCs w:val="21"/>
          <w:highlight w:val="none"/>
          <w:lang w:val="en-US" w:eastAsia="zh-CN"/>
        </w:rPr>
        <w:t>别按市政土建工程取费，环网室土建费用类别按房屋建筑及构筑物工程取费，安装工程费用类别按水、电、暖通、消防、智能、自控及通信安装工程取费，其中：弹性区间费率按中值计取；安全文明施工基本费率按“市区工程”中值费率计取；关于调整建筑工程安全文明施工费的通知按浙建建发【2022】37号文件计取“智慧工地”增加费、疫情常态化防控费（安全文明施工基本费按照《浙江省建设工程计价规则（2018版）》的费率×1.15系数）；关于增值税调整后我省建设工程计价依据增值税税率及有关计价调整的通知按浙建建发【2019】92号（税率按9%）计取；标化工地增加费、提前竣工增加费、二次搬运费、行车、行人干扰增加费及其他项目费未计取。</w:t>
      </w:r>
    </w:p>
    <w:p>
      <w:pPr>
        <w:keepNext w:val="0"/>
        <w:keepLines w:val="0"/>
        <w:pageBreakBefore w:val="0"/>
        <w:widowControl w:val="0"/>
        <w:shd w:val="clear"/>
        <w:kinsoku/>
        <w:wordWrap/>
        <w:overflowPunct/>
        <w:topLinePunct w:val="0"/>
        <w:autoSpaceDE w:val="0"/>
        <w:autoSpaceDN w:val="0"/>
        <w:bidi w:val="0"/>
        <w:adjustRightInd w:val="0"/>
        <w:snapToGrid/>
        <w:spacing w:before="9" w:line="450" w:lineRule="exact"/>
        <w:ind w:right="-20" w:firstLine="482" w:firstLineChars="200"/>
        <w:textAlignment w:val="auto"/>
        <w:rPr>
          <w:rFonts w:ascii="宋体" w:hAnsi="宋体" w:cs="宋体"/>
          <w:b/>
          <w:color w:val="auto"/>
          <w:kern w:val="0"/>
          <w:szCs w:val="21"/>
          <w:highlight w:val="none"/>
        </w:rPr>
      </w:pPr>
      <w:r>
        <w:rPr>
          <w:rFonts w:hint="eastAsia" w:ascii="宋体" w:hAnsi="宋体"/>
          <w:b/>
          <w:color w:val="auto"/>
          <w:sz w:val="24"/>
          <w:highlight w:val="none"/>
        </w:rPr>
        <w:t>本项目综合折扣率为</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 xml:space="preserve"> 价格调整</w:t>
      </w:r>
      <w:bookmarkEnd w:id="407"/>
    </w:p>
    <w:p>
      <w:pPr>
        <w:spacing w:line="45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lang w:val="en-US" w:eastAsia="zh-CN"/>
        </w:rPr>
        <w:t>11.1</w:t>
      </w:r>
      <w:r>
        <w:rPr>
          <w:rFonts w:hint="eastAsia" w:ascii="宋体" w:hAnsi="宋体" w:cs="宋体"/>
          <w:b/>
          <w:color w:val="auto"/>
          <w:sz w:val="21"/>
          <w:szCs w:val="21"/>
          <w:highlight w:val="none"/>
        </w:rPr>
        <w:t xml:space="preserve"> 市场价格波动引起的调整</w:t>
      </w:r>
    </w:p>
    <w:p>
      <w:pPr>
        <w:pStyle w:val="67"/>
        <w:spacing w:line="450" w:lineRule="exact"/>
        <w:ind w:firstLine="401" w:firstLineChars="190"/>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.1.1 合同当事人约定：实际施工期内不作调整。</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.2 法律变化引起的调整</w:t>
      </w:r>
    </w:p>
    <w:p>
      <w:pPr>
        <w:spacing w:line="450" w:lineRule="exact"/>
        <w:ind w:firstLine="420" w:firstLineChars="200"/>
        <w:rPr>
          <w:rFonts w:hint="eastAsia" w:ascii="宋体" w:hAnsi="宋体" w:cs="宋体"/>
          <w:color w:val="auto"/>
          <w:sz w:val="21"/>
          <w:szCs w:val="21"/>
          <w:highlight w:val="none"/>
        </w:rPr>
      </w:pPr>
      <w:bookmarkStart w:id="408" w:name="_Toc364853234"/>
      <w:r>
        <w:rPr>
          <w:rFonts w:hint="eastAsia" w:ascii="宋体" w:hAnsi="宋体" w:cs="宋体"/>
          <w:color w:val="auto"/>
          <w:sz w:val="21"/>
          <w:szCs w:val="21"/>
          <w:highlight w:val="none"/>
        </w:rPr>
        <w:t>合同当事人关于本条的补充约定：</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（1）本条所称的法律包括法律、法规、规章及规范性文件。</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（2）国有投资项目应按本省建设行政主管部门或其授权工程造价管理机构发布的规定调整合同价款。</w:t>
      </w:r>
    </w:p>
    <w:p>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 合同价格、计量与支付</w:t>
      </w:r>
      <w:bookmarkEnd w:id="408"/>
    </w:p>
    <w:p>
      <w:pPr>
        <w:pStyle w:val="67"/>
        <w:spacing w:before="120" w:line="450" w:lineRule="exact"/>
        <w:ind w:firstLine="401" w:firstLineChars="190"/>
        <w:rPr>
          <w:rFonts w:hint="eastAsia" w:hAnsi="宋体" w:cs="宋体"/>
          <w:color w:val="auto"/>
          <w:sz w:val="21"/>
          <w:szCs w:val="21"/>
          <w:highlight w:val="none"/>
        </w:rPr>
      </w:pPr>
      <w:bookmarkStart w:id="409" w:name="_Toc267251461"/>
      <w:bookmarkStart w:id="410" w:name="_Toc292559411"/>
      <w:bookmarkStart w:id="411" w:name="_Toc292559916"/>
      <w:bookmarkStart w:id="412" w:name="_Toc297048392"/>
      <w:bookmarkStart w:id="413" w:name="_Toc297120506"/>
      <w:bookmarkStart w:id="414" w:name="_Toc296944545"/>
      <w:bookmarkStart w:id="415" w:name="_Toc296503206"/>
      <w:bookmarkStart w:id="416" w:name="_Toc296346707"/>
      <w:bookmarkStart w:id="417" w:name="_Toc296347205"/>
      <w:bookmarkStart w:id="418" w:name="_Toc296891246"/>
      <w:bookmarkStart w:id="419" w:name="_Toc296891034"/>
      <w:bookmarkStart w:id="420" w:name="_Toc304295580"/>
      <w:bookmarkStart w:id="421" w:name="_Toc312678041"/>
      <w:bookmarkStart w:id="422" w:name="_Toc303539160"/>
      <w:bookmarkStart w:id="423" w:name="_Toc300935003"/>
      <w:bookmarkStart w:id="424" w:name="_Toc297123553"/>
      <w:bookmarkStart w:id="425" w:name="_Toc297216212"/>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.1 合</w:t>
      </w:r>
      <w:bookmarkEnd w:id="409"/>
      <w:bookmarkEnd w:id="410"/>
      <w:bookmarkEnd w:id="411"/>
      <w:r>
        <w:rPr>
          <w:rFonts w:hint="eastAsia" w:hAnsi="宋体" w:cs="宋体"/>
          <w:color w:val="auto"/>
          <w:sz w:val="21"/>
          <w:szCs w:val="21"/>
          <w:highlight w:val="none"/>
        </w:rPr>
        <w:t>同价</w:t>
      </w:r>
      <w:bookmarkEnd w:id="412"/>
      <w:bookmarkEnd w:id="413"/>
      <w:bookmarkEnd w:id="414"/>
      <w:bookmarkEnd w:id="415"/>
      <w:bookmarkEnd w:id="416"/>
      <w:bookmarkEnd w:id="417"/>
      <w:bookmarkEnd w:id="418"/>
      <w:bookmarkEnd w:id="419"/>
      <w:r>
        <w:rPr>
          <w:rFonts w:hint="eastAsia" w:hAnsi="宋体" w:cs="宋体"/>
          <w:color w:val="auto"/>
          <w:sz w:val="21"/>
          <w:szCs w:val="21"/>
          <w:highlight w:val="none"/>
        </w:rPr>
        <w:t>格形式</w:t>
      </w:r>
    </w:p>
    <w:bookmarkEnd w:id="420"/>
    <w:bookmarkEnd w:id="421"/>
    <w:bookmarkEnd w:id="422"/>
    <w:bookmarkEnd w:id="423"/>
    <w:bookmarkEnd w:id="424"/>
    <w:bookmarkEnd w:id="425"/>
    <w:p>
      <w:pPr>
        <w:spacing w:line="450" w:lineRule="exact"/>
        <w:ind w:firstLine="422" w:firstLineChars="200"/>
        <w:rPr>
          <w:rFonts w:hint="eastAsia" w:hAnsi="宋体" w:cs="宋体"/>
          <w:color w:val="auto"/>
          <w:sz w:val="21"/>
          <w:szCs w:val="21"/>
          <w:highlight w:val="none"/>
        </w:rPr>
      </w:pPr>
      <w:r>
        <w:rPr>
          <w:rFonts w:hint="eastAsia" w:ascii="宋体" w:hAnsi="宋体" w:cs="宋体"/>
          <w:b/>
          <w:color w:val="auto"/>
          <w:kern w:val="0"/>
          <w:sz w:val="21"/>
          <w:szCs w:val="21"/>
          <w:highlight w:val="none"/>
        </w:rPr>
        <w:t>本合同采用合同当事人签订的合同协议书中约定的价格形式，即：</w:t>
      </w:r>
      <w:r>
        <w:rPr>
          <w:rFonts w:hint="eastAsia" w:ascii="宋体" w:hAnsi="宋体" w:cs="宋体"/>
          <w:b/>
          <w:color w:val="auto"/>
          <w:kern w:val="0"/>
          <w:sz w:val="21"/>
          <w:szCs w:val="21"/>
          <w:highlight w:val="none"/>
          <w:lang w:eastAsia="zh-CN"/>
        </w:rPr>
        <w:t>单价</w:t>
      </w:r>
      <w:r>
        <w:rPr>
          <w:rFonts w:hint="eastAsia" w:ascii="宋体" w:hAnsi="宋体" w:eastAsia="宋体" w:cs="宋体"/>
          <w:b/>
          <w:color w:val="auto"/>
          <w:kern w:val="0"/>
          <w:sz w:val="21"/>
          <w:szCs w:val="21"/>
          <w:highlight w:val="none"/>
        </w:rPr>
        <w:t>合同。</w:t>
      </w:r>
      <w:r>
        <w:rPr>
          <w:rFonts w:hint="eastAsia" w:ascii="宋体" w:hAnsi="宋体" w:cs="宋体"/>
          <w:color w:val="auto"/>
          <w:kern w:val="0"/>
          <w:sz w:val="21"/>
          <w:szCs w:val="21"/>
          <w:highlight w:val="none"/>
        </w:rPr>
        <w:t xml:space="preserve"> </w:t>
      </w:r>
      <w:r>
        <w:rPr>
          <w:rFonts w:hint="eastAsia" w:hAnsi="宋体" w:cs="宋体"/>
          <w:color w:val="auto"/>
          <w:sz w:val="21"/>
          <w:szCs w:val="21"/>
          <w:highlight w:val="none"/>
        </w:rPr>
        <w:t xml:space="preserve">  </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12.</w:t>
      </w:r>
      <w:r>
        <w:rPr>
          <w:rFonts w:hint="eastAsia" w:hAnsi="宋体" w:cs="宋体"/>
          <w:color w:val="auto"/>
          <w:sz w:val="21"/>
          <w:szCs w:val="21"/>
          <w:highlight w:val="none"/>
        </w:rPr>
        <w:t>2 预付款</w:t>
      </w:r>
    </w:p>
    <w:p>
      <w:pPr>
        <w:pStyle w:val="13"/>
        <w:spacing w:line="450" w:lineRule="exact"/>
        <w:ind w:firstLine="420" w:firstLineChars="200"/>
        <w:rPr>
          <w:rFonts w:hint="eastAsia" w:hAnsi="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.2.1 </w:t>
      </w:r>
      <w:r>
        <w:rPr>
          <w:rFonts w:hint="eastAsia" w:ascii="宋体" w:hAnsi="宋体" w:eastAsia="宋体" w:cs="宋体"/>
          <w:color w:val="auto"/>
          <w:sz w:val="21"/>
          <w:szCs w:val="21"/>
          <w:highlight w:val="none"/>
          <w:lang w:val="en-US" w:eastAsia="zh-CN"/>
        </w:rPr>
        <w:t>预付款的支付和扣回的方式：</w:t>
      </w:r>
      <w:r>
        <w:rPr>
          <w:rFonts w:hint="eastAsia" w:ascii="宋体" w:hAnsi="宋体" w:eastAsia="宋体" w:cs="宋体"/>
          <w:b/>
          <w:bCs w:val="0"/>
          <w:color w:val="auto"/>
          <w:sz w:val="21"/>
          <w:szCs w:val="21"/>
          <w:highlight w:val="none"/>
          <w:u w:val="single"/>
          <w:lang w:val="en-US" w:eastAsia="zh-CN"/>
        </w:rPr>
        <w:t>在合同签订生效后一周内，支付合同价款的20%；（预付款扣回的方式：在前2次工程进度款支付时各扣回预付款的50%)。</w:t>
      </w:r>
    </w:p>
    <w:p>
      <w:pPr>
        <w:pStyle w:val="67"/>
        <w:spacing w:before="120" w:line="450" w:lineRule="exact"/>
        <w:ind w:firstLine="310" w:firstLineChars="147"/>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.3 计量</w:t>
      </w:r>
    </w:p>
    <w:p>
      <w:pPr>
        <w:pStyle w:val="13"/>
        <w:spacing w:line="45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关于工程量计算原则约定：按现行的工程量计算规则执行。</w:t>
      </w:r>
    </w:p>
    <w:p>
      <w:pPr>
        <w:pStyle w:val="13"/>
        <w:spacing w:line="45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关于计量周期及本合同计量方式和程序的约定：执行通用条款。</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.4 工程进度款支付</w:t>
      </w:r>
    </w:p>
    <w:p>
      <w:pPr>
        <w:pStyle w:val="67"/>
        <w:spacing w:before="120" w:line="450" w:lineRule="exact"/>
        <w:ind w:firstLine="310" w:firstLineChars="147"/>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关于付款周期、进度款支付程序和方法的约定</w:t>
      </w:r>
      <w:bookmarkStart w:id="426" w:name="_Toc364853235"/>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在工程施工进度（监理工程师、现场业主代表共同核定的已完合格的工程量）至50%时支付合同价款的30%；工程施工进度（监理工程师、现场业主代表共同核定的已完合格的工程量）至80%时支付合同价款的30%；待工程竣工验收合格后支付至合同价款的80%；待竣工结算经甲方委托的造价咨询机构审核后支付至结算审核价款的98.5%，余款在质保期过后付清。</w:t>
      </w:r>
    </w:p>
    <w:p>
      <w:pPr>
        <w:snapToGrid w:val="0"/>
        <w:spacing w:line="450" w:lineRule="exact"/>
        <w:ind w:firstLine="420"/>
        <w:rPr>
          <w:rFonts w:hint="eastAsia" w:ascii="宋体" w:hAnsi="宋体" w:eastAsia="宋体" w:cs="宋体"/>
          <w:color w:val="auto"/>
          <w:sz w:val="21"/>
          <w:szCs w:val="21"/>
          <w:highlight w:val="none"/>
          <w:u w:val="single"/>
          <w:lang w:val="en-US" w:eastAsia="zh-CN"/>
        </w:rPr>
      </w:pPr>
      <w:r>
        <w:rPr>
          <w:rFonts w:hint="eastAsia" w:ascii="宋体" w:hAnsi="宋体" w:cs="宋体"/>
          <w:color w:val="auto"/>
          <w:szCs w:val="21"/>
          <w:highlight w:val="none"/>
          <w:lang w:val="en-US" w:eastAsia="zh-CN"/>
        </w:rPr>
        <w:t>发包人受项目业主委托，实施该项目的施工招标及管理工作。因此上述工程款的支付受项目业主单位向发包人支付工程款的时间、金额的约束，若项目业主单位向发包人支付工程款的时间延迟，则发包人向承包人支付工程款的时间作相应顺延，对此，承包人予以认可并且承诺不会因此追究发包人逾期付款的违约责任。承包人如需项目业主单位的相关信息可向发包人咨询。</w:t>
      </w:r>
    </w:p>
    <w:p>
      <w:pPr>
        <w:snapToGrid w:val="0"/>
        <w:spacing w:line="450" w:lineRule="exact"/>
        <w:ind w:firstLine="420"/>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 验收和工程试车</w:t>
      </w:r>
      <w:bookmarkEnd w:id="426"/>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1 分部分项工程验收</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.1.2 监理人不能按时进行验收时，应提前</w:t>
      </w:r>
      <w:r>
        <w:rPr>
          <w:rFonts w:hint="eastAsia" w:ascii="宋体" w:hAnsi="宋体" w:cs="宋体"/>
          <w:color w:val="auto"/>
          <w:sz w:val="21"/>
          <w:szCs w:val="21"/>
          <w:highlight w:val="none"/>
          <w:u w:val="single"/>
        </w:rPr>
        <w:t xml:space="preserve"> 24 </w:t>
      </w:r>
      <w:r>
        <w:rPr>
          <w:rFonts w:hint="eastAsia" w:ascii="宋体" w:hAnsi="宋体" w:cs="宋体"/>
          <w:color w:val="auto"/>
          <w:sz w:val="21"/>
          <w:szCs w:val="21"/>
          <w:highlight w:val="none"/>
        </w:rPr>
        <w:t>小时提交书面延期要求，但延期不能超过48小时。</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.2 竣工验收</w:t>
      </w:r>
    </w:p>
    <w:p>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.2.2 竣工验收程序</w:t>
      </w:r>
    </w:p>
    <w:p>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关于竣工验收程序的约定：执行通用条款。</w:t>
      </w:r>
    </w:p>
    <w:p>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发包人不按照本项约定组织竣工验收、颁发工程接收证书的违约金的计算方法：执行通用条款。</w:t>
      </w:r>
    </w:p>
    <w:p>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.2.5　移交、接收全部与部分工程</w:t>
      </w:r>
    </w:p>
    <w:p>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承包人向发包人移交工程的期限：在颁发工程接收证书后</w:t>
      </w:r>
      <w:r>
        <w:rPr>
          <w:rFonts w:hint="eastAsia" w:ascii="宋体" w:hAnsi="宋体" w:cs="宋体"/>
          <w:color w:val="auto"/>
          <w:sz w:val="21"/>
          <w:szCs w:val="21"/>
          <w:highlight w:val="none"/>
          <w:u w:val="single"/>
        </w:rPr>
        <w:t xml:space="preserve">7 </w:t>
      </w:r>
      <w:r>
        <w:rPr>
          <w:rFonts w:hint="eastAsia" w:ascii="宋体" w:hAnsi="宋体" w:cs="宋体"/>
          <w:color w:val="auto"/>
          <w:sz w:val="21"/>
          <w:szCs w:val="21"/>
          <w:highlight w:val="none"/>
        </w:rPr>
        <w:t>天内完成工程的移交。</w:t>
      </w:r>
    </w:p>
    <w:p>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发包人无正当理由未按本合同约定接收全部或部分工程的，除承担自应接收工程</w:t>
      </w:r>
      <w:r>
        <w:rPr>
          <w:rFonts w:hint="eastAsia" w:ascii="宋体" w:hAnsi="宋体" w:cs="宋体"/>
          <w:color w:val="auto"/>
          <w:sz w:val="21"/>
          <w:szCs w:val="21"/>
          <w:highlight w:val="none"/>
        </w:rPr>
        <w:t>之日起的工程照管、成本保护、保管等与工程有关的各项费用外，应当按本专用条款约定的</w:t>
      </w:r>
      <w:r>
        <w:rPr>
          <w:rFonts w:hint="eastAsia" w:ascii="宋体" w:hAnsi="宋体" w:cs="宋体"/>
          <w:color w:val="auto"/>
          <w:kern w:val="0"/>
          <w:sz w:val="21"/>
          <w:szCs w:val="21"/>
          <w:highlight w:val="none"/>
        </w:rPr>
        <w:t>提前竣工奖励的5倍标准</w:t>
      </w:r>
      <w:r>
        <w:rPr>
          <w:rFonts w:hint="eastAsia" w:ascii="宋体" w:hAnsi="宋体" w:cs="宋体"/>
          <w:color w:val="auto"/>
          <w:sz w:val="21"/>
          <w:szCs w:val="21"/>
          <w:highlight w:val="none"/>
        </w:rPr>
        <w:t>向承包人支付逾期接收工程的违约金。</w:t>
      </w:r>
    </w:p>
    <w:p>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 w:val="21"/>
          <w:szCs w:val="21"/>
          <w:highlight w:val="none"/>
        </w:rPr>
        <w:t>包人支付逾期移交工程的违约金。</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13</w:t>
      </w:r>
      <w:r>
        <w:rPr>
          <w:rFonts w:hint="eastAsia" w:hAnsi="宋体" w:cs="宋体"/>
          <w:color w:val="auto"/>
          <w:sz w:val="21"/>
          <w:szCs w:val="21"/>
          <w:highlight w:val="none"/>
        </w:rPr>
        <w:t>.3 工程试车</w:t>
      </w:r>
    </w:p>
    <w:p>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.3.1 关于试车程序及费用的约定：执行通用条款。</w:t>
      </w:r>
    </w:p>
    <w:p>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.3.3　关于投料试车相关事项的约定：执行通用条款。</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3.6</w:t>
      </w:r>
      <w:r>
        <w:rPr>
          <w:rFonts w:hint="eastAsia" w:hAnsi="宋体" w:cs="宋体"/>
          <w:color w:val="auto"/>
          <w:sz w:val="21"/>
          <w:szCs w:val="21"/>
          <w:highlight w:val="none"/>
        </w:rPr>
        <w:t xml:space="preserve"> 竣工退场</w:t>
      </w:r>
    </w:p>
    <w:p>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13.6.1</w:t>
      </w:r>
      <w:r>
        <w:rPr>
          <w:rFonts w:hint="eastAsia" w:ascii="宋体" w:hAnsi="宋体" w:cs="宋体"/>
          <w:color w:val="auto"/>
          <w:sz w:val="21"/>
          <w:szCs w:val="21"/>
          <w:highlight w:val="none"/>
        </w:rPr>
        <w:t>竣工退场</w:t>
      </w:r>
    </w:p>
    <w:p>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承包人应当在发包人颁发工程接收证书后</w:t>
      </w:r>
      <w:r>
        <w:rPr>
          <w:rFonts w:hint="eastAsia" w:ascii="宋体" w:hAnsi="宋体" w:cs="宋体"/>
          <w:color w:val="auto"/>
          <w:sz w:val="21"/>
          <w:szCs w:val="21"/>
          <w:highlight w:val="none"/>
          <w:u w:val="single"/>
        </w:rPr>
        <w:t xml:space="preserve">  14</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内完成竣工退场，逾期未完成的，按通用条款执行。</w:t>
      </w:r>
    </w:p>
    <w:p>
      <w:pPr>
        <w:pStyle w:val="6"/>
        <w:spacing w:line="450" w:lineRule="exact"/>
        <w:rPr>
          <w:rFonts w:hint="eastAsia" w:ascii="宋体" w:hAnsi="宋体" w:cs="宋体"/>
          <w:color w:val="auto"/>
          <w:sz w:val="21"/>
          <w:szCs w:val="21"/>
          <w:highlight w:val="none"/>
        </w:rPr>
      </w:pPr>
      <w:bookmarkStart w:id="427" w:name="_Toc364853236"/>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 竣工结算</w:t>
      </w:r>
      <w:bookmarkEnd w:id="427"/>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1 竣工结算申请</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承包人应当在工程竣工验收合格后</w:t>
      </w:r>
      <w:r>
        <w:rPr>
          <w:rFonts w:hint="eastAsia" w:ascii="宋体" w:hAnsi="宋体" w:cs="宋体"/>
          <w:color w:val="auto"/>
          <w:sz w:val="21"/>
          <w:szCs w:val="21"/>
          <w:highlight w:val="none"/>
          <w:u w:val="single"/>
        </w:rPr>
        <w:t>　28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内向发包人或其委托的工程造价咨询人提交竣工结算申请单及其完整的结算资料3份。</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pPr>
        <w:autoSpaceDE w:val="0"/>
        <w:autoSpaceDN w:val="0"/>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竣工结算申请单应包括的内容：按通用条款执行。</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14.2</w:t>
      </w:r>
      <w:r>
        <w:rPr>
          <w:rFonts w:hint="eastAsia" w:hAnsi="宋体" w:cs="宋体"/>
          <w:color w:val="auto"/>
          <w:sz w:val="21"/>
          <w:szCs w:val="21"/>
          <w:highlight w:val="none"/>
        </w:rPr>
        <w:t xml:space="preserve"> 竣工结算审核</w:t>
      </w:r>
    </w:p>
    <w:p>
      <w:pPr>
        <w:pStyle w:val="68"/>
        <w:adjustRightInd w:val="0"/>
        <w:spacing w:line="45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14.2.1</w:t>
      </w:r>
      <w:r>
        <w:rPr>
          <w:rFonts w:hint="eastAsia" w:hAnsi="宋体" w:eastAsia="宋体" w:cs="宋体"/>
          <w:color w:val="auto"/>
          <w:sz w:val="21"/>
          <w:szCs w:val="21"/>
          <w:highlight w:val="none"/>
        </w:rPr>
        <w:t xml:space="preserve"> 竣工结算审核</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（1）发包人在收到承包人完整的竣工结算审核申请资料后，应在28天内及时提交财政或审计部门审核，财政或审计部门出具结算审核报告后，发包人应在14天内签发竣工付款证书。</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发包人在收到承包人提交的竣工结算申请单后</w:t>
      </w:r>
      <w:r>
        <w:rPr>
          <w:rFonts w:hint="eastAsia" w:ascii="宋体" w:hAnsi="宋体" w:cs="宋体"/>
          <w:color w:val="auto"/>
          <w:sz w:val="21"/>
          <w:szCs w:val="21"/>
          <w:highlight w:val="none"/>
          <w:u w:val="single"/>
        </w:rPr>
        <w:t>　28　</w:t>
      </w:r>
      <w:r>
        <w:rPr>
          <w:rFonts w:hint="eastAsia" w:ascii="宋体" w:hAnsi="宋体" w:cs="宋体"/>
          <w:color w:val="auto"/>
          <w:sz w:val="21"/>
          <w:szCs w:val="21"/>
          <w:highlight w:val="none"/>
        </w:rPr>
        <w:t>天未提出异议或者未出具结算报告的，视为发包人认可承包人提交的竣工结算申请单，逾期，视为已</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签发竣工付款证书。</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（2）发包人应在签发竣工付款证书后</w:t>
      </w:r>
      <w:r>
        <w:rPr>
          <w:rFonts w:hint="eastAsia" w:ascii="宋体" w:hAnsi="宋体" w:cs="宋体"/>
          <w:color w:val="auto"/>
          <w:sz w:val="21"/>
          <w:szCs w:val="21"/>
          <w:highlight w:val="none"/>
          <w:u w:val="single"/>
        </w:rPr>
        <w:t>　7　</w:t>
      </w:r>
      <w:r>
        <w:rPr>
          <w:rFonts w:hint="eastAsia" w:ascii="宋体" w:hAnsi="宋体" w:cs="宋体"/>
          <w:color w:val="auto"/>
          <w:sz w:val="21"/>
          <w:szCs w:val="21"/>
          <w:highlight w:val="none"/>
        </w:rPr>
        <w:t>天内，完成对承包人的竣工付款。发包人逾期支付的违约责任按通用条款执行。</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pPr>
        <w:spacing w:line="450" w:lineRule="exact"/>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（4）委托中介机构进行竣工结算审核时发生追加费，其费用由承包方承担。结算追加费执行浙价服【2009】84号标准，结合奉化财政局规定执行。</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（5）关于承包人收款账户的约定：执行通用条款。</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14.4</w:t>
      </w:r>
      <w:r>
        <w:rPr>
          <w:rFonts w:hint="eastAsia" w:hAnsi="宋体" w:cs="宋体"/>
          <w:color w:val="auto"/>
          <w:sz w:val="21"/>
          <w:szCs w:val="21"/>
          <w:highlight w:val="none"/>
        </w:rPr>
        <w:t xml:space="preserve"> 最终结清</w:t>
      </w:r>
    </w:p>
    <w:p>
      <w:pPr>
        <w:spacing w:line="450" w:lineRule="exact"/>
        <w:ind w:firstLine="420" w:firstLineChars="200"/>
        <w:rPr>
          <w:rFonts w:hint="eastAsia" w:ascii="宋体" w:hAnsi="宋体" w:cs="宋体"/>
          <w:color w:val="auto"/>
          <w:sz w:val="21"/>
          <w:szCs w:val="21"/>
          <w:highlight w:val="none"/>
        </w:rPr>
      </w:pPr>
      <w:bookmarkStart w:id="428" w:name="_Toc364853237"/>
      <w:r>
        <w:rPr>
          <w:rFonts w:hint="eastAsia" w:ascii="宋体" w:hAnsi="宋体" w:cs="宋体"/>
          <w:color w:val="auto"/>
          <w:sz w:val="21"/>
          <w:szCs w:val="21"/>
          <w:highlight w:val="none"/>
          <w:lang w:val="en-US" w:eastAsia="zh-CN"/>
        </w:rPr>
        <w:t>14.4.1</w:t>
      </w:r>
      <w:r>
        <w:rPr>
          <w:rFonts w:hint="eastAsia" w:ascii="宋体" w:hAnsi="宋体" w:cs="宋体"/>
          <w:color w:val="auto"/>
          <w:sz w:val="21"/>
          <w:szCs w:val="21"/>
          <w:highlight w:val="none"/>
        </w:rPr>
        <w:t>最终结清申请单</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（1）承包人应在缺陷责任期终止证书颁发后7天内提交3份最终结清申请单，并提供相关证明材料。最终结清申请单应列明质量保证金、应扣除的质量保证金、缺陷责任期内发生的增减费用。</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（2）发包人对最终结清申请单内容有异议的，有权要求承包人进行修正和提供补充资料，但应当出具书面意见。承包人应当按照发包人的书面意见提交修正后的最终结清申请单。</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14.4.2</w:t>
      </w:r>
      <w:r>
        <w:rPr>
          <w:rFonts w:hint="eastAsia" w:ascii="宋体" w:hAnsi="宋体" w:cs="宋体"/>
          <w:color w:val="auto"/>
          <w:sz w:val="21"/>
          <w:szCs w:val="21"/>
          <w:highlight w:val="none"/>
        </w:rPr>
        <w:t xml:space="preserve"> 最终结清证书和支付</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（1）发包人应在收到承包人提交的最终结清申请单后</w:t>
      </w:r>
      <w:r>
        <w:rPr>
          <w:rFonts w:hint="eastAsia" w:ascii="宋体" w:hAnsi="宋体" w:cs="宋体"/>
          <w:color w:val="auto"/>
          <w:sz w:val="21"/>
          <w:szCs w:val="21"/>
          <w:highlight w:val="none"/>
          <w:u w:val="single"/>
        </w:rPr>
        <w:t>14</w:t>
      </w:r>
      <w:r>
        <w:rPr>
          <w:rFonts w:hint="eastAsia" w:ascii="宋体" w:hAnsi="宋体" w:cs="宋体"/>
          <w:color w:val="auto"/>
          <w:sz w:val="21"/>
          <w:szCs w:val="21"/>
          <w:highlight w:val="none"/>
        </w:rPr>
        <w:t>天内完成审批并向承包人颁发最终结清证书。发包人逾期未完成审批，又未提出修改意见的，视为发包人同意承包人提交的最终结清申请单并已颁发最终结清证书 。</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（2）发包人应在颁发最终结清证书后</w:t>
      </w:r>
      <w:r>
        <w:rPr>
          <w:rFonts w:hint="eastAsia" w:ascii="宋体" w:hAnsi="宋体" w:cs="宋体"/>
          <w:color w:val="auto"/>
          <w:sz w:val="21"/>
          <w:szCs w:val="21"/>
          <w:highlight w:val="none"/>
          <w:u w:val="single"/>
        </w:rPr>
        <w:t>　7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内完成支付。发包人逾期支付的违约责任按通用条款执行。</w:t>
      </w:r>
    </w:p>
    <w:p>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 xml:space="preserve"> 缺陷责任期与保修</w:t>
      </w:r>
      <w:bookmarkEnd w:id="428"/>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15.2</w:t>
      </w:r>
      <w:r>
        <w:rPr>
          <w:rFonts w:hint="eastAsia" w:hAnsi="宋体" w:cs="宋体"/>
          <w:color w:val="auto"/>
          <w:sz w:val="21"/>
          <w:szCs w:val="21"/>
          <w:highlight w:val="none"/>
        </w:rPr>
        <w:t>缺陷责任期</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15.2.1</w:t>
      </w:r>
      <w:r>
        <w:rPr>
          <w:rFonts w:hint="eastAsia" w:ascii="宋体" w:hAnsi="宋体" w:cs="宋体"/>
          <w:color w:val="auto"/>
          <w:sz w:val="21"/>
          <w:szCs w:val="21"/>
          <w:highlight w:val="none"/>
        </w:rPr>
        <w:t xml:space="preserve"> 本合同缺陷责任期为</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rPr>
        <w:t>个月。</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 w:val="21"/>
          <w:szCs w:val="21"/>
          <w:highlight w:val="none"/>
          <w:u w:val="single"/>
        </w:rPr>
        <w:t>12</w:t>
      </w:r>
      <w:r>
        <w:rPr>
          <w:rFonts w:hint="eastAsia" w:ascii="宋体" w:hAnsi="宋体" w:cs="宋体"/>
          <w:color w:val="auto"/>
          <w:sz w:val="21"/>
          <w:szCs w:val="21"/>
          <w:highlight w:val="none"/>
        </w:rPr>
        <w:t>个月。</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15.3</w:t>
      </w:r>
      <w:r>
        <w:rPr>
          <w:rFonts w:hint="eastAsia" w:hAnsi="宋体" w:cs="宋体"/>
          <w:color w:val="auto"/>
          <w:sz w:val="21"/>
          <w:szCs w:val="21"/>
          <w:highlight w:val="none"/>
        </w:rPr>
        <w:t>质量保证担保</w:t>
      </w:r>
    </w:p>
    <w:p>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kern w:val="2"/>
          <w:sz w:val="21"/>
          <w:szCs w:val="21"/>
          <w:highlight w:val="none"/>
          <w:lang w:val="en-US" w:eastAsia="zh-CN" w:bidi="ar-SA"/>
        </w:rPr>
        <w:t>15.3.1</w:t>
      </w:r>
      <w:r>
        <w:rPr>
          <w:rFonts w:hint="eastAsia" w:ascii="宋体" w:hAnsi="宋体" w:eastAsia="宋体" w:cs="宋体"/>
          <w:b w:val="0"/>
          <w:color w:val="auto"/>
          <w:kern w:val="2"/>
          <w:sz w:val="21"/>
          <w:szCs w:val="21"/>
          <w:highlight w:val="none"/>
          <w:lang w:val="en-US" w:eastAsia="zh-CN" w:bidi="ar-SA"/>
        </w:rPr>
        <w:t>质量保证期：自实际竣工日期起计算</w:t>
      </w:r>
      <w:r>
        <w:rPr>
          <w:rFonts w:hint="eastAsia" w:hAnsi="宋体" w:cs="宋体"/>
          <w:b w:val="0"/>
          <w:color w:val="auto"/>
          <w:kern w:val="2"/>
          <w:sz w:val="21"/>
          <w:szCs w:val="21"/>
          <w:highlight w:val="none"/>
          <w:lang w:val="en-US" w:eastAsia="zh-CN" w:bidi="ar-SA"/>
        </w:rPr>
        <w:t>12</w:t>
      </w:r>
      <w:r>
        <w:rPr>
          <w:rFonts w:hint="eastAsia" w:ascii="宋体" w:hAnsi="宋体" w:eastAsia="宋体" w:cs="宋体"/>
          <w:b w:val="0"/>
          <w:color w:val="auto"/>
          <w:kern w:val="2"/>
          <w:sz w:val="21"/>
          <w:szCs w:val="21"/>
          <w:highlight w:val="none"/>
          <w:lang w:val="en-US" w:eastAsia="zh-CN" w:bidi="ar-SA"/>
        </w:rPr>
        <w:t>个月。</w:t>
      </w:r>
      <w:r>
        <w:rPr>
          <w:rFonts w:hint="eastAsia" w:hAnsi="宋体" w:cs="宋体"/>
          <w:color w:val="auto"/>
          <w:sz w:val="21"/>
          <w:szCs w:val="21"/>
          <w:highlight w:val="none"/>
        </w:rPr>
        <w:t xml:space="preserve"> </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15.3.2</w:t>
      </w:r>
      <w:r>
        <w:rPr>
          <w:rFonts w:hint="eastAsia" w:ascii="宋体" w:hAnsi="宋体" w:cs="宋体"/>
          <w:color w:val="auto"/>
          <w:sz w:val="21"/>
          <w:szCs w:val="21"/>
          <w:highlight w:val="none"/>
        </w:rPr>
        <w:t>承包人与质量保证担保有关的任何利息或其它类似的费用或者收益由承包人承担；因承包人原因导致缺陷责任期延长的，继续提供质量保证担保所增加的费用由承包人承担。</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15.4</w:t>
      </w:r>
      <w:r>
        <w:rPr>
          <w:rFonts w:hint="eastAsia" w:hAnsi="宋体" w:cs="宋体"/>
          <w:color w:val="auto"/>
          <w:sz w:val="21"/>
          <w:szCs w:val="21"/>
          <w:highlight w:val="none"/>
        </w:rPr>
        <w:t>保修</w:t>
      </w:r>
    </w:p>
    <w:p>
      <w:pPr>
        <w:spacing w:line="450" w:lineRule="exact"/>
        <w:ind w:firstLine="420" w:firstLineChars="200"/>
        <w:rPr>
          <w:rFonts w:hint="eastAsia" w:ascii="宋体" w:hAnsi="宋体" w:cs="宋体"/>
          <w:color w:val="auto"/>
          <w:kern w:val="0"/>
          <w:sz w:val="21"/>
          <w:szCs w:val="21"/>
          <w:highlight w:val="none"/>
        </w:rPr>
      </w:pPr>
      <w:bookmarkStart w:id="429" w:name="_Toc364853238"/>
      <w:r>
        <w:rPr>
          <w:rFonts w:hint="eastAsia" w:ascii="宋体" w:hAnsi="宋体" w:cs="宋体"/>
          <w:color w:val="auto"/>
          <w:kern w:val="0"/>
          <w:sz w:val="21"/>
          <w:szCs w:val="21"/>
          <w:highlight w:val="none"/>
          <w:lang w:val="en-US" w:eastAsia="zh-CN"/>
        </w:rPr>
        <w:t>15.4.1</w:t>
      </w:r>
      <w:r>
        <w:rPr>
          <w:rFonts w:hint="eastAsia" w:ascii="宋体" w:hAnsi="宋体" w:cs="宋体"/>
          <w:color w:val="auto"/>
          <w:kern w:val="0"/>
          <w:sz w:val="21"/>
          <w:szCs w:val="21"/>
          <w:highlight w:val="none"/>
        </w:rPr>
        <w:t>保修责任</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工程保修期为：</w:t>
      </w:r>
      <w:r>
        <w:rPr>
          <w:rFonts w:hint="eastAsia" w:ascii="宋体" w:hAnsi="宋体" w:cs="宋体"/>
          <w:color w:val="auto"/>
          <w:sz w:val="21"/>
          <w:szCs w:val="21"/>
          <w:highlight w:val="none"/>
          <w:lang w:val="en-US" w:eastAsia="zh-CN"/>
        </w:rPr>
        <w:t>1年</w:t>
      </w:r>
      <w:r>
        <w:rPr>
          <w:rFonts w:hint="eastAsia" w:ascii="宋体" w:hAnsi="宋体" w:cs="宋体"/>
          <w:color w:val="auto"/>
          <w:sz w:val="21"/>
          <w:szCs w:val="21"/>
          <w:highlight w:val="none"/>
        </w:rPr>
        <w:t>。</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15.4.3</w:t>
      </w:r>
      <w:r>
        <w:rPr>
          <w:rFonts w:hint="eastAsia" w:ascii="宋体" w:hAnsi="宋体" w:cs="宋体"/>
          <w:color w:val="auto"/>
          <w:sz w:val="21"/>
          <w:szCs w:val="21"/>
          <w:highlight w:val="none"/>
        </w:rPr>
        <w:t xml:space="preserve"> 修复通知</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合同当事人约定：承包人收到保修通知并到达工程现场的合理时间为48小时内（含48小时）。</w:t>
      </w:r>
    </w:p>
    <w:p>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 违约</w:t>
      </w:r>
      <w:bookmarkEnd w:id="429"/>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16.1</w:t>
      </w:r>
      <w:r>
        <w:rPr>
          <w:rFonts w:hint="eastAsia" w:hAnsi="宋体" w:cs="宋体"/>
          <w:color w:val="auto"/>
          <w:sz w:val="21"/>
          <w:szCs w:val="21"/>
          <w:highlight w:val="none"/>
        </w:rPr>
        <w:t xml:space="preserve"> 发包人违约</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.1.1发包人违约的情形按通用条款确定。</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.1.2 发包人违约的责任</w:t>
      </w:r>
    </w:p>
    <w:p>
      <w:pPr>
        <w:spacing w:line="450" w:lineRule="exact"/>
        <w:ind w:firstLine="420" w:firstLineChars="200"/>
        <w:rPr>
          <w:rFonts w:hint="eastAsia" w:ascii="宋体" w:hAnsi="宋体" w:cs="宋体"/>
          <w:color w:val="auto"/>
          <w:sz w:val="21"/>
          <w:szCs w:val="21"/>
          <w:highlight w:val="yellow"/>
        </w:rPr>
      </w:pPr>
      <w:r>
        <w:rPr>
          <w:rFonts w:hint="eastAsia" w:ascii="宋体" w:hAnsi="宋体" w:cs="宋体"/>
          <w:color w:val="auto"/>
          <w:sz w:val="21"/>
          <w:szCs w:val="21"/>
          <w:highlight w:val="none"/>
        </w:rPr>
        <w:t>发包人应承担其违约承包人增加的费用和（或）延误工期，并支付承包人合理的利润。</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.1.3  关于发包人违约解除合同的约定：执行通用条款。</w:t>
      </w:r>
    </w:p>
    <w:p>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16.2</w:t>
      </w:r>
      <w:r>
        <w:rPr>
          <w:rFonts w:hint="eastAsia" w:hAnsi="宋体" w:cs="宋体"/>
          <w:color w:val="auto"/>
          <w:sz w:val="21"/>
          <w:szCs w:val="21"/>
          <w:highlight w:val="none"/>
        </w:rPr>
        <w:t>承包人违约</w:t>
      </w:r>
    </w:p>
    <w:p>
      <w:pPr>
        <w:spacing w:line="450" w:lineRule="exact"/>
        <w:ind w:firstLine="420" w:firstLineChars="200"/>
        <w:rPr>
          <w:rFonts w:hint="eastAsia" w:ascii="宋体" w:hAnsi="宋体" w:cs="宋体"/>
          <w:color w:val="auto"/>
          <w:sz w:val="21"/>
          <w:szCs w:val="21"/>
          <w:highlight w:val="none"/>
        </w:rPr>
      </w:pPr>
      <w:bookmarkStart w:id="430" w:name="_Toc364853239"/>
      <w:r>
        <w:rPr>
          <w:rFonts w:hint="eastAsia" w:ascii="宋体" w:hAnsi="宋体" w:cs="宋体"/>
          <w:color w:val="auto"/>
          <w:sz w:val="21"/>
          <w:szCs w:val="21"/>
          <w:highlight w:val="none"/>
          <w:lang w:val="en-US" w:eastAsia="zh-CN"/>
        </w:rPr>
        <w:t>16.2.1</w:t>
      </w:r>
      <w:r>
        <w:rPr>
          <w:rFonts w:hint="eastAsia" w:ascii="宋体" w:hAnsi="宋体" w:cs="宋体"/>
          <w:color w:val="auto"/>
          <w:sz w:val="21"/>
          <w:szCs w:val="21"/>
          <w:highlight w:val="none"/>
        </w:rPr>
        <w:t>承包人违约的情形按通用条款确定。</w:t>
      </w:r>
    </w:p>
    <w:p>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16.2.2</w:t>
      </w:r>
      <w:r>
        <w:rPr>
          <w:rFonts w:hint="eastAsia" w:ascii="宋体" w:hAnsi="宋体" w:cs="宋体"/>
          <w:color w:val="auto"/>
          <w:sz w:val="21"/>
          <w:szCs w:val="21"/>
          <w:highlight w:val="none"/>
        </w:rPr>
        <w:t>承包人违约的责任</w:t>
      </w:r>
    </w:p>
    <w:p>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承包人应承担其违约行为及纠正其违约行为而增加的费用和（或）延误的工期。延误工期的，</w:t>
      </w:r>
      <w:r>
        <w:rPr>
          <w:rFonts w:hint="eastAsia" w:ascii="宋体" w:hAnsi="宋体" w:cs="宋体"/>
          <w:color w:val="auto"/>
          <w:kern w:val="0"/>
          <w:sz w:val="21"/>
          <w:szCs w:val="21"/>
          <w:highlight w:val="none"/>
        </w:rPr>
        <w:t>根据实际延误的时间，按本合同约定的工期延误赔偿标准向发包人支付违约金；延误超过56天的，按本合同约定的工期延误赔偿标准两倍支付违约金；逾期竣工违约金的限额不足时，发包人有权向承包人追偿。</w:t>
      </w:r>
    </w:p>
    <w:p>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16.2.3</w:t>
      </w:r>
      <w:r>
        <w:rPr>
          <w:rFonts w:hint="eastAsia" w:ascii="宋体" w:hAnsi="宋体" w:cs="宋体"/>
          <w:color w:val="auto"/>
          <w:kern w:val="0"/>
          <w:sz w:val="21"/>
          <w:szCs w:val="21"/>
          <w:highlight w:val="none"/>
        </w:rPr>
        <w:t xml:space="preserve"> 关于因承包人违约解除合同的约定：执行通用条款。</w:t>
      </w:r>
    </w:p>
    <w:p>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17. 不可抗力</w:t>
      </w:r>
      <w:bookmarkEnd w:id="430"/>
      <w:r>
        <w:rPr>
          <w:rFonts w:hint="eastAsia" w:ascii="宋体" w:hAnsi="宋体" w:cs="宋体"/>
          <w:color w:val="auto"/>
          <w:sz w:val="21"/>
          <w:szCs w:val="21"/>
          <w:highlight w:val="none"/>
        </w:rPr>
        <w:t xml:space="preserve"> </w:t>
      </w:r>
    </w:p>
    <w:p>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17.1 不可抗力的确认</w:t>
      </w:r>
    </w:p>
    <w:p>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除通用合同条款约定的不可抗力事件之外，视为不可抗力的其他情形：火灾、洪水、罢工、政府征用、政府禁止令等。</w:t>
      </w:r>
    </w:p>
    <w:p>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因不可抗力解除合同</w:t>
      </w:r>
    </w:p>
    <w:p>
      <w:pPr>
        <w:adjustRightInd w:val="0"/>
        <w:spacing w:line="450" w:lineRule="exact"/>
        <w:ind w:firstLine="420" w:firstLineChars="200"/>
        <w:rPr>
          <w:rFonts w:hint="eastAsia" w:ascii="宋体" w:hAnsi="宋体" w:cs="宋体"/>
          <w:color w:val="auto"/>
          <w:kern w:val="0"/>
          <w:sz w:val="21"/>
          <w:szCs w:val="21"/>
          <w:highlight w:val="none"/>
        </w:rPr>
      </w:pPr>
      <w:bookmarkStart w:id="431" w:name="_Toc364853240"/>
      <w:r>
        <w:rPr>
          <w:rFonts w:hint="eastAsia" w:ascii="宋体" w:hAnsi="宋体" w:cs="宋体"/>
          <w:color w:val="auto"/>
          <w:kern w:val="0"/>
          <w:sz w:val="21"/>
          <w:szCs w:val="21"/>
          <w:highlight w:val="none"/>
        </w:rPr>
        <w:t>合同解除后，发包人应在商定或确定发包人应支付款项后28天内完成款项的支付。</w:t>
      </w:r>
    </w:p>
    <w:p>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18. 保险</w:t>
      </w:r>
      <w:bookmarkEnd w:id="431"/>
    </w:p>
    <w:p>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18.1 工程保险</w:t>
      </w:r>
    </w:p>
    <w:p>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关于工程保险的特别约定：</w:t>
      </w:r>
      <w:r>
        <w:rPr>
          <w:rFonts w:hint="eastAsia" w:ascii="宋体" w:hAnsi="宋体" w:cs="宋体"/>
          <w:color w:val="auto"/>
          <w:sz w:val="21"/>
          <w:szCs w:val="21"/>
          <w:highlight w:val="none"/>
        </w:rPr>
        <w:t>执行通用条款</w:t>
      </w:r>
      <w:r>
        <w:rPr>
          <w:rFonts w:hint="eastAsia" w:ascii="宋体" w:hAnsi="宋体" w:cs="宋体"/>
          <w:color w:val="auto"/>
          <w:kern w:val="0"/>
          <w:sz w:val="21"/>
          <w:szCs w:val="21"/>
          <w:highlight w:val="none"/>
        </w:rPr>
        <w:t>。</w:t>
      </w:r>
    </w:p>
    <w:p>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 其他保险</w:t>
      </w:r>
    </w:p>
    <w:p>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关于其他保险的约定：除第三者责任险外，保险费用由被保险人承担。</w:t>
      </w:r>
    </w:p>
    <w:p>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w:t>
      </w:r>
      <w:r>
        <w:rPr>
          <w:rFonts w:hint="eastAsia" w:ascii="宋体" w:hAnsi="宋体" w:cs="宋体"/>
          <w:color w:val="auto"/>
          <w:kern w:val="0"/>
          <w:sz w:val="21"/>
          <w:szCs w:val="21"/>
          <w:highlight w:val="none"/>
          <w:u w:val="single"/>
        </w:rPr>
        <w:t xml:space="preserve">  应当 </w:t>
      </w:r>
      <w:r>
        <w:rPr>
          <w:rFonts w:hint="eastAsia" w:ascii="宋体" w:hAnsi="宋体" w:cs="宋体"/>
          <w:color w:val="auto"/>
          <w:kern w:val="0"/>
          <w:sz w:val="21"/>
          <w:szCs w:val="21"/>
          <w:highlight w:val="none"/>
        </w:rPr>
        <w:t>为其施工设备等办理财产保险。</w:t>
      </w:r>
    </w:p>
    <w:p>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 xml:space="preserve"> 通知义务</w:t>
      </w:r>
    </w:p>
    <w:p>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关于变更保险合同时的通知义务的约定：执行通用条款。</w:t>
      </w:r>
      <w:bookmarkStart w:id="432" w:name="_Toc364853241"/>
    </w:p>
    <w:p>
      <w:pPr>
        <w:pStyle w:val="6"/>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 争议解决</w:t>
      </w:r>
      <w:bookmarkEnd w:id="432"/>
    </w:p>
    <w:p>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20.3</w:t>
      </w:r>
      <w:r>
        <w:rPr>
          <w:rFonts w:hint="eastAsia" w:hAnsi="宋体" w:cs="宋体"/>
          <w:color w:val="auto"/>
          <w:sz w:val="21"/>
          <w:szCs w:val="21"/>
          <w:highlight w:val="none"/>
        </w:rPr>
        <w:t xml:space="preserve"> 争议评审</w:t>
      </w:r>
    </w:p>
    <w:p>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合同当事人</w:t>
      </w:r>
      <w:r>
        <w:rPr>
          <w:rFonts w:hint="eastAsia" w:ascii="宋体" w:hAnsi="宋体" w:cs="宋体"/>
          <w:color w:val="auto"/>
          <w:kern w:val="0"/>
          <w:sz w:val="21"/>
          <w:szCs w:val="21"/>
          <w:highlight w:val="none"/>
          <w:u w:val="single"/>
        </w:rPr>
        <w:t xml:space="preserve">   不同意  </w:t>
      </w:r>
      <w:r>
        <w:rPr>
          <w:rFonts w:hint="eastAsia" w:ascii="宋体" w:hAnsi="宋体" w:cs="宋体"/>
          <w:color w:val="auto"/>
          <w:kern w:val="0"/>
          <w:sz w:val="21"/>
          <w:szCs w:val="21"/>
          <w:highlight w:val="none"/>
        </w:rPr>
        <w:t xml:space="preserve">将工程争议提交争议评审小组决定。  </w:t>
      </w:r>
    </w:p>
    <w:p>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20.4</w:t>
      </w:r>
      <w:r>
        <w:rPr>
          <w:rFonts w:hint="eastAsia" w:hAnsi="宋体" w:cs="宋体"/>
          <w:color w:val="auto"/>
          <w:sz w:val="21"/>
          <w:szCs w:val="21"/>
          <w:highlight w:val="none"/>
        </w:rPr>
        <w:t>仲裁或诉讼</w:t>
      </w:r>
    </w:p>
    <w:p>
      <w:pPr>
        <w:adjustRightInd w:val="0"/>
        <w:spacing w:line="450" w:lineRule="exact"/>
        <w:ind w:firstLine="420" w:firstLineChars="200"/>
        <w:rPr>
          <w:rFonts w:hint="eastAsia" w:ascii="宋体" w:hAnsi="宋体" w:cs="宋体"/>
          <w:color w:val="auto"/>
          <w:kern w:val="0"/>
          <w:sz w:val="24"/>
          <w:szCs w:val="24"/>
          <w:highlight w:val="none"/>
        </w:rPr>
      </w:pPr>
      <w:r>
        <w:rPr>
          <w:rFonts w:hint="eastAsia" w:ascii="宋体" w:hAnsi="宋体" w:cs="宋体"/>
          <w:color w:val="auto"/>
          <w:kern w:val="0"/>
          <w:sz w:val="21"/>
          <w:szCs w:val="21"/>
          <w:highlight w:val="none"/>
        </w:rPr>
        <w:t>因合同及合同有关事项发生的争议，向</w:t>
      </w:r>
      <w:r>
        <w:rPr>
          <w:rFonts w:hint="eastAsia" w:ascii="宋体" w:hAnsi="宋体" w:cs="宋体"/>
          <w:color w:val="auto"/>
          <w:kern w:val="0"/>
          <w:sz w:val="21"/>
          <w:szCs w:val="21"/>
          <w:highlight w:val="none"/>
          <w:u w:val="single"/>
        </w:rPr>
        <w:t>宁波市奉化区</w:t>
      </w:r>
      <w:r>
        <w:rPr>
          <w:rFonts w:hint="eastAsia" w:ascii="宋体" w:hAnsi="宋体" w:cs="宋体"/>
          <w:color w:val="auto"/>
          <w:kern w:val="0"/>
          <w:sz w:val="21"/>
          <w:szCs w:val="21"/>
          <w:highlight w:val="none"/>
        </w:rPr>
        <w:t>人民法院起诉。</w:t>
      </w:r>
    </w:p>
    <w:p>
      <w:pPr>
        <w:pStyle w:val="35"/>
        <w:keepNext w:val="0"/>
        <w:keepLines w:val="0"/>
        <w:pageBreakBefore w:val="0"/>
        <w:kinsoku/>
        <w:wordWrap/>
        <w:overflowPunct/>
        <w:topLinePunct w:val="0"/>
        <w:bidi w:val="0"/>
        <w:snapToGrid/>
        <w:spacing w:line="440" w:lineRule="exact"/>
        <w:ind w:firstLine="0" w:firstLineChars="0"/>
        <w:textAlignment w:val="auto"/>
        <w:rPr>
          <w:rFonts w:asciiTheme="minorEastAsia" w:hAnsiTheme="minorEastAsia" w:eastAsiaTheme="minorEastAsia" w:cstheme="minorEastAsia"/>
          <w:color w:val="auto"/>
          <w:highlight w:val="none"/>
        </w:rPr>
      </w:pPr>
    </w:p>
    <w:p>
      <w:pPr>
        <w:spacing w:line="360" w:lineRule="auto"/>
        <w:ind w:firstLine="482" w:firstLineChars="200"/>
        <w:jc w:val="center"/>
        <w:rPr>
          <w:rFonts w:hint="eastAsia" w:ascii="宋体" w:hAnsi="宋体" w:eastAsia="宋体" w:cs="宋体"/>
          <w:b/>
          <w:bCs/>
          <w:color w:val="auto"/>
          <w:sz w:val="21"/>
          <w:szCs w:val="21"/>
          <w:highlight w:val="none"/>
        </w:rPr>
      </w:pPr>
      <w:r>
        <w:rPr>
          <w:rFonts w:hint="eastAsia" w:asciiTheme="minorEastAsia" w:hAnsiTheme="minorEastAsia" w:eastAsiaTheme="minorEastAsia" w:cstheme="minorEastAsia"/>
          <w:b/>
          <w:color w:val="auto"/>
          <w:sz w:val="24"/>
          <w:highlight w:val="none"/>
        </w:rPr>
        <w:br w:type="page"/>
      </w:r>
      <w:r>
        <w:rPr>
          <w:rFonts w:hint="eastAsia" w:ascii="宋体" w:hAnsi="宋体" w:eastAsia="宋体" w:cs="宋体"/>
          <w:b/>
          <w:bCs/>
          <w:color w:val="auto"/>
          <w:sz w:val="21"/>
          <w:szCs w:val="21"/>
          <w:highlight w:val="none"/>
        </w:rPr>
        <w:t>第四部分  附件</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附件1：工程质量保修书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附件2：安全生产合同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附件3：工程项目廉政合同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附件4：承包人用于本工程施工的机械设备表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附件5：承包人主要施工管理人员表</w:t>
      </w: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33" w:name="_Toc296503226"/>
      <w:bookmarkStart w:id="434" w:name="_Toc296891054"/>
      <w:bookmarkStart w:id="435" w:name="_Toc267261693"/>
      <w:bookmarkStart w:id="436" w:name="_Toc296347225"/>
      <w:bookmarkStart w:id="437" w:name="_Toc296891266"/>
      <w:bookmarkStart w:id="438" w:name="_Toc296944565"/>
      <w:bookmarkStart w:id="439" w:name="_Toc296346727"/>
      <w:r>
        <w:rPr>
          <w:rFonts w:hint="eastAsia" w:ascii="宋体" w:hAnsi="宋体" w:cs="宋体"/>
          <w:b/>
          <w:color w:val="auto"/>
          <w:sz w:val="21"/>
          <w:szCs w:val="21"/>
          <w:highlight w:val="none"/>
        </w:rPr>
        <w:t>件1：</w:t>
      </w:r>
      <w:bookmarkEnd w:id="433"/>
      <w:bookmarkEnd w:id="434"/>
      <w:bookmarkEnd w:id="435"/>
      <w:bookmarkEnd w:id="436"/>
      <w:bookmarkEnd w:id="437"/>
      <w:bookmarkEnd w:id="438"/>
      <w:bookmarkEnd w:id="439"/>
      <w:r>
        <w:rPr>
          <w:rFonts w:hint="eastAsia" w:ascii="宋体" w:hAnsi="宋体" w:cs="宋体"/>
          <w:b/>
          <w:color w:val="auto"/>
          <w:sz w:val="21"/>
          <w:szCs w:val="21"/>
          <w:highlight w:val="none"/>
        </w:rPr>
        <w:t xml:space="preserve">    </w:t>
      </w:r>
    </w:p>
    <w:p>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工程质量保修书</w:t>
      </w:r>
    </w:p>
    <w:p>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发包人（全称）：</w:t>
      </w:r>
      <w:r>
        <w:rPr>
          <w:rFonts w:hint="eastAsia" w:ascii="宋体" w:hAnsi="宋体" w:cs="宋体"/>
          <w:color w:val="auto"/>
          <w:sz w:val="21"/>
          <w:szCs w:val="21"/>
          <w:highlight w:val="none"/>
          <w:u w:val="single"/>
        </w:rPr>
        <w:t>宁波市奉化区惠海地下管线投资有限公司</w:t>
      </w:r>
    </w:p>
    <w:p>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承包人（全称）：</w:t>
      </w:r>
      <w:r>
        <w:rPr>
          <w:rFonts w:hint="eastAsia" w:ascii="宋体" w:hAnsi="宋体" w:eastAsia="宋体" w:cs="宋体"/>
          <w:color w:val="auto"/>
          <w:sz w:val="21"/>
          <w:szCs w:val="21"/>
          <w:highlight w:val="none"/>
          <w:u w:val="single"/>
          <w:lang w:val="en-US" w:eastAsia="zh-CN"/>
        </w:rPr>
        <w:t xml:space="preserve">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发包人和承包人根据《中华人民共和国建筑法》和《建设工程质量管理条例》，经协商一致就</w:t>
      </w:r>
      <w:r>
        <w:rPr>
          <w:rFonts w:hint="eastAsia" w:ascii="宋体" w:hAnsi="宋体" w:eastAsia="宋体" w:cs="宋体"/>
          <w:color w:val="auto"/>
          <w:sz w:val="21"/>
          <w:szCs w:val="21"/>
          <w:highlight w:val="none"/>
          <w:u w:val="single"/>
          <w:lang w:eastAsia="zh-CN"/>
        </w:rPr>
        <w:t>尚桥科技园区电力配套（一期）工程-市政业扩及迁改工程—土建部分</w:t>
      </w:r>
      <w:r>
        <w:rPr>
          <w:rFonts w:hint="eastAsia" w:ascii="宋体" w:hAnsi="宋体" w:cs="宋体"/>
          <w:color w:val="auto"/>
          <w:sz w:val="21"/>
          <w:szCs w:val="21"/>
          <w:highlight w:val="none"/>
        </w:rPr>
        <w:t>质量保修书。</w:t>
      </w:r>
    </w:p>
    <w:p>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一、工程质量保修范围和内容</w:t>
      </w:r>
    </w:p>
    <w:p>
      <w:pPr>
        <w:spacing w:line="360" w:lineRule="auto"/>
        <w:ind w:firstLine="420" w:firstLineChars="200"/>
        <w:rPr>
          <w:rFonts w:hint="eastAsia" w:ascii="宋体" w:hAnsi="宋体" w:eastAsia="宋体" w:cs="宋体"/>
          <w:bCs/>
          <w:snapToGrid w:val="0"/>
          <w:color w:val="auto"/>
          <w:kern w:val="2"/>
          <w:sz w:val="22"/>
          <w:szCs w:val="22"/>
          <w:highlight w:val="yellow"/>
          <w:lang w:val="en-US" w:eastAsia="zh-CN" w:bidi="ar-SA"/>
        </w:rPr>
      </w:pPr>
      <w:r>
        <w:rPr>
          <w:rFonts w:hint="eastAsia" w:ascii="宋体" w:hAnsi="宋体" w:eastAsia="宋体" w:cs="宋体"/>
          <w:color w:val="auto"/>
          <w:sz w:val="21"/>
          <w:szCs w:val="21"/>
          <w:highlight w:val="none"/>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1"/>
          <w:szCs w:val="21"/>
          <w:highlight w:val="none"/>
          <w:lang w:val="en-US" w:eastAsia="zh-CN"/>
        </w:rPr>
        <w:t>施工图范围内的电力排管、电缆井、环网站等。</w:t>
      </w:r>
    </w:p>
    <w:p>
      <w:pPr>
        <w:pStyle w:val="66"/>
        <w:spacing w:line="360" w:lineRule="auto"/>
        <w:ind w:firstLine="422" w:firstLineChars="200"/>
        <w:rPr>
          <w:rFonts w:hint="eastAsia" w:cs="宋体"/>
          <w:b/>
          <w:color w:val="auto"/>
          <w:sz w:val="21"/>
          <w:szCs w:val="21"/>
          <w:highlight w:val="none"/>
        </w:rPr>
      </w:pPr>
      <w:r>
        <w:rPr>
          <w:rFonts w:hint="eastAsia" w:cs="宋体"/>
          <w:b/>
          <w:color w:val="auto"/>
          <w:sz w:val="21"/>
          <w:szCs w:val="21"/>
          <w:highlight w:val="none"/>
        </w:rPr>
        <w:t>二、质量保修期</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根据《建设工程质量管理条例》及有关规定，工程的质量保修期如下：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eastAsia="宋体" w:cs="宋体"/>
          <w:color w:val="auto"/>
          <w:sz w:val="21"/>
          <w:szCs w:val="21"/>
          <w:highlight w:val="none"/>
          <w:lang w:val="en-US" w:eastAsia="zh-CN"/>
        </w:rPr>
        <w:t>本工程保修期为</w:t>
      </w:r>
      <w:r>
        <w:rPr>
          <w:rFonts w:hint="eastAsia" w:ascii="宋体" w:hAnsi="宋体" w:cs="宋体"/>
          <w:color w:val="0000FF"/>
          <w:sz w:val="21"/>
          <w:szCs w:val="21"/>
          <w:highlight w:val="none"/>
          <w:lang w:val="en-US" w:eastAsia="zh-CN"/>
        </w:rPr>
        <w:t>1</w:t>
      </w:r>
      <w:r>
        <w:rPr>
          <w:rFonts w:hint="eastAsia" w:ascii="宋体" w:hAnsi="宋体" w:eastAsia="宋体" w:cs="宋体"/>
          <w:color w:val="0000FF"/>
          <w:sz w:val="21"/>
          <w:szCs w:val="21"/>
          <w:highlight w:val="none"/>
          <w:lang w:val="en-US" w:eastAsia="zh-CN"/>
        </w:rPr>
        <w:t>年</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cs="宋体"/>
          <w:b/>
          <w:color w:val="auto"/>
          <w:sz w:val="21"/>
          <w:szCs w:val="21"/>
          <w:highlight w:val="none"/>
        </w:rPr>
      </w:pPr>
      <w:r>
        <w:rPr>
          <w:rFonts w:hint="eastAsia" w:ascii="宋体" w:hAnsi="宋体" w:cs="宋体"/>
          <w:color w:val="auto"/>
          <w:sz w:val="21"/>
          <w:szCs w:val="21"/>
          <w:highlight w:val="none"/>
        </w:rPr>
        <w:t>　　质量保修期自工程竣工验收合格之日起计算。</w:t>
      </w:r>
    </w:p>
    <w:p>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三、缺陷责任期</w:t>
      </w:r>
    </w:p>
    <w:p>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工程缺陷责任期为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rPr>
        <w:t>个月，缺陷责任期自工程竣工验收合格之日起计算。单位工程先于全部工程进行验收，单位工程缺陷责任期自单位工程验收合格之日起算。</w:t>
      </w:r>
    </w:p>
    <w:p>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缺陷责任期终止后，发包人在完成最终结清后应退还承包人的质量保证金保函或剩余的质量保证金。</w:t>
      </w:r>
    </w:p>
    <w:p>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四、质量保修责任</w:t>
      </w:r>
    </w:p>
    <w:p>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1．属于保修范围、内容的项目，承包人应当在接到保修通知之日起7天内派人保修。承包人不在约定期限内派人保修的，发包人可以委托他人修理。</w:t>
      </w:r>
    </w:p>
    <w:p>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2．发生紧急事故需抢修的，承包人在接到事故通知后，应当立即到达事故现场抢修。</w:t>
      </w:r>
    </w:p>
    <w:p>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105" w:leftChars="50"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4．质量保修完成后，由发包人组织验收。</w:t>
      </w:r>
    </w:p>
    <w:p>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五、保修费用</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保修费用由造成质量缺陷的责任方承担。</w:t>
      </w:r>
    </w:p>
    <w:p>
      <w:pPr>
        <w:spacing w:line="360" w:lineRule="auto"/>
        <w:ind w:firstLine="413" w:firstLineChars="196"/>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六、双方约定的其他工程质量保修事项：</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rPr>
        <w:t>。</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工程质量保修书由发包人、承包人在工程竣工验收前共同签署，作为施工合同附件，其有效期限至保修期满。</w:t>
      </w:r>
    </w:p>
    <w:p>
      <w:pPr>
        <w:spacing w:line="360" w:lineRule="auto"/>
        <w:ind w:firstLine="420"/>
        <w:rPr>
          <w:rFonts w:hint="eastAsia" w:ascii="宋体" w:hAnsi="宋体" w:cs="宋体"/>
          <w:color w:val="auto"/>
          <w:sz w:val="21"/>
          <w:szCs w:val="21"/>
          <w:highlight w:val="none"/>
        </w:rPr>
      </w:pPr>
    </w:p>
    <w:p>
      <w:pPr>
        <w:autoSpaceDE w:val="0"/>
        <w:autoSpaceDN w:val="0"/>
        <w:adjustRightInd w:val="0"/>
        <w:spacing w:line="38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4"/>
          <w:sz w:val="21"/>
          <w:szCs w:val="21"/>
          <w:highlight w:val="none"/>
          <w:u w:val="single"/>
        </w:rPr>
        <w:t>宁波市奉化区惠海</w:t>
      </w:r>
      <w:r>
        <w:rPr>
          <w:rFonts w:hint="eastAsia" w:ascii="宋体" w:hAnsi="宋体" w:eastAsia="宋体" w:cs="宋体"/>
          <w:color w:val="auto"/>
          <w:spacing w:val="14"/>
          <w:sz w:val="21"/>
          <w:szCs w:val="21"/>
          <w:highlight w:val="none"/>
        </w:rPr>
        <w:t xml:space="preserve">     </w:t>
      </w:r>
      <w:r>
        <w:rPr>
          <w:rFonts w:hint="eastAsia" w:ascii="宋体" w:hAnsi="宋体" w:cs="宋体"/>
          <w:color w:val="auto"/>
          <w:spacing w:val="14"/>
          <w:sz w:val="21"/>
          <w:szCs w:val="21"/>
          <w:highlight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spacing w:line="560" w:lineRule="exact"/>
        <w:ind w:firstLine="1190" w:firstLineChars="500"/>
        <w:rPr>
          <w:rFonts w:hint="eastAsia" w:ascii="宋体" w:hAnsi="宋体" w:eastAsia="宋体" w:cs="宋体"/>
          <w:color w:val="auto"/>
          <w:sz w:val="21"/>
          <w:szCs w:val="21"/>
          <w:highlight w:val="none"/>
          <w:u w:val="single"/>
        </w:rPr>
      </w:pPr>
      <w:r>
        <w:rPr>
          <w:rFonts w:hint="eastAsia" w:ascii="宋体" w:hAnsi="宋体" w:eastAsia="宋体" w:cs="宋体"/>
          <w:color w:val="auto"/>
          <w:spacing w:val="14"/>
          <w:sz w:val="21"/>
          <w:szCs w:val="21"/>
          <w:highlight w:val="none"/>
          <w:u w:val="single"/>
        </w:rPr>
        <w:t>地下管线投资有限公司</w:t>
      </w:r>
      <w:r>
        <w:rPr>
          <w:rFonts w:hint="eastAsia" w:ascii="宋体" w:hAnsi="宋体" w:eastAsia="宋体" w:cs="宋体"/>
          <w:color w:val="auto"/>
          <w:sz w:val="21"/>
          <w:szCs w:val="21"/>
          <w:highlight w:val="none"/>
          <w:u w:val="single"/>
        </w:rPr>
        <w:t xml:space="preserve"> </w:t>
      </w:r>
    </w:p>
    <w:p>
      <w:pPr>
        <w:spacing w:line="560" w:lineRule="exac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奉化区岳林街道中山东路518号</w:t>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spacing w:line="560" w:lineRule="exact"/>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金城大厦</w:t>
      </w:r>
      <w:r>
        <w:rPr>
          <w:rFonts w:hint="eastAsia" w:ascii="宋体" w:hAnsi="宋体" w:eastAsia="宋体" w:cs="宋体"/>
          <w:color w:val="auto"/>
          <w:kern w:val="0"/>
          <w:sz w:val="21"/>
          <w:szCs w:val="21"/>
          <w:highlight w:val="none"/>
          <w:u w:val="single"/>
          <w:lang w:val="en-US" w:eastAsia="zh-CN"/>
        </w:rPr>
        <w:t>A</w:t>
      </w:r>
      <w:r>
        <w:rPr>
          <w:rFonts w:hint="eastAsia" w:ascii="宋体" w:hAnsi="宋体" w:eastAsia="宋体" w:cs="宋体"/>
          <w:color w:val="auto"/>
          <w:kern w:val="0"/>
          <w:sz w:val="21"/>
          <w:szCs w:val="21"/>
          <w:highlight w:val="none"/>
          <w:u w:val="single"/>
        </w:rPr>
        <w:t>座1</w:t>
      </w:r>
      <w:r>
        <w:rPr>
          <w:rFonts w:hint="eastAsia" w:ascii="宋体" w:hAnsi="宋体" w:eastAsia="宋体" w:cs="宋体"/>
          <w:color w:val="auto"/>
          <w:kern w:val="0"/>
          <w:sz w:val="21"/>
          <w:szCs w:val="21"/>
          <w:highlight w:val="none"/>
          <w:u w:val="single"/>
          <w:lang w:val="en-US" w:eastAsia="zh-CN"/>
        </w:rPr>
        <w:t>8</w:t>
      </w:r>
      <w:r>
        <w:rPr>
          <w:rFonts w:hint="eastAsia" w:ascii="宋体" w:hAnsi="宋体" w:eastAsia="宋体" w:cs="宋体"/>
          <w:color w:val="auto"/>
          <w:kern w:val="0"/>
          <w:sz w:val="21"/>
          <w:szCs w:val="21"/>
          <w:highlight w:val="none"/>
          <w:u w:val="single"/>
        </w:rPr>
        <w:t>楼</w:t>
      </w:r>
      <w:r>
        <w:rPr>
          <w:rFonts w:hint="eastAsia" w:ascii="宋体" w:hAnsi="宋体" w:eastAsia="宋体" w:cs="宋体"/>
          <w:color w:val="auto"/>
          <w:sz w:val="21"/>
          <w:szCs w:val="21"/>
          <w:highlight w:val="none"/>
        </w:rPr>
        <w:t xml:space="preserve">  </w:t>
      </w:r>
    </w:p>
    <w:p>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p>
    <w:p>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p>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autoSpaceDE w:val="0"/>
        <w:autoSpaceDN w:val="0"/>
        <w:adjustRightInd w:val="0"/>
        <w:spacing w:line="44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u w:val="single"/>
          <w:lang w:val="zh-CN"/>
        </w:rPr>
        <w:t>宁波银行股份有限公司岳林支行</w:t>
      </w:r>
      <w:r>
        <w:rPr>
          <w:rFonts w:hint="eastAsia" w:ascii="宋体" w:hAnsi="宋体" w:eastAsia="宋体" w:cs="宋体"/>
          <w:color w:val="auto"/>
          <w:kern w:val="0"/>
          <w:sz w:val="21"/>
          <w:szCs w:val="21"/>
          <w:highlight w:val="none"/>
          <w:lang w:val="zh-CN"/>
        </w:rPr>
        <w:t xml:space="preserve">   开户银行：</w:t>
      </w:r>
      <w:r>
        <w:rPr>
          <w:rFonts w:hint="eastAsia" w:ascii="宋体" w:hAnsi="宋体" w:eastAsia="宋体" w:cs="宋体"/>
          <w:color w:val="auto"/>
          <w:kern w:val="0"/>
          <w:sz w:val="21"/>
          <w:szCs w:val="21"/>
          <w:highlight w:val="none"/>
          <w:u w:val="single"/>
          <w:lang w:val="en-US" w:eastAsia="zh-CN"/>
        </w:rPr>
        <w:t xml:space="preserve">                       </w:t>
      </w:r>
    </w:p>
    <w:p>
      <w:pPr>
        <w:spacing w:line="360" w:lineRule="auto"/>
        <w:rPr>
          <w:rFonts w:hint="eastAsia" w:ascii="宋体" w:hAnsi="宋体" w:cs="宋体"/>
          <w:color w:val="auto"/>
          <w:sz w:val="21"/>
          <w:szCs w:val="21"/>
          <w:highlight w:val="none"/>
          <w:u w:val="single"/>
        </w:rPr>
      </w:pPr>
      <w:r>
        <w:rPr>
          <w:rFonts w:hint="eastAsia" w:ascii="宋体" w:hAnsi="宋体" w:eastAsia="宋体" w:cs="宋体"/>
          <w:color w:val="auto"/>
          <w:kern w:val="0"/>
          <w:sz w:val="21"/>
          <w:szCs w:val="21"/>
          <w:highlight w:val="none"/>
          <w:lang w:val="zh-CN"/>
        </w:rPr>
        <w:t>账号：</w:t>
      </w:r>
      <w:r>
        <w:rPr>
          <w:rFonts w:hint="eastAsia" w:ascii="宋体" w:hAnsi="宋体" w:eastAsia="宋体" w:cs="宋体"/>
          <w:color w:val="auto"/>
          <w:kern w:val="0"/>
          <w:sz w:val="21"/>
          <w:szCs w:val="21"/>
          <w:highlight w:val="none"/>
          <w:u w:val="single"/>
          <w:lang w:val="zh-CN"/>
        </w:rPr>
        <w:t xml:space="preserve">64040122 000030230 </w:t>
      </w:r>
      <w:r>
        <w:rPr>
          <w:rFonts w:hint="eastAsia" w:ascii="宋体" w:hAnsi="宋体" w:eastAsia="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pPr>
        <w:spacing w:line="360" w:lineRule="auto"/>
        <w:rPr>
          <w:rFonts w:hint="eastAsia" w:ascii="宋体" w:hAnsi="宋体" w:cs="宋体"/>
          <w:color w:val="auto"/>
          <w:sz w:val="21"/>
          <w:szCs w:val="21"/>
          <w:highlight w:val="none"/>
          <w:u w:val="single"/>
        </w:rPr>
      </w:pPr>
    </w:p>
    <w:p>
      <w:pPr>
        <w:spacing w:line="360" w:lineRule="auto"/>
        <w:rPr>
          <w:rFonts w:hint="eastAsia" w:ascii="宋体" w:hAnsi="宋体" w:cs="宋体"/>
          <w:color w:val="auto"/>
          <w:sz w:val="21"/>
          <w:szCs w:val="21"/>
          <w:highlight w:val="none"/>
          <w:u w:val="single"/>
        </w:rPr>
      </w:pPr>
    </w:p>
    <w:p>
      <w:pPr>
        <w:spacing w:line="360" w:lineRule="auto"/>
        <w:rPr>
          <w:rFonts w:hint="eastAsia" w:ascii="宋体" w:hAnsi="宋体" w:cs="宋体"/>
          <w:color w:val="auto"/>
          <w:sz w:val="21"/>
          <w:szCs w:val="21"/>
          <w:highlight w:val="none"/>
          <w:u w:val="single"/>
        </w:rPr>
      </w:pPr>
    </w:p>
    <w:p>
      <w:pPr>
        <w:spacing w:line="360" w:lineRule="auto"/>
        <w:rPr>
          <w:rFonts w:hint="eastAsia" w:ascii="宋体" w:hAnsi="宋体" w:cs="宋体"/>
          <w:color w:val="auto"/>
          <w:sz w:val="21"/>
          <w:szCs w:val="21"/>
          <w:highlight w:val="none"/>
          <w:u w:val="single"/>
        </w:rPr>
      </w:pPr>
    </w:p>
    <w:p>
      <w:pPr>
        <w:spacing w:line="360" w:lineRule="auto"/>
        <w:rPr>
          <w:rFonts w:hint="eastAsia" w:ascii="宋体" w:hAnsi="宋体" w:cs="宋体"/>
          <w:color w:val="auto"/>
          <w:sz w:val="21"/>
          <w:szCs w:val="21"/>
          <w:highlight w:val="none"/>
          <w:u w:val="single"/>
        </w:rPr>
      </w:pPr>
    </w:p>
    <w:p>
      <w:pPr>
        <w:spacing w:line="360" w:lineRule="auto"/>
        <w:rPr>
          <w:rFonts w:hint="eastAsia" w:ascii="宋体" w:hAnsi="宋体" w:cs="宋体"/>
          <w:color w:val="auto"/>
          <w:sz w:val="21"/>
          <w:szCs w:val="21"/>
          <w:highlight w:val="none"/>
          <w:u w:val="single"/>
        </w:rPr>
      </w:pPr>
    </w:p>
    <w:p>
      <w:pPr>
        <w:spacing w:line="360" w:lineRule="auto"/>
        <w:rPr>
          <w:rFonts w:hint="eastAsia" w:ascii="宋体" w:hAnsi="宋体" w:cs="宋体"/>
          <w:color w:val="auto"/>
          <w:sz w:val="21"/>
          <w:szCs w:val="21"/>
          <w:highlight w:val="none"/>
          <w:u w:val="single"/>
        </w:rPr>
      </w:pPr>
    </w:p>
    <w:p>
      <w:pPr>
        <w:spacing w:line="360" w:lineRule="auto"/>
        <w:rPr>
          <w:rFonts w:hint="eastAsia" w:ascii="宋体" w:hAnsi="宋体" w:cs="宋体"/>
          <w:color w:val="auto"/>
          <w:sz w:val="21"/>
          <w:szCs w:val="21"/>
          <w:highlight w:val="none"/>
          <w:u w:val="single"/>
        </w:rPr>
      </w:pPr>
    </w:p>
    <w:p>
      <w:pPr>
        <w:spacing w:line="360" w:lineRule="auto"/>
        <w:rPr>
          <w:rFonts w:hint="eastAsia" w:ascii="宋体" w:hAnsi="宋体" w:cs="宋体"/>
          <w:b/>
          <w:bCs/>
          <w:color w:val="auto"/>
          <w:sz w:val="21"/>
          <w:szCs w:val="21"/>
          <w:highlight w:val="none"/>
        </w:rPr>
      </w:pPr>
      <w:bookmarkStart w:id="440" w:name="_Toc360114130"/>
      <w:bookmarkStart w:id="441" w:name="_Toc359567922"/>
      <w:bookmarkStart w:id="442" w:name="_Toc315695235"/>
      <w:bookmarkStart w:id="443" w:name="_Toc315695461"/>
      <w:bookmarkStart w:id="444" w:name="_Toc358876721"/>
    </w:p>
    <w:p>
      <w:pPr>
        <w:spacing w:line="360" w:lineRule="auto"/>
        <w:rPr>
          <w:rFonts w:hint="eastAsia" w:ascii="宋体" w:hAnsi="宋体" w:cs="宋体"/>
          <w:b/>
          <w:bCs/>
          <w:color w:val="auto"/>
          <w:sz w:val="21"/>
          <w:szCs w:val="21"/>
          <w:highlight w:val="none"/>
        </w:rPr>
      </w:pPr>
    </w:p>
    <w:p>
      <w:pPr>
        <w:spacing w:line="360" w:lineRule="auto"/>
        <w:rPr>
          <w:rFonts w:hint="eastAsia" w:ascii="宋体" w:hAnsi="宋体" w:cs="宋体"/>
          <w:b/>
          <w:bCs/>
          <w:color w:val="auto"/>
          <w:sz w:val="21"/>
          <w:szCs w:val="21"/>
          <w:highlight w:val="none"/>
        </w:rPr>
      </w:pPr>
    </w:p>
    <w:p>
      <w:pPr>
        <w:spacing w:line="360" w:lineRule="auto"/>
        <w:rPr>
          <w:rFonts w:hint="eastAsia" w:ascii="宋体" w:hAnsi="宋体" w:cs="宋体"/>
          <w:b/>
          <w:bCs/>
          <w:color w:val="auto"/>
          <w:sz w:val="21"/>
          <w:szCs w:val="21"/>
          <w:highlight w:val="none"/>
        </w:rPr>
      </w:pPr>
    </w:p>
    <w:p>
      <w:pPr>
        <w:spacing w:line="360" w:lineRule="auto"/>
        <w:rPr>
          <w:rFonts w:hint="eastAsia" w:ascii="宋体" w:hAnsi="宋体" w:cs="宋体"/>
          <w:b/>
          <w:bCs/>
          <w:color w:val="auto"/>
          <w:sz w:val="21"/>
          <w:szCs w:val="21"/>
          <w:highlight w:val="none"/>
        </w:rPr>
      </w:pPr>
    </w:p>
    <w:p>
      <w:pPr>
        <w:spacing w:line="360" w:lineRule="auto"/>
        <w:rPr>
          <w:rFonts w:hint="eastAsia" w:ascii="宋体" w:hAnsi="宋体" w:cs="宋体"/>
          <w:b/>
          <w:bCs/>
          <w:color w:val="auto"/>
          <w:sz w:val="21"/>
          <w:szCs w:val="21"/>
          <w:highlight w:val="none"/>
        </w:rPr>
      </w:pPr>
    </w:p>
    <w:p>
      <w:pPr>
        <w:spacing w:line="360" w:lineRule="auto"/>
        <w:rPr>
          <w:rFonts w:hint="eastAsia" w:ascii="宋体" w:hAnsi="宋体" w:cs="宋体"/>
          <w:b/>
          <w:bCs/>
          <w:color w:val="auto"/>
          <w:sz w:val="21"/>
          <w:szCs w:val="21"/>
          <w:highlight w:val="none"/>
        </w:rPr>
      </w:pPr>
    </w:p>
    <w:p>
      <w:pPr>
        <w:spacing w:line="360" w:lineRule="auto"/>
        <w:rPr>
          <w:rFonts w:hint="eastAsia" w:ascii="宋体" w:hAnsi="宋体" w:cs="宋体"/>
          <w:b/>
          <w:bCs/>
          <w:color w:val="auto"/>
          <w:sz w:val="21"/>
          <w:szCs w:val="21"/>
          <w:highlight w:val="none"/>
        </w:rPr>
      </w:pPr>
    </w:p>
    <w:p>
      <w:pPr>
        <w:spacing w:line="360" w:lineRule="auto"/>
        <w:rPr>
          <w:rFonts w:hint="eastAsia" w:ascii="宋体" w:hAnsi="宋体" w:cs="宋体"/>
          <w:b/>
          <w:bCs/>
          <w:color w:val="auto"/>
          <w:sz w:val="21"/>
          <w:szCs w:val="21"/>
          <w:highlight w:val="none"/>
        </w:rPr>
      </w:pPr>
    </w:p>
    <w:p>
      <w:pPr>
        <w:pStyle w:val="33"/>
        <w:rPr>
          <w:rFonts w:hint="eastAsia"/>
          <w:color w:val="auto"/>
          <w:highlight w:val="none"/>
        </w:rPr>
      </w:pPr>
    </w:p>
    <w:p>
      <w:pPr>
        <w:spacing w:line="360" w:lineRule="auto"/>
        <w:rPr>
          <w:rFonts w:hint="eastAsia" w:ascii="宋体" w:hAnsi="宋体" w:cs="宋体"/>
          <w:b/>
          <w:bCs/>
          <w:color w:val="auto"/>
          <w:sz w:val="21"/>
          <w:szCs w:val="21"/>
          <w:highlight w:val="none"/>
        </w:rPr>
      </w:pPr>
    </w:p>
    <w:p>
      <w:pPr>
        <w:spacing w:line="360" w:lineRule="auto"/>
        <w:rPr>
          <w:rFonts w:hint="eastAsia" w:ascii="宋体" w:hAnsi="宋体" w:cs="宋体"/>
          <w:b/>
          <w:bCs/>
          <w:color w:val="auto"/>
          <w:sz w:val="21"/>
          <w:szCs w:val="21"/>
          <w:highlight w:val="none"/>
        </w:rPr>
      </w:pPr>
    </w:p>
    <w:p>
      <w:pPr>
        <w:spacing w:line="360" w:lineRule="auto"/>
        <w:rPr>
          <w:rFonts w:hint="eastAsia" w:ascii="宋体" w:hAnsi="宋体" w:cs="宋体"/>
          <w:b/>
          <w:color w:val="auto"/>
          <w:sz w:val="21"/>
          <w:szCs w:val="21"/>
          <w:highlight w:val="none"/>
        </w:rPr>
      </w:pPr>
      <w:r>
        <w:rPr>
          <w:rFonts w:hint="eastAsia" w:ascii="宋体" w:hAnsi="宋体" w:cs="宋体"/>
          <w:b/>
          <w:bCs/>
          <w:color w:val="auto"/>
          <w:sz w:val="21"/>
          <w:szCs w:val="21"/>
          <w:highlight w:val="none"/>
        </w:rPr>
        <w:t>附件2：</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rPr>
        <w:t>安全生产合同</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为在</w:t>
      </w:r>
      <w:r>
        <w:rPr>
          <w:rFonts w:hint="eastAsia" w:ascii="宋体" w:hAnsi="宋体" w:eastAsia="宋体" w:cs="宋体"/>
          <w:color w:val="auto"/>
          <w:sz w:val="21"/>
          <w:szCs w:val="21"/>
          <w:highlight w:val="none"/>
          <w:u w:val="single"/>
          <w:lang w:eastAsia="zh-CN"/>
        </w:rPr>
        <w:t>尚桥科技园区电力配套（一期）工程-市政业扩及迁改工程—土建部分</w:t>
      </w:r>
      <w:r>
        <w:rPr>
          <w:rFonts w:hint="eastAsia" w:ascii="宋体" w:hAnsi="宋体" w:cs="宋体"/>
          <w:color w:val="auto"/>
          <w:sz w:val="21"/>
          <w:szCs w:val="21"/>
          <w:highlight w:val="none"/>
        </w:rPr>
        <w:t>（项目名称）施工合同的实施过程中创造安全、高效的施工环境，切实搞好本项目的安全管理工作，本项目发包人</w:t>
      </w:r>
      <w:r>
        <w:rPr>
          <w:rFonts w:hint="eastAsia" w:ascii="宋体" w:hAnsi="宋体" w:cs="宋体"/>
          <w:color w:val="auto"/>
          <w:sz w:val="21"/>
          <w:szCs w:val="21"/>
          <w:highlight w:val="none"/>
          <w:u w:val="single"/>
        </w:rPr>
        <w:t>宁波市奉化区惠海地下管线投资有限公司</w:t>
      </w:r>
      <w:r>
        <w:rPr>
          <w:rFonts w:hint="eastAsia" w:ascii="宋体" w:hAnsi="宋体" w:cs="宋体"/>
          <w:color w:val="auto"/>
          <w:sz w:val="21"/>
          <w:szCs w:val="21"/>
          <w:highlight w:val="none"/>
        </w:rPr>
        <w:t>（发包人名称，以下简称“发包人”）与</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p>
    <w:p>
      <w:pPr>
        <w:spacing w:line="360" w:lineRule="auto"/>
        <w:rPr>
          <w:rFonts w:hint="eastAsia" w:ascii="宋体" w:hAnsi="宋体" w:cs="宋体"/>
          <w:bCs/>
          <w:color w:val="auto"/>
          <w:sz w:val="21"/>
          <w:szCs w:val="21"/>
          <w:highlight w:val="none"/>
          <w:u w:val="singl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rPr>
        <w:t>承包人名称，以下简称“承包人”）特此签订安全生产合同：</w:t>
      </w:r>
    </w:p>
    <w:p>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1.发包人职责</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（1）严格遵守国家有关安全生产的法律法规，认真执行工程承包合同中的有关安全要求。</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（2）按照“安全第一、预防为主”和坚持“管生产必须管安全”的原则进行安全生产管理，做到生产与安全工作同时计划、布置、检查、总结和评比。</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（3）重要的安全设施必须坚持与主体工程“三同时”的原则，即：同时设计、审批，同时施工，同时验收，投入使用。</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（4）定期召开安全生产调度会，及时传达中央及地方有关安全生产的精神。</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（5）组织对承包人施工现场安全生产检查，监督承包人及时处理发现的各种安全隐患。</w:t>
      </w:r>
    </w:p>
    <w:p>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2.承包人职责</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（1）严格遵守《中华人民共和国安全生产法》、《建设工程安全生产管理条例》等国家有关安全生产的法律法规有关安全生产的规定。认真执行工程承包合同中的有关安全要求。</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（4）承包人在任何时候都应采取各种合理的预防措施，防止其员工发生任何违法、违禁、暴力或妨碍治安的行为。</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（9）施工中采用新技术、新工艺、新设备、新材料时，必须制定相应的安全技术措施，施工现场必须具有相关的安全标志牌。</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3.违约责任</w:t>
      </w:r>
    </w:p>
    <w:p>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如因发包人或承包人违约造成安全事故，将依法追究责任。</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4.本合同由双方法定代表人或其授权的代理人签署并加盖单位章后生效，全部工程竣工验收后失效。</w:t>
      </w:r>
    </w:p>
    <w:p>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pPr>
        <w:autoSpaceDE w:val="0"/>
        <w:autoSpaceDN w:val="0"/>
        <w:adjustRightInd w:val="0"/>
        <w:spacing w:line="38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宁波市奉化区惠海</w:t>
      </w:r>
      <w:r>
        <w:rPr>
          <w:rFonts w:hint="eastAsia" w:ascii="宋体" w:hAnsi="宋体" w:eastAsia="宋体" w:cs="宋体"/>
          <w:color w:val="auto"/>
          <w:spacing w:val="14"/>
          <w:sz w:val="21"/>
          <w:szCs w:val="21"/>
          <w:highlight w:val="none"/>
          <w:u w:val="single"/>
        </w:rPr>
        <w:t xml:space="preserve"> </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w:t>
      </w:r>
    </w:p>
    <w:p>
      <w:pPr>
        <w:spacing w:line="42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地下管线投资有限公司 </w:t>
      </w:r>
      <w:r>
        <w:rPr>
          <w:rFonts w:hint="eastAsia" w:ascii="宋体" w:hAnsi="宋体" w:cs="宋体"/>
          <w:color w:val="auto"/>
          <w:sz w:val="21"/>
          <w:szCs w:val="21"/>
          <w:highlight w:val="none"/>
        </w:rPr>
        <w:t xml:space="preserve"> </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                       法定代表人或</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  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pPr>
        <w:spacing w:line="420" w:lineRule="exact"/>
        <w:ind w:left="840"/>
        <w:rPr>
          <w:rFonts w:hint="eastAsia" w:ascii="宋体" w:hAnsi="宋体" w:cs="宋体"/>
          <w:color w:val="auto"/>
          <w:sz w:val="21"/>
          <w:szCs w:val="21"/>
          <w:highlight w:val="none"/>
        </w:rPr>
      </w:pPr>
    </w:p>
    <w:p>
      <w:pPr>
        <w:spacing w:line="420" w:lineRule="exact"/>
        <w:ind w:left="840" w:leftChars="400"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w:t>
      </w:r>
    </w:p>
    <w:p>
      <w:pPr>
        <w:spacing w:line="360" w:lineRule="auto"/>
        <w:rPr>
          <w:rFonts w:hint="eastAsia" w:ascii="宋体" w:hAnsi="宋体" w:cs="宋体"/>
          <w:b/>
          <w:bCs/>
          <w:color w:val="auto"/>
          <w:sz w:val="21"/>
          <w:szCs w:val="21"/>
          <w:highlight w:val="none"/>
        </w:rPr>
      </w:pPr>
    </w:p>
    <w:p>
      <w:pPr>
        <w:spacing w:line="360" w:lineRule="auto"/>
        <w:jc w:val="both"/>
        <w:rPr>
          <w:rFonts w:hint="eastAsia" w:ascii="宋体" w:hAnsi="宋体" w:cs="宋体"/>
          <w:b/>
          <w:bCs/>
          <w:color w:val="auto"/>
          <w:sz w:val="21"/>
          <w:szCs w:val="21"/>
          <w:highlight w:val="none"/>
        </w:rPr>
      </w:pPr>
    </w:p>
    <w:p>
      <w:pPr>
        <w:spacing w:line="360" w:lineRule="auto"/>
        <w:jc w:val="both"/>
        <w:rPr>
          <w:rFonts w:hint="eastAsia" w:ascii="宋体" w:hAnsi="宋体" w:cs="宋体"/>
          <w:b/>
          <w:bCs/>
          <w:color w:val="auto"/>
          <w:sz w:val="21"/>
          <w:szCs w:val="21"/>
          <w:highlight w:val="none"/>
        </w:rPr>
      </w:pPr>
    </w:p>
    <w:p>
      <w:pPr>
        <w:spacing w:line="360" w:lineRule="auto"/>
        <w:jc w:val="both"/>
        <w:rPr>
          <w:rFonts w:hint="eastAsia" w:ascii="宋体" w:hAnsi="宋体" w:cs="宋体"/>
          <w:b/>
          <w:bCs/>
          <w:color w:val="auto"/>
          <w:sz w:val="21"/>
          <w:szCs w:val="21"/>
          <w:highlight w:val="none"/>
        </w:rPr>
      </w:pPr>
    </w:p>
    <w:p>
      <w:pPr>
        <w:spacing w:line="360" w:lineRule="auto"/>
        <w:jc w:val="both"/>
        <w:rPr>
          <w:rFonts w:hint="eastAsia" w:ascii="宋体" w:hAnsi="宋体" w:cs="宋体"/>
          <w:b/>
          <w:bCs/>
          <w:color w:val="auto"/>
          <w:sz w:val="21"/>
          <w:szCs w:val="21"/>
          <w:highlight w:val="none"/>
        </w:rPr>
      </w:pPr>
    </w:p>
    <w:p>
      <w:pPr>
        <w:spacing w:line="360" w:lineRule="auto"/>
        <w:jc w:val="both"/>
        <w:rPr>
          <w:rFonts w:hint="eastAsia" w:ascii="宋体" w:hAnsi="宋体" w:cs="宋体"/>
          <w:b/>
          <w:bCs/>
          <w:color w:val="auto"/>
          <w:sz w:val="21"/>
          <w:szCs w:val="21"/>
          <w:highlight w:val="none"/>
        </w:rPr>
      </w:pPr>
    </w:p>
    <w:p>
      <w:pPr>
        <w:spacing w:line="360" w:lineRule="auto"/>
        <w:jc w:val="both"/>
        <w:rPr>
          <w:rFonts w:hint="eastAsia" w:ascii="宋体" w:hAnsi="宋体" w:cs="宋体"/>
          <w:b/>
          <w:bCs/>
          <w:color w:val="auto"/>
          <w:sz w:val="21"/>
          <w:szCs w:val="21"/>
          <w:highlight w:val="none"/>
        </w:rPr>
      </w:pPr>
    </w:p>
    <w:p>
      <w:pPr>
        <w:spacing w:line="360" w:lineRule="auto"/>
        <w:jc w:val="both"/>
        <w:rPr>
          <w:rFonts w:hint="eastAsia" w:ascii="宋体" w:hAnsi="宋体" w:cs="宋体"/>
          <w:b/>
          <w:bCs/>
          <w:color w:val="auto"/>
          <w:sz w:val="21"/>
          <w:szCs w:val="21"/>
          <w:highlight w:val="none"/>
        </w:rPr>
      </w:pPr>
    </w:p>
    <w:p>
      <w:pPr>
        <w:spacing w:line="360" w:lineRule="auto"/>
        <w:jc w:val="both"/>
        <w:rPr>
          <w:rFonts w:hint="eastAsia" w:ascii="宋体" w:hAnsi="宋体" w:cs="宋体"/>
          <w:b/>
          <w:bCs/>
          <w:color w:val="auto"/>
          <w:sz w:val="21"/>
          <w:szCs w:val="21"/>
          <w:highlight w:val="none"/>
        </w:rPr>
      </w:pPr>
    </w:p>
    <w:p>
      <w:pPr>
        <w:spacing w:line="360" w:lineRule="auto"/>
        <w:jc w:val="both"/>
        <w:rPr>
          <w:rFonts w:hint="eastAsia" w:ascii="宋体" w:hAnsi="宋体" w:cs="宋体"/>
          <w:b/>
          <w:bCs/>
          <w:color w:val="auto"/>
          <w:sz w:val="21"/>
          <w:szCs w:val="21"/>
          <w:highlight w:val="none"/>
        </w:rPr>
      </w:pPr>
    </w:p>
    <w:p>
      <w:pPr>
        <w:spacing w:line="360" w:lineRule="auto"/>
        <w:jc w:val="both"/>
        <w:rPr>
          <w:rFonts w:hint="eastAsia" w:ascii="宋体" w:hAnsi="宋体" w:cs="宋体"/>
          <w:b/>
          <w:color w:val="auto"/>
          <w:sz w:val="21"/>
          <w:szCs w:val="21"/>
          <w:highlight w:val="none"/>
          <w:lang w:val="zh-CN"/>
        </w:rPr>
      </w:pPr>
      <w:r>
        <w:rPr>
          <w:rFonts w:hint="eastAsia" w:ascii="宋体" w:hAnsi="宋体" w:cs="宋体"/>
          <w:b/>
          <w:bCs/>
          <w:color w:val="auto"/>
          <w:sz w:val="21"/>
          <w:szCs w:val="21"/>
          <w:highlight w:val="none"/>
        </w:rPr>
        <w:t>附件3：</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lang w:val="zh-CN"/>
        </w:rPr>
        <w:t>工程项目廉政合同</w:t>
      </w:r>
      <w:bookmarkEnd w:id="440"/>
      <w:bookmarkEnd w:id="441"/>
      <w:bookmarkEnd w:id="442"/>
      <w:bookmarkEnd w:id="443"/>
      <w:bookmarkEnd w:id="444"/>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firstLine="420" w:firstLineChars="200"/>
        <w:jc w:val="left"/>
        <w:textAlignment w:val="auto"/>
        <w:outlineLvl w:val="0"/>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lang w:val="zh-CN"/>
        </w:rPr>
        <w:t>工程项目名称：</w:t>
      </w:r>
      <w:r>
        <w:rPr>
          <w:rFonts w:hint="eastAsia" w:ascii="宋体" w:hAnsi="宋体" w:eastAsia="宋体" w:cs="宋体"/>
          <w:color w:val="auto"/>
          <w:sz w:val="21"/>
          <w:szCs w:val="21"/>
          <w:highlight w:val="none"/>
          <w:u w:val="single"/>
          <w:lang w:eastAsia="zh-CN"/>
        </w:rPr>
        <w:t>尚桥科技园区电力配套（一期）工程-市政业扩及迁改工程—土建部分</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exact"/>
        <w:ind w:firstLine="420" w:firstLineChars="200"/>
        <w:jc w:val="left"/>
        <w:textAlignment w:val="auto"/>
        <w:outlineLvl w:val="0"/>
        <w:rPr>
          <w:rFonts w:hint="eastAsia"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lang w:val="zh-CN"/>
        </w:rPr>
        <w:t>发包人名称(以下称甲方)：</w:t>
      </w:r>
      <w:r>
        <w:rPr>
          <w:rFonts w:hint="eastAsia" w:ascii="宋体" w:hAnsi="宋体" w:cs="宋体"/>
          <w:color w:val="auto"/>
          <w:kern w:val="0"/>
          <w:sz w:val="21"/>
          <w:szCs w:val="21"/>
          <w:highlight w:val="none"/>
          <w:u w:val="single"/>
          <w:lang w:val="zh-CN"/>
        </w:rPr>
        <w:t xml:space="preserve">宁波市奉化区惠海地下管线投资有限公司 </w:t>
      </w:r>
    </w:p>
    <w:p>
      <w:pPr>
        <w:keepNext w:val="0"/>
        <w:keepLines w:val="0"/>
        <w:pageBreakBefore w:val="0"/>
        <w:widowControl w:val="0"/>
        <w:kinsoku/>
        <w:wordWrap/>
        <w:overflowPunct/>
        <w:topLinePunct w:val="0"/>
        <w:autoSpaceDE w:val="0"/>
        <w:autoSpaceDN w:val="0"/>
        <w:bidi w:val="0"/>
        <w:adjustRightInd w:val="0"/>
        <w:snapToGrid/>
        <w:spacing w:line="240" w:lineRule="exact"/>
        <w:ind w:firstLine="420" w:firstLineChars="200"/>
        <w:jc w:val="left"/>
        <w:textAlignment w:val="auto"/>
        <w:outlineLvl w:val="9"/>
        <w:rPr>
          <w:rFonts w:hint="default" w:ascii="宋体" w:hAnsi="宋体" w:eastAsia="宋体" w:cs="宋体"/>
          <w:color w:val="auto"/>
          <w:kern w:val="0"/>
          <w:sz w:val="21"/>
          <w:szCs w:val="21"/>
          <w:highlight w:val="none"/>
          <w:u w:val="single"/>
          <w:lang w:val="en-US"/>
        </w:rPr>
      </w:pPr>
      <w:r>
        <w:rPr>
          <w:rFonts w:hint="eastAsia" w:ascii="宋体" w:hAnsi="宋体" w:cs="宋体"/>
          <w:color w:val="auto"/>
          <w:kern w:val="0"/>
          <w:sz w:val="21"/>
          <w:szCs w:val="21"/>
          <w:highlight w:val="none"/>
          <w:lang w:val="zh-CN"/>
        </w:rPr>
        <w:t>承包人名称(以下称乙方)：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第一条  甲乙双方的权利和义务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(一)严格遵守国家关于市场准入、勘测设计、施工监理、招标询价、工程施工、设备安装和市场经营活动等有关法律法规和相关政策，以及廉政建设的各项规定。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(二)严格执行本项目发包承包双方签订的 (施工合同、监理合同、勘测设计合同、采购合同、代理合同等)合同，自觉按合同办事。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第二条  甲方的责任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甲方的负责人和从事该工程项目的工作人员，在工程项目的事前、事中、事后应遵守以下规定：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(一)不以任何理由向乙方索要或接受回扣、礼金、有价证券、贵重物品和好处费、感谢费等；不在乙方报销应由甲方或个人支付的费用。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(二)不参加乙方安排的宴请及其他消费活动；不接受乙方提供的通讯工具、交通工具、高档办公用品等。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(三)不要求、暗示和接受乙方为个人装修住房、为配偶子女的工作安排以及本人或亲属旅游、出国(境)等提供方便。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(四)配偶、子女不得从事与乙方承包工程有关的设备材料供应、工程分包、劳务等经济活动。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315" w:firstLineChars="15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（五)不以任何理由向乙方推荐分包人或要求乙方购买项目合同规定以外的材料、设备和服务等。</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第三条  乙方的责任</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乙方应与甲方保持正常的业务交往，按照有关法律法规和程序开展业务活动，严格执行工程建设的有关方针、政策，尤其是有关强制性标准和规范，并遵守以下规定：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(一)不以任何理由向甲方及其工作人员行贿或赠送礼金、有价证券、贵重物品。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(二)不以任何名义为甲方及其工作人员报销应由对方支付的费用。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(三)不以任何理由宴请甲方工作人员或安排其他消费活动。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(四)不为甲方和工作人员购置或提供通讯工具、交通工具、高档办公用品和装修住房等。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第四条  违约责任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(三)乙方如将部分辅助项目分包的，乙方有责任向分包人交待本合同的具体内容，并严格执行本合同之规定，分包人如有违反上述责任行为的，乙方将承担连带责任。    </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第五条  双方约定：在自觉履行合同的同时，由甲、乙双方的监督单位负责对本合同履行情况进行监督检查。</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第六条  本合同作为</w:t>
      </w:r>
      <w:r>
        <w:rPr>
          <w:rFonts w:hint="eastAsia" w:ascii="宋体" w:hAnsi="宋体" w:eastAsia="宋体" w:cs="宋体"/>
          <w:color w:val="auto"/>
          <w:sz w:val="21"/>
          <w:szCs w:val="21"/>
          <w:highlight w:val="none"/>
          <w:u w:val="single"/>
          <w:lang w:eastAsia="zh-CN"/>
        </w:rPr>
        <w:t>尚桥科技园区电力配套（一期）工程-市政业扩及迁改工程—土建部分</w:t>
      </w:r>
      <w:r>
        <w:rPr>
          <w:rFonts w:hint="eastAsia" w:ascii="宋体" w:hAnsi="宋体" w:eastAsia="宋体" w:cs="宋体"/>
          <w:color w:val="auto"/>
          <w:kern w:val="0"/>
          <w:sz w:val="21"/>
          <w:szCs w:val="21"/>
          <w:highlight w:val="none"/>
          <w:lang w:val="zh-CN"/>
        </w:rPr>
        <w:t>签订工程施工合同的附件，与主合同具有同等法律效力。</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甲乙双方签署后立即生效。</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第七条  本合同的有效期为双方签署之日起至该工程项目竣工验收合格时止。  </w:t>
      </w:r>
      <w:r>
        <w:rPr>
          <w:rFonts w:hint="eastAsia" w:ascii="宋体" w:hAnsi="宋体" w:cs="宋体"/>
          <w:color w:val="auto"/>
          <w:kern w:val="0"/>
          <w:sz w:val="21"/>
          <w:szCs w:val="21"/>
          <w:highlight w:val="none"/>
          <w:lang w:val="zh-CN"/>
        </w:rPr>
        <w:t xml:space="preserve">  </w:t>
      </w:r>
    </w:p>
    <w:p>
      <w:pPr>
        <w:keepNext w:val="0"/>
        <w:keepLines w:val="0"/>
        <w:pageBreakBefore w:val="0"/>
        <w:widowControl w:val="0"/>
        <w:kinsoku/>
        <w:wordWrap/>
        <w:overflowPunct/>
        <w:topLinePunct w:val="0"/>
        <w:bidi w:val="0"/>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第八条  </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pPr>
        <w:autoSpaceDE w:val="0"/>
        <w:autoSpaceDN w:val="0"/>
        <w:adjustRightIn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p>
    <w:p>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w:t>
      </w:r>
    </w:p>
    <w:p>
      <w:pPr>
        <w:autoSpaceDE w:val="0"/>
        <w:autoSpaceDN w:val="0"/>
        <w:adjustRightInd w:val="0"/>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ab/>
      </w:r>
      <w:r>
        <w:rPr>
          <w:rFonts w:hint="eastAsia" w:ascii="宋体" w:hAnsi="宋体" w:eastAsia="宋体" w:cs="宋体"/>
          <w:color w:val="auto"/>
          <w:sz w:val="21"/>
          <w:szCs w:val="21"/>
          <w:highlight w:val="none"/>
        </w:rPr>
        <w:t>奉化区岳林街道中山东路518号</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p>
    <w:p>
      <w:pPr>
        <w:autoSpaceDE w:val="0"/>
        <w:autoSpaceDN w:val="0"/>
        <w:adjustRightInd w:val="0"/>
        <w:spacing w:line="380" w:lineRule="exact"/>
        <w:ind w:left="521" w:leftChars="24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金城大厦</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座1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楼</w:t>
      </w:r>
    </w:p>
    <w:p>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电话：</w:t>
      </w:r>
    </w:p>
    <w:p>
      <w:pPr>
        <w:tabs>
          <w:tab w:val="left" w:pos="4962"/>
        </w:tabs>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2024</w:t>
      </w:r>
      <w:r>
        <w:rPr>
          <w:rFonts w:hint="eastAsia" w:ascii="宋体" w:hAnsi="宋体" w:cs="宋体"/>
          <w:color w:val="auto"/>
          <w:sz w:val="21"/>
          <w:szCs w:val="21"/>
          <w:highlight w:val="none"/>
        </w:rPr>
        <w:t>年 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2024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pStyle w:val="33"/>
        <w:rPr>
          <w:rFonts w:hint="eastAsia" w:ascii="宋体" w:hAnsi="宋体" w:cs="宋体"/>
          <w:b/>
          <w:color w:val="auto"/>
          <w:sz w:val="21"/>
          <w:szCs w:val="21"/>
          <w:highlight w:val="none"/>
        </w:rPr>
      </w:pPr>
    </w:p>
    <w:p>
      <w:pPr>
        <w:pStyle w:val="33"/>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p>
    <w:p>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45" w:name="_Toc296346728"/>
      <w:bookmarkStart w:id="446" w:name="_Toc267261698"/>
      <w:bookmarkStart w:id="447" w:name="_Toc296891267"/>
      <w:bookmarkStart w:id="448" w:name="_Toc296347226"/>
      <w:bookmarkStart w:id="449" w:name="_Toc296891055"/>
      <w:bookmarkStart w:id="450" w:name="_Toc296944566"/>
      <w:bookmarkStart w:id="451" w:name="_Toc296503227"/>
      <w:r>
        <w:rPr>
          <w:rFonts w:hint="eastAsia" w:ascii="宋体" w:hAnsi="宋体" w:cs="宋体"/>
          <w:b/>
          <w:color w:val="auto"/>
          <w:sz w:val="21"/>
          <w:szCs w:val="21"/>
          <w:highlight w:val="none"/>
        </w:rPr>
        <w:t>件4：</w:t>
      </w:r>
    </w:p>
    <w:bookmarkEnd w:id="445"/>
    <w:bookmarkEnd w:id="446"/>
    <w:bookmarkEnd w:id="447"/>
    <w:bookmarkEnd w:id="448"/>
    <w:bookmarkEnd w:id="449"/>
    <w:bookmarkEnd w:id="450"/>
    <w:bookmarkEnd w:id="451"/>
    <w:p>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承包人用于本工程施工的机械设备表</w:t>
      </w:r>
    </w:p>
    <w:tbl>
      <w:tblPr>
        <w:tblStyle w:val="25"/>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序号</w:t>
            </w:r>
          </w:p>
        </w:tc>
        <w:tc>
          <w:tcPr>
            <w:tcW w:w="1549" w:type="dxa"/>
            <w:tcBorders>
              <w:top w:val="single" w:color="auto" w:sz="12" w:space="0"/>
              <w:bottom w:val="doub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机械或</w:t>
            </w:r>
          </w:p>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设备名称</w:t>
            </w:r>
          </w:p>
        </w:tc>
        <w:tc>
          <w:tcPr>
            <w:tcW w:w="1001" w:type="dxa"/>
            <w:tcBorders>
              <w:top w:val="single" w:color="auto" w:sz="12" w:space="0"/>
              <w:bottom w:val="doub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规格</w:t>
            </w:r>
          </w:p>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型号</w:t>
            </w:r>
          </w:p>
        </w:tc>
        <w:tc>
          <w:tcPr>
            <w:tcW w:w="718" w:type="dxa"/>
            <w:tcBorders>
              <w:top w:val="single" w:color="auto" w:sz="12" w:space="0"/>
              <w:bottom w:val="doub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数量</w:t>
            </w:r>
          </w:p>
        </w:tc>
        <w:tc>
          <w:tcPr>
            <w:tcW w:w="794" w:type="dxa"/>
            <w:tcBorders>
              <w:top w:val="single" w:color="auto" w:sz="12" w:space="0"/>
              <w:bottom w:val="doub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产地</w:t>
            </w:r>
          </w:p>
        </w:tc>
        <w:tc>
          <w:tcPr>
            <w:tcW w:w="920" w:type="dxa"/>
            <w:tcBorders>
              <w:top w:val="single" w:color="auto" w:sz="12" w:space="0"/>
              <w:bottom w:val="doub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制造</w:t>
            </w:r>
          </w:p>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年份</w:t>
            </w:r>
          </w:p>
        </w:tc>
        <w:tc>
          <w:tcPr>
            <w:tcW w:w="1334" w:type="dxa"/>
            <w:tcBorders>
              <w:top w:val="single" w:color="auto" w:sz="12" w:space="0"/>
              <w:bottom w:val="doub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额定功率(kW)</w:t>
            </w:r>
          </w:p>
        </w:tc>
        <w:tc>
          <w:tcPr>
            <w:tcW w:w="920" w:type="dxa"/>
            <w:tcBorders>
              <w:top w:val="single" w:color="auto" w:sz="12" w:space="0"/>
              <w:bottom w:val="doub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生产</w:t>
            </w:r>
          </w:p>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能力</w:t>
            </w:r>
          </w:p>
        </w:tc>
        <w:tc>
          <w:tcPr>
            <w:tcW w:w="828" w:type="dxa"/>
            <w:tcBorders>
              <w:top w:val="single" w:color="auto" w:sz="12" w:space="0"/>
              <w:bottom w:val="doub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w:t>
            </w:r>
          </w:p>
        </w:tc>
        <w:tc>
          <w:tcPr>
            <w:tcW w:w="1549" w:type="dxa"/>
            <w:tcBorders>
              <w:top w:val="double" w:color="auto" w:sz="6" w:space="0"/>
              <w:bottom w:val="single" w:color="auto" w:sz="6" w:space="0"/>
            </w:tcBorders>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tcBorders>
              <w:top w:val="double" w:color="auto" w:sz="6" w:space="0"/>
              <w:bottom w:val="single" w:color="auto" w:sz="6" w:space="0"/>
            </w:tcBorders>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double" w:color="auto" w:sz="6" w:space="0"/>
              <w:bottom w:val="single" w:color="auto" w:sz="6" w:space="0"/>
            </w:tcBorders>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tcBorders>
              <w:top w:val="double" w:color="auto" w:sz="6" w:space="0"/>
              <w:bottom w:val="single" w:color="auto" w:sz="6" w:space="0"/>
            </w:tcBorders>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tcBorders>
              <w:top w:val="double" w:color="auto" w:sz="6" w:space="0"/>
              <w:bottom w:val="single" w:color="auto" w:sz="6" w:space="0"/>
            </w:tcBorders>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1334" w:type="dxa"/>
            <w:tcBorders>
              <w:top w:val="double" w:color="auto" w:sz="6" w:space="0"/>
              <w:bottom w:val="single" w:color="auto" w:sz="6" w:space="0"/>
            </w:tcBorders>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tcBorders>
              <w:top w:val="double" w:color="auto" w:sz="6" w:space="0"/>
              <w:bottom w:val="sing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double" w:color="auto" w:sz="6" w:space="0"/>
              <w:bottom w:val="sing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w:t>
            </w:r>
          </w:p>
        </w:tc>
        <w:tc>
          <w:tcPr>
            <w:tcW w:w="1549" w:type="dxa"/>
            <w:tcBorders>
              <w:top w:val="nil"/>
            </w:tcBorders>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tcBorders>
              <w:top w:val="nil"/>
            </w:tcBorders>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nil"/>
            </w:tcBorders>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tcBorders>
              <w:top w:val="nil"/>
            </w:tcBorders>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920" w:type="dxa"/>
            <w:tcBorders>
              <w:top w:val="nil"/>
            </w:tcBorders>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tcBorders>
              <w:top w:val="nil"/>
            </w:tcBorders>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tcBorders>
              <w:top w:val="nil"/>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nil"/>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3</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4</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5</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6</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7</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8</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9</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pPr>
              <w:spacing w:line="360" w:lineRule="auto"/>
              <w:rPr>
                <w:rFonts w:hint="eastAsia" w:ascii="宋体" w:hAnsi="宋体" w:cs="宋体"/>
                <w:color w:val="auto"/>
                <w:sz w:val="21"/>
                <w:szCs w:val="21"/>
                <w:highlight w:val="none"/>
              </w:rPr>
            </w:pPr>
          </w:p>
        </w:tc>
        <w:tc>
          <w:tcPr>
            <w:tcW w:w="828" w:type="dxa"/>
            <w:noWrap w:val="0"/>
            <w:vAlign w:val="top"/>
          </w:tcPr>
          <w:p>
            <w:pPr>
              <w:spacing w:line="360" w:lineRule="auto"/>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10</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11</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pPr>
              <w:spacing w:line="360" w:lineRule="auto"/>
              <w:rPr>
                <w:rFonts w:hint="eastAsia" w:ascii="宋体" w:hAnsi="宋体" w:cs="宋体"/>
                <w:color w:val="auto"/>
                <w:sz w:val="21"/>
                <w:szCs w:val="21"/>
                <w:highlight w:val="none"/>
              </w:rPr>
            </w:pPr>
          </w:p>
        </w:tc>
        <w:tc>
          <w:tcPr>
            <w:tcW w:w="828" w:type="dxa"/>
            <w:noWrap w:val="0"/>
            <w:vAlign w:val="top"/>
          </w:tcPr>
          <w:p>
            <w:pPr>
              <w:spacing w:line="360" w:lineRule="auto"/>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12</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pPr>
              <w:spacing w:line="360" w:lineRule="auto"/>
              <w:rPr>
                <w:rFonts w:hint="eastAsia" w:ascii="宋体" w:hAnsi="宋体" w:cs="宋体"/>
                <w:color w:val="auto"/>
                <w:sz w:val="21"/>
                <w:szCs w:val="21"/>
                <w:highlight w:val="none"/>
              </w:rPr>
            </w:pPr>
          </w:p>
        </w:tc>
        <w:tc>
          <w:tcPr>
            <w:tcW w:w="828" w:type="dxa"/>
            <w:noWrap w:val="0"/>
            <w:vAlign w:val="top"/>
          </w:tcPr>
          <w:p>
            <w:pPr>
              <w:spacing w:line="360" w:lineRule="auto"/>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13</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pPr>
              <w:spacing w:line="360" w:lineRule="auto"/>
              <w:rPr>
                <w:rFonts w:hint="eastAsia" w:ascii="宋体" w:hAnsi="宋体" w:cs="宋体"/>
                <w:color w:val="auto"/>
                <w:sz w:val="21"/>
                <w:szCs w:val="21"/>
                <w:highlight w:val="none"/>
              </w:rPr>
            </w:pPr>
          </w:p>
        </w:tc>
        <w:tc>
          <w:tcPr>
            <w:tcW w:w="828" w:type="dxa"/>
            <w:noWrap w:val="0"/>
            <w:vAlign w:val="top"/>
          </w:tcPr>
          <w:p>
            <w:pPr>
              <w:spacing w:line="360" w:lineRule="auto"/>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14</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pPr>
              <w:spacing w:line="360" w:lineRule="auto"/>
              <w:rPr>
                <w:rFonts w:hint="eastAsia" w:ascii="宋体" w:hAnsi="宋体" w:cs="宋体"/>
                <w:color w:val="auto"/>
                <w:sz w:val="21"/>
                <w:szCs w:val="21"/>
                <w:highlight w:val="none"/>
              </w:rPr>
            </w:pPr>
          </w:p>
        </w:tc>
        <w:tc>
          <w:tcPr>
            <w:tcW w:w="828" w:type="dxa"/>
            <w:noWrap w:val="0"/>
            <w:vAlign w:val="top"/>
          </w:tcPr>
          <w:p>
            <w:pPr>
              <w:spacing w:line="360" w:lineRule="auto"/>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15</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pPr>
              <w:spacing w:line="360" w:lineRule="auto"/>
              <w:rPr>
                <w:rFonts w:hint="eastAsia" w:ascii="宋体" w:hAnsi="宋体" w:cs="宋体"/>
                <w:color w:val="auto"/>
                <w:sz w:val="21"/>
                <w:szCs w:val="21"/>
                <w:highlight w:val="none"/>
              </w:rPr>
            </w:pPr>
          </w:p>
        </w:tc>
        <w:tc>
          <w:tcPr>
            <w:tcW w:w="828" w:type="dxa"/>
            <w:noWrap w:val="0"/>
            <w:vAlign w:val="top"/>
          </w:tcPr>
          <w:p>
            <w:pPr>
              <w:spacing w:line="360" w:lineRule="auto"/>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16</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pPr>
              <w:spacing w:line="360" w:lineRule="auto"/>
              <w:rPr>
                <w:rFonts w:hint="eastAsia" w:ascii="宋体" w:hAnsi="宋体" w:cs="宋体"/>
                <w:color w:val="auto"/>
                <w:sz w:val="21"/>
                <w:szCs w:val="21"/>
                <w:highlight w:val="none"/>
              </w:rPr>
            </w:pPr>
          </w:p>
        </w:tc>
        <w:tc>
          <w:tcPr>
            <w:tcW w:w="828" w:type="dxa"/>
            <w:noWrap w:val="0"/>
            <w:vAlign w:val="top"/>
          </w:tcPr>
          <w:p>
            <w:pPr>
              <w:spacing w:line="360" w:lineRule="auto"/>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17</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pPr>
              <w:spacing w:line="360" w:lineRule="auto"/>
              <w:rPr>
                <w:rFonts w:hint="eastAsia" w:ascii="宋体" w:hAnsi="宋体" w:cs="宋体"/>
                <w:color w:val="auto"/>
                <w:sz w:val="21"/>
                <w:szCs w:val="21"/>
                <w:highlight w:val="none"/>
              </w:rPr>
            </w:pPr>
          </w:p>
        </w:tc>
        <w:tc>
          <w:tcPr>
            <w:tcW w:w="828" w:type="dxa"/>
            <w:noWrap w:val="0"/>
            <w:vAlign w:val="top"/>
          </w:tcPr>
          <w:p>
            <w:pPr>
              <w:spacing w:line="360" w:lineRule="auto"/>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18</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pPr>
              <w:spacing w:line="360" w:lineRule="auto"/>
              <w:rPr>
                <w:rFonts w:hint="eastAsia" w:ascii="宋体" w:hAnsi="宋体" w:cs="宋体"/>
                <w:color w:val="auto"/>
                <w:sz w:val="21"/>
                <w:szCs w:val="21"/>
                <w:highlight w:val="none"/>
              </w:rPr>
            </w:pPr>
          </w:p>
        </w:tc>
        <w:tc>
          <w:tcPr>
            <w:tcW w:w="828" w:type="dxa"/>
            <w:noWrap w:val="0"/>
            <w:vAlign w:val="top"/>
          </w:tcPr>
          <w:p>
            <w:pPr>
              <w:spacing w:line="360" w:lineRule="auto"/>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19</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pPr>
              <w:spacing w:line="360" w:lineRule="auto"/>
              <w:rPr>
                <w:rFonts w:hint="eastAsia" w:ascii="宋体" w:hAnsi="宋体" w:cs="宋体"/>
                <w:color w:val="auto"/>
                <w:sz w:val="21"/>
                <w:szCs w:val="21"/>
                <w:highlight w:val="none"/>
              </w:rPr>
            </w:pPr>
          </w:p>
        </w:tc>
        <w:tc>
          <w:tcPr>
            <w:tcW w:w="828" w:type="dxa"/>
            <w:noWrap w:val="0"/>
            <w:vAlign w:val="top"/>
          </w:tcPr>
          <w:p>
            <w:pPr>
              <w:spacing w:line="360" w:lineRule="auto"/>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20</w:t>
            </w:r>
          </w:p>
        </w:tc>
        <w:tc>
          <w:tcPr>
            <w:tcW w:w="1549"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pPr>
              <w:spacing w:line="360" w:lineRule="auto"/>
              <w:rPr>
                <w:rFonts w:hint="eastAsia" w:ascii="宋体" w:hAnsi="宋体" w:cs="宋体"/>
                <w:color w:val="auto"/>
                <w:sz w:val="21"/>
                <w:szCs w:val="21"/>
                <w:highlight w:val="none"/>
              </w:rPr>
            </w:pPr>
          </w:p>
        </w:tc>
        <w:tc>
          <w:tcPr>
            <w:tcW w:w="828" w:type="dxa"/>
            <w:noWrap w:val="0"/>
            <w:vAlign w:val="top"/>
          </w:tcPr>
          <w:p>
            <w:pPr>
              <w:spacing w:line="360" w:lineRule="auto"/>
              <w:rPr>
                <w:rFonts w:hint="eastAsia" w:ascii="宋体" w:hAnsi="宋体" w:cs="宋体"/>
                <w:color w:val="auto"/>
                <w:sz w:val="21"/>
                <w:szCs w:val="21"/>
                <w:highlight w:val="none"/>
              </w:rPr>
            </w:pPr>
          </w:p>
        </w:tc>
      </w:tr>
    </w:tbl>
    <w:p>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52" w:name="_Toc296346729"/>
      <w:bookmarkStart w:id="453" w:name="_Toc296944567"/>
      <w:bookmarkStart w:id="454" w:name="_Toc296503228"/>
      <w:bookmarkStart w:id="455" w:name="_Toc296347227"/>
      <w:bookmarkStart w:id="456" w:name="_Toc296891268"/>
      <w:bookmarkStart w:id="457" w:name="_Toc267261699"/>
      <w:bookmarkStart w:id="458" w:name="_Toc296891056"/>
      <w:r>
        <w:rPr>
          <w:rFonts w:hint="eastAsia" w:ascii="宋体" w:hAnsi="宋体" w:cs="宋体"/>
          <w:b/>
          <w:color w:val="auto"/>
          <w:sz w:val="21"/>
          <w:szCs w:val="21"/>
          <w:highlight w:val="none"/>
        </w:rPr>
        <w:t>件5：</w:t>
      </w:r>
    </w:p>
    <w:bookmarkEnd w:id="452"/>
    <w:bookmarkEnd w:id="453"/>
    <w:bookmarkEnd w:id="454"/>
    <w:bookmarkEnd w:id="455"/>
    <w:bookmarkEnd w:id="456"/>
    <w:bookmarkEnd w:id="457"/>
    <w:bookmarkEnd w:id="458"/>
    <w:p>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承包人主要施工管理人员表</w:t>
      </w:r>
    </w:p>
    <w:tbl>
      <w:tblPr>
        <w:tblStyle w:val="25"/>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名    称</w:t>
            </w:r>
          </w:p>
        </w:tc>
        <w:tc>
          <w:tcPr>
            <w:tcW w:w="1279" w:type="dxa"/>
            <w:tcBorders>
              <w:top w:val="single" w:color="auto" w:sz="12" w:space="0"/>
              <w:bottom w:val="doub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姓名</w:t>
            </w:r>
          </w:p>
        </w:tc>
        <w:tc>
          <w:tcPr>
            <w:tcW w:w="1022" w:type="dxa"/>
            <w:tcBorders>
              <w:top w:val="single" w:color="auto" w:sz="12" w:space="0"/>
              <w:bottom w:val="doub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职务</w:t>
            </w:r>
          </w:p>
        </w:tc>
        <w:tc>
          <w:tcPr>
            <w:tcW w:w="1022" w:type="dxa"/>
            <w:tcBorders>
              <w:top w:val="single" w:color="auto" w:sz="12" w:space="0"/>
              <w:bottom w:val="doub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职称</w:t>
            </w:r>
          </w:p>
        </w:tc>
        <w:tc>
          <w:tcPr>
            <w:tcW w:w="3833" w:type="dxa"/>
            <w:tcBorders>
              <w:top w:val="single" w:color="auto" w:sz="12" w:space="0"/>
              <w:bottom w:val="doub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项目主管</w:t>
            </w:r>
          </w:p>
        </w:tc>
        <w:tc>
          <w:tcPr>
            <w:tcW w:w="1279" w:type="dxa"/>
            <w:tcBorders>
              <w:top w:val="nil"/>
            </w:tcBorders>
            <w:noWrap w:val="0"/>
            <w:vAlign w:val="center"/>
          </w:tcPr>
          <w:p>
            <w:pPr>
              <w:pStyle w:val="10"/>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pPr>
              <w:pStyle w:val="10"/>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top w:val="nil"/>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项目经理</w:t>
            </w:r>
          </w:p>
        </w:tc>
        <w:tc>
          <w:tcPr>
            <w:tcW w:w="1279" w:type="dxa"/>
            <w:noWrap w:val="0"/>
            <w:vAlign w:val="center"/>
          </w:tcPr>
          <w:p>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技术负责人</w:t>
            </w:r>
          </w:p>
        </w:tc>
        <w:tc>
          <w:tcPr>
            <w:tcW w:w="1279" w:type="dxa"/>
            <w:noWrap w:val="0"/>
            <w:vAlign w:val="center"/>
          </w:tcPr>
          <w:p>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pPr>
              <w:pStyle w:val="10"/>
              <w:keepNext/>
              <w:spacing w:after="0" w:line="360" w:lineRule="auto"/>
              <w:ind w:left="63" w:right="63"/>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施工管理</w:t>
            </w:r>
          </w:p>
        </w:tc>
        <w:tc>
          <w:tcPr>
            <w:tcW w:w="1279" w:type="dxa"/>
            <w:noWrap w:val="0"/>
            <w:vAlign w:val="center"/>
          </w:tcPr>
          <w:p>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质量管理</w:t>
            </w:r>
          </w:p>
        </w:tc>
        <w:tc>
          <w:tcPr>
            <w:tcW w:w="1279" w:type="dxa"/>
            <w:noWrap w:val="0"/>
            <w:vAlign w:val="center"/>
          </w:tcPr>
          <w:p>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安全管理</w:t>
            </w:r>
          </w:p>
        </w:tc>
        <w:tc>
          <w:tcPr>
            <w:tcW w:w="1279" w:type="dxa"/>
            <w:noWrap w:val="0"/>
            <w:vAlign w:val="center"/>
          </w:tcPr>
          <w:p>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pPr>
              <w:pStyle w:val="10"/>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nil"/>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nil"/>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single" w:color="auto" w:sz="12"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single" w:color="auto" w:sz="12" w:space="0"/>
            </w:tcBorders>
            <w:noWrap w:val="0"/>
            <w:vAlign w:val="center"/>
          </w:tcPr>
          <w:p>
            <w:pPr>
              <w:pStyle w:val="10"/>
              <w:keepNext/>
              <w:spacing w:after="0" w:line="360" w:lineRule="auto"/>
              <w:ind w:left="63" w:right="63"/>
              <w:rPr>
                <w:rFonts w:hint="eastAsia" w:ascii="宋体" w:hAnsi="宋体" w:cs="宋体"/>
                <w:color w:val="auto"/>
                <w:kern w:val="2"/>
                <w:sz w:val="21"/>
                <w:szCs w:val="21"/>
                <w:highlight w:val="none"/>
                <w:lang w:val="en-US" w:eastAsia="zh-CN"/>
              </w:rPr>
            </w:pPr>
          </w:p>
        </w:tc>
      </w:tr>
    </w:tbl>
    <w:p>
      <w:pP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p>
    <w:p>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p>
    <w:p>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有效的企业法人营业执照（或事业法人登记证）、其他组织（个体工商户）的营业执照或者民办非企业单位登记证书；</w:t>
      </w:r>
    </w:p>
    <w:p>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符合参加政府采购活动应当具备的一般条件的承诺函；</w:t>
      </w:r>
    </w:p>
    <w:p>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落实政府采购政策需满足的资格要求</w:t>
      </w:r>
      <w:r>
        <w:rPr>
          <w:rFonts w:hint="eastAsia" w:asciiTheme="minorEastAsia" w:hAnsiTheme="minorEastAsia" w:eastAsiaTheme="minorEastAsia" w:cstheme="minorEastAsia"/>
          <w:color w:val="auto"/>
          <w:sz w:val="28"/>
          <w:szCs w:val="28"/>
          <w:highlight w:val="none"/>
          <w:lang w:eastAsia="zh-CN"/>
        </w:rPr>
        <w:t>（如有）</w:t>
      </w:r>
      <w:r>
        <w:rPr>
          <w:rFonts w:hint="eastAsia" w:asciiTheme="minorEastAsia" w:hAnsiTheme="minorEastAsia" w:eastAsiaTheme="minorEastAsia" w:cstheme="minorEastAsia"/>
          <w:color w:val="auto"/>
          <w:sz w:val="28"/>
          <w:szCs w:val="28"/>
          <w:highlight w:val="none"/>
        </w:rPr>
        <w:t>；</w:t>
      </w:r>
    </w:p>
    <w:p>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本项目的特定资格要求。</w:t>
      </w:r>
    </w:p>
    <w:p>
      <w:pPr>
        <w:pStyle w:val="35"/>
        <w:spacing w:line="360" w:lineRule="auto"/>
        <w:ind w:firstLine="480"/>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一、 符合参加政府采购活动应当具备的一般条件的承诺函</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rPr>
        <w:t>政府采购活动，郑重承诺：</w:t>
      </w:r>
    </w:p>
    <w:p>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具有独立承担民事责任的能力；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具有良好的商业信誉和健全的财务会计制度； </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具有履行合同所必需的设备和专业技术能力；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有依法缴纳税收和社会保障资金的良好记录；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参加政府采购活动前三年内，在经营活动中没有重大违法记录；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具有法律、行政法规规定的其他条件。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pPr>
        <w:spacing w:line="360" w:lineRule="auto"/>
        <w:ind w:right="420" w:firstLine="5250" w:firstLineChars="25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法定代表人（签名或印章）：     </w:t>
      </w:r>
    </w:p>
    <w:p>
      <w:pPr>
        <w:spacing w:line="360" w:lineRule="auto"/>
        <w:ind w:right="420" w:firstLine="5460" w:firstLineChars="2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供应商（盖章）：   </w:t>
      </w:r>
    </w:p>
    <w:p>
      <w:pPr>
        <w:spacing w:line="360" w:lineRule="auto"/>
        <w:ind w:right="420" w:firstLine="5355" w:firstLineChars="25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年    月    日</w:t>
      </w: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二、落实政府采购政策需满足的资格要求</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pPr>
        <w:widowControl/>
        <w:spacing w:line="360" w:lineRule="auto"/>
        <w:ind w:firstLine="480"/>
        <w:jc w:val="left"/>
        <w:rPr>
          <w:rFonts w:asciiTheme="minorEastAsia" w:hAnsiTheme="minorEastAsia" w:eastAsiaTheme="minorEastAsia" w:cstheme="minorEastAsia"/>
          <w:color w:val="auto"/>
          <w:sz w:val="24"/>
          <w:highlight w:val="none"/>
        </w:rPr>
      </w:pPr>
    </w:p>
    <w:p>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三、本项目的特定资格要求</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（根据竞争性磋商公告本项目的特定资格要求提供相应的材料；未要求的，无需提供）</w:t>
      </w:r>
    </w:p>
    <w:p>
      <w:pPr>
        <w:spacing w:line="360" w:lineRule="auto"/>
        <w:rPr>
          <w:rFonts w:asciiTheme="minorEastAsia" w:hAnsiTheme="minorEastAsia" w:eastAsiaTheme="minorEastAsia" w:cstheme="minorEastAsia"/>
          <w:color w:val="auto"/>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pacing w:line="360" w:lineRule="auto"/>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pPr>
        <w:spacing w:line="360" w:lineRule="auto"/>
        <w:ind w:right="420"/>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pPr>
        <w:spacing w:line="360" w:lineRule="auto"/>
        <w:jc w:val="center"/>
        <w:outlineLvl w:val="0"/>
        <w:rPr>
          <w:rFonts w:asciiTheme="minorEastAsia" w:hAnsiTheme="minorEastAsia" w:eastAsiaTheme="minorEastAsia" w:cstheme="minorEastAsia"/>
          <w:b/>
          <w:color w:val="auto"/>
          <w:kern w:val="0"/>
          <w:sz w:val="24"/>
          <w:highlight w:val="none"/>
        </w:rPr>
      </w:pPr>
    </w:p>
    <w:p>
      <w:pPr>
        <w:spacing w:line="360" w:lineRule="auto"/>
        <w:ind w:left="3990" w:leftChars="1900"/>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 录</w:t>
      </w:r>
    </w:p>
    <w:p>
      <w:pPr>
        <w:snapToGrid w:val="0"/>
        <w:spacing w:line="360" w:lineRule="auto"/>
        <w:ind w:firstLine="960" w:firstLineChars="400"/>
        <w:rPr>
          <w:rFonts w:asciiTheme="minorEastAsia" w:hAnsiTheme="minorEastAsia" w:eastAsiaTheme="minorEastAsia" w:cstheme="minorEastAsia"/>
          <w:color w:val="auto"/>
          <w:sz w:val="24"/>
          <w:highlight w:val="none"/>
        </w:rPr>
      </w:pPr>
    </w:p>
    <w:p>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符合性自查表；</w:t>
      </w:r>
    </w:p>
    <w:p>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磋商函；</w:t>
      </w:r>
      <w:r>
        <w:rPr>
          <w:rFonts w:hint="eastAsia" w:asciiTheme="minorEastAsia" w:hAnsiTheme="minorEastAsia" w:eastAsiaTheme="minorEastAsia" w:cstheme="minorEastAsia"/>
          <w:color w:val="auto"/>
          <w:sz w:val="28"/>
          <w:szCs w:val="28"/>
          <w:highlight w:val="none"/>
          <w:lang w:val="zh-CN"/>
        </w:rPr>
        <w:t xml:space="preserve"> </w:t>
      </w:r>
    </w:p>
    <w:p>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授权委托书；</w:t>
      </w:r>
    </w:p>
    <w:p>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供应商情况表；</w:t>
      </w:r>
    </w:p>
    <w:p>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 距采购人最近或者能为本项目提供最优服务的网点情况表；</w:t>
      </w:r>
    </w:p>
    <w:p>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 评审标准相应的商务技术资料；</w:t>
      </w:r>
    </w:p>
    <w:p>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 商务偏离表；</w:t>
      </w:r>
    </w:p>
    <w:p>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 技术偏离表；</w:t>
      </w:r>
    </w:p>
    <w:p>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 同类业绩情况一览表；</w:t>
      </w:r>
    </w:p>
    <w:p>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 xml:space="preserve">10 </w:t>
      </w:r>
      <w:r>
        <w:rPr>
          <w:rFonts w:hint="eastAsia" w:asciiTheme="minorEastAsia" w:hAnsiTheme="minorEastAsia" w:eastAsiaTheme="minorEastAsia" w:cstheme="minorEastAsia"/>
          <w:color w:val="auto"/>
          <w:sz w:val="28"/>
          <w:szCs w:val="28"/>
          <w:highlight w:val="none"/>
          <w:lang w:val="zh-CN"/>
        </w:rPr>
        <w:t>政府采购供应商廉洁自律承诺书；</w:t>
      </w:r>
    </w:p>
    <w:p>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 其他资料。</w:t>
      </w:r>
    </w:p>
    <w:p>
      <w:pPr>
        <w:snapToGrid w:val="0"/>
        <w:spacing w:line="360" w:lineRule="auto"/>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p>
    <w:p>
      <w:pPr>
        <w:numPr>
          <w:ilvl w:val="0"/>
          <w:numId w:val="4"/>
        </w:numPr>
        <w:snapToGrid w:val="0"/>
        <w:spacing w:line="360" w:lineRule="auto"/>
        <w:ind w:left="2730" w:leftChars="0" w:firstLineChars="0"/>
        <w:jc w:val="left"/>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符合性自查表</w:t>
      </w:r>
    </w:p>
    <w:tbl>
      <w:tblPr>
        <w:tblStyle w:val="25"/>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544" w:type="dxa"/>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693" w:type="dxa"/>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76"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自查结论</w:t>
            </w:r>
          </w:p>
        </w:tc>
        <w:tc>
          <w:tcPr>
            <w:tcW w:w="1979" w:type="dxa"/>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544"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响应文件按照采购文件要求签署、盖章。</w:t>
            </w:r>
          </w:p>
        </w:tc>
        <w:tc>
          <w:tcPr>
            <w:tcW w:w="2693"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276"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pPr>
              <w:spacing w:line="360" w:lineRule="auto"/>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544"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响应文件中承诺的响应有效期不少于采购文件中载明的响应有效期。</w:t>
            </w:r>
          </w:p>
        </w:tc>
        <w:tc>
          <w:tcPr>
            <w:tcW w:w="2693"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磋商函</w:t>
            </w:r>
          </w:p>
        </w:tc>
        <w:tc>
          <w:tcPr>
            <w:tcW w:w="1276"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544"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响应文件满足采购文件的其它实质性要求。</w:t>
            </w:r>
          </w:p>
        </w:tc>
        <w:tc>
          <w:tcPr>
            <w:tcW w:w="2693"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采购文件其它实质性要求相应的材料（“▲” 系指实质性要求条款，采购文件无其它实质性要求的，无需提供）</w:t>
            </w:r>
          </w:p>
        </w:tc>
        <w:tc>
          <w:tcPr>
            <w:tcW w:w="1276"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544" w:type="dxa"/>
            <w:vAlign w:val="center"/>
          </w:tcPr>
          <w:p>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响应文件没有采购文件中规定的其它无效响应条款的。</w:t>
            </w:r>
          </w:p>
        </w:tc>
        <w:tc>
          <w:tcPr>
            <w:tcW w:w="2693" w:type="dxa"/>
            <w:vAlign w:val="center"/>
          </w:tcPr>
          <w:p>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544" w:type="dxa"/>
            <w:vAlign w:val="center"/>
          </w:tcPr>
          <w:p>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按有关法律、法规、规章不属于响应无效的。</w:t>
            </w:r>
          </w:p>
        </w:tc>
        <w:tc>
          <w:tcPr>
            <w:tcW w:w="2693" w:type="dxa"/>
            <w:vAlign w:val="center"/>
          </w:tcPr>
          <w:p>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pPr>
        <w:snapToGrid w:val="0"/>
        <w:spacing w:line="360" w:lineRule="auto"/>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pPr>
        <w:numPr>
          <w:ilvl w:val="0"/>
          <w:numId w:val="4"/>
        </w:numPr>
        <w:snapToGrid w:val="0"/>
        <w:spacing w:line="360" w:lineRule="auto"/>
        <w:ind w:left="2730" w:leftChars="0" w:firstLineChars="0"/>
        <w:jc w:val="left"/>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r>
        <w:rPr>
          <w:rFonts w:hint="eastAsia" w:asciiTheme="minorEastAsia" w:hAnsiTheme="minorEastAsia" w:eastAsiaTheme="minorEastAsia" w:cstheme="minorEastAsia"/>
          <w:b/>
          <w:color w:val="auto"/>
          <w:kern w:val="0"/>
          <w:sz w:val="32"/>
          <w:szCs w:val="32"/>
          <w:highlight w:val="none"/>
        </w:rPr>
        <w:t>磋商</w:t>
      </w:r>
      <w:r>
        <w:rPr>
          <w:rFonts w:hint="eastAsia" w:asciiTheme="minorEastAsia" w:hAnsiTheme="minorEastAsia" w:eastAsiaTheme="minorEastAsia" w:cstheme="minorEastAsia"/>
          <w:b/>
          <w:color w:val="auto"/>
          <w:sz w:val="32"/>
          <w:szCs w:val="32"/>
          <w:highlight w:val="none"/>
        </w:rPr>
        <w:t>函</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采购活动，并对此项目进行磋商响应。为此：</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我方承诺响应有效期从提交响应文件的截止之日起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本响应文件在响应有效期满之前均具有约束力。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我方的响应文件包括以下内容：</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2.1.1有效的企业法人营业执照（或事业法人登记证）、其他组织（个体工商户）的营业执照或者民办非企业单位登记证书；</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2.1.2符合参加政府采购活动应当具备的一般条件的承诺函；</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 符合性自查表；</w:t>
      </w:r>
    </w:p>
    <w:p>
      <w:pPr>
        <w:snapToGrid w:val="0"/>
        <w:spacing w:line="360" w:lineRule="auto"/>
        <w:ind w:left="420" w:leftChars="200" w:firstLine="48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rPr>
        <w:t>2.2.2 磋商函；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 授权委托书；</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 供应商情况表；</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 距采购人最近或者能为本项目提供最优服务的网点情况表；</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 评审标准相应的商务技术资料；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 商务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 技术</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9 同类业绩情况一览表；</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2.2.10 </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2.2.11 其他资料。</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报价一览表；</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2.3.2中小企业声明函（如有）；</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 残疾人福利性单位声明函（如有）；</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 监狱企业的证明文件（如有）；</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 政府采购统计基础信息表。</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我方承诺除商务技术偏离表列出的偏离外，我方响应采购文件的全部要求。</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如我方成交，我方承诺：</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4.3按照采购文件要求提交履约保证金；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spacing w:line="360" w:lineRule="auto"/>
        <w:ind w:firstLine="3600" w:firstLineChars="1500"/>
        <w:rPr>
          <w:rFonts w:asciiTheme="minorEastAsia" w:hAnsiTheme="minorEastAsia" w:eastAsiaTheme="minorEastAsia" w:cstheme="minorEastAsia"/>
          <w:color w:val="auto"/>
          <w:sz w:val="24"/>
          <w:highlight w:val="none"/>
        </w:rPr>
      </w:pPr>
    </w:p>
    <w:p>
      <w:pPr>
        <w:spacing w:line="360" w:lineRule="auto"/>
        <w:ind w:firstLine="3600" w:firstLineChars="1500"/>
        <w:rPr>
          <w:rFonts w:asciiTheme="minorEastAsia" w:hAnsiTheme="minorEastAsia" w:eastAsiaTheme="minorEastAsia" w:cstheme="minorEastAsia"/>
          <w:color w:val="auto"/>
          <w:sz w:val="24"/>
          <w:highlight w:val="none"/>
        </w:rPr>
      </w:pP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法定代表人（签名或印章）：     </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供应商（盖章）：   </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360" w:lineRule="auto"/>
        <w:jc w:val="center"/>
        <w:rPr>
          <w:rFonts w:asciiTheme="minorEastAsia" w:hAnsiTheme="minorEastAsia" w:eastAsiaTheme="minorEastAsia" w:cstheme="minorEastAsia"/>
          <w:b/>
          <w:color w:val="auto"/>
          <w:kern w:val="0"/>
          <w:sz w:val="32"/>
          <w:szCs w:val="32"/>
          <w:highlight w:val="none"/>
        </w:rPr>
      </w:pPr>
    </w:p>
    <w:p>
      <w:pPr>
        <w:spacing w:line="360" w:lineRule="auto"/>
        <w:jc w:val="center"/>
        <w:rPr>
          <w:rFonts w:asciiTheme="minorEastAsia" w:hAnsiTheme="minorEastAsia" w:eastAsiaTheme="minorEastAsia" w:cstheme="minorEastAsia"/>
          <w:b/>
          <w:color w:val="auto"/>
          <w:kern w:val="0"/>
          <w:sz w:val="32"/>
          <w:szCs w:val="32"/>
          <w:highlight w:val="none"/>
          <w:lang w:val="zh-CN"/>
        </w:rPr>
      </w:pPr>
    </w:p>
    <w:p>
      <w:pPr>
        <w:spacing w:line="360" w:lineRule="auto"/>
        <w:rPr>
          <w:rFonts w:asciiTheme="minorEastAsia" w:hAnsiTheme="minorEastAsia" w:eastAsiaTheme="minorEastAsia" w:cstheme="minorEastAsia"/>
          <w:b/>
          <w:color w:val="auto"/>
          <w:sz w:val="32"/>
          <w:szCs w:val="32"/>
          <w:highlight w:val="none"/>
        </w:rPr>
      </w:pPr>
      <w:bookmarkStart w:id="459" w:name="_Toc110393361"/>
      <w:bookmarkStart w:id="460" w:name="_Toc225223761"/>
      <w:bookmarkStart w:id="461" w:name="_Toc479927873"/>
      <w:bookmarkStart w:id="462" w:name="_Toc483379796"/>
      <w:bookmarkStart w:id="463" w:name="_Toc14746861"/>
      <w:bookmarkStart w:id="464" w:name="_Toc488936100"/>
    </w:p>
    <w:p>
      <w:pPr>
        <w:numPr>
          <w:ilvl w:val="0"/>
          <w:numId w:val="4"/>
        </w:numPr>
        <w:snapToGrid w:val="0"/>
        <w:spacing w:line="360" w:lineRule="auto"/>
        <w:ind w:left="2730" w:leftChars="0" w:firstLineChars="0"/>
        <w:jc w:val="left"/>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zh-CN"/>
        </w:rPr>
        <w:t>授权委托书</w:t>
      </w:r>
    </w:p>
    <w:p>
      <w:pPr>
        <w:spacing w:line="440" w:lineRule="exact"/>
        <w:jc w:val="both"/>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32"/>
          <w:szCs w:val="32"/>
          <w:highlight w:val="none"/>
        </w:rPr>
        <w:t>法定代表人授权委托书</w:t>
      </w:r>
    </w:p>
    <w:p>
      <w:pPr>
        <w:spacing w:line="44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24"/>
          <w:highlight w:val="none"/>
        </w:rPr>
        <w:t>（法定代表人来参加磋商采购活动的，此表不用）</w:t>
      </w:r>
    </w:p>
    <w:p>
      <w:pPr>
        <w:snapToGrid w:val="0"/>
        <w:spacing w:line="360" w:lineRule="auto"/>
        <w:rPr>
          <w:rFonts w:asciiTheme="minorEastAsia" w:hAnsiTheme="minorEastAsia" w:eastAsiaTheme="minorEastAsia" w:cstheme="minorEastAsia"/>
          <w:bCs/>
          <w:color w:val="auto"/>
          <w:sz w:val="24"/>
          <w:highlight w:val="none"/>
        </w:rPr>
      </w:pPr>
    </w:p>
    <w:p>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（采购单位名称）</w:t>
      </w: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color w:val="auto"/>
          <w:szCs w:val="21"/>
          <w:highlight w:val="none"/>
        </w:rPr>
        <w:t>：</w:t>
      </w:r>
    </w:p>
    <w:p>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（供应商名称）的法定代表人，现授权委托本单位在职职工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（姓名）以我方的名义参加</w:t>
      </w:r>
      <w:r>
        <w:rPr>
          <w:rFonts w:hint="eastAsia" w:asciiTheme="minorEastAsia" w:hAnsiTheme="minorEastAsia" w:eastAsiaTheme="minorEastAsia" w:cstheme="minorEastAsia"/>
          <w:color w:val="auto"/>
          <w:szCs w:val="21"/>
          <w:highlight w:val="none"/>
          <w:u w:val="single"/>
        </w:rPr>
        <w:t xml:space="preserve">                       政府采购 </w:t>
      </w:r>
      <w:r>
        <w:rPr>
          <w:rFonts w:hint="eastAsia" w:asciiTheme="minorEastAsia" w:hAnsiTheme="minorEastAsia" w:eastAsiaTheme="minorEastAsia" w:cstheme="minorEastAsia"/>
          <w:color w:val="auto"/>
          <w:szCs w:val="21"/>
          <w:highlight w:val="none"/>
        </w:rPr>
        <w:t>项目的磋商采购活动，并代表我方全权办理针对上述项目的磋商、评审、签约等具体事务和签署相关文件。</w:t>
      </w:r>
    </w:p>
    <w:p>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我方对被授权人的签名事项负全部责任。</w:t>
      </w:r>
    </w:p>
    <w:p>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被授权人无转委托权，特此委托。</w:t>
      </w:r>
    </w:p>
    <w:p>
      <w:pPr>
        <w:snapToGrid w:val="0"/>
        <w:spacing w:line="360" w:lineRule="auto"/>
        <w:rPr>
          <w:rFonts w:asciiTheme="minorEastAsia" w:hAnsiTheme="minorEastAsia" w:eastAsiaTheme="minorEastAsia" w:cstheme="minorEastAsia"/>
          <w:color w:val="auto"/>
          <w:szCs w:val="21"/>
          <w:highlight w:val="none"/>
        </w:rPr>
      </w:pPr>
    </w:p>
    <w:p>
      <w:pPr>
        <w:snapToGrid w:val="0"/>
        <w:spacing w:line="360" w:lineRule="auto"/>
        <w:rPr>
          <w:rFonts w:asciiTheme="minorEastAsia" w:hAnsiTheme="minorEastAsia" w:eastAsiaTheme="minorEastAsia" w:cstheme="minorEastAsia"/>
          <w:color w:val="auto"/>
          <w:szCs w:val="21"/>
          <w:highlight w:val="none"/>
        </w:rPr>
      </w:pPr>
    </w:p>
    <w:p>
      <w:pP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被授权人签名或印章：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法定代表人签名或印章：</w:t>
      </w:r>
      <w:r>
        <w:rPr>
          <w:rFonts w:hint="eastAsia" w:asciiTheme="minorEastAsia" w:hAnsiTheme="minorEastAsia" w:eastAsiaTheme="minorEastAsia" w:cstheme="minorEastAsia"/>
          <w:color w:val="auto"/>
          <w:szCs w:val="21"/>
          <w:highlight w:val="none"/>
          <w:u w:val="single"/>
        </w:rPr>
        <w:t xml:space="preserve">          </w:t>
      </w:r>
    </w:p>
    <w:p>
      <w:pP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职务：</w:t>
      </w:r>
      <w:r>
        <w:rPr>
          <w:rFonts w:hint="eastAsia" w:asciiTheme="minorEastAsia" w:hAnsiTheme="minorEastAsia" w:eastAsiaTheme="minorEastAsia" w:cstheme="minorEastAsia"/>
          <w:color w:val="auto"/>
          <w:szCs w:val="21"/>
          <w:highlight w:val="none"/>
          <w:u w:val="single"/>
        </w:rPr>
        <w:t xml:space="preserve">           </w:t>
      </w:r>
    </w:p>
    <w:p>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被授权人身份证号码：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pPr>
        <w:snapToGrid w:val="0"/>
        <w:spacing w:line="360" w:lineRule="auto"/>
        <w:rPr>
          <w:rFonts w:asciiTheme="minorEastAsia" w:hAnsiTheme="minorEastAsia" w:eastAsiaTheme="minorEastAsia" w:cstheme="minorEastAsia"/>
          <w:color w:val="auto"/>
          <w:szCs w:val="21"/>
          <w:highlight w:val="none"/>
        </w:rPr>
      </w:pPr>
    </w:p>
    <w:p>
      <w:pPr>
        <w:spacing w:line="360" w:lineRule="auto"/>
        <w:ind w:firstLine="4830" w:firstLineChars="2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供应商（盖章）：</w:t>
      </w:r>
    </w:p>
    <w:p>
      <w:pPr>
        <w:spacing w:line="360" w:lineRule="auto"/>
        <w:ind w:firstLine="1260" w:firstLineChars="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日期：</w:t>
      </w:r>
    </w:p>
    <w:p>
      <w:pPr>
        <w:spacing w:line="360" w:lineRule="auto"/>
        <w:rPr>
          <w:rFonts w:asciiTheme="minorEastAsia" w:hAnsiTheme="minorEastAsia" w:eastAsiaTheme="minorEastAsia" w:cstheme="minorEastAsia"/>
          <w:b/>
          <w:color w:val="auto"/>
          <w:szCs w:val="21"/>
          <w:highlight w:val="none"/>
        </w:rPr>
      </w:pPr>
    </w:p>
    <w:p>
      <w:pPr>
        <w:spacing w:line="360" w:lineRule="auto"/>
        <w:rPr>
          <w:rFonts w:asciiTheme="minorEastAsia" w:hAnsiTheme="minorEastAsia" w:eastAsiaTheme="minorEastAsia" w:cstheme="minorEastAsia"/>
          <w:b/>
          <w:color w:val="auto"/>
          <w:szCs w:val="21"/>
          <w:highlight w:val="none"/>
        </w:rPr>
      </w:pPr>
    </w:p>
    <w:p>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附：法定代表人身份证复印件（正反面）、授权代表身份证复印件（正反面）：</w:t>
      </w:r>
    </w:p>
    <w:p>
      <w:pPr>
        <w:snapToGrid w:val="0"/>
        <w:spacing w:line="360" w:lineRule="auto"/>
        <w:rPr>
          <w:rFonts w:asciiTheme="minorEastAsia" w:hAnsiTheme="minorEastAsia" w:eastAsiaTheme="minorEastAsia" w:cstheme="minorEastAsia"/>
          <w:color w:val="auto"/>
          <w:sz w:val="24"/>
          <w:highlight w:val="none"/>
        </w:rPr>
      </w:pPr>
    </w:p>
    <w:p>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p>
    <w:p>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highlight w:val="none"/>
          <w:lang w:val="en-US" w:eastAsia="zh-CN"/>
        </w:rPr>
        <w:t>四、</w:t>
      </w:r>
      <w:r>
        <w:rPr>
          <w:rFonts w:hint="eastAsia" w:asciiTheme="minorEastAsia" w:hAnsiTheme="minorEastAsia" w:eastAsiaTheme="minorEastAsia" w:cstheme="minorEastAsia"/>
          <w:b/>
          <w:color w:val="auto"/>
          <w:kern w:val="0"/>
          <w:sz w:val="32"/>
          <w:szCs w:val="32"/>
          <w:highlight w:val="none"/>
          <w:lang w:val="zh-CN"/>
        </w:rPr>
        <w:t>供应商基本情况表</w:t>
      </w:r>
    </w:p>
    <w:tbl>
      <w:tblPr>
        <w:tblStyle w:val="25"/>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p>
        </w:tc>
        <w:tc>
          <w:tcPr>
            <w:tcW w:w="7647" w:type="dxa"/>
            <w:gridSpan w:val="5"/>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注册地址</w:t>
            </w:r>
          </w:p>
        </w:tc>
        <w:tc>
          <w:tcPr>
            <w:tcW w:w="2809" w:type="dxa"/>
            <w:gridSpan w:val="2"/>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成立时间</w:t>
            </w:r>
          </w:p>
        </w:tc>
        <w:tc>
          <w:tcPr>
            <w:tcW w:w="3052" w:type="dxa"/>
            <w:gridSpan w:val="2"/>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统一信用代码</w:t>
            </w:r>
          </w:p>
        </w:tc>
        <w:tc>
          <w:tcPr>
            <w:tcW w:w="2809" w:type="dxa"/>
            <w:gridSpan w:val="2"/>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注册资金</w:t>
            </w:r>
          </w:p>
        </w:tc>
        <w:tc>
          <w:tcPr>
            <w:tcW w:w="3052" w:type="dxa"/>
            <w:gridSpan w:val="2"/>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供应商授权代表联系人姓名</w:t>
            </w:r>
          </w:p>
        </w:tc>
        <w:tc>
          <w:tcPr>
            <w:tcW w:w="1936"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法定代表人姓名</w:t>
            </w:r>
          </w:p>
        </w:tc>
        <w:tc>
          <w:tcPr>
            <w:tcW w:w="1936"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项目负责人姓名</w:t>
            </w:r>
          </w:p>
        </w:tc>
        <w:tc>
          <w:tcPr>
            <w:tcW w:w="1936"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技术职称</w:t>
            </w:r>
          </w:p>
        </w:tc>
        <w:tc>
          <w:tcPr>
            <w:tcW w:w="1852"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936" w:type="dxa"/>
            <w:vMerge w:val="restart"/>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restart"/>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w:t>
            </w:r>
          </w:p>
        </w:tc>
        <w:tc>
          <w:tcPr>
            <w:tcW w:w="1786"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高级职称</w:t>
            </w:r>
          </w:p>
        </w:tc>
        <w:tc>
          <w:tcPr>
            <w:tcW w:w="3052" w:type="dxa"/>
            <w:gridSpan w:val="2"/>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中级职称</w:t>
            </w:r>
          </w:p>
        </w:tc>
        <w:tc>
          <w:tcPr>
            <w:tcW w:w="3052" w:type="dxa"/>
            <w:gridSpan w:val="2"/>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各类注册人员</w:t>
            </w:r>
          </w:p>
        </w:tc>
        <w:tc>
          <w:tcPr>
            <w:tcW w:w="3052" w:type="dxa"/>
            <w:gridSpan w:val="2"/>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基本账户开户银行</w:t>
            </w:r>
          </w:p>
        </w:tc>
        <w:tc>
          <w:tcPr>
            <w:tcW w:w="7647" w:type="dxa"/>
            <w:gridSpan w:val="5"/>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基本账户账号</w:t>
            </w:r>
          </w:p>
        </w:tc>
        <w:tc>
          <w:tcPr>
            <w:tcW w:w="7647" w:type="dxa"/>
            <w:gridSpan w:val="5"/>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经营范围</w:t>
            </w:r>
          </w:p>
        </w:tc>
        <w:tc>
          <w:tcPr>
            <w:tcW w:w="7647" w:type="dxa"/>
            <w:gridSpan w:val="5"/>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w:t>
            </w:r>
          </w:p>
        </w:tc>
        <w:tc>
          <w:tcPr>
            <w:tcW w:w="7647" w:type="dxa"/>
            <w:gridSpan w:val="5"/>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pPr>
        <w:adjustRightInd w:val="0"/>
        <w:snapToGrid w:val="0"/>
        <w:spacing w:line="360" w:lineRule="auto"/>
        <w:ind w:firstLine="482"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兹证明上述声明是真实、正确的，并提供了全部能提供的资料和数据，我们同意遵照贵方要求出示有关证明文件。</w:t>
      </w:r>
    </w:p>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p>
      <w:pPr>
        <w:pStyle w:val="35"/>
        <w:spacing w:line="360" w:lineRule="auto"/>
        <w:ind w:firstLine="560"/>
        <w:rPr>
          <w:rFonts w:asciiTheme="minorEastAsia" w:hAnsiTheme="minorEastAsia" w:eastAsiaTheme="minorEastAsia" w:cstheme="minorEastAsia"/>
          <w:color w:val="auto"/>
          <w:highlight w:val="none"/>
          <w:lang w:val="zh-CN"/>
        </w:rPr>
      </w:pP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pPr>
        <w:numPr>
          <w:ilvl w:val="0"/>
          <w:numId w:val="0"/>
        </w:numPr>
        <w:snapToGrid w:val="0"/>
        <w:spacing w:line="360" w:lineRule="auto"/>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五、</w:t>
      </w:r>
      <w:r>
        <w:rPr>
          <w:rFonts w:hint="eastAsia" w:asciiTheme="minorEastAsia" w:hAnsiTheme="minorEastAsia" w:eastAsiaTheme="minorEastAsia" w:cstheme="minorEastAsia"/>
          <w:b/>
          <w:color w:val="auto"/>
          <w:kern w:val="0"/>
          <w:sz w:val="32"/>
          <w:szCs w:val="32"/>
          <w:highlight w:val="none"/>
          <w:lang w:val="zh-CN"/>
        </w:rPr>
        <w:t>距采购人最近或者能为本项目提供最优服务的网点情况表</w:t>
      </w:r>
    </w:p>
    <w:p>
      <w:pPr>
        <w:spacing w:line="360" w:lineRule="auto"/>
        <w:rPr>
          <w:rFonts w:asciiTheme="minorEastAsia" w:hAnsiTheme="minorEastAsia" w:eastAsiaTheme="minorEastAsia" w:cstheme="minorEastAsia"/>
          <w:color w:val="auto"/>
          <w:highlight w:val="none"/>
        </w:rPr>
      </w:pPr>
    </w:p>
    <w:tbl>
      <w:tblPr>
        <w:tblStyle w:val="25"/>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pPr>
        <w:spacing w:line="360" w:lineRule="auto"/>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color w:val="auto"/>
          <w:highlight w:val="none"/>
        </w:rPr>
      </w:pPr>
    </w:p>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rPr>
        <w:t xml:space="preserve">       </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六、</w:t>
      </w:r>
      <w:r>
        <w:rPr>
          <w:rFonts w:hint="eastAsia" w:asciiTheme="minorEastAsia" w:hAnsiTheme="minorEastAsia" w:eastAsiaTheme="minorEastAsia" w:cstheme="minorEastAsia"/>
          <w:b/>
          <w:color w:val="auto"/>
          <w:kern w:val="0"/>
          <w:sz w:val="32"/>
          <w:szCs w:val="32"/>
          <w:highlight w:val="none"/>
          <w:lang w:val="zh-CN"/>
        </w:rPr>
        <w:t>评审标准相应的商务技术资料</w:t>
      </w:r>
    </w:p>
    <w:p>
      <w:pPr>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（按采购文件第四部分评审办法前附表中“响应文件中评审标准相应的商务技术资料目录”提供资料）</w:t>
      </w:r>
    </w:p>
    <w:p>
      <w:pPr>
        <w:pStyle w:val="35"/>
        <w:ind w:firstLine="560"/>
        <w:rPr>
          <w:rFonts w:asciiTheme="minorEastAsia" w:hAnsiTheme="minorEastAsia" w:eastAsiaTheme="minorEastAsia" w:cstheme="minorEastAsia"/>
          <w:color w:val="auto"/>
          <w:highlight w:val="none"/>
          <w:lang w:val="zh-CN"/>
        </w:rPr>
      </w:pPr>
    </w:p>
    <w:p>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七、</w:t>
      </w:r>
      <w:r>
        <w:rPr>
          <w:rFonts w:hint="eastAsia" w:asciiTheme="minorEastAsia" w:hAnsiTheme="minorEastAsia" w:eastAsiaTheme="minorEastAsia" w:cstheme="minorEastAsia"/>
          <w:b/>
          <w:color w:val="auto"/>
          <w:kern w:val="0"/>
          <w:sz w:val="32"/>
          <w:szCs w:val="32"/>
          <w:highlight w:val="none"/>
          <w:lang w:val="zh-CN"/>
        </w:rPr>
        <w:t>商务</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tbl>
      <w:tblPr>
        <w:tblStyle w:val="26"/>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042"/>
        <w:gridCol w:w="1166"/>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6042" w:type="dxa"/>
            <w:vAlign w:val="center"/>
          </w:tcPr>
          <w:p>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c>
          <w:tcPr>
            <w:tcW w:w="1166" w:type="dxa"/>
            <w:vAlign w:val="center"/>
          </w:tcPr>
          <w:p>
            <w:pPr>
              <w:spacing w:before="156" w:beforeLines="50"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是否响应</w:t>
            </w:r>
          </w:p>
        </w:tc>
        <w:tc>
          <w:tcPr>
            <w:tcW w:w="1414" w:type="dxa"/>
            <w:vAlign w:val="center"/>
          </w:tcPr>
          <w:p>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1</w:t>
            </w:r>
          </w:p>
        </w:tc>
        <w:tc>
          <w:tcPr>
            <w:tcW w:w="6042" w:type="dxa"/>
            <w:vAlign w:val="center"/>
          </w:tcPr>
          <w:p>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c>
          <w:tcPr>
            <w:tcW w:w="1166" w:type="dxa"/>
          </w:tcPr>
          <w:p>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pPr>
              <w:spacing w:line="360" w:lineRule="auto"/>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2</w:t>
            </w:r>
          </w:p>
        </w:tc>
        <w:tc>
          <w:tcPr>
            <w:tcW w:w="6042" w:type="dxa"/>
            <w:vAlign w:val="center"/>
          </w:tcPr>
          <w:p>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安全等级要求：合格</w:t>
            </w:r>
          </w:p>
        </w:tc>
        <w:tc>
          <w:tcPr>
            <w:tcW w:w="1166" w:type="dxa"/>
          </w:tcPr>
          <w:p>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pPr>
              <w:spacing w:line="360" w:lineRule="auto"/>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before="156" w:beforeLines="50" w:line="240" w:lineRule="auto"/>
              <w:jc w:val="center"/>
              <w:rPr>
                <w:rFonts w:hint="eastAsia" w:asciiTheme="minorEastAsia" w:hAnsiTheme="minorEastAsia" w:eastAsiaTheme="minorEastAsia" w:cstheme="minorEastAsia"/>
                <w:color w:val="auto"/>
                <w:kern w:val="0"/>
                <w:sz w:val="24"/>
                <w:highlight w:val="none"/>
                <w:lang w:eastAsia="zh-CN"/>
              </w:rPr>
            </w:pPr>
            <w:r>
              <w:rPr>
                <w:rFonts w:hint="eastAsia" w:ascii="宋体" w:hAnsi="宋体" w:eastAsia="宋体" w:cs="宋体"/>
                <w:b w:val="0"/>
                <w:bCs/>
                <w:color w:val="auto"/>
                <w:sz w:val="21"/>
                <w:szCs w:val="21"/>
                <w:highlight w:val="none"/>
                <w:lang w:val="en-US" w:eastAsia="zh-CN"/>
              </w:rPr>
              <w:t>3</w:t>
            </w:r>
          </w:p>
        </w:tc>
        <w:tc>
          <w:tcPr>
            <w:tcW w:w="6042" w:type="dxa"/>
            <w:vAlign w:val="center"/>
          </w:tcPr>
          <w:p>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年。</w:t>
            </w:r>
          </w:p>
        </w:tc>
        <w:tc>
          <w:tcPr>
            <w:tcW w:w="1166" w:type="dxa"/>
          </w:tcPr>
          <w:p>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pPr>
              <w:spacing w:line="360" w:lineRule="auto"/>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5</w:t>
            </w:r>
          </w:p>
        </w:tc>
        <w:tc>
          <w:tcPr>
            <w:tcW w:w="6042" w:type="dxa"/>
            <w:vAlign w:val="center"/>
          </w:tcPr>
          <w:p>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w:t>
            </w:r>
          </w:p>
        </w:tc>
        <w:tc>
          <w:tcPr>
            <w:tcW w:w="1166" w:type="dxa"/>
          </w:tcPr>
          <w:p>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pPr>
              <w:spacing w:line="360" w:lineRule="auto"/>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6</w:t>
            </w:r>
          </w:p>
        </w:tc>
        <w:tc>
          <w:tcPr>
            <w:tcW w:w="6042" w:type="dxa"/>
            <w:vAlign w:val="center"/>
          </w:tcPr>
          <w:p>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90</w:t>
            </w:r>
            <w:r>
              <w:rPr>
                <w:rFonts w:hint="eastAsia" w:ascii="宋体" w:hAnsi="宋体" w:eastAsia="宋体" w:cs="宋体"/>
                <w:b w:val="0"/>
                <w:bCs/>
                <w:color w:val="auto"/>
                <w:sz w:val="21"/>
                <w:szCs w:val="21"/>
                <w:highlight w:val="none"/>
                <w:lang w:val="en-US" w:eastAsia="zh-CN"/>
              </w:rPr>
              <w:t>日历天内完工</w:t>
            </w:r>
          </w:p>
          <w:p>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cs="宋体"/>
                <w:bCs/>
                <w:color w:val="auto"/>
                <w:szCs w:val="21"/>
                <w:highlight w:val="none"/>
              </w:rPr>
              <w:t>施工地点：业主指定地点。</w:t>
            </w:r>
          </w:p>
        </w:tc>
        <w:tc>
          <w:tcPr>
            <w:tcW w:w="1166" w:type="dxa"/>
          </w:tcPr>
          <w:p>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pPr>
              <w:spacing w:line="360" w:lineRule="auto"/>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7</w:t>
            </w:r>
          </w:p>
        </w:tc>
        <w:tc>
          <w:tcPr>
            <w:tcW w:w="6042" w:type="dxa"/>
            <w:vAlign w:val="center"/>
          </w:tcPr>
          <w:p>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报价方式：按采购文件附件“工程量清单”的价格报统一综合折扣率，折扣率不得高于94%。</w:t>
            </w:r>
          </w:p>
          <w:p>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cs="宋体"/>
                <w:bCs/>
                <w:color w:val="auto"/>
                <w:szCs w:val="21"/>
                <w:highlight w:val="none"/>
              </w:rPr>
              <w:t>本项目为单价合同，工程量按实结算。</w:t>
            </w:r>
          </w:p>
        </w:tc>
        <w:tc>
          <w:tcPr>
            <w:tcW w:w="1166" w:type="dxa"/>
          </w:tcPr>
          <w:p>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pPr>
              <w:spacing w:line="360" w:lineRule="auto"/>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8</w:t>
            </w:r>
          </w:p>
        </w:tc>
        <w:tc>
          <w:tcPr>
            <w:tcW w:w="6042" w:type="dxa"/>
            <w:vAlign w:val="center"/>
          </w:tcPr>
          <w:p>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本项目签约合同价计算公式：预算金额</w:t>
            </w:r>
            <w:r>
              <w:rPr>
                <w:rFonts w:hint="default" w:ascii="Arial" w:hAnsi="Arial" w:cs="Arial"/>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中标综合折扣率</w:t>
            </w:r>
          </w:p>
        </w:tc>
        <w:tc>
          <w:tcPr>
            <w:tcW w:w="1166" w:type="dxa"/>
          </w:tcPr>
          <w:p>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pPr>
              <w:spacing w:line="360" w:lineRule="auto"/>
              <w:jc w:val="center"/>
              <w:rPr>
                <w:rFonts w:asciiTheme="minorEastAsia" w:hAnsiTheme="minorEastAsia" w:eastAsiaTheme="minorEastAsia" w:cstheme="minorEastAsia"/>
                <w:b/>
                <w:color w:val="auto"/>
                <w:kern w:val="0"/>
                <w:sz w:val="32"/>
                <w:szCs w:val="32"/>
                <w:highlight w:val="none"/>
              </w:rPr>
            </w:pPr>
          </w:p>
        </w:tc>
      </w:tr>
    </w:tbl>
    <w:p>
      <w:pPr>
        <w:spacing w:line="240" w:lineRule="auto"/>
        <w:ind w:firstLine="422" w:firstLineChars="200"/>
        <w:jc w:val="left"/>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供应商保证：除商务响应表列出的偏离外，供应商响应采购文件的全部商务要求。供应商需完全响应以上商务条款要求并在“是否响应”一栏里明确，未明确响应的作无效标处理。如有优于的，可以在“投标人承诺或说明”一栏里详细说明。</w:t>
      </w:r>
    </w:p>
    <w:p>
      <w:pPr>
        <w:spacing w:line="240" w:lineRule="auto"/>
        <w:ind w:firstLine="422" w:firstLineChars="200"/>
        <w:jc w:val="left"/>
        <w:rPr>
          <w:rFonts w:hint="eastAsia" w:asciiTheme="minorEastAsia" w:hAnsiTheme="minorEastAsia" w:eastAsiaTheme="minorEastAsia" w:cstheme="minorEastAsia"/>
          <w:b/>
          <w:bCs/>
          <w:color w:val="auto"/>
          <w:kern w:val="0"/>
          <w:sz w:val="21"/>
          <w:szCs w:val="21"/>
          <w:highlight w:val="none"/>
          <w:lang w:val="zh-CN" w:eastAsia="zh-CN"/>
        </w:rPr>
      </w:pPr>
    </w:p>
    <w:p>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pPr>
        <w:widowControl/>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八、</w:t>
      </w:r>
      <w:r>
        <w:rPr>
          <w:rFonts w:hint="eastAsia" w:asciiTheme="minorEastAsia" w:hAnsiTheme="minorEastAsia" w:eastAsiaTheme="minorEastAsia" w:cstheme="minorEastAsia"/>
          <w:b/>
          <w:color w:val="auto"/>
          <w:kern w:val="0"/>
          <w:sz w:val="32"/>
          <w:szCs w:val="32"/>
          <w:highlight w:val="none"/>
          <w:lang w:val="zh-CN"/>
        </w:rPr>
        <w:t>技术</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p>
      <w:pPr>
        <w:pStyle w:val="33"/>
        <w:rPr>
          <w:rFonts w:hint="default" w:ascii="Calibri" w:hAnsi="Calibri" w:eastAsia="宋体" w:cs="宋体"/>
          <w:color w:val="auto"/>
          <w:kern w:val="2"/>
          <w:sz w:val="24"/>
          <w:szCs w:val="24"/>
          <w:highlight w:val="none"/>
          <w:lang w:val="en-US" w:eastAsia="zh-CN" w:bidi="ar-SA"/>
        </w:rPr>
      </w:pPr>
      <w:r>
        <w:rPr>
          <w:rFonts w:hint="eastAsia" w:ascii="Calibri" w:hAnsi="Calibri" w:eastAsia="宋体" w:cs="宋体"/>
          <w:color w:val="auto"/>
          <w:kern w:val="2"/>
          <w:sz w:val="24"/>
          <w:szCs w:val="24"/>
          <w:highlight w:val="none"/>
          <w:lang w:val="en-US" w:eastAsia="zh-CN" w:bidi="ar-SA"/>
        </w:rPr>
        <w:t>1、技术响应表</w:t>
      </w:r>
    </w:p>
    <w:tbl>
      <w:tblPr>
        <w:tblStyle w:val="26"/>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6193"/>
        <w:gridCol w:w="142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序号</w:t>
            </w:r>
          </w:p>
        </w:tc>
        <w:tc>
          <w:tcPr>
            <w:tcW w:w="6193" w:type="dxa"/>
            <w:vAlign w:val="center"/>
          </w:tcPr>
          <w:p>
            <w:pPr>
              <w:spacing w:line="240" w:lineRule="auto"/>
              <w:jc w:val="both"/>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具体内容</w:t>
            </w:r>
          </w:p>
        </w:tc>
        <w:tc>
          <w:tcPr>
            <w:tcW w:w="1424" w:type="dxa"/>
            <w:vAlign w:val="center"/>
          </w:tcPr>
          <w:p>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投标人响应描述</w:t>
            </w:r>
          </w:p>
        </w:tc>
        <w:tc>
          <w:tcPr>
            <w:tcW w:w="1235" w:type="dxa"/>
            <w:vAlign w:val="center"/>
          </w:tcPr>
          <w:p>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响应或偏离说明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1</w:t>
            </w:r>
          </w:p>
        </w:tc>
        <w:tc>
          <w:tcPr>
            <w:tcW w:w="6193" w:type="dxa"/>
            <w:vAlign w:val="center"/>
          </w:tcPr>
          <w:p>
            <w:pPr>
              <w:shd w:val="clear"/>
              <w:spacing w:beforeLines="50" w:line="24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（一）采购范围</w:t>
            </w:r>
          </w:p>
          <w:p>
            <w:pPr>
              <w:shd w:val="clear"/>
              <w:spacing w:beforeLines="50" w:line="240" w:lineRule="auto"/>
              <w:ind w:firstLine="420" w:firstLineChars="200"/>
              <w:rPr>
                <w:rFonts w:ascii="宋体" w:hAnsi="宋体" w:cs="宋体"/>
                <w:bCs/>
                <w:color w:val="auto"/>
                <w:szCs w:val="21"/>
                <w:highlight w:val="none"/>
              </w:rPr>
            </w:pPr>
            <w:r>
              <w:rPr>
                <w:rFonts w:hint="eastAsia" w:ascii="宋体" w:hAnsi="宋体" w:eastAsia="宋体" w:cs="宋体"/>
                <w:bCs/>
                <w:color w:val="auto"/>
                <w:szCs w:val="21"/>
                <w:highlight w:val="none"/>
                <w:lang w:val="en-US" w:eastAsia="zh-CN"/>
              </w:rPr>
              <w:t>施工图范围内的电力排管、电缆井、环网站等。</w:t>
            </w:r>
          </w:p>
          <w:p>
            <w:pPr>
              <w:shd w:val="clear"/>
              <w:spacing w:beforeLines="50" w:line="24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（二）施工图设计内容：</w:t>
            </w:r>
          </w:p>
          <w:p>
            <w:pPr>
              <w:shd w:val="clear"/>
              <w:spacing w:beforeLines="50" w:line="24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新建16+2孔排管219米，新建XGJ-Z3030A电缆井4座，新建XGJ-Z3030B电缆井3座。打16+2孔1处（C20混凝土30cm厚），开1.42m*1.26m窗2处（C30混凝土20cm厚），环网站一座。</w:t>
            </w:r>
          </w:p>
          <w:p>
            <w:pPr>
              <w:keepNext w:val="0"/>
              <w:keepLines w:val="0"/>
              <w:pageBreakBefore w:val="0"/>
              <w:widowControl w:val="0"/>
              <w:kinsoku/>
              <w:wordWrap/>
              <w:overflowPunct/>
              <w:topLinePunct w:val="0"/>
              <w:autoSpaceDE/>
              <w:autoSpaceDN/>
              <w:bidi w:val="0"/>
              <w:adjustRightInd/>
              <w:snapToGrid/>
              <w:spacing w:before="156" w:beforeLines="50" w:line="240" w:lineRule="auto"/>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(四）工程量清单、图纸</w:t>
            </w:r>
          </w:p>
          <w:p>
            <w:pPr>
              <w:keepNext w:val="0"/>
              <w:keepLines w:val="0"/>
              <w:pageBreakBefore w:val="0"/>
              <w:widowControl w:val="0"/>
              <w:kinsoku/>
              <w:wordWrap/>
              <w:overflowPunct/>
              <w:topLinePunct w:val="0"/>
              <w:autoSpaceDE/>
              <w:autoSpaceDN/>
              <w:bidi w:val="0"/>
              <w:adjustRightInd/>
              <w:snapToGrid/>
              <w:spacing w:before="156" w:beforeLines="50" w:line="240" w:lineRule="auto"/>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详见采购文件附件：工程造价咨询报告书、图纸</w:t>
            </w:r>
          </w:p>
          <w:p>
            <w:pPr>
              <w:keepNext w:val="0"/>
              <w:keepLines w:val="0"/>
              <w:pageBreakBefore w:val="0"/>
              <w:widowControl w:val="0"/>
              <w:kinsoku/>
              <w:wordWrap/>
              <w:overflowPunct/>
              <w:topLinePunct w:val="0"/>
              <w:autoSpaceDE/>
              <w:autoSpaceDN/>
              <w:bidi w:val="0"/>
              <w:adjustRightInd/>
              <w:snapToGrid/>
              <w:spacing w:before="156" w:beforeLines="50" w:line="240" w:lineRule="auto"/>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1、工程量清单说明</w:t>
            </w:r>
          </w:p>
          <w:p>
            <w:pPr>
              <w:keepNext w:val="0"/>
              <w:keepLines w:val="0"/>
              <w:pageBreakBefore w:val="0"/>
              <w:widowControl w:val="0"/>
              <w:kinsoku/>
              <w:wordWrap/>
              <w:overflowPunct/>
              <w:topLinePunct w:val="0"/>
              <w:autoSpaceDE/>
              <w:autoSpaceDN/>
              <w:bidi w:val="0"/>
              <w:adjustRightInd/>
              <w:snapToGrid/>
              <w:spacing w:before="156" w:beforeLines="50" w:line="240" w:lineRule="auto"/>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1.1本工程量清单应与采购文件中的竞争性磋商须知、合同条款、技术标准和要求及图纸（如有）等一起阅读和理解。</w:t>
            </w:r>
          </w:p>
          <w:p>
            <w:pPr>
              <w:keepNext w:val="0"/>
              <w:keepLines w:val="0"/>
              <w:pageBreakBefore w:val="0"/>
              <w:widowControl w:val="0"/>
              <w:kinsoku/>
              <w:wordWrap/>
              <w:overflowPunct/>
              <w:topLinePunct w:val="0"/>
              <w:autoSpaceDE/>
              <w:autoSpaceDN/>
              <w:bidi w:val="0"/>
              <w:adjustRightInd/>
              <w:snapToGrid/>
              <w:spacing w:before="156" w:beforeLines="50" w:line="240" w:lineRule="auto"/>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pPr>
              <w:keepNext w:val="0"/>
              <w:keepLines w:val="0"/>
              <w:pageBreakBefore w:val="0"/>
              <w:widowControl w:val="0"/>
              <w:kinsoku/>
              <w:wordWrap/>
              <w:overflowPunct/>
              <w:topLinePunct w:val="0"/>
              <w:autoSpaceDE/>
              <w:autoSpaceDN/>
              <w:bidi w:val="0"/>
              <w:adjustRightInd/>
              <w:snapToGrid/>
              <w:spacing w:before="156" w:beforeLines="50" w:line="240" w:lineRule="auto"/>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供应商不得擅自改动采购人提供的工程量清单内容（计量单位、工程数量等），磋商综合折扣率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pPr>
              <w:keepNext w:val="0"/>
              <w:keepLines w:val="0"/>
              <w:pageBreakBefore w:val="0"/>
              <w:widowControl w:val="0"/>
              <w:kinsoku/>
              <w:wordWrap/>
              <w:overflowPunct/>
              <w:topLinePunct w:val="0"/>
              <w:autoSpaceDE/>
              <w:autoSpaceDN/>
              <w:bidi w:val="0"/>
              <w:adjustRightInd/>
              <w:snapToGrid/>
              <w:spacing w:before="156" w:beforeLines="50" w:line="240" w:lineRule="auto"/>
              <w:ind w:firstLine="422" w:firstLineChars="200"/>
              <w:jc w:val="both"/>
              <w:textAlignment w:val="auto"/>
              <w:rPr>
                <w:rFonts w:hint="eastAsia" w:ascii="Calibri" w:hAnsi="Calibri" w:eastAsia="宋体" w:cs="宋体"/>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（六）系统设计说明：详见图纸</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p>
        </w:tc>
      </w:tr>
    </w:tbl>
    <w:p>
      <w:pPr>
        <w:spacing w:line="360" w:lineRule="auto"/>
        <w:ind w:firstLine="211" w:firstLineChars="100"/>
        <w:jc w:val="left"/>
        <w:rPr>
          <w:rFonts w:hint="eastAsia" w:ascii="Calibri" w:hAnsi="Calibri" w:eastAsia="宋体" w:cs="宋体"/>
          <w:color w:val="auto"/>
          <w:kern w:val="2"/>
          <w:sz w:val="24"/>
          <w:szCs w:val="24"/>
          <w:highlight w:val="none"/>
          <w:lang w:val="en-US" w:eastAsia="zh-CN" w:bidi="ar-SA"/>
        </w:rPr>
      </w:pPr>
      <w:r>
        <w:rPr>
          <w:rFonts w:hint="eastAsia" w:ascii="宋体" w:hAnsi="宋体" w:cs="宋体"/>
          <w:b/>
          <w:bCs/>
          <w:color w:val="auto"/>
          <w:highlight w:val="none"/>
          <w:lang w:val="en-US" w:eastAsia="zh-CN"/>
        </w:rPr>
        <w:t>注：供应商需完全响应“技术响应表 具体内容”并在“响应或偏离说明”一栏里明确，未明确响应的作扣分处理。如有优于的，可以在“投标人响应描述”一栏里详细说明。</w:t>
      </w:r>
    </w:p>
    <w:p>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p>
    <w:p>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p>
    <w:p>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p>
    <w:p>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p>
    <w:p>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p>
    <w:p>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r>
        <w:rPr>
          <w:rFonts w:hint="eastAsia" w:ascii="Calibri" w:hAnsi="Calibri" w:eastAsia="宋体" w:cs="宋体"/>
          <w:color w:val="auto"/>
          <w:kern w:val="2"/>
          <w:sz w:val="24"/>
          <w:szCs w:val="24"/>
          <w:highlight w:val="none"/>
          <w:lang w:val="en-US" w:eastAsia="zh-CN" w:bidi="ar-SA"/>
        </w:rPr>
        <w:t>2、带▲条款技术响应表</w:t>
      </w:r>
    </w:p>
    <w:tbl>
      <w:tblPr>
        <w:tblStyle w:val="25"/>
        <w:tblW w:w="95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320"/>
        <w:gridCol w:w="14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序号</w:t>
            </w:r>
          </w:p>
        </w:tc>
        <w:tc>
          <w:tcPr>
            <w:tcW w:w="6320" w:type="dxa"/>
            <w:noWrap w:val="0"/>
            <w:vAlign w:val="center"/>
          </w:tcPr>
          <w:p>
            <w:pPr>
              <w:spacing w:line="240" w:lineRule="auto"/>
              <w:jc w:val="both"/>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具体内容</w:t>
            </w:r>
          </w:p>
        </w:tc>
        <w:tc>
          <w:tcPr>
            <w:tcW w:w="1407" w:type="dxa"/>
            <w:noWrap w:val="0"/>
            <w:vAlign w:val="center"/>
          </w:tcPr>
          <w:p>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投标人响应描述</w:t>
            </w:r>
          </w:p>
        </w:tc>
        <w:tc>
          <w:tcPr>
            <w:tcW w:w="1126" w:type="dxa"/>
            <w:noWrap w:val="0"/>
            <w:vAlign w:val="center"/>
          </w:tcPr>
          <w:p>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响应或偏离说明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1" w:type="dxa"/>
            <w:noWrap w:val="0"/>
            <w:vAlign w:val="center"/>
          </w:tcPr>
          <w:p>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1</w:t>
            </w:r>
          </w:p>
        </w:tc>
        <w:tc>
          <w:tcPr>
            <w:tcW w:w="6320" w:type="dxa"/>
            <w:noWrap w:val="0"/>
            <w:vAlign w:val="center"/>
          </w:tcPr>
          <w:p>
            <w:pPr>
              <w:shd w:val="clear"/>
              <w:tabs>
                <w:tab w:val="left" w:pos="4915"/>
              </w:tabs>
              <w:spacing w:line="360" w:lineRule="auto"/>
              <w:ind w:firstLine="422" w:firstLineChars="200"/>
              <w:rPr>
                <w:rFonts w:hint="eastAsia" w:ascii="Calibri" w:hAnsi="Calibri"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cs="宋体"/>
                <w:color w:val="auto"/>
                <w:szCs w:val="21"/>
                <w:highlight w:val="none"/>
              </w:rPr>
              <w:t>5.1项目负责人：具</w:t>
            </w:r>
            <w:r>
              <w:rPr>
                <w:rFonts w:hint="eastAsia" w:ascii="Times New Roman" w:hAnsi="Times New Roman" w:cs="宋体"/>
                <w:color w:val="auto"/>
                <w:szCs w:val="21"/>
                <w:highlight w:val="none"/>
              </w:rPr>
              <w:t>有市政公用工程专业注册建造师贰级及以上证书，并具有有效的</w:t>
            </w:r>
            <w:r>
              <w:rPr>
                <w:rFonts w:hint="eastAsia" w:cs="宋体"/>
                <w:color w:val="auto"/>
                <w:szCs w:val="21"/>
                <w:highlight w:val="none"/>
              </w:rPr>
              <w:t>《安全生产考核合格证书》</w:t>
            </w:r>
            <w:r>
              <w:rPr>
                <w:rFonts w:hint="eastAsia" w:ascii="Times New Roman" w:hAnsi="Times New Roman" w:cs="宋体"/>
                <w:color w:val="auto"/>
                <w:szCs w:val="21"/>
                <w:highlight w:val="none"/>
              </w:rPr>
              <w:t>（B证）；（投标文件中提供相关证书证明材料）</w:t>
            </w:r>
          </w:p>
        </w:tc>
        <w:tc>
          <w:tcPr>
            <w:tcW w:w="1407" w:type="dxa"/>
            <w:noWrap w:val="0"/>
            <w:vAlign w:val="center"/>
          </w:tcPr>
          <w:p>
            <w:pPr>
              <w:spacing w:line="240" w:lineRule="auto"/>
              <w:jc w:val="both"/>
              <w:rPr>
                <w:rFonts w:hint="eastAsia" w:ascii="Calibri" w:hAnsi="Calibri" w:eastAsia="宋体" w:cs="宋体"/>
                <w:color w:val="auto"/>
                <w:kern w:val="2"/>
                <w:sz w:val="21"/>
                <w:szCs w:val="21"/>
                <w:highlight w:val="none"/>
                <w:lang w:val="en-US" w:eastAsia="zh-CN" w:bidi="ar-SA"/>
              </w:rPr>
            </w:pPr>
          </w:p>
        </w:tc>
        <w:tc>
          <w:tcPr>
            <w:tcW w:w="1126" w:type="dxa"/>
            <w:noWrap w:val="0"/>
            <w:vAlign w:val="center"/>
          </w:tcPr>
          <w:p>
            <w:pPr>
              <w:spacing w:line="240" w:lineRule="auto"/>
              <w:jc w:val="both"/>
              <w:rPr>
                <w:rFonts w:hint="eastAsia" w:ascii="Calibri" w:hAnsi="Calibri"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1" w:type="dxa"/>
            <w:noWrap w:val="0"/>
            <w:vAlign w:val="center"/>
          </w:tcPr>
          <w:p>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2</w:t>
            </w:r>
          </w:p>
        </w:tc>
        <w:tc>
          <w:tcPr>
            <w:tcW w:w="6320" w:type="dxa"/>
            <w:noWrap w:val="0"/>
            <w:vAlign w:val="center"/>
          </w:tcPr>
          <w:p>
            <w:pPr>
              <w:shd w:val="clear"/>
              <w:tabs>
                <w:tab w:val="left" w:pos="4915"/>
              </w:tabs>
              <w:spacing w:line="360" w:lineRule="auto"/>
              <w:ind w:firstLine="422" w:firstLineChars="200"/>
              <w:rPr>
                <w:rFonts w:hint="eastAsia" w:ascii="Calibri" w:hAnsi="Calibri"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cs="宋体"/>
                <w:color w:val="auto"/>
                <w:szCs w:val="21"/>
                <w:highlight w:val="none"/>
              </w:rPr>
              <w:t>5.2</w:t>
            </w:r>
            <w:r>
              <w:rPr>
                <w:rFonts w:cs="宋体"/>
                <w:color w:val="auto"/>
                <w:szCs w:val="21"/>
                <w:highlight w:val="none"/>
              </w:rPr>
              <w:t xml:space="preserve"> </w:t>
            </w:r>
            <w:r>
              <w:rPr>
                <w:rFonts w:hint="eastAsia" w:cs="宋体"/>
                <w:color w:val="auto"/>
                <w:szCs w:val="21"/>
                <w:highlight w:val="none"/>
              </w:rPr>
              <w:t>项目专职安全员1名：具备有效的《安全生产考核合格证书》（C证）</w:t>
            </w:r>
            <w:r>
              <w:rPr>
                <w:rFonts w:hint="eastAsia" w:ascii="宋体" w:hAnsi="宋体" w:cs="宋体"/>
                <w:bCs/>
                <w:color w:val="auto"/>
                <w:szCs w:val="21"/>
                <w:highlight w:val="none"/>
              </w:rPr>
              <w:t>。</w:t>
            </w:r>
            <w:r>
              <w:rPr>
                <w:rFonts w:hint="eastAsia" w:ascii="Times New Roman" w:hAnsi="Times New Roman" w:cs="宋体"/>
                <w:color w:val="auto"/>
                <w:szCs w:val="21"/>
                <w:highlight w:val="none"/>
              </w:rPr>
              <w:t>（投标文件中提供相关证书证明材料）</w:t>
            </w:r>
          </w:p>
        </w:tc>
        <w:tc>
          <w:tcPr>
            <w:tcW w:w="1407" w:type="dxa"/>
            <w:noWrap w:val="0"/>
            <w:vAlign w:val="center"/>
          </w:tcPr>
          <w:p>
            <w:pPr>
              <w:spacing w:line="240" w:lineRule="auto"/>
              <w:jc w:val="both"/>
              <w:rPr>
                <w:rFonts w:hint="eastAsia" w:ascii="Calibri" w:hAnsi="Calibri" w:eastAsia="宋体" w:cs="宋体"/>
                <w:color w:val="auto"/>
                <w:kern w:val="2"/>
                <w:sz w:val="21"/>
                <w:szCs w:val="21"/>
                <w:highlight w:val="none"/>
                <w:lang w:val="en-US" w:eastAsia="zh-CN" w:bidi="ar-SA"/>
              </w:rPr>
            </w:pPr>
          </w:p>
        </w:tc>
        <w:tc>
          <w:tcPr>
            <w:tcW w:w="1126" w:type="dxa"/>
            <w:noWrap w:val="0"/>
            <w:vAlign w:val="center"/>
          </w:tcPr>
          <w:p>
            <w:pPr>
              <w:spacing w:line="240" w:lineRule="auto"/>
              <w:jc w:val="both"/>
              <w:rPr>
                <w:rFonts w:hint="eastAsia" w:ascii="Calibri" w:hAnsi="Calibri" w:eastAsia="宋体" w:cs="宋体"/>
                <w:color w:val="auto"/>
                <w:kern w:val="2"/>
                <w:sz w:val="21"/>
                <w:szCs w:val="21"/>
                <w:highlight w:val="none"/>
                <w:lang w:val="en-US" w:eastAsia="zh-CN" w:bidi="ar-SA"/>
              </w:rPr>
            </w:pPr>
          </w:p>
        </w:tc>
      </w:tr>
    </w:tbl>
    <w:p>
      <w:pPr>
        <w:spacing w:line="360" w:lineRule="auto"/>
        <w:ind w:firstLine="210" w:firstLineChars="100"/>
        <w:jc w:val="left"/>
        <w:rPr>
          <w:rFonts w:hint="eastAsia" w:ascii="宋体" w:hAnsi="宋体" w:cs="宋体"/>
          <w:color w:val="auto"/>
          <w:highlight w:val="none"/>
        </w:rPr>
      </w:pPr>
      <w:r>
        <w:rPr>
          <w:rFonts w:hint="eastAsia" w:ascii="宋体" w:hAnsi="宋体" w:cs="宋体"/>
          <w:color w:val="auto"/>
          <w:highlight w:val="none"/>
        </w:rPr>
        <w:t>说明：</w:t>
      </w:r>
      <w:r>
        <w:rPr>
          <w:rFonts w:hint="eastAsia" w:ascii="宋体" w:hAnsi="宋体" w:cs="宋体"/>
          <w:color w:val="auto"/>
          <w:highlight w:val="none"/>
          <w:lang w:val="en-US" w:eastAsia="zh-CN"/>
        </w:rPr>
        <w:t>采购文件中</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第三部分 采购需求</w:t>
      </w:r>
      <w:r>
        <w:rPr>
          <w:rFonts w:hint="eastAsia" w:ascii="宋体" w:hAnsi="宋体" w:cs="宋体"/>
          <w:color w:val="auto"/>
          <w:highlight w:val="none"/>
          <w:lang w:eastAsia="zh-CN"/>
        </w:rPr>
        <w:t>”</w:t>
      </w:r>
      <w:r>
        <w:rPr>
          <w:rFonts w:hint="eastAsia" w:ascii="宋体" w:hAnsi="宋体" w:cs="宋体"/>
          <w:color w:val="auto"/>
          <w:highlight w:val="none"/>
        </w:rPr>
        <w:t>带“</w:t>
      </w:r>
      <w:r>
        <w:rPr>
          <w:rFonts w:hint="eastAsia" w:ascii="宋体" w:hAnsi="宋体" w:eastAsia="宋体" w:cs="宋体"/>
          <w:color w:val="auto"/>
          <w:szCs w:val="21"/>
          <w:highlight w:val="none"/>
        </w:rPr>
        <w:t>▲</w:t>
      </w:r>
      <w:r>
        <w:rPr>
          <w:rFonts w:hint="eastAsia" w:ascii="宋体" w:hAnsi="宋体" w:cs="宋体"/>
          <w:color w:val="auto"/>
          <w:highlight w:val="none"/>
        </w:rPr>
        <w:t>”的条款要求提供相关证明资料</w:t>
      </w:r>
      <w:r>
        <w:rPr>
          <w:rFonts w:hint="eastAsia" w:ascii="宋体" w:hAnsi="宋体" w:cs="宋体"/>
          <w:color w:val="auto"/>
          <w:highlight w:val="none"/>
          <w:lang w:eastAsia="zh-CN"/>
        </w:rPr>
        <w:t>的</w:t>
      </w:r>
      <w:r>
        <w:rPr>
          <w:rFonts w:hint="eastAsia" w:ascii="宋体" w:hAnsi="宋体" w:cs="宋体"/>
          <w:color w:val="auto"/>
          <w:highlight w:val="none"/>
        </w:rPr>
        <w:t>必须一并提供，否则视为</w:t>
      </w:r>
      <w:r>
        <w:rPr>
          <w:rFonts w:hint="eastAsia" w:ascii="宋体" w:hAnsi="宋体" w:cs="宋体"/>
          <w:color w:val="auto"/>
          <w:highlight w:val="none"/>
          <w:lang w:val="en-US" w:eastAsia="zh-CN"/>
        </w:rPr>
        <w:t>未实质性响应</w:t>
      </w:r>
      <w:r>
        <w:rPr>
          <w:rFonts w:hint="eastAsia" w:ascii="宋体" w:hAnsi="宋体" w:cs="宋体"/>
          <w:color w:val="auto"/>
          <w:highlight w:val="none"/>
        </w:rPr>
        <w:t>。</w:t>
      </w:r>
    </w:p>
    <w:p>
      <w:pPr>
        <w:spacing w:before="156" w:beforeLines="50" w:line="360" w:lineRule="auto"/>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pageBreakBefore w:val="0"/>
              <w:kinsoku/>
              <w:wordWrap/>
              <w:overflowPunct/>
              <w:topLinePunct w:val="0"/>
              <w:bidi w:val="0"/>
              <w:spacing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安全文明费、提前竣工增加费、其它施工组织措施费</w:t>
            </w:r>
          </w:p>
        </w:tc>
        <w:tc>
          <w:tcPr>
            <w:tcW w:w="3103"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安全文明施工费按市区一般工程考虑，</w:t>
            </w:r>
            <w:r>
              <w:rPr>
                <w:rFonts w:hint="eastAsia" w:ascii="宋体" w:hAnsi="Calibri" w:eastAsia="宋体" w:cs="Times New Roman"/>
                <w:b w:val="0"/>
                <w:bCs w:val="0"/>
                <w:color w:val="auto"/>
                <w:szCs w:val="21"/>
                <w:highlight w:val="none"/>
                <w:lang w:val="en-US" w:eastAsia="zh-CN"/>
              </w:rPr>
              <w:t>标化工地增加费、提前竣工增加费、二次搬运费、行车、行人干扰增加费及其他项目费</w:t>
            </w:r>
            <w:r>
              <w:rPr>
                <w:rFonts w:hint="eastAsia" w:ascii="宋体" w:hAnsi="Calibri" w:eastAsia="宋体" w:cs="Times New Roman"/>
                <w:b w:val="0"/>
                <w:bCs w:val="0"/>
                <w:color w:val="auto"/>
                <w:szCs w:val="21"/>
                <w:highlight w:val="none"/>
                <w:lang w:eastAsia="zh-CN"/>
              </w:rPr>
              <w:t>不计取</w:t>
            </w:r>
          </w:p>
        </w:tc>
        <w:tc>
          <w:tcPr>
            <w:tcW w:w="1541" w:type="dxa"/>
            <w:vAlign w:val="center"/>
          </w:tcPr>
          <w:p>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top"/>
          </w:tcPr>
          <w:p>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vAlign w:val="top"/>
          </w:tcPr>
          <w:p>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vAlign w:val="top"/>
          </w:tcPr>
          <w:p>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top"/>
          </w:tcPr>
          <w:p>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9</w:t>
            </w:r>
          </w:p>
        </w:tc>
        <w:tc>
          <w:tcPr>
            <w:tcW w:w="3669" w:type="dxa"/>
            <w:vAlign w:val="top"/>
          </w:tcPr>
          <w:p>
            <w:pPr>
              <w:spacing w:before="156" w:beforeLines="50" w:line="360" w:lineRule="auto"/>
              <w:jc w:val="center"/>
              <w:rPr>
                <w:rFonts w:ascii="Times New Roman"/>
                <w:b w:val="0"/>
                <w:bCs w:val="0"/>
                <w:color w:val="auto"/>
                <w:kern w:val="2"/>
                <w:sz w:val="21"/>
                <w:szCs w:val="21"/>
                <w:highlight w:val="none"/>
              </w:rPr>
            </w:pPr>
            <w:r>
              <w:rPr>
                <w:rFonts w:ascii="Times New Roman"/>
                <w:b w:val="0"/>
                <w:bCs w:val="0"/>
                <w:color w:val="auto"/>
                <w:kern w:val="2"/>
                <w:sz w:val="21"/>
                <w:szCs w:val="21"/>
                <w:highlight w:val="none"/>
              </w:rPr>
              <w:t>是否同意合同条款及合同附件格式</w:t>
            </w:r>
          </w:p>
        </w:tc>
        <w:tc>
          <w:tcPr>
            <w:tcW w:w="3103" w:type="dxa"/>
            <w:vAlign w:val="top"/>
          </w:tcPr>
          <w:p>
            <w:pPr>
              <w:spacing w:before="156" w:beforeLines="50" w:line="360" w:lineRule="auto"/>
              <w:jc w:val="center"/>
              <w:rPr>
                <w:rFonts w:ascii="Times New Roman"/>
                <w:b w:val="0"/>
                <w:bCs w:val="0"/>
                <w:color w:val="auto"/>
                <w:kern w:val="2"/>
                <w:sz w:val="21"/>
                <w:szCs w:val="21"/>
                <w:highlight w:val="none"/>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pPr>
        <w:spacing w:before="156" w:beforeLines="50" w:line="360" w:lineRule="auto"/>
        <w:ind w:firstLine="422" w:firstLineChars="200"/>
        <w:rPr>
          <w:rFonts w:hint="eastAsia" w:asciiTheme="minorEastAsia" w:hAnsiTheme="minorEastAsia" w:eastAsiaTheme="minorEastAsia" w:cstheme="minorEastAsia"/>
          <w:color w:val="auto"/>
          <w:kern w:val="0"/>
          <w:sz w:val="24"/>
          <w:highlight w:val="none"/>
          <w:lang w:val="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pPr>
        <w:pStyle w:val="35"/>
        <w:ind w:firstLine="560"/>
        <w:rPr>
          <w:rFonts w:asciiTheme="minorEastAsia" w:hAnsiTheme="minorEastAsia" w:eastAsiaTheme="minorEastAsia" w:cstheme="minorEastAsia"/>
          <w:color w:val="auto"/>
          <w:highlight w:val="none"/>
        </w:rPr>
      </w:pPr>
    </w:p>
    <w:p>
      <w:pPr>
        <w:numPr>
          <w:ilvl w:val="0"/>
          <w:numId w:val="0"/>
        </w:numPr>
        <w:snapToGrid w:val="0"/>
        <w:spacing w:line="360" w:lineRule="auto"/>
        <w:ind w:left="2730" w:leftChars="0"/>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rPr>
        <w:br w:type="page"/>
      </w:r>
      <w:r>
        <w:rPr>
          <w:rFonts w:hint="eastAsia" w:asciiTheme="minorEastAsia" w:hAnsiTheme="minorEastAsia" w:eastAsiaTheme="minorEastAsia" w:cstheme="minorEastAsia"/>
          <w:b/>
          <w:color w:val="auto"/>
          <w:kern w:val="0"/>
          <w:sz w:val="32"/>
          <w:szCs w:val="32"/>
          <w:highlight w:val="none"/>
          <w:lang w:val="en-US" w:eastAsia="zh-CN"/>
        </w:rPr>
        <w:t xml:space="preserve"> 九、</w:t>
      </w:r>
      <w:r>
        <w:rPr>
          <w:rFonts w:hint="eastAsia" w:asciiTheme="minorEastAsia" w:hAnsiTheme="minorEastAsia" w:eastAsiaTheme="minorEastAsia" w:cstheme="minorEastAsia"/>
          <w:b/>
          <w:color w:val="auto"/>
          <w:kern w:val="0"/>
          <w:sz w:val="32"/>
          <w:szCs w:val="32"/>
          <w:highlight w:val="none"/>
        </w:rPr>
        <w:t>同类业绩情况一览表</w:t>
      </w:r>
    </w:p>
    <w:p>
      <w:pPr>
        <w:spacing w:line="360" w:lineRule="auto"/>
        <w:jc w:val="center"/>
        <w:rPr>
          <w:rFonts w:asciiTheme="minorEastAsia" w:hAnsiTheme="minorEastAsia" w:eastAsiaTheme="minorEastAsia" w:cstheme="minorEastAsia"/>
          <w:color w:val="auto"/>
          <w:highlight w:val="none"/>
        </w:rPr>
      </w:pPr>
    </w:p>
    <w:tbl>
      <w:tblPr>
        <w:tblStyle w:val="25"/>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18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采购单位名称</w:t>
            </w:r>
          </w:p>
        </w:tc>
        <w:tc>
          <w:tcPr>
            <w:tcW w:w="1701" w:type="dxa"/>
            <w:tcBorders>
              <w:top w:val="single" w:color="auto" w:sz="4" w:space="0"/>
              <w:left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合同金额</w:t>
            </w:r>
          </w:p>
          <w:p>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8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8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18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kern w:val="0"/>
                <w:sz w:val="24"/>
                <w:highlight w:val="none"/>
              </w:rPr>
            </w:pPr>
          </w:p>
        </w:tc>
      </w:tr>
    </w:tbl>
    <w:p>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附：评分标准要求的证明材料</w:t>
      </w:r>
    </w:p>
    <w:p>
      <w:pPr>
        <w:spacing w:line="360" w:lineRule="auto"/>
        <w:jc w:val="left"/>
        <w:rPr>
          <w:rFonts w:asciiTheme="minorEastAsia" w:hAnsiTheme="minorEastAsia" w:eastAsiaTheme="minorEastAsia" w:cstheme="minorEastAsia"/>
          <w:color w:val="auto"/>
          <w:kern w:val="0"/>
          <w:sz w:val="24"/>
          <w:highlight w:val="none"/>
        </w:rPr>
      </w:pPr>
    </w:p>
    <w:p>
      <w:pPr>
        <w:spacing w:line="360" w:lineRule="auto"/>
        <w:jc w:val="left"/>
        <w:rPr>
          <w:rFonts w:asciiTheme="minorEastAsia" w:hAnsiTheme="minorEastAsia" w:eastAsiaTheme="minorEastAsia" w:cstheme="minorEastAsia"/>
          <w:color w:val="auto"/>
          <w:kern w:val="0"/>
          <w:sz w:val="24"/>
          <w:highlight w:val="none"/>
        </w:rPr>
      </w:pP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pPr>
        <w:spacing w:line="360" w:lineRule="auto"/>
        <w:ind w:left="4620" w:leftChars="2200"/>
        <w:jc w:val="left"/>
        <w:rPr>
          <w:rFonts w:asciiTheme="minorEastAsia" w:hAnsiTheme="minorEastAsia" w:eastAsiaTheme="minorEastAsia" w:cstheme="minorEastAsia"/>
          <w:b/>
          <w:color w:val="auto"/>
          <w:kern w:val="0"/>
          <w:sz w:val="32"/>
          <w:szCs w:val="32"/>
          <w:highlight w:val="none"/>
          <w:lang w:val="zh-CN"/>
        </w:rPr>
      </w:pPr>
    </w:p>
    <w:p>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十、</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pPr>
        <w:snapToGrid w:val="0"/>
        <w:spacing w:line="360" w:lineRule="auto"/>
        <w:rPr>
          <w:rFonts w:asciiTheme="minorEastAsia" w:hAnsiTheme="minorEastAsia" w:eastAsiaTheme="minorEastAsia" w:cstheme="minorEastAsia"/>
          <w:color w:val="auto"/>
          <w:sz w:val="24"/>
          <w:highlight w:val="none"/>
        </w:rPr>
      </w:pP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kern w:val="0"/>
          <w:sz w:val="24"/>
          <w:highlight w:val="none"/>
          <w:lang w:val="zh-CN"/>
        </w:rPr>
        <w:t>：</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项目磋商要求参加磋商采购活动。在这次采购过程中和成交后，我们将严格遵守国家法律法规要求，并郑重承诺：</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pPr>
        <w:spacing w:line="360" w:lineRule="auto"/>
        <w:ind w:left="4620" w:leftChars="2200"/>
        <w:rPr>
          <w:rFonts w:asciiTheme="minorEastAsia" w:hAnsiTheme="minorEastAsia" w:eastAsiaTheme="minorEastAsia" w:cstheme="minorEastAsia"/>
          <w:color w:val="auto"/>
          <w:sz w:val="24"/>
          <w:highlight w:val="none"/>
        </w:rPr>
      </w:pPr>
    </w:p>
    <w:p>
      <w:pPr>
        <w:spacing w:line="360" w:lineRule="auto"/>
        <w:jc w:val="center"/>
        <w:rPr>
          <w:rFonts w:asciiTheme="minorEastAsia" w:hAnsiTheme="minorEastAsia" w:eastAsiaTheme="minorEastAsia" w:cstheme="min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both"/>
        <w:outlineLvl w:val="0"/>
        <w:rPr>
          <w:rFonts w:asciiTheme="minorEastAsia" w:hAnsiTheme="minorEastAsia" w:eastAsiaTheme="minorEastAsia" w:cstheme="minorEastAsia"/>
          <w:b/>
          <w:color w:val="auto"/>
          <w:kern w:val="0"/>
          <w:sz w:val="36"/>
          <w:szCs w:val="36"/>
          <w:highlight w:val="none"/>
        </w:r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sz w:val="24"/>
          <w:highlight w:val="none"/>
        </w:rPr>
        <w:t xml:space="preserve"> </w:t>
      </w:r>
    </w:p>
    <w:p>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报价一览表；</w:t>
      </w:r>
    </w:p>
    <w:p>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中小企业声明函（如有）；</w:t>
      </w:r>
    </w:p>
    <w:p>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 xml:space="preserve"> 残疾人福利性单位声明函（如有）；</w:t>
      </w:r>
    </w:p>
    <w:p>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 xml:space="preserve"> 监狱企业的证明文件（如有）；</w:t>
      </w:r>
    </w:p>
    <w:p>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 xml:space="preserve"> 政府采购统计基础信息表；</w:t>
      </w:r>
    </w:p>
    <w:p>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 xml:space="preserve"> 其他资料（如有）。</w:t>
      </w:r>
    </w:p>
    <w:p>
      <w:pPr>
        <w:snapToGrid w:val="0"/>
        <w:spacing w:line="360" w:lineRule="auto"/>
        <w:ind w:right="480"/>
        <w:rPr>
          <w:rFonts w:asciiTheme="minorEastAsia" w:hAnsiTheme="minorEastAsia" w:eastAsiaTheme="minorEastAsia" w:cstheme="minorEastAsia"/>
          <w:b/>
          <w:color w:val="auto"/>
          <w:kern w:val="0"/>
          <w:sz w:val="32"/>
          <w:szCs w:val="32"/>
          <w:highlight w:val="none"/>
        </w:rPr>
      </w:pPr>
    </w:p>
    <w:p>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一、报价一览表</w:t>
      </w:r>
    </w:p>
    <w:p>
      <w:pPr>
        <w:snapToGrid w:val="0"/>
        <w:spacing w:line="360" w:lineRule="auto"/>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 xml:space="preserve">                                     </w:t>
      </w:r>
    </w:p>
    <w:p>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highlight w:val="none"/>
          <w:lang w:val="en-US" w:eastAsia="zh-CN"/>
        </w:rPr>
        <w:t>本项目的实施</w:t>
      </w:r>
      <w:r>
        <w:rPr>
          <w:rFonts w:hint="eastAsia" w:asciiTheme="minorEastAsia" w:hAnsiTheme="minorEastAsia" w:eastAsiaTheme="minorEastAsia" w:cstheme="minorEastAsia"/>
          <w:color w:val="auto"/>
          <w:kern w:val="0"/>
          <w:sz w:val="24"/>
          <w:highlight w:val="none"/>
          <w:lang w:val="zh-CN"/>
        </w:rPr>
        <w:t>。</w:t>
      </w:r>
    </w:p>
    <w:p>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报价一览表（初次报价表）(单位均为人民币元)</w:t>
      </w:r>
    </w:p>
    <w:tbl>
      <w:tblPr>
        <w:tblStyle w:val="25"/>
        <w:tblpPr w:leftFromText="180" w:rightFromText="180" w:vertAnchor="text" w:horzAnchor="margin" w:tblpX="496" w:tblpY="192"/>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1"/>
        <w:gridCol w:w="2942"/>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431" w:type="dxa"/>
            <w:tcBorders>
              <w:top w:val="single" w:color="auto" w:sz="4" w:space="0"/>
              <w:left w:val="single" w:color="auto" w:sz="4" w:space="0"/>
              <w:bottom w:val="single" w:color="auto" w:sz="4" w:space="0"/>
              <w:right w:val="single" w:color="auto" w:sz="4" w:space="0"/>
            </w:tcBorders>
            <w:noWrap w:val="0"/>
            <w:vAlign w:val="center"/>
          </w:tcPr>
          <w:p>
            <w:pPr>
              <w:pStyle w:val="11"/>
              <w:pageBreakBefore w:val="0"/>
              <w:kinsoku/>
              <w:wordWrap/>
              <w:overflowPunct/>
              <w:topLinePunct w:val="0"/>
              <w:bidi w:val="0"/>
              <w:spacing w:line="360" w:lineRule="auto"/>
              <w:ind w:firstLine="0"/>
              <w:jc w:val="center"/>
              <w:rPr>
                <w:color w:val="auto"/>
                <w:szCs w:val="24"/>
                <w:highlight w:val="none"/>
              </w:rPr>
            </w:pPr>
            <w:r>
              <w:rPr>
                <w:rFonts w:hint="eastAsia"/>
                <w:color w:val="auto"/>
                <w:szCs w:val="24"/>
                <w:highlight w:val="none"/>
              </w:rPr>
              <w:t>项目名称</w:t>
            </w:r>
          </w:p>
        </w:tc>
        <w:tc>
          <w:tcPr>
            <w:tcW w:w="2942" w:type="dxa"/>
            <w:tcBorders>
              <w:top w:val="single" w:color="auto" w:sz="4" w:space="0"/>
              <w:left w:val="single" w:color="auto" w:sz="4" w:space="0"/>
              <w:bottom w:val="single" w:color="auto" w:sz="4" w:space="0"/>
              <w:right w:val="single" w:color="auto" w:sz="4" w:space="0"/>
            </w:tcBorders>
            <w:noWrap w:val="0"/>
            <w:vAlign w:val="center"/>
          </w:tcPr>
          <w:p>
            <w:pPr>
              <w:pStyle w:val="11"/>
              <w:pageBreakBefore w:val="0"/>
              <w:kinsoku/>
              <w:wordWrap/>
              <w:overflowPunct/>
              <w:topLinePunct w:val="0"/>
              <w:bidi w:val="0"/>
              <w:spacing w:line="360" w:lineRule="auto"/>
              <w:ind w:left="0" w:leftChars="0" w:firstLine="0" w:firstLineChars="0"/>
              <w:jc w:val="center"/>
              <w:rPr>
                <w:rFonts w:hint="eastAsia" w:eastAsia="方正书宋简体"/>
                <w:color w:val="auto"/>
                <w:szCs w:val="24"/>
                <w:highlight w:val="none"/>
                <w:lang w:eastAsia="zh-CN"/>
              </w:rPr>
            </w:pPr>
            <w:r>
              <w:rPr>
                <w:rFonts w:hint="eastAsia"/>
                <w:color w:val="auto"/>
                <w:szCs w:val="24"/>
                <w:highlight w:val="none"/>
              </w:rPr>
              <w:t>投标报价</w:t>
            </w:r>
            <w:r>
              <w:rPr>
                <w:color w:val="auto"/>
                <w:szCs w:val="24"/>
                <w:highlight w:val="none"/>
              </w:rPr>
              <w:t>（</w:t>
            </w:r>
            <w:r>
              <w:rPr>
                <w:rFonts w:hint="eastAsia"/>
                <w:color w:val="auto"/>
                <w:szCs w:val="24"/>
                <w:highlight w:val="none"/>
                <w:lang w:val="en-US" w:eastAsia="zh-CN"/>
              </w:rPr>
              <w:t>综合折扣率</w:t>
            </w:r>
            <w:r>
              <w:rPr>
                <w:rFonts w:hint="eastAsia"/>
                <w:color w:val="auto"/>
                <w:szCs w:val="24"/>
                <w:highlight w:val="none"/>
              </w:rPr>
              <w:t>%</w:t>
            </w:r>
            <w:r>
              <w:rPr>
                <w:color w:val="auto"/>
                <w:szCs w:val="24"/>
                <w:highlight w:val="none"/>
              </w:rPr>
              <w:t>）</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pStyle w:val="11"/>
              <w:pageBreakBefore w:val="0"/>
              <w:kinsoku/>
              <w:wordWrap/>
              <w:overflowPunct/>
              <w:topLinePunct w:val="0"/>
              <w:bidi w:val="0"/>
              <w:spacing w:line="360" w:lineRule="auto"/>
              <w:ind w:firstLine="0"/>
              <w:jc w:val="both"/>
              <w:rPr>
                <w:rFonts w:hint="default" w:eastAsia="方正书宋简体"/>
                <w:color w:val="auto"/>
                <w:szCs w:val="24"/>
                <w:highlight w:val="none"/>
                <w:lang w:val="en-US" w:eastAsia="zh-CN"/>
              </w:rPr>
            </w:pPr>
            <w:r>
              <w:rPr>
                <w:rFonts w:hint="eastAsia" w:eastAsia="方正书宋简体"/>
                <w:color w:val="auto"/>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431" w:type="dxa"/>
            <w:tcBorders>
              <w:top w:val="single" w:color="auto" w:sz="4" w:space="0"/>
              <w:left w:val="single" w:color="auto" w:sz="4" w:space="0"/>
              <w:bottom w:val="single" w:color="auto" w:sz="4" w:space="0"/>
              <w:right w:val="single" w:color="auto" w:sz="4" w:space="0"/>
            </w:tcBorders>
            <w:noWrap w:val="0"/>
            <w:vAlign w:val="center"/>
          </w:tcPr>
          <w:p>
            <w:pPr>
              <w:pStyle w:val="11"/>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rPr>
            </w:pPr>
            <w:r>
              <w:rPr>
                <w:rFonts w:hint="eastAsia" w:eastAsia="宋体"/>
                <w:sz w:val="22"/>
                <w:szCs w:val="22"/>
                <w:lang w:eastAsia="zh-CN"/>
              </w:rPr>
              <w:t xml:space="preserve">尚桥科技园区电力配套（一期）工程-市政业扩及迁改工程—土建部分 </w:t>
            </w:r>
          </w:p>
        </w:tc>
        <w:tc>
          <w:tcPr>
            <w:tcW w:w="2942" w:type="dxa"/>
            <w:tcBorders>
              <w:top w:val="single" w:color="auto" w:sz="4" w:space="0"/>
              <w:left w:val="single" w:color="auto" w:sz="4" w:space="0"/>
              <w:bottom w:val="single" w:color="auto" w:sz="4" w:space="0"/>
              <w:right w:val="single" w:color="auto" w:sz="4" w:space="0"/>
            </w:tcBorders>
            <w:noWrap w:val="0"/>
            <w:vAlign w:val="center"/>
          </w:tcPr>
          <w:p>
            <w:pPr>
              <w:pStyle w:val="11"/>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综合折扣率</w:t>
            </w:r>
            <w:r>
              <w:rPr>
                <w:rFonts w:hint="eastAsia" w:ascii="宋体" w:hAnsi="宋体" w:eastAsia="宋体" w:cs="Times New Roman"/>
                <w:color w:val="auto"/>
                <w:szCs w:val="24"/>
                <w:highlight w:val="none"/>
              </w:rPr>
              <w:t>：   %</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pStyle w:val="11"/>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lang w:val="en-US" w:eastAsia="zh-CN"/>
              </w:rPr>
            </w:pPr>
          </w:p>
        </w:tc>
      </w:tr>
    </w:tbl>
    <w:p>
      <w:pPr>
        <w:shd w:val="clear"/>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r>
        <w:rPr>
          <w:rFonts w:hint="eastAsia" w:ascii="宋体" w:hAnsi="宋体" w:eastAsia="宋体" w:cs="Times New Roman"/>
          <w:b/>
          <w:color w:val="auto"/>
          <w:sz w:val="24"/>
          <w:highlight w:val="none"/>
          <w:u w:val="single"/>
          <w:lang w:val="zh-CN"/>
        </w:rPr>
        <w:t>1、磋商</w:t>
      </w:r>
      <w:r>
        <w:rPr>
          <w:rFonts w:hint="eastAsia" w:ascii="宋体" w:hAnsi="宋体" w:eastAsia="宋体" w:cs="Times New Roman"/>
          <w:b/>
          <w:color w:val="auto"/>
          <w:sz w:val="24"/>
          <w:highlight w:val="none"/>
          <w:u w:val="single"/>
        </w:rPr>
        <w:t>报价</w:t>
      </w:r>
      <w:r>
        <w:rPr>
          <w:rFonts w:hint="eastAsia" w:ascii="宋体" w:hAnsi="宋体"/>
          <w:b/>
          <w:color w:val="auto"/>
          <w:sz w:val="24"/>
          <w:highlight w:val="none"/>
          <w:u w:val="single"/>
        </w:rPr>
        <w:t>折</w:t>
      </w:r>
      <w:r>
        <w:rPr>
          <w:rFonts w:ascii="宋体" w:hAnsi="宋体"/>
          <w:b/>
          <w:color w:val="auto"/>
          <w:sz w:val="24"/>
          <w:highlight w:val="none"/>
          <w:u w:val="single"/>
        </w:rPr>
        <w:t>扣</w:t>
      </w:r>
      <w:r>
        <w:rPr>
          <w:rFonts w:hint="eastAsia" w:ascii="宋体" w:hAnsi="宋体"/>
          <w:b/>
          <w:color w:val="auto"/>
          <w:sz w:val="24"/>
          <w:highlight w:val="none"/>
          <w:u w:val="single"/>
        </w:rPr>
        <w:t>率以“%”的形式填写。</w:t>
      </w:r>
      <w:r>
        <w:rPr>
          <w:rFonts w:hint="eastAsia"/>
          <w:b/>
          <w:color w:val="auto"/>
          <w:sz w:val="24"/>
          <w:highlight w:val="none"/>
          <w:u w:val="single"/>
        </w:rPr>
        <w:t>本次项目设有最高折扣率（94%），未按折扣率进行报价或超过最高综合折扣率进行报价的磋商响应文件作无效处理。</w:t>
      </w:r>
    </w:p>
    <w:p>
      <w:pPr>
        <w:snapToGrid w:val="0"/>
        <w:spacing w:line="360" w:lineRule="auto"/>
        <w:ind w:left="480"/>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2、报价一经涂改，应在涂改处加盖单位公章或者由法定代表人或授权委托人签名或盖章，否则其投标作无效标处理。</w:t>
      </w:r>
    </w:p>
    <w:p>
      <w:pPr>
        <w:snapToGrid w:val="0"/>
        <w:spacing w:line="360" w:lineRule="auto"/>
        <w:ind w:left="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供应商需按本表格式填写，不得自行更改。</w:t>
      </w: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lang w:val="zh-CN"/>
        </w:rPr>
        <w:t>.有关本项目实施所涉及的一切费用均计入报价。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响应文件含有采购人不能接受的附加条件的，</w:t>
      </w:r>
      <w:r>
        <w:rPr>
          <w:rFonts w:hint="eastAsia" w:asciiTheme="minorEastAsia" w:hAnsiTheme="minorEastAsia" w:eastAsiaTheme="minorEastAsia" w:cstheme="minorEastAsia"/>
          <w:b/>
          <w:color w:val="auto"/>
          <w:sz w:val="24"/>
          <w:highlight w:val="none"/>
          <w:lang w:val="en-US" w:eastAsia="zh-CN"/>
        </w:rPr>
        <w:t>投标</w:t>
      </w:r>
      <w:r>
        <w:rPr>
          <w:rFonts w:hint="eastAsia" w:asciiTheme="minorEastAsia" w:hAnsiTheme="minorEastAsia" w:eastAsiaTheme="minorEastAsia" w:cstheme="minorEastAsia"/>
          <w:b/>
          <w:color w:val="auto"/>
          <w:sz w:val="24"/>
          <w:highlight w:val="none"/>
        </w:rPr>
        <w:t>无效</w:t>
      </w:r>
      <w:r>
        <w:rPr>
          <w:rFonts w:hint="eastAsia" w:asciiTheme="minorEastAsia" w:hAnsiTheme="minorEastAsia" w:eastAsiaTheme="minorEastAsia" w:cstheme="minorEastAsia"/>
          <w:b/>
          <w:color w:val="auto"/>
          <w:kern w:val="0"/>
          <w:sz w:val="24"/>
          <w:highlight w:val="none"/>
          <w:lang w:val="zh-CN"/>
        </w:rPr>
        <w:t>。</w:t>
      </w:r>
    </w:p>
    <w:p>
      <w:pPr>
        <w:spacing w:line="360" w:lineRule="auto"/>
        <w:rPr>
          <w:rFonts w:hint="eastAsia" w:asciiTheme="minorEastAsia" w:hAnsiTheme="minorEastAsia" w:eastAsiaTheme="minorEastAsia" w:cstheme="minorEastAsia"/>
          <w:color w:val="auto"/>
          <w:sz w:val="24"/>
          <w:highlight w:val="none"/>
        </w:rPr>
      </w:pP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 xml:space="preserve">定代表人或其授权委托人（签名或印章）：  </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供应商（盖章）：         </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  期：</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二、中小企业声明函</w:t>
      </w:r>
    </w:p>
    <w:p>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w:t>
      </w:r>
    </w:p>
    <w:p>
      <w:pPr>
        <w:spacing w:line="360" w:lineRule="auto"/>
        <w:rPr>
          <w:rFonts w:asciiTheme="minorEastAsia" w:hAnsiTheme="minorEastAsia" w:eastAsiaTheme="minorEastAsia" w:cstheme="minorEastAsia"/>
          <w:color w:val="auto"/>
          <w:highlight w:val="none"/>
        </w:rPr>
      </w:pPr>
    </w:p>
    <w:p>
      <w:pPr>
        <w:spacing w:line="360" w:lineRule="auto"/>
        <w:ind w:firstLine="360" w:firstLineChars="1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b/>
          <w:bCs/>
          <w:color w:val="auto"/>
          <w:sz w:val="24"/>
          <w:highlight w:val="none"/>
          <w:u w:val="single"/>
          <w:lang w:eastAsia="zh-CN"/>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宁波市奉化区惠海地下管线投资有限公司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尚桥科技园区电力配套（一期）工程-市政业扩及迁改工程—土建部分 </w:t>
      </w:r>
      <w:r>
        <w:rPr>
          <w:rFonts w:hint="eastAsia" w:asciiTheme="minorEastAsia" w:hAnsiTheme="minorEastAsia" w:eastAsiaTheme="minorEastAsia" w:cstheme="minorEastAsia"/>
          <w:color w:val="auto"/>
          <w:sz w:val="24"/>
          <w:highlight w:val="none"/>
        </w:rPr>
        <w:t>采购活动，</w:t>
      </w:r>
      <w:r>
        <w:rPr>
          <w:rFonts w:hint="eastAsia" w:asciiTheme="minorEastAsia" w:hAnsiTheme="minorEastAsia" w:eastAsiaTheme="minorEastAsia" w:cstheme="minorEastAsia"/>
          <w:color w:val="auto"/>
          <w:sz w:val="24"/>
          <w:highlight w:val="none"/>
          <w:lang w:val="en-US" w:eastAsia="zh-CN"/>
        </w:rPr>
        <w:t>工程</w:t>
      </w:r>
      <w:r>
        <w:rPr>
          <w:rFonts w:hint="eastAsia" w:asciiTheme="minorEastAsia" w:hAnsiTheme="minorEastAsia" w:eastAsiaTheme="minorEastAsia" w:cstheme="minorEastAsia"/>
          <w:color w:val="auto"/>
          <w:sz w:val="24"/>
          <w:highlight w:val="none"/>
        </w:rPr>
        <w:t>全部由符合政策要求的中小企业承接。相关企业的具体情况如下：</w:t>
      </w:r>
    </w:p>
    <w:p>
      <w:pPr>
        <w:spacing w:line="360" w:lineRule="auto"/>
        <w:ind w:firstLine="482"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u w:val="single"/>
          <w:lang w:val="en-US" w:eastAsia="zh-CN"/>
        </w:rPr>
        <w:t xml:space="preserve">尚桥科技园区电力配套（一期）工程-市政业扩及迁改工程—土建部分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lang w:val="en-US" w:eastAsia="zh-CN"/>
        </w:rPr>
        <w:t>建筑</w:t>
      </w:r>
      <w:r>
        <w:rPr>
          <w:rFonts w:hint="eastAsia" w:asciiTheme="minorEastAsia" w:hAnsiTheme="minorEastAsia" w:eastAsiaTheme="minorEastAsia" w:cstheme="minorEastAsia"/>
          <w:color w:val="auto"/>
          <w:sz w:val="24"/>
          <w:highlight w:val="none"/>
          <w:u w:val="single"/>
        </w:rPr>
        <w:t>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60" w:lineRule="auto"/>
        <w:jc w:val="left"/>
        <w:rPr>
          <w:rFonts w:asciiTheme="minorEastAsia" w:hAnsiTheme="minorEastAsia" w:eastAsiaTheme="minorEastAsia" w:cstheme="minorEastAsia"/>
          <w:color w:val="auto"/>
          <w:sz w:val="24"/>
          <w:highlight w:val="none"/>
        </w:rPr>
      </w:pP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pPr>
        <w:spacing w:line="360" w:lineRule="auto"/>
        <w:ind w:right="1760"/>
        <w:jc w:val="right"/>
        <w:rPr>
          <w:rFonts w:asciiTheme="minorEastAsia" w:hAnsiTheme="minorEastAsia" w:eastAsiaTheme="minorEastAsia" w:cstheme="minorEastAsia"/>
          <w:color w:val="auto"/>
          <w:sz w:val="24"/>
          <w:highlight w:val="none"/>
        </w:rPr>
      </w:pPr>
    </w:p>
    <w:p>
      <w:pPr>
        <w:spacing w:line="360" w:lineRule="auto"/>
        <w:ind w:right="176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供应商名称（电子签名）：</w:t>
      </w:r>
    </w:p>
    <w:p>
      <w:pPr>
        <w:spacing w:line="360" w:lineRule="auto"/>
        <w:ind w:right="1120" w:firstLine="4680" w:firstLineChars="19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pPr>
        <w:spacing w:line="360" w:lineRule="auto"/>
        <w:ind w:firstLine="310" w:firstLineChars="147"/>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Cs w:val="21"/>
          <w:highlight w:val="none"/>
        </w:rPr>
        <w:t>从业人员、营业收入、资产总额填报上一年度数据，无上一年度数据的新成立企业可不填报。</w:t>
      </w:r>
    </w:p>
    <w:p>
      <w:pPr>
        <w:spacing w:line="360" w:lineRule="auto"/>
        <w:ind w:right="-28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四、残疾人福利性单位声明函</w:t>
      </w:r>
    </w:p>
    <w:p>
      <w:pPr>
        <w:spacing w:line="360" w:lineRule="auto"/>
        <w:rPr>
          <w:rFonts w:asciiTheme="minorEastAsia" w:hAnsiTheme="minorEastAsia" w:eastAsiaTheme="minorEastAsia" w:cstheme="minorEastAsia"/>
          <w:b/>
          <w:color w:val="auto"/>
          <w:spacing w:val="6"/>
          <w:sz w:val="30"/>
          <w:szCs w:val="30"/>
          <w:highlight w:val="none"/>
        </w:rPr>
      </w:pP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pPr>
        <w:spacing w:line="360" w:lineRule="auto"/>
        <w:ind w:firstLine="480" w:firstLineChars="200"/>
        <w:jc w:val="left"/>
        <w:rPr>
          <w:rFonts w:asciiTheme="minorEastAsia" w:hAnsiTheme="minorEastAsia" w:eastAsiaTheme="minorEastAsia" w:cstheme="minorEastAsia"/>
          <w:color w:val="auto"/>
          <w:sz w:val="24"/>
          <w:highlight w:val="none"/>
        </w:rPr>
      </w:pP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pPr>
        <w:spacing w:line="360" w:lineRule="auto"/>
        <w:ind w:firstLine="643" w:firstLineChars="200"/>
        <w:jc w:val="left"/>
        <w:rPr>
          <w:rFonts w:asciiTheme="minorEastAsia" w:hAnsiTheme="minorEastAsia" w:eastAsiaTheme="minorEastAsia" w:cstheme="minorEastAsia"/>
          <w:b/>
          <w:color w:val="auto"/>
          <w:sz w:val="32"/>
          <w:szCs w:val="32"/>
          <w:highlight w:val="none"/>
        </w:rPr>
      </w:pPr>
    </w:p>
    <w:p>
      <w:pPr>
        <w:spacing w:line="360" w:lineRule="auto"/>
        <w:rPr>
          <w:rFonts w:asciiTheme="minorEastAsia" w:hAnsiTheme="minorEastAsia" w:eastAsiaTheme="minorEastAsia" w:cstheme="minorEastAsia"/>
          <w:b/>
          <w:color w:val="auto"/>
          <w:sz w:val="32"/>
          <w:szCs w:val="32"/>
          <w:highlight w:val="none"/>
        </w:rPr>
      </w:pPr>
    </w:p>
    <w:p>
      <w:pPr>
        <w:numPr>
          <w:ilvl w:val="0"/>
          <w:numId w:val="5"/>
        </w:num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r>
        <w:rPr>
          <w:rFonts w:hint="eastAsia" w:asciiTheme="minorEastAsia" w:hAnsiTheme="minorEastAsia" w:eastAsiaTheme="minorEastAsia" w:cstheme="minorEastAsia"/>
          <w:b/>
          <w:color w:val="auto"/>
          <w:spacing w:val="6"/>
          <w:sz w:val="32"/>
          <w:szCs w:val="32"/>
          <w:highlight w:val="none"/>
        </w:rPr>
        <w:t>政府采购统计基础信息表</w:t>
      </w:r>
    </w:p>
    <w:p>
      <w:pPr>
        <w:pStyle w:val="35"/>
        <w:spacing w:line="360" w:lineRule="auto"/>
        <w:ind w:firstLine="0" w:firstLineChars="0"/>
        <w:rPr>
          <w:rFonts w:asciiTheme="minorEastAsia" w:hAnsiTheme="minorEastAsia" w:eastAsiaTheme="minorEastAsia" w:cstheme="minorEastAsia"/>
          <w:color w:val="auto"/>
          <w:highlight w:val="none"/>
        </w:rPr>
      </w:pPr>
    </w:p>
    <w:tbl>
      <w:tblPr>
        <w:tblStyle w:val="25"/>
        <w:tblW w:w="8537" w:type="dxa"/>
        <w:jc w:val="center"/>
        <w:tblLayout w:type="fixed"/>
        <w:tblCellMar>
          <w:top w:w="0" w:type="dxa"/>
          <w:left w:w="108" w:type="dxa"/>
          <w:bottom w:w="0" w:type="dxa"/>
          <w:right w:w="108" w:type="dxa"/>
        </w:tblCellMar>
      </w:tblPr>
      <w:tblGrid>
        <w:gridCol w:w="4998"/>
        <w:gridCol w:w="3539"/>
      </w:tblGrid>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pPr>
              <w:spacing w:line="360" w:lineRule="auto"/>
              <w:rPr>
                <w:rFonts w:asciiTheme="minorEastAsia" w:hAnsiTheme="minorEastAsia" w:eastAsiaTheme="minorEastAsia" w:cstheme="min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p>
        </w:tc>
        <w:tc>
          <w:tcPr>
            <w:tcW w:w="3539" w:type="dxa"/>
            <w:tcBorders>
              <w:top w:val="single" w:color="000000" w:sz="4" w:space="0"/>
              <w:left w:val="nil"/>
              <w:bottom w:val="single" w:color="000000" w:sz="4" w:space="0"/>
              <w:right w:val="single" w:color="000000" w:sz="4" w:space="0"/>
            </w:tcBorders>
          </w:tcPr>
          <w:p>
            <w:pPr>
              <w:spacing w:line="360" w:lineRule="auto"/>
              <w:rPr>
                <w:rFonts w:asciiTheme="minorEastAsia" w:hAnsiTheme="minorEastAsia" w:eastAsiaTheme="minorEastAsia" w:cstheme="min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供应商是否为外商投资企业</w:t>
            </w:r>
          </w:p>
        </w:tc>
        <w:tc>
          <w:tcPr>
            <w:tcW w:w="3539" w:type="dxa"/>
            <w:tcBorders>
              <w:top w:val="single" w:color="000000" w:sz="4" w:space="0"/>
              <w:left w:val="nil"/>
              <w:bottom w:val="single" w:color="000000" w:sz="4" w:space="0"/>
              <w:right w:val="single" w:color="000000" w:sz="4" w:space="0"/>
            </w:tcBorders>
          </w:tcPr>
          <w:p>
            <w:pPr>
              <w:spacing w:line="360" w:lineRule="auto"/>
              <w:rPr>
                <w:rFonts w:asciiTheme="minorEastAsia" w:hAnsiTheme="minorEastAsia" w:eastAsiaTheme="minorEastAsia" w:cstheme="min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供应商是否为宁波企业</w:t>
            </w:r>
          </w:p>
        </w:tc>
        <w:tc>
          <w:tcPr>
            <w:tcW w:w="3539" w:type="dxa"/>
            <w:tcBorders>
              <w:top w:val="single" w:color="000000" w:sz="4" w:space="0"/>
              <w:left w:val="nil"/>
              <w:bottom w:val="single" w:color="000000" w:sz="4" w:space="0"/>
              <w:right w:val="single" w:color="000000" w:sz="4" w:space="0"/>
            </w:tcBorders>
          </w:tcPr>
          <w:p>
            <w:pPr>
              <w:spacing w:line="360" w:lineRule="auto"/>
              <w:rPr>
                <w:rFonts w:asciiTheme="minorEastAsia" w:hAnsiTheme="minorEastAsia" w:eastAsiaTheme="minorEastAsia" w:cstheme="min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pPr>
              <w:spacing w:line="360" w:lineRule="auto"/>
              <w:rPr>
                <w:rFonts w:asciiTheme="minorEastAsia" w:hAnsiTheme="minorEastAsia" w:eastAsiaTheme="minorEastAsia" w:cstheme="min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pPr>
              <w:spacing w:line="360" w:lineRule="auto"/>
              <w:rPr>
                <w:rFonts w:asciiTheme="minorEastAsia" w:hAnsiTheme="minorEastAsia" w:eastAsiaTheme="minorEastAsia" w:cstheme="min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pPr>
              <w:spacing w:line="360" w:lineRule="auto"/>
              <w:rPr>
                <w:rFonts w:asciiTheme="minorEastAsia" w:hAnsiTheme="minorEastAsia" w:eastAsiaTheme="minorEastAsia" w:cstheme="min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pPr>
              <w:spacing w:line="360" w:lineRule="auto"/>
              <w:rPr>
                <w:rFonts w:asciiTheme="minorEastAsia" w:hAnsiTheme="minorEastAsia" w:eastAsiaTheme="minorEastAsia" w:cstheme="min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pPr>
              <w:spacing w:line="360" w:lineRule="auto"/>
              <w:rPr>
                <w:rFonts w:asciiTheme="minorEastAsia" w:hAnsiTheme="minorEastAsia" w:eastAsiaTheme="minorEastAsia" w:cstheme="min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pPr>
              <w:spacing w:line="360" w:lineRule="auto"/>
              <w:rPr>
                <w:rFonts w:asciiTheme="minorEastAsia" w:hAnsiTheme="minorEastAsia" w:eastAsiaTheme="minorEastAsia" w:cstheme="minorEastAsia"/>
                <w:color w:val="auto"/>
                <w:highlight w:val="none"/>
              </w:rPr>
            </w:pPr>
          </w:p>
        </w:tc>
      </w:tr>
    </w:tbl>
    <w:p>
      <w:pPr>
        <w:adjustRightInd w:val="0"/>
        <w:spacing w:line="360" w:lineRule="auto"/>
        <w:jc w:val="left"/>
        <w:rPr>
          <w:rFonts w:asciiTheme="minorEastAsia" w:hAnsiTheme="minorEastAsia" w:eastAsiaTheme="minorEastAsia" w:cstheme="minorEastAsia"/>
          <w:color w:val="auto"/>
          <w:sz w:val="24"/>
          <w:highlight w:val="none"/>
        </w:rPr>
      </w:pP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备注：请各供应商务必填写此表作为响应文件的组成部分。</w:t>
      </w:r>
    </w:p>
    <w:p>
      <w:pPr>
        <w:adjustRightInd w:val="0"/>
        <w:spacing w:line="360" w:lineRule="auto"/>
        <w:jc w:val="left"/>
        <w:rPr>
          <w:rFonts w:asciiTheme="minorEastAsia" w:hAnsiTheme="minorEastAsia" w:eastAsiaTheme="minorEastAsia" w:cstheme="minorEastAsia"/>
          <w:color w:val="auto"/>
          <w:sz w:val="24"/>
          <w:highlight w:val="none"/>
        </w:rPr>
      </w:pP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right"/>
      <w:rPr>
        <w:rFonts w:ascii="仿宋_GB2312" w:eastAsia="仿宋_GB2312"/>
        <w:b/>
        <w:i/>
        <w:u w:val="single"/>
      </w:rPr>
    </w:pPr>
    <w:r>
      <w:rPr>
        <w:rFonts w:hint="eastAsia"/>
      </w:rPr>
      <w:t xml:space="preserve">                                 </w:t>
    </w:r>
  </w:p>
  <w:p>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495C2BCE"/>
    <w:multiLevelType w:val="singleLevel"/>
    <w:tmpl w:val="495C2BCE"/>
    <w:lvl w:ilvl="0" w:tentative="0">
      <w:start w:val="1"/>
      <w:numFmt w:val="chineseCounting"/>
      <w:suff w:val="nothing"/>
      <w:lvlText w:val="%1、"/>
      <w:lvlJc w:val="left"/>
      <w:pPr>
        <w:ind w:left="2730"/>
      </w:pPr>
      <w:rPr>
        <w:rFonts w:hint="eastAsia"/>
      </w:rPr>
    </w:lvl>
  </w:abstractNum>
  <w:abstractNum w:abstractNumId="4">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kY2FhYTJiZmI4MmJiNjZiMDBjMjQ0N2UwOTBjY2YifQ=="/>
  </w:docVars>
  <w:rsids>
    <w:rsidRoot w:val="004E6532"/>
    <w:rsid w:val="00034901"/>
    <w:rsid w:val="001A0E98"/>
    <w:rsid w:val="004369B5"/>
    <w:rsid w:val="00453F9B"/>
    <w:rsid w:val="004E6532"/>
    <w:rsid w:val="00532B5F"/>
    <w:rsid w:val="00535688"/>
    <w:rsid w:val="0054723B"/>
    <w:rsid w:val="00616EEA"/>
    <w:rsid w:val="00621873"/>
    <w:rsid w:val="00803953"/>
    <w:rsid w:val="00877893"/>
    <w:rsid w:val="008859D0"/>
    <w:rsid w:val="00C73030"/>
    <w:rsid w:val="00D43C04"/>
    <w:rsid w:val="00F01506"/>
    <w:rsid w:val="00FB3DEC"/>
    <w:rsid w:val="00FC4926"/>
    <w:rsid w:val="017E3702"/>
    <w:rsid w:val="022507A0"/>
    <w:rsid w:val="02FF0DA1"/>
    <w:rsid w:val="03011176"/>
    <w:rsid w:val="04133956"/>
    <w:rsid w:val="04146089"/>
    <w:rsid w:val="04330EDE"/>
    <w:rsid w:val="043F7883"/>
    <w:rsid w:val="04756284"/>
    <w:rsid w:val="05914348"/>
    <w:rsid w:val="05BE57B7"/>
    <w:rsid w:val="05C46291"/>
    <w:rsid w:val="064C314F"/>
    <w:rsid w:val="06EF26FF"/>
    <w:rsid w:val="06FC438C"/>
    <w:rsid w:val="079B1B4C"/>
    <w:rsid w:val="08153A45"/>
    <w:rsid w:val="08C43072"/>
    <w:rsid w:val="08D31906"/>
    <w:rsid w:val="08EC5795"/>
    <w:rsid w:val="08F04266"/>
    <w:rsid w:val="08FC70AE"/>
    <w:rsid w:val="0A042457"/>
    <w:rsid w:val="0A8C751F"/>
    <w:rsid w:val="0B095AB3"/>
    <w:rsid w:val="0BFD6A07"/>
    <w:rsid w:val="0C436DA2"/>
    <w:rsid w:val="0D014A54"/>
    <w:rsid w:val="0D0504FC"/>
    <w:rsid w:val="0DCE6B40"/>
    <w:rsid w:val="0E093E23"/>
    <w:rsid w:val="0E985C49"/>
    <w:rsid w:val="0E9E4764"/>
    <w:rsid w:val="0ECE36AE"/>
    <w:rsid w:val="0F461684"/>
    <w:rsid w:val="101C0036"/>
    <w:rsid w:val="107F4AD0"/>
    <w:rsid w:val="11C61877"/>
    <w:rsid w:val="124F6EB2"/>
    <w:rsid w:val="13727710"/>
    <w:rsid w:val="137C74D8"/>
    <w:rsid w:val="13865CFD"/>
    <w:rsid w:val="13CD7831"/>
    <w:rsid w:val="13E72483"/>
    <w:rsid w:val="142B4CEC"/>
    <w:rsid w:val="145642AE"/>
    <w:rsid w:val="14635EBD"/>
    <w:rsid w:val="15987341"/>
    <w:rsid w:val="15EF4B8C"/>
    <w:rsid w:val="16413CCC"/>
    <w:rsid w:val="165E2A90"/>
    <w:rsid w:val="165E7BD5"/>
    <w:rsid w:val="167A1613"/>
    <w:rsid w:val="17070C1E"/>
    <w:rsid w:val="172F62D6"/>
    <w:rsid w:val="17552F75"/>
    <w:rsid w:val="17AC492E"/>
    <w:rsid w:val="17EC672F"/>
    <w:rsid w:val="181222ED"/>
    <w:rsid w:val="183463C4"/>
    <w:rsid w:val="188B0CA6"/>
    <w:rsid w:val="18CF43F8"/>
    <w:rsid w:val="18DB244F"/>
    <w:rsid w:val="19125FA8"/>
    <w:rsid w:val="19B968F6"/>
    <w:rsid w:val="1A1A55E6"/>
    <w:rsid w:val="1ABD5311"/>
    <w:rsid w:val="1B2D0950"/>
    <w:rsid w:val="1B7F06C9"/>
    <w:rsid w:val="1BD47C9F"/>
    <w:rsid w:val="1BE63CE0"/>
    <w:rsid w:val="1C350BB6"/>
    <w:rsid w:val="1CD03321"/>
    <w:rsid w:val="1CEA33EA"/>
    <w:rsid w:val="1D780306"/>
    <w:rsid w:val="1DA358F3"/>
    <w:rsid w:val="1DB47B11"/>
    <w:rsid w:val="1DDC5928"/>
    <w:rsid w:val="1DE35D79"/>
    <w:rsid w:val="1E0F4D36"/>
    <w:rsid w:val="1E522E75"/>
    <w:rsid w:val="1E8219AC"/>
    <w:rsid w:val="1EC30B03"/>
    <w:rsid w:val="209669C5"/>
    <w:rsid w:val="20E35D8B"/>
    <w:rsid w:val="222774F0"/>
    <w:rsid w:val="22C73E32"/>
    <w:rsid w:val="235651B5"/>
    <w:rsid w:val="23A710EC"/>
    <w:rsid w:val="23F0560A"/>
    <w:rsid w:val="240E7E40"/>
    <w:rsid w:val="243454F7"/>
    <w:rsid w:val="24681644"/>
    <w:rsid w:val="253E0A44"/>
    <w:rsid w:val="2568012B"/>
    <w:rsid w:val="25AB607C"/>
    <w:rsid w:val="25B763DF"/>
    <w:rsid w:val="25CF1F63"/>
    <w:rsid w:val="25F37999"/>
    <w:rsid w:val="272A6E20"/>
    <w:rsid w:val="27545EB0"/>
    <w:rsid w:val="282C43E5"/>
    <w:rsid w:val="297E7214"/>
    <w:rsid w:val="2A0B7EDE"/>
    <w:rsid w:val="2A4C32D1"/>
    <w:rsid w:val="2A9232F3"/>
    <w:rsid w:val="2B0D0685"/>
    <w:rsid w:val="2BFC0FF0"/>
    <w:rsid w:val="2C091017"/>
    <w:rsid w:val="2C26606D"/>
    <w:rsid w:val="2CAB0320"/>
    <w:rsid w:val="2CEF711D"/>
    <w:rsid w:val="2D361F06"/>
    <w:rsid w:val="30206C6F"/>
    <w:rsid w:val="305D273A"/>
    <w:rsid w:val="307849BD"/>
    <w:rsid w:val="307A6CB2"/>
    <w:rsid w:val="316A07AA"/>
    <w:rsid w:val="316D5733"/>
    <w:rsid w:val="31C66DBA"/>
    <w:rsid w:val="31D42AD9"/>
    <w:rsid w:val="32A41630"/>
    <w:rsid w:val="334D277F"/>
    <w:rsid w:val="33BB0832"/>
    <w:rsid w:val="34272982"/>
    <w:rsid w:val="355B0F59"/>
    <w:rsid w:val="359853D9"/>
    <w:rsid w:val="35FC7E3E"/>
    <w:rsid w:val="360C1DD5"/>
    <w:rsid w:val="370A0339"/>
    <w:rsid w:val="37B230F8"/>
    <w:rsid w:val="38121F62"/>
    <w:rsid w:val="384F79BE"/>
    <w:rsid w:val="385D6A11"/>
    <w:rsid w:val="388A3A34"/>
    <w:rsid w:val="3921049E"/>
    <w:rsid w:val="39737207"/>
    <w:rsid w:val="3AF47A17"/>
    <w:rsid w:val="3B0500A6"/>
    <w:rsid w:val="3B4E27B7"/>
    <w:rsid w:val="3B84681E"/>
    <w:rsid w:val="3BC136BC"/>
    <w:rsid w:val="3C3025F0"/>
    <w:rsid w:val="3C3976F6"/>
    <w:rsid w:val="3C5928B0"/>
    <w:rsid w:val="3C8660E7"/>
    <w:rsid w:val="3D034FD9"/>
    <w:rsid w:val="3D2708D9"/>
    <w:rsid w:val="3D964084"/>
    <w:rsid w:val="3E682515"/>
    <w:rsid w:val="3F2226C4"/>
    <w:rsid w:val="3F2F5BD9"/>
    <w:rsid w:val="3FF12C21"/>
    <w:rsid w:val="3FFC1167"/>
    <w:rsid w:val="401D732F"/>
    <w:rsid w:val="404716EC"/>
    <w:rsid w:val="40565930"/>
    <w:rsid w:val="412874DB"/>
    <w:rsid w:val="41AE11A5"/>
    <w:rsid w:val="41C317D4"/>
    <w:rsid w:val="41D6630B"/>
    <w:rsid w:val="420E3033"/>
    <w:rsid w:val="420E7D4A"/>
    <w:rsid w:val="431421AB"/>
    <w:rsid w:val="43AC14DC"/>
    <w:rsid w:val="43B753D5"/>
    <w:rsid w:val="446B4F27"/>
    <w:rsid w:val="44A92F3F"/>
    <w:rsid w:val="4533775E"/>
    <w:rsid w:val="45840DA9"/>
    <w:rsid w:val="45A656D1"/>
    <w:rsid w:val="45F62A2E"/>
    <w:rsid w:val="45F823D0"/>
    <w:rsid w:val="46502789"/>
    <w:rsid w:val="470A75E8"/>
    <w:rsid w:val="47484C91"/>
    <w:rsid w:val="47AE7265"/>
    <w:rsid w:val="47AF3794"/>
    <w:rsid w:val="47B45AE3"/>
    <w:rsid w:val="48236574"/>
    <w:rsid w:val="48BA396D"/>
    <w:rsid w:val="491D1CBF"/>
    <w:rsid w:val="494B1258"/>
    <w:rsid w:val="49770DAF"/>
    <w:rsid w:val="49E2099E"/>
    <w:rsid w:val="4A084FAB"/>
    <w:rsid w:val="4A356245"/>
    <w:rsid w:val="4A940235"/>
    <w:rsid w:val="4B8A5FB1"/>
    <w:rsid w:val="4BAF77E3"/>
    <w:rsid w:val="4C871DB8"/>
    <w:rsid w:val="4C8F29A0"/>
    <w:rsid w:val="4CE849E2"/>
    <w:rsid w:val="4DA32011"/>
    <w:rsid w:val="4DCB232F"/>
    <w:rsid w:val="4DE566F3"/>
    <w:rsid w:val="4EE51018"/>
    <w:rsid w:val="4EEB7913"/>
    <w:rsid w:val="4F060D47"/>
    <w:rsid w:val="4FCF11F8"/>
    <w:rsid w:val="4FEE4E74"/>
    <w:rsid w:val="50083210"/>
    <w:rsid w:val="502A762A"/>
    <w:rsid w:val="50414974"/>
    <w:rsid w:val="507F33AC"/>
    <w:rsid w:val="51B734A5"/>
    <w:rsid w:val="522D3402"/>
    <w:rsid w:val="52875411"/>
    <w:rsid w:val="52B6651B"/>
    <w:rsid w:val="52C27015"/>
    <w:rsid w:val="53CC27A6"/>
    <w:rsid w:val="54212AF2"/>
    <w:rsid w:val="55036BA4"/>
    <w:rsid w:val="5559571D"/>
    <w:rsid w:val="55B66F2D"/>
    <w:rsid w:val="56920EB1"/>
    <w:rsid w:val="56AF7BA3"/>
    <w:rsid w:val="586A1CF4"/>
    <w:rsid w:val="59573918"/>
    <w:rsid w:val="59590710"/>
    <w:rsid w:val="59D94D98"/>
    <w:rsid w:val="59F36282"/>
    <w:rsid w:val="5A1300B9"/>
    <w:rsid w:val="5A581029"/>
    <w:rsid w:val="5B8B1199"/>
    <w:rsid w:val="5B9F3F13"/>
    <w:rsid w:val="5BCD355F"/>
    <w:rsid w:val="5D1D4073"/>
    <w:rsid w:val="5DE27796"/>
    <w:rsid w:val="5E1B6804"/>
    <w:rsid w:val="5E291DB5"/>
    <w:rsid w:val="5E4915C3"/>
    <w:rsid w:val="5F265461"/>
    <w:rsid w:val="5F2F2E7A"/>
    <w:rsid w:val="606C4BDB"/>
    <w:rsid w:val="624272DA"/>
    <w:rsid w:val="62456545"/>
    <w:rsid w:val="634A36E8"/>
    <w:rsid w:val="638E5CCA"/>
    <w:rsid w:val="63AE1B87"/>
    <w:rsid w:val="63C90AB0"/>
    <w:rsid w:val="63DD0CDE"/>
    <w:rsid w:val="64005F33"/>
    <w:rsid w:val="64106A0E"/>
    <w:rsid w:val="648D45B2"/>
    <w:rsid w:val="648E7439"/>
    <w:rsid w:val="64CF3B8C"/>
    <w:rsid w:val="64E5191A"/>
    <w:rsid w:val="653B59DE"/>
    <w:rsid w:val="65D07CD0"/>
    <w:rsid w:val="67A06958"/>
    <w:rsid w:val="68790F37"/>
    <w:rsid w:val="68C34233"/>
    <w:rsid w:val="694A1AEF"/>
    <w:rsid w:val="69761612"/>
    <w:rsid w:val="69937B96"/>
    <w:rsid w:val="69A80F39"/>
    <w:rsid w:val="69B14C92"/>
    <w:rsid w:val="69DD66F3"/>
    <w:rsid w:val="6A0D369A"/>
    <w:rsid w:val="6A37505A"/>
    <w:rsid w:val="6C333B5C"/>
    <w:rsid w:val="6D064B23"/>
    <w:rsid w:val="6EB42D97"/>
    <w:rsid w:val="6EC46A44"/>
    <w:rsid w:val="6ED24445"/>
    <w:rsid w:val="6FDD4CA3"/>
    <w:rsid w:val="707B1384"/>
    <w:rsid w:val="7146712D"/>
    <w:rsid w:val="71704C61"/>
    <w:rsid w:val="71DD3F80"/>
    <w:rsid w:val="74D95234"/>
    <w:rsid w:val="75680786"/>
    <w:rsid w:val="75A562CE"/>
    <w:rsid w:val="7654281B"/>
    <w:rsid w:val="772A140E"/>
    <w:rsid w:val="77756B2D"/>
    <w:rsid w:val="77A64F39"/>
    <w:rsid w:val="77B5517C"/>
    <w:rsid w:val="77B70EF4"/>
    <w:rsid w:val="77C43C7B"/>
    <w:rsid w:val="78085BF3"/>
    <w:rsid w:val="78E8332F"/>
    <w:rsid w:val="792A3C52"/>
    <w:rsid w:val="795F1843"/>
    <w:rsid w:val="7A0F2BA3"/>
    <w:rsid w:val="7A1E16FE"/>
    <w:rsid w:val="7A5C507C"/>
    <w:rsid w:val="7AB210C4"/>
    <w:rsid w:val="7B3B184D"/>
    <w:rsid w:val="7CB00608"/>
    <w:rsid w:val="7CD6006E"/>
    <w:rsid w:val="7CE338D3"/>
    <w:rsid w:val="7D893EF3"/>
    <w:rsid w:val="7DB87774"/>
    <w:rsid w:val="7E8A55B4"/>
    <w:rsid w:val="7E996565"/>
    <w:rsid w:val="7EC02D84"/>
    <w:rsid w:val="7EF67AE6"/>
    <w:rsid w:val="7F533BF8"/>
    <w:rsid w:val="7F7D0066"/>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ind w:firstLine="425"/>
      <w:outlineLvl w:val="0"/>
    </w:pPr>
    <w:rPr>
      <w:b/>
      <w:bCs/>
      <w:i/>
      <w:iCs/>
      <w:sz w:val="52"/>
      <w:szCs w:val="20"/>
    </w:rPr>
  </w:style>
  <w:style w:type="paragraph" w:styleId="4">
    <w:name w:val="heading 2"/>
    <w:basedOn w:val="1"/>
    <w:next w:val="1"/>
    <w:link w:val="39"/>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5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autoRedefine/>
    <w:qFormat/>
    <w:uiPriority w:val="0"/>
    <w:pPr>
      <w:keepNext/>
      <w:keepLines/>
      <w:spacing w:before="240" w:beforeLines="0" w:after="64" w:afterLines="0" w:line="317" w:lineRule="auto"/>
      <w:outlineLvl w:val="5"/>
    </w:pPr>
    <w:rPr>
      <w:rFonts w:ascii="Cambria" w:hAnsi="Cambria"/>
      <w:b/>
      <w:bCs/>
      <w:sz w:val="24"/>
      <w:szCs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next w:val="1"/>
    <w:autoRedefine/>
    <w:qFormat/>
    <w:uiPriority w:val="0"/>
    <w:pPr>
      <w:spacing w:before="100" w:beforeAutospacing="1" w:after="120"/>
      <w:jc w:val="both"/>
      <w:textAlignment w:val="baseline"/>
    </w:pPr>
    <w:rPr>
      <w:kern w:val="0"/>
      <w:sz w:val="20"/>
      <w:szCs w:val="21"/>
      <w:lang w:val="en-US" w:eastAsia="zh-CN" w:bidi="ar-SA"/>
    </w:rPr>
  </w:style>
  <w:style w:type="paragraph" w:styleId="8">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annotation text"/>
    <w:basedOn w:val="1"/>
    <w:link w:val="60"/>
    <w:autoRedefine/>
    <w:unhideWhenUsed/>
    <w:qFormat/>
    <w:uiPriority w:val="99"/>
    <w:pPr>
      <w:jc w:val="left"/>
    </w:pPr>
  </w:style>
  <w:style w:type="paragraph" w:styleId="10">
    <w:name w:val="Body Text"/>
    <w:basedOn w:val="1"/>
    <w:link w:val="43"/>
    <w:autoRedefine/>
    <w:qFormat/>
    <w:uiPriority w:val="0"/>
    <w:pPr>
      <w:autoSpaceDE w:val="0"/>
      <w:autoSpaceDN w:val="0"/>
      <w:spacing w:line="360" w:lineRule="auto"/>
    </w:pPr>
    <w:rPr>
      <w:rFonts w:ascii="宋体" w:hAnsi="Arial" w:cs="Arial"/>
      <w:snapToGrid w:val="0"/>
      <w:sz w:val="24"/>
      <w:szCs w:val="21"/>
      <w:lang w:val="zh-CN"/>
    </w:rPr>
  </w:style>
  <w:style w:type="paragraph" w:styleId="11">
    <w:name w:val="Body Text Indent"/>
    <w:basedOn w:val="1"/>
    <w:next w:val="1"/>
    <w:link w:val="40"/>
    <w:autoRedefine/>
    <w:qFormat/>
    <w:uiPriority w:val="0"/>
    <w:pPr>
      <w:spacing w:line="480" w:lineRule="exact"/>
      <w:ind w:firstLine="480" w:firstLineChars="200"/>
    </w:pPr>
    <w:rPr>
      <w:rFonts w:ascii="宋体" w:hAnsi="宋体"/>
      <w:sz w:val="24"/>
    </w:rPr>
  </w:style>
  <w:style w:type="paragraph" w:styleId="12">
    <w:name w:val="toc 3"/>
    <w:basedOn w:val="1"/>
    <w:next w:val="1"/>
    <w:autoRedefine/>
    <w:qFormat/>
    <w:uiPriority w:val="0"/>
    <w:pPr>
      <w:ind w:left="840" w:leftChars="400"/>
    </w:pPr>
    <w:rPr>
      <w:rFonts w:ascii="Times New Roman" w:hAnsi="Times New Roman"/>
    </w:rPr>
  </w:style>
  <w:style w:type="paragraph" w:styleId="13">
    <w:name w:val="Plain Text"/>
    <w:basedOn w:val="1"/>
    <w:next w:val="1"/>
    <w:link w:val="42"/>
    <w:autoRedefine/>
    <w:qFormat/>
    <w:uiPriority w:val="0"/>
    <w:rPr>
      <w:rFonts w:ascii="宋体" w:hAnsi="Courier New" w:cs="Arial"/>
      <w:snapToGrid w:val="0"/>
      <w:szCs w:val="21"/>
    </w:rPr>
  </w:style>
  <w:style w:type="paragraph" w:styleId="14">
    <w:name w:val="Date"/>
    <w:basedOn w:val="1"/>
    <w:next w:val="1"/>
    <w:link w:val="41"/>
    <w:autoRedefine/>
    <w:qFormat/>
    <w:uiPriority w:val="0"/>
    <w:pPr>
      <w:ind w:left="100" w:leftChars="2500"/>
    </w:pPr>
    <w:rPr>
      <w:rFonts w:ascii="宋体"/>
      <w:sz w:val="24"/>
      <w:szCs w:val="21"/>
      <w:lang w:val="zh-CN"/>
    </w:rPr>
  </w:style>
  <w:style w:type="paragraph" w:styleId="15">
    <w:name w:val="Balloon Text"/>
    <w:basedOn w:val="1"/>
    <w:link w:val="56"/>
    <w:autoRedefine/>
    <w:unhideWhenUsed/>
    <w:qFormat/>
    <w:uiPriority w:val="99"/>
    <w:rPr>
      <w:sz w:val="18"/>
      <w:szCs w:val="18"/>
    </w:rPr>
  </w:style>
  <w:style w:type="paragraph" w:styleId="16">
    <w:name w:val="footer"/>
    <w:basedOn w:val="1"/>
    <w:link w:val="38"/>
    <w:autoRedefine/>
    <w:unhideWhenUsed/>
    <w:qFormat/>
    <w:uiPriority w:val="99"/>
    <w:pPr>
      <w:tabs>
        <w:tab w:val="center" w:pos="4153"/>
        <w:tab w:val="right" w:pos="8306"/>
      </w:tabs>
      <w:snapToGrid w:val="0"/>
      <w:jc w:val="left"/>
    </w:pPr>
    <w:rPr>
      <w:sz w:val="18"/>
      <w:szCs w:val="18"/>
    </w:rPr>
  </w:style>
  <w:style w:type="paragraph" w:styleId="17">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9">
    <w:name w:val="toc 6"/>
    <w:basedOn w:val="1"/>
    <w:next w:val="1"/>
    <w:autoRedefine/>
    <w:qFormat/>
    <w:uiPriority w:val="39"/>
    <w:pPr>
      <w:ind w:left="1000" w:leftChars="1000"/>
    </w:pPr>
  </w:style>
  <w:style w:type="paragraph" w:styleId="20">
    <w:name w:val="HTML Preformatted"/>
    <w:basedOn w:val="1"/>
    <w:autoRedefine/>
    <w:qFormat/>
    <w:uiPriority w:val="0"/>
    <w:rPr>
      <w:rFonts w:ascii="Courier New" w:hAnsi="Courier New" w:eastAsia="仿宋_GB2312"/>
      <w:b/>
      <w:sz w:val="32"/>
      <w:szCs w:val="32"/>
      <w:lang w:val="en-GB"/>
    </w:rPr>
  </w:style>
  <w:style w:type="paragraph" w:styleId="21">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22">
    <w:name w:val="annotation subject"/>
    <w:basedOn w:val="9"/>
    <w:next w:val="9"/>
    <w:link w:val="61"/>
    <w:autoRedefine/>
    <w:unhideWhenUsed/>
    <w:qFormat/>
    <w:uiPriority w:val="99"/>
    <w:rPr>
      <w:b/>
      <w:bCs/>
    </w:rPr>
  </w:style>
  <w:style w:type="paragraph" w:styleId="23">
    <w:name w:val="Body Text First Indent"/>
    <w:basedOn w:val="10"/>
    <w:next w:val="1"/>
    <w:autoRedefine/>
    <w:qFormat/>
    <w:uiPriority w:val="0"/>
    <w:pPr>
      <w:widowControl w:val="0"/>
      <w:autoSpaceDE w:val="0"/>
      <w:autoSpaceDN w:val="0"/>
      <w:adjustRightInd w:val="0"/>
    </w:pPr>
    <w:rPr>
      <w:rFonts w:ascii="Times New Roman" w:hAnsi="Times New Roman" w:eastAsia="宋体" w:cs="Times New Roman"/>
      <w:sz w:val="28"/>
      <w:lang w:val="en-US" w:eastAsia="zh-CN" w:bidi="ar-SA"/>
    </w:rPr>
  </w:style>
  <w:style w:type="paragraph" w:styleId="24">
    <w:name w:val="Body Text First Indent 2"/>
    <w:basedOn w:val="11"/>
    <w:next w:val="1"/>
    <w:autoRedefine/>
    <w:unhideWhenUsed/>
    <w:qFormat/>
    <w:uiPriority w:val="99"/>
    <w:pPr>
      <w:ind w:firstLine="420"/>
    </w:pPr>
  </w:style>
  <w:style w:type="table" w:styleId="26">
    <w:name w:val="Table Grid"/>
    <w:basedOn w:val="2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rPr>
      <w:rFonts w:ascii="Arial" w:hAnsi="Arial" w:eastAsia="黑体" w:cs="Arial"/>
      <w:snapToGrid w:val="0"/>
      <w:kern w:val="0"/>
      <w:szCs w:val="21"/>
    </w:rPr>
  </w:style>
  <w:style w:type="character" w:styleId="29">
    <w:name w:val="FollowedHyperlink"/>
    <w:basedOn w:val="27"/>
    <w:autoRedefine/>
    <w:semiHidden/>
    <w:unhideWhenUsed/>
    <w:qFormat/>
    <w:uiPriority w:val="99"/>
    <w:rPr>
      <w:color w:val="800080"/>
      <w:u w:val="none"/>
    </w:rPr>
  </w:style>
  <w:style w:type="character" w:styleId="30">
    <w:name w:val="Hyperlink"/>
    <w:autoRedefine/>
    <w:qFormat/>
    <w:uiPriority w:val="99"/>
    <w:rPr>
      <w:rFonts w:ascii="Arial" w:hAnsi="Arial" w:eastAsia="黑体" w:cs="Arial"/>
      <w:snapToGrid w:val="0"/>
      <w:color w:val="000000"/>
      <w:kern w:val="0"/>
      <w:sz w:val="18"/>
      <w:szCs w:val="18"/>
      <w:u w:val="none"/>
    </w:rPr>
  </w:style>
  <w:style w:type="character" w:styleId="31">
    <w:name w:val="annotation reference"/>
    <w:basedOn w:val="27"/>
    <w:autoRedefine/>
    <w:unhideWhenUsed/>
    <w:qFormat/>
    <w:uiPriority w:val="99"/>
    <w:rPr>
      <w:sz w:val="21"/>
      <w:szCs w:val="21"/>
    </w:rPr>
  </w:style>
  <w:style w:type="paragraph" w:customStyle="1" w:styleId="3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paragraph" w:customStyle="1" w:styleId="33">
    <w:name w:val="列出段落1"/>
    <w:basedOn w:val="1"/>
    <w:link w:val="57"/>
    <w:autoRedefine/>
    <w:qFormat/>
    <w:uiPriority w:val="0"/>
    <w:pPr>
      <w:ind w:firstLine="420" w:firstLineChars="200"/>
    </w:pPr>
    <w:rPr>
      <w:rFonts w:ascii="Times New Roman" w:hAnsi="Times New Roman" w:eastAsiaTheme="minorEastAsia" w:cstheme="minorBidi"/>
    </w:rPr>
  </w:style>
  <w:style w:type="paragraph" w:customStyle="1" w:styleId="34">
    <w:name w:val="List Paragraph"/>
    <w:basedOn w:val="1"/>
    <w:autoRedefine/>
    <w:qFormat/>
    <w:uiPriority w:val="0"/>
    <w:pPr>
      <w:ind w:firstLine="420" w:firstLineChars="200"/>
    </w:pPr>
    <w:rPr>
      <w:rFonts w:ascii="Calibri" w:hAnsi="Calibri"/>
      <w:szCs w:val="22"/>
    </w:rPr>
  </w:style>
  <w:style w:type="paragraph" w:customStyle="1" w:styleId="35">
    <w:name w:val="_Style 3"/>
    <w:basedOn w:val="1"/>
    <w:autoRedefine/>
    <w:qFormat/>
    <w:uiPriority w:val="0"/>
    <w:pPr>
      <w:ind w:firstLine="420" w:firstLineChars="200"/>
    </w:pPr>
    <w:rPr>
      <w:rFonts w:eastAsia="仿宋_GB2312"/>
      <w:sz w:val="28"/>
    </w:rPr>
  </w:style>
  <w:style w:type="paragraph" w:customStyle="1" w:styleId="36">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页眉 字符"/>
    <w:basedOn w:val="27"/>
    <w:link w:val="17"/>
    <w:autoRedefine/>
    <w:qFormat/>
    <w:uiPriority w:val="99"/>
    <w:rPr>
      <w:sz w:val="18"/>
      <w:szCs w:val="18"/>
    </w:rPr>
  </w:style>
  <w:style w:type="character" w:customStyle="1" w:styleId="38">
    <w:name w:val="页脚 字符"/>
    <w:basedOn w:val="27"/>
    <w:link w:val="16"/>
    <w:autoRedefine/>
    <w:qFormat/>
    <w:uiPriority w:val="99"/>
    <w:rPr>
      <w:sz w:val="18"/>
      <w:szCs w:val="18"/>
    </w:rPr>
  </w:style>
  <w:style w:type="character" w:customStyle="1" w:styleId="39">
    <w:name w:val="标题 2 字符"/>
    <w:basedOn w:val="27"/>
    <w:link w:val="4"/>
    <w:autoRedefine/>
    <w:qFormat/>
    <w:uiPriority w:val="0"/>
    <w:rPr>
      <w:rFonts w:ascii="仿宋_GB2312" w:hAnsi="仿宋" w:eastAsia="仿宋_GB2312" w:cs="Times New Roman"/>
      <w:b/>
      <w:bCs/>
      <w:sz w:val="32"/>
      <w:szCs w:val="32"/>
      <w:lang w:val="zh-CN"/>
    </w:rPr>
  </w:style>
  <w:style w:type="character" w:customStyle="1" w:styleId="40">
    <w:name w:val="正文文本缩进 字符"/>
    <w:basedOn w:val="27"/>
    <w:link w:val="11"/>
    <w:autoRedefine/>
    <w:qFormat/>
    <w:uiPriority w:val="0"/>
    <w:rPr>
      <w:rFonts w:ascii="宋体" w:hAnsi="宋体" w:eastAsia="宋体" w:cs="Times New Roman"/>
      <w:sz w:val="24"/>
      <w:szCs w:val="24"/>
    </w:rPr>
  </w:style>
  <w:style w:type="character" w:customStyle="1" w:styleId="41">
    <w:name w:val="日期 字符"/>
    <w:basedOn w:val="27"/>
    <w:link w:val="14"/>
    <w:autoRedefine/>
    <w:qFormat/>
    <w:uiPriority w:val="0"/>
    <w:rPr>
      <w:rFonts w:ascii="宋体" w:hAnsi="Calibri" w:eastAsia="宋体" w:cs="Times New Roman"/>
      <w:sz w:val="24"/>
      <w:szCs w:val="21"/>
      <w:lang w:val="zh-CN"/>
    </w:rPr>
  </w:style>
  <w:style w:type="character" w:customStyle="1" w:styleId="42">
    <w:name w:val="纯文本 字符"/>
    <w:basedOn w:val="27"/>
    <w:link w:val="13"/>
    <w:autoRedefine/>
    <w:qFormat/>
    <w:uiPriority w:val="0"/>
    <w:rPr>
      <w:rFonts w:ascii="宋体" w:hAnsi="Courier New" w:eastAsia="宋体" w:cs="Arial"/>
      <w:snapToGrid w:val="0"/>
      <w:szCs w:val="21"/>
    </w:rPr>
  </w:style>
  <w:style w:type="character" w:customStyle="1" w:styleId="43">
    <w:name w:val="正文文本 字符"/>
    <w:basedOn w:val="27"/>
    <w:link w:val="10"/>
    <w:autoRedefine/>
    <w:qFormat/>
    <w:uiPriority w:val="0"/>
    <w:rPr>
      <w:rFonts w:ascii="宋体" w:hAnsi="Arial" w:eastAsia="宋体" w:cs="Arial"/>
      <w:snapToGrid w:val="0"/>
      <w:sz w:val="24"/>
      <w:szCs w:val="21"/>
      <w:lang w:val="zh-CN"/>
    </w:rPr>
  </w:style>
  <w:style w:type="paragraph" w:customStyle="1" w:styleId="44">
    <w:name w:val="索引 11"/>
    <w:basedOn w:val="1"/>
    <w:next w:val="1"/>
    <w:autoRedefine/>
    <w:qFormat/>
    <w:uiPriority w:val="99"/>
    <w:pPr>
      <w:spacing w:line="360" w:lineRule="auto"/>
    </w:pPr>
    <w:rPr>
      <w:rFonts w:ascii="仿宋_GB2312" w:eastAsia="仿宋_GB2312"/>
      <w:sz w:val="24"/>
      <w:szCs w:val="20"/>
    </w:rPr>
  </w:style>
  <w:style w:type="paragraph" w:customStyle="1" w:styleId="4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8">
    <w:name w:val="纯文本1"/>
    <w:basedOn w:val="1"/>
    <w:autoRedefine/>
    <w:qFormat/>
    <w:uiPriority w:val="0"/>
    <w:rPr>
      <w:rFonts w:ascii="宋体" w:hAnsi="Courier New"/>
      <w:kern w:val="0"/>
      <w:sz w:val="20"/>
      <w:szCs w:val="20"/>
    </w:rPr>
  </w:style>
  <w:style w:type="paragraph" w:customStyle="1" w:styleId="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49"/>
    <w:autoRedefine/>
    <w:qFormat/>
    <w:uiPriority w:val="0"/>
    <w:rPr>
      <w:rFonts w:ascii="宋体" w:hAnsi="Courier New"/>
      <w:szCs w:val="21"/>
    </w:rPr>
  </w:style>
  <w:style w:type="paragraph" w:customStyle="1" w:styleId="51">
    <w:name w:val="正文2"/>
    <w:basedOn w:val="1"/>
    <w:autoRedefine/>
    <w:qFormat/>
    <w:uiPriority w:val="0"/>
    <w:pPr>
      <w:spacing w:before="156" w:line="360" w:lineRule="auto"/>
      <w:ind w:firstLine="510" w:firstLineChars="200"/>
    </w:pPr>
    <w:rPr>
      <w:sz w:val="24"/>
      <w:szCs w:val="20"/>
    </w:rPr>
  </w:style>
  <w:style w:type="paragraph" w:customStyle="1" w:styleId="52">
    <w:name w:val="正文缩进1"/>
    <w:basedOn w:val="1"/>
    <w:next w:val="11"/>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3">
    <w:name w:val="标题 3 字符"/>
    <w:basedOn w:val="27"/>
    <w:link w:val="5"/>
    <w:autoRedefine/>
    <w:semiHidden/>
    <w:qFormat/>
    <w:uiPriority w:val="9"/>
    <w:rPr>
      <w:rFonts w:ascii="Calibri" w:hAnsi="Calibri" w:eastAsia="宋体" w:cs="Times New Roman"/>
      <w:b/>
      <w:bCs/>
      <w:sz w:val="32"/>
      <w:szCs w:val="32"/>
    </w:rPr>
  </w:style>
  <w:style w:type="character" w:customStyle="1" w:styleId="54">
    <w:name w:val="标题 4 字符"/>
    <w:basedOn w:val="27"/>
    <w:link w:val="6"/>
    <w:autoRedefine/>
    <w:semiHidden/>
    <w:qFormat/>
    <w:uiPriority w:val="9"/>
    <w:rPr>
      <w:rFonts w:asciiTheme="majorHAnsi" w:hAnsiTheme="majorHAnsi" w:eastAsiaTheme="majorEastAsia" w:cstheme="majorBidi"/>
      <w:b/>
      <w:bCs/>
      <w:sz w:val="28"/>
      <w:szCs w:val="28"/>
    </w:rPr>
  </w:style>
  <w:style w:type="paragraph" w:customStyle="1" w:styleId="55">
    <w:name w:val="标题4"/>
    <w:basedOn w:val="1"/>
    <w:autoRedefine/>
    <w:qFormat/>
    <w:uiPriority w:val="0"/>
    <w:rPr>
      <w:rFonts w:ascii="Times New Roman" w:hAnsi="Times New Roman" w:eastAsia="仿宋_GB2312"/>
      <w:sz w:val="32"/>
      <w:szCs w:val="20"/>
    </w:rPr>
  </w:style>
  <w:style w:type="character" w:customStyle="1" w:styleId="56">
    <w:name w:val="批注框文本 字符"/>
    <w:basedOn w:val="27"/>
    <w:link w:val="15"/>
    <w:autoRedefine/>
    <w:semiHidden/>
    <w:qFormat/>
    <w:uiPriority w:val="99"/>
    <w:rPr>
      <w:rFonts w:ascii="Calibri" w:hAnsi="Calibri" w:eastAsia="宋体" w:cs="Times New Roman"/>
      <w:sz w:val="18"/>
      <w:szCs w:val="18"/>
    </w:rPr>
  </w:style>
  <w:style w:type="character" w:customStyle="1" w:styleId="57">
    <w:name w:val="List Paragraph Char"/>
    <w:link w:val="33"/>
    <w:autoRedefine/>
    <w:qFormat/>
    <w:locked/>
    <w:uiPriority w:val="0"/>
    <w:rPr>
      <w:rFonts w:ascii="Times New Roman" w:hAnsi="Times New Roman"/>
      <w:szCs w:val="24"/>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字符"/>
    <w:basedOn w:val="27"/>
    <w:link w:val="9"/>
    <w:autoRedefine/>
    <w:semiHidden/>
    <w:qFormat/>
    <w:uiPriority w:val="99"/>
    <w:rPr>
      <w:rFonts w:ascii="Calibri" w:hAnsi="Calibri"/>
      <w:kern w:val="2"/>
      <w:sz w:val="21"/>
      <w:szCs w:val="24"/>
    </w:rPr>
  </w:style>
  <w:style w:type="character" w:customStyle="1" w:styleId="61">
    <w:name w:val="批注主题 字符"/>
    <w:basedOn w:val="60"/>
    <w:link w:val="22"/>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7"/>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Plain Text"/>
    <w:basedOn w:val="1"/>
    <w:autoRedefine/>
    <w:qFormat/>
    <w:uiPriority w:val="0"/>
    <w:rPr>
      <w:rFonts w:ascii="宋体" w:hAnsi="Courier New" w:eastAsia="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76</Pages>
  <Words>39728</Words>
  <Characters>42383</Characters>
  <Lines>245</Lines>
  <Paragraphs>69</Paragraphs>
  <TotalTime>17</TotalTime>
  <ScaleCrop>false</ScaleCrop>
  <LinksUpToDate>false</LinksUpToDate>
  <CharactersWithSpaces>45152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晟</cp:lastModifiedBy>
  <cp:lastPrinted>2023-12-15T08:56:00Z</cp:lastPrinted>
  <dcterms:modified xsi:type="dcterms:W3CDTF">2024-04-16T06:46:49Z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8B5B27000FE445D087EE802C81AAB260_13</vt:lpwstr>
  </property>
</Properties>
</file>