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ajorEastAsia" w:hAnsiTheme="majorEastAsia" w:eastAsiaTheme="majorEastAsia"/>
          <w:color w:val="auto"/>
          <w:sz w:val="48"/>
          <w:szCs w:val="48"/>
          <w:highlight w:val="none"/>
        </w:rPr>
      </w:pPr>
    </w:p>
    <w:p>
      <w:pPr>
        <w:spacing w:line="360" w:lineRule="auto"/>
        <w:jc w:val="center"/>
        <w:rPr>
          <w:rFonts w:hint="eastAsia" w:cs="仿宋_GB2312" w:asciiTheme="majorEastAsia" w:hAnsiTheme="majorEastAsia" w:eastAsiaTheme="majorEastAsia"/>
          <w:color w:val="auto"/>
          <w:sz w:val="48"/>
          <w:szCs w:val="48"/>
          <w:highlight w:val="none"/>
          <w:lang w:val="en-US" w:eastAsia="zh-CN"/>
        </w:rPr>
      </w:pPr>
      <w:r>
        <w:rPr>
          <w:rFonts w:hint="eastAsia" w:cs="仿宋_GB2312" w:asciiTheme="majorEastAsia" w:hAnsiTheme="majorEastAsia" w:eastAsiaTheme="majorEastAsia"/>
          <w:color w:val="auto"/>
          <w:sz w:val="48"/>
          <w:szCs w:val="48"/>
          <w:highlight w:val="none"/>
        </w:rPr>
        <w:t xml:space="preserve">  </w:t>
      </w:r>
      <w:r>
        <w:rPr>
          <w:rFonts w:hint="eastAsia" w:cs="仿宋_GB2312" w:asciiTheme="majorEastAsia" w:hAnsiTheme="majorEastAsia" w:eastAsiaTheme="majorEastAsia"/>
          <w:color w:val="auto"/>
          <w:sz w:val="48"/>
          <w:szCs w:val="48"/>
          <w:highlight w:val="none"/>
          <w:lang w:val="en-US" w:eastAsia="zh-CN"/>
        </w:rPr>
        <w:t>奉化城市文化中心2022-2025年度物业</w:t>
      </w:r>
    </w:p>
    <w:p>
      <w:pP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lang w:val="en-US" w:eastAsia="zh-CN"/>
        </w:rPr>
        <w:t>服务项目</w:t>
      </w:r>
      <w:r>
        <w:rPr>
          <w:rFonts w:hint="eastAsia" w:cs="仿宋_GB2312" w:asciiTheme="majorEastAsia" w:hAnsiTheme="majorEastAsia" w:eastAsiaTheme="majorEastAsia"/>
          <w:color w:val="auto"/>
          <w:sz w:val="48"/>
          <w:szCs w:val="48"/>
          <w:highlight w:val="none"/>
        </w:rPr>
        <w:t xml:space="preserve"> </w:t>
      </w:r>
    </w:p>
    <w:p>
      <w:pPr>
        <w:spacing w:line="360" w:lineRule="auto"/>
        <w:jc w:val="center"/>
        <w:rPr>
          <w:rFonts w:cs="仿宋_GB2312" w:asciiTheme="majorEastAsia" w:hAnsiTheme="majorEastAsia" w:eastAsiaTheme="majorEastAsia"/>
          <w:color w:val="auto"/>
          <w:sz w:val="48"/>
          <w:szCs w:val="48"/>
          <w:highlight w:val="none"/>
        </w:rPr>
      </w:pPr>
      <w:r>
        <w:rPr>
          <w:rFonts w:hint="eastAsia" w:cs="仿宋_GB2312" w:asciiTheme="majorEastAsia" w:hAnsiTheme="majorEastAsia" w:eastAsiaTheme="majorEastAsia"/>
          <w:color w:val="auto"/>
          <w:sz w:val="48"/>
          <w:szCs w:val="48"/>
          <w:highlight w:val="none"/>
        </w:rPr>
        <w:t>招标文件</w:t>
      </w:r>
    </w:p>
    <w:p>
      <w:pP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（电子招投标）</w:t>
      </w:r>
    </w:p>
    <w:p>
      <w:pPr>
        <w:snapToGrid w:val="0"/>
        <w:spacing w:line="360" w:lineRule="auto"/>
        <w:jc w:val="center"/>
        <w:rPr>
          <w:rFonts w:cs="仿宋_GB2312" w:asciiTheme="majorEastAsia" w:hAnsiTheme="majorEastAsia" w:eastAsiaTheme="majorEastAsia"/>
          <w:color w:val="auto"/>
          <w:sz w:val="30"/>
          <w:szCs w:val="30"/>
          <w:highlight w:val="none"/>
        </w:rPr>
      </w:pPr>
      <w:r>
        <w:rPr>
          <w:rFonts w:hint="eastAsia" w:cs="仿宋_GB2312" w:asciiTheme="majorEastAsia" w:hAnsiTheme="majorEastAsia" w:eastAsiaTheme="majorEastAsia"/>
          <w:color w:val="auto"/>
          <w:sz w:val="30"/>
          <w:szCs w:val="30"/>
          <w:highlight w:val="none"/>
        </w:rPr>
        <w:t>编号</w:t>
      </w:r>
      <w:r>
        <w:rPr>
          <w:rFonts w:cs="仿宋_GB2312" w:asciiTheme="majorEastAsia" w:hAnsiTheme="majorEastAsia" w:eastAsiaTheme="majorEastAsia"/>
          <w:color w:val="auto"/>
          <w:sz w:val="30"/>
          <w:szCs w:val="30"/>
          <w:highlight w:val="none"/>
        </w:rPr>
        <w:t>:</w:t>
      </w:r>
      <w:r>
        <w:rPr>
          <w:rFonts w:asciiTheme="majorEastAsia" w:hAnsiTheme="majorEastAsia" w:eastAsiaTheme="majorEastAsia"/>
          <w:color w:val="auto"/>
          <w:highlight w:val="none"/>
        </w:rPr>
        <w:t xml:space="preserve"> </w:t>
      </w:r>
      <w:r>
        <w:rPr>
          <w:rFonts w:cs="仿宋_GB2312" w:asciiTheme="majorEastAsia" w:hAnsiTheme="majorEastAsia" w:eastAsiaTheme="majorEastAsia"/>
          <w:color w:val="auto"/>
          <w:sz w:val="30"/>
          <w:szCs w:val="30"/>
          <w:highlight w:val="none"/>
        </w:rPr>
        <w:t>FHGQZB(2022)</w:t>
      </w:r>
      <w:r>
        <w:rPr>
          <w:rFonts w:hint="eastAsia" w:cs="仿宋_GB2312" w:asciiTheme="majorEastAsia" w:hAnsiTheme="majorEastAsia" w:eastAsiaTheme="majorEastAsia"/>
          <w:color w:val="auto"/>
          <w:sz w:val="30"/>
          <w:szCs w:val="30"/>
          <w:highlight w:val="none"/>
          <w:lang w:val="en-US" w:eastAsia="zh-CN"/>
        </w:rPr>
        <w:t>171</w:t>
      </w:r>
      <w:r>
        <w:rPr>
          <w:rFonts w:cs="仿宋_GB2312" w:asciiTheme="majorEastAsia" w:hAnsiTheme="majorEastAsia" w:eastAsiaTheme="majorEastAsia"/>
          <w:color w:val="auto"/>
          <w:sz w:val="30"/>
          <w:szCs w:val="30"/>
          <w:highlight w:val="none"/>
        </w:rPr>
        <w:t>D</w:t>
      </w:r>
    </w:p>
    <w:p>
      <w:pPr>
        <w:spacing w:line="360" w:lineRule="auto"/>
        <w:rPr>
          <w:rFonts w:cs="仿宋_GB2312" w:asciiTheme="majorEastAsia" w:hAnsiTheme="majorEastAsia" w:eastAsiaTheme="majorEastAsia"/>
          <w:color w:val="auto"/>
          <w:sz w:val="28"/>
          <w:szCs w:val="20"/>
          <w:highlight w:val="none"/>
        </w:rPr>
      </w:pPr>
    </w:p>
    <w:p>
      <w:pPr>
        <w:spacing w:line="360" w:lineRule="auto"/>
        <w:jc w:val="center"/>
        <w:rPr>
          <w:rFonts w:cs="仿宋_GB2312" w:asciiTheme="majorEastAsia" w:hAnsiTheme="majorEastAsia" w:eastAsiaTheme="majorEastAsia"/>
          <w:b/>
          <w:color w:val="auto"/>
          <w:sz w:val="44"/>
          <w:szCs w:val="44"/>
          <w:highlight w:val="none"/>
        </w:rPr>
      </w:pPr>
      <w:r>
        <w:rPr>
          <w:rFonts w:cs="仿宋_GB2312" w:asciiTheme="majorEastAsia" w:hAnsiTheme="majorEastAsia" w:eastAsiaTheme="majorEastAsia"/>
          <w:b/>
          <w:color w:val="auto"/>
          <w:sz w:val="44"/>
          <w:szCs w:val="44"/>
          <w:highlight w:val="none"/>
        </w:rPr>
        <w:t xml:space="preserve"> </w:t>
      </w:r>
    </w:p>
    <w:p>
      <w:pPr>
        <w:spacing w:line="360" w:lineRule="auto"/>
        <w:jc w:val="center"/>
        <w:rPr>
          <w:rFonts w:cs="仿宋_GB2312" w:asciiTheme="majorEastAsia" w:hAnsiTheme="majorEastAsia" w:eastAsiaTheme="majorEastAsia"/>
          <w:b/>
          <w:color w:val="auto"/>
          <w:sz w:val="44"/>
          <w:szCs w:val="44"/>
          <w:highlight w:val="none"/>
        </w:rPr>
      </w:pPr>
    </w:p>
    <w:p>
      <w:pPr>
        <w:pStyle w:val="2"/>
        <w:ind w:firstLine="560"/>
        <w:rPr>
          <w:color w:val="auto"/>
          <w:highlight w:val="none"/>
        </w:rPr>
      </w:pPr>
    </w:p>
    <w:p>
      <w:pPr>
        <w:pStyle w:val="2"/>
        <w:ind w:firstLine="560"/>
        <w:rPr>
          <w:color w:val="auto"/>
          <w:highlight w:val="none"/>
        </w:rPr>
      </w:pPr>
    </w:p>
    <w:p>
      <w:pPr>
        <w:pStyle w:val="2"/>
        <w:ind w:firstLine="560"/>
        <w:rPr>
          <w:color w:val="auto"/>
          <w:highlight w:val="none"/>
        </w:rPr>
      </w:pPr>
    </w:p>
    <w:p>
      <w:pPr>
        <w:pStyle w:val="2"/>
        <w:ind w:firstLine="560"/>
        <w:rPr>
          <w:color w:val="auto"/>
          <w:highlight w:val="none"/>
        </w:rPr>
      </w:pPr>
    </w:p>
    <w:p>
      <w:pPr>
        <w:pStyle w:val="2"/>
        <w:ind w:firstLine="560"/>
        <w:rPr>
          <w:color w:val="auto"/>
          <w:highlight w:val="none"/>
        </w:rPr>
      </w:pPr>
    </w:p>
    <w:p>
      <w:pPr>
        <w:spacing w:line="360" w:lineRule="auto"/>
        <w:jc w:val="both"/>
        <w:rPr>
          <w:rFonts w:cs="仿宋_GB2312" w:asciiTheme="majorEastAsia" w:hAnsiTheme="majorEastAsia" w:eastAsiaTheme="majorEastAsia"/>
          <w:color w:val="auto"/>
          <w:sz w:val="24"/>
          <w:highlight w:val="none"/>
        </w:rPr>
      </w:pPr>
    </w:p>
    <w:p>
      <w:pPr>
        <w:spacing w:line="360" w:lineRule="auto"/>
        <w:rPr>
          <w:rFonts w:cs="仿宋_GB2312" w:asciiTheme="majorEastAsia" w:hAnsiTheme="majorEastAsia" w:eastAsiaTheme="majorEastAsia"/>
          <w:color w:val="auto"/>
          <w:sz w:val="32"/>
          <w:szCs w:val="32"/>
          <w:highlight w:val="none"/>
        </w:rPr>
      </w:pPr>
    </w:p>
    <w:p>
      <w:pPr>
        <w:spacing w:line="360" w:lineRule="auto"/>
        <w:ind w:left="2921" w:leftChars="422" w:hanging="2035" w:hangingChars="636"/>
        <w:jc w:val="left"/>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采购单位：</w:t>
      </w:r>
      <w:r>
        <w:rPr>
          <w:rFonts w:hint="eastAsia" w:ascii="宋体" w:hAnsi="宋体" w:eastAsia="宋体" w:cs="宋体"/>
          <w:color w:val="auto"/>
          <w:sz w:val="32"/>
          <w:szCs w:val="32"/>
          <w:highlight w:val="none"/>
          <w:u w:val="single"/>
          <w:lang w:val="en-US" w:eastAsia="zh-CN"/>
        </w:rPr>
        <w:t>宁波市奉化区红果文化投资发展有限公司</w:t>
      </w:r>
      <w:r>
        <w:rPr>
          <w:rFonts w:hint="eastAsia" w:ascii="宋体" w:hAnsi="宋体" w:eastAsia="宋体" w:cs="宋体"/>
          <w:color w:val="auto"/>
          <w:sz w:val="32"/>
          <w:szCs w:val="32"/>
          <w:highlight w:val="none"/>
          <w:u w:val="single"/>
        </w:rPr>
        <w:t xml:space="preserve">  </w:t>
      </w:r>
    </w:p>
    <w:p>
      <w:pPr>
        <w:spacing w:line="360" w:lineRule="auto"/>
        <w:ind w:firstLine="960" w:firstLineChars="300"/>
        <w:rPr>
          <w:rFonts w:cs="仿宋_GB2312" w:asciiTheme="majorEastAsia" w:hAnsiTheme="majorEastAsia" w:eastAsiaTheme="majorEastAsia"/>
          <w:bCs/>
          <w:color w:val="auto"/>
          <w:sz w:val="32"/>
          <w:szCs w:val="32"/>
          <w:highlight w:val="none"/>
        </w:rPr>
      </w:pPr>
      <w:r>
        <w:rPr>
          <w:rFonts w:hint="eastAsia" w:ascii="宋体" w:hAnsi="宋体" w:eastAsia="宋体" w:cs="宋体"/>
          <w:color w:val="auto"/>
          <w:sz w:val="32"/>
          <w:szCs w:val="32"/>
          <w:highlight w:val="none"/>
        </w:rPr>
        <w:t>代理机构：</w:t>
      </w:r>
      <w:r>
        <w:rPr>
          <w:rFonts w:hint="eastAsia" w:ascii="宋体" w:hAnsi="宋体" w:eastAsia="宋体" w:cs="宋体"/>
          <w:color w:val="auto"/>
          <w:sz w:val="32"/>
          <w:szCs w:val="32"/>
          <w:highlight w:val="none"/>
          <w:u w:val="single"/>
        </w:rPr>
        <w:t>浙江明业项目管理有限公司</w:t>
      </w:r>
      <w:r>
        <w:rPr>
          <w:rFonts w:cs="仿宋_GB2312" w:asciiTheme="majorEastAsia" w:hAnsiTheme="majorEastAsia" w:eastAsiaTheme="majorEastAsia"/>
          <w:bCs/>
          <w:color w:val="auto"/>
          <w:sz w:val="32"/>
          <w:szCs w:val="32"/>
          <w:highlight w:val="none"/>
        </w:rPr>
        <w:t xml:space="preserve"> </w:t>
      </w:r>
    </w:p>
    <w:p>
      <w:pPr>
        <w:snapToGrid w:val="0"/>
        <w:spacing w:line="360" w:lineRule="auto"/>
        <w:jc w:val="center"/>
        <w:rPr>
          <w:rFonts w:cs="仿宋_GB2312" w:asciiTheme="majorEastAsia" w:hAnsiTheme="majorEastAsia" w:eastAsiaTheme="majorEastAsia"/>
          <w:bCs/>
          <w:color w:val="auto"/>
          <w:sz w:val="32"/>
          <w:szCs w:val="32"/>
          <w:highlight w:val="none"/>
        </w:rPr>
      </w:pPr>
    </w:p>
    <w:p>
      <w:pPr>
        <w:snapToGrid w:val="0"/>
        <w:spacing w:line="360" w:lineRule="auto"/>
        <w:jc w:val="center"/>
        <w:rPr>
          <w:rFonts w:cs="仿宋_GB2312" w:asciiTheme="majorEastAsia" w:hAnsiTheme="majorEastAsia" w:eastAsiaTheme="majorEastAsia"/>
          <w:bCs/>
          <w:color w:val="auto"/>
          <w:sz w:val="32"/>
          <w:szCs w:val="32"/>
          <w:highlight w:val="none"/>
        </w:rPr>
      </w:pPr>
      <w:r>
        <w:rPr>
          <w:rFonts w:hint="eastAsia" w:cs="仿宋_GB2312" w:asciiTheme="majorEastAsia" w:hAnsiTheme="majorEastAsia" w:eastAsiaTheme="majorEastAsia"/>
          <w:bCs/>
          <w:color w:val="auto"/>
          <w:sz w:val="32"/>
          <w:szCs w:val="32"/>
          <w:highlight w:val="none"/>
        </w:rPr>
        <w:t>二零二二年</w:t>
      </w:r>
      <w:r>
        <w:rPr>
          <w:rFonts w:hint="eastAsia" w:cs="仿宋_GB2312" w:asciiTheme="majorEastAsia" w:hAnsiTheme="majorEastAsia" w:eastAsiaTheme="majorEastAsia"/>
          <w:bCs/>
          <w:color w:val="auto"/>
          <w:sz w:val="32"/>
          <w:szCs w:val="32"/>
          <w:highlight w:val="none"/>
          <w:lang w:val="en-US" w:eastAsia="zh-CN"/>
        </w:rPr>
        <w:t>七</w:t>
      </w:r>
      <w:r>
        <w:rPr>
          <w:rFonts w:hint="eastAsia" w:cs="仿宋_GB2312" w:asciiTheme="majorEastAsia" w:hAnsiTheme="majorEastAsia" w:eastAsiaTheme="majorEastAsia"/>
          <w:bCs/>
          <w:color w:val="auto"/>
          <w:sz w:val="32"/>
          <w:szCs w:val="32"/>
          <w:highlight w:val="none"/>
        </w:rPr>
        <w:t>月</w:t>
      </w:r>
    </w:p>
    <w:p>
      <w:pPr>
        <w:spacing w:line="360" w:lineRule="auto"/>
        <w:jc w:val="center"/>
        <w:rPr>
          <w:rFonts w:cs="仿宋_GB2312" w:asciiTheme="majorEastAsia" w:hAnsiTheme="majorEastAsia" w:eastAsiaTheme="majorEastAsia"/>
          <w:color w:val="auto"/>
          <w:sz w:val="24"/>
          <w:highlight w:val="none"/>
        </w:rPr>
      </w:pPr>
      <w:r>
        <w:rPr>
          <w:rFonts w:cs="仿宋_GB2312" w:asciiTheme="majorEastAsia" w:hAnsiTheme="majorEastAsia" w:eastAsiaTheme="majorEastAsia"/>
          <w:color w:val="auto"/>
          <w:sz w:val="24"/>
          <w:highlight w:val="none"/>
        </w:rPr>
        <w:br w:type="page"/>
      </w:r>
      <w:bookmarkStart w:id="0" w:name="_Hlt67893495"/>
      <w:bookmarkEnd w:id="0"/>
    </w:p>
    <w:p>
      <w:pPr>
        <w:spacing w:line="360" w:lineRule="auto"/>
        <w:jc w:val="center"/>
        <w:rPr>
          <w:rFonts w:cs="仿宋_GB2312" w:asciiTheme="majorEastAsia" w:hAnsiTheme="majorEastAsia" w:eastAsiaTheme="majorEastAsia"/>
          <w:color w:val="auto"/>
          <w:sz w:val="24"/>
          <w:highlight w:val="none"/>
        </w:rPr>
      </w:pPr>
    </w:p>
    <w:p>
      <w:pPr>
        <w:spacing w:line="360" w:lineRule="auto"/>
        <w:jc w:val="center"/>
        <w:rPr>
          <w:rFonts w:cs="仿宋_GB2312" w:asciiTheme="majorEastAsia" w:hAnsiTheme="majorEastAsia" w:eastAsiaTheme="majorEastAsia"/>
          <w:b/>
          <w:color w:val="auto"/>
          <w:sz w:val="48"/>
          <w:szCs w:val="48"/>
          <w:highlight w:val="none"/>
        </w:rPr>
      </w:pPr>
      <w:r>
        <w:rPr>
          <w:rFonts w:hint="eastAsia" w:cs="仿宋_GB2312" w:asciiTheme="majorEastAsia" w:hAnsiTheme="majorEastAsia" w:eastAsiaTheme="majorEastAsia"/>
          <w:b/>
          <w:color w:val="auto"/>
          <w:sz w:val="48"/>
          <w:szCs w:val="48"/>
          <w:highlight w:val="none"/>
        </w:rPr>
        <w:t>目</w:t>
      </w:r>
      <w:r>
        <w:rPr>
          <w:rFonts w:cs="仿宋_GB2312" w:asciiTheme="majorEastAsia" w:hAnsiTheme="majorEastAsia" w:eastAsiaTheme="majorEastAsia"/>
          <w:b/>
          <w:color w:val="auto"/>
          <w:sz w:val="48"/>
          <w:szCs w:val="48"/>
          <w:highlight w:val="none"/>
        </w:rPr>
        <w:t xml:space="preserve">  </w:t>
      </w:r>
      <w:r>
        <w:rPr>
          <w:rFonts w:hint="eastAsia" w:cs="仿宋_GB2312" w:asciiTheme="majorEastAsia" w:hAnsiTheme="majorEastAsia" w:eastAsiaTheme="majorEastAsia"/>
          <w:b/>
          <w:color w:val="auto"/>
          <w:sz w:val="48"/>
          <w:szCs w:val="48"/>
          <w:highlight w:val="none"/>
        </w:rPr>
        <w:t>录</w:t>
      </w:r>
    </w:p>
    <w:p>
      <w:pPr>
        <w:spacing w:line="360" w:lineRule="auto"/>
        <w:rPr>
          <w:rFonts w:cs="仿宋_GB2312" w:asciiTheme="majorEastAsia" w:hAnsiTheme="majorEastAsia" w:eastAsiaTheme="majorEastAsia"/>
          <w:color w:val="auto"/>
          <w:sz w:val="32"/>
          <w:szCs w:val="32"/>
          <w:highlight w:val="none"/>
        </w:rPr>
      </w:pPr>
    </w:p>
    <w:p>
      <w:pPr>
        <w:spacing w:line="360" w:lineRule="auto"/>
        <w:rPr>
          <w:rFonts w:cs="仿宋_GB2312" w:asciiTheme="majorEastAsia" w:hAnsiTheme="majorEastAsia" w:eastAsiaTheme="majorEastAsia"/>
          <w:color w:val="auto"/>
          <w:sz w:val="32"/>
          <w:szCs w:val="32"/>
          <w:highlight w:val="none"/>
        </w:rPr>
      </w:pPr>
    </w:p>
    <w:p>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第一部分      招标公告</w:t>
      </w:r>
    </w:p>
    <w:p>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第二部分      投标须知</w:t>
      </w:r>
    </w:p>
    <w:p>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第三部分      采购需求</w:t>
      </w:r>
    </w:p>
    <w:p>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第四部分      评标办法</w:t>
      </w:r>
    </w:p>
    <w:p>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第五部分      拟签订的合同文本</w:t>
      </w:r>
    </w:p>
    <w:p>
      <w:pPr>
        <w:spacing w:line="360" w:lineRule="auto"/>
        <w:ind w:firstLine="1280" w:firstLineChars="4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sz w:val="32"/>
          <w:szCs w:val="32"/>
          <w:highlight w:val="none"/>
        </w:rPr>
        <w:t>第六部分      应提交的有关格式范例</w:t>
      </w:r>
    </w:p>
    <w:p>
      <w:pPr>
        <w:spacing w:line="360" w:lineRule="auto"/>
        <w:ind w:firstLine="549" w:firstLineChars="229"/>
        <w:rPr>
          <w:rFonts w:cs="仿宋" w:asciiTheme="majorEastAsia" w:hAnsiTheme="majorEastAsia" w:eastAsiaTheme="majorEastAsia"/>
          <w:color w:val="auto"/>
          <w:sz w:val="24"/>
          <w:highlight w:val="none"/>
        </w:rPr>
      </w:pPr>
      <w:bookmarkStart w:id="1" w:name="_Hlt91233176"/>
      <w:bookmarkEnd w:id="1"/>
      <w:bookmarkStart w:id="2" w:name="_Toc91899869"/>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ind w:firstLine="549" w:firstLineChars="229"/>
        <w:rPr>
          <w:rFonts w:cs="仿宋" w:asciiTheme="majorEastAsia" w:hAnsiTheme="majorEastAsia" w:eastAsiaTheme="majorEastAsia"/>
          <w:color w:val="auto"/>
          <w:sz w:val="24"/>
          <w:highlight w:val="none"/>
        </w:rPr>
      </w:pPr>
    </w:p>
    <w:p>
      <w:pPr>
        <w:spacing w:line="360" w:lineRule="auto"/>
        <w:rPr>
          <w:rFonts w:cs="仿宋" w:asciiTheme="majorEastAsia" w:hAnsiTheme="majorEastAsia" w:eastAsiaTheme="majorEastAsia"/>
          <w:color w:val="auto"/>
          <w:sz w:val="24"/>
          <w:highlight w:val="none"/>
        </w:rPr>
      </w:pPr>
    </w:p>
    <w:p>
      <w:pPr>
        <w:spacing w:line="360" w:lineRule="auto"/>
        <w:jc w:val="center"/>
        <w:outlineLvl w:val="0"/>
        <w:rPr>
          <w:rFonts w:cs="仿宋" w:asciiTheme="majorEastAsia" w:hAnsiTheme="majorEastAsia" w:eastAsiaTheme="majorEastAsia"/>
          <w:b/>
          <w:color w:val="auto"/>
          <w:sz w:val="36"/>
          <w:szCs w:val="20"/>
          <w:highlight w:val="none"/>
        </w:rPr>
      </w:pPr>
      <w:bookmarkStart w:id="3" w:name="第一部分"/>
      <w:r>
        <w:rPr>
          <w:rFonts w:hint="eastAsia" w:cs="仿宋" w:asciiTheme="majorEastAsia" w:hAnsiTheme="majorEastAsia" w:eastAsiaTheme="majorEastAsia"/>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 w:asciiTheme="majorEastAsia" w:hAnsiTheme="majorEastAsia" w:eastAsiaTheme="majorEastAsia"/>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color w:val="auto"/>
          <w:sz w:val="24"/>
          <w:highlight w:val="none"/>
          <w:u w:val="single"/>
        </w:rPr>
      </w:pPr>
      <w:r>
        <w:rPr>
          <w:rStyle w:val="22"/>
          <w:rFonts w:hint="eastAsia" w:cs="仿宋" w:asciiTheme="majorEastAsia" w:hAnsiTheme="majorEastAsia" w:eastAsiaTheme="majorEastAsia"/>
          <w:snapToGrid/>
          <w:color w:val="auto"/>
          <w:kern w:val="2"/>
          <w:sz w:val="24"/>
          <w:szCs w:val="24"/>
          <w:highlight w:val="none"/>
          <w:lang w:val="en-US" w:eastAsia="zh-CN"/>
        </w:rPr>
        <w:t>奉化城市文化中心2022-2025年度物业服务项目</w:t>
      </w:r>
      <w:r>
        <w:rPr>
          <w:rFonts w:hint="eastAsia" w:cs="仿宋" w:asciiTheme="majorEastAsia" w:hAnsiTheme="majorEastAsia" w:eastAsiaTheme="majorEastAsia"/>
          <w:color w:val="auto"/>
          <w:sz w:val="24"/>
          <w:highlight w:val="none"/>
        </w:rPr>
        <w:t xml:space="preserve">的潜在供应商应在政采云平台（ </w:t>
      </w:r>
      <w:r>
        <w:rPr>
          <w:color w:val="auto"/>
          <w:highlight w:val="none"/>
        </w:rPr>
        <w:fldChar w:fldCharType="begin"/>
      </w:r>
      <w:r>
        <w:rPr>
          <w:color w:val="auto"/>
          <w:highlight w:val="none"/>
        </w:rPr>
        <w:instrText xml:space="preserve"> HYPERLINK "https://www.zcygov.cn/）获取（下载）招标文件，并于2022年00月00日14点30分00秒" </w:instrText>
      </w:r>
      <w:r>
        <w:rPr>
          <w:color w:val="auto"/>
          <w:highlight w:val="none"/>
        </w:rPr>
        <w:fldChar w:fldCharType="separate"/>
      </w:r>
      <w:r>
        <w:rPr>
          <w:rStyle w:val="22"/>
          <w:rFonts w:hint="eastAsia" w:cs="仿宋" w:asciiTheme="majorEastAsia" w:hAnsiTheme="majorEastAsia" w:eastAsiaTheme="majorEastAsia"/>
          <w:color w:val="auto"/>
          <w:sz w:val="24"/>
          <w:szCs w:val="24"/>
          <w:highlight w:val="none"/>
        </w:rPr>
        <w:t>https://www.zcygov.cn/）获取（下载）招标文件，</w:t>
      </w:r>
      <w:r>
        <w:rPr>
          <w:rStyle w:val="22"/>
          <w:rFonts w:hint="eastAsia" w:cs="仿宋" w:asciiTheme="majorEastAsia" w:hAnsiTheme="majorEastAsia" w:eastAsiaTheme="majorEastAsia"/>
          <w:color w:val="auto"/>
          <w:sz w:val="24"/>
          <w:szCs w:val="24"/>
          <w:highlight w:val="none"/>
        </w:rPr>
        <w:t>并于</w:t>
      </w:r>
      <w:r>
        <w:rPr>
          <w:rStyle w:val="22"/>
          <w:rFonts w:hint="eastAsia" w:cs="仿宋" w:asciiTheme="majorEastAsia" w:hAnsiTheme="majorEastAsia" w:eastAsiaTheme="majorEastAsia"/>
          <w:snapToGrid/>
          <w:color w:val="auto"/>
          <w:kern w:val="2"/>
          <w:sz w:val="24"/>
          <w:szCs w:val="24"/>
          <w:highlight w:val="none"/>
        </w:rPr>
        <w:t>2022年</w:t>
      </w:r>
      <w:r>
        <w:rPr>
          <w:rStyle w:val="22"/>
          <w:rFonts w:hint="eastAsia" w:cs="仿宋" w:asciiTheme="majorEastAsia" w:hAnsiTheme="majorEastAsia" w:eastAsiaTheme="majorEastAsia"/>
          <w:snapToGrid/>
          <w:color w:val="auto"/>
          <w:kern w:val="2"/>
          <w:sz w:val="24"/>
          <w:szCs w:val="24"/>
          <w:highlight w:val="none"/>
          <w:lang w:val="en-US" w:eastAsia="zh-CN"/>
        </w:rPr>
        <w:t>9</w:t>
      </w:r>
      <w:r>
        <w:rPr>
          <w:rStyle w:val="22"/>
          <w:rFonts w:hint="eastAsia" w:cs="仿宋" w:asciiTheme="majorEastAsia" w:hAnsiTheme="majorEastAsia" w:eastAsiaTheme="majorEastAsia"/>
          <w:snapToGrid/>
          <w:color w:val="auto"/>
          <w:kern w:val="2"/>
          <w:sz w:val="24"/>
          <w:szCs w:val="24"/>
          <w:highlight w:val="none"/>
        </w:rPr>
        <w:t>月</w:t>
      </w:r>
      <w:r>
        <w:rPr>
          <w:rStyle w:val="22"/>
          <w:rFonts w:hint="eastAsia" w:cs="仿宋" w:asciiTheme="majorEastAsia" w:hAnsiTheme="majorEastAsia" w:eastAsiaTheme="majorEastAsia"/>
          <w:snapToGrid/>
          <w:color w:val="auto"/>
          <w:kern w:val="2"/>
          <w:sz w:val="24"/>
          <w:szCs w:val="24"/>
          <w:highlight w:val="none"/>
          <w:lang w:val="en-US" w:eastAsia="zh-CN"/>
        </w:rPr>
        <w:t>15</w:t>
      </w:r>
      <w:r>
        <w:rPr>
          <w:rStyle w:val="22"/>
          <w:rFonts w:hint="eastAsia" w:cs="仿宋" w:asciiTheme="majorEastAsia" w:hAnsiTheme="majorEastAsia" w:eastAsiaTheme="majorEastAsia"/>
          <w:snapToGrid/>
          <w:color w:val="auto"/>
          <w:kern w:val="2"/>
          <w:sz w:val="24"/>
          <w:szCs w:val="24"/>
          <w:highlight w:val="none"/>
        </w:rPr>
        <w:t>日</w:t>
      </w:r>
      <w:r>
        <w:rPr>
          <w:rStyle w:val="22"/>
          <w:rFonts w:hint="eastAsia" w:cs="仿宋" w:asciiTheme="majorEastAsia" w:hAnsiTheme="majorEastAsia" w:eastAsiaTheme="majorEastAsia"/>
          <w:snapToGrid/>
          <w:color w:val="auto"/>
          <w:kern w:val="2"/>
          <w:sz w:val="24"/>
          <w:szCs w:val="24"/>
          <w:highlight w:val="none"/>
          <w:lang w:val="en-US" w:eastAsia="zh-CN"/>
        </w:rPr>
        <w:t xml:space="preserve">9 </w:t>
      </w:r>
      <w:r>
        <w:rPr>
          <w:rStyle w:val="22"/>
          <w:rFonts w:hint="eastAsia" w:cs="仿宋" w:asciiTheme="majorEastAsia" w:hAnsiTheme="majorEastAsia" w:eastAsiaTheme="majorEastAsia"/>
          <w:snapToGrid/>
          <w:color w:val="auto"/>
          <w:kern w:val="2"/>
          <w:sz w:val="24"/>
          <w:szCs w:val="24"/>
          <w:highlight w:val="none"/>
        </w:rPr>
        <w:t>点</w:t>
      </w:r>
      <w:r>
        <w:rPr>
          <w:rStyle w:val="22"/>
          <w:rFonts w:hint="eastAsia" w:cs="仿宋" w:asciiTheme="majorEastAsia" w:hAnsiTheme="majorEastAsia" w:eastAsiaTheme="majorEastAsia"/>
          <w:snapToGrid/>
          <w:color w:val="auto"/>
          <w:kern w:val="2"/>
          <w:sz w:val="24"/>
          <w:szCs w:val="24"/>
          <w:highlight w:val="none"/>
          <w:lang w:val="en-US" w:eastAsia="zh-CN"/>
        </w:rPr>
        <w:t>00</w:t>
      </w:r>
      <w:r>
        <w:rPr>
          <w:rStyle w:val="22"/>
          <w:rFonts w:hint="eastAsia" w:cs="仿宋" w:asciiTheme="majorEastAsia" w:hAnsiTheme="majorEastAsia" w:eastAsiaTheme="majorEastAsia"/>
          <w:snapToGrid/>
          <w:color w:val="auto"/>
          <w:kern w:val="2"/>
          <w:sz w:val="24"/>
          <w:szCs w:val="24"/>
          <w:highlight w:val="none"/>
        </w:rPr>
        <w:t>分</w:t>
      </w:r>
      <w:r>
        <w:rPr>
          <w:rStyle w:val="22"/>
          <w:rFonts w:hint="eastAsia" w:cs="仿宋" w:asciiTheme="majorEastAsia" w:hAnsiTheme="majorEastAsia" w:eastAsiaTheme="majorEastAsia"/>
          <w:bCs/>
          <w:snapToGrid/>
          <w:color w:val="auto"/>
          <w:kern w:val="2"/>
          <w:sz w:val="24"/>
          <w:szCs w:val="24"/>
          <w:highlight w:val="none"/>
          <w:lang w:val="en-US" w:eastAsia="zh-CN"/>
        </w:rPr>
        <w:t>00</w:t>
      </w:r>
      <w:r>
        <w:rPr>
          <w:rStyle w:val="22"/>
          <w:rFonts w:hint="eastAsia" w:cs="仿宋" w:asciiTheme="majorEastAsia" w:hAnsiTheme="majorEastAsia" w:eastAsiaTheme="majorEastAsia"/>
          <w:bCs/>
          <w:snapToGrid/>
          <w:color w:val="auto"/>
          <w:kern w:val="2"/>
          <w:sz w:val="24"/>
          <w:szCs w:val="24"/>
          <w:highlight w:val="none"/>
        </w:rPr>
        <w:t>秒</w:t>
      </w:r>
      <w:r>
        <w:rPr>
          <w:rStyle w:val="22"/>
          <w:rFonts w:hint="eastAsia" w:cs="仿宋" w:asciiTheme="majorEastAsia" w:hAnsiTheme="majorEastAsia" w:eastAsiaTheme="majorEastAsia"/>
          <w:bCs/>
          <w:snapToGrid/>
          <w:color w:val="auto"/>
          <w:kern w:val="2"/>
          <w:sz w:val="24"/>
          <w:szCs w:val="24"/>
          <w:highlight w:val="none"/>
        </w:rPr>
        <w:fldChar w:fldCharType="end"/>
      </w:r>
      <w:r>
        <w:rPr>
          <w:rFonts w:hint="eastAsia" w:cs="仿宋" w:asciiTheme="majorEastAsia" w:hAnsiTheme="majorEastAsia" w:eastAsiaTheme="majorEastAsia"/>
          <w:bCs/>
          <w:color w:val="auto"/>
          <w:sz w:val="24"/>
          <w:highlight w:val="none"/>
        </w:rPr>
        <w:t>（北京时间）前</w:t>
      </w:r>
      <w:r>
        <w:rPr>
          <w:rFonts w:hint="eastAsia" w:cs="仿宋" w:asciiTheme="majorEastAsia" w:hAnsiTheme="majorEastAsia" w:eastAsiaTheme="majorEastAsia"/>
          <w:color w:val="auto"/>
          <w:sz w:val="24"/>
          <w:highlight w:val="none"/>
        </w:rPr>
        <w:t>递交（上传）投标文件。</w:t>
      </w:r>
    </w:p>
    <w:p>
      <w:pPr>
        <w:keepNext w:val="0"/>
        <w:keepLines w:val="0"/>
        <w:pageBreakBefore w:val="0"/>
        <w:kinsoku/>
        <w:wordWrap/>
        <w:overflowPunct/>
        <w:topLinePunct w:val="0"/>
        <w:autoSpaceDE/>
        <w:autoSpaceDN/>
        <w:bidi w:val="0"/>
        <w:adjustRightInd/>
        <w:spacing w:line="400" w:lineRule="exac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一、项目基本情况                                            </w:t>
      </w:r>
    </w:p>
    <w:p>
      <w:pPr>
        <w:pStyle w:val="6"/>
        <w:keepNext w:val="0"/>
        <w:keepLines w:val="0"/>
        <w:pageBreakBefore w:val="0"/>
        <w:kinsoku/>
        <w:wordWrap/>
        <w:overflowPunct/>
        <w:topLinePunct w:val="0"/>
        <w:autoSpaceDE/>
        <w:autoSpaceDN/>
        <w:bidi w:val="0"/>
        <w:adjustRightInd/>
        <w:spacing w:line="400" w:lineRule="exact"/>
        <w:ind w:left="0" w:leftChars="0" w:firstLine="482" w:firstLineChars="20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项目编号：FHGQZB(2022)</w:t>
      </w:r>
      <w:r>
        <w:rPr>
          <w:rFonts w:hint="eastAsia" w:cs="仿宋" w:asciiTheme="majorEastAsia" w:hAnsiTheme="majorEastAsia" w:eastAsiaTheme="majorEastAsia"/>
          <w:b/>
          <w:color w:val="auto"/>
          <w:sz w:val="24"/>
          <w:highlight w:val="none"/>
          <w:lang w:val="en-US" w:eastAsia="zh-CN"/>
        </w:rPr>
        <w:t>171</w:t>
      </w:r>
      <w:r>
        <w:rPr>
          <w:rFonts w:hint="eastAsia" w:cs="仿宋" w:asciiTheme="majorEastAsia" w:hAnsiTheme="majorEastAsia" w:eastAsiaTheme="majorEastAsia"/>
          <w:b/>
          <w:color w:val="auto"/>
          <w:sz w:val="24"/>
          <w:highlight w:val="none"/>
        </w:rPr>
        <w:t>D</w:t>
      </w:r>
    </w:p>
    <w:p>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项目名称：</w:t>
      </w:r>
      <w:r>
        <w:rPr>
          <w:rFonts w:hint="eastAsia" w:cs="仿宋" w:asciiTheme="majorEastAsia" w:hAnsiTheme="majorEastAsia" w:eastAsiaTheme="majorEastAsia"/>
          <w:b/>
          <w:color w:val="auto"/>
          <w:sz w:val="24"/>
          <w:highlight w:val="none"/>
          <w:lang w:val="en-US" w:eastAsia="zh-CN"/>
        </w:rPr>
        <w:t>奉化城市文化中心2022-2025年度物业服务项目</w:t>
      </w:r>
      <w:r>
        <w:rPr>
          <w:rFonts w:hint="eastAsia" w:cs="仿宋" w:asciiTheme="majorEastAsia" w:hAnsiTheme="majorEastAsia" w:eastAsiaTheme="majorEastAsia"/>
          <w:b/>
          <w:color w:val="auto"/>
          <w:sz w:val="24"/>
          <w:highlight w:val="none"/>
        </w:rPr>
        <w:t xml:space="preserve"> </w:t>
      </w:r>
    </w:p>
    <w:p>
      <w:pPr>
        <w:pStyle w:val="6"/>
        <w:keepNext w:val="0"/>
        <w:keepLines w:val="0"/>
        <w:pageBreakBefore w:val="0"/>
        <w:kinsoku/>
        <w:wordWrap/>
        <w:overflowPunct/>
        <w:topLinePunct w:val="0"/>
        <w:autoSpaceDE/>
        <w:autoSpaceDN/>
        <w:bidi w:val="0"/>
        <w:adjustRightInd/>
        <w:spacing w:line="400" w:lineRule="exact"/>
        <w:ind w:left="0" w:leftChars="0" w:firstLine="482" w:firstLineChars="200"/>
        <w:textAlignment w:val="auto"/>
        <w:rPr>
          <w:rFonts w:hint="default"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rPr>
        <w:t>预算金额（元）：</w:t>
      </w:r>
      <w:r>
        <w:rPr>
          <w:rFonts w:hint="eastAsia" w:cs="仿宋" w:asciiTheme="majorEastAsia" w:hAnsiTheme="majorEastAsia" w:eastAsiaTheme="majorEastAsia"/>
          <w:b/>
          <w:color w:val="auto"/>
          <w:sz w:val="24"/>
          <w:highlight w:val="none"/>
          <w:lang w:val="en-US" w:eastAsia="zh-CN"/>
        </w:rPr>
        <w:t>5000000元/年</w:t>
      </w:r>
    </w:p>
    <w:p>
      <w:pPr>
        <w:pStyle w:val="6"/>
        <w:keepNext w:val="0"/>
        <w:keepLines w:val="0"/>
        <w:pageBreakBefore w:val="0"/>
        <w:kinsoku/>
        <w:wordWrap/>
        <w:overflowPunct/>
        <w:topLinePunct w:val="0"/>
        <w:autoSpaceDE/>
        <w:autoSpaceDN/>
        <w:bidi w:val="0"/>
        <w:adjustRightInd/>
        <w:spacing w:line="400" w:lineRule="exact"/>
        <w:ind w:firstLine="480"/>
        <w:textAlignment w:val="auto"/>
        <w:rPr>
          <w:rFonts w:hint="default"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
          <w:color w:val="auto"/>
          <w:sz w:val="24"/>
          <w:highlight w:val="none"/>
          <w:lang w:val="en-US" w:eastAsia="zh-CN"/>
        </w:rPr>
        <w:t>5000000元/年</w:t>
      </w:r>
    </w:p>
    <w:p>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采购需求：前厅接待、工程服务、保安服务、保洁服务、绿化服务、食堂服务、停车场服务、垃圾清运（厨余垃圾、生活垃圾清运服务</w:t>
      </w:r>
      <w:r>
        <w:rPr>
          <w:rFonts w:hint="eastAsia" w:cs="仿宋" w:asciiTheme="majorEastAsia" w:hAnsiTheme="majorEastAsia" w:eastAsiaTheme="majorEastAsia"/>
          <w:b/>
          <w:color w:val="auto"/>
          <w:sz w:val="24"/>
          <w:highlight w:val="none"/>
          <w:lang w:eastAsia="zh-CN"/>
        </w:rPr>
        <w:t>，</w:t>
      </w:r>
      <w:r>
        <w:rPr>
          <w:rFonts w:hint="eastAsia" w:cs="仿宋" w:asciiTheme="majorEastAsia" w:hAnsiTheme="majorEastAsia" w:eastAsiaTheme="majorEastAsia"/>
          <w:b/>
          <w:color w:val="auto"/>
          <w:sz w:val="24"/>
          <w:highlight w:val="none"/>
          <w:lang w:val="en-US" w:eastAsia="zh-CN"/>
        </w:rPr>
        <w:t>但不不包含垃圾处置费</w:t>
      </w:r>
      <w:r>
        <w:rPr>
          <w:rFonts w:hint="eastAsia" w:cs="仿宋" w:asciiTheme="majorEastAsia" w:hAnsiTheme="majorEastAsia" w:eastAsiaTheme="majorEastAsia"/>
          <w:b/>
          <w:color w:val="auto"/>
          <w:sz w:val="24"/>
          <w:highlight w:val="none"/>
        </w:rPr>
        <w:t>）</w:t>
      </w:r>
      <w:r>
        <w:rPr>
          <w:rFonts w:hint="eastAsia" w:cs="仿宋" w:asciiTheme="majorEastAsia" w:hAnsiTheme="majorEastAsia" w:eastAsiaTheme="majorEastAsia"/>
          <w:b/>
          <w:color w:val="auto"/>
          <w:sz w:val="24"/>
          <w:highlight w:val="none"/>
          <w:lang w:val="en-US" w:eastAsia="zh-CN"/>
        </w:rPr>
        <w:t>及严格做好垃圾分类等服务</w:t>
      </w:r>
      <w:r>
        <w:rPr>
          <w:rFonts w:hint="eastAsia" w:cs="仿宋" w:asciiTheme="majorEastAsia" w:hAnsiTheme="majorEastAsia" w:eastAsiaTheme="majorEastAsia"/>
          <w:b/>
          <w:color w:val="auto"/>
          <w:sz w:val="24"/>
          <w:highlight w:val="none"/>
          <w:lang w:eastAsia="zh-CN"/>
        </w:rPr>
        <w:t>、</w:t>
      </w:r>
      <w:r>
        <w:rPr>
          <w:rFonts w:hint="eastAsia" w:cs="仿宋" w:asciiTheme="majorEastAsia" w:hAnsiTheme="majorEastAsia" w:eastAsiaTheme="majorEastAsia"/>
          <w:b/>
          <w:color w:val="auto"/>
          <w:sz w:val="24"/>
          <w:highlight w:val="none"/>
        </w:rPr>
        <w:t>代收水电费</w:t>
      </w:r>
      <w:r>
        <w:rPr>
          <w:rFonts w:hint="eastAsia" w:cs="仿宋" w:asciiTheme="majorEastAsia" w:hAnsiTheme="majorEastAsia" w:eastAsiaTheme="majorEastAsia"/>
          <w:b/>
          <w:color w:val="auto"/>
          <w:sz w:val="24"/>
          <w:highlight w:val="none"/>
          <w:lang w:eastAsia="zh-CN"/>
        </w:rPr>
        <w:t>及整体广场管理</w:t>
      </w:r>
      <w:r>
        <w:rPr>
          <w:rFonts w:hint="eastAsia" w:cs="仿宋" w:asciiTheme="majorEastAsia" w:hAnsiTheme="majorEastAsia" w:eastAsiaTheme="majorEastAsia"/>
          <w:b/>
          <w:color w:val="auto"/>
          <w:sz w:val="24"/>
          <w:highlight w:val="none"/>
          <w:lang w:val="zh-CN"/>
        </w:rPr>
        <w:t>服务</w:t>
      </w:r>
      <w:r>
        <w:rPr>
          <w:rFonts w:hint="eastAsia" w:cs="仿宋" w:asciiTheme="majorEastAsia" w:hAnsiTheme="majorEastAsia" w:eastAsiaTheme="majorEastAsia"/>
          <w:b/>
          <w:color w:val="auto"/>
          <w:sz w:val="24"/>
          <w:highlight w:val="none"/>
        </w:rPr>
        <w:t>；详见招标文件第三部分采购需求。</w:t>
      </w:r>
    </w:p>
    <w:p>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合同履约期限：自合同签订之日起三年，合同一年一签。 </w:t>
      </w:r>
    </w:p>
    <w:p>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本项目接受联合体投标：☐是， </w:t>
      </w:r>
      <w:r>
        <w:rPr>
          <w:rFonts w:hint="eastAsia" w:cs="仿宋" w:asciiTheme="majorEastAsia" w:hAnsiTheme="majorEastAsia" w:eastAsiaTheme="majorEastAsia"/>
          <w:b/>
          <w:color w:val="auto"/>
          <w:sz w:val="24"/>
          <w:highlight w:val="none"/>
        </w:rPr>
        <w:sym w:font="Wingdings" w:char="F0FE"/>
      </w:r>
      <w:r>
        <w:rPr>
          <w:rFonts w:hint="eastAsia" w:cs="仿宋" w:asciiTheme="majorEastAsia" w:hAnsiTheme="majorEastAsia" w:eastAsiaTheme="majorEastAsia"/>
          <w:b/>
          <w:color w:val="auto"/>
          <w:sz w:val="24"/>
          <w:highlight w:val="none"/>
        </w:rPr>
        <w:t>否。</w:t>
      </w:r>
    </w:p>
    <w:p>
      <w:pPr>
        <w:pStyle w:val="6"/>
        <w:keepNext w:val="0"/>
        <w:keepLines w:val="0"/>
        <w:pageBreakBefore w:val="0"/>
        <w:kinsoku/>
        <w:wordWrap/>
        <w:overflowPunct/>
        <w:topLinePunct w:val="0"/>
        <w:autoSpaceDE/>
        <w:autoSpaceDN/>
        <w:bidi w:val="0"/>
        <w:adjustRightInd/>
        <w:spacing w:line="400" w:lineRule="exact"/>
        <w:ind w:firstLine="48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pPr>
        <w:keepNext w:val="0"/>
        <w:keepLines w:val="0"/>
        <w:pageBreakBefore w:val="0"/>
        <w:kinsoku/>
        <w:wordWrap/>
        <w:overflowPunct/>
        <w:topLinePunct w:val="0"/>
        <w:autoSpaceDE/>
        <w:autoSpaceDN/>
        <w:bidi w:val="0"/>
        <w:adjustRightInd/>
        <w:spacing w:line="400" w:lineRule="exact"/>
        <w:ind w:firstLine="480"/>
        <w:textAlignment w:val="auto"/>
        <w:rPr>
          <w:rFonts w:cs="仿宋" w:asciiTheme="majorEastAsia" w:hAnsiTheme="majorEastAsia" w:eastAsiaTheme="majorEastAsia"/>
          <w:snapToGrid w:val="0"/>
          <w:color w:val="auto"/>
          <w:kern w:val="28"/>
          <w:sz w:val="24"/>
          <w:szCs w:val="20"/>
          <w:highlight w:val="none"/>
        </w:rPr>
      </w:pPr>
      <w:r>
        <w:rPr>
          <w:rFonts w:hint="eastAsia" w:cs="仿宋" w:asciiTheme="majorEastAsia" w:hAnsiTheme="majorEastAsia" w:eastAsiaTheme="maj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仿宋" w:asciiTheme="majorEastAsia" w:hAnsiTheme="majorEastAsia" w:eastAsiaTheme="majorEastAsia"/>
          <w:snapToGrid w:val="0"/>
          <w:color w:val="auto"/>
          <w:kern w:val="28"/>
          <w:sz w:val="24"/>
          <w:szCs w:val="20"/>
          <w:highlight w:val="none"/>
          <w:lang w:val="en-US" w:eastAsia="zh-CN"/>
        </w:rPr>
        <w:t>税收违法黑名单</w:t>
      </w:r>
      <w:r>
        <w:rPr>
          <w:rFonts w:hint="eastAsia" w:cs="仿宋" w:asciiTheme="majorEastAsia" w:hAnsiTheme="majorEastAsia" w:eastAsiaTheme="majorEastAsia"/>
          <w:snapToGrid w:val="0"/>
          <w:color w:val="auto"/>
          <w:kern w:val="28"/>
          <w:sz w:val="24"/>
          <w:szCs w:val="20"/>
          <w:highlight w:val="none"/>
        </w:rPr>
        <w:t>、政府采购严重违法失信行为记录名单；</w:t>
      </w:r>
    </w:p>
    <w:p>
      <w:pPr>
        <w:keepNext w:val="0"/>
        <w:keepLines w:val="0"/>
        <w:pageBreakBefore w:val="0"/>
        <w:kinsoku/>
        <w:wordWrap/>
        <w:overflowPunct/>
        <w:topLinePunct w:val="0"/>
        <w:autoSpaceDE/>
        <w:autoSpaceDN/>
        <w:bidi w:val="0"/>
        <w:adjustRightIn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snapToGrid w:val="0"/>
          <w:color w:val="auto"/>
          <w:kern w:val="28"/>
          <w:sz w:val="24"/>
          <w:szCs w:val="20"/>
          <w:highlight w:val="none"/>
        </w:rPr>
        <w:t xml:space="preserve">    2.落实政府采购政策需满足的资格要求：</w:t>
      </w:r>
      <w:r>
        <w:rPr>
          <w:rFonts w:hint="eastAsia" w:cs="仿宋" w:asciiTheme="majorEastAsia" w:hAnsiTheme="majorEastAsia" w:eastAsiaTheme="majorEastAsia"/>
          <w:color w:val="auto"/>
          <w:sz w:val="24"/>
          <w:highlight w:val="none"/>
        </w:rPr>
        <w:t>无；</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rPr>
        <w:t>3.本项目的特定资格要求：</w:t>
      </w:r>
      <w:r>
        <w:rPr>
          <w:rFonts w:hint="eastAsia" w:cs="仿宋" w:asciiTheme="majorEastAsia" w:hAnsiTheme="majorEastAsia" w:eastAsiaTheme="majorEastAsia"/>
          <w:color w:val="auto"/>
          <w:sz w:val="24"/>
          <w:highlight w:val="none"/>
          <w:lang w:val="en-US" w:eastAsia="zh-CN"/>
        </w:rPr>
        <w:t>无</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spacing w:line="400" w:lineRule="exac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三、获取招标文件 </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时间：</w:t>
      </w:r>
      <w:r>
        <w:rPr>
          <w:rFonts w:hint="eastAsia" w:cs="仿宋" w:asciiTheme="majorEastAsia" w:hAnsiTheme="majorEastAsia" w:eastAsiaTheme="majorEastAsia"/>
          <w:b/>
          <w:color w:val="auto"/>
          <w:sz w:val="24"/>
          <w:highlight w:val="none"/>
          <w:lang w:val="en-US" w:eastAsia="zh-CN"/>
        </w:rPr>
        <w:t>2022年8月17日至2022年8月24日，</w:t>
      </w:r>
      <w:r>
        <w:rPr>
          <w:rFonts w:hint="eastAsia" w:cs="仿宋" w:asciiTheme="majorEastAsia" w:hAnsiTheme="majorEastAsia" w:eastAsiaTheme="majorEastAsia"/>
          <w:color w:val="auto"/>
          <w:sz w:val="24"/>
          <w:highlight w:val="none"/>
        </w:rPr>
        <w:t>每天上午00:00至12:00 ，下午12:00至23:59（北京时间）。</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地点（网址）：</w:t>
      </w:r>
      <w:r>
        <w:rPr>
          <w:rFonts w:hint="eastAsia" w:cs="仿宋" w:asciiTheme="majorEastAsia" w:hAnsiTheme="majorEastAsia" w:eastAsiaTheme="majorEastAsia"/>
          <w:color w:val="auto"/>
          <w:sz w:val="24"/>
          <w:highlight w:val="none"/>
        </w:rPr>
        <w:t>政采云平台（https://www.zcygov.cn/）。</w:t>
      </w:r>
      <w:bookmarkStart w:id="402" w:name="_GoBack"/>
      <w:bookmarkEnd w:id="402"/>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方式：</w:t>
      </w:r>
      <w:r>
        <w:rPr>
          <w:rFonts w:hint="eastAsia" w:cs="仿宋" w:asciiTheme="majorEastAsia" w:hAnsiTheme="majorEastAsia" w:eastAsiaTheme="majorEastAsia"/>
          <w:color w:val="auto"/>
          <w:sz w:val="24"/>
          <w:highlight w:val="none"/>
        </w:rPr>
        <w:t xml:space="preserve">供应商登录政采云平台https://www.zcygov.cn/在线申请获取招标文件（进入“项目采购”应用，在获取采购文件菜单中选择项目，申请获取招标文件）。 </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售价（元）：</w:t>
      </w:r>
      <w:r>
        <w:rPr>
          <w:rFonts w:hint="eastAsia" w:cs="仿宋" w:asciiTheme="majorEastAsia" w:hAnsiTheme="majorEastAsia" w:eastAsiaTheme="majorEastAsia"/>
          <w:color w:val="auto"/>
          <w:sz w:val="24"/>
          <w:highlight w:val="none"/>
        </w:rPr>
        <w:t xml:space="preserve">0 </w:t>
      </w:r>
      <w:r>
        <w:rPr>
          <w:rFonts w:hint="eastAsia" w:cs="仿宋" w:asciiTheme="majorEastAsia" w:hAnsiTheme="majorEastAsia" w:eastAsiaTheme="majorEastAsia"/>
          <w:color w:val="auto"/>
          <w:sz w:val="24"/>
          <w:highlight w:val="none"/>
        </w:rPr>
        <w:tab/>
      </w:r>
    </w:p>
    <w:p>
      <w:pPr>
        <w:keepNext w:val="0"/>
        <w:keepLines w:val="0"/>
        <w:pageBreakBefore w:val="0"/>
        <w:kinsoku/>
        <w:wordWrap/>
        <w:overflowPunct/>
        <w:topLinePunct w:val="0"/>
        <w:autoSpaceDE/>
        <w:autoSpaceDN/>
        <w:bidi w:val="0"/>
        <w:adjustRightInd/>
        <w:spacing w:line="400" w:lineRule="exac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四、提交投标文件截止时间、开标时间和地点</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提交投标文件截止时间：</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u w:val="single"/>
        </w:rPr>
        <w:t>2022年</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15</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00</w:t>
      </w:r>
      <w:r>
        <w:rPr>
          <w:rFonts w:hint="eastAsia" w:cs="仿宋" w:asciiTheme="majorEastAsia" w:hAnsiTheme="majorEastAsia" w:eastAsiaTheme="majorEastAsia"/>
          <w:color w:val="auto"/>
          <w:sz w:val="24"/>
          <w:highlight w:val="none"/>
          <w:u w:val="single"/>
        </w:rPr>
        <w:t>分</w:t>
      </w:r>
      <w:r>
        <w:rPr>
          <w:rFonts w:hint="eastAsia" w:cs="仿宋" w:asciiTheme="majorEastAsia" w:hAnsiTheme="majorEastAsia" w:eastAsiaTheme="majorEastAsia"/>
          <w:bCs/>
          <w:color w:val="auto"/>
          <w:sz w:val="24"/>
          <w:highlight w:val="none"/>
          <w:u w:val="single"/>
        </w:rPr>
        <w:t xml:space="preserve"> </w:t>
      </w:r>
      <w:r>
        <w:rPr>
          <w:rFonts w:hint="eastAsia" w:cs="仿宋" w:asciiTheme="majorEastAsia" w:hAnsiTheme="majorEastAsia" w:eastAsiaTheme="majorEastAsia"/>
          <w:color w:val="auto"/>
          <w:sz w:val="24"/>
          <w:highlight w:val="none"/>
        </w:rPr>
        <w:t>（北京时间）。</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投标地点（网址）：</w:t>
      </w:r>
      <w:r>
        <w:rPr>
          <w:rFonts w:hint="eastAsia" w:cs="仿宋" w:asciiTheme="majorEastAsia" w:hAnsiTheme="majorEastAsia" w:eastAsiaTheme="majorEastAsia"/>
          <w:color w:val="auto"/>
          <w:sz w:val="24"/>
          <w:highlight w:val="none"/>
        </w:rPr>
        <w:t>政采云平台（https://www.zcygov.cn/）。</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bCs/>
          <w:color w:val="auto"/>
          <w:sz w:val="24"/>
          <w:highlight w:val="none"/>
          <w:u w:val="single"/>
        </w:rPr>
      </w:pPr>
      <w:r>
        <w:rPr>
          <w:rFonts w:hint="eastAsia" w:cs="仿宋" w:asciiTheme="majorEastAsia" w:hAnsiTheme="majorEastAsia" w:eastAsiaTheme="majorEastAsia"/>
          <w:b/>
          <w:color w:val="auto"/>
          <w:sz w:val="24"/>
          <w:highlight w:val="none"/>
        </w:rPr>
        <w:t>开标时间：</w:t>
      </w:r>
      <w:r>
        <w:rPr>
          <w:rFonts w:hint="eastAsia" w:cs="仿宋" w:asciiTheme="majorEastAsia" w:hAnsiTheme="majorEastAsia" w:eastAsiaTheme="majorEastAsia"/>
          <w:color w:val="auto"/>
          <w:sz w:val="24"/>
          <w:highlight w:val="none"/>
          <w:u w:val="single"/>
        </w:rPr>
        <w:t>2022年</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月</w:t>
      </w:r>
      <w:r>
        <w:rPr>
          <w:rFonts w:hint="eastAsia" w:cs="仿宋" w:asciiTheme="majorEastAsia" w:hAnsiTheme="majorEastAsia" w:eastAsiaTheme="majorEastAsia"/>
          <w:color w:val="auto"/>
          <w:sz w:val="24"/>
          <w:highlight w:val="none"/>
          <w:u w:val="single"/>
          <w:lang w:val="en-US" w:eastAsia="zh-CN"/>
        </w:rPr>
        <w:t>15</w:t>
      </w:r>
      <w:r>
        <w:rPr>
          <w:rFonts w:hint="eastAsia" w:cs="仿宋" w:asciiTheme="majorEastAsia" w:hAnsiTheme="majorEastAsia" w:eastAsiaTheme="majorEastAsia"/>
          <w:color w:val="auto"/>
          <w:sz w:val="24"/>
          <w:highlight w:val="none"/>
          <w:u w:val="single"/>
        </w:rPr>
        <w:t>日</w:t>
      </w:r>
      <w:r>
        <w:rPr>
          <w:rFonts w:hint="eastAsia" w:cs="仿宋" w:asciiTheme="majorEastAsia" w:hAnsiTheme="majorEastAsia" w:eastAsiaTheme="majorEastAsia"/>
          <w:color w:val="auto"/>
          <w:sz w:val="24"/>
          <w:highlight w:val="none"/>
          <w:u w:val="single"/>
          <w:lang w:val="en-US" w:eastAsia="zh-CN"/>
        </w:rPr>
        <w:t>9</w:t>
      </w:r>
      <w:r>
        <w:rPr>
          <w:rFonts w:hint="eastAsia" w:cs="仿宋" w:asciiTheme="majorEastAsia" w:hAnsiTheme="majorEastAsia" w:eastAsiaTheme="majorEastAsia"/>
          <w:color w:val="auto"/>
          <w:sz w:val="24"/>
          <w:highlight w:val="none"/>
          <w:u w:val="single"/>
        </w:rPr>
        <w:t>点</w:t>
      </w:r>
      <w:r>
        <w:rPr>
          <w:rFonts w:hint="eastAsia" w:cs="仿宋" w:asciiTheme="majorEastAsia" w:hAnsiTheme="majorEastAsia" w:eastAsiaTheme="majorEastAsia"/>
          <w:color w:val="auto"/>
          <w:sz w:val="24"/>
          <w:highlight w:val="none"/>
          <w:u w:val="single"/>
          <w:lang w:val="en-US" w:eastAsia="zh-CN"/>
        </w:rPr>
        <w:t>00</w:t>
      </w:r>
      <w:r>
        <w:rPr>
          <w:rFonts w:hint="eastAsia" w:cs="仿宋" w:asciiTheme="majorEastAsia" w:hAnsiTheme="majorEastAsia" w:eastAsiaTheme="majorEastAsia"/>
          <w:color w:val="auto"/>
          <w:sz w:val="24"/>
          <w:highlight w:val="none"/>
          <w:u w:val="single"/>
        </w:rPr>
        <w:t>分</w:t>
      </w:r>
      <w:r>
        <w:rPr>
          <w:rFonts w:hint="eastAsia" w:cs="仿宋" w:asciiTheme="majorEastAsia" w:hAnsiTheme="majorEastAsia" w:eastAsiaTheme="majorEastAsia"/>
          <w:bCs/>
          <w:color w:val="auto"/>
          <w:sz w:val="24"/>
          <w:highlight w:val="none"/>
        </w:rPr>
        <w:t>。</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开标地点（网址）：</w:t>
      </w:r>
      <w:r>
        <w:rPr>
          <w:rFonts w:hint="eastAsia" w:cs="仿宋" w:asciiTheme="majorEastAsia" w:hAnsiTheme="majorEastAsia" w:eastAsiaTheme="majorEastAsia"/>
          <w:color w:val="auto"/>
          <w:sz w:val="24"/>
          <w:highlight w:val="none"/>
        </w:rPr>
        <w:t>政采云平台（https://www.zcygov.cn/）。</w:t>
      </w: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开标地点（线下）：</w:t>
      </w:r>
      <w:r>
        <w:rPr>
          <w:rFonts w:hint="eastAsia" w:cs="仿宋" w:asciiTheme="majorEastAsia" w:hAnsiTheme="majorEastAsia" w:eastAsiaTheme="majorEastAsia"/>
          <w:bCs/>
          <w:color w:val="auto"/>
          <w:sz w:val="24"/>
          <w:highlight w:val="none"/>
        </w:rPr>
        <w:t>宁波市奉化区公共资源交易中心</w:t>
      </w:r>
      <w:r>
        <w:rPr>
          <w:rFonts w:hint="eastAsia" w:cs="仿宋" w:asciiTheme="majorEastAsia" w:hAnsiTheme="majorEastAsia" w:eastAsiaTheme="majorEastAsia"/>
          <w:bCs/>
          <w:color w:val="auto"/>
          <w:sz w:val="24"/>
          <w:highlight w:val="none"/>
        </w:rPr>
        <w:t>开标厅</w:t>
      </w:r>
      <w:r>
        <w:rPr>
          <w:rFonts w:hint="eastAsia" w:cs="仿宋" w:asciiTheme="majorEastAsia" w:hAnsiTheme="majorEastAsia" w:eastAsiaTheme="majorEastAsia"/>
          <w:bCs/>
          <w:color w:val="auto"/>
          <w:sz w:val="24"/>
          <w:highlight w:val="none"/>
          <w:lang w:val="en-US" w:eastAsia="zh-CN"/>
        </w:rPr>
        <w:t>一</w:t>
      </w:r>
      <w:r>
        <w:rPr>
          <w:rFonts w:hint="eastAsia" w:cs="仿宋" w:asciiTheme="majorEastAsia" w:hAnsiTheme="majorEastAsia" w:eastAsiaTheme="majorEastAsia"/>
          <w:bCs/>
          <w:color w:val="auto"/>
          <w:sz w:val="24"/>
          <w:highlight w:val="none"/>
        </w:rPr>
        <w:t>（宁波市奉化区大成东路277号4楼）</w:t>
      </w:r>
    </w:p>
    <w:p>
      <w:pPr>
        <w:keepNext w:val="0"/>
        <w:keepLines w:val="0"/>
        <w:pageBreakBefore w:val="0"/>
        <w:kinsoku/>
        <w:wordWrap/>
        <w:overflowPunct/>
        <w:topLinePunct w:val="0"/>
        <w:autoSpaceDE/>
        <w:autoSpaceDN/>
        <w:bidi w:val="0"/>
        <w:adjustRightIn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 xml:space="preserve">五、公告期限 </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自本公告发布之日起5个工作日。</w:t>
      </w:r>
    </w:p>
    <w:p>
      <w:pPr>
        <w:keepNext w:val="0"/>
        <w:keepLines w:val="0"/>
        <w:pageBreakBefore w:val="0"/>
        <w:kinsoku/>
        <w:wordWrap/>
        <w:overflowPunct/>
        <w:topLinePunct w:val="0"/>
        <w:autoSpaceDE/>
        <w:autoSpaceDN/>
        <w:bidi w:val="0"/>
        <w:adjustRightInd/>
        <w:spacing w:line="400" w:lineRule="exac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六、其他补充事宜</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合理预估时间，及时办理。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按照平台提示和招标文件的规定在半小时内完成在线解密。⑨具体操作指南：详见政采云平台“服务中心-帮助文档-项目采购-操作流程-电子招投标-政府采购项目电子交易管理操作指南-供应商”。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七、对本次采购提出询问、质疑、投诉，请按以下方式联系</w:t>
      </w:r>
      <w:r>
        <w:rPr>
          <w:rFonts w:hint="eastAsia"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名    称：宁波市奉化区红果文化投资发展有限公司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 xml:space="preserve">地    址：宁波市奉化区中山路138号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传    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 xml:space="preserve">项目联系人（询问）：林先生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 xml:space="preserve">项目联系方式（询问）：88522856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 xml:space="preserve">质疑联系人：康先生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s="仿宋" w:asciiTheme="majorEastAsia" w:hAnsiTheme="majorEastAsia" w:eastAsiaTheme="majorEastAsia"/>
          <w:b w:val="0"/>
          <w:bCs/>
          <w:snapToGrid w:val="0"/>
          <w:color w:val="auto"/>
          <w:kern w:val="28"/>
          <w:sz w:val="24"/>
          <w:szCs w:val="20"/>
          <w:highlight w:val="none"/>
          <w:lang w:val="en-US" w:eastAsia="zh-CN" w:bidi="ar-SA"/>
        </w:rPr>
      </w:pPr>
      <w:r>
        <w:rPr>
          <w:rFonts w:hint="eastAsia" w:cs="仿宋" w:asciiTheme="majorEastAsia" w:hAnsiTheme="majorEastAsia" w:eastAsiaTheme="majorEastAsia"/>
          <w:b w:val="0"/>
          <w:bCs/>
          <w:snapToGrid w:val="0"/>
          <w:color w:val="auto"/>
          <w:kern w:val="28"/>
          <w:sz w:val="24"/>
          <w:szCs w:val="20"/>
          <w:highlight w:val="none"/>
          <w:lang w:val="en-US" w:eastAsia="zh-CN" w:bidi="ar-SA"/>
        </w:rPr>
        <w:t xml:space="preserve">质疑联系方式：88522856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2.采购代理机构信息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名    称：</w:t>
      </w:r>
      <w:r>
        <w:rPr>
          <w:rFonts w:hint="eastAsia" w:ascii="宋体" w:hAnsi="宋体" w:eastAsia="宋体" w:cs="宋体"/>
          <w:color w:val="auto"/>
          <w:sz w:val="24"/>
          <w:szCs w:val="24"/>
          <w:highlight w:val="none"/>
        </w:rPr>
        <w:t>浙江明业项目管理有限公司</w:t>
      </w:r>
      <w:r>
        <w:rPr>
          <w:rFonts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地    址：</w:t>
      </w:r>
      <w:r>
        <w:rPr>
          <w:rFonts w:hint="eastAsia" w:ascii="宋体" w:hAnsi="宋体" w:eastAsia="宋体" w:cs="宋体"/>
          <w:color w:val="auto"/>
          <w:sz w:val="24"/>
          <w:szCs w:val="24"/>
          <w:highlight w:val="none"/>
        </w:rPr>
        <w:t>宁波市奉化区岳林街道斗门路136号艾盛环球中心（润合大厦）七楼</w:t>
      </w:r>
      <w:r>
        <w:rPr>
          <w:rFonts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w:t>
      </w:r>
      <w:r>
        <w:rPr>
          <w:rFonts w:hint="eastAsia" w:ascii="宋体" w:hAnsi="宋体" w:eastAsia="宋体" w:cs="宋体"/>
          <w:color w:val="auto"/>
          <w:sz w:val="24"/>
          <w:szCs w:val="24"/>
          <w:highlight w:val="none"/>
        </w:rPr>
        <w:t>0574-88513998</w:t>
      </w:r>
      <w:r>
        <w:rPr>
          <w:rFonts w:hint="eastAsia"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项目联系人（询问）：陈女士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项目联系方式（询问）：13486647966</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质疑联系人：邹先生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质疑联系方式：13906614724 </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3.同级监督管理部门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名    称：</w:t>
      </w:r>
      <w:r>
        <w:rPr>
          <w:rFonts w:hint="eastAsia" w:ascii="宋体" w:hAnsi="宋体" w:cs="宋体"/>
          <w:bCs/>
          <w:color w:val="auto"/>
          <w:sz w:val="24"/>
          <w:highlight w:val="none"/>
        </w:rPr>
        <w:t>宁波市奉化区国有资产管理中心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地    址：</w:t>
      </w:r>
      <w:r>
        <w:rPr>
          <w:rFonts w:hint="eastAsia" w:ascii="宋体" w:hAnsi="宋体" w:cs="宋体"/>
          <w:bCs/>
          <w:color w:val="auto"/>
          <w:sz w:val="24"/>
          <w:highlight w:val="none"/>
        </w:rPr>
        <w:t>宁波市奉化区大成东路275号</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传    真：  </w:t>
      </w:r>
      <w:r>
        <w:rPr>
          <w:rFonts w:hint="eastAsia" w:ascii="宋体" w:hAnsi="宋体" w:cs="宋体"/>
          <w:bCs/>
          <w:color w:val="auto"/>
          <w:sz w:val="24"/>
          <w:highlight w:val="none"/>
        </w:rPr>
        <w:t>0574-89285446</w:t>
      </w:r>
      <w:r>
        <w:rPr>
          <w:rFonts w:hint="eastAsia"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联 系 人 ：</w:t>
      </w:r>
      <w:r>
        <w:rPr>
          <w:rFonts w:hint="eastAsia" w:ascii="宋体" w:hAnsi="宋体" w:cs="宋体"/>
          <w:bCs/>
          <w:color w:val="auto"/>
          <w:sz w:val="24"/>
          <w:highlight w:val="none"/>
        </w:rPr>
        <w:t>竺女士</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监督投诉电话： </w:t>
      </w:r>
      <w:r>
        <w:rPr>
          <w:rFonts w:hint="eastAsia" w:ascii="宋体" w:hAnsi="宋体" w:cs="宋体"/>
          <w:bCs/>
          <w:color w:val="auto"/>
          <w:sz w:val="24"/>
          <w:highlight w:val="none"/>
        </w:rPr>
        <w:t>0574-89285446</w:t>
      </w:r>
      <w:r>
        <w:rPr>
          <w:rFonts w:hint="eastAsia"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asciiTheme="majorEastAsia" w:hAnsiTheme="majorEastAsia" w:eastAsiaTheme="majorEastAsia"/>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CA问题联系电话（人工）：汇信CA 400-888-4636；天谷CA 400-087-8198。</w:t>
      </w:r>
    </w:p>
    <w:p>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br w:type="page"/>
      </w:r>
      <w:r>
        <w:rPr>
          <w:rFonts w:hint="eastAsia" w:cs="仿宋" w:asciiTheme="majorEastAsia" w:hAnsiTheme="majorEastAsia" w:eastAsiaTheme="majorEastAsia"/>
          <w:b/>
          <w:color w:val="auto"/>
          <w:sz w:val="36"/>
          <w:szCs w:val="20"/>
          <w:highlight w:val="none"/>
        </w:rPr>
        <w:t>第二部分</w:t>
      </w:r>
      <w:bookmarkEnd w:id="8"/>
      <w:r>
        <w:rPr>
          <w:rFonts w:hint="eastAsia" w:cs="仿宋" w:asciiTheme="majorEastAsia" w:hAnsiTheme="majorEastAsia" w:eastAsiaTheme="majorEastAsia"/>
          <w:b/>
          <w:color w:val="auto"/>
          <w:sz w:val="36"/>
          <w:szCs w:val="20"/>
          <w:highlight w:val="none"/>
        </w:rPr>
        <w:t xml:space="preserve"> 投标须知</w:t>
      </w:r>
      <w:bookmarkEnd w:id="9"/>
    </w:p>
    <w:p>
      <w:pP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前附表</w:t>
      </w:r>
    </w:p>
    <w:tbl>
      <w:tblPr>
        <w:tblStyle w:val="18"/>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13"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p>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p>
          <w:p>
            <w:pPr>
              <w:keepNext w:val="0"/>
              <w:keepLines w:val="0"/>
              <w:pageBreakBefore w:val="0"/>
              <w:kinsoku/>
              <w:wordWrap/>
              <w:overflowPunct/>
              <w:topLinePunct w:val="0"/>
              <w:autoSpaceDE/>
              <w:autoSpaceDN/>
              <w:bidi w:val="0"/>
              <w:adjustRightInd/>
              <w:snapToGrid w:val="0"/>
              <w:spacing w:line="380" w:lineRule="exact"/>
              <w:jc w:val="both"/>
              <w:textAlignment w:val="auto"/>
              <w:rPr>
                <w:rFonts w:cs="仿宋" w:asciiTheme="majorEastAsia" w:hAnsiTheme="majorEastAsia" w:eastAsiaTheme="majorEastAsia"/>
                <w:color w:val="auto"/>
                <w:sz w:val="24"/>
                <w:highlight w:val="none"/>
              </w:rPr>
            </w:pPr>
          </w:p>
          <w:p>
            <w:pPr>
              <w:pStyle w:val="2"/>
              <w:rPr>
                <w:color w:val="auto"/>
                <w:highlight w:val="none"/>
              </w:rPr>
            </w:pPr>
          </w:p>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p>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left"/>
              <w:textAlignment w:val="auto"/>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有关本项目实施所需的所有费用（含税费）均计入报价。</w:t>
            </w:r>
            <w:r>
              <w:rPr>
                <w:rFonts w:hint="eastAsia" w:cs="仿宋" w:asciiTheme="majorEastAsia" w:hAnsiTheme="majorEastAsia" w:eastAsiaTheme="majorEastAsia"/>
                <w:color w:val="auto"/>
                <w:sz w:val="24"/>
                <w:highlight w:val="none"/>
              </w:rPr>
              <w:t>开标一览表是报价的唯一载体</w:t>
            </w:r>
            <w:r>
              <w:rPr>
                <w:rFonts w:hint="eastAsia" w:cs="仿宋" w:asciiTheme="majorEastAsia" w:hAnsiTheme="majorEastAsia" w:eastAsiaTheme="majorEastAsia"/>
                <w:color w:val="auto"/>
                <w:kern w:val="0"/>
                <w:sz w:val="24"/>
                <w:highlight w:val="none"/>
                <w:lang w:val="zh-CN"/>
              </w:rPr>
              <w:t>。投标文件中价格全部采用人民币报价。招标文件未列明，而供应商认为必需的费用也需列入报价。</w:t>
            </w:r>
          </w:p>
          <w:p>
            <w:pPr>
              <w:keepNext w:val="0"/>
              <w:keepLines w:val="0"/>
              <w:pageBreakBefore w:val="0"/>
              <w:kinsoku/>
              <w:wordWrap/>
              <w:overflowPunct/>
              <w:topLinePunct w:val="0"/>
              <w:autoSpaceDE/>
              <w:autoSpaceDN/>
              <w:bidi w:val="0"/>
              <w:adjustRightInd/>
              <w:snapToGrid w:val="0"/>
              <w:spacing w:line="380" w:lineRule="exact"/>
              <w:jc w:val="left"/>
              <w:textAlignment w:val="auto"/>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投标报价出现下列情形的，投标无效：</w:t>
            </w:r>
          </w:p>
          <w:p>
            <w:pPr>
              <w:keepNext w:val="0"/>
              <w:keepLines w:val="0"/>
              <w:pageBreakBefore w:val="0"/>
              <w:kinsoku/>
              <w:wordWrap/>
              <w:overflowPunct/>
              <w:topLinePunct w:val="0"/>
              <w:autoSpaceDE/>
              <w:autoSpaceDN/>
              <w:bidi w:val="0"/>
              <w:adjustRightInd/>
              <w:snapToGrid w:val="0"/>
              <w:spacing w:line="380" w:lineRule="exact"/>
              <w:ind w:firstLine="241" w:firstLineChars="100"/>
              <w:jc w:val="left"/>
              <w:textAlignment w:val="auto"/>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投标文件出现不是唯一的、有选择性投标报价的；</w:t>
            </w:r>
          </w:p>
          <w:p>
            <w:pPr>
              <w:keepNext w:val="0"/>
              <w:keepLines w:val="0"/>
              <w:pageBreakBefore w:val="0"/>
              <w:kinsoku/>
              <w:wordWrap/>
              <w:overflowPunct/>
              <w:topLinePunct w:val="0"/>
              <w:autoSpaceDE/>
              <w:autoSpaceDN/>
              <w:bidi w:val="0"/>
              <w:adjustRightInd/>
              <w:snapToGrid w:val="0"/>
              <w:spacing w:line="380" w:lineRule="exact"/>
              <w:ind w:firstLine="241" w:firstLineChars="100"/>
              <w:jc w:val="left"/>
              <w:textAlignment w:val="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投标报价超过招标文件中规定的预算金额或者最高限价的;</w:t>
            </w:r>
          </w:p>
          <w:p>
            <w:pPr>
              <w:keepNext w:val="0"/>
              <w:keepLines w:val="0"/>
              <w:pageBreakBefore w:val="0"/>
              <w:kinsoku/>
              <w:wordWrap/>
              <w:overflowPunct/>
              <w:topLinePunct w:val="0"/>
              <w:autoSpaceDE/>
              <w:autoSpaceDN/>
              <w:bidi w:val="0"/>
              <w:adjustRightInd/>
              <w:spacing w:line="380" w:lineRule="exact"/>
              <w:ind w:firstLine="241" w:firstLineChars="1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color w:val="auto"/>
                <w:sz w:val="24"/>
                <w:szCs w:val="21"/>
                <w:highlight w:val="none"/>
              </w:rPr>
              <w:t>;</w:t>
            </w:r>
          </w:p>
          <w:p>
            <w:pPr>
              <w:keepNext w:val="0"/>
              <w:keepLines w:val="0"/>
              <w:pageBreakBefore w:val="0"/>
              <w:kinsoku/>
              <w:wordWrap/>
              <w:overflowPunct/>
              <w:topLinePunct w:val="0"/>
              <w:autoSpaceDE/>
              <w:autoSpaceDN/>
              <w:bidi w:val="0"/>
              <w:adjustRightInd/>
              <w:spacing w:line="380" w:lineRule="exact"/>
              <w:ind w:firstLine="241" w:firstLineChars="1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kern w:val="0"/>
                <w:sz w:val="24"/>
                <w:highlight w:val="none"/>
              </w:rPr>
              <w:t>供应商对根据修正原则修正后的报价不确认的</w:t>
            </w:r>
            <w:r>
              <w:rPr>
                <w:rFonts w:hint="eastAsia" w:cs="仿宋" w:asciiTheme="majorEastAsia" w:hAnsiTheme="majorEastAsia" w:eastAsiaTheme="majorEastAsia"/>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pStyle w:val="13"/>
              <w:keepNext w:val="0"/>
              <w:keepLines w:val="0"/>
              <w:pageBreakBefore w:val="0"/>
              <w:kinsoku/>
              <w:wordWrap/>
              <w:overflowPunct/>
              <w:topLinePunct w:val="0"/>
              <w:autoSpaceDE/>
              <w:autoSpaceDN/>
              <w:bidi w:val="0"/>
              <w:adjustRightInd/>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8"/>
                <w:sz w:val="24"/>
                <w:szCs w:val="24"/>
                <w:highlight w:val="none"/>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pPr>
              <w:pStyle w:val="6"/>
              <w:keepNext w:val="0"/>
              <w:keepLines w:val="0"/>
              <w:pageBreakBefore w:val="0"/>
              <w:kinsoku/>
              <w:wordWrap/>
              <w:overflowPunct/>
              <w:topLinePunct w:val="0"/>
              <w:autoSpaceDE/>
              <w:autoSpaceDN/>
              <w:bidi w:val="0"/>
              <w:adjustRightInd/>
              <w:spacing w:line="380" w:lineRule="exact"/>
              <w:ind w:firstLine="0"/>
              <w:jc w:val="left"/>
              <w:textAlignment w:val="auto"/>
              <w:rPr>
                <w:rFonts w:hint="eastAsia" w:eastAsia="宋体" w:cs="仿宋" w:asciiTheme="majorEastAsia" w:hAnsiTheme="majorEastAsia"/>
                <w:b/>
                <w:color w:val="auto"/>
                <w:kern w:val="0"/>
                <w:sz w:val="24"/>
                <w:highlight w:val="none"/>
                <w:lang w:val="en-US" w:eastAsia="zh-CN"/>
              </w:rPr>
            </w:pPr>
            <w:r>
              <w:rPr>
                <w:rFonts w:hint="eastAsia" w:ascii="宋体" w:hAnsi="宋体" w:cs="宋体"/>
                <w:color w:val="auto"/>
                <w:sz w:val="24"/>
                <w:highlight w:val="none"/>
              </w:rPr>
              <w:t>投标保证金：</w:t>
            </w:r>
            <w:r>
              <w:rPr>
                <w:rFonts w:hint="eastAsia" w:hAnsi="宋体" w:cs="宋体"/>
                <w:color w:val="auto"/>
                <w:sz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ind w:firstLine="482" w:firstLineChars="200"/>
              <w:jc w:val="left"/>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jc w:val="lef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资格证明文件：见招标文件第二部分9.1。</w:t>
            </w:r>
          </w:p>
          <w:p>
            <w:pPr>
              <w:keepNext w:val="0"/>
              <w:keepLines w:val="0"/>
              <w:pageBreakBefore w:val="0"/>
              <w:kinsoku/>
              <w:wordWrap/>
              <w:overflowPunct/>
              <w:topLinePunct w:val="0"/>
              <w:autoSpaceDE/>
              <w:autoSpaceDN/>
              <w:bidi w:val="0"/>
              <w:adjustRightInd/>
              <w:spacing w:line="380" w:lineRule="exac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资格证明文件不全的或者不符合招标文件标明的资格要求的</w:t>
            </w:r>
            <w:r>
              <w:rPr>
                <w:rFonts w:hint="eastAsia" w:cs="仿宋" w:asciiTheme="majorEastAsia" w:hAnsiTheme="majorEastAsia" w:eastAsiaTheme="majorEastAsia"/>
                <w:color w:val="auto"/>
                <w:sz w:val="24"/>
                <w:highlight w:val="none"/>
                <w:lang w:val="zh-CN"/>
              </w:rPr>
              <w:t>，视为供应商不具备招标文件中规定的资格要求，投标无效。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7" w:hRule="atLeast"/>
          <w:tblHeader/>
        </w:trPr>
        <w:tc>
          <w:tcPr>
            <w:tcW w:w="62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ascii="仿宋" w:hAnsi="仿宋" w:eastAsia="仿宋" w:cs="仿宋"/>
                <w:color w:val="auto"/>
                <w:sz w:val="24"/>
                <w:szCs w:val="20"/>
                <w:highlight w:val="none"/>
              </w:rPr>
            </w:pP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
                <w:color w:val="auto"/>
                <w:sz w:val="24"/>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ascii="仿宋" w:hAnsi="仿宋" w:eastAsia="仿宋" w:cs="仿宋"/>
                <w:b/>
                <w:color w:val="auto"/>
                <w:kern w:val="0"/>
                <w:sz w:val="24"/>
                <w:highlight w:val="none"/>
                <w:lang w:val="zh-CN"/>
              </w:rPr>
            </w:pP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9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cs="仿宋" w:asciiTheme="majorEastAsia" w:hAnsiTheme="majorEastAsia" w:eastAsiaTheme="majorEastAsia"/>
                <w:color w:val="auto"/>
                <w:sz w:val="24"/>
                <w:highlight w:val="none"/>
              </w:rPr>
            </w:pP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货物类，单一产品或</w:t>
            </w:r>
            <w:r>
              <w:rPr>
                <w:rFonts w:hint="eastAsia" w:cs="仿宋" w:asciiTheme="majorEastAsia" w:hAnsiTheme="majorEastAsia" w:eastAsiaTheme="majorEastAsia"/>
                <w:color w:val="auto"/>
                <w:kern w:val="0"/>
                <w:sz w:val="24"/>
                <w:highlight w:val="none"/>
              </w:rPr>
              <w:t>核心产品为：</w:t>
            </w:r>
            <w:r>
              <w:rPr>
                <w:rFonts w:hint="eastAsia" w:ascii="宋体" w:hAnsi="宋体" w:cs="宋体"/>
                <w:snapToGrid w:val="0"/>
                <w:color w:val="auto"/>
                <w:kern w:val="28"/>
                <w:sz w:val="24"/>
                <w:szCs w:val="24"/>
                <w:highlight w:val="none"/>
                <w:lang w:val="en-US" w:eastAsia="zh-CN"/>
              </w:rPr>
              <w:t>/</w:t>
            </w:r>
            <w:r>
              <w:rPr>
                <w:rFonts w:hint="eastAsia" w:cs="仿宋" w:asciiTheme="majorEastAsia" w:hAnsiTheme="majorEastAsia" w:eastAsiaTheme="majorEastAsia"/>
                <w:color w:val="auto"/>
                <w:sz w:val="24"/>
                <w:highlight w:val="none"/>
              </w:rPr>
              <w:t>。</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多家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提供相同品牌产品（单一产品采购项目中的该产品或者非单一产品采购项目的核心产品）且通过资格审查、符合性审查的不同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参加同一合同项下投标的，按一家</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计算，评审后得分最高的同品牌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获得中标人推荐资格；评审得分相同的，报价评审得分最高的同品牌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获得中标人推荐资格；评审得分和报价评审得分均相同的，由采购人或评标委员会采取随机抽取方式确定，其他同品牌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不作为中标候选人。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textAlignment w:val="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标的：</w:t>
            </w:r>
            <w:r>
              <w:rPr>
                <w:rFonts w:hint="eastAsia" w:cs="仿宋" w:asciiTheme="majorEastAsia" w:hAnsiTheme="majorEastAsia" w:eastAsiaTheme="majorEastAsia"/>
                <w:b w:val="0"/>
                <w:bCs/>
                <w:snapToGrid w:val="0"/>
                <w:color w:val="auto"/>
                <w:kern w:val="28"/>
                <w:sz w:val="24"/>
                <w:szCs w:val="20"/>
                <w:highlight w:val="none"/>
                <w:lang w:val="en-US" w:eastAsia="zh-CN" w:bidi="ar-SA"/>
              </w:rPr>
              <w:t>物业服务项目</w:t>
            </w:r>
            <w:r>
              <w:rPr>
                <w:rFonts w:hint="eastAsia" w:cs="仿宋" w:asciiTheme="majorEastAsia" w:hAnsiTheme="majorEastAsia" w:eastAsiaTheme="majorEastAsia"/>
                <w:color w:val="auto"/>
                <w:kern w:val="0"/>
                <w:sz w:val="24"/>
                <w:highlight w:val="none"/>
              </w:rPr>
              <w:t>，属于</w:t>
            </w:r>
            <w:r>
              <w:rPr>
                <w:rFonts w:hint="eastAsia" w:ascii="宋体" w:hAnsi="宋体" w:eastAsia="宋体" w:cs="宋体"/>
                <w:color w:val="auto"/>
                <w:sz w:val="24"/>
                <w:szCs w:val="24"/>
                <w:highlight w:val="none"/>
                <w:lang w:val="en-US" w:eastAsia="zh-CN"/>
              </w:rPr>
              <w:t>物业管理</w:t>
            </w:r>
            <w:r>
              <w:rPr>
                <w:rFonts w:hint="eastAsia" w:cs="仿宋" w:asciiTheme="majorEastAsia" w:hAnsiTheme="majorEastAsia" w:eastAsiaTheme="majorEastAsia"/>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7" w:hRule="atLeast"/>
          <w:tblHeader/>
        </w:trPr>
        <w:tc>
          <w:tcPr>
            <w:tcW w:w="629" w:type="dxa"/>
            <w:tcBorders>
              <w:top w:val="single" w:color="auto" w:sz="4" w:space="0"/>
              <w:left w:val="single" w:color="000000" w:sz="8" w:space="0"/>
              <w:right w:val="single" w:color="000000" w:sz="2"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keepNext w:val="0"/>
              <w:keepLines w:val="0"/>
              <w:pageBreakBefore w:val="0"/>
              <w:kinsoku/>
              <w:wordWrap/>
              <w:overflowPunct/>
              <w:topLinePunct w:val="0"/>
              <w:autoSpaceDE/>
              <w:autoSpaceDN/>
              <w:bidi w:val="0"/>
              <w:adjustRightInd/>
              <w:snapToGrid w:val="0"/>
              <w:spacing w:line="380" w:lineRule="exact"/>
              <w:jc w:val="center"/>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pacing w:line="380" w:lineRule="exact"/>
              <w:textAlignment w:val="auto"/>
              <w:rPr>
                <w:rFonts w:cs="仿宋" w:asciiTheme="majorEastAsia" w:hAnsiTheme="majorEastAsia" w:eastAsiaTheme="majorEastAsia"/>
                <w:snapToGrid w:val="0"/>
                <w:color w:val="auto"/>
                <w:kern w:val="28"/>
                <w:sz w:val="24"/>
                <w:highlight w:val="none"/>
              </w:rPr>
            </w:pPr>
            <w:r>
              <w:rPr>
                <w:rFonts w:hint="eastAsia" w:ascii="宋体" w:hAnsi="宋体" w:cs="宋体"/>
                <w:color w:val="auto"/>
                <w:sz w:val="24"/>
                <w:highlight w:val="none"/>
              </w:rPr>
              <w:t>本招标公司根据国家发改委发改办价格</w:t>
            </w:r>
            <w:r>
              <w:rPr>
                <w:rFonts w:ascii="宋体" w:hAnsi="宋体" w:cs="宋体"/>
                <w:color w:val="auto"/>
                <w:sz w:val="24"/>
                <w:highlight w:val="none"/>
              </w:rPr>
              <w:t>[2003]857</w:t>
            </w:r>
            <w:r>
              <w:rPr>
                <w:rFonts w:hint="eastAsia" w:ascii="宋体" w:hAnsi="宋体" w:cs="宋体"/>
                <w:color w:val="auto"/>
                <w:sz w:val="24"/>
                <w:highlight w:val="none"/>
              </w:rPr>
              <w:t>号通知和原国家计委计价格</w:t>
            </w:r>
            <w:r>
              <w:rPr>
                <w:rFonts w:ascii="宋体" w:hAnsi="宋体" w:cs="宋体"/>
                <w:color w:val="auto"/>
                <w:sz w:val="24"/>
                <w:highlight w:val="none"/>
              </w:rPr>
              <w:t>[2002]1980</w:t>
            </w:r>
            <w:r>
              <w:rPr>
                <w:rFonts w:hint="eastAsia" w:ascii="宋体" w:hAnsi="宋体" w:cs="宋体"/>
                <w:color w:val="auto"/>
                <w:sz w:val="24"/>
                <w:highlight w:val="none"/>
              </w:rPr>
              <w:t>号文件规定的</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招标费率标准收取中标服务费，按照中标通知书确定的中标总金额</w:t>
            </w:r>
            <w:r>
              <w:rPr>
                <w:rFonts w:hint="eastAsia" w:ascii="宋体" w:hAnsi="宋体" w:cs="宋体"/>
                <w:color w:val="auto"/>
                <w:sz w:val="24"/>
                <w:highlight w:val="none"/>
                <w:lang w:val="en-US" w:eastAsia="zh-CN"/>
              </w:rPr>
              <w:t>*三年计取</w:t>
            </w:r>
            <w:r>
              <w:rPr>
                <w:rFonts w:hint="eastAsia" w:ascii="宋体" w:hAnsi="宋体" w:cs="宋体"/>
                <w:color w:val="auto"/>
                <w:sz w:val="24"/>
                <w:highlight w:val="none"/>
              </w:rPr>
              <w:t>，向中标人收取招标服务费。中标人应在本公司发出中标通知书</w:t>
            </w:r>
            <w:r>
              <w:rPr>
                <w:rFonts w:ascii="宋体" w:hAnsi="宋体" w:cs="宋体"/>
                <w:color w:val="auto"/>
                <w:sz w:val="24"/>
                <w:highlight w:val="none"/>
              </w:rPr>
              <w:t>5</w:t>
            </w:r>
            <w:r>
              <w:rPr>
                <w:rFonts w:hint="eastAsia" w:ascii="宋体" w:hAnsi="宋体" w:cs="宋体"/>
                <w:color w:val="auto"/>
                <w:sz w:val="24"/>
                <w:highlight w:val="none"/>
              </w:rPr>
              <w:t>个工作日内向本招标公司支付招标服务费。招标服务费只收现金、银行票汇款、电汇款。</w:t>
            </w:r>
          </w:p>
        </w:tc>
      </w:tr>
    </w:tbl>
    <w:p>
      <w:pPr>
        <w:snapToGrid w:val="0"/>
        <w:spacing w:line="360" w:lineRule="auto"/>
        <w:jc w:val="center"/>
        <w:rPr>
          <w:rFonts w:cs="仿宋" w:asciiTheme="majorEastAsia" w:hAnsiTheme="majorEastAsia" w:eastAsiaTheme="majorEastAsia"/>
          <w:b/>
          <w:color w:val="auto"/>
          <w:sz w:val="32"/>
          <w:szCs w:val="20"/>
          <w:highlight w:val="none"/>
        </w:rPr>
      </w:pPr>
    </w:p>
    <w:bookmarkEnd w:id="10"/>
    <w:p>
      <w:pPr>
        <w:spacing w:line="360" w:lineRule="auto"/>
        <w:ind w:firstLine="3845" w:firstLineChars="1197"/>
        <w:outlineLvl w:val="0"/>
        <w:rPr>
          <w:rFonts w:hint="eastAsia" w:cs="仿宋" w:asciiTheme="majorEastAsia" w:hAnsiTheme="majorEastAsia" w:eastAsiaTheme="majorEastAsia"/>
          <w:b/>
          <w:color w:val="auto"/>
          <w:sz w:val="32"/>
          <w:szCs w:val="20"/>
          <w:highlight w:val="none"/>
        </w:rPr>
      </w:pPr>
      <w:bookmarkStart w:id="11" w:name="_Toc164416483"/>
      <w:bookmarkStart w:id="12" w:name="第三部分"/>
    </w:p>
    <w:p>
      <w:pPr>
        <w:spacing w:line="360" w:lineRule="auto"/>
        <w:ind w:firstLine="3845" w:firstLineChars="1197"/>
        <w:outlineLvl w:val="0"/>
        <w:rPr>
          <w:rFonts w:hint="eastAsia" w:cs="仿宋" w:asciiTheme="majorEastAsia" w:hAnsiTheme="majorEastAsia" w:eastAsiaTheme="majorEastAsia"/>
          <w:b/>
          <w:color w:val="auto"/>
          <w:sz w:val="32"/>
          <w:szCs w:val="20"/>
          <w:highlight w:val="none"/>
        </w:rPr>
      </w:pPr>
    </w:p>
    <w:p>
      <w:pPr>
        <w:spacing w:line="360" w:lineRule="auto"/>
        <w:ind w:firstLine="3845" w:firstLineChars="1197"/>
        <w:outlineLvl w:val="0"/>
        <w:rPr>
          <w:rFonts w:hint="eastAsia" w:cs="仿宋" w:asciiTheme="majorEastAsia" w:hAnsiTheme="majorEastAsia" w:eastAsiaTheme="majorEastAsia"/>
          <w:b/>
          <w:color w:val="auto"/>
          <w:sz w:val="32"/>
          <w:szCs w:val="20"/>
          <w:highlight w:val="none"/>
        </w:rPr>
      </w:pPr>
    </w:p>
    <w:p>
      <w:pPr>
        <w:spacing w:line="360" w:lineRule="auto"/>
        <w:ind w:firstLine="3845" w:firstLineChars="1197"/>
        <w:outlineLvl w:val="0"/>
        <w:rPr>
          <w:rFonts w:hint="eastAsia" w:cs="仿宋" w:asciiTheme="majorEastAsia" w:hAnsiTheme="majorEastAsia" w:eastAsiaTheme="majorEastAsia"/>
          <w:b/>
          <w:color w:val="auto"/>
          <w:sz w:val="32"/>
          <w:szCs w:val="20"/>
          <w:highlight w:val="none"/>
        </w:rPr>
      </w:pPr>
    </w:p>
    <w:p>
      <w:pPr>
        <w:pStyle w:val="2"/>
        <w:rPr>
          <w:rFonts w:hint="eastAsia" w:cs="仿宋" w:asciiTheme="majorEastAsia" w:hAnsiTheme="majorEastAsia" w:eastAsiaTheme="majorEastAsia"/>
          <w:b/>
          <w:color w:val="auto"/>
          <w:sz w:val="32"/>
          <w:szCs w:val="20"/>
          <w:highlight w:val="none"/>
        </w:rPr>
      </w:pPr>
    </w:p>
    <w:p>
      <w:pPr>
        <w:pStyle w:val="2"/>
        <w:ind w:left="0" w:leftChars="0" w:firstLine="0" w:firstLineChars="0"/>
        <w:rPr>
          <w:rFonts w:hint="eastAsia" w:cs="仿宋" w:asciiTheme="majorEastAsia" w:hAnsiTheme="majorEastAsia" w:eastAsiaTheme="majorEastAsia"/>
          <w:b/>
          <w:color w:val="auto"/>
          <w:sz w:val="32"/>
          <w:szCs w:val="20"/>
          <w:highlight w:val="none"/>
        </w:rPr>
      </w:pPr>
    </w:p>
    <w:p>
      <w:pPr>
        <w:pStyle w:val="2"/>
        <w:rPr>
          <w:rFonts w:hint="eastAsia" w:cs="仿宋" w:asciiTheme="majorEastAsia" w:hAnsiTheme="majorEastAsia" w:eastAsiaTheme="majorEastAsia"/>
          <w:b/>
          <w:color w:val="auto"/>
          <w:sz w:val="32"/>
          <w:szCs w:val="20"/>
          <w:highlight w:val="none"/>
        </w:rPr>
      </w:pPr>
    </w:p>
    <w:p>
      <w:pPr>
        <w:pStyle w:val="2"/>
        <w:rPr>
          <w:rFonts w:hint="eastAsia" w:cs="仿宋" w:asciiTheme="majorEastAsia" w:hAnsiTheme="majorEastAsia" w:eastAsiaTheme="majorEastAsia"/>
          <w:b/>
          <w:color w:val="auto"/>
          <w:sz w:val="32"/>
          <w:szCs w:val="20"/>
          <w:highlight w:val="none"/>
        </w:rPr>
      </w:pPr>
    </w:p>
    <w:p>
      <w:pPr>
        <w:pStyle w:val="2"/>
        <w:rPr>
          <w:rFonts w:hint="eastAsia" w:cs="仿宋" w:asciiTheme="majorEastAsia" w:hAnsiTheme="majorEastAsia" w:eastAsiaTheme="majorEastAsia"/>
          <w:b/>
          <w:color w:val="auto"/>
          <w:sz w:val="32"/>
          <w:szCs w:val="20"/>
          <w:highlight w:val="none"/>
        </w:rPr>
      </w:pPr>
    </w:p>
    <w:p>
      <w:pPr>
        <w:pStyle w:val="2"/>
        <w:rPr>
          <w:rFonts w:hint="eastAsia" w:cs="仿宋" w:asciiTheme="majorEastAsia" w:hAnsiTheme="majorEastAsia" w:eastAsiaTheme="majorEastAsia"/>
          <w:b/>
          <w:color w:val="auto"/>
          <w:sz w:val="32"/>
          <w:szCs w:val="20"/>
          <w:highlight w:val="none"/>
        </w:rPr>
      </w:pPr>
    </w:p>
    <w:p>
      <w:pP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一、总则</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适用范围</w:t>
      </w:r>
    </w:p>
    <w:p>
      <w:pPr>
        <w:snapToGrid w:val="0"/>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本招标文件适用于该项目的招标、投标、开标、资格审查及信用信息查询、评标、定标、合同、验收等行为（法律、法规另有规定的，从其规定）。</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定义</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 “采购人”系指招标公告中载明的本项目的采购人。</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 “采购代理机构”系指招标公告中载明的本项目的采购代理机构。</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”系指是指响应招标、参加投标竞争的法人、其他组织或者自然人。</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2.6“电子交易平台”是指本项目采购活动所依托的采购云平台（https://www.zcygov.cn/）。</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2.7 “▲” 系指实质性要求条款，“</w:t>
      </w:r>
      <w:r>
        <w:rPr>
          <w:rFonts w:cs="仿宋" w:asciiTheme="majorEastAsia" w:hAnsiTheme="majorEastAsia" w:eastAsiaTheme="majorEastAsia"/>
          <w:color w:val="auto"/>
          <w:kern w:val="0"/>
          <w:sz w:val="24"/>
          <w:highlight w:val="none"/>
        </w:rPr>
        <w:t></w:t>
      </w:r>
      <w:r>
        <w:rPr>
          <w:rFonts w:hint="eastAsia" w:cs="仿宋" w:asciiTheme="majorEastAsia" w:hAnsiTheme="majorEastAsia" w:eastAsiaTheme="majorEastAsia"/>
          <w:color w:val="auto"/>
          <w:sz w:val="24"/>
          <w:highlight w:val="none"/>
        </w:rPr>
        <w:t>” 系指适用本项目的要求，“</w:t>
      </w:r>
      <w:r>
        <w:rPr>
          <w:rFonts w:hint="eastAsia" w:ascii="MS Gothic" w:hAnsi="MS Gothic" w:eastAsia="MS Gothic" w:cs="MS Gothic"/>
          <w:color w:val="auto"/>
          <w:kern w:val="0"/>
          <w:sz w:val="24"/>
          <w:highlight w:val="none"/>
        </w:rPr>
        <w:t>☐</w:t>
      </w:r>
      <w:r>
        <w:rPr>
          <w:rFonts w:hint="eastAsia" w:cs="仿宋" w:asciiTheme="majorEastAsia" w:hAnsiTheme="majorEastAsia" w:eastAsiaTheme="majorEastAsia"/>
          <w:color w:val="auto"/>
          <w:sz w:val="24"/>
          <w:highlight w:val="none"/>
        </w:rPr>
        <w:t>” 系指不适用本项目的要求。</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采购项目需要落实的政府采购政策</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3.1 本项目原则上采购本国生产的货物、工程和服务，不允许采购进口产品。除非采购人采购进口产品，已经在采购活动开始前向</w:t>
      </w:r>
      <w:r>
        <w:rPr>
          <w:rFonts w:hint="eastAsia" w:cs="仿宋" w:asciiTheme="majorEastAsia" w:hAnsiTheme="majorEastAsia" w:eastAsiaTheme="majorEastAsia"/>
          <w:color w:val="auto"/>
          <w:sz w:val="24"/>
          <w:highlight w:val="none"/>
          <w:lang w:eastAsia="zh-CN"/>
        </w:rPr>
        <w:t>监管部门</w:t>
      </w:r>
      <w:r>
        <w:rPr>
          <w:rFonts w:hint="eastAsia" w:cs="仿宋" w:asciiTheme="majorEastAsia" w:hAnsiTheme="majorEastAsia" w:eastAsiaTheme="majorEastAsia"/>
          <w:color w:val="auto"/>
          <w:sz w:val="24"/>
          <w:highlight w:val="none"/>
        </w:rPr>
        <w:t>提出申请并获得</w:t>
      </w:r>
      <w:r>
        <w:rPr>
          <w:rFonts w:hint="eastAsia" w:cs="仿宋" w:asciiTheme="majorEastAsia" w:hAnsiTheme="majorEastAsia" w:eastAsiaTheme="majorEastAsia"/>
          <w:color w:val="auto"/>
          <w:sz w:val="24"/>
          <w:highlight w:val="none"/>
          <w:lang w:eastAsia="zh-CN"/>
        </w:rPr>
        <w:t>监管部门</w:t>
      </w:r>
      <w:r>
        <w:rPr>
          <w:rFonts w:hint="eastAsia" w:cs="仿宋" w:asciiTheme="majorEastAsia" w:hAnsiTheme="majorEastAsia" w:eastAsiaTheme="majorEastAsia"/>
          <w:color w:val="auto"/>
          <w:sz w:val="24"/>
          <w:highlight w:val="none"/>
        </w:rPr>
        <w:t>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3.2 支持节能产品</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3.3支持中小企业发展</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符合中小企业划分标准的个体工商户，在政府采购活动中视同中小企业。</w:t>
      </w:r>
    </w:p>
    <w:p>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Cs/>
          <w:color w:val="auto"/>
          <w:sz w:val="24"/>
          <w:highlight w:val="none"/>
        </w:rPr>
        <w:t>3.3.2</w:t>
      </w:r>
      <w:r>
        <w:rPr>
          <w:rFonts w:hint="eastAsia" w:cs="仿宋" w:asciiTheme="majorEastAsia" w:hAnsiTheme="majorEastAsia" w:eastAsiaTheme="majorEastAsia"/>
          <w:color w:val="auto"/>
          <w:kern w:val="0"/>
          <w:sz w:val="24"/>
          <w:highlight w:val="none"/>
        </w:rPr>
        <w:t>在政府采购活动中，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提供的货物、工程或者服务符合下列情形的，享受中小企业扶持政策：</w:t>
      </w:r>
    </w:p>
    <w:p>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在货物采购项目中，</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提供的货物既有中小企业制造货物，也有大型企业制造货物的，不享受中小企业扶持政策。</w:t>
      </w:r>
    </w:p>
    <w:p>
      <w:pPr>
        <w:widowControl/>
        <w:spacing w:line="360" w:lineRule="auto"/>
        <w:ind w:firstLine="480" w:firstLineChars="200"/>
        <w:jc w:val="left"/>
        <w:rPr>
          <w:rFonts w:hint="eastAsia"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cs="仿宋" w:asciiTheme="majorEastAsia" w:hAnsiTheme="majorEastAsia" w:eastAsiaTheme="majorEastAsia"/>
          <w:color w:val="auto"/>
          <w:sz w:val="24"/>
          <w:highlight w:val="none"/>
          <w:lang w:val="en-US" w:eastAsia="zh-CN"/>
        </w:rPr>
        <w:t>20</w:t>
      </w:r>
      <w:r>
        <w:rPr>
          <w:rFonts w:hint="eastAsia" w:cs="仿宋" w:asciiTheme="majorEastAsia" w:hAnsiTheme="majorEastAsia" w:eastAsiaTheme="majorEastAsia"/>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asciiTheme="majorEastAsia" w:hAnsiTheme="majorEastAsia" w:eastAsiaTheme="majorEastAsia"/>
          <w:color w:val="auto"/>
          <w:sz w:val="24"/>
          <w:highlight w:val="none"/>
          <w:lang w:val="en-US" w:eastAsia="zh-CN"/>
        </w:rPr>
        <w:t>6</w:t>
      </w:r>
      <w:r>
        <w:rPr>
          <w:rFonts w:hint="eastAsia" w:cs="仿宋" w:asciiTheme="majorEastAsia" w:hAnsiTheme="majorEastAsia" w:eastAsiaTheme="majorEastAsia"/>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3.3.6可享受中小企业扶持政策的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应按照招标文件格式要求提供《中小企业声明函》，</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3.4支持创新发展</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3.4.1 采购人优先采购被认定为首台套产品和“制造精品”的自主创新产品。</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3.4.3根据《关于促进自主创新进一步改进招标采购工作的意见》(甬资交管办〔2019〕 1号)规定，若投标产品列入地级市及以上政府部门重点自主创新产品目录的，相应的资格审查和业绩评分</w:t>
      </w:r>
      <w:r>
        <w:rPr>
          <w:rFonts w:hint="eastAsia" w:cs="仿宋" w:asciiTheme="majorEastAsia" w:hAnsiTheme="majorEastAsia" w:eastAsiaTheme="majorEastAsia"/>
          <w:color w:val="auto"/>
          <w:sz w:val="24"/>
          <w:highlight w:val="none"/>
          <w:lang w:val="en-US" w:eastAsia="zh-CN"/>
        </w:rPr>
        <w:t>视</w:t>
      </w:r>
      <w:r>
        <w:rPr>
          <w:rFonts w:hint="eastAsia" w:cs="仿宋" w:asciiTheme="majorEastAsia" w:hAnsiTheme="majorEastAsia" w:eastAsiaTheme="majorEastAsia"/>
          <w:color w:val="auto"/>
          <w:sz w:val="24"/>
          <w:highlight w:val="none"/>
        </w:rPr>
        <w:t>同完全满足（以投标文件中提供地级市及以上政府部门重点自主创新产品目录证明材料为准）。</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特别说明</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4.1关于分公司投标</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除银行、保险、石油石化、电力、电信等特殊行业外。法人的分支机构由于不能独立承担民事责任，不能以分支机构的身份参加政府采购，只能以法人身份参加。 </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4.2关于知识产权</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4.2.2 投标报价应包含所有应向所有权人支付的专利权、商标权或其它知识产权的一切相关费用。</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承担所有责任及费用。</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的风险</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4.3.1 </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承担,并对所提供的全部资料的真实性承担法律责任。</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4.3.2 无论因何种原因导致本次采购活动终止致</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损失的，相关责任人均不承担任何责任。</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询问、质疑、投诉</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.1供应商询问</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.2供应商质疑</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.1提出质疑的供应商应当是参与所质疑项目采购活动的供应商。潜在供应商已依法获取其可质疑的招标文件的，可以对该文件提出质疑。</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5.2.2.1对招标文件提出质疑的，质疑期限为供应商获得招标文件之日或者招标文件公告期限届满之日起计算。</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5.2.2.2对采购过程提出质疑的，质疑期限为各采购程序环节结束之日起计算。</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5.2.2.3对采购结果提出质疑的，质疑期限自采购结果公告期限届满之日起计算。</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5.2.2.4对同一采购程序环节的质疑，供应商须一次性提出。</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w:t>
      </w:r>
      <w:r>
        <w:rPr>
          <w:rFonts w:hint="eastAsia" w:cs="仿宋" w:asciiTheme="majorEastAsia" w:hAnsiTheme="majorEastAsia" w:eastAsiaTheme="majorEastAsia"/>
          <w:color w:val="auto"/>
          <w:sz w:val="24"/>
          <w:highlight w:val="none"/>
        </w:rPr>
        <w:t>供应商提出质疑应当提交质疑函和必要的证明材料。质疑函应当包括下列内容：</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.2.3.1供应商的姓名或者名称、地址、邮编、联系人及联系电话；</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.2.3.2质疑项目的名称、编号；</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.2.3.3具体、明确的质疑事项和与质疑事项相关的请求；</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.2.3.4事实依据；</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.2.3.5必要的法律依据；</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.2.3.6提出质疑的日期。</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5.2.3.7对招标文件提出质疑的需要提供在政采云平台获取招标文件的截图。</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质疑函范本请到浙江政府采购网下载专区下载。</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.5询问或者质疑事项可能影响采购结果的，采购人应当暂停签订合同，已经签订合同的，应当中止履行合同。</w:t>
      </w:r>
    </w:p>
    <w:p>
      <w:pPr>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5</w:t>
      </w:r>
      <w:r>
        <w:rPr>
          <w:rFonts w:hint="eastAsia" w:cs="仿宋" w:asciiTheme="majorEastAsia" w:hAnsiTheme="majorEastAsia" w:eastAsiaTheme="majorEastAsia"/>
          <w:color w:val="auto"/>
          <w:sz w:val="24"/>
          <w:highlight w:val="none"/>
          <w:lang w:val="zh-CN"/>
        </w:rPr>
        <w:t>.3供应商投诉</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5.3.1质疑供应商对采购人、采购代理机构的答复不满意或者采购人、采购代理机构未在规定的时间内作出答复的，可以在答复期满后十五个工作日内向同级政府采购监督管理部门提出投诉。</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w:t>
      </w:r>
      <w:r>
        <w:rPr>
          <w:rFonts w:hint="eastAsia" w:cs="仿宋" w:asciiTheme="majorEastAsia" w:hAnsiTheme="majorEastAsia" w:eastAsiaTheme="majorEastAsia"/>
          <w:color w:val="auto"/>
          <w:sz w:val="24"/>
          <w:highlight w:val="none"/>
          <w:lang w:val="zh-CN"/>
        </w:rPr>
        <w:t>2</w:t>
      </w:r>
      <w:r>
        <w:rPr>
          <w:rFonts w:hint="eastAsia" w:cs="仿宋" w:asciiTheme="majorEastAsia" w:hAnsiTheme="majorEastAsia" w:eastAsiaTheme="majorEastAsia"/>
          <w:color w:val="auto"/>
          <w:sz w:val="24"/>
          <w:highlight w:val="none"/>
        </w:rPr>
        <w:t>供应商投诉的事项不得超出已质疑事项的范围，基于质疑答复内容提出的投诉事项除外。</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5.3.3供应商投诉应当有明确的请求和必要的证明材料。</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5.3.5 以联合体形式参加政府采购活动的，其投诉应当由组成联合体的所有供应商共同提出。</w:t>
      </w:r>
    </w:p>
    <w:p>
      <w:pPr>
        <w:spacing w:line="360" w:lineRule="auto"/>
        <w:ind w:firstLine="480" w:firstLineChars="200"/>
        <w:rPr>
          <w:rFonts w:cs="仿宋" w:asciiTheme="majorEastAsia" w:hAnsiTheme="majorEastAsia" w:eastAsiaTheme="majorEastAsia"/>
          <w:color w:val="auto"/>
          <w:sz w:val="18"/>
          <w:szCs w:val="18"/>
          <w:highlight w:val="none"/>
        </w:rPr>
      </w:pPr>
      <w:r>
        <w:rPr>
          <w:rFonts w:hint="eastAsia" w:cs="仿宋" w:asciiTheme="majorEastAsia" w:hAnsiTheme="majorEastAsia" w:eastAsiaTheme="majorEastAsia"/>
          <w:color w:val="auto"/>
          <w:sz w:val="24"/>
          <w:highlight w:val="none"/>
        </w:rPr>
        <w:t>投诉书范本请到浙江政府采购网下载专区下载。</w:t>
      </w:r>
    </w:p>
    <w:p>
      <w:pPr>
        <w:spacing w:line="360" w:lineRule="auto"/>
        <w:jc w:val="center"/>
        <w:outlineLvl w:val="0"/>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 xml:space="preserve">      二、招标文件的构成、澄清、修改</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招标文件的构成</w:t>
      </w:r>
    </w:p>
    <w:p>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 招标文件包括下列文件及附件：</w:t>
      </w:r>
    </w:p>
    <w:p>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6.1.1 招标公告；</w:t>
      </w:r>
    </w:p>
    <w:p>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 xml:space="preserve">6.1.2 </w:t>
      </w:r>
      <w:r>
        <w:rPr>
          <w:rFonts w:hint="eastAsia" w:cs="仿宋" w:asciiTheme="majorEastAsia" w:hAnsiTheme="majorEastAsia" w:eastAsiaTheme="majorEastAsia"/>
          <w:color w:val="auto"/>
          <w:sz w:val="24"/>
          <w:szCs w:val="24"/>
          <w:highlight w:val="none"/>
          <w:lang w:val="zh-CN"/>
        </w:rPr>
        <w:t>投标</w:t>
      </w:r>
      <w:r>
        <w:rPr>
          <w:rFonts w:hint="eastAsia" w:cs="仿宋" w:asciiTheme="majorEastAsia" w:hAnsiTheme="majorEastAsia" w:eastAsiaTheme="majorEastAsia"/>
          <w:color w:val="auto"/>
          <w:sz w:val="24"/>
          <w:szCs w:val="24"/>
          <w:highlight w:val="none"/>
        </w:rPr>
        <w:t>须知；</w:t>
      </w:r>
    </w:p>
    <w:p>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6.1.3 采购需求；</w:t>
      </w:r>
    </w:p>
    <w:p>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6.1.4 评标办法；</w:t>
      </w:r>
    </w:p>
    <w:p>
      <w:pPr>
        <w:pStyle w:val="13"/>
        <w:spacing w:line="360" w:lineRule="auto"/>
        <w:ind w:firstLine="480" w:firstLineChars="200"/>
        <w:rPr>
          <w:rFonts w:cs="仿宋" w:asciiTheme="majorEastAsia" w:hAnsiTheme="majorEastAsia" w:eastAsiaTheme="majorEastAsia"/>
          <w:color w:val="auto"/>
          <w:sz w:val="24"/>
          <w:szCs w:val="24"/>
          <w:highlight w:val="none"/>
        </w:rPr>
      </w:pPr>
      <w:r>
        <w:rPr>
          <w:rFonts w:hint="eastAsia" w:cs="仿宋" w:asciiTheme="majorEastAsia" w:hAnsiTheme="majorEastAsia" w:eastAsiaTheme="majorEastAsia"/>
          <w:color w:val="auto"/>
          <w:sz w:val="24"/>
          <w:szCs w:val="24"/>
          <w:highlight w:val="none"/>
        </w:rPr>
        <w:t>6.1.5 拟签订的合同文本；</w:t>
      </w:r>
    </w:p>
    <w:p>
      <w:pPr>
        <w:pStyle w:val="13"/>
        <w:spacing w:line="360" w:lineRule="auto"/>
        <w:ind w:firstLine="480" w:firstLineChars="200"/>
        <w:rPr>
          <w:rFonts w:hint="eastAsia" w:cs="仿宋" w:asciiTheme="majorEastAsia" w:hAnsiTheme="majorEastAsia" w:eastAsiaTheme="majorEastAsia"/>
          <w:color w:val="auto"/>
          <w:sz w:val="24"/>
          <w:szCs w:val="24"/>
          <w:highlight w:val="none"/>
          <w:lang w:val="en-US" w:eastAsia="zh-CN"/>
        </w:rPr>
      </w:pPr>
      <w:r>
        <w:rPr>
          <w:rFonts w:hint="eastAsia" w:cs="仿宋" w:asciiTheme="majorEastAsia" w:hAnsiTheme="majorEastAsia" w:eastAsiaTheme="majorEastAsia"/>
          <w:color w:val="auto"/>
          <w:sz w:val="24"/>
          <w:szCs w:val="24"/>
          <w:highlight w:val="none"/>
        </w:rPr>
        <w:t>6.1.6 应提交的有关格式范例</w:t>
      </w:r>
      <w:r>
        <w:rPr>
          <w:rFonts w:hint="eastAsia" w:cs="仿宋" w:asciiTheme="majorEastAsia" w:hAnsiTheme="majorEastAsia" w:eastAsiaTheme="majorEastAsia"/>
          <w:color w:val="auto"/>
          <w:sz w:val="24"/>
          <w:szCs w:val="24"/>
          <w:highlight w:val="none"/>
          <w:lang w:val="en-US" w:eastAsia="zh-CN"/>
        </w:rPr>
        <w:t xml:space="preserve">； </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6.2与本项目有关的</w:t>
      </w:r>
      <w:r>
        <w:rPr>
          <w:rFonts w:hint="eastAsia" w:cs="仿宋" w:asciiTheme="majorEastAsia" w:hAnsiTheme="majorEastAsia" w:eastAsiaTheme="majorEastAsia"/>
          <w:bCs/>
          <w:color w:val="auto"/>
          <w:sz w:val="24"/>
          <w:highlight w:val="none"/>
        </w:rPr>
        <w:t>澄清或者修改的内容为招标文件的组成部分</w:t>
      </w:r>
      <w:r>
        <w:rPr>
          <w:rFonts w:hint="eastAsia" w:cs="仿宋" w:asciiTheme="majorEastAsia" w:hAnsiTheme="majorEastAsia" w:eastAsiaTheme="majorEastAsia"/>
          <w:color w:val="auto"/>
          <w:sz w:val="24"/>
          <w:highlight w:val="none"/>
        </w:rPr>
        <w:t>。</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招标文件的澄清、修改</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pPr>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7.3 如更正公告有重新发布电子招标文件的，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应下载最新发布的电子招标文件制作投标文件。</w:t>
      </w:r>
    </w:p>
    <w:p>
      <w:pPr>
        <w:spacing w:line="360" w:lineRule="auto"/>
        <w:ind w:firstLine="480" w:firstLineChars="20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color w:val="auto"/>
          <w:sz w:val="24"/>
          <w:highlight w:val="none"/>
        </w:rPr>
        <w:t>7.4 已获取招标文件的潜在</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，若有问题需要澄清，应于投标截止时间前，以书面形式向采购代理机构提出。</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w:t>
      </w:r>
    </w:p>
    <w:p>
      <w:pPr>
        <w:spacing w:line="360" w:lineRule="auto"/>
        <w:jc w:val="center"/>
        <w:outlineLvl w:val="0"/>
        <w:rPr>
          <w:rFonts w:cs="仿宋" w:asciiTheme="majorEastAsia" w:hAnsiTheme="majorEastAsia" w:eastAsiaTheme="majorEastAsia"/>
          <w:b/>
          <w:color w:val="auto"/>
          <w:sz w:val="30"/>
          <w:szCs w:val="20"/>
          <w:highlight w:val="none"/>
        </w:rPr>
      </w:pPr>
      <w:r>
        <w:rPr>
          <w:rFonts w:hint="eastAsia" w:cs="仿宋" w:asciiTheme="majorEastAsia" w:hAnsiTheme="majorEastAsia" w:eastAsiaTheme="majorEastAsia"/>
          <w:b/>
          <w:color w:val="auto"/>
          <w:sz w:val="30"/>
          <w:szCs w:val="20"/>
          <w:highlight w:val="none"/>
        </w:rPr>
        <w:br w:type="page"/>
      </w:r>
      <w:r>
        <w:rPr>
          <w:rFonts w:hint="eastAsia" w:cs="仿宋" w:asciiTheme="majorEastAsia" w:hAnsiTheme="majorEastAsia" w:eastAsiaTheme="majorEastAsia"/>
          <w:b/>
          <w:color w:val="auto"/>
          <w:sz w:val="30"/>
          <w:szCs w:val="20"/>
          <w:highlight w:val="none"/>
        </w:rPr>
        <w:t>三、投标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投标文件的语言</w:t>
      </w:r>
    </w:p>
    <w:p>
      <w:pPr>
        <w:autoSpaceDE w:val="0"/>
        <w:autoSpaceDN w:val="0"/>
        <w:spacing w:line="360" w:lineRule="auto"/>
        <w:ind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投标文件及</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sz w:val="24"/>
          <w:highlight w:val="none"/>
        </w:rPr>
        <w:t>与采购有关的来往通知、函件和文件均应使用中文。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投标文件的组成</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9.1 </w:t>
      </w:r>
      <w:r>
        <w:rPr>
          <w:rFonts w:hint="eastAsia" w:cs="仿宋" w:asciiTheme="majorEastAsia" w:hAnsiTheme="majorEastAsia" w:eastAsiaTheme="majorEastAsia"/>
          <w:b/>
          <w:color w:val="auto"/>
          <w:sz w:val="24"/>
          <w:highlight w:val="none"/>
        </w:rPr>
        <w:t>资格文件</w:t>
      </w:r>
      <w:r>
        <w:rPr>
          <w:rFonts w:hint="eastAsia" w:cs="仿宋" w:asciiTheme="majorEastAsia" w:hAnsiTheme="majorEastAsia" w:eastAsiaTheme="majorEastAsia"/>
          <w:color w:val="auto"/>
          <w:sz w:val="24"/>
          <w:highlight w:val="none"/>
        </w:rPr>
        <w:t>：</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9.1.1有效的企业法人营业执照（或事业法人登记证）、其他组织（个体工商户）的营业执照或者民办非企业单位登记证书；</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9.1.2符合参加政府采购活动应当具备的一般条件的承诺函(格式见第六部分)；</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9.1.3本项目的特定资格要求。</w:t>
      </w:r>
    </w:p>
    <w:p>
      <w:pPr>
        <w:snapToGrid w:val="0"/>
        <w:spacing w:line="360" w:lineRule="auto"/>
        <w:ind w:firstLine="480" w:firstLineChars="200"/>
        <w:rPr>
          <w:rFonts w:cs="仿宋" w:asciiTheme="majorEastAsia" w:hAnsiTheme="majorEastAsia" w:eastAsiaTheme="majorEastAsia"/>
          <w:b/>
          <w:bCs/>
          <w:color w:val="auto"/>
          <w:sz w:val="24"/>
          <w:highlight w:val="none"/>
          <w:lang w:val="zh-CN"/>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b/>
          <w:bCs/>
          <w:color w:val="auto"/>
          <w:sz w:val="24"/>
          <w:highlight w:val="none"/>
        </w:rPr>
        <w:t>商务技术</w:t>
      </w:r>
      <w:r>
        <w:rPr>
          <w:rFonts w:hint="eastAsia" w:cs="仿宋" w:asciiTheme="majorEastAsia" w:hAnsiTheme="majorEastAsia" w:eastAsiaTheme="majorEastAsia"/>
          <w:b/>
          <w:bCs/>
          <w:color w:val="auto"/>
          <w:sz w:val="24"/>
          <w:highlight w:val="none"/>
          <w:lang w:val="zh-CN"/>
        </w:rPr>
        <w:t>文件：</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 符合性自查表；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9.2.2 投标函；</w:t>
      </w:r>
      <w:r>
        <w:rPr>
          <w:rFonts w:hint="eastAsia" w:cs="仿宋" w:asciiTheme="majorEastAsia" w:hAnsiTheme="majorEastAsia" w:eastAsiaTheme="majorEastAsia"/>
          <w:color w:val="auto"/>
          <w:sz w:val="24"/>
          <w:highlight w:val="none"/>
          <w:lang w:val="zh-CN"/>
        </w:rPr>
        <w:t xml:space="preserve"> </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9.2.3 授权委托书；</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9.2.4 </w:t>
      </w:r>
      <w:r>
        <w:rPr>
          <w:rFonts w:hint="eastAsia" w:cs="仿宋" w:asciiTheme="majorEastAsia" w:hAnsiTheme="majorEastAsia" w:eastAsiaTheme="majorEastAsia"/>
          <w:b w:val="0"/>
          <w:bCs/>
          <w:color w:val="auto"/>
          <w:kern w:val="0"/>
          <w:sz w:val="24"/>
          <w:szCs w:val="24"/>
          <w:highlight w:val="none"/>
          <w:lang w:val="zh-CN"/>
        </w:rPr>
        <w:t>投标人基本情况表</w:t>
      </w:r>
      <w:r>
        <w:rPr>
          <w:rFonts w:hint="eastAsia" w:cs="仿宋" w:asciiTheme="majorEastAsia" w:hAnsiTheme="majorEastAsia" w:eastAsiaTheme="majorEastAsia"/>
          <w:color w:val="auto"/>
          <w:sz w:val="24"/>
          <w:highlight w:val="none"/>
        </w:rPr>
        <w:t>；</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9.2.5 距采购人最近或者能为本项目提供最优服务的网点情况表；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6 评标标准相应的商务技术资料；</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9.2.7 商务偏离表；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9.2.8 技术偏离表；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9.2.9 同类业绩情况一览表；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9.2.10</w:t>
      </w:r>
      <w:r>
        <w:rPr>
          <w:rFonts w:hint="eastAsia" w:cs="仿宋" w:asciiTheme="majorEastAsia" w:hAnsiTheme="majorEastAsia" w:eastAsiaTheme="majorEastAsia"/>
          <w:color w:val="auto"/>
          <w:sz w:val="24"/>
          <w:highlight w:val="none"/>
          <w:lang w:val="zh-CN"/>
        </w:rPr>
        <w:t>政府采购供应商廉洁自律承诺书；</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9.2.11其他资料（如有）。</w:t>
      </w:r>
    </w:p>
    <w:p>
      <w:pP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kern w:val="0"/>
          <w:sz w:val="24"/>
          <w:highlight w:val="none"/>
        </w:rPr>
        <w:t>9</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rPr>
        <w:t xml:space="preserve">3 </w:t>
      </w:r>
      <w:r>
        <w:rPr>
          <w:rFonts w:hint="eastAsia" w:cs="仿宋" w:asciiTheme="majorEastAsia" w:hAnsiTheme="majorEastAsia" w:eastAsiaTheme="majorEastAsia"/>
          <w:b/>
          <w:color w:val="auto"/>
          <w:sz w:val="24"/>
          <w:highlight w:val="none"/>
        </w:rPr>
        <w:t>报价文件：</w:t>
      </w:r>
      <w:r>
        <w:rPr>
          <w:rFonts w:hint="eastAsia" w:cs="仿宋" w:asciiTheme="majorEastAsia" w:hAnsiTheme="majorEastAsia" w:eastAsiaTheme="majorEastAsia"/>
          <w:color w:val="auto"/>
          <w:sz w:val="24"/>
          <w:highlight w:val="none"/>
        </w:rPr>
        <w:t xml:space="preserve"> </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9.3.1 开标一览表；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9.3.2 投标报价明细表；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9.3.3 中小企业声明函（如有）；</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9.3.4 残疾人福利性单位声明函（如有）；</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9.3.5 监狱企业的证明文件（如有）；</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9.3.6 政府采购统计基础信息表；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9.3.7其他资料（如有）。</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投标文件的编制</w:t>
      </w:r>
    </w:p>
    <w:p>
      <w:pP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color w:val="auto"/>
          <w:kern w:val="0"/>
          <w:sz w:val="24"/>
          <w:highlight w:val="none"/>
        </w:rPr>
        <w:t>未有规定格式的资料，</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应自行编制，但至少须包含9.投标文件组成中的内容。</w:t>
      </w:r>
      <w:r>
        <w:rPr>
          <w:rFonts w:hint="eastAsia" w:cs="仿宋" w:asciiTheme="majorEastAsia" w:hAnsiTheme="majorEastAsia" w:eastAsiaTheme="majorEastAsia"/>
          <w:color w:val="auto"/>
          <w:kern w:val="0"/>
          <w:sz w:val="24"/>
          <w:highlight w:val="none"/>
          <w:lang w:val="zh-CN"/>
        </w:rPr>
        <w:t>混乱的编排导致投标文件被误读或评标委员会查找不到有效文件是供应商的风险。</w:t>
      </w:r>
    </w:p>
    <w:p>
      <w:pP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.2供应商进行电子投标应安装客户端软件—“政采云电子交易客户端”，并按照招标文件和电子交易平台的要求编制并加密投标文件。供应商未按规定加密的投标文件，电子交易平台将拒收并提示。</w:t>
      </w:r>
    </w:p>
    <w:p>
      <w:pPr>
        <w:spacing w:line="360" w:lineRule="auto"/>
        <w:ind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w:t>
      </w:r>
      <w:r>
        <w:rPr>
          <w:rFonts w:hint="eastAsia" w:cs="仿宋" w:asciiTheme="majorEastAsia" w:hAnsiTheme="majorEastAsia" w:eastAsiaTheme="majorEastAsia"/>
          <w:color w:val="auto"/>
          <w:kern w:val="0"/>
          <w:sz w:val="24"/>
          <w:highlight w:val="none"/>
        </w:rPr>
        <w:t>0</w:t>
      </w:r>
      <w:r>
        <w:rPr>
          <w:rFonts w:hint="eastAsia" w:cs="仿宋" w:asciiTheme="majorEastAsia" w:hAnsiTheme="majorEastAsia" w:eastAsiaTheme="majorEastAsia"/>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投标文件的签署、盖章</w:t>
      </w:r>
    </w:p>
    <w:p>
      <w:pPr>
        <w:pStyle w:val="37"/>
        <w:snapToGrid w:val="0"/>
        <w:spacing w:before="0"/>
        <w:ind w:firstLine="480"/>
        <w:rPr>
          <w:rFonts w:cs="仿宋" w:asciiTheme="majorEastAsia" w:hAnsiTheme="majorEastAsia" w:eastAsiaTheme="majorEastAsia"/>
          <w:b/>
          <w:color w:val="auto"/>
          <w:highlight w:val="none"/>
        </w:rPr>
      </w:pPr>
      <w:r>
        <w:rPr>
          <w:rFonts w:hint="eastAsia" w:cs="仿宋" w:asciiTheme="majorEastAsia" w:hAnsiTheme="majorEastAsia" w:eastAsiaTheme="majorEastAsia"/>
          <w:color w:val="auto"/>
          <w:szCs w:val="24"/>
          <w:highlight w:val="none"/>
        </w:rPr>
        <w:t>11.1投标文件按照招标文件第六部分格式要</w:t>
      </w:r>
      <w:r>
        <w:rPr>
          <w:rFonts w:hint="eastAsia" w:cs="仿宋" w:asciiTheme="majorEastAsia" w:hAnsiTheme="majorEastAsia" w:eastAsiaTheme="majorEastAsia"/>
          <w:color w:val="auto"/>
          <w:highlight w:val="none"/>
        </w:rPr>
        <w:t>求进行签署、盖章。</w:t>
      </w:r>
      <w:r>
        <w:rPr>
          <w:rFonts w:hint="eastAsia" w:cs="仿宋" w:asciiTheme="majorEastAsia" w:hAnsiTheme="majorEastAsia" w:eastAsiaTheme="majorEastAsia"/>
          <w:b/>
          <w:color w:val="auto"/>
          <w:highlight w:val="none"/>
        </w:rPr>
        <w:t>▲供应商的投标文件未按照招标文件要求签署、盖章的，其投标无效</w:t>
      </w:r>
      <w:r>
        <w:rPr>
          <w:rFonts w:hint="eastAsia" w:cs="仿宋" w:asciiTheme="majorEastAsia" w:hAnsiTheme="majorEastAsia" w:eastAsiaTheme="majorEastAsia"/>
          <w:color w:val="auto"/>
          <w:szCs w:val="24"/>
          <w:highlight w:val="none"/>
        </w:rPr>
        <w:t>。</w:t>
      </w:r>
    </w:p>
    <w:p>
      <w:pPr>
        <w:pStyle w:val="37"/>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11.2为确保网上操作合法、有效和安全，</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应当在投标截止时间前完成在“政府采购云平台”的身份认证，确保在电子投标过程中能够对相关数据电文进行加密和使用电子签名。</w:t>
      </w:r>
    </w:p>
    <w:p>
      <w:pPr>
        <w:pStyle w:val="37"/>
        <w:snapToGrid w:val="0"/>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highlight w:val="none"/>
        </w:rPr>
        <w:t>11.3招标文件对投标文件签署、盖章的要求适用于电子签名。</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投标文件的提交、补充、修改、撤回</w:t>
      </w:r>
    </w:p>
    <w:p>
      <w:pPr>
        <w:pStyle w:val="37"/>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37"/>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pPr>
        <w:pStyle w:val="37"/>
        <w:spacing w:before="0"/>
        <w:ind w:firstLine="480"/>
        <w:rPr>
          <w:rFonts w:cs="仿宋" w:asciiTheme="majorEastAsia" w:hAnsiTheme="majorEastAsia" w:eastAsiaTheme="majorEastAsia"/>
          <w:color w:val="auto"/>
          <w:szCs w:val="24"/>
          <w:highlight w:val="none"/>
        </w:rPr>
      </w:pPr>
      <w:r>
        <w:rPr>
          <w:rFonts w:hint="eastAsia" w:cs="仿宋" w:asciiTheme="majorEastAsia" w:hAnsiTheme="majorEastAsia" w:eastAsiaTheme="majorEastAsia"/>
          <w:color w:val="auto"/>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szCs w:val="24"/>
          <w:highlight w:val="none"/>
        </w:rPr>
        <w:t>以前在投标截止期方面的全部权利、责任和义务，将适用于延长至新的投标截止期。</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投标有效期</w:t>
      </w:r>
    </w:p>
    <w:p>
      <w:pPr>
        <w:spacing w:line="360" w:lineRule="auto"/>
        <w:ind w:firstLine="480" w:firstLineChars="200"/>
        <w:rPr>
          <w:rFonts w:cs="仿宋" w:asciiTheme="majorEastAsia" w:hAnsiTheme="majorEastAsia" w:eastAsiaTheme="majorEastAsia"/>
          <w:b/>
          <w:color w:val="auto"/>
          <w:sz w:val="24"/>
          <w:szCs w:val="21"/>
          <w:highlight w:val="none"/>
        </w:rPr>
      </w:pPr>
      <w:r>
        <w:rPr>
          <w:rFonts w:hint="eastAsia" w:cs="仿宋" w:asciiTheme="majorEastAsia" w:hAnsiTheme="majorEastAsia" w:eastAsiaTheme="majorEastAsia"/>
          <w:color w:val="auto"/>
          <w:sz w:val="24"/>
          <w:szCs w:val="20"/>
          <w:highlight w:val="none"/>
        </w:rPr>
        <w:t>投标有效期为从提交投标文件的截止之日起90天。▲</w:t>
      </w:r>
      <w:r>
        <w:rPr>
          <w:rFonts w:hint="eastAsia" w:cs="仿宋" w:asciiTheme="majorEastAsia" w:hAnsiTheme="majorEastAsia" w:eastAsiaTheme="majorEastAsia"/>
          <w:b/>
          <w:color w:val="auto"/>
          <w:sz w:val="24"/>
          <w:szCs w:val="20"/>
          <w:highlight w:val="none"/>
        </w:rPr>
        <w:t>供应商的投标文件中承</w:t>
      </w:r>
      <w:r>
        <w:rPr>
          <w:rFonts w:hint="eastAsia" w:cs="仿宋" w:asciiTheme="majorEastAsia" w:hAnsiTheme="majorEastAsia" w:eastAsiaTheme="majorEastAsia"/>
          <w:b/>
          <w:color w:val="auto"/>
          <w:sz w:val="24"/>
          <w:szCs w:val="21"/>
          <w:highlight w:val="none"/>
        </w:rPr>
        <w:t>诺的投标有效期少于招标文件中载明的投标有效期的，投标无效。</w:t>
      </w:r>
    </w:p>
    <w:p>
      <w:pPr>
        <w:pStyle w:val="37"/>
        <w:spacing w:before="0"/>
        <w:ind w:firstLine="643"/>
        <w:rPr>
          <w:rFonts w:cs="仿宋" w:asciiTheme="majorEastAsia" w:hAnsiTheme="majorEastAsia" w:eastAsiaTheme="majorEastAsia"/>
          <w:b/>
          <w:color w:val="auto"/>
          <w:sz w:val="32"/>
          <w:highlight w:val="none"/>
        </w:rPr>
      </w:pPr>
    </w:p>
    <w:p>
      <w:pPr>
        <w:pStyle w:val="37"/>
        <w:spacing w:before="0"/>
        <w:ind w:firstLine="1928" w:firstLineChars="600"/>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四、开标、资格审查与信用信息查询</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 xml:space="preserve">开标 </w:t>
      </w:r>
    </w:p>
    <w:p>
      <w:pPr>
        <w:pStyle w:val="32"/>
        <w:spacing w:before="0" w:line="360" w:lineRule="auto"/>
        <w:ind w:left="0" w:firstLine="480" w:firstLineChars="2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14.1采购代理机构按照招标文件规定的时间通过电子交易平台组织开标，所有</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均应当准时在线参加。</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不足3家的，不得开标。</w:t>
      </w:r>
    </w:p>
    <w:p>
      <w:pPr>
        <w:pStyle w:val="32"/>
        <w:spacing w:before="0" w:line="360" w:lineRule="auto"/>
        <w:ind w:left="0" w:firstLine="240" w:firstLineChars="100"/>
        <w:contextualSpacing/>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color w:val="auto"/>
          <w:sz w:val="24"/>
          <w:highlight w:val="none"/>
          <w:lang w:val="zh-CN"/>
        </w:rPr>
        <w:t>供应商</w:t>
      </w:r>
      <w:r>
        <w:rPr>
          <w:rFonts w:hint="eastAsia" w:cs="仿宋" w:asciiTheme="majorEastAsia" w:hAnsiTheme="majorEastAsia" w:eastAsiaTheme="majorEastAsia"/>
          <w:color w:val="auto"/>
          <w:sz w:val="24"/>
          <w:highlight w:val="none"/>
        </w:rPr>
        <w:t>按照平台提示和招标文件的规定在半小时内完成在线解密。</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资格审查</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15.1开标后，采购人或采购代理机构依据法律法规和招标文件的规定，对供应商的资格条件进行审查。</w:t>
      </w:r>
    </w:p>
    <w:p>
      <w:pPr>
        <w:pStyle w:val="37"/>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2对未通过资格审查的供应商，采购人或采购代理机构告知其未通过的原因。</w:t>
      </w:r>
    </w:p>
    <w:p>
      <w:pPr>
        <w:pStyle w:val="37"/>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15.</w:t>
      </w:r>
      <w:r>
        <w:rPr>
          <w:rFonts w:hint="eastAsia" w:cs="仿宋" w:asciiTheme="majorEastAsia" w:hAnsiTheme="majorEastAsia" w:eastAsiaTheme="majorEastAsia"/>
          <w:color w:val="auto"/>
          <w:highlight w:val="none"/>
        </w:rPr>
        <w:t>3合格供应商不足3家的，不再评标。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信用信息查询</w:t>
      </w:r>
    </w:p>
    <w:p>
      <w:pPr>
        <w:pStyle w:val="37"/>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16.1信用信息查询渠道及截止时间：采购代理机构将通过“信用中国”网站(www.creditchina.gov.cn)、中国政府采购网(www.ccgp.gov.cn)渠道查询供应商投标截止时间当天的信用记录。</w:t>
      </w:r>
    </w:p>
    <w:p>
      <w:pPr>
        <w:pStyle w:val="37"/>
        <w:spacing w:before="0"/>
        <w:ind w:firstLine="495" w:firstLineChars="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16.2信用信息的使用规则：经查询列入失信被执行人名单、</w:t>
      </w:r>
      <w:r>
        <w:rPr>
          <w:rFonts w:hint="eastAsia" w:cs="仿宋" w:asciiTheme="majorEastAsia" w:hAnsiTheme="majorEastAsia" w:eastAsiaTheme="majorEastAsia"/>
          <w:color w:val="auto"/>
          <w:kern w:val="0"/>
          <w:szCs w:val="24"/>
          <w:highlight w:val="none"/>
          <w:lang w:val="en-US" w:eastAsia="zh-CN"/>
        </w:rPr>
        <w:t>税收违法黑名单</w:t>
      </w:r>
      <w:r>
        <w:rPr>
          <w:rFonts w:hint="eastAsia" w:cs="仿宋" w:asciiTheme="majorEastAsia" w:hAnsiTheme="majorEastAsia" w:eastAsiaTheme="majorEastAsia"/>
          <w:color w:val="auto"/>
          <w:kern w:val="0"/>
          <w:szCs w:val="24"/>
          <w:highlight w:val="none"/>
        </w:rPr>
        <w:t>、政府采购严重违法失信行为记录名单的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将被拒绝参与政府采购活动。</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color w:val="auto"/>
          <w:highlight w:val="none"/>
        </w:rPr>
        <w:t>。</w:t>
      </w:r>
    </w:p>
    <w:p>
      <w:pPr>
        <w:snapToGrid w:val="0"/>
        <w:spacing w:line="360" w:lineRule="auto"/>
        <w:jc w:val="center"/>
        <w:outlineLvl w:val="0"/>
        <w:rPr>
          <w:rFonts w:cs="仿宋" w:asciiTheme="majorEastAsia" w:hAnsiTheme="majorEastAsia" w:eastAsiaTheme="majorEastAsia"/>
          <w:b/>
          <w:color w:val="auto"/>
          <w:sz w:val="36"/>
          <w:szCs w:val="36"/>
          <w:highlight w:val="none"/>
        </w:rPr>
      </w:pPr>
    </w:p>
    <w:p>
      <w:pPr>
        <w:snapToGrid w:val="0"/>
        <w:spacing w:line="360" w:lineRule="auto"/>
        <w:jc w:val="center"/>
        <w:outlineLvl w:val="0"/>
        <w:rPr>
          <w:rFonts w:hint="eastAsia" w:cs="仿宋" w:asciiTheme="majorEastAsia" w:hAnsiTheme="majorEastAsia" w:eastAsiaTheme="majorEastAsia"/>
          <w:b/>
          <w:color w:val="auto"/>
          <w:sz w:val="36"/>
          <w:szCs w:val="36"/>
          <w:highlight w:val="none"/>
        </w:rPr>
      </w:pPr>
    </w:p>
    <w:p>
      <w:pP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五、评标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bookmarkStart w:id="13" w:name="_Toc91899903"/>
      <w:r>
        <w:rPr>
          <w:rFonts w:hint="eastAsia" w:cs="仿宋" w:asciiTheme="majorEastAsia" w:hAnsiTheme="majorEastAsia" w:eastAsiaTheme="majorEastAsia"/>
          <w:b/>
          <w:color w:val="auto"/>
          <w:sz w:val="24"/>
          <w:highlight w:val="none"/>
        </w:rPr>
        <w:t>评标委员会</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17.1 本次招标依法组建评标委员会。评标委员会由采购人代表和评审专家组成，评审专家从专家库随机抽取。</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 评审专家有下列情形之一的，受到邀请应主动提出回避，采购当事人也可以要求该评审专家回避：</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17.3.1 参加采购活动前三年内，与供应商存在劳动关系，或者担任过供应商的董事、监事，或者是供应商的控股股东或实际控制人；</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17.3.2 与供应商的法定代表人或者负责人有夫妻、直系血亲、三代以内旁系血亲或者近姻亲关系；</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17.3.3 任职单位与参加该采购项目供应商存在行政隶属关系；</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17.3.4 曾经参加过该采购项目的进口产品或招标文件、采购需求、采购方式的论证和咨询服务工作；</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17.3.5 是参加该采购项目供应商的上级主管部门、控股或参股单位的工作人员，或与该供应商存在其他经济利益关系；</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17.3.6 评标委员会成员之间具有配偶、近亲属关系等；</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17.3.7 法律、法规、规章规定应当回避以及其他可能影响政府采购活动公平、公正进行的关系。</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17.4 评标委员会判断投标文件的有效性、合格性和响应情况，仅依据投标人所递交一切文件的真实表述，不受与本项目无直接关联的外部信息、传言而影响自身的专业判断。</w:t>
      </w:r>
    </w:p>
    <w:p>
      <w:pPr>
        <w:pStyle w:val="37"/>
        <w:spacing w:before="0"/>
        <w:ind w:firstLine="480"/>
        <w:rPr>
          <w:rFonts w:asciiTheme="majorEastAsia" w:hAnsiTheme="majorEastAsia" w:eastAsiaTheme="majorEastAsia"/>
          <w:color w:val="auto"/>
          <w:highlight w:val="none"/>
        </w:rPr>
      </w:pPr>
      <w:r>
        <w:rPr>
          <w:rFonts w:hint="eastAsia" w:cs="仿宋" w:asciiTheme="majorEastAsia" w:hAnsiTheme="majorEastAsia" w:eastAsiaTheme="majorEastAsia"/>
          <w:color w:val="auto"/>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评标</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对招标文件的响应情况。对实质上响应招标文件的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，按照评审因素的量化指标推荐综合得分排名第一的为中标候选人。</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为排名第一的中标候选人。</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详见招标文件第四部分评标办法。</w:t>
      </w:r>
    </w:p>
    <w:p>
      <w:pPr>
        <w:spacing w:line="360" w:lineRule="auto"/>
        <w:rPr>
          <w:rFonts w:cs="仿宋" w:asciiTheme="majorEastAsia" w:hAnsiTheme="majorEastAsia" w:eastAsiaTheme="majorEastAsia"/>
          <w:b/>
          <w:color w:val="auto"/>
          <w:sz w:val="24"/>
          <w:highlight w:val="none"/>
        </w:rPr>
      </w:pPr>
    </w:p>
    <w:p>
      <w:pPr>
        <w:snapToGrid w:val="0"/>
        <w:spacing w:line="360" w:lineRule="auto"/>
        <w:jc w:val="center"/>
        <w:outlineLvl w:val="0"/>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六、定 标</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确定中标供应商</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本项目由评标委员会推荐一个中标候选人，采购人不得在评标委员会推荐的中标候选人以外确定中标候选人。</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中标通知与中标结果公告</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20.3公告期限为1个工作日。</w:t>
      </w: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七、合同授予</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合同授予</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合同主要条款详见第五部分拟签订的合同文本。</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合同的签订</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lang w:val="zh-CN"/>
        </w:rPr>
        <w:t>2</w:t>
      </w:r>
      <w:r>
        <w:rPr>
          <w:rFonts w:hint="eastAsia" w:cs="仿宋" w:asciiTheme="majorEastAsia" w:hAnsiTheme="majorEastAsia" w:eastAsiaTheme="majorEastAsia"/>
          <w:color w:val="auto"/>
          <w:kern w:val="0"/>
          <w:szCs w:val="24"/>
          <w:highlight w:val="none"/>
        </w:rPr>
        <w:t>2</w:t>
      </w:r>
      <w:r>
        <w:rPr>
          <w:rFonts w:hint="eastAsia" w:cs="仿宋" w:asciiTheme="majorEastAsia" w:hAnsiTheme="majorEastAsia" w:eastAsiaTheme="majorEastAsia"/>
          <w:color w:val="auto"/>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22.3如签订合同并生效后，供应商无故拒绝或延期，除按照合同条款处理外，列入不良行为记录名单，并给予通报。</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22.4中标供应商拒绝与采购人签订合同的，列入不良行为记录名单，采购人、采购代理机构重新开展政府采购活动。</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22.5采购合同由采购人与中标供应商根据招标文件、投标文件等内容通过政府采购电子交易平台在线签订，自动备案。</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履约保证金</w:t>
      </w:r>
    </w:p>
    <w:p>
      <w:pPr>
        <w:tabs>
          <w:tab w:val="left" w:pos="0"/>
        </w:tabs>
        <w:spacing w:line="360" w:lineRule="auto"/>
        <w:ind w:firstLine="482"/>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w:t>
      </w:r>
      <w:r>
        <w:rPr>
          <w:rFonts w:hint="eastAsia" w:cs="仿宋" w:asciiTheme="majorEastAsia" w:hAnsiTheme="majorEastAsia" w:eastAsiaTheme="majorEastAsia"/>
          <w:color w:val="auto"/>
          <w:sz w:val="24"/>
          <w:highlight w:val="none"/>
          <w:lang w:val="en-US" w:eastAsia="zh-CN"/>
        </w:rPr>
        <w:t>1</w:t>
      </w:r>
      <w:r>
        <w:rPr>
          <w:rFonts w:hint="eastAsia" w:cs="仿宋" w:asciiTheme="majorEastAsia" w:hAnsiTheme="majorEastAsia" w:eastAsiaTheme="majorEastAsia"/>
          <w:color w:val="auto"/>
          <w:sz w:val="24"/>
          <w:highlight w:val="none"/>
        </w:rPr>
        <w:t>%。鼓励和支持供应商以银行、保险公司出具的保函形式提供履约保证金。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pPr>
        <w:pStyle w:val="8"/>
        <w:rPr>
          <w:rFonts w:asciiTheme="majorEastAsia" w:hAnsiTheme="majorEastAsia" w:eastAsiaTheme="majorEastAsia"/>
          <w:color w:val="auto"/>
          <w:highlight w:val="none"/>
        </w:rPr>
      </w:pPr>
    </w:p>
    <w:p>
      <w:pPr>
        <w:snapToGrid w:val="0"/>
        <w:spacing w:line="360" w:lineRule="auto"/>
        <w:ind w:firstLine="3357" w:firstLineChars="1045"/>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32"/>
          <w:highlight w:val="none"/>
        </w:rPr>
        <w:t>八、电子交易活动的中止</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电子交易活动的中止</w:t>
      </w:r>
    </w:p>
    <w:p>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采购过程中出现以下情形，导致电子交易平台无法正常运行，或者无法保证电子交易的公平、公正和安全时，采购代理机构可中止电子交易活动：</w:t>
      </w:r>
    </w:p>
    <w:p>
      <w:pPr>
        <w:pStyle w:val="37"/>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24.1电子交易平台发生故障而无法登录访问的； </w:t>
      </w:r>
    </w:p>
    <w:p>
      <w:pPr>
        <w:pStyle w:val="37"/>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24.2电子交易平台应用或数据库出现错误，不能进行正常操作的；</w:t>
      </w:r>
    </w:p>
    <w:p>
      <w:pPr>
        <w:pStyle w:val="37"/>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24.3电子交易平台发现严重安全漏洞，有潜在泄密危险的；</w:t>
      </w:r>
    </w:p>
    <w:p>
      <w:pPr>
        <w:pStyle w:val="37"/>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 xml:space="preserve">24.4病毒发作导致不能进行正常操作的； </w:t>
      </w:r>
    </w:p>
    <w:p>
      <w:pPr>
        <w:pStyle w:val="37"/>
        <w:snapToGrid w:val="0"/>
        <w:spacing w:before="0"/>
        <w:ind w:firstLine="48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24.5其他无法保证电子交易的公平、公正和安全的情况。</w:t>
      </w:r>
    </w:p>
    <w:p>
      <w:pPr>
        <w:tabs>
          <w:tab w:val="left" w:pos="0"/>
        </w:tabs>
        <w:spacing w:line="360" w:lineRule="auto"/>
        <w:ind w:firstLine="480"/>
        <w:rPr>
          <w:rFonts w:cs="仿宋" w:asciiTheme="majorEastAsia" w:hAnsiTheme="majorEastAsia" w:eastAsiaTheme="majorEastAsia"/>
          <w:color w:val="auto"/>
          <w:sz w:val="24"/>
          <w:highlight w:val="none"/>
        </w:rPr>
      </w:pPr>
    </w:p>
    <w:p>
      <w:pPr>
        <w:snapToGrid w:val="0"/>
        <w:spacing w:line="360" w:lineRule="auto"/>
        <w:ind w:left="120" w:leftChars="57" w:firstLine="482" w:firstLineChars="150"/>
        <w:jc w:val="center"/>
        <w:rPr>
          <w:rFonts w:hint="eastAsia" w:cs="仿宋" w:asciiTheme="majorEastAsia" w:hAnsiTheme="majorEastAsia" w:eastAsiaTheme="majorEastAsia"/>
          <w:b/>
          <w:color w:val="auto"/>
          <w:sz w:val="32"/>
          <w:highlight w:val="none"/>
        </w:rPr>
      </w:pP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九、验收</w:t>
      </w:r>
    </w:p>
    <w:p>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验收</w:t>
      </w:r>
    </w:p>
    <w:p>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spacing w:line="360" w:lineRule="auto"/>
        <w:ind w:firstLine="48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25.3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cs="仿宋" w:asciiTheme="majorEastAsia" w:hAnsiTheme="majorEastAsia" w:eastAsiaTheme="majorEastAsia"/>
          <w:color w:val="auto"/>
          <w:kern w:val="0"/>
          <w:sz w:val="24"/>
          <w:highlight w:val="none"/>
          <w:lang w:eastAsia="zh-CN"/>
        </w:rPr>
        <w:t>监管部门</w:t>
      </w:r>
      <w:r>
        <w:rPr>
          <w:rFonts w:hint="eastAsia" w:cs="仿宋" w:asciiTheme="majorEastAsia" w:hAnsiTheme="majorEastAsia" w:eastAsiaTheme="majorEastAsia"/>
          <w:color w:val="auto"/>
          <w:kern w:val="0"/>
          <w:sz w:val="24"/>
          <w:highlight w:val="none"/>
        </w:rPr>
        <w:t>。</w:t>
      </w:r>
      <w:bookmarkEnd w:id="11"/>
      <w:bookmarkEnd w:id="12"/>
      <w:bookmarkEnd w:id="13"/>
      <w:bookmarkStart w:id="14" w:name="_Hlt74707468"/>
      <w:bookmarkEnd w:id="14"/>
      <w:bookmarkStart w:id="15" w:name="_Hlt68073093"/>
      <w:bookmarkEnd w:id="15"/>
      <w:bookmarkStart w:id="16" w:name="_Hlt75236101"/>
      <w:bookmarkEnd w:id="16"/>
      <w:bookmarkStart w:id="17" w:name="_Hlt74730295"/>
      <w:bookmarkEnd w:id="17"/>
      <w:bookmarkStart w:id="18" w:name="_Hlt74729768"/>
      <w:bookmarkEnd w:id="18"/>
      <w:bookmarkStart w:id="19" w:name="_Hlt75236290"/>
      <w:bookmarkEnd w:id="19"/>
      <w:bookmarkStart w:id="20" w:name="_Hlt74714665"/>
      <w:bookmarkEnd w:id="20"/>
      <w:bookmarkStart w:id="21" w:name="_Hlt68072998"/>
      <w:bookmarkEnd w:id="21"/>
      <w:bookmarkStart w:id="22" w:name="_Hlt68072990"/>
      <w:bookmarkEnd w:id="22"/>
      <w:bookmarkStart w:id="23" w:name="_Hlt75236011"/>
      <w:bookmarkEnd w:id="23"/>
      <w:bookmarkStart w:id="24" w:name="_Hlt68057669"/>
      <w:bookmarkEnd w:id="24"/>
      <w:bookmarkStart w:id="25" w:name="_Hlt68403820"/>
      <w:bookmarkEnd w:id="25"/>
      <w:bookmarkStart w:id="26" w:name="第四部分"/>
    </w:p>
    <w:p>
      <w:pPr>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br w:type="page"/>
      </w:r>
    </w:p>
    <w:p>
      <w:pPr>
        <w:numPr>
          <w:ilvl w:val="0"/>
          <w:numId w:val="2"/>
        </w:numPr>
        <w:tabs>
          <w:tab w:val="left" w:pos="0"/>
        </w:tabs>
        <w:spacing w:line="360" w:lineRule="auto"/>
        <w:jc w:val="center"/>
        <w:rPr>
          <w:rFonts w:hint="eastAsia"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 xml:space="preserve">  采购需求</w:t>
      </w:r>
      <w:bookmarkStart w:id="27" w:name="_Toc500353170"/>
    </w:p>
    <w:bookmarkEnd w:id="27"/>
    <w:p>
      <w:pPr>
        <w:keepNext w:val="0"/>
        <w:keepLines w:val="0"/>
        <w:pageBreakBefore w:val="0"/>
        <w:widowControl w:val="0"/>
        <w:kinsoku/>
        <w:wordWrap/>
        <w:overflowPunct/>
        <w:topLinePunct w:val="0"/>
        <w:bidi w:val="0"/>
        <w:adjustRightInd/>
        <w:snapToGrid/>
        <w:spacing w:line="370" w:lineRule="exact"/>
        <w:ind w:firstLine="472" w:firstLineChars="196"/>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一、项目概况</w:t>
      </w:r>
    </w:p>
    <w:p>
      <w:pPr>
        <w:keepNext w:val="0"/>
        <w:keepLines w:val="0"/>
        <w:pageBreakBefore w:val="0"/>
        <w:widowControl w:val="0"/>
        <w:kinsoku/>
        <w:wordWrap/>
        <w:overflowPunct/>
        <w:topLinePunct w:val="0"/>
        <w:bidi w:val="0"/>
        <w:adjustRightInd/>
        <w:snapToGrid/>
        <w:spacing w:before="156" w:beforeLines="50"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奉化城市文化中心项目，坐落在奉化最繁华的核心区块——县江西侧、大成路北侧，毗邻美丽的县江，总占地面积约46573平方米，建筑面积约73947.9平方米，投资额约8亿元，是奉化区有史以来建筑体量最大、投资额度最高的文化类公建项目。中心通过保留废弃厂房，改建及新建博物馆、图书馆、新华书店、文化馆、非遗馆、艺术培训楼（音乐厅、百姓戏台）等功能单体，由公共文化服务以及商业服务两部分组成，致力于完善公共文化服务体系</w:t>
      </w:r>
      <w:r>
        <w:rPr>
          <w:rFonts w:hint="eastAsia" w:asciiTheme="majorEastAsia" w:hAnsiTheme="majorEastAsia" w:eastAsiaTheme="majorEastAsia" w:cstheme="majorEastAsia"/>
          <w:color w:val="auto"/>
          <w:sz w:val="24"/>
          <w:szCs w:val="24"/>
          <w:highlight w:val="none"/>
          <w:lang w:eastAsia="zh-CN"/>
        </w:rPr>
        <w:t>，先后获评宁波市“席地而坐”城市客厅示范区、国家</w:t>
      </w:r>
      <w:r>
        <w:rPr>
          <w:rFonts w:hint="eastAsia" w:asciiTheme="majorEastAsia" w:hAnsiTheme="majorEastAsia" w:eastAsiaTheme="majorEastAsia" w:cstheme="majorEastAsia"/>
          <w:color w:val="auto"/>
          <w:sz w:val="24"/>
          <w:szCs w:val="24"/>
          <w:highlight w:val="none"/>
          <w:lang w:val="en-US" w:eastAsia="zh-CN"/>
        </w:rPr>
        <w:t>4A级旅游景区等。</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default"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二、委托管理范围</w:t>
      </w:r>
      <w:r>
        <w:rPr>
          <w:rFonts w:hint="eastAsia" w:asciiTheme="majorEastAsia" w:hAnsiTheme="majorEastAsia" w:eastAsiaTheme="majorEastAsia" w:cstheme="majorEastAsia"/>
          <w:b/>
          <w:color w:val="auto"/>
          <w:sz w:val="24"/>
          <w:szCs w:val="24"/>
          <w:highlight w:val="none"/>
          <w:lang w:val="en-US" w:eastAsia="zh-CN"/>
        </w:rPr>
        <w:t>及管理要求</w:t>
      </w:r>
    </w:p>
    <w:p>
      <w:pPr>
        <w:keepNext w:val="0"/>
        <w:keepLines w:val="0"/>
        <w:pageBreakBefore w:val="0"/>
        <w:widowControl w:val="0"/>
        <w:kinsoku/>
        <w:wordWrap/>
        <w:overflowPunct/>
        <w:topLinePunct w:val="0"/>
        <w:bidi w:val="0"/>
        <w:adjustRightInd/>
        <w:snapToGrid/>
        <w:spacing w:line="370" w:lineRule="exact"/>
        <w:ind w:firstLine="482" w:firstLineChars="200"/>
        <w:textAlignment w:val="auto"/>
        <w:rPr>
          <w:rFonts w:hint="eastAsia"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lang w:val="en-US" w:eastAsia="zh-CN"/>
        </w:rPr>
        <w:t>1、</w:t>
      </w:r>
      <w:r>
        <w:rPr>
          <w:rFonts w:hint="eastAsia" w:asciiTheme="majorEastAsia" w:hAnsiTheme="majorEastAsia" w:eastAsiaTheme="majorEastAsia" w:cstheme="majorEastAsia"/>
          <w:b/>
          <w:color w:val="auto"/>
          <w:sz w:val="24"/>
          <w:szCs w:val="24"/>
          <w:highlight w:val="none"/>
        </w:rPr>
        <w:t>委托管理范围</w:t>
      </w:r>
      <w:r>
        <w:rPr>
          <w:rFonts w:hint="eastAsia" w:asciiTheme="majorEastAsia" w:hAnsiTheme="majorEastAsia" w:eastAsiaTheme="majorEastAsia" w:cstheme="majorEastAsia"/>
          <w:b/>
          <w:color w:val="auto"/>
          <w:sz w:val="24"/>
          <w:szCs w:val="24"/>
          <w:highlight w:val="none"/>
          <w:lang w:eastAsia="zh-CN"/>
        </w:rPr>
        <w:t>：</w:t>
      </w:r>
      <w:r>
        <w:rPr>
          <w:rFonts w:hint="eastAsia" w:cs="仿宋" w:asciiTheme="majorEastAsia" w:hAnsiTheme="majorEastAsia" w:eastAsiaTheme="majorEastAsia"/>
          <w:b/>
          <w:color w:val="auto"/>
          <w:sz w:val="24"/>
          <w:highlight w:val="none"/>
        </w:rPr>
        <w:t>前厅接待、工程服务、保安服务、保洁服务、绿化服务、食堂服务、停车场服务、垃圾清运（厨余垃圾、生活垃圾清运服务</w:t>
      </w:r>
      <w:r>
        <w:rPr>
          <w:rFonts w:hint="eastAsia" w:cs="仿宋" w:asciiTheme="majorEastAsia" w:hAnsiTheme="majorEastAsia" w:eastAsiaTheme="majorEastAsia"/>
          <w:b/>
          <w:color w:val="auto"/>
          <w:sz w:val="24"/>
          <w:highlight w:val="none"/>
          <w:lang w:eastAsia="zh-CN"/>
        </w:rPr>
        <w:t>，</w:t>
      </w:r>
      <w:r>
        <w:rPr>
          <w:rFonts w:hint="eastAsia" w:cs="仿宋" w:asciiTheme="majorEastAsia" w:hAnsiTheme="majorEastAsia" w:eastAsiaTheme="majorEastAsia"/>
          <w:b/>
          <w:color w:val="auto"/>
          <w:sz w:val="24"/>
          <w:highlight w:val="none"/>
          <w:lang w:val="en-US" w:eastAsia="zh-CN"/>
        </w:rPr>
        <w:t>但不不包含垃圾处置费</w:t>
      </w:r>
      <w:r>
        <w:rPr>
          <w:rFonts w:hint="eastAsia" w:cs="仿宋" w:asciiTheme="majorEastAsia" w:hAnsiTheme="majorEastAsia" w:eastAsiaTheme="majorEastAsia"/>
          <w:b/>
          <w:color w:val="auto"/>
          <w:sz w:val="24"/>
          <w:highlight w:val="none"/>
        </w:rPr>
        <w:t>）</w:t>
      </w:r>
      <w:r>
        <w:rPr>
          <w:rFonts w:hint="eastAsia" w:cs="仿宋" w:asciiTheme="majorEastAsia" w:hAnsiTheme="majorEastAsia" w:eastAsiaTheme="majorEastAsia"/>
          <w:b/>
          <w:color w:val="auto"/>
          <w:sz w:val="24"/>
          <w:highlight w:val="none"/>
          <w:lang w:val="en-US" w:eastAsia="zh-CN"/>
        </w:rPr>
        <w:t>及严格做好垃圾分类等服务</w:t>
      </w:r>
      <w:r>
        <w:rPr>
          <w:rFonts w:hint="eastAsia" w:cs="仿宋" w:asciiTheme="majorEastAsia" w:hAnsiTheme="majorEastAsia" w:eastAsiaTheme="majorEastAsia"/>
          <w:b/>
          <w:color w:val="auto"/>
          <w:sz w:val="24"/>
          <w:highlight w:val="none"/>
          <w:lang w:eastAsia="zh-CN"/>
        </w:rPr>
        <w:t>、</w:t>
      </w:r>
      <w:r>
        <w:rPr>
          <w:rFonts w:hint="eastAsia" w:cs="仿宋" w:asciiTheme="majorEastAsia" w:hAnsiTheme="majorEastAsia" w:eastAsiaTheme="majorEastAsia"/>
          <w:b/>
          <w:color w:val="auto"/>
          <w:sz w:val="24"/>
          <w:highlight w:val="none"/>
        </w:rPr>
        <w:t>代收水电费</w:t>
      </w:r>
      <w:r>
        <w:rPr>
          <w:rFonts w:hint="eastAsia" w:cs="仿宋" w:asciiTheme="majorEastAsia" w:hAnsiTheme="majorEastAsia" w:eastAsiaTheme="majorEastAsia"/>
          <w:b/>
          <w:color w:val="auto"/>
          <w:sz w:val="24"/>
          <w:highlight w:val="none"/>
          <w:lang w:eastAsia="zh-CN"/>
        </w:rPr>
        <w:t>及整体广场管理</w:t>
      </w:r>
      <w:r>
        <w:rPr>
          <w:rFonts w:hint="eastAsia" w:cs="仿宋" w:asciiTheme="majorEastAsia" w:hAnsiTheme="majorEastAsia" w:eastAsiaTheme="majorEastAsia"/>
          <w:b/>
          <w:color w:val="auto"/>
          <w:sz w:val="24"/>
          <w:highlight w:val="none"/>
          <w:lang w:val="zh-CN"/>
        </w:rPr>
        <w:t>服务</w:t>
      </w:r>
      <w:r>
        <w:rPr>
          <w:rFonts w:hint="eastAsia" w:cs="仿宋" w:asciiTheme="majorEastAsia" w:hAnsiTheme="majorEastAsia" w:eastAsiaTheme="majorEastAsia"/>
          <w:b/>
          <w:color w:val="auto"/>
          <w:sz w:val="24"/>
          <w:highlight w:val="none"/>
        </w:rPr>
        <w:t>；</w:t>
      </w:r>
    </w:p>
    <w:p>
      <w:pPr>
        <w:keepNext w:val="0"/>
        <w:keepLines w:val="0"/>
        <w:pageBreakBefore w:val="0"/>
        <w:widowControl w:val="0"/>
        <w:numPr>
          <w:ilvl w:val="0"/>
          <w:numId w:val="0"/>
        </w:numPr>
        <w:kinsoku/>
        <w:wordWrap/>
        <w:overflowPunct/>
        <w:topLinePunct w:val="0"/>
        <w:autoSpaceDE/>
        <w:autoSpaceDN w:val="0"/>
        <w:bidi w:val="0"/>
        <w:adjustRightInd/>
        <w:snapToGrid/>
        <w:spacing w:after="0" w:afterLines="0" w:line="440" w:lineRule="exact"/>
        <w:ind w:leftChars="0" w:right="0" w:rightChars="0" w:firstLine="482" w:firstLineChars="200"/>
        <w:jc w:val="left"/>
        <w:textAlignment w:val="center"/>
        <w:outlineLvl w:val="9"/>
        <w:rPr>
          <w:rFonts w:hint="default" w:ascii="楷体_GB2312" w:hAnsi="楷体_GB2312" w:eastAsia="楷体_GB2312" w:cs="楷体_GB2312"/>
          <w:b w:val="0"/>
          <w:bCs/>
          <w:i w:val="0"/>
          <w:snapToGrid/>
          <w:color w:val="auto"/>
          <w:sz w:val="28"/>
          <w:szCs w:val="28"/>
          <w:highlight w:val="none"/>
          <w:lang w:val="en-US" w:eastAsia="zh-CN"/>
        </w:rPr>
      </w:pPr>
      <w:r>
        <w:rPr>
          <w:rFonts w:hint="eastAsia" w:cs="仿宋" w:asciiTheme="majorEastAsia" w:hAnsiTheme="majorEastAsia" w:eastAsiaTheme="majorEastAsia"/>
          <w:b/>
          <w:color w:val="auto"/>
          <w:sz w:val="24"/>
          <w:highlight w:val="none"/>
          <w:lang w:val="en-US" w:eastAsia="zh-CN"/>
        </w:rPr>
        <w:t>2、</w:t>
      </w:r>
      <w:r>
        <w:rPr>
          <w:rFonts w:hint="eastAsia" w:asciiTheme="majorEastAsia" w:hAnsiTheme="majorEastAsia" w:eastAsiaTheme="majorEastAsia" w:cstheme="majorEastAsia"/>
          <w:b/>
          <w:color w:val="auto"/>
          <w:sz w:val="24"/>
          <w:szCs w:val="24"/>
          <w:highlight w:val="none"/>
          <w:lang w:val="en-US" w:eastAsia="zh-CN"/>
        </w:rPr>
        <w:t>管理要求：</w:t>
      </w:r>
      <w:r>
        <w:rPr>
          <w:rFonts w:hint="eastAsia" w:cs="仿宋" w:asciiTheme="majorEastAsia" w:hAnsiTheme="majorEastAsia" w:eastAsiaTheme="majorEastAsia"/>
          <w:b/>
          <w:color w:val="auto"/>
          <w:sz w:val="24"/>
          <w:highlight w:val="none"/>
          <w:lang w:val="en-US" w:eastAsia="zh-CN"/>
        </w:rPr>
        <w:t>中标供应商需按照“国家4A级旅游景区”标准进行物业服务相关工作。</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三、委托管理期限</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委托管理总期限为三年，合同为一年一签。委托期限内，采购单位可根据中标单位上一年度的履约考核情况决定是否签订下一年度的物业合同。</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四、服务范围及服务人员的具体要求</w:t>
      </w:r>
    </w:p>
    <w:p>
      <w:pPr>
        <w:keepNext w:val="0"/>
        <w:keepLines w:val="0"/>
        <w:pageBreakBefore w:val="0"/>
        <w:widowControl w:val="0"/>
        <w:kinsoku/>
        <w:wordWrap/>
        <w:overflowPunct/>
        <w:topLinePunct w:val="0"/>
        <w:bidi w:val="0"/>
        <w:adjustRightInd/>
        <w:snapToGrid/>
        <w:spacing w:line="370" w:lineRule="exact"/>
        <w:ind w:firstLine="482" w:firstLineChars="200"/>
        <w:textAlignment w:val="auto"/>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1、管理人员：项目经理、经理助理（兼餐饮负责人），人员配置2人（各1人）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1.1、项目经理：</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1.1.1、本科学历，年龄45周岁以下，具有物业类项目3年及以上管理经验（需提供业主证明），有较强事业心与责任感，具备较高的业务水准，较强的组织协调与管理能力。</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1.1.2、根据服务单位要求，做好所属物业员工日常工作安排和管理事务，同时负责整个项目协调管理工作、与业主的沟通等，定期向业主主管部门汇报物业相关工作。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1.1.3、对临时应急任务，管理人员第一时间落实相关人员准时到岗，不得推脱。</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1.2、经理助理（兼餐饮负责人）：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大专及以上学历，年龄45周岁以下，具有物业类项目3年及以上管理经验（需提供业主证明）。</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val="0"/>
          <w:bCs/>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2、前厅接待及会务服务</w:t>
      </w:r>
      <w:r>
        <w:rPr>
          <w:rFonts w:hint="eastAsia" w:asciiTheme="majorEastAsia" w:hAnsiTheme="majorEastAsia" w:eastAsiaTheme="majorEastAsia" w:cstheme="majorEastAsia"/>
          <w:b/>
          <w:bCs w:val="0"/>
          <w:color w:val="auto"/>
          <w:sz w:val="24"/>
          <w:szCs w:val="24"/>
          <w:highlight w:val="none"/>
          <w:lang w:eastAsia="zh-CN"/>
        </w:rPr>
        <w:t>，</w:t>
      </w:r>
      <w:r>
        <w:rPr>
          <w:rFonts w:hint="eastAsia" w:asciiTheme="majorEastAsia" w:hAnsiTheme="majorEastAsia" w:eastAsiaTheme="majorEastAsia" w:cstheme="majorEastAsia"/>
          <w:b/>
          <w:bCs w:val="0"/>
          <w:color w:val="auto"/>
          <w:sz w:val="24"/>
          <w:szCs w:val="24"/>
          <w:highlight w:val="none"/>
          <w:lang w:val="en-US" w:eastAsia="zh-CN"/>
        </w:rPr>
        <w:t>人员配置2人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2.1、服务范围：负责来访登记接待登记、咨询及会议服务工作，会务工作人员，人员配置1人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2.2、素质要求：女性，年龄在</w:t>
      </w:r>
      <w:r>
        <w:rPr>
          <w:rFonts w:hint="eastAsia" w:asciiTheme="majorEastAsia" w:hAnsiTheme="majorEastAsia" w:eastAsiaTheme="majorEastAsia" w:cstheme="majorEastAsia"/>
          <w:color w:val="auto"/>
          <w:sz w:val="24"/>
          <w:szCs w:val="24"/>
          <w:highlight w:val="none"/>
          <w:lang w:val="en-US" w:eastAsia="zh-CN"/>
        </w:rPr>
        <w:t>35</w:t>
      </w:r>
      <w:r>
        <w:rPr>
          <w:rFonts w:hint="eastAsia" w:asciiTheme="majorEastAsia" w:hAnsiTheme="majorEastAsia" w:eastAsiaTheme="majorEastAsia" w:cstheme="majorEastAsia"/>
          <w:color w:val="auto"/>
          <w:sz w:val="24"/>
          <w:szCs w:val="24"/>
          <w:highlight w:val="none"/>
        </w:rPr>
        <w:t>周岁以下</w:t>
      </w:r>
      <w:r>
        <w:rPr>
          <w:rFonts w:hint="eastAsia" w:asciiTheme="majorEastAsia" w:hAnsiTheme="majorEastAsia" w:eastAsiaTheme="majorEastAsia" w:cstheme="majorEastAsia"/>
          <w:color w:val="auto"/>
          <w:sz w:val="24"/>
          <w:szCs w:val="24"/>
          <w:highlight w:val="none"/>
          <w:lang w:val="en-US" w:eastAsia="zh-CN"/>
        </w:rPr>
        <w:t>高中</w:t>
      </w:r>
      <w:r>
        <w:rPr>
          <w:rFonts w:hint="eastAsia" w:asciiTheme="majorEastAsia" w:hAnsiTheme="majorEastAsia" w:eastAsiaTheme="majorEastAsia" w:cstheme="majorEastAsia"/>
          <w:color w:val="auto"/>
          <w:sz w:val="24"/>
          <w:szCs w:val="24"/>
          <w:highlight w:val="none"/>
        </w:rPr>
        <w:t>及以上学历，身高1.60米以上，外貌端庄，身体健康，具备较强的服务意识，工作责任心强，无不良嗜好。</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2.3、岗位要求：负责来访登记接待登记、咨询及各类大小会议室的会议服务、会议接待工作（包括茶具准备、茶水供应、会场布置、会场设备使用及会后整理等工作）。</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3、工程服务人员，人员配置</w:t>
      </w:r>
      <w:r>
        <w:rPr>
          <w:rFonts w:hint="eastAsia" w:asciiTheme="majorEastAsia" w:hAnsiTheme="majorEastAsia" w:eastAsiaTheme="majorEastAsia" w:cstheme="majorEastAsia"/>
          <w:b/>
          <w:color w:val="auto"/>
          <w:sz w:val="24"/>
          <w:szCs w:val="24"/>
          <w:highlight w:val="none"/>
          <w:lang w:val="en-US" w:eastAsia="zh-CN"/>
        </w:rPr>
        <w:t>5人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3.1、工程主管，1人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大专及以上学历，年龄50周岁以下，持电工证、高配证，具备从事同类物业管理工作岗位3年及以上工作经验（需提供业主证明）。</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3.2、高配值班电工，</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3.2.1、服务范围：文化中心高配值班</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3.2.2、素质要求：持电工证、高配操作证，年龄50周岁以下，男性，身体健康，能值夜班，吃苦耐劳，工作责任心强。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3.2.3、岗位要求：按规范操作及时做好记录工作，服从工作调配。包括24小时日常值班。</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3.3、电工、管道工，2人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3.3.1、服务范围：文化中心电力、管道及其它各类维修（此项内容在服务期内须无偿服务）</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3.3.2、素质要求：男性，年龄50周岁以下，熟悉电力及管道工作。必须具备电工证书。</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3.3.3、岗位要求：熟悉强弱电知识及相关操作，具有电工维修经验，熟悉电气工作原理，能熟练进行电气线路安装、电气维修。并能了解工程其他各工种的相应知识和操作；能熟练使用和操作会议音控设施。</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能懂管道施工图纸，懂配管走向和阀门设备连接；有大楼、大厦管道设备安装、维修经验，能熟练解决管道常见问题。</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4、保安员，人员配置3</w:t>
      </w:r>
      <w:r>
        <w:rPr>
          <w:rFonts w:hint="eastAsia" w:asciiTheme="majorEastAsia" w:hAnsiTheme="majorEastAsia" w:eastAsiaTheme="majorEastAsia" w:cstheme="majorEastAsia"/>
          <w:b/>
          <w:color w:val="auto"/>
          <w:sz w:val="24"/>
          <w:szCs w:val="24"/>
          <w:highlight w:val="none"/>
          <w:lang w:val="en-US" w:eastAsia="zh-CN"/>
        </w:rPr>
        <w:t>5</w:t>
      </w:r>
      <w:r>
        <w:rPr>
          <w:rFonts w:hint="eastAsia" w:asciiTheme="majorEastAsia" w:hAnsiTheme="majorEastAsia" w:eastAsiaTheme="majorEastAsia" w:cstheme="majorEastAsia"/>
          <w:b/>
          <w:color w:val="auto"/>
          <w:sz w:val="24"/>
          <w:szCs w:val="24"/>
          <w:highlight w:val="none"/>
        </w:rPr>
        <w:t>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4.1、服务范围：文化中心安保及消控服务。</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4.2、素质要求：</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4.2.1保安队长：大专及以上学历，年龄45周岁以下，具有物业类项目3年及以上管理经验（需提供业主证明），同时具备保安职业经理人证书。还应能熟练应用计算机撰写一般性公文、文件和规定；管理过类似单位保安队伍，有一定的管理经验。</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4.2.2、男性，身高在1.70米以上，年龄在50周岁以下。女性，身高1.60以上，要求身体健康，工作责任心强；具有较强的组织、沟通、协调能力；熟悉保安管理、治安管理、消防和相关法律法规知识；熟悉各种警械器材的使用维护保养方法和要求；掌握防盗、监控系统的操作；无不良嗜好；持保安证。</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4.3、岗位要求：做好安全秩序管理和维护等工作，包括24小时日常安全秩序维护；负责消防应急工作，熟悉并使用管理区域内相关消防设施、设备；做好来客来访登记工作，文明服务，规范管理；做好车辆停放管理，引导、管理车辆有序停放，确保交通畅通。</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懂消防控制主机基本操作，能适应现场环境；熟悉消防报警处置程序并熟练操作有关消防设备；做好消防器材管理；能正确填写相关消防设施运行记录表；服从分配。</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5、保洁员，人员配置2</w:t>
      </w:r>
      <w:r>
        <w:rPr>
          <w:rFonts w:hint="eastAsia" w:asciiTheme="majorEastAsia" w:hAnsiTheme="majorEastAsia" w:eastAsiaTheme="majorEastAsia" w:cstheme="majorEastAsia"/>
          <w:b/>
          <w:color w:val="auto"/>
          <w:sz w:val="24"/>
          <w:szCs w:val="24"/>
          <w:highlight w:val="none"/>
          <w:lang w:val="en-US" w:eastAsia="zh-CN"/>
        </w:rPr>
        <w:t>2</w:t>
      </w:r>
      <w:r>
        <w:rPr>
          <w:rFonts w:hint="eastAsia" w:asciiTheme="majorEastAsia" w:hAnsiTheme="majorEastAsia" w:eastAsiaTheme="majorEastAsia" w:cstheme="majorEastAsia"/>
          <w:b/>
          <w:color w:val="auto"/>
          <w:sz w:val="24"/>
          <w:szCs w:val="24"/>
          <w:highlight w:val="none"/>
        </w:rPr>
        <w:t>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5.1、服务范围：文化中心日常保洁服务</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5.2、素质要求：女性年龄在50周岁以下，男性年龄在60周岁以下，身体健康，服务态度好，工作责任心强，无不良嗜好。保洁人员优秀的，年龄可适当放宽。</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5.3、岗位要求：负责区域内公共部位、楼道公共场所的门、窗、平顶等保洁工作；负责各馆所入口、大厅和展示厅的保洁工作；负责对区域围墙内广场、道路和停车场的保洁工作；定期做好对公共场所垃圾清理及消毒工作；电梯脚垫更换和轿厢内保洁工作；做好采购单位业主交给的其他保洁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zh-CN"/>
        </w:rPr>
        <w:t>5.4保洁人员，须具有垃圾分类知识。</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6、餐饮人员，人员配置1</w:t>
      </w:r>
      <w:r>
        <w:rPr>
          <w:rFonts w:hint="eastAsia" w:asciiTheme="majorEastAsia" w:hAnsiTheme="majorEastAsia" w:eastAsiaTheme="majorEastAsia" w:cstheme="majorEastAsia"/>
          <w:b/>
          <w:color w:val="auto"/>
          <w:sz w:val="24"/>
          <w:szCs w:val="24"/>
          <w:highlight w:val="none"/>
          <w:lang w:val="en-US" w:eastAsia="zh-CN"/>
        </w:rPr>
        <w:t>1</w:t>
      </w:r>
      <w:r>
        <w:rPr>
          <w:rFonts w:hint="eastAsia" w:asciiTheme="majorEastAsia" w:hAnsiTheme="majorEastAsia" w:eastAsiaTheme="majorEastAsia" w:cstheme="majorEastAsia"/>
          <w:b/>
          <w:color w:val="auto"/>
          <w:sz w:val="24"/>
          <w:szCs w:val="24"/>
          <w:highlight w:val="none"/>
        </w:rPr>
        <w:t>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6.1、服务范围：文化中心食堂</w:t>
      </w:r>
    </w:p>
    <w:p>
      <w:pPr>
        <w:pStyle w:val="8"/>
        <w:keepNext w:val="0"/>
        <w:keepLines w:val="0"/>
        <w:pageBreakBefore w:val="0"/>
        <w:widowControl w:val="0"/>
        <w:kinsoku/>
        <w:wordWrap/>
        <w:overflowPunct/>
        <w:topLinePunct w:val="0"/>
        <w:bidi w:val="0"/>
        <w:adjustRightInd/>
        <w:snapToGrid/>
        <w:spacing w:line="370" w:lineRule="exac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　　</w:t>
      </w:r>
      <w:r>
        <w:rPr>
          <w:rFonts w:hint="eastAsia" w:asciiTheme="majorEastAsia" w:hAnsiTheme="majorEastAsia" w:eastAsiaTheme="majorEastAsia" w:cstheme="majorEastAsia"/>
          <w:color w:val="auto"/>
          <w:sz w:val="24"/>
          <w:szCs w:val="24"/>
          <w:highlight w:val="none"/>
        </w:rPr>
        <w:t>就餐人数情况：预计早中就餐人数250人左右，晚餐就餐人数为50人左右，具体根据实际就餐人数为准。</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6.2、素质要求：50周岁以下，身体经体检健康，适宜从事餐饮工作；无劣迹污点，工作责任性强，能吃苦耐劳。</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6.3、岗位要求：</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6.3.1、厨师，4人（其中主厨1人，副厨3人），负责：工作日中心工作人员早中餐、值班晚餐、节假日值班、公务接待的烹饪；</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6.3.2、面点师，1人，负责工作日中心工作人员早、中二餐的各类面点制作，协助主厨做好其他工作；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6.3.3、服务员，1人，刷卡及协助包厢来客接待服务工作；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6.3.4、洗杂工，</w:t>
      </w: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人，负责食堂卫生工作、洗菜及洗碗工作。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6.3.5、以上人员在从业前必须取得健康证。</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b/>
          <w:color w:val="auto"/>
          <w:sz w:val="24"/>
          <w:szCs w:val="24"/>
          <w:highlight w:val="none"/>
        </w:rPr>
        <w:t>7、绿化服务，人员配置2人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7.1、服务范围：文化中心绿化</w:t>
      </w:r>
      <w:r>
        <w:rPr>
          <w:rFonts w:hint="eastAsia" w:asciiTheme="majorEastAsia" w:hAnsiTheme="majorEastAsia" w:eastAsiaTheme="majorEastAsia" w:cstheme="majorEastAsia"/>
          <w:color w:val="auto"/>
          <w:sz w:val="24"/>
          <w:szCs w:val="24"/>
          <w:highlight w:val="none"/>
          <w:lang w:eastAsia="zh-CN"/>
        </w:rPr>
        <w:t>养护</w:t>
      </w:r>
      <w:r>
        <w:rPr>
          <w:rFonts w:hint="eastAsia" w:asciiTheme="majorEastAsia" w:hAnsiTheme="majorEastAsia" w:eastAsiaTheme="majorEastAsia" w:cstheme="majorEastAsia"/>
          <w:color w:val="auto"/>
          <w:sz w:val="24"/>
          <w:szCs w:val="24"/>
          <w:highlight w:val="none"/>
        </w:rPr>
        <w:t>服务</w:t>
      </w:r>
      <w:r>
        <w:rPr>
          <w:rFonts w:hint="eastAsia" w:asciiTheme="majorEastAsia" w:hAnsiTheme="majorEastAsia" w:eastAsiaTheme="majorEastAsia" w:cstheme="majorEastAsia"/>
          <w:color w:val="auto"/>
          <w:sz w:val="24"/>
          <w:szCs w:val="24"/>
          <w:highlight w:val="none"/>
          <w:lang w:eastAsia="zh-CN"/>
        </w:rPr>
        <w:t>（不含</w:t>
      </w:r>
      <w:r>
        <w:rPr>
          <w:rFonts w:hint="eastAsia" w:asciiTheme="majorEastAsia" w:hAnsiTheme="majorEastAsia" w:eastAsiaTheme="majorEastAsia" w:cstheme="majorEastAsia"/>
          <w:color w:val="auto"/>
          <w:sz w:val="24"/>
          <w:szCs w:val="24"/>
          <w:highlight w:val="none"/>
        </w:rPr>
        <w:t>各场馆绿植摆放</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7.2、素质要求：60周岁以下，身体健康，服务态度好，工作责任心强，无不良嗜好。</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7.3、岗位要求：</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7.3.1、负责管理区域的所有绿化内无杂草、无虫害；</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7.3.2、定期浇水、施肥、修剪；</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7.3.3、补种树苗费用另行结算。</w:t>
      </w:r>
    </w:p>
    <w:p>
      <w:pPr>
        <w:keepNext w:val="0"/>
        <w:keepLines w:val="0"/>
        <w:pageBreakBefore w:val="0"/>
        <w:widowControl w:val="0"/>
        <w:kinsoku/>
        <w:wordWrap/>
        <w:overflowPunct/>
        <w:topLinePunct w:val="0"/>
        <w:bidi w:val="0"/>
        <w:adjustRightInd/>
        <w:snapToGrid/>
        <w:spacing w:before="156" w:beforeLines="50" w:line="370" w:lineRule="exact"/>
        <w:ind w:firstLine="482" w:firstLineChars="200"/>
        <w:textAlignment w:val="auto"/>
        <w:rPr>
          <w:rFonts w:hint="eastAsia" w:asciiTheme="majorEastAsia" w:hAnsiTheme="majorEastAsia" w:eastAsiaTheme="majorEastAsia" w:cstheme="majorEastAsia"/>
          <w:b/>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lang w:val="en-US" w:eastAsia="zh-CN"/>
        </w:rPr>
        <w:t>8、业态经营，人员配置3人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8.1、服务范围：对城市文化广场内部相关业态进行经营工作；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8.2、素质要求：40周岁以下，身体健康，服务态度好，工作责任心强。</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8.3、岗位要求：</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8.3.1、业态经营相关产品的生产及场地保洁作；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8.3.2、负责业态经营外部所属设施设备的维护及保洁工作；</w:t>
      </w:r>
    </w:p>
    <w:p>
      <w:pPr>
        <w:keepNext w:val="0"/>
        <w:keepLines w:val="0"/>
        <w:pageBreakBefore w:val="0"/>
        <w:widowControl w:val="0"/>
        <w:kinsoku/>
        <w:wordWrap/>
        <w:overflowPunct/>
        <w:topLinePunct w:val="0"/>
        <w:bidi w:val="0"/>
        <w:adjustRightInd/>
        <w:snapToGrid/>
        <w:spacing w:line="370" w:lineRule="exact"/>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8.3.3、有相关业态产品生产能力；</w:t>
      </w:r>
    </w:p>
    <w:p>
      <w:pPr>
        <w:keepNext w:val="0"/>
        <w:keepLines w:val="0"/>
        <w:pageBreakBefore w:val="0"/>
        <w:kinsoku/>
        <w:wordWrap/>
        <w:overflowPunct/>
        <w:topLinePunct w:val="0"/>
        <w:bidi w:val="0"/>
        <w:spacing w:before="156" w:beforeLines="50" w:line="360" w:lineRule="exact"/>
        <w:ind w:firstLine="482"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val="en-US" w:eastAsia="zh-CN"/>
        </w:rPr>
        <w:t>9</w:t>
      </w: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color w:val="auto"/>
          <w:sz w:val="24"/>
          <w:szCs w:val="24"/>
          <w:highlight w:val="none"/>
        </w:rPr>
        <w:t>项目人员配备人数</w:t>
      </w:r>
    </w:p>
    <w:tbl>
      <w:tblPr>
        <w:tblStyle w:val="18"/>
        <w:tblW w:w="0" w:type="auto"/>
        <w:jc w:val="center"/>
        <w:tblLayout w:type="fixed"/>
        <w:tblCellMar>
          <w:top w:w="15" w:type="dxa"/>
          <w:left w:w="15" w:type="dxa"/>
          <w:bottom w:w="15" w:type="dxa"/>
          <w:right w:w="15" w:type="dxa"/>
        </w:tblCellMar>
      </w:tblPr>
      <w:tblGrid>
        <w:gridCol w:w="850"/>
        <w:gridCol w:w="1166"/>
        <w:gridCol w:w="2610"/>
        <w:gridCol w:w="960"/>
        <w:gridCol w:w="2589"/>
      </w:tblGrid>
      <w:tr>
        <w:tblPrEx>
          <w:tblCellMar>
            <w:top w:w="15" w:type="dxa"/>
            <w:left w:w="15" w:type="dxa"/>
            <w:bottom w:w="15" w:type="dxa"/>
            <w:right w:w="15" w:type="dxa"/>
          </w:tblCellMar>
        </w:tblPrEx>
        <w:trPr>
          <w:trHeight w:val="512" w:hRule="atLeas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EAF1DD"/>
            <w:noWrap w:val="0"/>
            <w:vAlign w:val="center"/>
          </w:tcPr>
          <w:p>
            <w:pPr>
              <w:keepNext w:val="0"/>
              <w:keepLines w:val="0"/>
              <w:pageBreakBefore w:val="0"/>
              <w:suppressLineNumbers w:val="0"/>
              <w:kinsoku/>
              <w:wordWrap/>
              <w:overflowPunct/>
              <w:topLinePunct w:val="0"/>
              <w:bidi w:val="0"/>
              <w:adjustRightInd w:val="0"/>
              <w:snapToGrid w:val="0"/>
              <w:spacing w:before="156" w:beforeLines="5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3776" w:type="dxa"/>
            <w:gridSpan w:val="2"/>
            <w:tcBorders>
              <w:top w:val="single" w:color="000000" w:sz="4" w:space="0"/>
              <w:left w:val="single" w:color="000000" w:sz="4" w:space="0"/>
              <w:bottom w:val="single" w:color="000000" w:sz="4" w:space="0"/>
              <w:right w:val="single" w:color="000000" w:sz="4" w:space="0"/>
            </w:tcBorders>
            <w:shd w:val="clear" w:color="auto" w:fill="EAF1DD"/>
            <w:noWrap w:val="0"/>
            <w:vAlign w:val="center"/>
          </w:tcPr>
          <w:p>
            <w:pPr>
              <w:keepNext w:val="0"/>
              <w:keepLines w:val="0"/>
              <w:pageBreakBefore w:val="0"/>
              <w:suppressLineNumbers w:val="0"/>
              <w:kinsoku/>
              <w:wordWrap/>
              <w:overflowPunct/>
              <w:topLinePunct w:val="0"/>
              <w:bidi w:val="0"/>
              <w:adjustRightInd w:val="0"/>
              <w:snapToGrid w:val="0"/>
              <w:spacing w:before="156" w:beforeLines="5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人员</w:t>
            </w:r>
          </w:p>
        </w:tc>
        <w:tc>
          <w:tcPr>
            <w:tcW w:w="960" w:type="dxa"/>
            <w:tcBorders>
              <w:top w:val="single" w:color="000000" w:sz="4" w:space="0"/>
              <w:left w:val="single" w:color="000000" w:sz="4" w:space="0"/>
              <w:bottom w:val="single" w:color="000000" w:sz="4" w:space="0"/>
              <w:right w:val="single" w:color="000000" w:sz="4" w:space="0"/>
            </w:tcBorders>
            <w:shd w:val="clear" w:color="auto" w:fill="EAF1DD"/>
            <w:noWrap w:val="0"/>
            <w:vAlign w:val="center"/>
          </w:tcPr>
          <w:p>
            <w:pPr>
              <w:keepNext w:val="0"/>
              <w:keepLines w:val="0"/>
              <w:pageBreakBefore w:val="0"/>
              <w:suppressLineNumbers w:val="0"/>
              <w:kinsoku/>
              <w:wordWrap/>
              <w:overflowPunct/>
              <w:topLinePunct w:val="0"/>
              <w:bidi w:val="0"/>
              <w:adjustRightInd w:val="0"/>
              <w:snapToGrid w:val="0"/>
              <w:spacing w:before="156" w:beforeLines="5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数量</w:t>
            </w:r>
          </w:p>
        </w:tc>
        <w:tc>
          <w:tcPr>
            <w:tcW w:w="2589" w:type="dxa"/>
            <w:tcBorders>
              <w:top w:val="single" w:color="000000" w:sz="4" w:space="0"/>
              <w:left w:val="single" w:color="000000" w:sz="4" w:space="0"/>
              <w:bottom w:val="single" w:color="000000" w:sz="4" w:space="0"/>
              <w:right w:val="single" w:color="000000" w:sz="4" w:space="0"/>
            </w:tcBorders>
            <w:shd w:val="clear" w:color="auto" w:fill="EAF1DD"/>
            <w:noWrap w:val="0"/>
            <w:vAlign w:val="center"/>
          </w:tcPr>
          <w:p>
            <w:pPr>
              <w:keepNext w:val="0"/>
              <w:keepLines w:val="0"/>
              <w:pageBreakBefore w:val="0"/>
              <w:suppressLineNumbers w:val="0"/>
              <w:kinsoku/>
              <w:wordWrap/>
              <w:overflowPunct/>
              <w:topLinePunct w:val="0"/>
              <w:bidi w:val="0"/>
              <w:adjustRightInd w:val="0"/>
              <w:snapToGrid w:val="0"/>
              <w:spacing w:before="156" w:beforeLines="5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备注</w:t>
            </w:r>
          </w:p>
        </w:tc>
      </w:tr>
      <w:tr>
        <w:tblPrEx>
          <w:tblCellMar>
            <w:top w:w="15" w:type="dxa"/>
            <w:left w:w="15" w:type="dxa"/>
            <w:bottom w:w="15" w:type="dxa"/>
            <w:right w:w="15" w:type="dxa"/>
          </w:tblCellMar>
        </w:tblPrEx>
        <w:trPr>
          <w:trHeight w:val="566" w:hRule="atLeast"/>
          <w:jc w:val="center"/>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37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项目经理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24" w:hRule="atLeast"/>
          <w:jc w:val="center"/>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37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经理助理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（兼餐饮负责人）</w:t>
            </w:r>
          </w:p>
        </w:tc>
      </w:tr>
      <w:tr>
        <w:tblPrEx>
          <w:tblCellMar>
            <w:top w:w="15" w:type="dxa"/>
            <w:left w:w="15" w:type="dxa"/>
            <w:bottom w:w="15" w:type="dxa"/>
            <w:right w:w="15" w:type="dxa"/>
          </w:tblCellMar>
        </w:tblPrEx>
        <w:trPr>
          <w:trHeight w:val="624" w:hRule="atLeast"/>
          <w:jc w:val="center"/>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37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前厅接待及会务服务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48" w:hRule="atLeast"/>
          <w:jc w:val="center"/>
        </w:trPr>
        <w:tc>
          <w:tcPr>
            <w:tcW w:w="8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116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工程服务人员</w:t>
            </w:r>
          </w:p>
        </w:tc>
        <w:tc>
          <w:tcPr>
            <w:tcW w:w="261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工程主管</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5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89" w:hRule="atLeast"/>
          <w:jc w:val="center"/>
        </w:trPr>
        <w:tc>
          <w:tcPr>
            <w:tcW w:w="8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116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26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高配值班电工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25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43" w:hRule="atLeast"/>
          <w:jc w:val="center"/>
        </w:trPr>
        <w:tc>
          <w:tcPr>
            <w:tcW w:w="8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116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261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电工、管道工</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p>
        </w:tc>
        <w:tc>
          <w:tcPr>
            <w:tcW w:w="25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86" w:hRule="atLeast"/>
          <w:jc w:val="center"/>
        </w:trPr>
        <w:tc>
          <w:tcPr>
            <w:tcW w:w="8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116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保安员</w:t>
            </w:r>
          </w:p>
        </w:tc>
        <w:tc>
          <w:tcPr>
            <w:tcW w:w="261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保安主管</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5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77" w:hRule="atLeast"/>
          <w:jc w:val="center"/>
        </w:trPr>
        <w:tc>
          <w:tcPr>
            <w:tcW w:w="85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116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261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保安员</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34</w:t>
            </w:r>
          </w:p>
        </w:tc>
        <w:tc>
          <w:tcPr>
            <w:tcW w:w="258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47" w:hRule="atLeast"/>
          <w:jc w:val="center"/>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377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保洁员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22</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07" w:hRule="atLeast"/>
          <w:jc w:val="center"/>
        </w:trPr>
        <w:tc>
          <w:tcPr>
            <w:tcW w:w="85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p>
        </w:tc>
        <w:tc>
          <w:tcPr>
            <w:tcW w:w="116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餐饮人员</w:t>
            </w:r>
          </w:p>
        </w:tc>
        <w:tc>
          <w:tcPr>
            <w:tcW w:w="261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中式烹调师</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258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其中主厨1名，副厨3名。</w:t>
            </w:r>
          </w:p>
        </w:tc>
      </w:tr>
      <w:tr>
        <w:tblPrEx>
          <w:tblCellMar>
            <w:top w:w="15" w:type="dxa"/>
            <w:left w:w="15" w:type="dxa"/>
            <w:bottom w:w="15" w:type="dxa"/>
            <w:right w:w="15" w:type="dxa"/>
          </w:tblCellMar>
        </w:tblPrEx>
        <w:trPr>
          <w:trHeight w:val="638" w:hRule="atLeast"/>
          <w:jc w:val="center"/>
        </w:trPr>
        <w:tc>
          <w:tcPr>
            <w:tcW w:w="85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1166"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26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西式面点师</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5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66" w:hRule="atLeast"/>
          <w:jc w:val="center"/>
        </w:trPr>
        <w:tc>
          <w:tcPr>
            <w:tcW w:w="85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1166"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26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餐厅服务员</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25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19" w:hRule="atLeast"/>
          <w:jc w:val="center"/>
        </w:trPr>
        <w:tc>
          <w:tcPr>
            <w:tcW w:w="850"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1166"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c>
          <w:tcPr>
            <w:tcW w:w="261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洗杂工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25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46" w:hRule="atLeast"/>
          <w:jc w:val="center"/>
        </w:trPr>
        <w:tc>
          <w:tcPr>
            <w:tcW w:w="8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w:t>
            </w:r>
          </w:p>
        </w:tc>
        <w:tc>
          <w:tcPr>
            <w:tcW w:w="3776"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绿化工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25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697" w:hRule="atLeast"/>
          <w:jc w:val="center"/>
        </w:trPr>
        <w:tc>
          <w:tcPr>
            <w:tcW w:w="8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9</w:t>
            </w:r>
          </w:p>
        </w:tc>
        <w:tc>
          <w:tcPr>
            <w:tcW w:w="3776"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业态经营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3</w:t>
            </w:r>
          </w:p>
        </w:tc>
        <w:tc>
          <w:tcPr>
            <w:tcW w:w="258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r>
        <w:tblPrEx>
          <w:tblCellMar>
            <w:top w:w="15" w:type="dxa"/>
            <w:left w:w="15" w:type="dxa"/>
            <w:bottom w:w="15" w:type="dxa"/>
            <w:right w:w="15" w:type="dxa"/>
          </w:tblCellMar>
        </w:tblPrEx>
        <w:trPr>
          <w:trHeight w:val="584" w:hRule="atLeast"/>
          <w:jc w:val="center"/>
        </w:trPr>
        <w:tc>
          <w:tcPr>
            <w:tcW w:w="462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82</w:t>
            </w:r>
          </w:p>
        </w:tc>
        <w:tc>
          <w:tcPr>
            <w:tcW w:w="2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right="0"/>
              <w:jc w:val="center"/>
              <w:textAlignment w:val="auto"/>
              <w:rPr>
                <w:rFonts w:hint="eastAsia" w:asciiTheme="majorEastAsia" w:hAnsiTheme="majorEastAsia" w:eastAsiaTheme="majorEastAsia" w:cstheme="majorEastAsia"/>
                <w:color w:val="auto"/>
                <w:sz w:val="24"/>
                <w:szCs w:val="24"/>
                <w:highlight w:val="none"/>
              </w:rPr>
            </w:pPr>
          </w:p>
        </w:tc>
      </w:tr>
    </w:tbl>
    <w:p>
      <w:pPr>
        <w:pStyle w:val="2"/>
        <w:ind w:left="0" w:leftChars="0" w:firstLine="0" w:firstLineChars="0"/>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bidi w:val="0"/>
        <w:spacing w:before="156" w:beforeLines="50" w:line="360" w:lineRule="exact"/>
        <w:ind w:firstLine="482" w:firstLineChars="200"/>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bidi w:val="0"/>
        <w:spacing w:before="156" w:beforeLines="50" w:line="36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rPr>
        <w:t>物业管理考核实施办法：</w:t>
      </w:r>
    </w:p>
    <w:p>
      <w:pPr>
        <w:pStyle w:val="8"/>
        <w:keepNext w:val="0"/>
        <w:keepLines w:val="0"/>
        <w:pageBreakBefore w:val="0"/>
        <w:kinsoku/>
        <w:wordWrap/>
        <w:overflowPunct/>
        <w:topLinePunct w:val="0"/>
        <w:bidi w:val="0"/>
        <w:spacing w:line="360" w:lineRule="exact"/>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bCs/>
          <w:color w:val="auto"/>
          <w:sz w:val="24"/>
          <w:szCs w:val="24"/>
          <w:highlight w:val="none"/>
        </w:rPr>
        <w:t>为加强</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rPr>
        <w:t>单位物业管理，保持本项目的整体形象及风貌，提高物业人员的工作责任心，促进各项工作的有序开展，制订以下考核细则：</w:t>
      </w:r>
    </w:p>
    <w:tbl>
      <w:tblPr>
        <w:tblStyle w:val="18"/>
        <w:tblpPr w:leftFromText="180" w:rightFromText="180" w:vertAnchor="text" w:horzAnchor="page" w:tblpX="1187" w:tblpY="246"/>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4038"/>
        <w:gridCol w:w="3911"/>
        <w:gridCol w:w="912"/>
        <w:gridCol w:w="750"/>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序号</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考核内容</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评分标准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标准分值</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考核分值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建立健全完整的各项管理制度和档案台帐、各岗位工作标准，制定具体的工作落实措施和考核办法。</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未建立管理制度和工作标准扣2分；</w:t>
            </w:r>
          </w:p>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未建立工作措施和考核办法扣2分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54"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有明确的月度工作计划和工作目标并按计划落实，并有月度工作总结</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无月度工作计划或工作总结的扣2分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54"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3</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人员到位率符合要求，人员考勤管理记录清楚，无迟到、早退、缺勤、脱岗、离岗、串岗现象。人员档案健全，无不良犯罪记录。</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发现一次扣1分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2" w:hRule="atLeast"/>
        </w:trPr>
        <w:tc>
          <w:tcPr>
            <w:tcW w:w="554"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员工统一着装，佩戴明显标志，工作规范，作风严谨，仪容仪表符合服务要求，服务用语及服务动作规范。</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未统一着装或未佩带标志发现一次扣1分，工作中使用不文明语言，与群众无理争吵发现一次扣3分。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54"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人员缺编须限期调整到位，人员变动信息需提前三个工作日内上报招标人</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未限期调整到位，发现人员变动没有及时上报发现一次扣1分。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554" w:type="dxa"/>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设立客服电话，接受对物业管理服务报修、求助、建议、问询、质疑、投诉等各类信息的收集和反馈，并及时处理。小事在当日解决，不能当日内解决的，必须制定解决期限，每次服务有回访制度和记录。</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对各类信息未收集和处理扣1分；处理后未回访或未记录扣1分。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物业公司每月至少一次和</w:t>
            </w: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人进行一次工作沟通，了解物管工作存在的问题，及时改进措施。</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工作未沟通，扣2分，对招标人提出的问题不及时解决，扣2分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4</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5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停车场有专人疏导，管理有序，排列整齐，无堵塞交通现象；非机动车车辆集中停放场地，管理制度落实，停放整齐，场地整洁</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未对车辆进行指挥、疏通或非机动车车辆停放混乱，每发现一次扣1分。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5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9</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保安人员熟悉场地环境，文明值勤、训练有素、言语规范认真，上班时间不做与工作无关的事，严禁脱岗，吸烟、吃东西、打瞌睡。</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上班时间看书报，吃东西、打瞌睡、打电话超过2分钟等，每发现一次扣1分；</w:t>
            </w:r>
          </w:p>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发现脱岗现象，每次扣2分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定期开展安全教育、组织安全检查和演练，建立安全生产管理台账</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未开展安全教育、检查和演练不得分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5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11</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保洁区域内实行责任制，有专职的清洁人员和明确的责任范围，实行标准化保洁；</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未实行责任制扣1分； 无明确责任范围扣1分；每发现一处垃圾扣1分；未达到垃圾日产日清的扣1分；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12</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卫生间清洁、无异味，洗面台、镜子无污水或污迹。</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每发现一次洗面台和镜面有污水和污渍扣1分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4"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exact"/>
              <w:ind w:left="0" w:right="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13</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餐饮人员具有健康证</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发现一名人员没有健康证，扣5分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14</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制定岗位责任制、每天一次巡查设施设备，记录设施设备的运行记录并做好设备基本保养工作，发现问题，及时处理。</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无巡查，无养护计划，无运行记录发现一次扣1分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15</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由物业公司造成的刑事案件、治安案件、违法犯罪行为和影响社会稳定的群体性事件</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出现一次扣10分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10</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16</w:t>
            </w:r>
          </w:p>
        </w:tc>
        <w:tc>
          <w:tcPr>
            <w:tcW w:w="4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配合</w:t>
            </w:r>
            <w:r>
              <w:rPr>
                <w:rFonts w:hint="eastAsia" w:asciiTheme="majorEastAsia" w:hAnsiTheme="majorEastAsia" w:eastAsiaTheme="majorEastAsia" w:cstheme="majorEastAsia"/>
                <w:color w:val="auto"/>
                <w:sz w:val="24"/>
                <w:szCs w:val="24"/>
                <w:highlight w:val="none"/>
                <w:lang w:val="en-US" w:eastAsia="zh-CN"/>
              </w:rPr>
              <w:t>采购</w:t>
            </w:r>
            <w:r>
              <w:rPr>
                <w:rFonts w:hint="eastAsia" w:asciiTheme="majorEastAsia" w:hAnsiTheme="majorEastAsia" w:eastAsiaTheme="majorEastAsia" w:cstheme="majorEastAsia"/>
                <w:color w:val="auto"/>
                <w:sz w:val="24"/>
                <w:szCs w:val="24"/>
                <w:highlight w:val="none"/>
              </w:rPr>
              <w:t>单位完成公益性活动（商业活动除外）的临时布置任务和突发性事件。</w:t>
            </w:r>
          </w:p>
        </w:tc>
        <w:tc>
          <w:tcPr>
            <w:tcW w:w="39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每完成一项加5分,未发生得0分。</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jc w:val="center"/>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w:t>
            </w:r>
          </w:p>
        </w:tc>
        <w:tc>
          <w:tcPr>
            <w:tcW w:w="7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575" w:hRule="atLeast"/>
        </w:trPr>
        <w:tc>
          <w:tcPr>
            <w:tcW w:w="101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360" w:lineRule="exact"/>
              <w:ind w:left="0"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总分100分</w:t>
            </w:r>
          </w:p>
        </w:tc>
      </w:tr>
    </w:tbl>
    <w:p>
      <w:pPr>
        <w:keepNext w:val="0"/>
        <w:keepLines w:val="0"/>
        <w:pageBreakBefore w:val="0"/>
        <w:widowControl w:val="0"/>
        <w:kinsoku/>
        <w:wordWrap/>
        <w:overflowPunct/>
        <w:topLinePunct w:val="0"/>
        <w:autoSpaceDE/>
        <w:autoSpaceDN/>
        <w:bidi w:val="0"/>
        <w:adjustRightInd/>
        <w:snapToGrid/>
        <w:spacing w:line="360" w:lineRule="exact"/>
        <w:ind w:right="28"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宋体" w:hAnsi="宋体" w:cs="宋体"/>
          <w:color w:val="auto"/>
          <w:sz w:val="24"/>
          <w:szCs w:val="24"/>
          <w:highlight w:val="none"/>
          <w:lang w:val="en-US" w:eastAsia="zh-CN"/>
        </w:rPr>
        <w:t>注：物业管理考核实施办法如有未尽事项，采购人可与中标人协商拟定，根据双方协商拟定后的考核实施办法进行考核。</w:t>
      </w:r>
    </w:p>
    <w:p>
      <w:pPr>
        <w:keepNext w:val="0"/>
        <w:keepLines w:val="0"/>
        <w:pageBreakBefore w:val="0"/>
        <w:widowControl w:val="0"/>
        <w:kinsoku/>
        <w:wordWrap/>
        <w:overflowPunct/>
        <w:topLinePunct w:val="0"/>
        <w:autoSpaceDE/>
        <w:autoSpaceDN/>
        <w:bidi w:val="0"/>
        <w:adjustRightInd/>
        <w:snapToGrid/>
        <w:spacing w:line="360" w:lineRule="exact"/>
        <w:ind w:right="28"/>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考核办法注意事项：</w:t>
      </w:r>
    </w:p>
    <w:p>
      <w:pPr>
        <w:keepNext w:val="0"/>
        <w:keepLines w:val="0"/>
        <w:pageBreakBefore w:val="0"/>
        <w:widowControl w:val="0"/>
        <w:kinsoku/>
        <w:wordWrap/>
        <w:overflowPunct/>
        <w:topLinePunct w:val="0"/>
        <w:autoSpaceDE/>
        <w:autoSpaceDN/>
        <w:bidi w:val="0"/>
        <w:adjustRightInd/>
        <w:snapToGrid/>
        <w:spacing w:line="360" w:lineRule="exact"/>
        <w:ind w:right="28"/>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　　</w:t>
      </w:r>
      <w:r>
        <w:rPr>
          <w:rFonts w:hint="eastAsia" w:asciiTheme="majorEastAsia" w:hAnsiTheme="majorEastAsia" w:eastAsiaTheme="majorEastAsia" w:cstheme="majorEastAsia"/>
          <w:color w:val="auto"/>
          <w:sz w:val="24"/>
          <w:szCs w:val="24"/>
          <w:highlight w:val="none"/>
        </w:rPr>
        <w:t>1、中标人要无条件接受采购人定期或不定期检查监督，本考核细则由采购人每季度进行打分考核，满分为100分，考核分值四舍五入到整数。若得分高于95分（含），考核成绩为优秀，当季度实发金额为当季度合同金额。若得分为85分（含）——94分（含）之间，考核成绩为合格；得94分，当季度实发金额为当月合同金额的94%；得93分，当季度实发金额为当季度合同金额的93%；依此类推。若得分低于84分（含），考核成绩为不合格，一律扣发当季度合同金额的20%，即当季度实发金额为当季度合同金额的80%。</w:t>
      </w:r>
    </w:p>
    <w:p>
      <w:pPr>
        <w:keepNext w:val="0"/>
        <w:keepLines w:val="0"/>
        <w:pageBreakBefore w:val="0"/>
        <w:widowControl w:val="0"/>
        <w:kinsoku/>
        <w:wordWrap/>
        <w:overflowPunct/>
        <w:topLinePunct w:val="0"/>
        <w:autoSpaceDE/>
        <w:autoSpaceDN/>
        <w:bidi w:val="0"/>
        <w:adjustRightInd/>
        <w:snapToGrid/>
        <w:spacing w:line="360" w:lineRule="exact"/>
        <w:ind w:right="28"/>
        <w:textAlignment w:val="auto"/>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　　</w:t>
      </w:r>
      <w:r>
        <w:rPr>
          <w:rFonts w:hint="eastAsia" w:asciiTheme="majorEastAsia" w:hAnsiTheme="majorEastAsia" w:eastAsiaTheme="majorEastAsia" w:cstheme="majorEastAsia"/>
          <w:color w:val="auto"/>
          <w:sz w:val="24"/>
          <w:szCs w:val="24"/>
          <w:highlight w:val="none"/>
        </w:rPr>
        <w:t>2、如果中标单位管理混乱，经采购人督促后未改进，一年度内有二次季度考核不合格，招标人有权终止合同。</w:t>
      </w:r>
    </w:p>
    <w:p>
      <w:pPr>
        <w:keepNext w:val="0"/>
        <w:keepLines w:val="0"/>
        <w:pageBreakBefore w:val="0"/>
        <w:kinsoku/>
        <w:wordWrap/>
        <w:overflowPunct/>
        <w:topLinePunct w:val="0"/>
        <w:bidi w:val="0"/>
        <w:spacing w:before="156" w:beforeLines="50" w:line="360" w:lineRule="auto"/>
        <w:textAlignment w:val="auto"/>
        <w:rPr>
          <w:rFonts w:hint="eastAsia" w:ascii="宋体" w:hAnsi="宋体" w:cs="宋体"/>
          <w:b/>
          <w:color w:val="auto"/>
          <w:szCs w:val="21"/>
          <w:highlight w:val="none"/>
        </w:rPr>
      </w:pPr>
      <w:r>
        <w:rPr>
          <w:rFonts w:hint="eastAsia" w:asciiTheme="majorEastAsia" w:hAnsiTheme="majorEastAsia" w:eastAsiaTheme="majorEastAsia" w:cstheme="majorEastAsia"/>
          <w:b/>
          <w:color w:val="auto"/>
          <w:sz w:val="24"/>
          <w:szCs w:val="24"/>
          <w:highlight w:val="none"/>
        </w:rPr>
        <w:t>六、商务要求</w:t>
      </w:r>
    </w:p>
    <w:tbl>
      <w:tblPr>
        <w:tblStyle w:val="18"/>
        <w:tblW w:w="9697"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85" w:type="dxa"/>
            <w:noWrap w:val="0"/>
            <w:vAlign w:val="center"/>
          </w:tcPr>
          <w:p>
            <w:pPr>
              <w:keepNext w:val="0"/>
              <w:keepLines w:val="0"/>
              <w:pageBreakBefore w:val="0"/>
              <w:widowControl w:val="0"/>
              <w:tabs>
                <w:tab w:val="left" w:pos="0"/>
              </w:tabs>
              <w:kinsoku/>
              <w:wordWrap/>
              <w:overflowPunct/>
              <w:topLinePunct w:val="0"/>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项目</w:t>
            </w:r>
          </w:p>
        </w:tc>
        <w:tc>
          <w:tcPr>
            <w:tcW w:w="8212" w:type="dxa"/>
            <w:noWrap w:val="0"/>
            <w:vAlign w:val="center"/>
          </w:tcPr>
          <w:p>
            <w:pPr>
              <w:keepNext w:val="0"/>
              <w:keepLines w:val="0"/>
              <w:pageBreakBefore w:val="0"/>
              <w:widowControl w:val="0"/>
              <w:tabs>
                <w:tab w:val="left" w:pos="0"/>
              </w:tabs>
              <w:kinsoku/>
              <w:wordWrap/>
              <w:overflowPunct/>
              <w:topLinePunct w:val="0"/>
              <w:bidi w:val="0"/>
              <w:adjustRightInd w:val="0"/>
              <w:snapToGrid w:val="0"/>
              <w:spacing w:line="360" w:lineRule="exact"/>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85" w:type="dxa"/>
            <w:noWrap w:val="0"/>
            <w:vAlign w:val="center"/>
          </w:tcPr>
          <w:p>
            <w:pPr>
              <w:keepNext w:val="0"/>
              <w:keepLines w:val="0"/>
              <w:pageBreakBefore w:val="0"/>
              <w:widowControl w:val="0"/>
              <w:tabs>
                <w:tab w:val="left" w:pos="0"/>
              </w:tabs>
              <w:kinsoku/>
              <w:wordWrap/>
              <w:overflowPunct/>
              <w:topLinePunct w:val="0"/>
              <w:bidi w:val="0"/>
              <w:adjustRightInd w:val="0"/>
              <w:snapToGrid w:val="0"/>
              <w:spacing w:line="360" w:lineRule="exac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投标报价</w:t>
            </w:r>
          </w:p>
        </w:tc>
        <w:tc>
          <w:tcPr>
            <w:tcW w:w="8212" w:type="dxa"/>
            <w:noWrap w:val="0"/>
            <w:vAlign w:val="center"/>
          </w:tcPr>
          <w:p>
            <w:pPr>
              <w:keepNext w:val="0"/>
              <w:keepLines w:val="0"/>
              <w:pageBreakBefore w:val="0"/>
              <w:widowControl w:val="0"/>
              <w:tabs>
                <w:tab w:val="left" w:pos="0"/>
              </w:tabs>
              <w:kinsoku/>
              <w:wordWrap/>
              <w:overflowPunct/>
              <w:topLinePunct w:val="0"/>
              <w:bidi w:val="0"/>
              <w:adjustRightInd w:val="0"/>
              <w:snapToGrid w:val="0"/>
              <w:spacing w:line="360" w:lineRule="exac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完成本项目的所有费用，包含福利、岗位补贴、社保、意外保险、节假日加班费，服装费</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管理费</w:t>
            </w:r>
            <w:r>
              <w:rPr>
                <w:rFonts w:hint="eastAsia" w:asciiTheme="majorEastAsia" w:hAnsiTheme="majorEastAsia" w:eastAsiaTheme="majorEastAsia" w:cstheme="majorEastAsia"/>
                <w:color w:val="auto"/>
                <w:sz w:val="24"/>
                <w:szCs w:val="24"/>
                <w:highlight w:val="none"/>
                <w:lang w:val="en-US" w:eastAsia="zh-CN"/>
              </w:rPr>
              <w:t>及</w:t>
            </w:r>
            <w:r>
              <w:rPr>
                <w:rFonts w:hint="eastAsia" w:asciiTheme="majorEastAsia" w:hAnsiTheme="majorEastAsia" w:eastAsiaTheme="majorEastAsia" w:cstheme="majorEastAsia"/>
                <w:color w:val="auto"/>
                <w:sz w:val="24"/>
                <w:szCs w:val="24"/>
                <w:highlight w:val="none"/>
              </w:rPr>
              <w:t>购买服务需交纳的所有税费及其他一切相关费用（含服务过程中所需的耗材及设备等），投标人少报或漏报的工作量，采购人将视为已包含在投标总价中，并不予调整。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485" w:type="dxa"/>
            <w:noWrap w:val="0"/>
            <w:vAlign w:val="center"/>
          </w:tcPr>
          <w:p>
            <w:pPr>
              <w:keepNext w:val="0"/>
              <w:keepLines w:val="0"/>
              <w:pageBreakBefore w:val="0"/>
              <w:kinsoku/>
              <w:wordWrap/>
              <w:overflowPunct/>
              <w:topLinePunct w:val="0"/>
              <w:bidi w:val="0"/>
              <w:spacing w:line="360" w:lineRule="exact"/>
              <w:ind w:right="31" w:rightChars="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付款方式</w:t>
            </w:r>
          </w:p>
        </w:tc>
        <w:tc>
          <w:tcPr>
            <w:tcW w:w="8212" w:type="dxa"/>
            <w:noWrap w:val="0"/>
            <w:vAlign w:val="center"/>
          </w:tcPr>
          <w:p>
            <w:pPr>
              <w:keepNext w:val="0"/>
              <w:keepLines w:val="0"/>
              <w:pageBreakBefore w:val="0"/>
              <w:kinsoku/>
              <w:wordWrap/>
              <w:overflowPunct/>
              <w:topLinePunct w:val="0"/>
              <w:bidi w:val="0"/>
              <w:spacing w:line="360" w:lineRule="exact"/>
              <w:ind w:right="31" w:rightChars="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合同签订后7个工作日内支付</w:t>
            </w:r>
            <w:r>
              <w:rPr>
                <w:rFonts w:hint="eastAsia" w:asciiTheme="majorEastAsia" w:hAnsiTheme="majorEastAsia" w:eastAsiaTheme="majorEastAsia" w:cstheme="majorEastAsia"/>
                <w:color w:val="auto"/>
                <w:sz w:val="24"/>
                <w:szCs w:val="24"/>
                <w:highlight w:val="none"/>
                <w:lang w:val="en-US" w:eastAsia="zh-CN"/>
              </w:rPr>
              <w:t>年</w:t>
            </w:r>
            <w:r>
              <w:rPr>
                <w:rFonts w:hint="eastAsia" w:asciiTheme="majorEastAsia" w:hAnsiTheme="majorEastAsia" w:eastAsiaTheme="majorEastAsia" w:cstheme="majorEastAsia"/>
                <w:color w:val="auto"/>
                <w:sz w:val="24"/>
                <w:szCs w:val="24"/>
                <w:highlight w:val="none"/>
              </w:rPr>
              <w:t>合同总金额的</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%作为预付款，剩余款项在确认工作完成的情况下，如无考核不合格，按季按实支付给中标人。</w:t>
            </w:r>
            <w:r>
              <w:rPr>
                <w:rFonts w:hint="eastAsia" w:asciiTheme="majorEastAsia" w:hAnsiTheme="majorEastAsia" w:eastAsiaTheme="majorEastAsia" w:cstheme="majorEastAsia"/>
                <w:color w:val="auto"/>
                <w:sz w:val="24"/>
                <w:szCs w:val="24"/>
                <w:highlight w:val="none"/>
                <w:lang w:eastAsia="zh-CN"/>
              </w:rPr>
              <w:t>每</w:t>
            </w:r>
            <w:r>
              <w:rPr>
                <w:rFonts w:hint="eastAsia" w:asciiTheme="majorEastAsia" w:hAnsiTheme="majorEastAsia" w:eastAsiaTheme="majorEastAsia" w:cstheme="majorEastAsia"/>
                <w:color w:val="auto"/>
                <w:sz w:val="24"/>
                <w:szCs w:val="24"/>
                <w:highlight w:val="none"/>
              </w:rPr>
              <w:t>季度支付</w:t>
            </w:r>
            <w:r>
              <w:rPr>
                <w:rFonts w:hint="eastAsia" w:asciiTheme="majorEastAsia" w:hAnsiTheme="majorEastAsia" w:eastAsiaTheme="majorEastAsia" w:cstheme="majorEastAsia"/>
                <w:color w:val="auto"/>
                <w:sz w:val="24"/>
                <w:szCs w:val="24"/>
                <w:highlight w:val="none"/>
                <w:lang w:val="en-US" w:eastAsia="zh-CN"/>
              </w:rPr>
              <w:t>年</w:t>
            </w:r>
            <w:r>
              <w:rPr>
                <w:rFonts w:hint="eastAsia" w:asciiTheme="majorEastAsia" w:hAnsiTheme="majorEastAsia" w:eastAsiaTheme="majorEastAsia" w:cstheme="majorEastAsia"/>
                <w:color w:val="auto"/>
                <w:sz w:val="24"/>
                <w:szCs w:val="24"/>
                <w:highlight w:val="none"/>
              </w:rPr>
              <w:t>合同总金额的</w:t>
            </w:r>
            <w:r>
              <w:rPr>
                <w:rFonts w:hint="eastAsia" w:asciiTheme="majorEastAsia" w:hAnsiTheme="majorEastAsia" w:eastAsiaTheme="majorEastAsia" w:cstheme="majorEastAsia"/>
                <w:color w:val="auto"/>
                <w:sz w:val="24"/>
                <w:szCs w:val="24"/>
                <w:highlight w:val="none"/>
                <w:lang w:val="en-US" w:eastAsia="zh-CN"/>
              </w:rPr>
              <w:t>20</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85" w:type="dxa"/>
            <w:noWrap w:val="0"/>
            <w:vAlign w:val="center"/>
          </w:tcPr>
          <w:p>
            <w:pPr>
              <w:keepNext w:val="0"/>
              <w:keepLines w:val="0"/>
              <w:pageBreakBefore w:val="0"/>
              <w:widowControl w:val="0"/>
              <w:tabs>
                <w:tab w:val="left" w:pos="0"/>
              </w:tabs>
              <w:kinsoku/>
              <w:wordWrap/>
              <w:overflowPunct/>
              <w:topLinePunct w:val="0"/>
              <w:bidi w:val="0"/>
              <w:adjustRightInd w:val="0"/>
              <w:snapToGrid w:val="0"/>
              <w:spacing w:line="360" w:lineRule="exac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履约保证金</w:t>
            </w:r>
          </w:p>
        </w:tc>
        <w:tc>
          <w:tcPr>
            <w:tcW w:w="8212" w:type="dxa"/>
            <w:noWrap w:val="0"/>
            <w:vAlign w:val="center"/>
          </w:tcPr>
          <w:p>
            <w:pPr>
              <w:keepNext w:val="0"/>
              <w:keepLines w:val="0"/>
              <w:pageBreakBefore w:val="0"/>
              <w:widowControl w:val="0"/>
              <w:tabs>
                <w:tab w:val="left" w:pos="0"/>
              </w:tabs>
              <w:kinsoku/>
              <w:wordWrap/>
              <w:overflowPunct/>
              <w:topLinePunct w:val="0"/>
              <w:bidi w:val="0"/>
              <w:adjustRightInd w:val="0"/>
              <w:snapToGrid w:val="0"/>
              <w:spacing w:line="360" w:lineRule="exact"/>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履约保证金：</w:t>
            </w:r>
            <w:r>
              <w:rPr>
                <w:rFonts w:hint="eastAsia" w:ascii="宋体" w:hAnsi="宋体" w:eastAsia="宋体" w:cs="宋体"/>
                <w:color w:val="auto"/>
                <w:kern w:val="0"/>
                <w:sz w:val="24"/>
                <w:szCs w:val="24"/>
                <w:highlight w:val="none"/>
                <w:u w:val="single"/>
              </w:rPr>
              <w:t xml:space="preserve"> / </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85" w:type="dxa"/>
            <w:noWrap w:val="0"/>
            <w:vAlign w:val="center"/>
          </w:tcPr>
          <w:p>
            <w:pPr>
              <w:keepNext w:val="0"/>
              <w:keepLines w:val="0"/>
              <w:pageBreakBefore w:val="0"/>
              <w:kinsoku/>
              <w:wordWrap/>
              <w:overflowPunct/>
              <w:topLinePunct w:val="0"/>
              <w:bidi w:val="0"/>
              <w:spacing w:line="360" w:lineRule="exact"/>
              <w:ind w:right="31" w:rightChars="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服务期限</w:t>
            </w:r>
          </w:p>
        </w:tc>
        <w:tc>
          <w:tcPr>
            <w:tcW w:w="8212" w:type="dxa"/>
            <w:noWrap w:val="0"/>
            <w:vAlign w:val="center"/>
          </w:tcPr>
          <w:p>
            <w:pPr>
              <w:keepNext w:val="0"/>
              <w:keepLines w:val="0"/>
              <w:pageBreakBefore w:val="0"/>
              <w:kinsoku/>
              <w:wordWrap/>
              <w:overflowPunct/>
              <w:topLinePunct w:val="0"/>
              <w:bidi w:val="0"/>
              <w:spacing w:line="360" w:lineRule="exact"/>
              <w:ind w:right="31" w:rightChars="0"/>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rPr>
              <w:t>自合同签订之日起三年，合同为一年一签。</w:t>
            </w:r>
            <w:r>
              <w:rPr>
                <w:rFonts w:hint="eastAsia" w:ascii="宋体" w:hAnsi="宋体" w:eastAsia="宋体" w:cs="宋体"/>
                <w:color w:val="auto"/>
                <w:kern w:val="0"/>
                <w:sz w:val="24"/>
                <w:szCs w:val="24"/>
                <w:highlight w:val="none"/>
              </w:rPr>
              <w:t>第一年自合同签订之日起计算。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85" w:type="dxa"/>
            <w:noWrap w:val="0"/>
            <w:vAlign w:val="center"/>
          </w:tcPr>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其他要求和注意事项</w:t>
            </w:r>
          </w:p>
        </w:tc>
        <w:tc>
          <w:tcPr>
            <w:tcW w:w="8212" w:type="dxa"/>
            <w:noWrap w:val="0"/>
            <w:vAlign w:val="center"/>
          </w:tcPr>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 xml:space="preserve">、中标合同签订10天内，中标方全体人员必须到位，并完成岗前培训等工作，物业服务费用结算以正式移交接管之日起计。   </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、中标单位应认真听取采购单位提出的建议和意见，并接受采购单位的考核管理规定，对在物业管理中出现的问题和薄弱环节应立即整改</w:t>
            </w:r>
            <w:r>
              <w:rPr>
                <w:rFonts w:hint="eastAsia" w:asciiTheme="majorEastAsia" w:hAnsiTheme="majorEastAsia" w:eastAsiaTheme="majorEastAsia" w:cstheme="majorEastAsia"/>
                <w:color w:val="auto"/>
                <w:sz w:val="24"/>
                <w:szCs w:val="24"/>
                <w:highlight w:val="none"/>
                <w:lang w:eastAsia="zh-CN"/>
              </w:rPr>
              <w:t>。</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、中标单位须将节能工作作为日常工作之一，并达到采购单位的节能考核之要求。</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4</w:t>
            </w:r>
            <w:r>
              <w:rPr>
                <w:rFonts w:hint="eastAsia" w:asciiTheme="majorEastAsia" w:hAnsiTheme="majorEastAsia" w:eastAsiaTheme="majorEastAsia" w:cstheme="majorEastAsia"/>
                <w:color w:val="auto"/>
                <w:sz w:val="24"/>
                <w:szCs w:val="24"/>
                <w:highlight w:val="none"/>
              </w:rPr>
              <w:t>、中标单位须提供采购单位认可的工作标准，遵守采购单位的相关规定。</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5</w:t>
            </w:r>
            <w:r>
              <w:rPr>
                <w:rFonts w:hint="eastAsia" w:asciiTheme="majorEastAsia" w:hAnsiTheme="majorEastAsia" w:eastAsiaTheme="majorEastAsia" w:cstheme="majorEastAsia"/>
                <w:color w:val="auto"/>
                <w:sz w:val="24"/>
                <w:szCs w:val="24"/>
                <w:highlight w:val="none"/>
              </w:rPr>
              <w:t>、所有工作人员应履行保密义务，严守采购单位秘密和国家机密。做到不打听、不偷看、不传播、不遗失、不擅自处理保密纸物等。</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、捡到物品应及时上交采购单位。</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7</w:t>
            </w:r>
            <w:r>
              <w:rPr>
                <w:rFonts w:hint="eastAsia" w:asciiTheme="majorEastAsia" w:hAnsiTheme="majorEastAsia" w:eastAsiaTheme="majorEastAsia" w:cstheme="majorEastAsia"/>
                <w:color w:val="auto"/>
                <w:sz w:val="24"/>
                <w:szCs w:val="24"/>
                <w:highlight w:val="none"/>
              </w:rPr>
              <w:t>、采购单位与派驻人员不发生任何劳动和雇佣关系，派驻人员由中标单位自行管理。中标单位必须按照劳动法规定为员工提供劳动、安全保障，依法办理各类社会保险，按时发放薪酬等。请投标人充分考虑各馆开放时间的特殊性，对人员班次、调休、加班薪金等事项，在人员劳动合同中明确。</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、在处理特殊事件和紧急、突发事故时，采购单位对中标单位派驻项目物业管理的服务机构及人员有直接指挥权。</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、涉及文化广场内商铺经营户产生的建筑垃圾清运，由中标人按政府规定价格向经营户收取。</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10</w:t>
            </w:r>
            <w:r>
              <w:rPr>
                <w:rFonts w:hint="eastAsia" w:asciiTheme="majorEastAsia" w:hAnsiTheme="majorEastAsia" w:eastAsiaTheme="majorEastAsia" w:cstheme="majorEastAsia"/>
                <w:color w:val="auto"/>
                <w:sz w:val="24"/>
                <w:szCs w:val="24"/>
                <w:highlight w:val="none"/>
              </w:rPr>
              <w:t>、临时服务：若甲方</w:t>
            </w:r>
            <w:r>
              <w:rPr>
                <w:rFonts w:hint="eastAsia" w:asciiTheme="majorEastAsia" w:hAnsiTheme="majorEastAsia" w:eastAsiaTheme="majorEastAsia" w:cstheme="majorEastAsia"/>
                <w:color w:val="auto"/>
                <w:sz w:val="24"/>
                <w:szCs w:val="24"/>
                <w:highlight w:val="none"/>
                <w:lang w:eastAsia="zh-CN"/>
              </w:rPr>
              <w:t>临时活动</w:t>
            </w:r>
            <w:r>
              <w:rPr>
                <w:rFonts w:hint="eastAsia" w:asciiTheme="majorEastAsia" w:hAnsiTheme="majorEastAsia" w:eastAsiaTheme="majorEastAsia" w:cstheme="majorEastAsia"/>
                <w:color w:val="auto"/>
                <w:sz w:val="24"/>
                <w:szCs w:val="24"/>
                <w:highlight w:val="none"/>
              </w:rPr>
              <w:t>需要保安、保洁员临时性加班加点，甲方应提前通知乙方并支付相应的加班费用。如需额外增加人员的，甲方至少需提前1天通知乙方，产生的临时用工费用另行结算。</w:t>
            </w:r>
          </w:p>
          <w:p>
            <w:pPr>
              <w:keepNext w:val="0"/>
              <w:keepLines w:val="0"/>
              <w:pageBreakBefore w:val="0"/>
              <w:widowControl w:val="0"/>
              <w:kinsoku/>
              <w:wordWrap/>
              <w:overflowPunct/>
              <w:topLinePunct w:val="0"/>
              <w:autoSpaceDE/>
              <w:autoSpaceDN w:val="0"/>
              <w:bidi w:val="0"/>
              <w:adjustRightInd/>
              <w:snapToGrid/>
              <w:spacing w:after="0" w:afterLines="0" w:line="440" w:lineRule="exact"/>
              <w:ind w:left="0" w:leftChars="0" w:right="0" w:rightChars="0" w:firstLine="0" w:firstLineChars="0"/>
              <w:jc w:val="left"/>
              <w:textAlignment w:val="center"/>
              <w:outlineLvl w:val="9"/>
              <w:rPr>
                <w:rFonts w:hint="default" w:eastAsiaTheme="majorEastAsia"/>
                <w:color w:val="auto"/>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11、如采购人在服务地点主办或承办公益性活动，中标供应商应无偿提供物业服务（约定每年无偿服务不少于5场）。</w:t>
            </w:r>
          </w:p>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、其他未约定事项双方协商解决。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485" w:type="dxa"/>
            <w:noWrap w:val="0"/>
            <w:vAlign w:val="center"/>
          </w:tcPr>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合同终止</w:t>
            </w:r>
          </w:p>
        </w:tc>
        <w:tc>
          <w:tcPr>
            <w:tcW w:w="8212" w:type="dxa"/>
            <w:noWrap w:val="0"/>
            <w:vAlign w:val="center"/>
          </w:tcPr>
          <w:p>
            <w:pPr>
              <w:keepNext w:val="0"/>
              <w:keepLines w:val="0"/>
              <w:pageBreakBefore w:val="0"/>
              <w:kinsoku/>
              <w:wordWrap/>
              <w:overflowPunct/>
              <w:topLinePunct w:val="0"/>
              <w:bidi w:val="0"/>
              <w:spacing w:line="360" w:lineRule="exact"/>
              <w:ind w:right="31"/>
              <w:textAlignment w:val="auto"/>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kern w:val="0"/>
                <w:sz w:val="24"/>
                <w:szCs w:val="24"/>
                <w:highlight w:val="none"/>
              </w:rPr>
              <w:t>中标人在合同有效期内，不得以任何理由终止合同，确有特殊情况的，须提前2个月向</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kern w:val="0"/>
                <w:sz w:val="24"/>
                <w:szCs w:val="24"/>
                <w:highlight w:val="none"/>
              </w:rPr>
              <w:t>提出书面申请，经采购人同意后，方可终止合同。因中标人不能保证工作质量，或发生重大差错事故的，采购人有权终止协议，中标人承担全部责任。</w:t>
            </w:r>
          </w:p>
        </w:tc>
      </w:tr>
    </w:tbl>
    <w:p>
      <w:pPr>
        <w:snapToGrid w:val="0"/>
        <w:spacing w:line="360" w:lineRule="auto"/>
        <w:jc w:val="both"/>
        <w:rPr>
          <w:rFonts w:hint="eastAsia" w:cs="仿宋" w:asciiTheme="majorEastAsia" w:hAnsiTheme="majorEastAsia" w:eastAsiaTheme="majorEastAsia"/>
          <w:b/>
          <w:color w:val="auto"/>
          <w:sz w:val="36"/>
          <w:szCs w:val="36"/>
          <w:highlight w:val="none"/>
        </w:rPr>
      </w:pPr>
    </w:p>
    <w:p>
      <w:pPr>
        <w:snapToGrid w:val="0"/>
        <w:spacing w:line="360" w:lineRule="auto"/>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t xml:space="preserve">第四部分   </w:t>
      </w:r>
      <w:bookmarkStart w:id="28" w:name="_Toc184313305"/>
      <w:bookmarkEnd w:id="28"/>
      <w:bookmarkStart w:id="29" w:name="_Toc184314477"/>
      <w:bookmarkEnd w:id="29"/>
      <w:bookmarkStart w:id="30" w:name="_Toc184314411"/>
      <w:bookmarkEnd w:id="30"/>
      <w:bookmarkStart w:id="31" w:name="_Toc184308056"/>
      <w:bookmarkEnd w:id="31"/>
      <w:bookmarkStart w:id="32" w:name="_Toc184312116"/>
      <w:bookmarkEnd w:id="32"/>
      <w:bookmarkStart w:id="33" w:name="_Toc184310323"/>
      <w:bookmarkEnd w:id="33"/>
      <w:bookmarkStart w:id="34" w:name="_Toc184313265"/>
      <w:bookmarkEnd w:id="34"/>
      <w:bookmarkStart w:id="35" w:name="_Toc184312132"/>
      <w:bookmarkEnd w:id="35"/>
      <w:bookmarkStart w:id="36" w:name="_Toc184313243"/>
      <w:bookmarkEnd w:id="36"/>
      <w:bookmarkStart w:id="37" w:name="_Toc184310309"/>
      <w:bookmarkEnd w:id="37"/>
      <w:bookmarkStart w:id="38" w:name="_Toc184312131"/>
      <w:bookmarkEnd w:id="38"/>
      <w:bookmarkStart w:id="39" w:name="_Toc184308108"/>
      <w:bookmarkEnd w:id="39"/>
      <w:bookmarkStart w:id="40" w:name="_Toc184313285"/>
      <w:bookmarkEnd w:id="40"/>
      <w:bookmarkStart w:id="41" w:name="_Toc184310335"/>
      <w:bookmarkEnd w:id="41"/>
      <w:bookmarkStart w:id="42" w:name="_Toc184313289"/>
      <w:bookmarkEnd w:id="42"/>
      <w:bookmarkStart w:id="43" w:name="_Toc184310283"/>
      <w:bookmarkEnd w:id="43"/>
      <w:bookmarkStart w:id="44" w:name="_Toc184314468"/>
      <w:bookmarkEnd w:id="44"/>
      <w:bookmarkStart w:id="45" w:name="_Toc184308066"/>
      <w:bookmarkEnd w:id="45"/>
      <w:bookmarkStart w:id="46" w:name="_Toc184310304"/>
      <w:bookmarkEnd w:id="46"/>
      <w:bookmarkStart w:id="47" w:name="_Toc184312107"/>
      <w:bookmarkEnd w:id="47"/>
      <w:bookmarkStart w:id="48" w:name="_Toc184313279"/>
      <w:bookmarkEnd w:id="48"/>
      <w:bookmarkStart w:id="49" w:name="_Toc184314482"/>
      <w:bookmarkEnd w:id="49"/>
      <w:bookmarkStart w:id="50" w:name="_Toc184308090"/>
      <w:bookmarkEnd w:id="50"/>
      <w:bookmarkStart w:id="51" w:name="_Toc184314426"/>
      <w:bookmarkEnd w:id="51"/>
      <w:bookmarkStart w:id="52" w:name="_Toc184313274"/>
      <w:bookmarkEnd w:id="52"/>
      <w:bookmarkStart w:id="53" w:name="_Toc184314465"/>
      <w:bookmarkEnd w:id="53"/>
      <w:bookmarkStart w:id="54" w:name="_Toc184308040"/>
      <w:bookmarkEnd w:id="54"/>
      <w:bookmarkStart w:id="55" w:name="_Toc184310293"/>
      <w:bookmarkEnd w:id="55"/>
      <w:bookmarkStart w:id="56" w:name="_Toc184313258"/>
      <w:bookmarkEnd w:id="56"/>
      <w:bookmarkStart w:id="57" w:name="_Toc184312109"/>
      <w:bookmarkEnd w:id="57"/>
      <w:bookmarkStart w:id="58" w:name="_Toc184308083"/>
      <w:bookmarkEnd w:id="58"/>
      <w:bookmarkStart w:id="59" w:name="_Toc184312119"/>
      <w:bookmarkEnd w:id="59"/>
      <w:bookmarkStart w:id="60" w:name="_Toc184314432"/>
      <w:bookmarkEnd w:id="60"/>
      <w:bookmarkStart w:id="61" w:name="_Toc184308055"/>
      <w:bookmarkEnd w:id="61"/>
      <w:bookmarkStart w:id="62" w:name="_Toc184312125"/>
      <w:bookmarkEnd w:id="62"/>
      <w:bookmarkStart w:id="63" w:name="_Toc184313248"/>
      <w:bookmarkEnd w:id="63"/>
      <w:bookmarkStart w:id="64" w:name="_Toc184310317"/>
      <w:bookmarkEnd w:id="64"/>
      <w:bookmarkStart w:id="65" w:name="_Toc184312079"/>
      <w:bookmarkEnd w:id="65"/>
      <w:bookmarkStart w:id="66" w:name="_Toc184314438"/>
      <w:bookmarkEnd w:id="66"/>
      <w:bookmarkStart w:id="67" w:name="_Toc184313292"/>
      <w:bookmarkEnd w:id="67"/>
      <w:bookmarkStart w:id="68" w:name="_Toc184312121"/>
      <w:bookmarkEnd w:id="68"/>
      <w:bookmarkStart w:id="69" w:name="_Toc184312089"/>
      <w:bookmarkEnd w:id="69"/>
      <w:bookmarkStart w:id="70" w:name="_Toc184314442"/>
      <w:bookmarkEnd w:id="70"/>
      <w:bookmarkStart w:id="71" w:name="_Toc184310302"/>
      <w:bookmarkEnd w:id="71"/>
      <w:bookmarkStart w:id="72" w:name="_Toc184314419"/>
      <w:bookmarkEnd w:id="72"/>
      <w:bookmarkStart w:id="73" w:name="_Toc184312075"/>
      <w:bookmarkEnd w:id="73"/>
      <w:bookmarkStart w:id="74" w:name="_Toc184310337"/>
      <w:bookmarkEnd w:id="74"/>
      <w:bookmarkStart w:id="75" w:name="_Toc184308077"/>
      <w:bookmarkEnd w:id="75"/>
      <w:bookmarkStart w:id="76" w:name="_Toc184314462"/>
      <w:bookmarkEnd w:id="76"/>
      <w:bookmarkStart w:id="77" w:name="_Toc184312094"/>
      <w:bookmarkEnd w:id="77"/>
      <w:bookmarkStart w:id="78" w:name="_Toc184310326"/>
      <w:bookmarkEnd w:id="78"/>
      <w:bookmarkStart w:id="79" w:name="_Toc184314457"/>
      <w:bookmarkEnd w:id="79"/>
      <w:bookmarkStart w:id="80" w:name="_Toc184310336"/>
      <w:bookmarkEnd w:id="80"/>
      <w:bookmarkStart w:id="81" w:name="_Toc184310287"/>
      <w:bookmarkEnd w:id="81"/>
      <w:bookmarkStart w:id="82" w:name="_Toc184308067"/>
      <w:bookmarkEnd w:id="82"/>
      <w:bookmarkStart w:id="83" w:name="_Toc184312068"/>
      <w:bookmarkEnd w:id="83"/>
      <w:bookmarkStart w:id="84" w:name="_Toc184308102"/>
      <w:bookmarkEnd w:id="84"/>
      <w:bookmarkStart w:id="85" w:name="_Toc184312106"/>
      <w:bookmarkEnd w:id="85"/>
      <w:bookmarkStart w:id="86" w:name="_Toc184314463"/>
      <w:bookmarkEnd w:id="86"/>
      <w:bookmarkStart w:id="87" w:name="_Toc184313290"/>
      <w:bookmarkEnd w:id="87"/>
      <w:bookmarkStart w:id="88" w:name="_Toc184308060"/>
      <w:bookmarkEnd w:id="88"/>
      <w:bookmarkStart w:id="89" w:name="_Toc184313301"/>
      <w:bookmarkEnd w:id="89"/>
      <w:bookmarkStart w:id="90" w:name="_Toc184308086"/>
      <w:bookmarkEnd w:id="90"/>
      <w:bookmarkStart w:id="91" w:name="_Toc184308078"/>
      <w:bookmarkEnd w:id="91"/>
      <w:bookmarkStart w:id="92" w:name="_Toc184312122"/>
      <w:bookmarkEnd w:id="92"/>
      <w:bookmarkStart w:id="93" w:name="_Toc184313266"/>
      <w:bookmarkEnd w:id="93"/>
      <w:bookmarkStart w:id="94" w:name="_Toc184312129"/>
      <w:bookmarkEnd w:id="94"/>
      <w:bookmarkStart w:id="95" w:name="_Toc184312078"/>
      <w:bookmarkEnd w:id="95"/>
      <w:bookmarkStart w:id="96" w:name="_Toc184308053"/>
      <w:bookmarkEnd w:id="96"/>
      <w:bookmarkStart w:id="97" w:name="_Toc184308048"/>
      <w:bookmarkEnd w:id="97"/>
      <w:bookmarkStart w:id="98" w:name="_Toc184314474"/>
      <w:bookmarkEnd w:id="98"/>
      <w:bookmarkStart w:id="99" w:name="_Toc184312077"/>
      <w:bookmarkEnd w:id="99"/>
      <w:bookmarkStart w:id="100" w:name="_Toc184308068"/>
      <w:bookmarkEnd w:id="100"/>
      <w:bookmarkStart w:id="101" w:name="_Toc184308037"/>
      <w:bookmarkEnd w:id="101"/>
      <w:bookmarkStart w:id="102" w:name="_Toc184314466"/>
      <w:bookmarkEnd w:id="102"/>
      <w:bookmarkStart w:id="103" w:name="_Toc184308107"/>
      <w:bookmarkEnd w:id="103"/>
      <w:bookmarkStart w:id="104" w:name="_Toc184312114"/>
      <w:bookmarkEnd w:id="104"/>
      <w:bookmarkStart w:id="105" w:name="_Toc184308085"/>
      <w:bookmarkEnd w:id="105"/>
      <w:bookmarkStart w:id="106" w:name="_Toc184310308"/>
      <w:bookmarkEnd w:id="106"/>
      <w:bookmarkStart w:id="107" w:name="_Toc184313277"/>
      <w:bookmarkEnd w:id="107"/>
      <w:bookmarkStart w:id="108" w:name="_Toc184314459"/>
      <w:bookmarkEnd w:id="108"/>
      <w:bookmarkStart w:id="109" w:name="_Toc184314476"/>
      <w:bookmarkEnd w:id="109"/>
      <w:bookmarkStart w:id="110" w:name="_Toc184312117"/>
      <w:bookmarkEnd w:id="110"/>
      <w:bookmarkStart w:id="111" w:name="_Toc184312138"/>
      <w:bookmarkEnd w:id="111"/>
      <w:bookmarkStart w:id="112" w:name="_Toc184314461"/>
      <w:bookmarkEnd w:id="112"/>
      <w:bookmarkStart w:id="113" w:name="_Toc184313267"/>
      <w:bookmarkEnd w:id="113"/>
      <w:bookmarkStart w:id="114" w:name="_Toc184312082"/>
      <w:bookmarkEnd w:id="114"/>
      <w:bookmarkStart w:id="115" w:name="_Toc184312087"/>
      <w:bookmarkEnd w:id="115"/>
      <w:bookmarkStart w:id="116" w:name="_Toc184308063"/>
      <w:bookmarkEnd w:id="116"/>
      <w:bookmarkStart w:id="117" w:name="_Toc184314449"/>
      <w:bookmarkEnd w:id="117"/>
      <w:bookmarkStart w:id="118" w:name="_Toc184310316"/>
      <w:bookmarkEnd w:id="118"/>
      <w:bookmarkStart w:id="119" w:name="_Toc184313252"/>
      <w:bookmarkEnd w:id="119"/>
      <w:bookmarkStart w:id="120" w:name="_Toc184314447"/>
      <w:bookmarkEnd w:id="120"/>
      <w:bookmarkStart w:id="121" w:name="_Toc184314473"/>
      <w:bookmarkEnd w:id="121"/>
      <w:bookmarkStart w:id="122" w:name="_Toc184314480"/>
      <w:bookmarkEnd w:id="122"/>
      <w:bookmarkStart w:id="123" w:name="_Toc184314452"/>
      <w:bookmarkEnd w:id="123"/>
      <w:bookmarkStart w:id="124" w:name="_Toc184310307"/>
      <w:bookmarkEnd w:id="124"/>
      <w:bookmarkStart w:id="125" w:name="_Toc184308079"/>
      <w:bookmarkEnd w:id="125"/>
      <w:bookmarkStart w:id="126" w:name="_Toc184313263"/>
      <w:bookmarkEnd w:id="126"/>
      <w:bookmarkStart w:id="127" w:name="_Toc184310296"/>
      <w:bookmarkEnd w:id="127"/>
      <w:bookmarkStart w:id="128" w:name="_Toc184313300"/>
      <w:bookmarkEnd w:id="128"/>
      <w:bookmarkStart w:id="129" w:name="_Toc184313275"/>
      <w:bookmarkEnd w:id="129"/>
      <w:bookmarkStart w:id="130" w:name="_Toc184312069"/>
      <w:bookmarkEnd w:id="130"/>
      <w:bookmarkStart w:id="131" w:name="_Toc184313272"/>
      <w:bookmarkEnd w:id="131"/>
      <w:bookmarkStart w:id="132" w:name="_Toc184313256"/>
      <w:bookmarkEnd w:id="132"/>
      <w:bookmarkStart w:id="133" w:name="_Toc184308072"/>
      <w:bookmarkEnd w:id="133"/>
      <w:bookmarkStart w:id="134" w:name="_Toc184313287"/>
      <w:bookmarkEnd w:id="134"/>
      <w:bookmarkStart w:id="135" w:name="_Toc184313306"/>
      <w:bookmarkEnd w:id="135"/>
      <w:bookmarkStart w:id="136" w:name="_Toc184312096"/>
      <w:bookmarkEnd w:id="136"/>
      <w:bookmarkStart w:id="137" w:name="_Toc184314456"/>
      <w:bookmarkEnd w:id="137"/>
      <w:bookmarkStart w:id="138" w:name="_Toc184314444"/>
      <w:bookmarkEnd w:id="138"/>
      <w:bookmarkStart w:id="139" w:name="_Toc184312103"/>
      <w:bookmarkEnd w:id="139"/>
      <w:bookmarkStart w:id="140" w:name="_Toc184308050"/>
      <w:bookmarkEnd w:id="140"/>
      <w:bookmarkStart w:id="141" w:name="_Toc184312071"/>
      <w:bookmarkEnd w:id="141"/>
      <w:bookmarkStart w:id="142" w:name="_Toc184312118"/>
      <w:bookmarkEnd w:id="142"/>
      <w:bookmarkStart w:id="143" w:name="_Toc184310290"/>
      <w:bookmarkEnd w:id="143"/>
      <w:bookmarkStart w:id="144" w:name="_Toc184308101"/>
      <w:bookmarkEnd w:id="144"/>
      <w:bookmarkStart w:id="145" w:name="_Toc184310295"/>
      <w:bookmarkEnd w:id="145"/>
      <w:bookmarkStart w:id="146" w:name="_Toc184312086"/>
      <w:bookmarkEnd w:id="146"/>
      <w:bookmarkStart w:id="147" w:name="_Toc184313296"/>
      <w:bookmarkEnd w:id="147"/>
      <w:bookmarkStart w:id="148" w:name="_Toc184312092"/>
      <w:bookmarkEnd w:id="148"/>
      <w:bookmarkStart w:id="149" w:name="_Toc184312108"/>
      <w:bookmarkEnd w:id="149"/>
      <w:bookmarkStart w:id="150" w:name="_Toc184314441"/>
      <w:bookmarkEnd w:id="150"/>
      <w:bookmarkStart w:id="151" w:name="_Toc184310286"/>
      <w:bookmarkEnd w:id="151"/>
      <w:bookmarkStart w:id="152" w:name="_Toc184310341"/>
      <w:bookmarkEnd w:id="152"/>
      <w:bookmarkStart w:id="153" w:name="_Toc184310298"/>
      <w:bookmarkEnd w:id="153"/>
      <w:bookmarkStart w:id="154" w:name="_Toc184310281"/>
      <w:bookmarkEnd w:id="154"/>
      <w:bookmarkStart w:id="155" w:name="_Toc184312097"/>
      <w:bookmarkEnd w:id="155"/>
      <w:bookmarkStart w:id="156" w:name="_Toc184310274"/>
      <w:bookmarkEnd w:id="156"/>
      <w:bookmarkStart w:id="157" w:name="_Toc184314418"/>
      <w:bookmarkEnd w:id="157"/>
      <w:bookmarkStart w:id="158" w:name="_Toc184310329"/>
      <w:bookmarkEnd w:id="158"/>
      <w:bookmarkStart w:id="159" w:name="_Toc184312101"/>
      <w:bookmarkEnd w:id="159"/>
      <w:bookmarkStart w:id="160" w:name="_Toc184312111"/>
      <w:bookmarkEnd w:id="160"/>
      <w:bookmarkStart w:id="161" w:name="_Toc184312120"/>
      <w:bookmarkEnd w:id="161"/>
      <w:bookmarkStart w:id="162" w:name="_Toc184313260"/>
      <w:bookmarkEnd w:id="162"/>
      <w:bookmarkStart w:id="163" w:name="_Toc184313303"/>
      <w:bookmarkEnd w:id="163"/>
      <w:bookmarkStart w:id="164" w:name="_Toc184308074"/>
      <w:bookmarkEnd w:id="164"/>
      <w:bookmarkStart w:id="165" w:name="_Toc184312133"/>
      <w:bookmarkEnd w:id="165"/>
      <w:bookmarkStart w:id="166" w:name="_Toc184310297"/>
      <w:bookmarkEnd w:id="166"/>
      <w:bookmarkStart w:id="167" w:name="_Toc184314475"/>
      <w:bookmarkEnd w:id="167"/>
      <w:bookmarkStart w:id="168" w:name="_Toc184310312"/>
      <w:bookmarkEnd w:id="168"/>
      <w:bookmarkStart w:id="169" w:name="_Toc184312095"/>
      <w:bookmarkEnd w:id="169"/>
      <w:bookmarkStart w:id="170" w:name="_Toc184313261"/>
      <w:bookmarkEnd w:id="170"/>
      <w:bookmarkStart w:id="171" w:name="_Toc184310318"/>
      <w:bookmarkEnd w:id="171"/>
      <w:bookmarkStart w:id="172" w:name="_Toc184308058"/>
      <w:bookmarkEnd w:id="172"/>
      <w:bookmarkStart w:id="173" w:name="_Toc184308073"/>
      <w:bookmarkEnd w:id="173"/>
      <w:bookmarkStart w:id="174" w:name="_Toc184310272"/>
      <w:bookmarkEnd w:id="174"/>
      <w:bookmarkStart w:id="175" w:name="_Toc184313294"/>
      <w:bookmarkEnd w:id="175"/>
      <w:bookmarkStart w:id="176" w:name="_Toc184312110"/>
      <w:bookmarkEnd w:id="176"/>
      <w:bookmarkStart w:id="177" w:name="_Toc184310279"/>
      <w:bookmarkEnd w:id="177"/>
      <w:bookmarkStart w:id="178" w:name="_Toc184310292"/>
      <w:bookmarkEnd w:id="178"/>
      <w:bookmarkStart w:id="179" w:name="_Toc184314414"/>
      <w:bookmarkEnd w:id="179"/>
      <w:bookmarkStart w:id="180" w:name="_Toc184313282"/>
      <w:bookmarkEnd w:id="180"/>
      <w:bookmarkStart w:id="181" w:name="_Toc184308099"/>
      <w:bookmarkEnd w:id="181"/>
      <w:bookmarkStart w:id="182" w:name="_Toc184312115"/>
      <w:bookmarkEnd w:id="182"/>
      <w:bookmarkStart w:id="183" w:name="_Toc184314434"/>
      <w:bookmarkEnd w:id="183"/>
      <w:bookmarkStart w:id="184" w:name="_Toc184313295"/>
      <w:bookmarkEnd w:id="184"/>
      <w:bookmarkStart w:id="185" w:name="_Toc184314471"/>
      <w:bookmarkEnd w:id="185"/>
      <w:bookmarkStart w:id="186" w:name="_Toc184308091"/>
      <w:bookmarkEnd w:id="186"/>
      <w:bookmarkStart w:id="187" w:name="_Toc184310273"/>
      <w:bookmarkEnd w:id="187"/>
      <w:bookmarkStart w:id="188" w:name="_Toc184312070"/>
      <w:bookmarkEnd w:id="188"/>
      <w:bookmarkStart w:id="189" w:name="_Toc184312098"/>
      <w:bookmarkEnd w:id="189"/>
      <w:bookmarkStart w:id="190" w:name="_Toc184314427"/>
      <w:bookmarkEnd w:id="190"/>
      <w:bookmarkStart w:id="191" w:name="_Toc184313309"/>
      <w:bookmarkEnd w:id="191"/>
      <w:bookmarkStart w:id="192" w:name="_Toc184314469"/>
      <w:bookmarkEnd w:id="192"/>
      <w:bookmarkStart w:id="193" w:name="_Toc184313284"/>
      <w:bookmarkEnd w:id="193"/>
      <w:bookmarkStart w:id="194" w:name="_Toc184310327"/>
      <w:bookmarkEnd w:id="194"/>
      <w:bookmarkStart w:id="195" w:name="_Toc184312134"/>
      <w:bookmarkEnd w:id="195"/>
      <w:bookmarkStart w:id="196" w:name="_Toc184314437"/>
      <w:bookmarkEnd w:id="196"/>
      <w:bookmarkStart w:id="197" w:name="_Toc184314423"/>
      <w:bookmarkEnd w:id="197"/>
      <w:bookmarkStart w:id="198" w:name="_Toc184314451"/>
      <w:bookmarkEnd w:id="198"/>
      <w:bookmarkStart w:id="199" w:name="_Toc184308057"/>
      <w:bookmarkEnd w:id="199"/>
      <w:bookmarkStart w:id="200" w:name="_Toc184314454"/>
      <w:bookmarkEnd w:id="200"/>
      <w:bookmarkStart w:id="201" w:name="_Toc184310339"/>
      <w:bookmarkEnd w:id="201"/>
      <w:bookmarkStart w:id="202" w:name="_Toc184312127"/>
      <w:bookmarkEnd w:id="202"/>
      <w:bookmarkStart w:id="203" w:name="_Toc184313245"/>
      <w:bookmarkEnd w:id="203"/>
      <w:bookmarkStart w:id="204" w:name="_Toc184312100"/>
      <w:bookmarkEnd w:id="204"/>
      <w:bookmarkStart w:id="205" w:name="_Toc184313254"/>
      <w:bookmarkEnd w:id="205"/>
      <w:bookmarkStart w:id="206" w:name="_Toc184312126"/>
      <w:bookmarkEnd w:id="206"/>
      <w:bookmarkStart w:id="207" w:name="_Toc184314481"/>
      <w:bookmarkEnd w:id="207"/>
      <w:bookmarkStart w:id="208" w:name="_Toc184308095"/>
      <w:bookmarkEnd w:id="208"/>
      <w:bookmarkStart w:id="209" w:name="_Toc184314420"/>
      <w:bookmarkEnd w:id="209"/>
      <w:bookmarkStart w:id="210" w:name="_Toc184310314"/>
      <w:bookmarkEnd w:id="210"/>
      <w:bookmarkStart w:id="211" w:name="_Toc184308043"/>
      <w:bookmarkEnd w:id="211"/>
      <w:bookmarkStart w:id="212" w:name="_Toc184313283"/>
      <w:bookmarkEnd w:id="212"/>
      <w:bookmarkStart w:id="213" w:name="_Toc184310342"/>
      <w:bookmarkEnd w:id="213"/>
      <w:bookmarkStart w:id="214" w:name="_Toc184310313"/>
      <w:bookmarkEnd w:id="214"/>
      <w:bookmarkStart w:id="215" w:name="_Toc184312076"/>
      <w:bookmarkEnd w:id="215"/>
      <w:bookmarkStart w:id="216" w:name="_Toc184313244"/>
      <w:bookmarkEnd w:id="216"/>
      <w:bookmarkStart w:id="217" w:name="_Toc184310321"/>
      <w:bookmarkEnd w:id="217"/>
      <w:bookmarkStart w:id="218" w:name="_Toc184313251"/>
      <w:bookmarkEnd w:id="218"/>
      <w:bookmarkStart w:id="219" w:name="_Toc184314455"/>
      <w:bookmarkEnd w:id="219"/>
      <w:bookmarkStart w:id="220" w:name="_Toc184313310"/>
      <w:bookmarkEnd w:id="220"/>
      <w:bookmarkStart w:id="221" w:name="_Toc184314464"/>
      <w:bookmarkEnd w:id="221"/>
      <w:bookmarkStart w:id="222" w:name="_Toc184310275"/>
      <w:bookmarkEnd w:id="222"/>
      <w:bookmarkStart w:id="223" w:name="_Toc184314410"/>
      <w:bookmarkEnd w:id="223"/>
      <w:bookmarkStart w:id="224" w:name="_Toc184310310"/>
      <w:bookmarkEnd w:id="224"/>
      <w:bookmarkStart w:id="225" w:name="_Toc184314433"/>
      <w:bookmarkEnd w:id="225"/>
      <w:bookmarkStart w:id="226" w:name="_Toc184314415"/>
      <w:bookmarkEnd w:id="226"/>
      <w:bookmarkStart w:id="227" w:name="_Toc184308064"/>
      <w:bookmarkEnd w:id="227"/>
      <w:bookmarkStart w:id="228" w:name="_Toc184308062"/>
      <w:bookmarkEnd w:id="228"/>
      <w:bookmarkStart w:id="229" w:name="_Toc184313250"/>
      <w:bookmarkEnd w:id="229"/>
      <w:bookmarkStart w:id="230" w:name="_Toc184313276"/>
      <w:bookmarkEnd w:id="230"/>
      <w:bookmarkStart w:id="231" w:name="_Toc184312081"/>
      <w:bookmarkEnd w:id="231"/>
      <w:bookmarkStart w:id="232" w:name="_Toc184313240"/>
      <w:bookmarkEnd w:id="232"/>
      <w:bookmarkStart w:id="233" w:name="_Toc184312130"/>
      <w:bookmarkEnd w:id="233"/>
      <w:bookmarkStart w:id="234" w:name="_Toc184312093"/>
      <w:bookmarkEnd w:id="234"/>
      <w:bookmarkStart w:id="235" w:name="_Toc184308103"/>
      <w:bookmarkEnd w:id="235"/>
      <w:bookmarkStart w:id="236" w:name="_Toc184314430"/>
      <w:bookmarkEnd w:id="236"/>
      <w:bookmarkStart w:id="237" w:name="_Toc184312088"/>
      <w:bookmarkEnd w:id="237"/>
      <w:bookmarkStart w:id="238" w:name="_Toc184312091"/>
      <w:bookmarkEnd w:id="238"/>
      <w:bookmarkStart w:id="239" w:name="_Toc184308054"/>
      <w:bookmarkEnd w:id="239"/>
      <w:bookmarkStart w:id="240" w:name="_Toc184310276"/>
      <w:bookmarkEnd w:id="240"/>
      <w:bookmarkStart w:id="241" w:name="_Toc184312128"/>
      <w:bookmarkEnd w:id="241"/>
      <w:bookmarkStart w:id="242" w:name="_Toc184313242"/>
      <w:bookmarkEnd w:id="242"/>
      <w:bookmarkStart w:id="243" w:name="_Toc184308051"/>
      <w:bookmarkEnd w:id="243"/>
      <w:bookmarkStart w:id="244" w:name="_Toc184312102"/>
      <w:bookmarkEnd w:id="244"/>
      <w:bookmarkStart w:id="245" w:name="_Toc184313241"/>
      <w:bookmarkEnd w:id="245"/>
      <w:bookmarkStart w:id="246" w:name="_Toc184310277"/>
      <w:bookmarkEnd w:id="246"/>
      <w:bookmarkStart w:id="247" w:name="_Toc184310280"/>
      <w:bookmarkEnd w:id="247"/>
      <w:bookmarkStart w:id="248" w:name="_Toc184313257"/>
      <w:bookmarkEnd w:id="248"/>
      <w:bookmarkStart w:id="249" w:name="_Toc184314421"/>
      <w:bookmarkEnd w:id="249"/>
      <w:bookmarkStart w:id="250" w:name="_Toc184310324"/>
      <w:bookmarkEnd w:id="250"/>
      <w:bookmarkStart w:id="251" w:name="_Toc184313293"/>
      <w:bookmarkEnd w:id="251"/>
      <w:bookmarkStart w:id="252" w:name="_Toc184310301"/>
      <w:bookmarkEnd w:id="252"/>
      <w:bookmarkStart w:id="253" w:name="_Toc184314445"/>
      <w:bookmarkEnd w:id="253"/>
      <w:bookmarkStart w:id="254" w:name="_Toc184314431"/>
      <w:bookmarkEnd w:id="254"/>
      <w:bookmarkStart w:id="255" w:name="_Toc184308087"/>
      <w:bookmarkEnd w:id="255"/>
      <w:bookmarkStart w:id="256" w:name="_Toc184312124"/>
      <w:bookmarkEnd w:id="256"/>
      <w:bookmarkStart w:id="257" w:name="_Toc184312099"/>
      <w:bookmarkEnd w:id="257"/>
      <w:bookmarkStart w:id="258" w:name="_Toc184314428"/>
      <w:bookmarkEnd w:id="258"/>
      <w:bookmarkStart w:id="259" w:name="_Toc184310285"/>
      <w:bookmarkEnd w:id="259"/>
      <w:bookmarkStart w:id="260" w:name="_Toc184313308"/>
      <w:bookmarkEnd w:id="260"/>
      <w:bookmarkStart w:id="261" w:name="_Toc184310320"/>
      <w:bookmarkEnd w:id="261"/>
      <w:bookmarkStart w:id="262" w:name="_Toc184314435"/>
      <w:bookmarkEnd w:id="262"/>
      <w:bookmarkStart w:id="263" w:name="_Toc184313247"/>
      <w:bookmarkEnd w:id="263"/>
      <w:bookmarkStart w:id="264" w:name="_Toc184314436"/>
      <w:bookmarkEnd w:id="264"/>
      <w:bookmarkStart w:id="265" w:name="_Toc184308045"/>
      <w:bookmarkEnd w:id="265"/>
      <w:bookmarkStart w:id="266" w:name="_Toc184310291"/>
      <w:bookmarkEnd w:id="266"/>
      <w:bookmarkStart w:id="267" w:name="_Toc184314412"/>
      <w:bookmarkEnd w:id="267"/>
      <w:bookmarkStart w:id="268" w:name="_Toc184310311"/>
      <w:bookmarkEnd w:id="268"/>
      <w:bookmarkStart w:id="269" w:name="_Toc184308069"/>
      <w:bookmarkEnd w:id="269"/>
      <w:bookmarkStart w:id="270" w:name="_Toc184313286"/>
      <w:bookmarkEnd w:id="270"/>
      <w:bookmarkStart w:id="271" w:name="_Toc184314422"/>
      <w:bookmarkEnd w:id="271"/>
      <w:bookmarkStart w:id="272" w:name="_Toc184313264"/>
      <w:bookmarkEnd w:id="272"/>
      <w:bookmarkStart w:id="273" w:name="_Toc184308094"/>
      <w:bookmarkEnd w:id="273"/>
      <w:bookmarkStart w:id="274" w:name="_Toc184313269"/>
      <w:bookmarkEnd w:id="274"/>
      <w:bookmarkStart w:id="275" w:name="_Toc184310305"/>
      <w:bookmarkEnd w:id="275"/>
      <w:bookmarkStart w:id="276" w:name="_Toc184310330"/>
      <w:bookmarkEnd w:id="276"/>
      <w:bookmarkStart w:id="277" w:name="_Toc184314458"/>
      <w:bookmarkEnd w:id="277"/>
      <w:bookmarkStart w:id="278" w:name="_Toc184313249"/>
      <w:bookmarkEnd w:id="278"/>
      <w:bookmarkStart w:id="279" w:name="_Toc184313239"/>
      <w:bookmarkEnd w:id="279"/>
      <w:bookmarkStart w:id="280" w:name="_Toc184308042"/>
      <w:bookmarkEnd w:id="280"/>
      <w:bookmarkStart w:id="281" w:name="_Toc184308039"/>
      <w:bookmarkEnd w:id="281"/>
      <w:bookmarkStart w:id="282" w:name="_Toc184310344"/>
      <w:bookmarkEnd w:id="282"/>
      <w:bookmarkStart w:id="283" w:name="_Toc184310343"/>
      <w:bookmarkEnd w:id="283"/>
      <w:bookmarkStart w:id="284" w:name="_Toc184312104"/>
      <w:bookmarkEnd w:id="284"/>
      <w:bookmarkStart w:id="285" w:name="_Toc184313299"/>
      <w:bookmarkEnd w:id="285"/>
      <w:bookmarkStart w:id="286" w:name="_Toc184312112"/>
      <w:bookmarkEnd w:id="286"/>
      <w:bookmarkStart w:id="287" w:name="_Toc184310333"/>
      <w:bookmarkEnd w:id="287"/>
      <w:bookmarkStart w:id="288" w:name="_Toc184310331"/>
      <w:bookmarkEnd w:id="288"/>
      <w:bookmarkStart w:id="289" w:name="_Toc184310334"/>
      <w:bookmarkEnd w:id="289"/>
      <w:bookmarkStart w:id="290" w:name="_Toc184308089"/>
      <w:bookmarkEnd w:id="290"/>
      <w:bookmarkStart w:id="291" w:name="_Toc184308075"/>
      <w:bookmarkEnd w:id="291"/>
      <w:bookmarkStart w:id="292" w:name="_Toc184313238"/>
      <w:bookmarkEnd w:id="292"/>
      <w:bookmarkStart w:id="293" w:name="_Toc184312123"/>
      <w:bookmarkEnd w:id="293"/>
      <w:bookmarkStart w:id="294" w:name="_Toc184313255"/>
      <w:bookmarkEnd w:id="294"/>
      <w:bookmarkStart w:id="295" w:name="_Toc184313273"/>
      <w:bookmarkEnd w:id="295"/>
      <w:bookmarkStart w:id="296" w:name="_Toc184308065"/>
      <w:bookmarkEnd w:id="296"/>
      <w:bookmarkStart w:id="297" w:name="_Toc184313281"/>
      <w:bookmarkEnd w:id="297"/>
      <w:bookmarkStart w:id="298" w:name="_Toc184310328"/>
      <w:bookmarkEnd w:id="298"/>
      <w:bookmarkStart w:id="299" w:name="_Toc184310282"/>
      <w:bookmarkEnd w:id="299"/>
      <w:bookmarkStart w:id="300" w:name="_Toc184313270"/>
      <w:bookmarkEnd w:id="300"/>
      <w:bookmarkStart w:id="301" w:name="_Toc184308098"/>
      <w:bookmarkEnd w:id="301"/>
      <w:bookmarkStart w:id="302" w:name="_Toc184313291"/>
      <w:bookmarkEnd w:id="302"/>
      <w:bookmarkStart w:id="303" w:name="_Toc184313271"/>
      <w:bookmarkEnd w:id="303"/>
      <w:bookmarkStart w:id="304" w:name="_Toc184314470"/>
      <w:bookmarkEnd w:id="304"/>
      <w:bookmarkStart w:id="305" w:name="_Toc184310315"/>
      <w:bookmarkEnd w:id="305"/>
      <w:bookmarkStart w:id="306" w:name="_Toc184308084"/>
      <w:bookmarkEnd w:id="306"/>
      <w:bookmarkStart w:id="307" w:name="_Toc184313288"/>
      <w:bookmarkEnd w:id="307"/>
      <w:bookmarkStart w:id="308" w:name="_Toc184312139"/>
      <w:bookmarkEnd w:id="308"/>
      <w:bookmarkStart w:id="309" w:name="_Toc184310306"/>
      <w:bookmarkEnd w:id="309"/>
      <w:bookmarkStart w:id="310" w:name="_Toc184308071"/>
      <w:bookmarkEnd w:id="310"/>
      <w:bookmarkStart w:id="311" w:name="_Toc184314446"/>
      <w:bookmarkEnd w:id="311"/>
      <w:bookmarkStart w:id="312" w:name="_Toc184308093"/>
      <w:bookmarkEnd w:id="312"/>
      <w:bookmarkStart w:id="313" w:name="_Toc184310300"/>
      <w:bookmarkEnd w:id="313"/>
      <w:bookmarkStart w:id="314" w:name="_Toc184313259"/>
      <w:bookmarkEnd w:id="314"/>
      <w:bookmarkStart w:id="315" w:name="_Toc184308059"/>
      <w:bookmarkEnd w:id="315"/>
      <w:bookmarkStart w:id="316" w:name="_Toc184312084"/>
      <w:bookmarkEnd w:id="316"/>
      <w:bookmarkStart w:id="317" w:name="_Toc184312137"/>
      <w:bookmarkEnd w:id="317"/>
      <w:bookmarkStart w:id="318" w:name="_Toc184310289"/>
      <w:bookmarkEnd w:id="318"/>
      <w:bookmarkStart w:id="319" w:name="_Toc184308038"/>
      <w:bookmarkEnd w:id="319"/>
      <w:bookmarkStart w:id="320" w:name="_Toc184308080"/>
      <w:bookmarkEnd w:id="320"/>
      <w:bookmarkStart w:id="321" w:name="_Toc184312074"/>
      <w:bookmarkEnd w:id="321"/>
      <w:bookmarkStart w:id="322" w:name="_Toc184314416"/>
      <w:bookmarkEnd w:id="322"/>
      <w:bookmarkStart w:id="323" w:name="_Toc184310294"/>
      <w:bookmarkEnd w:id="323"/>
      <w:bookmarkStart w:id="324" w:name="_Toc184314448"/>
      <w:bookmarkEnd w:id="324"/>
      <w:bookmarkStart w:id="325" w:name="_Toc184312113"/>
      <w:bookmarkEnd w:id="325"/>
      <w:bookmarkStart w:id="326" w:name="_Toc184313246"/>
      <w:bookmarkEnd w:id="326"/>
      <w:bookmarkStart w:id="327" w:name="_Toc184308036"/>
      <w:bookmarkEnd w:id="327"/>
      <w:bookmarkStart w:id="328" w:name="_Toc184314450"/>
      <w:bookmarkEnd w:id="328"/>
      <w:bookmarkStart w:id="329" w:name="_Toc184312090"/>
      <w:bookmarkEnd w:id="329"/>
      <w:bookmarkStart w:id="330" w:name="_Toc184310303"/>
      <w:bookmarkEnd w:id="330"/>
      <w:bookmarkStart w:id="331" w:name="_Toc184312105"/>
      <w:bookmarkEnd w:id="331"/>
      <w:bookmarkStart w:id="332" w:name="_Toc184314472"/>
      <w:bookmarkEnd w:id="332"/>
      <w:bookmarkStart w:id="333" w:name="_Toc184308081"/>
      <w:bookmarkEnd w:id="333"/>
      <w:bookmarkStart w:id="334" w:name="_Toc184308047"/>
      <w:bookmarkEnd w:id="334"/>
      <w:bookmarkStart w:id="335" w:name="_Toc184308052"/>
      <w:bookmarkEnd w:id="335"/>
      <w:bookmarkStart w:id="336" w:name="_Toc184310338"/>
      <w:bookmarkEnd w:id="336"/>
      <w:bookmarkStart w:id="337" w:name="_Toc184314439"/>
      <w:bookmarkEnd w:id="337"/>
      <w:bookmarkStart w:id="338" w:name="_Toc184312072"/>
      <w:bookmarkEnd w:id="338"/>
      <w:bookmarkStart w:id="339" w:name="_Toc184312083"/>
      <w:bookmarkEnd w:id="339"/>
      <w:bookmarkStart w:id="340" w:name="_Toc184313268"/>
      <w:bookmarkEnd w:id="340"/>
      <w:bookmarkStart w:id="341" w:name="_Toc184310325"/>
      <w:bookmarkEnd w:id="341"/>
      <w:bookmarkStart w:id="342" w:name="_Toc184308106"/>
      <w:bookmarkEnd w:id="342"/>
      <w:bookmarkStart w:id="343" w:name="_Toc184308044"/>
      <w:bookmarkEnd w:id="343"/>
      <w:bookmarkStart w:id="344" w:name="_Toc184313302"/>
      <w:bookmarkEnd w:id="344"/>
      <w:bookmarkStart w:id="345" w:name="_Toc184312080"/>
      <w:bookmarkEnd w:id="345"/>
      <w:bookmarkStart w:id="346" w:name="_Toc184310278"/>
      <w:bookmarkEnd w:id="346"/>
      <w:bookmarkStart w:id="347" w:name="_Toc184314413"/>
      <w:bookmarkEnd w:id="347"/>
      <w:bookmarkStart w:id="348" w:name="_Toc184308061"/>
      <w:bookmarkEnd w:id="348"/>
      <w:bookmarkStart w:id="349" w:name="_Toc184313278"/>
      <w:bookmarkEnd w:id="349"/>
      <w:bookmarkStart w:id="350" w:name="_Toc184313304"/>
      <w:bookmarkEnd w:id="350"/>
      <w:bookmarkStart w:id="351" w:name="_Toc184308097"/>
      <w:bookmarkEnd w:id="351"/>
      <w:bookmarkStart w:id="352" w:name="_Toc184314429"/>
      <w:bookmarkEnd w:id="352"/>
      <w:bookmarkStart w:id="353" w:name="_Toc184308104"/>
      <w:bookmarkEnd w:id="353"/>
      <w:bookmarkStart w:id="354" w:name="_Toc184314478"/>
      <w:bookmarkEnd w:id="354"/>
      <w:bookmarkStart w:id="355" w:name="_Toc184314417"/>
      <w:bookmarkEnd w:id="355"/>
      <w:bookmarkStart w:id="356" w:name="_Toc184313298"/>
      <w:bookmarkEnd w:id="356"/>
      <w:bookmarkStart w:id="357" w:name="_Toc184310322"/>
      <w:bookmarkEnd w:id="357"/>
      <w:bookmarkStart w:id="358" w:name="_Toc184312135"/>
      <w:bookmarkEnd w:id="358"/>
      <w:bookmarkStart w:id="359" w:name="_Toc184313253"/>
      <w:bookmarkEnd w:id="359"/>
      <w:bookmarkStart w:id="360" w:name="_Toc184308100"/>
      <w:bookmarkEnd w:id="360"/>
      <w:bookmarkStart w:id="361" w:name="_Toc184308082"/>
      <w:bookmarkEnd w:id="361"/>
      <w:bookmarkStart w:id="362" w:name="_Toc184313280"/>
      <w:bookmarkEnd w:id="362"/>
      <w:bookmarkStart w:id="363" w:name="_Toc184313262"/>
      <w:bookmarkEnd w:id="363"/>
      <w:bookmarkStart w:id="364" w:name="_Toc184314479"/>
      <w:bookmarkEnd w:id="364"/>
      <w:bookmarkStart w:id="365" w:name="_Toc184310319"/>
      <w:bookmarkEnd w:id="365"/>
      <w:bookmarkStart w:id="366" w:name="_Toc184314443"/>
      <w:bookmarkEnd w:id="366"/>
      <w:bookmarkStart w:id="367" w:name="_Toc184308105"/>
      <w:bookmarkEnd w:id="367"/>
      <w:bookmarkStart w:id="368" w:name="_Toc184312067"/>
      <w:bookmarkEnd w:id="368"/>
      <w:bookmarkStart w:id="369" w:name="_Toc184308070"/>
      <w:bookmarkEnd w:id="369"/>
      <w:bookmarkStart w:id="370" w:name="_Toc184312073"/>
      <w:bookmarkEnd w:id="370"/>
      <w:bookmarkStart w:id="371" w:name="_Toc184314467"/>
      <w:bookmarkEnd w:id="371"/>
      <w:bookmarkStart w:id="372" w:name="_Toc184310299"/>
      <w:bookmarkEnd w:id="372"/>
      <w:bookmarkStart w:id="373" w:name="_Toc184312085"/>
      <w:bookmarkEnd w:id="373"/>
      <w:bookmarkStart w:id="374" w:name="_Toc184308088"/>
      <w:bookmarkEnd w:id="374"/>
      <w:bookmarkStart w:id="375" w:name="_Toc184310288"/>
      <w:bookmarkEnd w:id="375"/>
      <w:bookmarkStart w:id="376" w:name="_Toc184313307"/>
      <w:bookmarkEnd w:id="376"/>
      <w:bookmarkStart w:id="377" w:name="_Toc184308041"/>
      <w:bookmarkEnd w:id="377"/>
      <w:bookmarkStart w:id="378" w:name="_Toc184310332"/>
      <w:bookmarkEnd w:id="378"/>
      <w:bookmarkStart w:id="379" w:name="_Toc184310340"/>
      <w:bookmarkEnd w:id="379"/>
      <w:bookmarkStart w:id="380" w:name="_Toc184314424"/>
      <w:bookmarkEnd w:id="380"/>
      <w:bookmarkStart w:id="381" w:name="_Toc184308046"/>
      <w:bookmarkEnd w:id="381"/>
      <w:bookmarkStart w:id="382" w:name="_Toc184314460"/>
      <w:bookmarkEnd w:id="382"/>
      <w:bookmarkStart w:id="383" w:name="_Toc184310284"/>
      <w:bookmarkEnd w:id="383"/>
      <w:bookmarkStart w:id="384" w:name="_Toc184314453"/>
      <w:bookmarkEnd w:id="384"/>
      <w:bookmarkStart w:id="385" w:name="_Toc184308049"/>
      <w:bookmarkEnd w:id="385"/>
      <w:bookmarkStart w:id="386" w:name="_Toc184308092"/>
      <w:bookmarkEnd w:id="386"/>
      <w:bookmarkStart w:id="387" w:name="_Toc184308096"/>
      <w:bookmarkEnd w:id="387"/>
      <w:bookmarkStart w:id="388" w:name="_Toc184314440"/>
      <w:bookmarkEnd w:id="388"/>
      <w:bookmarkStart w:id="389" w:name="_Toc184313297"/>
      <w:bookmarkEnd w:id="389"/>
      <w:bookmarkStart w:id="390" w:name="_Toc184314425"/>
      <w:bookmarkEnd w:id="390"/>
      <w:bookmarkStart w:id="391" w:name="_Toc184308076"/>
      <w:bookmarkEnd w:id="391"/>
      <w:bookmarkStart w:id="392" w:name="_Toc184312136"/>
      <w:bookmarkEnd w:id="392"/>
      <w:r>
        <w:rPr>
          <w:rFonts w:hint="eastAsia" w:cs="仿宋" w:asciiTheme="majorEastAsia" w:hAnsiTheme="majorEastAsia" w:eastAsiaTheme="majorEastAsia"/>
          <w:b/>
          <w:color w:val="auto"/>
          <w:sz w:val="36"/>
          <w:szCs w:val="36"/>
          <w:highlight w:val="none"/>
        </w:rPr>
        <w:t>评标办法</w:t>
      </w:r>
    </w:p>
    <w:p>
      <w:pPr>
        <w:snapToGrid w:val="0"/>
        <w:spacing w:line="360" w:lineRule="auto"/>
        <w:jc w:val="center"/>
        <w:rPr>
          <w:rFonts w:cs="仿宋" w:asciiTheme="majorEastAsia" w:hAnsiTheme="majorEastAsia" w:eastAsiaTheme="majorEastAsia"/>
          <w:b/>
          <w:color w:val="auto"/>
          <w:sz w:val="32"/>
          <w:szCs w:val="20"/>
          <w:highlight w:val="none"/>
        </w:rPr>
      </w:pPr>
      <w:r>
        <w:rPr>
          <w:rFonts w:hint="eastAsia" w:cs="仿宋" w:asciiTheme="majorEastAsia" w:hAnsiTheme="majorEastAsia" w:eastAsiaTheme="majorEastAsia"/>
          <w:b/>
          <w:color w:val="auto"/>
          <w:sz w:val="32"/>
          <w:szCs w:val="20"/>
          <w:highlight w:val="none"/>
        </w:rPr>
        <w:t>评标办法前附表</w:t>
      </w:r>
    </w:p>
    <w:tbl>
      <w:tblPr>
        <w:tblStyle w:val="18"/>
        <w:tblW w:w="9184" w:type="dxa"/>
        <w:jc w:val="center"/>
        <w:tblLayout w:type="fixed"/>
        <w:tblCellMar>
          <w:top w:w="0" w:type="dxa"/>
          <w:left w:w="108" w:type="dxa"/>
          <w:bottom w:w="0" w:type="dxa"/>
          <w:right w:w="108" w:type="dxa"/>
        </w:tblCellMar>
      </w:tblPr>
      <w:tblGrid>
        <w:gridCol w:w="776"/>
        <w:gridCol w:w="1388"/>
        <w:gridCol w:w="7020"/>
      </w:tblGrid>
      <w:tr>
        <w:tblPrEx>
          <w:tblCellMar>
            <w:top w:w="0" w:type="dxa"/>
            <w:left w:w="108" w:type="dxa"/>
            <w:bottom w:w="0" w:type="dxa"/>
            <w:right w:w="108" w:type="dxa"/>
          </w:tblCellMar>
        </w:tblPrEx>
        <w:trPr>
          <w:trHeight w:val="389" w:hRule="atLeast"/>
          <w:jc w:val="center"/>
        </w:trPr>
        <w:tc>
          <w:tcPr>
            <w:tcW w:w="91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评分标准</w:t>
            </w:r>
          </w:p>
        </w:tc>
      </w:tr>
      <w:tr>
        <w:trPr>
          <w:trHeight w:val="2052" w:hRule="atLeast"/>
          <w:jc w:val="center"/>
        </w:trPr>
        <w:tc>
          <w:tcPr>
            <w:tcW w:w="776"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技术商务</w:t>
            </w:r>
            <w:r>
              <w:rPr>
                <w:rFonts w:hint="eastAsia" w:asciiTheme="majorEastAsia" w:hAnsiTheme="majorEastAsia" w:eastAsiaTheme="majorEastAsia" w:cstheme="majorEastAsia"/>
                <w:color w:val="auto"/>
                <w:sz w:val="24"/>
                <w:szCs w:val="24"/>
                <w:highlight w:val="none"/>
                <w:lang w:val="en-US" w:eastAsia="zh-CN"/>
              </w:rPr>
              <w:t>9</w:t>
            </w:r>
            <w:r>
              <w:rPr>
                <w:rFonts w:hint="eastAsia" w:asciiTheme="majorEastAsia" w:hAnsiTheme="majorEastAsia" w:eastAsiaTheme="majorEastAsia" w:cstheme="majorEastAsia"/>
                <w:color w:val="auto"/>
                <w:sz w:val="24"/>
                <w:szCs w:val="24"/>
                <w:highlight w:val="none"/>
              </w:rPr>
              <w:t>0分</w:t>
            </w:r>
          </w:p>
        </w:tc>
        <w:tc>
          <w:tcPr>
            <w:tcW w:w="13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val="0"/>
              <w:snapToGrid w:val="0"/>
              <w:spacing w:before="0" w:beforeAutospacing="0" w:after="0" w:afterAutospacing="0" w:line="300" w:lineRule="exact"/>
              <w:ind w:left="0" w:right="0" w:firstLine="0" w:firstLineChars="0"/>
              <w:jc w:val="both"/>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一、招标需求响应情况（10分）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供应商完全响应</w:t>
            </w:r>
            <w:r>
              <w:rPr>
                <w:rFonts w:hint="eastAsia" w:asciiTheme="majorEastAsia" w:hAnsiTheme="majorEastAsia" w:eastAsiaTheme="majorEastAsia" w:cstheme="majorEastAsia"/>
                <w:color w:val="auto"/>
                <w:sz w:val="24"/>
                <w:szCs w:val="24"/>
                <w:highlight w:val="none"/>
                <w:lang w:eastAsia="zh-CN"/>
              </w:rPr>
              <w:t>采购文件</w:t>
            </w:r>
            <w:r>
              <w:rPr>
                <w:rFonts w:hint="eastAsia" w:asciiTheme="majorEastAsia" w:hAnsiTheme="majorEastAsia" w:eastAsiaTheme="majorEastAsia" w:cstheme="majorEastAsia"/>
                <w:color w:val="auto"/>
                <w:sz w:val="24"/>
                <w:szCs w:val="24"/>
                <w:highlight w:val="none"/>
                <w:lang w:val="en-US" w:eastAsia="zh-CN"/>
              </w:rPr>
              <w:t>“第三章  采购需求</w:t>
            </w:r>
            <w:r>
              <w:rPr>
                <w:rFonts w:hint="eastAsia" w:asciiTheme="majorEastAsia" w:hAnsiTheme="majorEastAsia" w:eastAsiaTheme="majorEastAsia" w:cstheme="majorEastAsia"/>
                <w:color w:val="auto"/>
                <w:sz w:val="24"/>
                <w:szCs w:val="24"/>
                <w:highlight w:val="none"/>
                <w:lang w:eastAsia="zh-CN"/>
              </w:rPr>
              <w:t>二、三、四、五</w:t>
            </w:r>
            <w:r>
              <w:rPr>
                <w:rFonts w:hint="eastAsia" w:asciiTheme="majorEastAsia" w:hAnsiTheme="majorEastAsia" w:eastAsiaTheme="majorEastAsia" w:cstheme="majorEastAsia"/>
                <w:color w:val="auto"/>
                <w:sz w:val="24"/>
                <w:szCs w:val="24"/>
                <w:highlight w:val="none"/>
                <w:lang w:val="en-US" w:eastAsia="zh-CN"/>
              </w:rPr>
              <w:t>采购内容的得满分10分；</w:t>
            </w:r>
            <w:r>
              <w:rPr>
                <w:rFonts w:hint="eastAsia" w:asciiTheme="majorEastAsia" w:hAnsiTheme="majorEastAsia" w:eastAsiaTheme="majorEastAsia" w:cstheme="majorEastAsia"/>
                <w:color w:val="auto"/>
                <w:sz w:val="24"/>
                <w:szCs w:val="24"/>
                <w:highlight w:val="none"/>
                <w:lang w:eastAsia="zh-CN"/>
              </w:rPr>
              <w:t>非带“▲”服务要求每负偏离</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条，扣1分,扣完为止；带“▲”</w:t>
            </w:r>
            <w:r>
              <w:rPr>
                <w:rFonts w:hint="eastAsia" w:asciiTheme="majorEastAsia" w:hAnsiTheme="majorEastAsia" w:eastAsiaTheme="majorEastAsia" w:cstheme="majorEastAsia"/>
                <w:color w:val="auto"/>
                <w:sz w:val="24"/>
                <w:szCs w:val="24"/>
                <w:highlight w:val="none"/>
                <w:lang w:val="en-US" w:eastAsia="zh-CN"/>
              </w:rPr>
              <w:t>服务要求</w:t>
            </w:r>
            <w:r>
              <w:rPr>
                <w:rFonts w:hint="eastAsia" w:asciiTheme="majorEastAsia" w:hAnsiTheme="majorEastAsia" w:eastAsiaTheme="majorEastAsia" w:cstheme="majorEastAsia"/>
                <w:color w:val="auto"/>
                <w:sz w:val="24"/>
                <w:szCs w:val="24"/>
                <w:highlight w:val="none"/>
                <w:lang w:eastAsia="zh-CN"/>
              </w:rPr>
              <w:t>每负偏离</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lang w:eastAsia="zh-CN"/>
              </w:rPr>
              <w:t>项，视为无效投标文件。</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其中</w:t>
            </w:r>
            <w:r>
              <w:rPr>
                <w:rFonts w:hint="eastAsia" w:asciiTheme="majorEastAsia" w:hAnsiTheme="majorEastAsia" w:eastAsiaTheme="majorEastAsia" w:cstheme="majorEastAsia"/>
                <w:b/>
                <w:bCs/>
                <w:color w:val="auto"/>
                <w:sz w:val="24"/>
                <w:szCs w:val="24"/>
                <w:highlight w:val="none"/>
                <w:lang w:eastAsia="zh-CN"/>
              </w:rPr>
              <w:t xml:space="preserve">1条的定义：第三章 </w:t>
            </w:r>
            <w:r>
              <w:rPr>
                <w:rFonts w:hint="eastAsia" w:asciiTheme="majorEastAsia" w:hAnsiTheme="majorEastAsia" w:eastAsiaTheme="majorEastAsia" w:cstheme="majorEastAsia"/>
                <w:b/>
                <w:bCs/>
                <w:color w:val="auto"/>
                <w:sz w:val="24"/>
                <w:szCs w:val="24"/>
                <w:highlight w:val="none"/>
                <w:lang w:val="en-US" w:eastAsia="zh-CN"/>
              </w:rPr>
              <w:t>采购需求</w:t>
            </w:r>
            <w:r>
              <w:rPr>
                <w:rFonts w:hint="eastAsia" w:asciiTheme="majorEastAsia" w:hAnsiTheme="majorEastAsia" w:eastAsiaTheme="majorEastAsia" w:cstheme="majorEastAsia"/>
                <w:b/>
                <w:bCs/>
                <w:color w:val="auto"/>
                <w:sz w:val="24"/>
                <w:szCs w:val="24"/>
                <w:highlight w:val="none"/>
                <w:lang w:eastAsia="zh-CN"/>
              </w:rPr>
              <w:t>二、三、四、五、六中的最小序号。</w:t>
            </w:r>
          </w:p>
        </w:tc>
      </w:tr>
      <w:tr>
        <w:tblPrEx>
          <w:tblCellMar>
            <w:top w:w="0" w:type="dxa"/>
            <w:left w:w="108" w:type="dxa"/>
            <w:bottom w:w="0" w:type="dxa"/>
            <w:right w:w="108" w:type="dxa"/>
          </w:tblCellMar>
        </w:tblPrEx>
        <w:trPr>
          <w:trHeight w:val="1415" w:hRule="atLeast"/>
          <w:jc w:val="center"/>
        </w:trPr>
        <w:tc>
          <w:tcPr>
            <w:tcW w:w="776"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restart"/>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eastAsia="zh-CN"/>
              </w:rPr>
              <w:t>二</w:t>
            </w:r>
            <w:r>
              <w:rPr>
                <w:rFonts w:hint="eastAsia" w:asciiTheme="majorEastAsia" w:hAnsiTheme="majorEastAsia" w:eastAsiaTheme="majorEastAsia" w:cstheme="majorEastAsia"/>
                <w:color w:val="auto"/>
                <w:sz w:val="24"/>
                <w:szCs w:val="24"/>
                <w:highlight w:val="none"/>
              </w:rPr>
              <w:t>、物业管理方案（</w:t>
            </w:r>
            <w:r>
              <w:rPr>
                <w:rFonts w:hint="eastAsia" w:asciiTheme="majorEastAsia" w:hAnsiTheme="majorEastAsia" w:eastAsiaTheme="majorEastAsia" w:cstheme="majorEastAsia"/>
                <w:color w:val="auto"/>
                <w:sz w:val="24"/>
                <w:szCs w:val="24"/>
                <w:highlight w:val="none"/>
                <w:lang w:val="en-US" w:eastAsia="zh-CN"/>
              </w:rPr>
              <w:t>42</w:t>
            </w:r>
            <w:r>
              <w:rPr>
                <w:rFonts w:hint="eastAsia" w:asciiTheme="majorEastAsia" w:hAnsiTheme="majorEastAsia" w:eastAsiaTheme="majorEastAsia" w:cstheme="majorEastAsia"/>
                <w:color w:val="auto"/>
                <w:sz w:val="24"/>
                <w:szCs w:val="24"/>
                <w:highlight w:val="none"/>
              </w:rPr>
              <w:t>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1.</w:t>
            </w:r>
            <w:r>
              <w:rPr>
                <w:rFonts w:hint="eastAsia" w:asciiTheme="majorEastAsia" w:hAnsiTheme="majorEastAsia" w:eastAsiaTheme="majorEastAsia" w:cstheme="majorEastAsia"/>
                <w:b w:val="0"/>
                <w:bCs w:val="0"/>
                <w:color w:val="auto"/>
                <w:sz w:val="24"/>
                <w:szCs w:val="24"/>
                <w:highlight w:val="none"/>
              </w:rPr>
              <w:t>根据投标人提供的保安服务方案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服务</w:t>
            </w:r>
            <w:r>
              <w:rPr>
                <w:rFonts w:hint="eastAsia" w:asciiTheme="majorEastAsia" w:hAnsiTheme="majorEastAsia" w:eastAsiaTheme="majorEastAsia" w:cstheme="majorEastAsia"/>
                <w:b w:val="0"/>
                <w:bCs w:val="0"/>
                <w:color w:val="auto"/>
                <w:sz w:val="24"/>
                <w:szCs w:val="24"/>
                <w:highlight w:val="none"/>
                <w:lang w:val="en-US" w:eastAsia="zh-CN"/>
              </w:rPr>
              <w:t>方案</w:t>
            </w:r>
            <w:r>
              <w:rPr>
                <w:rFonts w:hint="eastAsia" w:asciiTheme="majorEastAsia" w:hAnsiTheme="majorEastAsia" w:eastAsiaTheme="majorEastAsia" w:cstheme="majorEastAsia"/>
                <w:b w:val="0"/>
                <w:bCs w:val="0"/>
                <w:color w:val="auto"/>
                <w:sz w:val="24"/>
                <w:szCs w:val="24"/>
                <w:highlight w:val="none"/>
              </w:rPr>
              <w:t>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rPr>
              <w:t>保安服务工作项目、工作范围是否齐全；</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保安</w:t>
            </w:r>
            <w:r>
              <w:rPr>
                <w:rFonts w:hint="eastAsia" w:asciiTheme="majorEastAsia" w:hAnsiTheme="majorEastAsia" w:eastAsiaTheme="majorEastAsia" w:cstheme="majorEastAsia"/>
                <w:b w:val="0"/>
                <w:bCs w:val="0"/>
                <w:color w:val="auto"/>
                <w:sz w:val="24"/>
                <w:szCs w:val="24"/>
                <w:highlight w:val="none"/>
                <w:lang w:val="en-US" w:eastAsia="zh-CN"/>
              </w:rPr>
              <w:t>人员</w:t>
            </w:r>
            <w:r>
              <w:rPr>
                <w:rFonts w:hint="eastAsia" w:asciiTheme="majorEastAsia" w:hAnsiTheme="majorEastAsia" w:eastAsiaTheme="majorEastAsia" w:cstheme="majorEastAsia"/>
                <w:b w:val="0"/>
                <w:bCs w:val="0"/>
                <w:color w:val="auto"/>
                <w:sz w:val="24"/>
                <w:szCs w:val="24"/>
                <w:highlight w:val="none"/>
              </w:rPr>
              <w:t>组织设置、岗位配置是否符合本项目的要求；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rPr>
              <w:t>人员管理</w:t>
            </w:r>
            <w:r>
              <w:rPr>
                <w:rFonts w:hint="eastAsia" w:asciiTheme="majorEastAsia" w:hAnsiTheme="majorEastAsia" w:eastAsiaTheme="majorEastAsia" w:cstheme="majorEastAsia"/>
                <w:b w:val="0"/>
                <w:bCs w:val="0"/>
                <w:color w:val="auto"/>
                <w:sz w:val="24"/>
                <w:szCs w:val="24"/>
                <w:highlight w:val="none"/>
                <w:lang w:val="en-US" w:eastAsia="zh-CN"/>
              </w:rPr>
              <w:t>方案</w:t>
            </w:r>
            <w:r>
              <w:rPr>
                <w:rFonts w:hint="eastAsia" w:asciiTheme="majorEastAsia" w:hAnsiTheme="majorEastAsia" w:eastAsiaTheme="majorEastAsia" w:cstheme="majorEastAsia"/>
                <w:b w:val="0"/>
                <w:bCs w:val="0"/>
                <w:color w:val="auto"/>
                <w:sz w:val="24"/>
                <w:szCs w:val="24"/>
                <w:highlight w:val="none"/>
              </w:rPr>
              <w:t>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524"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2.根据投标人提供的保洁</w:t>
            </w:r>
            <w:r>
              <w:rPr>
                <w:rFonts w:hint="eastAsia" w:asciiTheme="majorEastAsia" w:hAnsiTheme="majorEastAsia" w:eastAsiaTheme="majorEastAsia" w:cstheme="majorEastAsia"/>
                <w:b w:val="0"/>
                <w:bCs w:val="0"/>
                <w:color w:val="auto"/>
                <w:sz w:val="24"/>
                <w:szCs w:val="24"/>
                <w:highlight w:val="none"/>
                <w:lang w:val="en-US" w:eastAsia="zh-CN"/>
              </w:rPr>
              <w:t>服务</w:t>
            </w:r>
            <w:r>
              <w:rPr>
                <w:rFonts w:hint="eastAsia" w:asciiTheme="majorEastAsia" w:hAnsiTheme="majorEastAsia" w:eastAsiaTheme="majorEastAsia" w:cstheme="majorEastAsia"/>
                <w:b w:val="0"/>
                <w:bCs w:val="0"/>
                <w:color w:val="auto"/>
                <w:sz w:val="24"/>
                <w:szCs w:val="24"/>
                <w:highlight w:val="none"/>
              </w:rPr>
              <w:t>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sz w:val="24"/>
                <w:szCs w:val="24"/>
                <w:highlight w:val="none"/>
                <w:lang w:val="en-US" w:eastAsia="zh-CN"/>
              </w:rPr>
              <w:t>服务</w:t>
            </w:r>
            <w:r>
              <w:rPr>
                <w:rFonts w:hint="eastAsia" w:asciiTheme="majorEastAsia" w:hAnsiTheme="majorEastAsia" w:eastAsiaTheme="majorEastAsia" w:cstheme="majorEastAsia"/>
                <w:b w:val="0"/>
                <w:bCs w:val="0"/>
                <w:color w:val="auto"/>
                <w:sz w:val="24"/>
                <w:szCs w:val="24"/>
                <w:highlight w:val="none"/>
                <w:lang w:val="en-US" w:eastAsia="zh-CN"/>
              </w:rPr>
              <w:t>方案</w:t>
            </w:r>
            <w:r>
              <w:rPr>
                <w:rFonts w:hint="eastAsia" w:asciiTheme="majorEastAsia" w:hAnsiTheme="majorEastAsia" w:eastAsiaTheme="majorEastAsia" w:cstheme="majorEastAsia"/>
                <w:b w:val="0"/>
                <w:bCs w:val="0"/>
                <w:color w:val="auto"/>
                <w:sz w:val="24"/>
                <w:szCs w:val="24"/>
                <w:highlight w:val="none"/>
              </w:rPr>
              <w:t>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rPr>
              <w:t>保洁</w:t>
            </w:r>
            <w:r>
              <w:rPr>
                <w:rFonts w:hint="eastAsia" w:asciiTheme="majorEastAsia" w:hAnsiTheme="majorEastAsia" w:eastAsiaTheme="majorEastAsia" w:cstheme="majorEastAsia"/>
                <w:b w:val="0"/>
                <w:bCs w:val="0"/>
                <w:color w:val="auto"/>
                <w:sz w:val="24"/>
                <w:szCs w:val="24"/>
                <w:highlight w:val="none"/>
                <w:lang w:val="en-US" w:eastAsia="zh-CN"/>
              </w:rPr>
              <w:t>服务</w:t>
            </w:r>
            <w:r>
              <w:rPr>
                <w:rFonts w:hint="eastAsia" w:asciiTheme="majorEastAsia" w:hAnsiTheme="majorEastAsia" w:eastAsiaTheme="majorEastAsia" w:cstheme="majorEastAsia"/>
                <w:b w:val="0"/>
                <w:bCs w:val="0"/>
                <w:color w:val="auto"/>
                <w:sz w:val="24"/>
                <w:szCs w:val="24"/>
                <w:highlight w:val="none"/>
              </w:rPr>
              <w:t>工作项目、工作范围是否齐全；</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保洁</w:t>
            </w:r>
            <w:r>
              <w:rPr>
                <w:rFonts w:hint="eastAsia" w:asciiTheme="majorEastAsia" w:hAnsiTheme="majorEastAsia" w:eastAsiaTheme="majorEastAsia" w:cstheme="majorEastAsia"/>
                <w:b w:val="0"/>
                <w:bCs w:val="0"/>
                <w:color w:val="auto"/>
                <w:sz w:val="24"/>
                <w:szCs w:val="24"/>
                <w:highlight w:val="none"/>
                <w:lang w:val="en-US" w:eastAsia="zh-CN"/>
              </w:rPr>
              <w:t>人员</w:t>
            </w:r>
            <w:r>
              <w:rPr>
                <w:rFonts w:hint="eastAsia" w:asciiTheme="majorEastAsia" w:hAnsiTheme="majorEastAsia" w:eastAsiaTheme="majorEastAsia" w:cstheme="majorEastAsia"/>
                <w:b w:val="0"/>
                <w:bCs w:val="0"/>
                <w:color w:val="auto"/>
                <w:sz w:val="24"/>
                <w:szCs w:val="24"/>
                <w:highlight w:val="none"/>
              </w:rPr>
              <w:t>组织设置、岗位配置是否符合本项目的</w:t>
            </w:r>
            <w:r>
              <w:rPr>
                <w:rFonts w:hint="eastAsia" w:asciiTheme="majorEastAsia" w:hAnsiTheme="majorEastAsia" w:eastAsiaTheme="majorEastAsia" w:cstheme="majorEastAsia"/>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lang w:val="en-US" w:eastAsia="zh-CN"/>
              </w:rPr>
              <w:t>人员管理方案是否合理；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372"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3.根据投标人提供的</w:t>
            </w:r>
            <w:r>
              <w:rPr>
                <w:rFonts w:hint="eastAsia" w:asciiTheme="majorEastAsia" w:hAnsiTheme="majorEastAsia" w:eastAsiaTheme="majorEastAsia" w:cstheme="majorEastAsia"/>
                <w:b w:val="0"/>
                <w:bCs w:val="0"/>
                <w:color w:val="auto"/>
                <w:sz w:val="24"/>
                <w:szCs w:val="24"/>
                <w:highlight w:val="none"/>
                <w:lang w:val="en-US" w:eastAsia="zh-CN"/>
              </w:rPr>
              <w:t>前厅接待及</w:t>
            </w:r>
            <w:r>
              <w:rPr>
                <w:rFonts w:hint="eastAsia" w:asciiTheme="majorEastAsia" w:hAnsiTheme="majorEastAsia" w:eastAsiaTheme="majorEastAsia" w:cstheme="majorEastAsia"/>
                <w:b w:val="0"/>
                <w:bCs w:val="0"/>
                <w:color w:val="auto"/>
                <w:sz w:val="24"/>
                <w:szCs w:val="24"/>
                <w:highlight w:val="none"/>
                <w:lang w:eastAsia="zh-CN"/>
              </w:rPr>
              <w:t>会务</w:t>
            </w:r>
            <w:r>
              <w:rPr>
                <w:rFonts w:hint="eastAsia" w:asciiTheme="majorEastAsia" w:hAnsiTheme="majorEastAsia" w:eastAsiaTheme="majorEastAsia" w:cstheme="majorEastAsia"/>
                <w:b w:val="0"/>
                <w:bCs w:val="0"/>
                <w:color w:val="auto"/>
                <w:sz w:val="24"/>
                <w:szCs w:val="24"/>
                <w:highlight w:val="none"/>
              </w:rPr>
              <w:t>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b w:val="0"/>
                <w:bCs w:val="0"/>
                <w:color w:val="auto"/>
                <w:sz w:val="24"/>
                <w:szCs w:val="24"/>
                <w:highlight w:val="none"/>
              </w:rPr>
              <w:t>服务</w:t>
            </w:r>
            <w:r>
              <w:rPr>
                <w:rFonts w:hint="eastAsia" w:ascii="宋体" w:hAnsi="宋体" w:cs="宋体"/>
                <w:b w:val="0"/>
                <w:bCs w:val="0"/>
                <w:color w:val="auto"/>
                <w:sz w:val="24"/>
                <w:szCs w:val="24"/>
                <w:highlight w:val="none"/>
                <w:lang w:val="en-US" w:eastAsia="zh-CN"/>
              </w:rPr>
              <w:t>方案</w:t>
            </w:r>
            <w:r>
              <w:rPr>
                <w:rFonts w:hint="eastAsia" w:asciiTheme="majorEastAsia" w:hAnsiTheme="majorEastAsia" w:eastAsiaTheme="majorEastAsia" w:cstheme="majorEastAsia"/>
                <w:b w:val="0"/>
                <w:bCs w:val="0"/>
                <w:color w:val="auto"/>
                <w:sz w:val="24"/>
                <w:szCs w:val="24"/>
                <w:highlight w:val="none"/>
              </w:rPr>
              <w:t>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lang w:val="en-US" w:eastAsia="zh-CN"/>
              </w:rPr>
              <w:t>前厅接待及</w:t>
            </w:r>
            <w:r>
              <w:rPr>
                <w:rFonts w:hint="eastAsia" w:asciiTheme="majorEastAsia" w:hAnsiTheme="majorEastAsia" w:eastAsiaTheme="majorEastAsia" w:cstheme="majorEastAsia"/>
                <w:b w:val="0"/>
                <w:bCs w:val="0"/>
                <w:color w:val="auto"/>
                <w:sz w:val="24"/>
                <w:szCs w:val="24"/>
                <w:highlight w:val="none"/>
                <w:lang w:eastAsia="zh-CN"/>
              </w:rPr>
              <w:t>会务</w:t>
            </w:r>
            <w:r>
              <w:rPr>
                <w:rFonts w:hint="eastAsia" w:asciiTheme="majorEastAsia" w:hAnsiTheme="majorEastAsia" w:eastAsiaTheme="majorEastAsia" w:cstheme="majorEastAsia"/>
                <w:b w:val="0"/>
                <w:bCs w:val="0"/>
                <w:color w:val="auto"/>
                <w:sz w:val="24"/>
                <w:szCs w:val="24"/>
                <w:highlight w:val="none"/>
              </w:rPr>
              <w:t>服务工作项目、工作范围是否齐全；</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组织设置、岗位配置是否符合本项目的要求；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rPr>
              <w:t>人员管理是否合理；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441"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rPr>
              <w:t>4.根据投标人提供的工程服务方案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b w:val="0"/>
                <w:bCs w:val="0"/>
                <w:color w:val="auto"/>
                <w:sz w:val="24"/>
                <w:szCs w:val="24"/>
                <w:highlight w:val="none"/>
              </w:rPr>
              <w:t>服务方案是否适应本项目的需求，是否有创新；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rPr>
              <w:t>工程工作项目、工作范围是否齐全；</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组织设置、岗位配置是否符合本项目的要求；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rPr>
              <w:t>人员管理是否合理；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475"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5、</w:t>
            </w:r>
            <w:r>
              <w:rPr>
                <w:rFonts w:hint="eastAsia" w:asciiTheme="majorEastAsia" w:hAnsiTheme="majorEastAsia" w:eastAsiaTheme="majorEastAsia" w:cstheme="majorEastAsia"/>
                <w:b w:val="0"/>
                <w:bCs w:val="0"/>
                <w:color w:val="auto"/>
                <w:sz w:val="24"/>
                <w:szCs w:val="24"/>
                <w:highlight w:val="none"/>
              </w:rPr>
              <w:t>根据投标人提供的</w:t>
            </w:r>
            <w:r>
              <w:rPr>
                <w:rFonts w:hint="eastAsia" w:asciiTheme="majorEastAsia" w:hAnsiTheme="majorEastAsia" w:eastAsiaTheme="majorEastAsia" w:cstheme="majorEastAsia"/>
                <w:b w:val="0"/>
                <w:bCs w:val="0"/>
                <w:color w:val="auto"/>
                <w:sz w:val="24"/>
                <w:szCs w:val="24"/>
                <w:highlight w:val="none"/>
                <w:lang w:eastAsia="zh-CN"/>
              </w:rPr>
              <w:t>餐饮</w:t>
            </w:r>
            <w:r>
              <w:rPr>
                <w:rFonts w:hint="eastAsia" w:asciiTheme="majorEastAsia" w:hAnsiTheme="majorEastAsia" w:eastAsiaTheme="majorEastAsia" w:cstheme="majorEastAsia"/>
                <w:b w:val="0"/>
                <w:bCs w:val="0"/>
                <w:color w:val="auto"/>
                <w:sz w:val="24"/>
                <w:szCs w:val="24"/>
                <w:highlight w:val="none"/>
              </w:rPr>
              <w:t>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b w:val="0"/>
                <w:bCs w:val="0"/>
                <w:color w:val="auto"/>
                <w:sz w:val="24"/>
                <w:szCs w:val="24"/>
                <w:highlight w:val="none"/>
              </w:rPr>
              <w:t>服务方案是否适应本项目的需求，是否有创新；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lang w:eastAsia="zh-CN"/>
              </w:rPr>
              <w:t>餐饮</w:t>
            </w:r>
            <w:r>
              <w:rPr>
                <w:rFonts w:hint="eastAsia" w:asciiTheme="majorEastAsia" w:hAnsiTheme="majorEastAsia" w:eastAsiaTheme="majorEastAsia" w:cstheme="majorEastAsia"/>
                <w:b w:val="0"/>
                <w:bCs w:val="0"/>
                <w:color w:val="auto"/>
                <w:sz w:val="24"/>
                <w:szCs w:val="24"/>
                <w:highlight w:val="none"/>
              </w:rPr>
              <w:t>服务工作项目、工作范围是否齐全；</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组织设置、岗位配置是否符合本项目的要求；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rPr>
              <w:t>人员管理是否合理；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421"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rPr>
              <w:t>根据投标人提供的业态经营服务方案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b w:val="0"/>
                <w:bCs w:val="0"/>
                <w:color w:val="auto"/>
                <w:sz w:val="24"/>
                <w:szCs w:val="24"/>
                <w:highlight w:val="none"/>
              </w:rPr>
              <w:t>服务方案是否适应本项目的需求，是否有创新；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rPr>
              <w:t>业态经营工作项目、工作范围是否齐全；</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组织设置、岗位配置是否符合本项目的要求；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rPr>
              <w:t>人员管理是否合理；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486"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b w:val="0"/>
                <w:bCs w:val="0"/>
                <w:color w:val="auto"/>
                <w:kern w:val="2"/>
                <w:sz w:val="24"/>
                <w:szCs w:val="24"/>
                <w:highlight w:val="none"/>
                <w:lang w:val="en-US" w:eastAsia="zh-CN" w:bidi="ar-SA"/>
              </w:rPr>
            </w:pPr>
            <w:r>
              <w:rPr>
                <w:rFonts w:hint="eastAsia" w:asciiTheme="majorEastAsia" w:hAnsiTheme="majorEastAsia" w:eastAsiaTheme="majorEastAsia" w:cstheme="majorEastAsia"/>
                <w:b w:val="0"/>
                <w:bCs w:val="0"/>
                <w:color w:val="auto"/>
                <w:sz w:val="24"/>
                <w:szCs w:val="24"/>
                <w:highlight w:val="none"/>
                <w:lang w:val="en-US" w:eastAsia="zh-CN"/>
              </w:rPr>
              <w:t>7.</w:t>
            </w:r>
            <w:r>
              <w:rPr>
                <w:rFonts w:hint="eastAsia" w:asciiTheme="majorEastAsia" w:hAnsiTheme="majorEastAsia" w:eastAsiaTheme="majorEastAsia" w:cstheme="majorEastAsia"/>
                <w:b w:val="0"/>
                <w:bCs w:val="0"/>
                <w:color w:val="auto"/>
                <w:sz w:val="24"/>
                <w:szCs w:val="24"/>
                <w:highlight w:val="none"/>
              </w:rPr>
              <w:t>根据投标人提供的</w:t>
            </w:r>
            <w:r>
              <w:rPr>
                <w:rFonts w:hint="eastAsia" w:asciiTheme="majorEastAsia" w:hAnsiTheme="majorEastAsia" w:eastAsiaTheme="majorEastAsia" w:cstheme="majorEastAsia"/>
                <w:b w:val="0"/>
                <w:bCs w:val="0"/>
                <w:color w:val="auto"/>
                <w:sz w:val="24"/>
                <w:szCs w:val="24"/>
                <w:highlight w:val="none"/>
                <w:lang w:eastAsia="zh-CN"/>
              </w:rPr>
              <w:t>绿化</w:t>
            </w:r>
            <w:r>
              <w:rPr>
                <w:rFonts w:hint="eastAsia" w:asciiTheme="majorEastAsia" w:hAnsiTheme="majorEastAsia" w:eastAsiaTheme="majorEastAsia" w:cstheme="majorEastAsia"/>
                <w:b w:val="0"/>
                <w:bCs w:val="0"/>
                <w:color w:val="auto"/>
                <w:sz w:val="24"/>
                <w:szCs w:val="24"/>
                <w:highlight w:val="none"/>
              </w:rPr>
              <w:t>服务方案</w:t>
            </w:r>
            <w:r>
              <w:rPr>
                <w:rFonts w:hint="eastAsia" w:asciiTheme="majorEastAsia" w:hAnsiTheme="majorEastAsia" w:eastAsiaTheme="majorEastAsia" w:cstheme="majorEastAsia"/>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b w:val="0"/>
                <w:bCs w:val="0"/>
                <w:color w:val="auto"/>
                <w:sz w:val="24"/>
                <w:szCs w:val="24"/>
                <w:highlight w:val="none"/>
              </w:rPr>
              <w:t>服务方案是否适应本项目的需求，是否有创新；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b w:val="0"/>
                <w:bCs w:val="0"/>
                <w:color w:val="auto"/>
                <w:sz w:val="24"/>
                <w:szCs w:val="24"/>
                <w:highlight w:val="none"/>
                <w:lang w:eastAsia="zh-CN"/>
              </w:rPr>
              <w:t>绿化</w:t>
            </w:r>
            <w:r>
              <w:rPr>
                <w:rFonts w:hint="eastAsia" w:asciiTheme="majorEastAsia" w:hAnsiTheme="majorEastAsia" w:eastAsiaTheme="majorEastAsia" w:cstheme="majorEastAsia"/>
                <w:b w:val="0"/>
                <w:bCs w:val="0"/>
                <w:color w:val="auto"/>
                <w:sz w:val="24"/>
                <w:szCs w:val="24"/>
                <w:highlight w:val="none"/>
              </w:rPr>
              <w:t>服务工作项目、工作范围是否齐全；</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b w:val="0"/>
                <w:bCs w:val="0"/>
                <w:color w:val="auto"/>
                <w:sz w:val="24"/>
                <w:szCs w:val="24"/>
                <w:highlight w:val="none"/>
              </w:rPr>
              <w:t>组织设置、岗位配置是否符合本项目的要求；</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b w:val="0"/>
                <w:bCs w:val="0"/>
                <w:color w:val="auto"/>
                <w:sz w:val="24"/>
                <w:szCs w:val="24"/>
                <w:highlight w:val="none"/>
              </w:rPr>
              <w:t>人员管理是否合理；</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0-1.5</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760"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restart"/>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三</w:t>
            </w:r>
            <w:r>
              <w:rPr>
                <w:rFonts w:hint="eastAsia" w:asciiTheme="majorEastAsia" w:hAnsiTheme="majorEastAsia" w:eastAsiaTheme="majorEastAsia" w:cstheme="majorEastAsia"/>
                <w:color w:val="auto"/>
                <w:sz w:val="24"/>
                <w:szCs w:val="24"/>
                <w:highlight w:val="none"/>
              </w:rPr>
              <w:t>、应急保障（</w:t>
            </w:r>
            <w:r>
              <w:rPr>
                <w:rFonts w:hint="eastAsia" w:asciiTheme="majorEastAsia" w:hAnsiTheme="majorEastAsia" w:eastAsiaTheme="majorEastAsia" w:cstheme="majorEastAsia"/>
                <w:color w:val="auto"/>
                <w:sz w:val="24"/>
                <w:szCs w:val="24"/>
                <w:highlight w:val="none"/>
                <w:lang w:val="en-US" w:eastAsia="zh-CN"/>
              </w:rPr>
              <w:t>11</w:t>
            </w:r>
            <w:r>
              <w:rPr>
                <w:rFonts w:hint="eastAsia" w:asciiTheme="majorEastAsia" w:hAnsiTheme="majorEastAsia" w:eastAsiaTheme="majorEastAsia" w:cstheme="majorEastAsia"/>
                <w:color w:val="auto"/>
                <w:sz w:val="24"/>
                <w:szCs w:val="24"/>
                <w:highlight w:val="none"/>
              </w:rPr>
              <w:t>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.投标企业或其服务点到达本项目服务场地（</w:t>
            </w:r>
            <w:r>
              <w:rPr>
                <w:rFonts w:hint="eastAsia" w:cs="仿宋" w:asciiTheme="majorEastAsia" w:hAnsiTheme="majorEastAsia" w:eastAsiaTheme="majorEastAsia"/>
                <w:b w:val="0"/>
                <w:bCs/>
                <w:snapToGrid w:val="0"/>
                <w:color w:val="auto"/>
                <w:kern w:val="28"/>
                <w:sz w:val="24"/>
                <w:szCs w:val="20"/>
                <w:highlight w:val="none"/>
                <w:lang w:val="en-US" w:eastAsia="zh-CN" w:bidi="ar-SA"/>
              </w:rPr>
              <w:t xml:space="preserve">宁波市奉化区锦屏街道大成路2号5号楼 </w:t>
            </w:r>
            <w:r>
              <w:rPr>
                <w:rFonts w:hint="eastAsia" w:asciiTheme="majorEastAsia" w:hAnsiTheme="majorEastAsia" w:eastAsiaTheme="majorEastAsia" w:cstheme="majorEastAsia"/>
                <w:color w:val="auto"/>
                <w:sz w:val="24"/>
                <w:szCs w:val="24"/>
                <w:highlight w:val="none"/>
              </w:rPr>
              <w:t>）的应急响应距离、时间由评委进行</w:t>
            </w:r>
            <w:r>
              <w:rPr>
                <w:rFonts w:hint="eastAsia" w:asciiTheme="majorEastAsia" w:hAnsiTheme="majorEastAsia" w:eastAsiaTheme="majorEastAsia" w:cstheme="majorEastAsia"/>
                <w:color w:val="auto"/>
                <w:sz w:val="24"/>
                <w:szCs w:val="24"/>
                <w:highlight w:val="none"/>
                <w:lang w:val="en-US" w:eastAsia="zh-CN"/>
              </w:rPr>
              <w:t>综合</w:t>
            </w:r>
            <w:r>
              <w:rPr>
                <w:rFonts w:hint="eastAsia" w:asciiTheme="majorEastAsia" w:hAnsiTheme="majorEastAsia" w:eastAsiaTheme="majorEastAsia" w:cstheme="majorEastAsia"/>
                <w:color w:val="auto"/>
                <w:sz w:val="24"/>
                <w:szCs w:val="24"/>
                <w:highlight w:val="none"/>
              </w:rPr>
              <w:t>评议，最高得</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分。</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w:t>
            </w:r>
            <w:r>
              <w:rPr>
                <w:rFonts w:hint="eastAsia" w:asciiTheme="majorEastAsia" w:hAnsiTheme="majorEastAsia" w:eastAsiaTheme="majorEastAsia" w:cstheme="majorEastAsia"/>
                <w:b/>
                <w:bCs/>
                <w:color w:val="auto"/>
                <w:sz w:val="24"/>
                <w:szCs w:val="24"/>
                <w:highlight w:val="none"/>
                <w:lang w:val="en-US" w:eastAsia="zh-CN"/>
              </w:rPr>
              <w:t>投标文件中</w:t>
            </w:r>
            <w:r>
              <w:rPr>
                <w:rFonts w:hint="eastAsia" w:asciiTheme="majorEastAsia" w:hAnsiTheme="majorEastAsia" w:eastAsiaTheme="majorEastAsia" w:cstheme="majorEastAsia"/>
                <w:b/>
                <w:bCs/>
                <w:color w:val="auto"/>
                <w:sz w:val="24"/>
                <w:szCs w:val="24"/>
                <w:highlight w:val="none"/>
              </w:rPr>
              <w:t>提供：①营业执照复印件，②百度、高德地图等路线图）。</w:t>
            </w:r>
          </w:p>
        </w:tc>
      </w:tr>
      <w:tr>
        <w:tblPrEx>
          <w:tblCellMar>
            <w:top w:w="0" w:type="dxa"/>
            <w:left w:w="108" w:type="dxa"/>
            <w:bottom w:w="0" w:type="dxa"/>
            <w:right w:w="108" w:type="dxa"/>
          </w:tblCellMar>
        </w:tblPrEx>
        <w:trPr>
          <w:trHeight w:val="2377"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numPr>
                <w:ilvl w:val="0"/>
                <w:numId w:val="0"/>
              </w:numPr>
              <w:jc w:val="both"/>
              <w:rPr>
                <w:rFonts w:hint="default"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lang w:eastAsia="zh-CN"/>
              </w:rPr>
              <w:t>根据投标人</w:t>
            </w:r>
            <w:r>
              <w:rPr>
                <w:rFonts w:hint="eastAsia" w:asciiTheme="majorEastAsia" w:hAnsiTheme="majorEastAsia" w:eastAsiaTheme="majorEastAsia" w:cstheme="majorEastAsia"/>
                <w:color w:val="auto"/>
                <w:sz w:val="24"/>
                <w:szCs w:val="24"/>
                <w:highlight w:val="none"/>
                <w:lang w:val="en-US" w:eastAsia="zh-CN"/>
              </w:rPr>
              <w:t>提供的</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宋体" w:hAnsi="宋体" w:eastAsia="宋体" w:cs="宋体"/>
                <w:color w:val="auto"/>
                <w:sz w:val="24"/>
                <w:szCs w:val="24"/>
                <w:highlight w:val="none"/>
              </w:rPr>
              <w:t>应急工作组组织架构及</w:t>
            </w:r>
            <w:r>
              <w:rPr>
                <w:rFonts w:hint="eastAsia" w:ascii="宋体" w:hAnsi="宋体" w:eastAsia="宋体" w:cs="宋体"/>
                <w:color w:val="auto"/>
                <w:sz w:val="24"/>
                <w:szCs w:val="24"/>
                <w:highlight w:val="none"/>
                <w:lang w:val="en-US" w:eastAsia="zh-CN"/>
              </w:rPr>
              <w:t>岗位</w:t>
            </w:r>
            <w:r>
              <w:rPr>
                <w:rFonts w:hint="eastAsia" w:ascii="宋体" w:hAnsi="宋体" w:eastAsia="宋体" w:cs="宋体"/>
                <w:color w:val="auto"/>
                <w:sz w:val="24"/>
                <w:szCs w:val="24"/>
                <w:highlight w:val="none"/>
              </w:rPr>
              <w:t>职责</w:t>
            </w:r>
            <w:r>
              <w:rPr>
                <w:rFonts w:hint="eastAsia" w:ascii="宋体" w:hAnsi="宋体" w:eastAsia="宋体" w:cs="宋体"/>
                <w:color w:val="auto"/>
                <w:sz w:val="24"/>
                <w:szCs w:val="24"/>
                <w:highlight w:val="none"/>
                <w:lang w:val="en-US" w:eastAsia="zh-CN"/>
              </w:rPr>
              <w:t>是否设置合理、</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详细；</w:t>
            </w:r>
            <w:r>
              <w:rPr>
                <w:rFonts w:hint="eastAsia" w:ascii="宋体" w:hAnsi="宋体" w:eastAsia="宋体" w:cs="宋体"/>
                <w:b w:val="0"/>
                <w:bCs w:val="0"/>
                <w:color w:val="auto"/>
                <w:sz w:val="24"/>
                <w:szCs w:val="24"/>
                <w:highlight w:val="none"/>
              </w:rPr>
              <w:t>②</w:t>
            </w:r>
            <w:r>
              <w:rPr>
                <w:rFonts w:hint="eastAsia" w:ascii="宋体" w:hAnsi="宋体" w:eastAsia="宋体" w:cs="宋体"/>
                <w:color w:val="auto"/>
                <w:sz w:val="24"/>
                <w:szCs w:val="24"/>
                <w:highlight w:val="none"/>
              </w:rPr>
              <w:t>突发事件</w:t>
            </w:r>
            <w:r>
              <w:rPr>
                <w:rFonts w:hint="eastAsia" w:ascii="宋体" w:hAnsi="宋体" w:eastAsia="宋体" w:cs="宋体"/>
                <w:color w:val="auto"/>
                <w:sz w:val="24"/>
                <w:szCs w:val="24"/>
                <w:highlight w:val="none"/>
                <w:lang w:val="en-US" w:eastAsia="zh-CN"/>
              </w:rPr>
              <w:t>时供应商</w:t>
            </w:r>
            <w:r>
              <w:rPr>
                <w:rFonts w:hint="eastAsia" w:asciiTheme="majorEastAsia" w:hAnsiTheme="majorEastAsia" w:eastAsiaTheme="majorEastAsia" w:cstheme="majorEastAsia"/>
                <w:color w:val="auto"/>
                <w:sz w:val="24"/>
                <w:szCs w:val="24"/>
                <w:highlight w:val="none"/>
                <w:lang w:val="en-US" w:eastAsia="zh-CN"/>
              </w:rPr>
              <w:t>是否承诺能在</w:t>
            </w:r>
            <w:r>
              <w:rPr>
                <w:rFonts w:hint="eastAsia" w:asciiTheme="majorEastAsia" w:hAnsiTheme="majorEastAsia" w:eastAsiaTheme="majorEastAsia" w:cstheme="majorEastAsia"/>
                <w:color w:val="auto"/>
                <w:sz w:val="24"/>
                <w:szCs w:val="24"/>
                <w:highlight w:val="none"/>
                <w:lang w:eastAsia="zh-CN"/>
              </w:rPr>
              <w:t>短时间内抽调</w:t>
            </w:r>
            <w:r>
              <w:rPr>
                <w:rFonts w:hint="eastAsia" w:asciiTheme="majorEastAsia" w:hAnsiTheme="majorEastAsia" w:eastAsiaTheme="majorEastAsia" w:cstheme="majorEastAsia"/>
                <w:color w:val="auto"/>
                <w:sz w:val="24"/>
                <w:szCs w:val="24"/>
                <w:highlight w:val="none"/>
                <w:lang w:val="en-US" w:eastAsia="zh-CN"/>
              </w:rPr>
              <w:t>到所需的</w:t>
            </w:r>
            <w:r>
              <w:rPr>
                <w:rFonts w:hint="eastAsia" w:asciiTheme="majorEastAsia" w:hAnsiTheme="majorEastAsia" w:eastAsiaTheme="majorEastAsia" w:cstheme="majorEastAsia"/>
                <w:color w:val="auto"/>
                <w:sz w:val="24"/>
                <w:szCs w:val="24"/>
                <w:highlight w:val="none"/>
                <w:lang w:eastAsia="zh-CN"/>
              </w:rPr>
              <w:t>应急人员</w:t>
            </w:r>
            <w:r>
              <w:rPr>
                <w:rFonts w:hint="eastAsia" w:asciiTheme="majorEastAsia" w:hAnsiTheme="majorEastAsia" w:eastAsiaTheme="majorEastAsia" w:cstheme="majorEastAsia"/>
                <w:color w:val="auto"/>
                <w:sz w:val="24"/>
                <w:szCs w:val="24"/>
                <w:highlight w:val="none"/>
                <w:lang w:val="en-US" w:eastAsia="zh-CN"/>
              </w:rPr>
              <w:t>；</w:t>
            </w:r>
            <w:r>
              <w:rPr>
                <w:rFonts w:hint="eastAsia" w:ascii="宋体" w:hAnsi="宋体" w:eastAsia="宋体" w:cs="宋体"/>
                <w:b w:val="0"/>
                <w:bCs w:val="0"/>
                <w:color w:val="auto"/>
                <w:sz w:val="24"/>
                <w:szCs w:val="24"/>
                <w:highlight w:val="none"/>
              </w:rPr>
              <w:t>③</w:t>
            </w:r>
            <w:r>
              <w:rPr>
                <w:rFonts w:hint="eastAsia" w:ascii="宋体" w:hAnsi="宋体" w:eastAsia="宋体" w:cs="宋体"/>
                <w:color w:val="auto"/>
                <w:sz w:val="24"/>
                <w:szCs w:val="24"/>
                <w:highlight w:val="none"/>
              </w:rPr>
              <w:t>突发火灾</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应急预案</w:t>
            </w:r>
            <w:r>
              <w:rPr>
                <w:rFonts w:hint="eastAsia" w:ascii="宋体" w:hAnsi="宋体" w:eastAsia="宋体" w:cs="宋体"/>
                <w:color w:val="auto"/>
                <w:sz w:val="24"/>
                <w:szCs w:val="24"/>
                <w:highlight w:val="none"/>
                <w:lang w:val="en-US" w:eastAsia="zh-CN"/>
              </w:rPr>
              <w:t>处理方式是否合理、有效、</w:t>
            </w:r>
            <w:r>
              <w:rPr>
                <w:rFonts w:hint="eastAsia" w:ascii="宋体" w:hAnsi="宋体" w:eastAsia="宋体" w:cs="宋体"/>
                <w:color w:val="auto"/>
                <w:sz w:val="24"/>
                <w:szCs w:val="24"/>
                <w:highlight w:val="none"/>
              </w:rPr>
              <w:t>针对性强</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auto"/>
                <w:sz w:val="24"/>
                <w:szCs w:val="24"/>
                <w:highlight w:val="none"/>
              </w:rPr>
            </w:pP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0-2</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6</w:t>
            </w:r>
            <w:r>
              <w:rPr>
                <w:rFonts w:hint="eastAsia" w:asciiTheme="majorEastAsia" w:hAnsiTheme="majorEastAsia" w:eastAsiaTheme="majorEastAsia" w:cstheme="majorEastAsia"/>
                <w:b w:val="0"/>
                <w:bCs w:val="0"/>
                <w:color w:val="auto"/>
                <w:sz w:val="24"/>
                <w:szCs w:val="24"/>
                <w:highlight w:val="none"/>
                <w:lang w:val="zh-CN" w:eastAsia="zh-CN"/>
              </w:rPr>
              <w:t>分。</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投标文件中</w:t>
            </w:r>
            <w:r>
              <w:rPr>
                <w:rFonts w:hint="eastAsia" w:ascii="宋体" w:hAnsi="宋体" w:eastAsia="宋体" w:cs="宋体"/>
                <w:b/>
                <w:bCs/>
                <w:color w:val="auto"/>
                <w:sz w:val="24"/>
                <w:highlight w:val="none"/>
                <w:lang w:eastAsia="zh-CN"/>
              </w:rPr>
              <w:t>提供</w:t>
            </w:r>
            <w:r>
              <w:rPr>
                <w:rFonts w:hint="eastAsia" w:ascii="宋体" w:hAnsi="宋体" w:eastAsia="宋体" w:cs="宋体"/>
                <w:b/>
                <w:bCs/>
                <w:color w:val="auto"/>
                <w:sz w:val="24"/>
                <w:highlight w:val="none"/>
                <w:lang w:val="en-US" w:eastAsia="zh-CN"/>
              </w:rPr>
              <w:t>投标人为其缴纳的所有应急</w:t>
            </w:r>
            <w:r>
              <w:rPr>
                <w:rFonts w:hint="eastAsia" w:ascii="宋体" w:hAnsi="宋体" w:eastAsia="宋体" w:cs="宋体"/>
                <w:b/>
                <w:bCs/>
                <w:color w:val="auto"/>
                <w:sz w:val="24"/>
                <w:highlight w:val="none"/>
                <w:lang w:eastAsia="zh-CN"/>
              </w:rPr>
              <w:t>人员开标前</w:t>
            </w:r>
            <w:r>
              <w:rPr>
                <w:rFonts w:hint="eastAsia" w:ascii="宋体" w:hAnsi="宋体" w:eastAsia="宋体" w:cs="宋体"/>
                <w:b/>
                <w:bCs/>
                <w:color w:val="auto"/>
                <w:sz w:val="24"/>
                <w:highlight w:val="none"/>
                <w:lang w:val="en-US" w:eastAsia="zh-CN"/>
              </w:rPr>
              <w:t>近</w:t>
            </w:r>
            <w:r>
              <w:rPr>
                <w:rFonts w:hint="eastAsia" w:ascii="宋体" w:hAnsi="宋体" w:eastAsia="宋体" w:cs="宋体"/>
                <w:b/>
                <w:bCs/>
                <w:color w:val="auto"/>
                <w:sz w:val="24"/>
                <w:highlight w:val="none"/>
                <w:lang w:eastAsia="zh-CN"/>
              </w:rPr>
              <w:t>三个月社保缴纳证明</w:t>
            </w:r>
            <w:r>
              <w:rPr>
                <w:rFonts w:hint="eastAsia" w:ascii="宋体" w:hAnsi="宋体" w:eastAsia="宋体" w:cs="宋体"/>
                <w:b/>
                <w:bCs/>
                <w:color w:val="auto"/>
                <w:sz w:val="24"/>
                <w:highlight w:val="none"/>
              </w:rPr>
              <w:t>材料并加盖公章。</w:t>
            </w:r>
            <w:r>
              <w:rPr>
                <w:rFonts w:hint="eastAsia" w:ascii="宋体" w:hAnsi="宋体" w:eastAsia="宋体" w:cs="宋体"/>
                <w:b/>
                <w:bCs/>
                <w:color w:val="auto"/>
                <w:sz w:val="24"/>
                <w:highlight w:val="none"/>
                <w:lang w:eastAsia="zh-CN"/>
              </w:rPr>
              <w:t>）</w:t>
            </w:r>
          </w:p>
        </w:tc>
      </w:tr>
      <w:tr>
        <w:tblPrEx>
          <w:tblCellMar>
            <w:top w:w="0" w:type="dxa"/>
            <w:left w:w="108" w:type="dxa"/>
            <w:bottom w:w="0" w:type="dxa"/>
            <w:right w:w="108" w:type="dxa"/>
          </w:tblCellMar>
        </w:tblPrEx>
        <w:trPr>
          <w:trHeight w:val="1556"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numPr>
                <w:ilvl w:val="0"/>
                <w:numId w:val="0"/>
              </w:numPr>
              <w:jc w:val="both"/>
              <w:rPr>
                <w:rFonts w:hint="eastAsia" w:ascii="宋体" w:hAnsi="宋体" w:eastAsia="宋体" w:cs="宋体"/>
                <w:color w:val="auto"/>
                <w:sz w:val="24"/>
                <w:highlight w:val="yellow"/>
                <w:lang w:eastAsia="zh-CN"/>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eastAsia="宋体" w:cs="宋体"/>
                <w:color w:val="auto"/>
                <w:sz w:val="24"/>
                <w:highlight w:val="none"/>
                <w:lang w:eastAsia="zh-CN"/>
              </w:rPr>
              <w:t>投标人应急车辆（18座及以上）</w:t>
            </w:r>
            <w:r>
              <w:rPr>
                <w:rFonts w:hint="eastAsia" w:ascii="宋体" w:hAnsi="宋体" w:eastAsia="宋体" w:cs="宋体"/>
                <w:color w:val="auto"/>
                <w:sz w:val="24"/>
                <w:highlight w:val="none"/>
                <w:lang w:val="en-US" w:eastAsia="zh-CN"/>
              </w:rPr>
              <w:t>为</w:t>
            </w:r>
            <w:r>
              <w:rPr>
                <w:rFonts w:hint="eastAsia" w:ascii="宋体" w:hAnsi="宋体" w:eastAsia="宋体" w:cs="宋体"/>
                <w:color w:val="auto"/>
                <w:sz w:val="24"/>
                <w:highlight w:val="none"/>
                <w:lang w:eastAsia="zh-CN"/>
              </w:rPr>
              <w:t>自有的提供1辆得1分，最多得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分；</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val="en-US" w:eastAsia="zh-CN"/>
              </w:rPr>
            </w:pPr>
            <w:r>
              <w:rPr>
                <w:rFonts w:hint="eastAsia" w:ascii="宋体" w:hAnsi="宋体" w:eastAsia="宋体" w:cs="宋体"/>
                <w:b/>
                <w:bCs/>
                <w:color w:val="auto"/>
                <w:sz w:val="24"/>
                <w:highlight w:val="none"/>
                <w:lang w:val="en-US" w:eastAsia="zh-CN"/>
              </w:rPr>
              <w:t>（投标文件中</w:t>
            </w:r>
            <w:r>
              <w:rPr>
                <w:rFonts w:hint="eastAsia" w:ascii="宋体" w:hAnsi="宋体" w:eastAsia="宋体" w:cs="宋体"/>
                <w:b/>
                <w:bCs/>
                <w:color w:val="auto"/>
                <w:sz w:val="24"/>
                <w:highlight w:val="none"/>
                <w:lang w:eastAsia="zh-CN"/>
              </w:rPr>
              <w:t>提供投标单位应急车辆行驶证或购买发票。</w:t>
            </w:r>
            <w:r>
              <w:rPr>
                <w:rFonts w:hint="eastAsia" w:ascii="宋体" w:hAnsi="宋体" w:eastAsia="宋体" w:cs="宋体"/>
                <w:b/>
                <w:bCs/>
                <w:color w:val="auto"/>
                <w:sz w:val="24"/>
                <w:highlight w:val="none"/>
                <w:lang w:val="en-US" w:eastAsia="zh-CN"/>
              </w:rPr>
              <w:t>）</w:t>
            </w:r>
          </w:p>
        </w:tc>
      </w:tr>
      <w:tr>
        <w:tblPrEx>
          <w:tblCellMar>
            <w:top w:w="0" w:type="dxa"/>
            <w:left w:w="108" w:type="dxa"/>
            <w:bottom w:w="0" w:type="dxa"/>
            <w:right w:w="108" w:type="dxa"/>
          </w:tblCellMar>
        </w:tblPrEx>
        <w:trPr>
          <w:trHeight w:val="1518"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四</w:t>
            </w:r>
            <w:r>
              <w:rPr>
                <w:rFonts w:hint="eastAsia" w:asciiTheme="majorEastAsia" w:hAnsiTheme="majorEastAsia" w:eastAsiaTheme="majorEastAsia" w:cstheme="majorEastAsia"/>
                <w:color w:val="auto"/>
                <w:sz w:val="24"/>
                <w:szCs w:val="24"/>
                <w:highlight w:val="none"/>
              </w:rPr>
              <w:t>、管理机构及管理制度等（</w:t>
            </w:r>
            <w:r>
              <w:rPr>
                <w:rFonts w:hint="eastAsia" w:asciiTheme="majorEastAsia" w:hAnsiTheme="majorEastAsia" w:eastAsiaTheme="majorEastAsia" w:cstheme="majorEastAsia"/>
                <w:color w:val="auto"/>
                <w:sz w:val="24"/>
                <w:szCs w:val="24"/>
                <w:highlight w:val="none"/>
                <w:lang w:val="en-US" w:eastAsia="zh-CN"/>
              </w:rPr>
              <w:t>12</w:t>
            </w:r>
            <w:r>
              <w:rPr>
                <w:rFonts w:hint="eastAsia" w:asciiTheme="majorEastAsia" w:hAnsiTheme="majorEastAsia" w:eastAsiaTheme="majorEastAsia" w:cstheme="majorEastAsia"/>
                <w:color w:val="auto"/>
                <w:sz w:val="24"/>
                <w:szCs w:val="24"/>
                <w:highlight w:val="none"/>
              </w:rPr>
              <w:t>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.根据投标人</w:t>
            </w:r>
            <w:r>
              <w:rPr>
                <w:rFonts w:hint="eastAsia" w:asciiTheme="majorEastAsia" w:hAnsiTheme="majorEastAsia" w:eastAsiaTheme="majorEastAsia" w:cstheme="majorEastAsia"/>
                <w:color w:val="auto"/>
                <w:sz w:val="24"/>
                <w:szCs w:val="24"/>
                <w:highlight w:val="none"/>
                <w:lang w:val="en-US" w:eastAsia="zh-CN"/>
              </w:rPr>
              <w:t>针对本项目</w:t>
            </w:r>
            <w:r>
              <w:rPr>
                <w:rFonts w:hint="eastAsia" w:asciiTheme="majorEastAsia" w:hAnsiTheme="majorEastAsia" w:eastAsiaTheme="majorEastAsia" w:cstheme="majorEastAsia"/>
                <w:color w:val="auto"/>
                <w:sz w:val="24"/>
                <w:szCs w:val="24"/>
                <w:highlight w:val="none"/>
              </w:rPr>
              <w:t>提供的组织机构设置</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color w:val="auto"/>
                <w:sz w:val="24"/>
                <w:szCs w:val="24"/>
                <w:highlight w:val="none"/>
              </w:rPr>
              <w:t>组织机构设置是否适应本项目的需求</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是否有创新；</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color w:val="auto"/>
                <w:sz w:val="24"/>
                <w:szCs w:val="24"/>
                <w:highlight w:val="none"/>
              </w:rPr>
              <w:t>组织机构设置是否合理、高效；</w:t>
            </w:r>
            <w:r>
              <w:rPr>
                <w:rFonts w:hint="eastAsia" w:ascii="宋体" w:hAnsi="宋体" w:eastAsia="宋体" w:cs="宋体"/>
                <w:b w:val="0"/>
                <w:bCs w:val="0"/>
                <w:color w:val="auto"/>
                <w:sz w:val="24"/>
                <w:szCs w:val="24"/>
                <w:highlight w:val="none"/>
              </w:rPr>
              <w:t>③</w:t>
            </w:r>
            <w:r>
              <w:rPr>
                <w:rFonts w:hint="eastAsia" w:asciiTheme="majorEastAsia" w:hAnsiTheme="majorEastAsia" w:eastAsiaTheme="majorEastAsia" w:cstheme="majorEastAsia"/>
                <w:color w:val="auto"/>
                <w:sz w:val="24"/>
                <w:szCs w:val="24"/>
                <w:highlight w:val="none"/>
              </w:rPr>
              <w:t>组织机构设置是否有明确的管理架构和各部门职责；</w:t>
            </w:r>
            <w:r>
              <w:rPr>
                <w:rFonts w:hint="eastAsia" w:ascii="宋体" w:hAnsi="宋体" w:eastAsia="宋体" w:cs="宋体"/>
                <w:b w:val="0"/>
                <w:bCs w:val="0"/>
                <w:color w:val="auto"/>
                <w:sz w:val="24"/>
                <w:szCs w:val="24"/>
                <w:highlight w:val="none"/>
              </w:rPr>
              <w:t>④</w:t>
            </w:r>
            <w:r>
              <w:rPr>
                <w:rFonts w:hint="eastAsia" w:asciiTheme="majorEastAsia" w:hAnsiTheme="majorEastAsia" w:eastAsiaTheme="majorEastAsia" w:cstheme="majorEastAsia"/>
                <w:color w:val="auto"/>
                <w:sz w:val="24"/>
                <w:szCs w:val="24"/>
                <w:highlight w:val="none"/>
              </w:rPr>
              <w:t>组织机构工作流程是否完整</w:t>
            </w:r>
            <w:r>
              <w:rPr>
                <w:rFonts w:hint="eastAsia" w:asciiTheme="majorEastAsia" w:hAnsiTheme="majorEastAsia" w:eastAsiaTheme="majorEastAsia" w:cstheme="majorEastAsia"/>
                <w:color w:val="auto"/>
                <w:sz w:val="24"/>
                <w:szCs w:val="24"/>
                <w:highlight w:val="none"/>
                <w:lang w:val="en-US" w:eastAsia="zh-CN"/>
              </w:rPr>
              <w:t>合理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083"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.根据投标人</w:t>
            </w:r>
            <w:r>
              <w:rPr>
                <w:rFonts w:hint="eastAsia" w:asciiTheme="majorEastAsia" w:hAnsiTheme="majorEastAsia" w:eastAsiaTheme="majorEastAsia" w:cstheme="majorEastAsia"/>
                <w:color w:val="auto"/>
                <w:sz w:val="24"/>
                <w:szCs w:val="24"/>
                <w:highlight w:val="none"/>
                <w:lang w:val="en-US" w:eastAsia="zh-CN"/>
              </w:rPr>
              <w:t>针对本项目</w:t>
            </w:r>
            <w:r>
              <w:rPr>
                <w:rFonts w:hint="eastAsia" w:asciiTheme="majorEastAsia" w:hAnsiTheme="majorEastAsia" w:eastAsiaTheme="majorEastAsia" w:cstheme="majorEastAsia"/>
                <w:color w:val="auto"/>
                <w:sz w:val="24"/>
                <w:szCs w:val="24"/>
                <w:highlight w:val="none"/>
              </w:rPr>
              <w:t>提供的激励与监督机制</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color w:val="auto"/>
                <w:sz w:val="24"/>
                <w:szCs w:val="24"/>
                <w:highlight w:val="none"/>
              </w:rPr>
              <w:t>激励</w:t>
            </w:r>
            <w:r>
              <w:rPr>
                <w:rFonts w:hint="eastAsia" w:asciiTheme="majorEastAsia" w:hAnsiTheme="majorEastAsia" w:eastAsiaTheme="majorEastAsia" w:cstheme="majorEastAsia"/>
                <w:color w:val="auto"/>
                <w:sz w:val="24"/>
                <w:szCs w:val="24"/>
                <w:highlight w:val="none"/>
                <w:lang w:val="en-US" w:eastAsia="zh-CN"/>
              </w:rPr>
              <w:t>措施是否能有效提高工作效率；</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color w:val="auto"/>
                <w:sz w:val="24"/>
                <w:szCs w:val="24"/>
                <w:highlight w:val="none"/>
              </w:rPr>
              <w:t>监督机制</w:t>
            </w:r>
            <w:r>
              <w:rPr>
                <w:rFonts w:hint="eastAsia" w:asciiTheme="majorEastAsia" w:hAnsiTheme="majorEastAsia" w:eastAsiaTheme="majorEastAsia" w:cstheme="majorEastAsia"/>
                <w:color w:val="auto"/>
                <w:sz w:val="24"/>
                <w:szCs w:val="24"/>
                <w:highlight w:val="none"/>
                <w:lang w:val="en-US" w:eastAsia="zh-CN"/>
              </w:rPr>
              <w:t>是否设置合理、具有针对性；</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0-2</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321"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ind w:right="0" w:rightChars="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根据投标人</w:t>
            </w:r>
            <w:r>
              <w:rPr>
                <w:rFonts w:hint="eastAsia" w:asciiTheme="majorEastAsia" w:hAnsiTheme="majorEastAsia" w:eastAsiaTheme="majorEastAsia" w:cstheme="majorEastAsia"/>
                <w:color w:val="auto"/>
                <w:sz w:val="24"/>
                <w:szCs w:val="24"/>
                <w:highlight w:val="none"/>
                <w:lang w:val="en-US" w:eastAsia="zh-CN"/>
              </w:rPr>
              <w:t>针对本项目</w:t>
            </w:r>
            <w:r>
              <w:rPr>
                <w:rFonts w:hint="eastAsia" w:asciiTheme="majorEastAsia" w:hAnsiTheme="majorEastAsia" w:eastAsiaTheme="majorEastAsia" w:cstheme="majorEastAsia"/>
                <w:color w:val="auto"/>
                <w:sz w:val="24"/>
                <w:szCs w:val="24"/>
                <w:highlight w:val="none"/>
                <w:lang w:val="en-US" w:eastAsia="zh-CN"/>
              </w:rPr>
              <w:t>提供的</w:t>
            </w:r>
            <w:r>
              <w:rPr>
                <w:rFonts w:hint="eastAsia" w:asciiTheme="majorEastAsia" w:hAnsiTheme="majorEastAsia" w:eastAsiaTheme="majorEastAsia" w:cstheme="majorEastAsia"/>
                <w:color w:val="auto"/>
                <w:sz w:val="24"/>
                <w:szCs w:val="24"/>
                <w:highlight w:val="none"/>
              </w:rPr>
              <w:t>管理制度及内部考核细则</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eastAsia="宋体" w:cs="宋体"/>
                <w:b w:val="0"/>
                <w:bCs w:val="0"/>
                <w:color w:val="auto"/>
                <w:sz w:val="24"/>
                <w:szCs w:val="24"/>
                <w:highlight w:val="none"/>
              </w:rPr>
              <w:t>①</w:t>
            </w:r>
            <w:r>
              <w:rPr>
                <w:rFonts w:hint="eastAsia" w:asciiTheme="majorEastAsia" w:hAnsiTheme="majorEastAsia" w:eastAsiaTheme="majorEastAsia" w:cstheme="majorEastAsia"/>
                <w:color w:val="auto"/>
                <w:sz w:val="24"/>
                <w:szCs w:val="24"/>
                <w:highlight w:val="none"/>
              </w:rPr>
              <w:t>管理制度</w:t>
            </w:r>
            <w:r>
              <w:rPr>
                <w:rFonts w:hint="eastAsia" w:asciiTheme="majorEastAsia" w:hAnsiTheme="majorEastAsia" w:eastAsiaTheme="majorEastAsia" w:cstheme="majorEastAsia"/>
                <w:color w:val="auto"/>
                <w:sz w:val="24"/>
                <w:szCs w:val="24"/>
                <w:highlight w:val="none"/>
                <w:lang w:val="en-US" w:eastAsia="zh-CN"/>
              </w:rPr>
              <w:t>是否设置合理、具有针对性；</w:t>
            </w:r>
            <w:r>
              <w:rPr>
                <w:rFonts w:hint="eastAsia" w:ascii="宋体" w:hAnsi="宋体" w:eastAsia="宋体" w:cs="宋体"/>
                <w:b w:val="0"/>
                <w:bCs w:val="0"/>
                <w:color w:val="auto"/>
                <w:sz w:val="24"/>
                <w:szCs w:val="24"/>
                <w:highlight w:val="none"/>
              </w:rPr>
              <w:t>②</w:t>
            </w:r>
            <w:r>
              <w:rPr>
                <w:rFonts w:hint="eastAsia" w:asciiTheme="majorEastAsia" w:hAnsiTheme="majorEastAsia" w:eastAsiaTheme="majorEastAsia" w:cstheme="majorEastAsia"/>
                <w:color w:val="auto"/>
                <w:sz w:val="24"/>
                <w:szCs w:val="24"/>
                <w:highlight w:val="none"/>
              </w:rPr>
              <w:t>内部考核细则</w:t>
            </w:r>
            <w:r>
              <w:rPr>
                <w:rFonts w:hint="eastAsia" w:asciiTheme="majorEastAsia" w:hAnsiTheme="majorEastAsia" w:eastAsiaTheme="majorEastAsia" w:cstheme="majorEastAsia"/>
                <w:color w:val="auto"/>
                <w:sz w:val="24"/>
                <w:szCs w:val="24"/>
                <w:highlight w:val="none"/>
                <w:lang w:val="en-US" w:eastAsia="zh-CN"/>
              </w:rPr>
              <w:t>是否设置合理、具有针对性；</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0-2</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4</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770" w:hRule="exac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五</w:t>
            </w:r>
            <w:r>
              <w:rPr>
                <w:rFonts w:hint="eastAsia" w:asciiTheme="majorEastAsia" w:hAnsiTheme="majorEastAsia" w:eastAsiaTheme="majorEastAsia" w:cstheme="majorEastAsia"/>
                <w:color w:val="auto"/>
                <w:sz w:val="24"/>
                <w:szCs w:val="24"/>
                <w:highlight w:val="none"/>
              </w:rPr>
              <w:t>、人员配备、培训（</w:t>
            </w:r>
            <w:r>
              <w:rPr>
                <w:rFonts w:hint="eastAsia" w:asciiTheme="majorEastAsia" w:hAnsiTheme="majorEastAsia" w:eastAsiaTheme="majorEastAsia" w:cstheme="majorEastAsia"/>
                <w:color w:val="auto"/>
                <w:sz w:val="24"/>
                <w:szCs w:val="24"/>
                <w:highlight w:val="none"/>
                <w:lang w:val="en-US" w:eastAsia="zh-CN"/>
              </w:rPr>
              <w:t>8</w:t>
            </w:r>
            <w:r>
              <w:rPr>
                <w:rFonts w:hint="eastAsia" w:asciiTheme="majorEastAsia" w:hAnsiTheme="majorEastAsia" w:eastAsiaTheme="majorEastAsia" w:cstheme="majorEastAsia"/>
                <w:color w:val="auto"/>
                <w:sz w:val="24"/>
                <w:szCs w:val="24"/>
                <w:highlight w:val="none"/>
              </w:rPr>
              <w:t>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Theme="majorEastAsia" w:hAnsiTheme="majorEastAsia" w:eastAsiaTheme="majorEastAsia" w:cstheme="maj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1.根据投标人拟投入本项目的服务人员</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如</w:t>
            </w:r>
            <w:r>
              <w:rPr>
                <w:rFonts w:hint="eastAsia" w:asciiTheme="majorEastAsia" w:hAnsiTheme="majorEastAsia" w:eastAsiaTheme="majorEastAsia" w:cstheme="majorEastAsia"/>
                <w:color w:val="auto"/>
                <w:sz w:val="24"/>
                <w:szCs w:val="24"/>
                <w:highlight w:val="none"/>
              </w:rPr>
              <w:t>服务人员工作时间、从业经验、个人素质等</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内容描述是否详细、完整，是否合理进行综合评议0-3分；</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投标文件中提供相关资料、身份证复印件及投标人为其缴纳的开标前近三个月社保缴纳证明材料并加盖公章。</w:t>
            </w:r>
            <w:r>
              <w:rPr>
                <w:rFonts w:hint="eastAsia" w:ascii="宋体" w:hAnsi="宋体" w:eastAsia="宋体" w:cs="宋体"/>
                <w:b/>
                <w:bCs/>
                <w:color w:val="auto"/>
                <w:sz w:val="24"/>
                <w:highlight w:val="none"/>
                <w:lang w:eastAsia="zh-CN"/>
              </w:rPr>
              <w:t>）</w:t>
            </w:r>
          </w:p>
        </w:tc>
      </w:tr>
      <w:tr>
        <w:tblPrEx>
          <w:tblCellMar>
            <w:top w:w="0" w:type="dxa"/>
            <w:left w:w="108" w:type="dxa"/>
            <w:bottom w:w="0" w:type="dxa"/>
            <w:right w:w="108" w:type="dxa"/>
          </w:tblCellMar>
        </w:tblPrEx>
        <w:trPr>
          <w:trHeight w:val="841"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spacing w:line="36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.针对本项目提供的人员培训方案</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sz w:val="24"/>
                <w:szCs w:val="24"/>
                <w:highlight w:val="none"/>
                <w:lang w:val="en-US" w:eastAsia="zh-CN"/>
              </w:rPr>
              <w:t>培训方式是否多样性；</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sz w:val="24"/>
                <w:szCs w:val="24"/>
                <w:highlight w:val="none"/>
                <w:lang w:val="en-US" w:eastAsia="zh-CN"/>
              </w:rPr>
              <w:t>培训内容是否具有针对性；</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sz w:val="24"/>
                <w:szCs w:val="24"/>
                <w:highlight w:val="none"/>
                <w:lang w:val="en-US" w:eastAsia="zh-CN"/>
              </w:rPr>
              <w:t>培训次数是否合理，是否有安排专业职称人员进行培训；</w:t>
            </w:r>
            <w:r>
              <w:rPr>
                <w:rFonts w:hint="eastAsia" w:ascii="宋体" w:hAnsi="宋体" w:eastAsia="宋体" w:cs="宋体"/>
                <w:color w:val="auto"/>
                <w:sz w:val="24"/>
                <w:szCs w:val="24"/>
                <w:highlight w:val="none"/>
                <w:lang w:val="zh-CN" w:eastAsia="zh-CN"/>
              </w:rPr>
              <w:t>每项</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val="zh-CN" w:eastAsia="zh-CN"/>
              </w:rPr>
              <w:t>分，最多</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r>
              <w:rPr>
                <w:rFonts w:hint="eastAsia" w:asciiTheme="majorEastAsia" w:hAnsiTheme="majorEastAsia" w:eastAsiaTheme="majorEastAsia" w:cstheme="majorEastAsia"/>
                <w:color w:val="auto"/>
                <w:sz w:val="24"/>
                <w:szCs w:val="24"/>
                <w:highlight w:val="none"/>
                <w:lang w:val="en-US" w:eastAsia="zh-CN"/>
              </w:rPr>
              <w:t xml:space="preserve"> </w:t>
            </w:r>
          </w:p>
        </w:tc>
      </w:tr>
      <w:tr>
        <w:tblPrEx>
          <w:tblCellMar>
            <w:top w:w="0" w:type="dxa"/>
            <w:left w:w="108" w:type="dxa"/>
            <w:bottom w:w="0" w:type="dxa"/>
            <w:right w:w="108" w:type="dxa"/>
          </w:tblCellMar>
        </w:tblPrEx>
        <w:trPr>
          <w:trHeight w:val="1183"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ind w:right="0" w:rightChars="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z w:val="24"/>
                <w:szCs w:val="24"/>
                <w:highlight w:val="none"/>
              </w:rPr>
              <w:t>根据投标人</w:t>
            </w:r>
            <w:r>
              <w:rPr>
                <w:rFonts w:hint="eastAsia" w:asciiTheme="majorEastAsia" w:hAnsiTheme="majorEastAsia" w:eastAsiaTheme="majorEastAsia" w:cstheme="majorEastAsia"/>
                <w:color w:val="auto"/>
                <w:sz w:val="24"/>
                <w:szCs w:val="24"/>
                <w:highlight w:val="none"/>
                <w:lang w:val="en-US" w:eastAsia="zh-CN"/>
              </w:rPr>
              <w:t>提供</w:t>
            </w:r>
            <w:r>
              <w:rPr>
                <w:rFonts w:hint="eastAsia" w:asciiTheme="majorEastAsia" w:hAnsiTheme="majorEastAsia" w:eastAsiaTheme="majorEastAsia" w:cstheme="majorEastAsia"/>
                <w:color w:val="auto"/>
                <w:sz w:val="24"/>
                <w:szCs w:val="24"/>
                <w:highlight w:val="none"/>
              </w:rPr>
              <w:t>的人员录用与考核标准</w:t>
            </w:r>
            <w:r>
              <w:rPr>
                <w:rFonts w:hint="eastAsia" w:asciiTheme="majorEastAsia" w:hAnsiTheme="majorEastAsia" w:eastAsiaTheme="majorEastAsia" w:cstheme="majorEastAsia"/>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Theme="majorEastAsia" w:hAnsiTheme="majorEastAsia" w:eastAsiaTheme="majorEastAsia" w:cstheme="majorEastAsia"/>
                <w:color w:val="auto"/>
                <w:sz w:val="24"/>
                <w:szCs w:val="24"/>
                <w:highlight w:val="none"/>
              </w:rPr>
              <w:t>人员录用</w:t>
            </w:r>
            <w:r>
              <w:rPr>
                <w:rFonts w:hint="eastAsia" w:asciiTheme="majorEastAsia" w:hAnsiTheme="majorEastAsia" w:eastAsiaTheme="majorEastAsia" w:cstheme="majorEastAsia"/>
                <w:color w:val="auto"/>
                <w:sz w:val="24"/>
                <w:szCs w:val="24"/>
                <w:highlight w:val="none"/>
                <w:lang w:val="en-US" w:eastAsia="zh-CN"/>
              </w:rPr>
              <w:t>标准设置是否合理，</w:t>
            </w:r>
            <w:r>
              <w:rPr>
                <w:rFonts w:hint="eastAsia" w:ascii="宋体" w:hAnsi="宋体" w:eastAsia="宋体" w:cs="宋体"/>
                <w:color w:val="auto"/>
                <w:sz w:val="24"/>
                <w:szCs w:val="24"/>
                <w:highlight w:val="none"/>
                <w:lang w:val="en-US" w:eastAsia="zh-CN"/>
              </w:rPr>
              <w:t>是否具有针对性；</w:t>
            </w: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Theme="majorEastAsia" w:hAnsiTheme="majorEastAsia" w:eastAsiaTheme="majorEastAsia" w:cstheme="majorEastAsia"/>
                <w:color w:val="auto"/>
                <w:sz w:val="24"/>
                <w:szCs w:val="24"/>
                <w:highlight w:val="none"/>
              </w:rPr>
              <w:t>人员录用考核标准</w:t>
            </w:r>
            <w:r>
              <w:rPr>
                <w:rFonts w:hint="eastAsia" w:asciiTheme="majorEastAsia" w:hAnsiTheme="majorEastAsia" w:eastAsiaTheme="majorEastAsia" w:cstheme="majorEastAsia"/>
                <w:color w:val="auto"/>
                <w:sz w:val="24"/>
                <w:szCs w:val="24"/>
                <w:highlight w:val="none"/>
                <w:lang w:val="en-US" w:eastAsia="zh-CN"/>
              </w:rPr>
              <w:t>是否设置合理、具有针对性；</w:t>
            </w:r>
            <w:r>
              <w:rPr>
                <w:rFonts w:hint="eastAsia" w:asciiTheme="majorEastAsia" w:hAnsiTheme="majorEastAsia" w:eastAsiaTheme="majorEastAsia" w:cstheme="majorEastAsia"/>
                <w:b w:val="0"/>
                <w:bCs w:val="0"/>
                <w:color w:val="auto"/>
                <w:sz w:val="24"/>
                <w:szCs w:val="24"/>
                <w:highlight w:val="none"/>
                <w:lang w:val="zh-CN" w:eastAsia="zh-CN"/>
              </w:rPr>
              <w:t>每项</w:t>
            </w:r>
            <w:r>
              <w:rPr>
                <w:rFonts w:hint="eastAsia" w:asciiTheme="majorEastAsia" w:hAnsiTheme="majorEastAsia" w:eastAsiaTheme="majorEastAsia" w:cstheme="majorEastAsia"/>
                <w:b w:val="0"/>
                <w:bCs w:val="0"/>
                <w:color w:val="auto"/>
                <w:sz w:val="24"/>
                <w:szCs w:val="24"/>
                <w:highlight w:val="none"/>
                <w:lang w:val="en-US" w:eastAsia="zh-CN"/>
              </w:rPr>
              <w:t>0-1</w:t>
            </w:r>
            <w:r>
              <w:rPr>
                <w:rFonts w:hint="eastAsia" w:asciiTheme="majorEastAsia" w:hAnsiTheme="majorEastAsia" w:eastAsiaTheme="majorEastAsia" w:cstheme="majorEastAsia"/>
                <w:b w:val="0"/>
                <w:bCs w:val="0"/>
                <w:color w:val="auto"/>
                <w:sz w:val="24"/>
                <w:szCs w:val="24"/>
                <w:highlight w:val="none"/>
                <w:lang w:val="zh-CN" w:eastAsia="zh-CN"/>
              </w:rPr>
              <w:t>分，最多</w:t>
            </w:r>
            <w:r>
              <w:rPr>
                <w:rFonts w:hint="eastAsia" w:asciiTheme="majorEastAsia" w:hAnsiTheme="majorEastAsia" w:eastAsiaTheme="majorEastAsia" w:cstheme="majorEastAsia"/>
                <w:b w:val="0"/>
                <w:bCs w:val="0"/>
                <w:color w:val="auto"/>
                <w:sz w:val="24"/>
                <w:szCs w:val="24"/>
                <w:highlight w:val="none"/>
                <w:lang w:val="en-US" w:eastAsia="zh-CN"/>
              </w:rPr>
              <w:t>2</w:t>
            </w:r>
            <w:r>
              <w:rPr>
                <w:rFonts w:hint="eastAsia" w:asciiTheme="majorEastAsia" w:hAnsiTheme="majorEastAsia" w:eastAsiaTheme="majorEastAsia" w:cstheme="majorEastAsia"/>
                <w:b w:val="0"/>
                <w:bCs w:val="0"/>
                <w:color w:val="auto"/>
                <w:sz w:val="24"/>
                <w:szCs w:val="24"/>
                <w:highlight w:val="none"/>
                <w:lang w:val="zh-CN" w:eastAsia="zh-CN"/>
              </w:rPr>
              <w:t>分。</w:t>
            </w:r>
          </w:p>
        </w:tc>
      </w:tr>
      <w:tr>
        <w:tblPrEx>
          <w:tblCellMar>
            <w:top w:w="0" w:type="dxa"/>
            <w:left w:w="108" w:type="dxa"/>
            <w:bottom w:w="0" w:type="dxa"/>
            <w:right w:w="108" w:type="dxa"/>
          </w:tblCellMar>
        </w:tblPrEx>
        <w:trPr>
          <w:trHeight w:val="1514"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六</w:t>
            </w:r>
            <w:r>
              <w:rPr>
                <w:rFonts w:hint="eastAsia" w:asciiTheme="majorEastAsia" w:hAnsiTheme="majorEastAsia" w:eastAsiaTheme="majorEastAsia" w:cstheme="majorEastAsia"/>
                <w:color w:val="auto"/>
                <w:sz w:val="24"/>
                <w:szCs w:val="24"/>
                <w:highlight w:val="none"/>
              </w:rPr>
              <w:t>、本项目需配置的器具及耗材情况（</w:t>
            </w:r>
            <w:r>
              <w:rPr>
                <w:rFonts w:hint="eastAsia" w:asciiTheme="majorEastAsia" w:hAnsiTheme="majorEastAsia" w:eastAsiaTheme="majorEastAsia" w:cstheme="majorEastAsia"/>
                <w:color w:val="auto"/>
                <w:sz w:val="24"/>
                <w:szCs w:val="24"/>
                <w:highlight w:val="none"/>
                <w:lang w:val="en-US" w:eastAsia="zh-CN"/>
              </w:rPr>
              <w:t>2</w:t>
            </w:r>
            <w:r>
              <w:rPr>
                <w:rFonts w:hint="eastAsia" w:asciiTheme="majorEastAsia" w:hAnsiTheme="majorEastAsia" w:eastAsiaTheme="majorEastAsia" w:cstheme="majorEastAsia"/>
                <w:color w:val="auto"/>
                <w:sz w:val="24"/>
                <w:szCs w:val="24"/>
                <w:highlight w:val="none"/>
              </w:rPr>
              <w:t>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right="0"/>
              <w:jc w:val="both"/>
              <w:rPr>
                <w:rFonts w:hint="default" w:eastAsia="宋体" w:asciiTheme="majorEastAsia" w:hAnsiTheme="majorEastAsia" w:cstheme="majorEastAsia"/>
                <w:color w:val="auto"/>
                <w:sz w:val="24"/>
                <w:szCs w:val="24"/>
                <w:highlight w:val="none"/>
                <w:lang w:val="en-US" w:eastAsia="zh-CN"/>
              </w:rPr>
            </w:pPr>
            <w:r>
              <w:rPr>
                <w:rFonts w:hint="eastAsia" w:ascii="宋体" w:hAnsi="宋体" w:eastAsia="宋体" w:cs="宋体"/>
                <w:color w:val="auto"/>
                <w:sz w:val="24"/>
                <w:highlight w:val="none"/>
                <w:lang w:val="en-US" w:eastAsia="zh-CN"/>
              </w:rPr>
              <w:t>根据投标人</w:t>
            </w:r>
            <w:r>
              <w:rPr>
                <w:rFonts w:hint="eastAsia" w:ascii="宋体" w:hAnsi="宋体" w:eastAsia="宋体" w:cs="宋体"/>
                <w:color w:val="auto"/>
                <w:sz w:val="24"/>
                <w:highlight w:val="none"/>
              </w:rPr>
              <w:t>针对本项目配置的器具及耗材情况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包括但不限于保洁用工器具及保洁易耗物资等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，配备品种及数量是否充足</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合理进行评议</w:t>
            </w:r>
            <w:r>
              <w:rPr>
                <w:rFonts w:hint="eastAsia" w:asciiTheme="majorEastAsia" w:hAnsiTheme="majorEastAsia" w:eastAsiaTheme="majorEastAsia" w:cstheme="majorEastAsia"/>
                <w:color w:val="auto"/>
                <w:sz w:val="24"/>
                <w:szCs w:val="24"/>
                <w:highlight w:val="none"/>
                <w:lang w:val="en-US" w:eastAsia="zh-CN"/>
              </w:rPr>
              <w:t>0-2分；</w:t>
            </w:r>
          </w:p>
        </w:tc>
      </w:tr>
      <w:tr>
        <w:tblPrEx>
          <w:tblCellMar>
            <w:top w:w="0" w:type="dxa"/>
            <w:left w:w="108" w:type="dxa"/>
            <w:bottom w:w="0" w:type="dxa"/>
            <w:right w:w="108" w:type="dxa"/>
          </w:tblCellMar>
        </w:tblPrEx>
        <w:trPr>
          <w:trHeight w:val="1769"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restart"/>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七</w:t>
            </w:r>
            <w:r>
              <w:rPr>
                <w:rFonts w:hint="eastAsia" w:asciiTheme="majorEastAsia" w:hAnsiTheme="majorEastAsia" w:eastAsiaTheme="majorEastAsia" w:cstheme="majorEastAsia"/>
                <w:color w:val="auto"/>
                <w:sz w:val="24"/>
                <w:szCs w:val="24"/>
                <w:highlight w:val="none"/>
              </w:rPr>
              <w:t>、企业综合实力（3分）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1.投标企业质量管理体系、环境管理体系、职业健康安全管理体系、能源管理体系、食品安全管理体系、诚信管理体系、社会责任管理体系，七证齐全得1分，缺少一项扣0.2分，扣完为止。</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bCs/>
                <w:color w:val="auto"/>
                <w:sz w:val="24"/>
                <w:szCs w:val="24"/>
                <w:highlight w:val="none"/>
                <w:lang w:val="en-US" w:eastAsia="zh-CN"/>
              </w:rPr>
              <w:t>（投标文件中提供中国国家认证认可监督管理委员会网上查询截图和证书复印件加盖公章）。</w:t>
            </w:r>
          </w:p>
        </w:tc>
      </w:tr>
      <w:tr>
        <w:tblPrEx>
          <w:tblCellMar>
            <w:top w:w="0" w:type="dxa"/>
            <w:left w:w="108" w:type="dxa"/>
            <w:bottom w:w="0" w:type="dxa"/>
            <w:right w:w="108" w:type="dxa"/>
          </w:tblCellMar>
        </w:tblPrEx>
        <w:trPr>
          <w:trHeight w:val="1195"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7020" w:type="dxa"/>
            <w:tcBorders>
              <w:top w:val="single" w:color="auto" w:sz="4" w:space="0"/>
              <w:left w:val="nil"/>
              <w:bottom w:val="single" w:color="auto" w:sz="4" w:space="0"/>
              <w:right w:val="single" w:color="auto" w:sz="4" w:space="0"/>
            </w:tcBorders>
            <w:noWrap w:val="0"/>
            <w:vAlign w:val="center"/>
          </w:tcPr>
          <w:p>
            <w:pPr>
              <w:numPr>
                <w:ilvl w:val="0"/>
                <w:numId w:val="0"/>
              </w:numPr>
              <w:ind w:leftChars="0"/>
              <w:jc w:val="both"/>
              <w:rPr>
                <w:rFonts w:hint="eastAsia" w:asciiTheme="majorEastAsia" w:hAnsiTheme="majorEastAsia" w:eastAsiaTheme="majorEastAsia" w:cstheme="majorEastAsia"/>
                <w:color w:val="auto"/>
                <w:sz w:val="24"/>
                <w:szCs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Theme="majorEastAsia" w:hAnsiTheme="majorEastAsia" w:eastAsiaTheme="majorEastAsia" w:cstheme="majorEastAsia"/>
                <w:color w:val="auto"/>
                <w:sz w:val="24"/>
                <w:szCs w:val="24"/>
                <w:highlight w:val="none"/>
              </w:rPr>
              <w:t>投标人自2019年1月1日以来获得过地市级及以上政府部门颁发的荣誉，每提供一个得1分，最高得2分。</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（投标文件中提供相关证明文件）</w:t>
            </w:r>
          </w:p>
        </w:tc>
      </w:tr>
      <w:tr>
        <w:tblPrEx>
          <w:tblCellMar>
            <w:top w:w="0" w:type="dxa"/>
            <w:left w:w="108" w:type="dxa"/>
            <w:bottom w:w="0" w:type="dxa"/>
            <w:right w:w="108" w:type="dxa"/>
          </w:tblCellMar>
        </w:tblPrEx>
        <w:trPr>
          <w:trHeight w:val="1412"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八</w:t>
            </w:r>
            <w:r>
              <w:rPr>
                <w:rFonts w:hint="eastAsia" w:asciiTheme="majorEastAsia" w:hAnsiTheme="majorEastAsia" w:eastAsiaTheme="majorEastAsia" w:cstheme="majorEastAsia"/>
                <w:color w:val="auto"/>
                <w:sz w:val="24"/>
                <w:szCs w:val="24"/>
                <w:highlight w:val="none"/>
              </w:rPr>
              <w:t>、业绩（</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投标人自2019年1月1日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以合同签订时间为准</w:t>
            </w:r>
            <w:r>
              <w:rPr>
                <w:rFonts w:hint="eastAsia" w:ascii="宋体" w:hAnsi="宋体" w:eastAsia="宋体" w:cs="宋体"/>
                <w:color w:val="auto"/>
                <w:sz w:val="24"/>
                <w:highlight w:val="none"/>
                <w:lang w:eastAsia="zh-CN"/>
              </w:rPr>
              <w:t>）</w:t>
            </w:r>
            <w:r>
              <w:rPr>
                <w:rFonts w:hint="eastAsia" w:asciiTheme="majorEastAsia" w:hAnsiTheme="majorEastAsia" w:eastAsiaTheme="majorEastAsia" w:cstheme="majorEastAsia"/>
                <w:color w:val="auto"/>
                <w:sz w:val="24"/>
                <w:szCs w:val="24"/>
                <w:highlight w:val="none"/>
              </w:rPr>
              <w:t>以来承担过同类项目业绩（</w:t>
            </w:r>
            <w:r>
              <w:rPr>
                <w:rFonts w:hint="eastAsia" w:asciiTheme="majorEastAsia" w:hAnsiTheme="majorEastAsia" w:eastAsiaTheme="majorEastAsia" w:cstheme="majorEastAsia"/>
                <w:color w:val="auto"/>
                <w:sz w:val="24"/>
                <w:szCs w:val="24"/>
                <w:highlight w:val="none"/>
              </w:rPr>
              <w:t>含</w:t>
            </w:r>
            <w:r>
              <w:rPr>
                <w:rFonts w:hint="eastAsia" w:asciiTheme="majorEastAsia" w:hAnsiTheme="majorEastAsia" w:eastAsiaTheme="majorEastAsia" w:cstheme="majorEastAsia"/>
                <w:color w:val="auto"/>
                <w:sz w:val="24"/>
                <w:szCs w:val="24"/>
                <w:highlight w:val="none"/>
                <w:lang w:eastAsia="zh-CN"/>
              </w:rPr>
              <w:t>景区</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lang w:eastAsia="zh-CN"/>
              </w:rPr>
              <w:t>公园</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lang w:eastAsia="zh-CN"/>
              </w:rPr>
              <w:t>广场</w:t>
            </w:r>
            <w:r>
              <w:rPr>
                <w:rFonts w:hint="eastAsia" w:asciiTheme="majorEastAsia" w:hAnsiTheme="majorEastAsia" w:eastAsiaTheme="majorEastAsia" w:cstheme="majorEastAsia"/>
                <w:color w:val="auto"/>
                <w:sz w:val="24"/>
                <w:szCs w:val="24"/>
                <w:highlight w:val="none"/>
              </w:rPr>
              <w:t>）</w:t>
            </w:r>
            <w:r>
              <w:rPr>
                <w:rFonts w:hint="eastAsia" w:asciiTheme="majorEastAsia" w:hAnsiTheme="majorEastAsia" w:eastAsiaTheme="majorEastAsia" w:cstheme="majorEastAsia"/>
                <w:color w:val="auto"/>
                <w:sz w:val="24"/>
                <w:szCs w:val="24"/>
                <w:highlight w:val="none"/>
              </w:rPr>
              <w:t>，每提供2个得</w:t>
            </w:r>
            <w:r>
              <w:rPr>
                <w:rFonts w:hint="eastAsia" w:asciiTheme="majorEastAsia" w:hAnsiTheme="majorEastAsia" w:eastAsiaTheme="majorEastAsia" w:cstheme="majorEastAsia"/>
                <w:color w:val="auto"/>
                <w:sz w:val="24"/>
                <w:szCs w:val="24"/>
                <w:highlight w:val="none"/>
                <w:lang w:val="en-US" w:eastAsia="zh-CN"/>
              </w:rPr>
              <w:t>0.5</w:t>
            </w:r>
            <w:r>
              <w:rPr>
                <w:rFonts w:hint="eastAsia" w:asciiTheme="majorEastAsia" w:hAnsiTheme="majorEastAsia" w:eastAsiaTheme="majorEastAsia" w:cstheme="majorEastAsia"/>
                <w:color w:val="auto"/>
                <w:sz w:val="24"/>
                <w:szCs w:val="24"/>
                <w:highlight w:val="none"/>
              </w:rPr>
              <w:t>分，最高得</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分</w:t>
            </w:r>
            <w:r>
              <w:rPr>
                <w:rFonts w:hint="eastAsia" w:asciiTheme="majorEastAsia" w:hAnsiTheme="majorEastAsia" w:eastAsiaTheme="majorEastAsia" w:cstheme="majorEastAsia"/>
                <w:color w:val="auto"/>
                <w:sz w:val="24"/>
                <w:szCs w:val="24"/>
                <w:highlight w:val="none"/>
                <w:lang w:eastAsia="zh-CN"/>
              </w:rPr>
              <w:t>。</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bCs/>
                <w:color w:val="auto"/>
                <w:sz w:val="24"/>
                <w:szCs w:val="24"/>
                <w:highlight w:val="none"/>
              </w:rPr>
              <w:t>（投标文件中提供中标公告截图、中标通知书和合同复印件）。</w:t>
            </w:r>
          </w:p>
        </w:tc>
      </w:tr>
      <w:tr>
        <w:tblPrEx>
          <w:tblCellMar>
            <w:top w:w="0" w:type="dxa"/>
            <w:left w:w="108" w:type="dxa"/>
            <w:bottom w:w="0" w:type="dxa"/>
            <w:right w:w="108" w:type="dxa"/>
          </w:tblCellMar>
        </w:tblPrEx>
        <w:trPr>
          <w:trHeight w:val="1113" w:hRule="atLeast"/>
          <w:jc w:val="center"/>
        </w:trPr>
        <w:tc>
          <w:tcPr>
            <w:tcW w:w="7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p>
        </w:tc>
        <w:tc>
          <w:tcPr>
            <w:tcW w:w="138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九</w:t>
            </w:r>
            <w:r>
              <w:rPr>
                <w:rFonts w:hint="eastAsia" w:asciiTheme="majorEastAsia" w:hAnsiTheme="majorEastAsia" w:eastAsiaTheme="majorEastAsia" w:cstheme="majorEastAsia"/>
                <w:color w:val="auto"/>
                <w:sz w:val="24"/>
                <w:szCs w:val="24"/>
                <w:highlight w:val="none"/>
              </w:rPr>
              <w:t>、政府采购政策加分（1分）</w:t>
            </w:r>
          </w:p>
        </w:tc>
        <w:tc>
          <w:tcPr>
            <w:tcW w:w="702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投标人是国家认定的不发达地区或少数民族地区企业的加1分。</w:t>
            </w:r>
          </w:p>
        </w:tc>
      </w:tr>
      <w:tr>
        <w:tblPrEx>
          <w:tblCellMar>
            <w:top w:w="0" w:type="dxa"/>
            <w:left w:w="108" w:type="dxa"/>
            <w:bottom w:w="0" w:type="dxa"/>
            <w:right w:w="108" w:type="dxa"/>
          </w:tblCellMar>
        </w:tblPrEx>
        <w:trPr>
          <w:trHeight w:val="1591"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报价</w:t>
            </w:r>
            <w:r>
              <w:rPr>
                <w:rFonts w:hint="eastAsia" w:asciiTheme="majorEastAsia" w:hAnsiTheme="majorEastAsia" w:eastAsiaTheme="majorEastAsia" w:cstheme="majorEastAsia"/>
                <w:color w:val="auto"/>
                <w:sz w:val="24"/>
                <w:szCs w:val="24"/>
                <w:highlight w:val="none"/>
                <w:lang w:val="en-US" w:eastAsia="zh-CN"/>
              </w:rPr>
              <w:t>1</w:t>
            </w:r>
            <w:r>
              <w:rPr>
                <w:rFonts w:hint="eastAsia" w:asciiTheme="majorEastAsia" w:hAnsiTheme="majorEastAsia" w:eastAsiaTheme="majorEastAsia" w:cstheme="majorEastAsia"/>
                <w:color w:val="auto"/>
                <w:sz w:val="24"/>
                <w:szCs w:val="24"/>
                <w:highlight w:val="none"/>
              </w:rPr>
              <w:t>0分</w:t>
            </w:r>
          </w:p>
        </w:tc>
        <w:tc>
          <w:tcPr>
            <w:tcW w:w="8408" w:type="dxa"/>
            <w:gridSpan w:val="2"/>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满足采购文件要求且参与评审价格最低为评标基准价，其价格分为满分，其余投标人的价格分以下列公式计算：</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kern w:val="1"/>
                <w:sz w:val="24"/>
                <w:szCs w:val="24"/>
                <w:highlight w:val="none"/>
              </w:rPr>
            </w:pPr>
            <w:r>
              <w:rPr>
                <w:rFonts w:hint="eastAsia" w:asciiTheme="majorEastAsia" w:hAnsiTheme="majorEastAsia" w:eastAsiaTheme="majorEastAsia" w:cstheme="majorEastAsia"/>
                <w:color w:val="auto"/>
                <w:kern w:val="1"/>
                <w:sz w:val="24"/>
                <w:szCs w:val="24"/>
                <w:highlight w:val="none"/>
              </w:rPr>
              <w:t>投标报价得分=（评标基准价/参与评审的价格）×价格权值×100</w:t>
            </w:r>
          </w:p>
          <w:p>
            <w:pPr>
              <w:keepNext w:val="0"/>
              <w:keepLines w:val="0"/>
              <w:suppressLineNumbers w:val="0"/>
              <w:spacing w:before="0" w:beforeAutospacing="0" w:after="0" w:afterAutospacing="0"/>
              <w:ind w:left="0" w:right="0"/>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kern w:val="1"/>
                <w:sz w:val="24"/>
                <w:szCs w:val="24"/>
                <w:highlight w:val="none"/>
              </w:rPr>
              <w:t>参与评审价格=投标价格×（1-价格折扣率）</w:t>
            </w:r>
          </w:p>
        </w:tc>
      </w:tr>
    </w:tbl>
    <w:p>
      <w:pPr>
        <w:spacing w:line="360" w:lineRule="auto"/>
        <w:ind w:firstLine="480" w:firstLineChars="200"/>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val="0"/>
          <w:bCs/>
          <w:color w:val="auto"/>
          <w:kern w:val="0"/>
          <w:sz w:val="24"/>
          <w:highlight w:val="none"/>
          <w:lang w:val="zh-CN"/>
        </w:rPr>
        <w:t>备注：供应商</w:t>
      </w:r>
      <w:r>
        <w:rPr>
          <w:rFonts w:hint="eastAsia" w:cs="仿宋" w:asciiTheme="majorEastAsia" w:hAnsiTheme="majorEastAsia" w:eastAsiaTheme="majorEastAsia"/>
          <w:b w:val="0"/>
          <w:bCs/>
          <w:color w:val="auto"/>
          <w:sz w:val="24"/>
          <w:highlight w:val="none"/>
        </w:rPr>
        <w:t>编制投标文件（商务技术文件部分）时，建议按此目录（序号和内容）提供评标标准相应的商务技术资料。</w:t>
      </w:r>
      <w:r>
        <w:rPr>
          <w:rFonts w:hint="eastAsia" w:cs="仿宋" w:asciiTheme="majorEastAsia" w:hAnsiTheme="majorEastAsia" w:eastAsiaTheme="majorEastAsia"/>
          <w:color w:val="auto"/>
          <w:sz w:val="24"/>
          <w:highlight w:val="none"/>
        </w:rPr>
        <w:t> </w:t>
      </w: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一、评标方法</w:t>
      </w:r>
    </w:p>
    <w:p>
      <w:pPr>
        <w:spacing w:line="360" w:lineRule="auto"/>
        <w:ind w:firstLine="472" w:firstLineChars="196"/>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1.本项目采用综合评分法。</w:t>
      </w:r>
      <w:r>
        <w:rPr>
          <w:rFonts w:hint="eastAsia" w:cs="仿宋" w:asciiTheme="majorEastAsia" w:hAnsiTheme="majorEastAsia" w:eastAsiaTheme="majorEastAsia"/>
          <w:color w:val="auto"/>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为中标候选人的评标方法。</w:t>
      </w: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二、评标标准</w:t>
      </w:r>
    </w:p>
    <w:p>
      <w:pPr>
        <w:spacing w:line="360" w:lineRule="auto"/>
        <w:ind w:firstLine="472" w:firstLineChars="196"/>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2.</w:t>
      </w:r>
      <w:r>
        <w:rPr>
          <w:rFonts w:hint="eastAsia" w:cs="仿宋" w:asciiTheme="majorEastAsia" w:hAnsiTheme="majorEastAsia" w:eastAsiaTheme="majorEastAsia"/>
          <w:color w:val="auto"/>
          <w:highlight w:val="none"/>
        </w:rPr>
        <w:t xml:space="preserve"> </w:t>
      </w:r>
      <w:r>
        <w:rPr>
          <w:rFonts w:hint="eastAsia" w:cs="仿宋" w:asciiTheme="majorEastAsia" w:hAnsiTheme="majorEastAsia" w:eastAsiaTheme="majorEastAsia"/>
          <w:b/>
          <w:color w:val="auto"/>
          <w:sz w:val="24"/>
          <w:highlight w:val="none"/>
        </w:rPr>
        <w:t>评标标准：</w:t>
      </w:r>
      <w:r>
        <w:rPr>
          <w:rFonts w:hint="eastAsia" w:cs="仿宋" w:asciiTheme="majorEastAsia" w:hAnsiTheme="majorEastAsia" w:eastAsiaTheme="majorEastAsia"/>
          <w:color w:val="auto"/>
          <w:kern w:val="0"/>
          <w:sz w:val="24"/>
          <w:highlight w:val="none"/>
        </w:rPr>
        <w:t>见评标办法前附表。</w:t>
      </w: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三、评标程序</w:t>
      </w:r>
    </w:p>
    <w:p>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3.1 符合性审查。</w:t>
      </w:r>
      <w:r>
        <w:rPr>
          <w:rFonts w:hint="eastAsia" w:cs="仿宋" w:asciiTheme="majorEastAsia" w:hAnsiTheme="majorEastAsia" w:eastAsiaTheme="majorEastAsia"/>
          <w:color w:val="auto"/>
          <w:kern w:val="0"/>
          <w:sz w:val="24"/>
          <w:highlight w:val="none"/>
        </w:rPr>
        <w:t>评标委员会应当对符合资格的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的投标文件进行符合性审查，以确定其是否满足招标文件的实质性要求。不满足招标文件的实质性要求的，投标无效。</w:t>
      </w:r>
    </w:p>
    <w:p>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3.2 商务技术评审。</w:t>
      </w:r>
      <w:r>
        <w:rPr>
          <w:rFonts w:hint="eastAsia" w:cs="仿宋" w:asciiTheme="majorEastAsia" w:hAnsiTheme="majorEastAsia" w:eastAsiaTheme="majorEastAsia"/>
          <w:color w:val="auto"/>
          <w:kern w:val="0"/>
          <w:sz w:val="24"/>
          <w:highlight w:val="none"/>
        </w:rPr>
        <w:t>评标委员会应当按照招标文件中规定的评标方法和标准，对符合性审查合格的投标文件进行商务和技术评估。</w:t>
      </w:r>
    </w:p>
    <w:p>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3.3 汇总商务技术得分。</w:t>
      </w:r>
      <w:r>
        <w:rPr>
          <w:rFonts w:hint="eastAsia" w:cs="仿宋" w:asciiTheme="majorEastAsia" w:hAnsiTheme="majorEastAsia" w:eastAsiaTheme="majorEastAsia"/>
          <w:color w:val="auto"/>
          <w:kern w:val="0"/>
          <w:sz w:val="24"/>
          <w:highlight w:val="none"/>
        </w:rPr>
        <w:t>评标委员会各成员应当独立对每个</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的商务和技术文件进行评价，并汇总商务技术得分情况。</w:t>
      </w:r>
    </w:p>
    <w:p>
      <w:pPr>
        <w:spacing w:line="360" w:lineRule="auto"/>
        <w:ind w:firstLine="482" w:firstLineChars="200"/>
        <w:rPr>
          <w:rFonts w:cs="仿宋" w:asciiTheme="majorEastAsia" w:hAnsiTheme="majorEastAsia" w:eastAsiaTheme="majorEastAsia"/>
          <w:b/>
          <w:color w:val="auto"/>
          <w:kern w:val="0"/>
          <w:sz w:val="24"/>
          <w:highlight w:val="none"/>
        </w:rPr>
      </w:pPr>
      <w:r>
        <w:rPr>
          <w:rFonts w:hint="eastAsia" w:cs="仿宋" w:asciiTheme="majorEastAsia" w:hAnsiTheme="majorEastAsia" w:eastAsiaTheme="majorEastAsia"/>
          <w:b/>
          <w:color w:val="auto"/>
          <w:kern w:val="0"/>
          <w:sz w:val="24"/>
          <w:highlight w:val="none"/>
        </w:rPr>
        <w:t>3.4 报价评审。</w:t>
      </w:r>
    </w:p>
    <w:p>
      <w:pPr>
        <w:pStyle w:val="37"/>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3.4.1投标文件报价出现前后不一致的，按照下列规定修正：</w:t>
      </w:r>
    </w:p>
    <w:p>
      <w:pPr>
        <w:pStyle w:val="37"/>
        <w:spacing w:before="0"/>
        <w:ind w:firstLine="480"/>
        <w:rPr>
          <w:rFonts w:cs="仿宋" w:asciiTheme="majorEastAsia" w:hAnsiTheme="majorEastAsia" w:eastAsiaTheme="majorEastAsia"/>
          <w:color w:val="auto"/>
          <w:kern w:val="0"/>
          <w:highlight w:val="none"/>
        </w:rPr>
      </w:pPr>
      <w:r>
        <w:rPr>
          <w:rFonts w:hint="eastAsia" w:cs="仿宋" w:asciiTheme="majorEastAsia" w:hAnsiTheme="majorEastAsia" w:eastAsiaTheme="majorEastAsia"/>
          <w:color w:val="auto"/>
          <w:kern w:val="0"/>
          <w:highlight w:val="none"/>
        </w:rPr>
        <w:t>3.4.1.1电子交易平台生成的开标记录表(报价表)内容与投标文件中开标一览表(报价表)不一致的，以投标文件中开标一览表(报价表)为准；</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3.4.1.2</w:t>
      </w:r>
      <w:r>
        <w:rPr>
          <w:rFonts w:hint="eastAsia" w:cs="仿宋" w:asciiTheme="majorEastAsia" w:hAnsiTheme="majorEastAsia" w:eastAsiaTheme="majorEastAsia"/>
          <w:color w:val="auto"/>
          <w:kern w:val="0"/>
          <w:highlight w:val="none"/>
        </w:rPr>
        <w:t>投标文件中开标一览表(报价表)内容与投标文件中相应内容不一致的，以开标一览表(报价表)为准；</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3.4.1.3 大写金额和小写金额不一致的，以大写金额为准;</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3.4.1.4 单价金额小数点或者百分比有明显错位的，以开标一览表的总价为准，并修改单价;</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3.4.1.5 总价金额与按单价汇总金额不一致的，以单价金额计算结果为准；</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确认后产生约束力。</w:t>
      </w:r>
    </w:p>
    <w:p>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3.4.2投标文件出现不是唯一的、有选择性投标报价的，投标无效。</w:t>
      </w:r>
    </w:p>
    <w:p>
      <w:pPr>
        <w:snapToGrid w:val="0"/>
        <w:spacing w:line="360" w:lineRule="auto"/>
        <w:ind w:firstLine="480" w:firstLineChars="200"/>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3.4.3投标报价超过招标文件中规定的预算金额或者最高限价的，投标无效。</w:t>
      </w:r>
    </w:p>
    <w:p>
      <w:pPr>
        <w:pStyle w:val="37"/>
        <w:spacing w:before="0"/>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3.4.4评标委员会认为</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的报价明显低于其他通过符合性审查</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不能证明其报价合理性的，评标委员会应当将其作为无效投标处理。</w:t>
      </w:r>
    </w:p>
    <w:p>
      <w:pPr>
        <w:spacing w:line="360" w:lineRule="auto"/>
        <w:ind w:firstLine="482"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b/>
          <w:color w:val="auto"/>
          <w:kern w:val="0"/>
          <w:sz w:val="24"/>
          <w:highlight w:val="none"/>
        </w:rPr>
        <w:t>3.5编写评标报告。</w:t>
      </w:r>
      <w:r>
        <w:rPr>
          <w:rFonts w:hint="eastAsia" w:cs="仿宋" w:asciiTheme="majorEastAsia" w:hAnsiTheme="majorEastAsia" w:eastAsiaTheme="maj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ind w:left="120" w:leftChars="57" w:firstLine="482" w:firstLineChars="150"/>
        <w:jc w:val="center"/>
        <w:rPr>
          <w:rFonts w:cs="仿宋" w:asciiTheme="majorEastAsia" w:hAnsiTheme="majorEastAsia" w:eastAsiaTheme="majorEastAsia"/>
          <w:b/>
          <w:color w:val="auto"/>
          <w:sz w:val="32"/>
          <w:highlight w:val="none"/>
        </w:rPr>
      </w:pPr>
      <w:r>
        <w:rPr>
          <w:rFonts w:hint="eastAsia" w:cs="仿宋" w:asciiTheme="majorEastAsia" w:hAnsiTheme="majorEastAsia" w:eastAsiaTheme="majorEastAsia"/>
          <w:b/>
          <w:color w:val="auto"/>
          <w:sz w:val="32"/>
          <w:highlight w:val="none"/>
        </w:rPr>
        <w:t>四、评标中的其他事项</w:t>
      </w:r>
    </w:p>
    <w:p>
      <w:pPr>
        <w:pStyle w:val="37"/>
        <w:spacing w:before="0"/>
        <w:ind w:firstLine="482"/>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b/>
          <w:color w:val="auto"/>
          <w:kern w:val="0"/>
          <w:szCs w:val="24"/>
          <w:highlight w:val="none"/>
        </w:rPr>
        <w:t>4.1投标澄清、说明或者补正。</w:t>
      </w:r>
      <w:r>
        <w:rPr>
          <w:rFonts w:hint="eastAsia" w:cs="仿宋" w:asciiTheme="majorEastAsia" w:hAnsiTheme="majorEastAsia" w:eastAsiaTheme="majorEastAsia"/>
          <w:color w:val="auto"/>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作出必要的澄清、说明或者补正的，评标委员会和</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通过电子交易平台交换数据电文，</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提交使用电子签名的相关数据电文或通过平台上传加盖公章的扫描件。给予</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提交澄清、说明或补正的时间不得少于半小时，</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已经明确表示澄清说明或补正完毕的除外。</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kern w:val="0"/>
          <w:szCs w:val="24"/>
          <w:highlight w:val="none"/>
        </w:rPr>
        <w:t>的澄清、说明或者补正不得超出投标文件的范围或者改变投标文件的实质性内容。</w:t>
      </w:r>
    </w:p>
    <w:p>
      <w:pPr>
        <w:pStyle w:val="11"/>
        <w:spacing w:line="360" w:lineRule="auto"/>
        <w:ind w:firstLine="482"/>
        <w:rPr>
          <w:rFonts w:cs="仿宋" w:asciiTheme="majorEastAsia" w:hAnsiTheme="majorEastAsia" w:eastAsiaTheme="majorEastAsia"/>
          <w:color w:val="auto"/>
          <w:szCs w:val="21"/>
          <w:highlight w:val="none"/>
        </w:rPr>
      </w:pPr>
      <w:r>
        <w:rPr>
          <w:rFonts w:hint="eastAsia" w:cs="仿宋" w:asciiTheme="majorEastAsia" w:hAnsiTheme="majorEastAsia" w:eastAsiaTheme="majorEastAsia"/>
          <w:b/>
          <w:color w:val="auto"/>
          <w:kern w:val="0"/>
          <w:highlight w:val="none"/>
        </w:rPr>
        <w:t>4.2投标无效的情形。</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4.2.1 没有响应招标文件实质性要求的投标将被视为无效投标。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修改、补正投标文件后，不影响评标委员会对其投标文件所作的评价和评分结果。</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 在电子开评标时，如发现下列情形之一的，将被视为无效投标文件：</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4.2.2.1电子投标文件解密失败的；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4.2.2.2投标文件未按招标文件要求加密、签字、盖章的；（投标文件中加盖</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公章部分均须CA签章。）</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 在资格审查、符合性审查和商务评审时，如发现下列情形之一的，将被视为无效投标文件：</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4.2.3.1 资格证明文件不全的或者不符合招标文件标明的资格要求的；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4.2.3.2 投标文件未按招标文件要求签署、盖章的；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4.2.3.3 投标文件格式不规范、项目不齐全或者内容虚假的；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4.2.3.4 投标文件的实质性内容未使用中文表述、意思表述不明确、前后矛盾或者使用计量单位不符合招标文件要求的（经评标委员会认定并允许其当场更正的笔误除外）；</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4.2.3.5 投标有效期、交货时间、质保期等商务条款不能满足招标文件要求的；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4.2.3.6 带“▲”的条款不能满足招标文件要求、未实质性响应招标文件要求或者投标文件有采购人不能接受的附加条件的；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4.2.3.7 单位负责人为同一人或者存在直接控股、管理关系的不同供应商参加同一合同项下的政府采购活动的；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4.2.3.8 为采购项目提供整体设计、规范编制或者项目管理、监理、检测等服务的供应商参加该采购项目的其他采购活动的；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4.2.3.9 商务技术文件中出现本项目投标报价或单价的。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4.3.在技术评审时，如发现下列情形之一的，将被视为无效投标文件：</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4.3.1未提供或未如实提供投标货物的技术参数，或者投标文件标明的响应或偏离与事实不符或虚假投标的；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4.3.2 明显不符合招标文件要求的规格型号、质量标准，或者与招标文件中标“▲”的技术指标、主要功能项目发生实质性偏离的；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4.3.3 允许偏离的技术、性能指标或辅助功能项目发生负偏离达/项（含）以上的；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4.3.4 投标技术方案不明确，存在一个或一个以上备选（替代）投标方案的；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4.3.5 与其他参加本次投标</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的投标文件（技术文件）的文字表述内容差错相同2处以上的；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 在报价评审时，如发现下列情形之一的，投标文件将被视为无效：</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4.4.1 未采用人民币报价或者未按照招标文件标明的币种报价的；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4.4.2 报价超出最高限价，或者超出采购预算金额的；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4.4.3 投标报价具有选择性的；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4.4.4 投标报价中出现缺项、漏项或被评标委员会认定为有可能影响产品质量或者不能诚信履约的且不能在合理的时间内证明其报价合理性的；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4.4.5供应商对根据修正原则修正后的报价不确认的。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4.5其他无效情形：</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4.5.1 不同</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rPr>
        <w:t>的投标文件出自同一终端设备或在相同Internet主机分配地址（相同IP地址）进行网上报名、投标的；</w:t>
      </w:r>
    </w:p>
    <w:p>
      <w:pPr>
        <w:spacing w:line="360" w:lineRule="auto"/>
        <w:ind w:firstLine="480" w:firstLineChars="200"/>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4.5.2 法律、法规、规章（适用本市的）及省级以上规范性文件（适用本市的）规定的其他无效情形。</w:t>
      </w:r>
    </w:p>
    <w:p>
      <w:pPr>
        <w:pStyle w:val="11"/>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5.废标。</w:t>
      </w:r>
      <w:r>
        <w:rPr>
          <w:rFonts w:hint="eastAsia" w:cs="仿宋" w:asciiTheme="majorEastAsia" w:hAnsiTheme="majorEastAsia" w:eastAsiaTheme="majorEastAsia"/>
          <w:color w:val="auto"/>
          <w:highlight w:val="none"/>
        </w:rPr>
        <w:t>根据《中华人民共和国政府采购法》第三十六条之规定，在采购中，出现下列情形之一的，应予废标：</w:t>
      </w:r>
    </w:p>
    <w:p>
      <w:pPr>
        <w:pStyle w:val="11"/>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5.1符合专业条件的供应商或者对招标文件作实质响应的供应商不足3家的；</w:t>
      </w:r>
    </w:p>
    <w:p>
      <w:pPr>
        <w:pStyle w:val="11"/>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5.2出现影响采购公正的违法、违规行为的；</w:t>
      </w:r>
    </w:p>
    <w:p>
      <w:pPr>
        <w:pStyle w:val="11"/>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5.3</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的报价均超过了采购预算，采购人不能支付的；</w:t>
      </w:r>
    </w:p>
    <w:p>
      <w:pPr>
        <w:pStyle w:val="11"/>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5.4因重大变故，采购任务取消的。</w:t>
      </w:r>
    </w:p>
    <w:p>
      <w:pPr>
        <w:pStyle w:val="11"/>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废标后，采购代理机构应当将废标理由通知所有</w:t>
      </w:r>
      <w:r>
        <w:rPr>
          <w:rFonts w:hint="eastAsia" w:cs="仿宋" w:asciiTheme="majorEastAsia" w:hAnsiTheme="majorEastAsia" w:eastAsiaTheme="majorEastAsia"/>
          <w:color w:val="auto"/>
          <w:kern w:val="0"/>
          <w:highlight w:val="none"/>
          <w:lang w:val="zh-CN"/>
        </w:rPr>
        <w:t>供应商</w:t>
      </w:r>
      <w:r>
        <w:rPr>
          <w:rFonts w:hint="eastAsia" w:cs="仿宋" w:asciiTheme="majorEastAsia" w:hAnsiTheme="majorEastAsia" w:eastAsiaTheme="majorEastAsia"/>
          <w:color w:val="auto"/>
          <w:highlight w:val="none"/>
        </w:rPr>
        <w:t>。</w:t>
      </w:r>
    </w:p>
    <w:p>
      <w:pPr>
        <w:pStyle w:val="11"/>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highlight w:val="none"/>
        </w:rPr>
        <w:t>6.修改招标文件，重新组织采购活动。</w:t>
      </w:r>
      <w:r>
        <w:rPr>
          <w:rFonts w:hint="eastAsia" w:cs="仿宋" w:asciiTheme="majorEastAsia" w:hAnsiTheme="majorEastAsia" w:eastAsiaTheme="maj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11"/>
        <w:adjustRightInd w:val="0"/>
        <w:snapToGrid w:val="0"/>
        <w:spacing w:line="360" w:lineRule="auto"/>
        <w:ind w:firstLine="482"/>
        <w:rPr>
          <w:rFonts w:cs="仿宋" w:asciiTheme="majorEastAsia" w:hAnsiTheme="majorEastAsia" w:eastAsiaTheme="majorEastAsia"/>
          <w:color w:val="auto"/>
          <w:highlight w:val="none"/>
        </w:rPr>
      </w:pPr>
      <w:r>
        <w:rPr>
          <w:rFonts w:hint="eastAsia" w:cs="仿宋" w:asciiTheme="majorEastAsia" w:hAnsiTheme="majorEastAsia" w:eastAsiaTheme="majorEastAsia"/>
          <w:b/>
          <w:color w:val="auto"/>
          <w:kern w:val="0"/>
          <w:highlight w:val="none"/>
        </w:rPr>
        <w:t>7.重新开展采购。</w:t>
      </w:r>
      <w:r>
        <w:rPr>
          <w:rFonts w:hint="eastAsia" w:cs="仿宋" w:asciiTheme="majorEastAsia" w:hAnsiTheme="majorEastAsia" w:eastAsiaTheme="majorEastAsia"/>
          <w:color w:val="auto"/>
          <w:highlight w:val="none"/>
        </w:rPr>
        <w:t>有政府采购法第七十一条、第七十二条规定的违法行为之一，影响或者可能影响中标、成交结果的，依照下列规定处理：</w:t>
      </w:r>
    </w:p>
    <w:p>
      <w:pPr>
        <w:pStyle w:val="11"/>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7.1未确定中标或者中标人的，终止本次政府采购活动，重新开展政府采购活动。</w:t>
      </w:r>
    </w:p>
    <w:p>
      <w:pPr>
        <w:pStyle w:val="11"/>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7.2已确定中标或者中标人但尚未签订政府采购合同的，中标或者成交结果无效，重新开展政府采购活动。</w:t>
      </w:r>
    </w:p>
    <w:p>
      <w:pPr>
        <w:pStyle w:val="11"/>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7.3政府采购合同已签订但尚未履行的，撤销合同，重新开展政府采购活动。</w:t>
      </w:r>
    </w:p>
    <w:p>
      <w:pPr>
        <w:pStyle w:val="11"/>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7.4政府采购合同已经履行，给采购人、供应商造成损失的，由责任人承担赔偿责任。</w:t>
      </w:r>
    </w:p>
    <w:p>
      <w:pPr>
        <w:pStyle w:val="11"/>
        <w:adjustRightInd w:val="0"/>
        <w:snapToGrid w:val="0"/>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7.5政府采购当事人有其他违反政府采购法</w:t>
      </w:r>
      <w:r>
        <w:rPr>
          <w:rFonts w:hint="eastAsia" w:cs="仿宋" w:asciiTheme="majorEastAsia" w:hAnsiTheme="majorEastAsia" w:eastAsiaTheme="majorEastAsia"/>
          <w:color w:val="auto"/>
          <w:kern w:val="0"/>
          <w:highlight w:val="none"/>
        </w:rPr>
        <w:t>或者政府采购法实施条例等法律法规规定</w:t>
      </w:r>
      <w:r>
        <w:rPr>
          <w:rFonts w:hint="eastAsia" w:cs="仿宋" w:asciiTheme="majorEastAsia" w:hAnsiTheme="majorEastAsia" w:eastAsiaTheme="majorEastAsia"/>
          <w:color w:val="auto"/>
          <w:highlight w:val="none"/>
        </w:rPr>
        <w:t>的行为，经改正后仍然影响或者可能影响中标、成交结果或者依法被认定为中标、成交无效的，依照7.1-7.4规定处理。</w:t>
      </w:r>
      <w:bookmarkEnd w:id="26"/>
      <w:bookmarkStart w:id="393" w:name="第五部分"/>
      <w:bookmarkStart w:id="394" w:name="_Toc86217003"/>
    </w:p>
    <w:p>
      <w:pPr>
        <w:spacing w:line="360" w:lineRule="auto"/>
        <w:rPr>
          <w:rFonts w:cs="仿宋" w:asciiTheme="majorEastAsia" w:hAnsiTheme="majorEastAsia" w:eastAsiaTheme="majorEastAsia"/>
          <w:b/>
          <w:color w:val="auto"/>
          <w:sz w:val="36"/>
          <w:szCs w:val="36"/>
          <w:highlight w:val="none"/>
        </w:rPr>
      </w:pPr>
    </w:p>
    <w:p>
      <w:pPr>
        <w:pStyle w:val="11"/>
        <w:numPr>
          <w:ilvl w:val="0"/>
          <w:numId w:val="3"/>
        </w:numPr>
        <w:adjustRightInd w:val="0"/>
        <w:snapToGrid w:val="0"/>
        <w:spacing w:line="360" w:lineRule="auto"/>
        <w:ind w:firstLine="0" w:firstLineChars="0"/>
        <w:jc w:val="center"/>
        <w:rPr>
          <w:rFonts w:cs="仿宋" w:asciiTheme="majorEastAsia" w:hAnsiTheme="majorEastAsia" w:eastAsiaTheme="majorEastAsia"/>
          <w:b/>
          <w:color w:val="auto"/>
          <w:sz w:val="36"/>
          <w:szCs w:val="36"/>
          <w:highlight w:val="none"/>
        </w:rPr>
      </w:pPr>
      <w:r>
        <w:rPr>
          <w:rFonts w:hint="eastAsia" w:cs="仿宋" w:asciiTheme="majorEastAsia" w:hAnsiTheme="majorEastAsia" w:eastAsiaTheme="majorEastAsia"/>
          <w:b/>
          <w:color w:val="auto"/>
          <w:sz w:val="36"/>
          <w:szCs w:val="36"/>
          <w:highlight w:val="none"/>
        </w:rPr>
        <w:br w:type="page"/>
      </w:r>
      <w:r>
        <w:rPr>
          <w:rFonts w:hint="eastAsia" w:cs="仿宋" w:asciiTheme="majorEastAsia" w:hAnsiTheme="majorEastAsia" w:eastAsiaTheme="majorEastAsia"/>
          <w:b/>
          <w:color w:val="auto"/>
          <w:sz w:val="36"/>
          <w:szCs w:val="36"/>
          <w:highlight w:val="none"/>
          <w:lang w:val="en-US" w:eastAsia="zh-CN"/>
        </w:rPr>
        <w:t>服务类</w:t>
      </w:r>
      <w:r>
        <w:rPr>
          <w:rFonts w:hint="eastAsia" w:cs="仿宋" w:asciiTheme="majorEastAsia" w:hAnsiTheme="majorEastAsia" w:eastAsiaTheme="majorEastAsia"/>
          <w:b/>
          <w:color w:val="auto"/>
          <w:sz w:val="36"/>
          <w:szCs w:val="36"/>
          <w:highlight w:val="none"/>
        </w:rPr>
        <w:t>合同文本</w:t>
      </w:r>
    </w:p>
    <w:p>
      <w:pPr>
        <w:pStyle w:val="38"/>
        <w:shd w:val="clear"/>
        <w:ind w:left="0" w:leftChars="0" w:firstLine="0" w:firstLineChars="0"/>
        <w:rPr>
          <w:rFonts w:cs="仿宋" w:asciiTheme="minorEastAsia" w:hAnsiTheme="minorEastAsia" w:eastAsiaTheme="minorEastAsia"/>
          <w:color w:val="auto"/>
          <w:szCs w:val="24"/>
          <w:highlight w:val="none"/>
        </w:rPr>
      </w:pPr>
    </w:p>
    <w:p>
      <w:pPr>
        <w:shd w:val="clear"/>
        <w:spacing w:before="120" w:line="360" w:lineRule="auto"/>
        <w:rPr>
          <w:rFonts w:cs="仿宋" w:asciiTheme="minorEastAsia" w:hAnsiTheme="minorEastAsia" w:eastAsiaTheme="minorEastAsia"/>
          <w:color w:val="auto"/>
          <w:sz w:val="24"/>
          <w:highlight w:val="none"/>
        </w:rPr>
      </w:pPr>
    </w:p>
    <w:p>
      <w:pPr>
        <w:pStyle w:val="8"/>
        <w:rPr>
          <w:rFonts w:cs="仿宋" w:asciiTheme="minorEastAsia" w:hAnsiTheme="minorEastAsia" w:eastAsiaTheme="minorEastAsia"/>
          <w:color w:val="auto"/>
          <w:sz w:val="24"/>
          <w:highlight w:val="none"/>
        </w:rPr>
      </w:pPr>
    </w:p>
    <w:p>
      <w:pPr>
        <w:pStyle w:val="9"/>
        <w:rPr>
          <w:rFonts w:cs="仿宋" w:asciiTheme="minorEastAsia" w:hAnsiTheme="minorEastAsia" w:eastAsiaTheme="minorEastAsia"/>
          <w:color w:val="auto"/>
          <w:sz w:val="24"/>
          <w:highlight w:val="none"/>
        </w:rPr>
      </w:pPr>
    </w:p>
    <w:p>
      <w:pPr>
        <w:pStyle w:val="10"/>
        <w:rPr>
          <w:rFonts w:cs="仿宋" w:asciiTheme="minorEastAsia" w:hAnsiTheme="minorEastAsia" w:eastAsiaTheme="minorEastAsia"/>
          <w:color w:val="auto"/>
          <w:sz w:val="24"/>
          <w:highlight w:val="none"/>
        </w:rPr>
      </w:pPr>
    </w:p>
    <w:p>
      <w:pPr>
        <w:rPr>
          <w:rFonts w:cs="仿宋" w:asciiTheme="minorEastAsia" w:hAnsiTheme="minorEastAsia" w:eastAsiaTheme="minorEastAsia"/>
          <w:color w:val="auto"/>
          <w:sz w:val="24"/>
          <w:highlight w:val="none"/>
        </w:rPr>
      </w:pPr>
    </w:p>
    <w:p>
      <w:pPr>
        <w:pStyle w:val="8"/>
        <w:rPr>
          <w:rFonts w:cs="仿宋" w:asciiTheme="minorEastAsia" w:hAnsiTheme="minorEastAsia" w:eastAsiaTheme="minorEastAsia"/>
          <w:color w:val="auto"/>
          <w:sz w:val="24"/>
          <w:highlight w:val="none"/>
        </w:rPr>
      </w:pPr>
    </w:p>
    <w:p>
      <w:pPr>
        <w:pStyle w:val="9"/>
        <w:rPr>
          <w:rFonts w:cs="仿宋" w:asciiTheme="minorEastAsia" w:hAnsiTheme="minorEastAsia" w:eastAsiaTheme="minorEastAsia"/>
          <w:color w:val="auto"/>
          <w:sz w:val="24"/>
          <w:highlight w:val="none"/>
        </w:rPr>
      </w:pPr>
    </w:p>
    <w:p>
      <w:pPr>
        <w:pStyle w:val="10"/>
        <w:rPr>
          <w:rFonts w:cs="仿宋" w:asciiTheme="minorEastAsia" w:hAnsiTheme="minorEastAsia" w:eastAsiaTheme="minorEastAsia"/>
          <w:color w:val="auto"/>
          <w:sz w:val="24"/>
          <w:highlight w:val="none"/>
        </w:rPr>
      </w:pPr>
    </w:p>
    <w:p>
      <w:pPr>
        <w:rPr>
          <w:rFonts w:cs="仿宋" w:asciiTheme="minorEastAsia" w:hAnsiTheme="minorEastAsia" w:eastAsiaTheme="minorEastAsia"/>
          <w:color w:val="auto"/>
          <w:sz w:val="24"/>
          <w:highlight w:val="none"/>
        </w:rPr>
      </w:pPr>
    </w:p>
    <w:p>
      <w:pPr>
        <w:pStyle w:val="8"/>
        <w:rPr>
          <w:color w:val="auto"/>
          <w:highlight w:val="none"/>
        </w:rPr>
      </w:pPr>
    </w:p>
    <w:p>
      <w:pPr>
        <w:shd w:val="clear"/>
        <w:spacing w:before="120" w:line="36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项目名称：</w:t>
      </w:r>
      <w:r>
        <w:rPr>
          <w:rFonts w:hint="eastAsia" w:cs="仿宋" w:asciiTheme="minorEastAsia" w:hAnsiTheme="minorEastAsia" w:eastAsiaTheme="minorEastAsia"/>
          <w:color w:val="auto"/>
          <w:sz w:val="24"/>
          <w:highlight w:val="none"/>
          <w:u w:val="single"/>
        </w:rPr>
        <w:t xml:space="preserve">                                   </w:t>
      </w:r>
    </w:p>
    <w:p>
      <w:pPr>
        <w:pStyle w:val="30"/>
        <w:shd w:val="clear"/>
        <w:spacing w:before="120"/>
        <w:rPr>
          <w:rFonts w:cs="仿宋" w:asciiTheme="minorEastAsia" w:hAnsiTheme="minorEastAsia" w:eastAsiaTheme="minorEastAsia"/>
          <w:color w:val="auto"/>
          <w:szCs w:val="24"/>
          <w:highlight w:val="none"/>
        </w:rPr>
      </w:pPr>
    </w:p>
    <w:p>
      <w:pPr>
        <w:pStyle w:val="30"/>
        <w:shd w:val="clear"/>
        <w:spacing w:before="120"/>
        <w:rPr>
          <w:rFonts w:cs="仿宋" w:asciiTheme="minorEastAsia" w:hAnsiTheme="minorEastAsia" w:eastAsiaTheme="minorEastAsia"/>
          <w:color w:val="auto"/>
          <w:szCs w:val="24"/>
          <w:highlight w:val="none"/>
        </w:rPr>
      </w:pPr>
    </w:p>
    <w:p>
      <w:pPr>
        <w:shd w:val="clear"/>
        <w:spacing w:line="360" w:lineRule="auto"/>
        <w:rPr>
          <w:rFonts w:cs="仿宋" w:asciiTheme="minorEastAsia" w:hAnsiTheme="minorEastAsia" w:eastAsiaTheme="minorEastAsia"/>
          <w:color w:val="auto"/>
          <w:sz w:val="24"/>
          <w:highlight w:val="none"/>
        </w:rPr>
      </w:pPr>
    </w:p>
    <w:p>
      <w:pPr>
        <w:shd w:val="clear"/>
        <w:spacing w:before="120" w:line="60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甲方：</w:t>
      </w:r>
      <w:r>
        <w:rPr>
          <w:rFonts w:hint="eastAsia" w:cs="仿宋" w:asciiTheme="minorEastAsia" w:hAnsiTheme="minorEastAsia" w:eastAsiaTheme="minorEastAsia"/>
          <w:color w:val="auto"/>
          <w:sz w:val="24"/>
          <w:highlight w:val="none"/>
          <w:u w:val="single"/>
        </w:rPr>
        <w:t xml:space="preserve">                                       </w:t>
      </w:r>
    </w:p>
    <w:p>
      <w:pPr>
        <w:shd w:val="clear"/>
        <w:spacing w:before="120" w:line="600" w:lineRule="auto"/>
        <w:ind w:left="960" w:firstLine="720" w:firstLineChars="3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乙方：</w:t>
      </w:r>
      <w:r>
        <w:rPr>
          <w:rFonts w:hint="eastAsia" w:cs="仿宋" w:asciiTheme="minorEastAsia" w:hAnsiTheme="minorEastAsia" w:eastAsiaTheme="minorEastAsia"/>
          <w:color w:val="auto"/>
          <w:sz w:val="24"/>
          <w:highlight w:val="none"/>
          <w:u w:val="single"/>
        </w:rPr>
        <w:t xml:space="preserve">                                       </w:t>
      </w:r>
    </w:p>
    <w:p>
      <w:pPr>
        <w:shd w:val="clear"/>
        <w:spacing w:before="120" w:line="600" w:lineRule="auto"/>
        <w:ind w:firstLine="1680" w:firstLine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签订地：</w:t>
      </w:r>
      <w:r>
        <w:rPr>
          <w:rFonts w:hint="eastAsia" w:cs="仿宋" w:asciiTheme="minorEastAsia" w:hAnsiTheme="minorEastAsia" w:eastAsiaTheme="minorEastAsia"/>
          <w:color w:val="auto"/>
          <w:sz w:val="24"/>
          <w:highlight w:val="none"/>
          <w:u w:val="single"/>
        </w:rPr>
        <w:t xml:space="preserve">                                     </w:t>
      </w:r>
    </w:p>
    <w:p>
      <w:pPr>
        <w:shd w:val="clear"/>
        <w:spacing w:before="120" w:line="600" w:lineRule="auto"/>
        <w:ind w:firstLine="1680" w:firstLineChars="7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签订日期：</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年</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月</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日</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u w:val="single"/>
          <w:lang w:val="zh-CN"/>
        </w:rPr>
        <w:br w:type="page"/>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年</w:t>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月</w:t>
      </w:r>
      <w:r>
        <w:rPr>
          <w:rFonts w:hint="eastAsia" w:cs="仿宋" w:asciiTheme="minorEastAsia" w:hAnsiTheme="minorEastAsia" w:eastAsiaTheme="minorEastAsia"/>
          <w:color w:val="auto"/>
          <w:sz w:val="24"/>
          <w:highlight w:val="none"/>
          <w:u w:val="single"/>
          <w:lang w:val="zh-CN"/>
        </w:rPr>
        <w:t xml:space="preserve">     </w:t>
      </w:r>
      <w:r>
        <w:rPr>
          <w:rFonts w:hint="eastAsia" w:cs="仿宋" w:asciiTheme="minorEastAsia" w:hAnsiTheme="minorEastAsia" w:eastAsiaTheme="minorEastAsia"/>
          <w:color w:val="auto"/>
          <w:sz w:val="24"/>
          <w:highlight w:val="none"/>
          <w:lang w:val="zh-CN"/>
        </w:rPr>
        <w:t>日，</w:t>
      </w:r>
      <w:r>
        <w:rPr>
          <w:rFonts w:hint="eastAsia" w:cs="仿宋" w:asciiTheme="minorEastAsia" w:hAnsiTheme="minorEastAsia" w:eastAsiaTheme="minorEastAsia"/>
          <w:color w:val="auto"/>
          <w:sz w:val="24"/>
          <w:highlight w:val="none"/>
          <w:u w:val="single"/>
          <w:lang w:val="zh-CN"/>
        </w:rPr>
        <w:t xml:space="preserve">   （采购人）   </w:t>
      </w:r>
      <w:r>
        <w:rPr>
          <w:rFonts w:hint="eastAsia" w:cs="仿宋" w:asciiTheme="minorEastAsia" w:hAnsiTheme="minorEastAsia" w:eastAsiaTheme="minorEastAsia"/>
          <w:color w:val="auto"/>
          <w:sz w:val="24"/>
          <w:highlight w:val="none"/>
          <w:lang w:val="zh-CN"/>
        </w:rPr>
        <w:t>以</w:t>
      </w:r>
      <w:r>
        <w:rPr>
          <w:rFonts w:hint="eastAsia" w:cs="仿宋" w:asciiTheme="minorEastAsia" w:hAnsiTheme="minorEastAsia" w:eastAsiaTheme="minorEastAsia"/>
          <w:color w:val="auto"/>
          <w:sz w:val="24"/>
          <w:highlight w:val="none"/>
          <w:u w:val="single"/>
          <w:lang w:val="zh-CN"/>
        </w:rPr>
        <w:t xml:space="preserve">   （政府采购方式）  </w:t>
      </w:r>
      <w:r>
        <w:rPr>
          <w:rFonts w:hint="eastAsia" w:cs="仿宋" w:asciiTheme="minorEastAsia" w:hAnsiTheme="minorEastAsia" w:eastAsiaTheme="minorEastAsia"/>
          <w:color w:val="auto"/>
          <w:sz w:val="24"/>
          <w:highlight w:val="none"/>
          <w:lang w:val="zh-CN"/>
        </w:rPr>
        <w:t>对</w:t>
      </w:r>
      <w:r>
        <w:rPr>
          <w:rFonts w:hint="eastAsia" w:cs="仿宋" w:asciiTheme="minorEastAsia" w:hAnsiTheme="minorEastAsia" w:eastAsiaTheme="minorEastAsia"/>
          <w:color w:val="auto"/>
          <w:sz w:val="24"/>
          <w:highlight w:val="none"/>
          <w:u w:val="single"/>
          <w:lang w:val="zh-CN"/>
        </w:rPr>
        <w:t xml:space="preserve">   （同前页项目名称）   </w:t>
      </w:r>
      <w:r>
        <w:rPr>
          <w:rFonts w:hint="eastAsia" w:cs="仿宋" w:asciiTheme="minorEastAsia" w:hAnsiTheme="minorEastAsia" w:eastAsiaTheme="minorEastAsia"/>
          <w:color w:val="auto"/>
          <w:sz w:val="24"/>
          <w:highlight w:val="none"/>
          <w:lang w:val="zh-CN"/>
        </w:rPr>
        <w:t>项目进行了采购。经</w:t>
      </w:r>
      <w:r>
        <w:rPr>
          <w:rFonts w:hint="eastAsia" w:cs="仿宋" w:asciiTheme="minorEastAsia" w:hAnsiTheme="minorEastAsia" w:eastAsiaTheme="minorEastAsia"/>
          <w:color w:val="auto"/>
          <w:sz w:val="24"/>
          <w:highlight w:val="none"/>
          <w:u w:val="single"/>
          <w:lang w:val="zh-CN"/>
        </w:rPr>
        <w:t xml:space="preserve">   （相关评定主体名称）   </w:t>
      </w:r>
      <w:r>
        <w:rPr>
          <w:rFonts w:hint="eastAsia" w:cs="仿宋" w:asciiTheme="minorEastAsia" w:hAnsiTheme="minorEastAsia" w:eastAsiaTheme="minorEastAsia"/>
          <w:color w:val="auto"/>
          <w:sz w:val="24"/>
          <w:highlight w:val="none"/>
          <w:lang w:val="zh-CN"/>
        </w:rPr>
        <w:t>评定，</w:t>
      </w:r>
      <w:r>
        <w:rPr>
          <w:rFonts w:hint="eastAsia" w:cs="仿宋" w:asciiTheme="minorEastAsia" w:hAnsiTheme="minorEastAsia" w:eastAsiaTheme="minorEastAsia"/>
          <w:color w:val="auto"/>
          <w:sz w:val="24"/>
          <w:highlight w:val="none"/>
          <w:u w:val="single"/>
          <w:lang w:val="zh-CN"/>
        </w:rPr>
        <w:t xml:space="preserve">   （中标供应商名称）</w:t>
      </w:r>
      <w:r>
        <w:rPr>
          <w:rFonts w:hint="eastAsia" w:cs="仿宋" w:asciiTheme="minorEastAsia" w:hAnsiTheme="minorEastAsia" w:eastAsiaTheme="minorEastAsia"/>
          <w:color w:val="auto"/>
          <w:sz w:val="24"/>
          <w:highlight w:val="none"/>
          <w:lang w:val="zh-CN"/>
        </w:rPr>
        <w:t>为该项目中标供应商。现于中标通知书发出之日起三十日内，按照采购文件确定的事项签订本合同。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根据《中华人民共和国民法典》、《中华人民共和国政府采购法》等相关法律法规之规定，按照平等、自愿、公平、诚实信用和绿色的原则，经</w:t>
      </w:r>
      <w:r>
        <w:rPr>
          <w:rFonts w:hint="eastAsia" w:cs="仿宋" w:asciiTheme="minorEastAsia" w:hAnsiTheme="minorEastAsia" w:eastAsiaTheme="minorEastAsia"/>
          <w:color w:val="auto"/>
          <w:sz w:val="24"/>
          <w:highlight w:val="none"/>
          <w:u w:val="single"/>
        </w:rPr>
        <w:t xml:space="preserve">   （采购人）   </w:t>
      </w:r>
      <w:r>
        <w:rPr>
          <w:rFonts w:hint="eastAsia" w:cs="仿宋" w:asciiTheme="minorEastAsia" w:hAnsiTheme="minorEastAsia" w:eastAsiaTheme="minorEastAsia"/>
          <w:color w:val="auto"/>
          <w:sz w:val="24"/>
          <w:highlight w:val="none"/>
          <w:lang w:val="zh-CN"/>
        </w:rPr>
        <w:t>(以下简称：甲方)和</w:t>
      </w:r>
      <w:r>
        <w:rPr>
          <w:rFonts w:hint="eastAsia" w:cs="仿宋" w:asciiTheme="minorEastAsia" w:hAnsiTheme="minorEastAsia" w:eastAsiaTheme="minorEastAsia"/>
          <w:color w:val="auto"/>
          <w:sz w:val="24"/>
          <w:highlight w:val="none"/>
          <w:u w:val="single"/>
        </w:rPr>
        <w:t xml:space="preserve">   （中标供应商名称）   </w:t>
      </w:r>
      <w:r>
        <w:rPr>
          <w:rFonts w:hint="eastAsia" w:cs="仿宋" w:asciiTheme="minorEastAsia" w:hAnsiTheme="minorEastAsia" w:eastAsiaTheme="minorEastAsia"/>
          <w:color w:val="auto"/>
          <w:sz w:val="24"/>
          <w:highlight w:val="none"/>
          <w:lang w:val="zh-CN"/>
        </w:rPr>
        <w:t>(以下简称：乙方)协商一致，约定以下合同</w:t>
      </w:r>
      <w:r>
        <w:rPr>
          <w:rFonts w:hint="eastAsia" w:cs="仿宋" w:asciiTheme="minorEastAsia" w:hAnsiTheme="minorEastAsia" w:eastAsiaTheme="minorEastAsia"/>
          <w:color w:val="auto"/>
          <w:sz w:val="24"/>
          <w:highlight w:val="none"/>
        </w:rPr>
        <w:t>条款，以兹共同遵守、全面履行。</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 定义</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本合同中的下列词语应按以下内容进行解释：</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1.1 “合同”系指采购人和中标供应商签订的载明双方当事人所达成的协议，并包括所有的附件、附录和构成合同的其他文件。</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1.2 “合同价”系指根据合同约定，中标供应商在完全履行合同义务后，采购人应支付给中标供应商的价格。</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1.3 “服务”系指中标供应商根据合同约定应为采购人提供的一切服务。</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1.4 “甲方”系指与中标供应商签署合同的采购人；采购人委托采购代理机构代表其与乙方签订合同的，采购人的授权委托书作为合同附件。</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1.6 “现场”系指合同约定中标供应商为采购人提供服务的地点。</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 合同组成部分</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2.1 本合同及其附件、补充合同、变更协议；</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2.2 中标通知书；</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2.3 投标文件（含澄清或者说明文件）；</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2.4 招标文件（含澄清或者修改文件）；</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2.5 其他相关采购文件。</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3 服务内容（与招标文件一致）</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3.1 服务内容：</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3.2 服务要求与标准：</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3.3 服务成果：</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4 价款</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本合同总价为：￥</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元（大写：</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元人民币）。</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分项价格：（详见投标报价明细表）</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5 付款方式、时间和条件</w:t>
      </w:r>
    </w:p>
    <w:p>
      <w:pPr>
        <w:pStyle w:val="33"/>
        <w:keepNext w:val="0"/>
        <w:keepLines w:val="0"/>
        <w:pageBreakBefore w:val="0"/>
        <w:shd w:val="clear"/>
        <w:kinsoku/>
        <w:wordWrap/>
        <w:overflowPunct/>
        <w:topLinePunct w:val="0"/>
        <w:bidi w:val="0"/>
        <w:snapToGrid/>
        <w:spacing w:before="0" w:beforeAutospacing="0" w:after="0" w:afterAutospacing="0" w:line="500" w:lineRule="exact"/>
        <w:ind w:firstLine="480"/>
        <w:textAlignment w:val="auto"/>
        <w:rPr>
          <w:rFonts w:cs="仿宋" w:asciiTheme="minorEastAsia" w:hAnsiTheme="minorEastAsia" w:eastAsiaTheme="minorEastAsia"/>
          <w:b/>
          <w:bCs/>
          <w:i/>
          <w:iCs/>
          <w:color w:val="auto"/>
          <w:kern w:val="2"/>
          <w:highlight w:val="none"/>
          <w:u w:val="single"/>
        </w:rPr>
      </w:pPr>
      <w:r>
        <w:rPr>
          <w:rFonts w:hint="eastAsia" w:cs="仿宋" w:asciiTheme="minorEastAsia" w:hAnsiTheme="minorEastAsia" w:eastAsiaTheme="minorEastAsia"/>
          <w:color w:val="auto"/>
          <w:kern w:val="2"/>
          <w:highlight w:val="none"/>
        </w:rPr>
        <w:t>5.1 资金支付的方式、时间和条件：</w:t>
      </w:r>
      <w:r>
        <w:rPr>
          <w:rFonts w:hint="eastAsia" w:cs="仿宋" w:asciiTheme="minorEastAsia" w:hAnsiTheme="minorEastAsia" w:eastAsiaTheme="minorEastAsia"/>
          <w:b/>
          <w:bCs/>
          <w:i/>
          <w:iCs/>
          <w:color w:val="auto"/>
          <w:kern w:val="2"/>
          <w:highlight w:val="none"/>
          <w:u w:val="single"/>
        </w:rPr>
        <w:t xml:space="preserve">                       </w:t>
      </w:r>
    </w:p>
    <w:p>
      <w:pPr>
        <w:pStyle w:val="33"/>
        <w:keepNext w:val="0"/>
        <w:keepLines w:val="0"/>
        <w:pageBreakBefore w:val="0"/>
        <w:shd w:val="clear"/>
        <w:kinsoku/>
        <w:wordWrap/>
        <w:overflowPunct/>
        <w:topLinePunct w:val="0"/>
        <w:bidi w:val="0"/>
        <w:snapToGrid/>
        <w:spacing w:before="0" w:beforeAutospacing="0" w:after="0" w:afterAutospacing="0" w:line="500" w:lineRule="exact"/>
        <w:ind w:firstLine="480"/>
        <w:textAlignment w:val="auto"/>
        <w:rPr>
          <w:rFonts w:cs="仿宋" w:asciiTheme="minorEastAsia" w:hAnsiTheme="minorEastAsia" w:eastAsiaTheme="minorEastAsia"/>
          <w:color w:val="auto"/>
          <w:kern w:val="2"/>
          <w:highlight w:val="none"/>
        </w:rPr>
      </w:pPr>
      <w:r>
        <w:rPr>
          <w:rFonts w:hint="eastAsia" w:cs="仿宋" w:asciiTheme="minorEastAsia" w:hAnsiTheme="minorEastAsia" w:eastAsiaTheme="minorEastAsia"/>
          <w:color w:val="auto"/>
          <w:kern w:val="2"/>
          <w:highlight w:val="none"/>
        </w:rPr>
        <w:t>5.2 乙方收款账户：</w:t>
      </w:r>
    </w:p>
    <w:p>
      <w:pPr>
        <w:keepNext w:val="0"/>
        <w:keepLines w:val="0"/>
        <w:pageBreakBefore w:val="0"/>
        <w:shd w:val="clear"/>
        <w:kinsoku/>
        <w:wordWrap/>
        <w:overflowPunct/>
        <w:topLinePunct w:val="0"/>
        <w:autoSpaceDE w:val="0"/>
        <w:autoSpaceDN w:val="0"/>
        <w:bidi w:val="0"/>
        <w:snapToGrid/>
        <w:spacing w:line="500" w:lineRule="exact"/>
        <w:ind w:left="1470" w:leftChars="7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开户银行：</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w:t>
      </w:r>
    </w:p>
    <w:p>
      <w:pPr>
        <w:keepNext w:val="0"/>
        <w:keepLines w:val="0"/>
        <w:pageBreakBefore w:val="0"/>
        <w:shd w:val="clear"/>
        <w:kinsoku/>
        <w:wordWrap/>
        <w:overflowPunct/>
        <w:topLinePunct w:val="0"/>
        <w:autoSpaceDE w:val="0"/>
        <w:autoSpaceDN w:val="0"/>
        <w:bidi w:val="0"/>
        <w:snapToGrid/>
        <w:spacing w:line="500" w:lineRule="exact"/>
        <w:ind w:left="1470" w:leftChars="7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开户名称：</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rPr>
        <w:t xml:space="preserve">                             </w:t>
      </w:r>
    </w:p>
    <w:p>
      <w:pPr>
        <w:keepNext w:val="0"/>
        <w:keepLines w:val="0"/>
        <w:pageBreakBefore w:val="0"/>
        <w:shd w:val="clear"/>
        <w:kinsoku/>
        <w:wordWrap/>
        <w:overflowPunct/>
        <w:topLinePunct w:val="0"/>
        <w:autoSpaceDE w:val="0"/>
        <w:autoSpaceDN w:val="0"/>
        <w:bidi w:val="0"/>
        <w:snapToGrid/>
        <w:spacing w:line="500" w:lineRule="exact"/>
        <w:ind w:left="1470" w:leftChars="7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开户账号：</w:t>
      </w:r>
      <w:r>
        <w:rPr>
          <w:rFonts w:hint="eastAsia" w:cs="仿宋" w:asciiTheme="minorEastAsia" w:hAnsiTheme="minorEastAsia" w:eastAsiaTheme="minorEastAsia"/>
          <w:b/>
          <w:bCs/>
          <w:i/>
          <w:iCs/>
          <w:color w:val="auto"/>
          <w:sz w:val="24"/>
          <w:highlight w:val="none"/>
          <w:u w:val="single"/>
        </w:rPr>
        <w:t xml:space="preserve">                          </w:t>
      </w:r>
      <w:r>
        <w:rPr>
          <w:rFonts w:hint="eastAsia" w:cs="仿宋" w:asciiTheme="minorEastAsia" w:hAnsiTheme="minorEastAsia" w:eastAsiaTheme="minorEastAsia"/>
          <w:color w:val="auto"/>
          <w:sz w:val="24"/>
          <w:highlight w:val="none"/>
          <w:lang w:val="zh-CN"/>
        </w:rPr>
        <w:t xml:space="preserve">                             </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6 服务期限、地点和服务人员要求</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cs="仿宋" w:asciiTheme="minorEastAsia" w:hAnsiTheme="minorEastAsia" w:eastAsiaTheme="minorEastAsia"/>
          <w:color w:val="auto"/>
          <w:sz w:val="24"/>
          <w:highlight w:val="none"/>
          <w:u w:val="single"/>
        </w:rPr>
      </w:pPr>
      <w:r>
        <w:rPr>
          <w:rFonts w:hint="eastAsia" w:cs="仿宋" w:asciiTheme="minorEastAsia" w:hAnsiTheme="minorEastAsia" w:eastAsiaTheme="minorEastAsia"/>
          <w:color w:val="auto"/>
          <w:sz w:val="24"/>
          <w:highlight w:val="none"/>
        </w:rPr>
        <w:t>6.1 服务期限：</w:t>
      </w:r>
      <w:r>
        <w:rPr>
          <w:rFonts w:hint="eastAsia" w:cs="仿宋" w:asciiTheme="minorEastAsia" w:hAnsiTheme="minorEastAsia" w:eastAsiaTheme="minorEastAsia"/>
          <w:b/>
          <w:i/>
          <w:color w:val="auto"/>
          <w:sz w:val="24"/>
          <w:highlight w:val="none"/>
          <w:u w:val="single"/>
        </w:rPr>
        <w:t xml:space="preserve">                   </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6.2 服务地点：</w:t>
      </w:r>
      <w:r>
        <w:rPr>
          <w:rFonts w:hint="eastAsia" w:cs="仿宋" w:asciiTheme="minorEastAsia" w:hAnsiTheme="minorEastAsia" w:eastAsiaTheme="minorEastAsia"/>
          <w:b/>
          <w:i/>
          <w:color w:val="auto"/>
          <w:sz w:val="24"/>
          <w:highlight w:val="none"/>
          <w:u w:val="single"/>
        </w:rPr>
        <w:t xml:space="preserve">                   </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6.3 服务人员：</w:t>
      </w:r>
      <w:r>
        <w:rPr>
          <w:rFonts w:hint="eastAsia" w:cs="仿宋" w:asciiTheme="minorEastAsia" w:hAnsiTheme="minorEastAsia" w:eastAsiaTheme="minorEastAsia"/>
          <w:b/>
          <w:i/>
          <w:color w:val="auto"/>
          <w:sz w:val="24"/>
          <w:highlight w:val="none"/>
          <w:u w:val="single"/>
        </w:rPr>
        <w:t xml:space="preserve">                   </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7 技术规范</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8 知识产权</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8.2具有知识产权的计算机软件等服务的知识产权归属，除合同另有规定外，归甲方所有。</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9 包装和装运</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shd w:val="clear"/>
        <w:kinsoku/>
        <w:wordWrap/>
        <w:overflowPunct/>
        <w:topLinePunct w:val="0"/>
        <w:bidi w:val="0"/>
        <w:adjustRightInd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lang w:val="en-US" w:eastAsia="zh-CN"/>
        </w:rPr>
        <w:t>10</w:t>
      </w:r>
      <w:r>
        <w:rPr>
          <w:rFonts w:hint="eastAsia" w:cs="仿宋" w:asciiTheme="minorEastAsia" w:hAnsiTheme="minorEastAsia" w:eastAsiaTheme="minorEastAsia"/>
          <w:b/>
          <w:color w:val="auto"/>
          <w:sz w:val="24"/>
          <w:highlight w:val="none"/>
        </w:rPr>
        <w:t xml:space="preserve"> 定期考核和问题反馈</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rPr>
        <w:t>.1甲方有权定期对乙方提供的服务履约情况进行检查与考核（考核标准见附件），以确保乙方所提供的服务能够依约满足甲方之项目需求，但不得因履约检查妨碍乙方的正常工作，乙方应予积极配合；</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0</w:t>
      </w:r>
      <w:r>
        <w:rPr>
          <w:rFonts w:hint="eastAsia" w:cs="仿宋" w:asciiTheme="minorEastAsia" w:hAnsiTheme="minorEastAsia" w:eastAsiaTheme="minorEastAsia"/>
          <w:color w:val="auto"/>
          <w:sz w:val="24"/>
          <w:highlight w:val="none"/>
        </w:rPr>
        <w:t>.2 合同履行期间，甲方有权将履行过程中出现的问题反馈给乙方，双方当事人应以书面形式约定需要完善和改进的内容。</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1</w:t>
      </w:r>
      <w:r>
        <w:rPr>
          <w:rFonts w:hint="eastAsia" w:cs="仿宋" w:asciiTheme="minorEastAsia" w:hAnsiTheme="minorEastAsia" w:eastAsiaTheme="minorEastAsia"/>
          <w:b/>
          <w:color w:val="auto"/>
          <w:sz w:val="24"/>
          <w:highlight w:val="none"/>
        </w:rPr>
        <w:t xml:space="preserve"> 项目验收</w:t>
      </w:r>
    </w:p>
    <w:p>
      <w:pPr>
        <w:keepNext w:val="0"/>
        <w:keepLines w:val="0"/>
        <w:pageBreakBefore w:val="0"/>
        <w:shd w:val="clear"/>
        <w:tabs>
          <w:tab w:val="left" w:pos="360"/>
          <w:tab w:val="left" w:pos="540"/>
          <w:tab w:val="left" w:pos="1080"/>
        </w:tabs>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1</w:t>
      </w:r>
      <w:r>
        <w:rPr>
          <w:rFonts w:hint="eastAsia" w:cs="仿宋" w:asciiTheme="minorEastAsia" w:hAnsiTheme="minorEastAsia" w:eastAsiaTheme="minorEastAsia"/>
          <w:color w:val="auto"/>
          <w:sz w:val="24"/>
          <w:highlight w:val="none"/>
        </w:rPr>
        <w:t>.1合同期满或者履行完毕后，甲方应当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2</w:t>
      </w:r>
      <w:r>
        <w:rPr>
          <w:rFonts w:hint="eastAsia" w:cs="仿宋" w:asciiTheme="minorEastAsia" w:hAnsiTheme="minorEastAsia" w:eastAsiaTheme="minorEastAsia"/>
          <w:b/>
          <w:color w:val="auto"/>
          <w:sz w:val="24"/>
          <w:highlight w:val="none"/>
        </w:rPr>
        <w:t xml:space="preserve"> 技术资料和保密义务</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.1 乙方有权依据合同约定和项目需要，向甲方了解有关情况，调阅有关资料等，甲方应予积极配合；</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.2 乙方有义务妥善保管和保护由甲方提供的前款信息和资料等；</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2</w:t>
      </w:r>
      <w:r>
        <w:rPr>
          <w:rFonts w:hint="eastAsia" w:cs="仿宋" w:asciiTheme="minorEastAsia" w:hAnsiTheme="minorEastAsia" w:eastAsiaTheme="minorEastAsia"/>
          <w:color w:val="auto"/>
          <w:sz w:val="24"/>
          <w:highlight w:val="none"/>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3</w:t>
      </w:r>
      <w:r>
        <w:rPr>
          <w:rFonts w:hint="eastAsia" w:cs="仿宋" w:asciiTheme="minorEastAsia" w:hAnsiTheme="minorEastAsia" w:eastAsiaTheme="minorEastAsia"/>
          <w:b/>
          <w:color w:val="auto"/>
          <w:sz w:val="24"/>
          <w:highlight w:val="none"/>
        </w:rPr>
        <w:t xml:space="preserve"> 质量保证</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.1 乙方应建立和完善履行合同的内部质量保证体系，并提供相关内部规章制度给甲方，以便甲方进行监督检查；</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.2 乙方应保证履行合同的人员数量和素质、软件和硬件设备的配置、场地、环境和设施等满足全面履行合同的要求，并应接受甲方的监督检查。</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4</w:t>
      </w:r>
      <w:r>
        <w:rPr>
          <w:rFonts w:hint="eastAsia" w:cs="仿宋" w:asciiTheme="minorEastAsia" w:hAnsiTheme="minorEastAsia" w:eastAsiaTheme="minorEastAsia"/>
          <w:b/>
          <w:color w:val="auto"/>
          <w:sz w:val="24"/>
          <w:highlight w:val="none"/>
        </w:rPr>
        <w:t xml:space="preserve"> 履约的风险负担</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color w:val="auto"/>
          <w:sz w:val="24"/>
          <w:highlight w:val="none"/>
        </w:rPr>
        <w:t>在履行合同时，乙方服务人员及设备的相关风险均由乙方自行承担。</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5</w:t>
      </w:r>
      <w:r>
        <w:rPr>
          <w:rFonts w:hint="eastAsia" w:cs="仿宋" w:asciiTheme="minorEastAsia" w:hAnsiTheme="minorEastAsia" w:eastAsiaTheme="minorEastAsia"/>
          <w:b/>
          <w:color w:val="auto"/>
          <w:sz w:val="24"/>
          <w:highlight w:val="none"/>
        </w:rPr>
        <w:t xml:space="preserve"> 延迟交货</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6</w:t>
      </w:r>
      <w:r>
        <w:rPr>
          <w:rFonts w:hint="eastAsia" w:cs="仿宋" w:asciiTheme="minorEastAsia" w:hAnsiTheme="minorEastAsia" w:eastAsiaTheme="minorEastAsia"/>
          <w:b/>
          <w:color w:val="auto"/>
          <w:sz w:val="24"/>
          <w:highlight w:val="none"/>
        </w:rPr>
        <w:t xml:space="preserve"> 合同变更</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7</w:t>
      </w:r>
      <w:r>
        <w:rPr>
          <w:rFonts w:hint="eastAsia" w:cs="仿宋" w:asciiTheme="minorEastAsia" w:hAnsiTheme="minorEastAsia" w:eastAsiaTheme="minorEastAsia"/>
          <w:b/>
          <w:color w:val="auto"/>
          <w:sz w:val="24"/>
          <w:highlight w:val="none"/>
        </w:rPr>
        <w:t xml:space="preserve"> 合同转让和分包</w:t>
      </w:r>
    </w:p>
    <w:p>
      <w:pPr>
        <w:keepNext w:val="0"/>
        <w:keepLines w:val="0"/>
        <w:pageBreakBefore w:val="0"/>
        <w:shd w:val="clear"/>
        <w:kinsoku/>
        <w:wordWrap/>
        <w:overflowPunct/>
        <w:topLinePunct w:val="0"/>
        <w:bidi w:val="0"/>
        <w:snapToGrid/>
        <w:spacing w:line="500" w:lineRule="exact"/>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rPr>
        <w:t>.1合同的权利义务依法不得转让，禁止分包</w:t>
      </w:r>
      <w:r>
        <w:rPr>
          <w:rFonts w:hint="eastAsia" w:cs="仿宋" w:asciiTheme="minorEastAsia" w:hAnsiTheme="minorEastAsia" w:eastAsiaTheme="minorEastAsia"/>
          <w:color w:val="auto"/>
          <w:sz w:val="24"/>
          <w:highlight w:val="none"/>
          <w:lang w:eastAsia="zh-CN"/>
        </w:rPr>
        <w:t>。</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1</w:t>
      </w:r>
      <w:r>
        <w:rPr>
          <w:rFonts w:hint="eastAsia" w:cs="仿宋" w:asciiTheme="minorEastAsia" w:hAnsiTheme="minorEastAsia" w:eastAsiaTheme="minorEastAsia"/>
          <w:b/>
          <w:color w:val="auto"/>
          <w:sz w:val="24"/>
          <w:highlight w:val="none"/>
          <w:lang w:val="en-US" w:eastAsia="zh-CN"/>
        </w:rPr>
        <w:t>8</w:t>
      </w:r>
      <w:r>
        <w:rPr>
          <w:rFonts w:hint="eastAsia" w:cs="仿宋" w:asciiTheme="minorEastAsia" w:hAnsiTheme="minorEastAsia" w:eastAsiaTheme="minorEastAsia"/>
          <w:b/>
          <w:color w:val="auto"/>
          <w:sz w:val="24"/>
          <w:highlight w:val="none"/>
        </w:rPr>
        <w:t xml:space="preserve"> 违约责任</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.1 除不可抗力外，如果乙方拒绝履行合同，或没有按照本合同约定的期限、标准和成果展现方式完成服务，那么甲方可要求乙方支付违约金，违约金按每日计合同总价的</w:t>
      </w:r>
      <w:r>
        <w:rPr>
          <w:rFonts w:hint="eastAsia" w:cs="仿宋" w:asciiTheme="minorEastAsia" w:hAnsiTheme="minorEastAsia" w:eastAsiaTheme="minorEastAsia"/>
          <w:color w:val="auto"/>
          <w:sz w:val="24"/>
          <w:highlight w:val="none"/>
          <w:u w:val="single"/>
        </w:rPr>
        <w:t xml:space="preserve">  0.05  </w:t>
      </w:r>
      <w:r>
        <w:rPr>
          <w:rFonts w:hint="eastAsia" w:cs="仿宋" w:asciiTheme="minorEastAsia" w:hAnsiTheme="minorEastAsia" w:eastAsiaTheme="minorEastAsia"/>
          <w:color w:val="auto"/>
          <w:sz w:val="24"/>
          <w:highlight w:val="none"/>
        </w:rPr>
        <w:t>%，最高限额为本合同总价的</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%；迟延完成服务的违约金计算数额达到前述最高限额之日起，甲方有权在要求乙方支付违约金的同时，书面通知乙方解除本合同；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.2 除不可抗力外，如果甲方没有按照本合同约定的付款方式付款，那么乙方可要求甲方支付违约金，违约金按每迟延付款一日的应付而未付款的</w:t>
      </w:r>
      <w:r>
        <w:rPr>
          <w:rFonts w:hint="eastAsia" w:cs="仿宋" w:asciiTheme="minorEastAsia" w:hAnsiTheme="minorEastAsia" w:eastAsiaTheme="minorEastAsia"/>
          <w:color w:val="auto"/>
          <w:sz w:val="24"/>
          <w:highlight w:val="none"/>
          <w:u w:val="single"/>
        </w:rPr>
        <w:t xml:space="preserve">  0.05  </w:t>
      </w:r>
      <w:r>
        <w:rPr>
          <w:rFonts w:hint="eastAsia" w:cs="仿宋" w:asciiTheme="minorEastAsia" w:hAnsiTheme="minorEastAsia" w:eastAsiaTheme="minorEastAsia"/>
          <w:color w:val="auto"/>
          <w:sz w:val="24"/>
          <w:highlight w:val="none"/>
        </w:rPr>
        <w:t>%计算，最高限额为本合同总价的</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rPr>
        <w:t>.6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lang w:val="en-US" w:eastAsia="zh-CN"/>
        </w:rPr>
        <w:t>19</w:t>
      </w:r>
      <w:r>
        <w:rPr>
          <w:rFonts w:hint="eastAsia" w:cs="仿宋" w:asciiTheme="minorEastAsia" w:hAnsiTheme="minorEastAsia" w:eastAsiaTheme="minorEastAsia"/>
          <w:b/>
          <w:color w:val="auto"/>
          <w:sz w:val="24"/>
          <w:highlight w:val="none"/>
        </w:rPr>
        <w:t xml:space="preserve"> 不可抗力</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19</w:t>
      </w:r>
      <w:r>
        <w:rPr>
          <w:rFonts w:hint="eastAsia" w:cs="仿宋"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19</w:t>
      </w:r>
      <w:r>
        <w:rPr>
          <w:rFonts w:hint="eastAsia" w:cs="仿宋" w:asciiTheme="minorEastAsia" w:hAnsiTheme="minorEastAsia" w:eastAsiaTheme="minorEastAsia"/>
          <w:color w:val="auto"/>
          <w:sz w:val="24"/>
          <w:highlight w:val="none"/>
        </w:rPr>
        <w:t>.2 因不可抗力致使不能实现合同目的的，当事人可以解除合同；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19</w:t>
      </w:r>
      <w:r>
        <w:rPr>
          <w:rFonts w:hint="eastAsia" w:cs="仿宋" w:asciiTheme="minorEastAsia" w:hAnsiTheme="minorEastAsia" w:eastAsiaTheme="minorEastAsia"/>
          <w:color w:val="auto"/>
          <w:sz w:val="24"/>
          <w:highlight w:val="none"/>
        </w:rPr>
        <w:t>.3 因不可抗力致使合同有变更必要的，双方当事人应在不可抗力发生后</w:t>
      </w:r>
      <w:r>
        <w:rPr>
          <w:rFonts w:hint="eastAsia" w:cs="仿宋" w:asciiTheme="minorEastAsia" w:hAnsiTheme="minorEastAsia" w:eastAsiaTheme="minorEastAsia"/>
          <w:color w:val="auto"/>
          <w:sz w:val="24"/>
          <w:highlight w:val="none"/>
          <w:u w:val="single"/>
        </w:rPr>
        <w:t xml:space="preserve"> 10 </w:t>
      </w:r>
      <w:r>
        <w:rPr>
          <w:rFonts w:hint="eastAsia" w:cs="仿宋" w:asciiTheme="minorEastAsia" w:hAnsiTheme="minorEastAsia" w:eastAsiaTheme="minorEastAsia"/>
          <w:color w:val="auto"/>
          <w:sz w:val="24"/>
          <w:highlight w:val="none"/>
        </w:rPr>
        <w:t>日内以书面形式变更合同；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19</w:t>
      </w:r>
      <w:r>
        <w:rPr>
          <w:rFonts w:hint="eastAsia" w:cs="仿宋" w:asciiTheme="minorEastAsia" w:hAnsiTheme="minorEastAsia" w:eastAsiaTheme="minorEastAsia"/>
          <w:color w:val="auto"/>
          <w:sz w:val="24"/>
          <w:highlight w:val="none"/>
        </w:rPr>
        <w:t>.4受不可抗力影响的一方在不可抗力发生后，应在</w:t>
      </w:r>
      <w:r>
        <w:rPr>
          <w:rFonts w:hint="eastAsia" w:cs="仿宋" w:asciiTheme="minorEastAsia" w:hAnsiTheme="minorEastAsia" w:eastAsiaTheme="minorEastAsia"/>
          <w:color w:val="auto"/>
          <w:sz w:val="24"/>
          <w:highlight w:val="none"/>
          <w:u w:val="single"/>
        </w:rPr>
        <w:t xml:space="preserve">  5  </w:t>
      </w:r>
      <w:r>
        <w:rPr>
          <w:rFonts w:hint="eastAsia" w:cs="仿宋" w:asciiTheme="minorEastAsia" w:hAnsiTheme="minorEastAsia" w:eastAsiaTheme="minorEastAsia"/>
          <w:color w:val="auto"/>
          <w:sz w:val="24"/>
          <w:highlight w:val="none"/>
        </w:rPr>
        <w:t>日内以书面形式通知对方当事人，并在</w:t>
      </w:r>
      <w:r>
        <w:rPr>
          <w:rFonts w:hint="eastAsia" w:cs="仿宋" w:asciiTheme="minorEastAsia" w:hAnsiTheme="minorEastAsia" w:eastAsiaTheme="minorEastAsia"/>
          <w:color w:val="auto"/>
          <w:sz w:val="24"/>
          <w:highlight w:val="none"/>
          <w:u w:val="single"/>
        </w:rPr>
        <w:t xml:space="preserve">  15  </w:t>
      </w:r>
      <w:r>
        <w:rPr>
          <w:rFonts w:hint="eastAsia" w:cs="仿宋" w:asciiTheme="minorEastAsia" w:hAnsiTheme="minorEastAsia" w:eastAsiaTheme="minorEastAsia"/>
          <w:color w:val="auto"/>
          <w:sz w:val="24"/>
          <w:highlight w:val="none"/>
        </w:rPr>
        <w:t>日内，将有关部门出具的证明文件送达对方当事人。</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0</w:t>
      </w:r>
      <w:r>
        <w:rPr>
          <w:rFonts w:hint="eastAsia" w:cs="仿宋" w:asciiTheme="minorEastAsia" w:hAnsiTheme="minorEastAsia" w:eastAsiaTheme="minorEastAsia"/>
          <w:b/>
          <w:color w:val="auto"/>
          <w:sz w:val="24"/>
          <w:highlight w:val="none"/>
        </w:rPr>
        <w:t xml:space="preserve"> 税费</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与合同有关的一切税费，均按照中华人民共和国法律的相关规定。</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1</w:t>
      </w:r>
      <w:r>
        <w:rPr>
          <w:rFonts w:hint="eastAsia" w:cs="仿宋" w:asciiTheme="minorEastAsia" w:hAnsiTheme="minorEastAsia" w:eastAsiaTheme="minorEastAsia"/>
          <w:b/>
          <w:color w:val="auto"/>
          <w:sz w:val="24"/>
          <w:highlight w:val="none"/>
        </w:rPr>
        <w:t xml:space="preserve"> 乙方破产</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2</w:t>
      </w:r>
      <w:r>
        <w:rPr>
          <w:rFonts w:hint="eastAsia" w:cs="仿宋" w:asciiTheme="minorEastAsia" w:hAnsiTheme="minorEastAsia" w:eastAsiaTheme="minorEastAsia"/>
          <w:b/>
          <w:color w:val="auto"/>
          <w:sz w:val="24"/>
          <w:highlight w:val="none"/>
        </w:rPr>
        <w:t xml:space="preserve"> 合同争议的解决</w:t>
      </w:r>
    </w:p>
    <w:p>
      <w:pPr>
        <w:keepNext w:val="0"/>
        <w:keepLines w:val="0"/>
        <w:pageBreakBefore w:val="0"/>
        <w:shd w:val="clear"/>
        <w:kinsoku/>
        <w:wordWrap/>
        <w:overflowPunct/>
        <w:topLinePunct w:val="0"/>
        <w:bidi w:val="0"/>
        <w:adjustRightInd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本合同履行过程中发生的任何争议，双方当事人均可通过和解或者调解解决；不愿和解、调解或者和解、调解不成的，可以向宁波市奉化区人民法院提起诉讼。</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3</w:t>
      </w:r>
      <w:r>
        <w:rPr>
          <w:rFonts w:hint="eastAsia" w:cs="仿宋" w:asciiTheme="minorEastAsia" w:hAnsiTheme="minorEastAsia" w:eastAsiaTheme="minorEastAsia"/>
          <w:b/>
          <w:color w:val="auto"/>
          <w:sz w:val="24"/>
          <w:highlight w:val="none"/>
        </w:rPr>
        <w:t xml:space="preserve"> 合同中止、终止</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val="en-US" w:eastAsia="zh-CN"/>
        </w:rPr>
        <w:t>3</w:t>
      </w:r>
      <w:r>
        <w:rPr>
          <w:rFonts w:hint="eastAsia" w:cs="仿宋" w:asciiTheme="minorEastAsia" w:hAnsiTheme="minorEastAsia" w:eastAsiaTheme="minorEastAsia"/>
          <w:color w:val="auto"/>
          <w:sz w:val="24"/>
          <w:highlight w:val="none"/>
        </w:rPr>
        <w:t>.1 双方当事人不得擅自中止或者终止合同；</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23</w:t>
      </w:r>
      <w:r>
        <w:rPr>
          <w:rFonts w:hint="eastAsia" w:cs="仿宋" w:asciiTheme="minorEastAsia" w:hAnsiTheme="minorEastAsia" w:eastAsiaTheme="minorEastAsia"/>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lang w:val="en-US" w:eastAsia="zh-CN"/>
        </w:rPr>
        <w:t>24</w:t>
      </w:r>
      <w:r>
        <w:rPr>
          <w:rFonts w:hint="eastAsia" w:cs="仿宋" w:asciiTheme="minorEastAsia" w:hAnsiTheme="minorEastAsia" w:eastAsiaTheme="minorEastAsia"/>
          <w:b/>
          <w:color w:val="auto"/>
          <w:sz w:val="24"/>
          <w:highlight w:val="none"/>
        </w:rPr>
        <w:t xml:space="preserve"> 通知和送达</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 xml:space="preserve">.1任何一方因履行合同而以合同第一部分尾部所列明的传真或电子邮件 </w:t>
      </w:r>
      <w:r>
        <w:rPr>
          <w:rFonts w:hint="eastAsia" w:cs="仿宋" w:asciiTheme="minorEastAsia" w:hAnsiTheme="minorEastAsia" w:eastAsiaTheme="minorEastAsia"/>
          <w:color w:val="auto"/>
          <w:sz w:val="24"/>
          <w:highlight w:val="none"/>
          <w:u w:val="single"/>
        </w:rPr>
        <w:t xml:space="preserve">       </w:t>
      </w:r>
      <w:r>
        <w:rPr>
          <w:rFonts w:hint="eastAsia" w:cs="仿宋"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hint="eastAsia" w:cs="仿宋" w:asciiTheme="minorEastAsia" w:hAnsiTheme="minorEastAsia" w:eastAsiaTheme="minorEastAsia"/>
          <w:color w:val="auto"/>
          <w:sz w:val="24"/>
          <w:highlight w:val="none"/>
          <w:u w:val="single"/>
        </w:rPr>
        <w:t>3</w:t>
      </w:r>
      <w:r>
        <w:rPr>
          <w:rFonts w:hint="eastAsia" w:cs="仿宋"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val="en-US" w:eastAsia="zh-CN"/>
        </w:rPr>
        <w:t>4</w:t>
      </w:r>
      <w:r>
        <w:rPr>
          <w:rFonts w:hint="eastAsia" w:cs="仿宋" w:asciiTheme="minorEastAsia" w:hAnsiTheme="minorEastAsia" w:eastAsiaTheme="minorEastAsia"/>
          <w:color w:val="auto"/>
          <w:sz w:val="24"/>
          <w:highlight w:val="none"/>
        </w:rPr>
        <w:t>.2以当面交付方式送达的，交付之时视为送达；以电子邮件方式送达的，发出电子邮件之时视为送达；以传真方式送达的，发出传真之时视为送达；以邮寄方式送达的，邮件挂号寄出或者交邮之日之次日视为送达。</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5</w:t>
      </w:r>
      <w:r>
        <w:rPr>
          <w:rFonts w:hint="eastAsia" w:cs="仿宋" w:asciiTheme="minorEastAsia" w:hAnsiTheme="minorEastAsia" w:eastAsiaTheme="minorEastAsia"/>
          <w:b/>
          <w:color w:val="auto"/>
          <w:sz w:val="24"/>
          <w:highlight w:val="none"/>
        </w:rPr>
        <w:t xml:space="preserve"> 计量单位</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除技术规范中另有规定外,合同的计量单位均使用国家法定计量单位。</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6</w:t>
      </w:r>
      <w:r>
        <w:rPr>
          <w:rFonts w:hint="eastAsia" w:cs="仿宋" w:asciiTheme="minorEastAsia" w:hAnsiTheme="minorEastAsia" w:eastAsiaTheme="minorEastAsia"/>
          <w:b/>
          <w:color w:val="auto"/>
          <w:sz w:val="24"/>
          <w:highlight w:val="none"/>
        </w:rPr>
        <w:t>合同使用的文字和适用的法律</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.1 合同使用汉语书就、变更和解释；</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.2 合同适用中华人民共和国法律。</w:t>
      </w:r>
    </w:p>
    <w:p>
      <w:pPr>
        <w:keepNext w:val="0"/>
        <w:keepLines w:val="0"/>
        <w:pageBreakBefore w:val="0"/>
        <w:shd w:val="clear"/>
        <w:kinsoku/>
        <w:wordWrap/>
        <w:overflowPunct/>
        <w:topLinePunct w:val="0"/>
        <w:bidi w:val="0"/>
        <w:snapToGrid/>
        <w:spacing w:line="500" w:lineRule="exact"/>
        <w:ind w:firstLine="482" w:firstLineChars="200"/>
        <w:textAlignment w:val="auto"/>
        <w:outlineLvl w:val="0"/>
        <w:rPr>
          <w:rFonts w:cs="仿宋" w:asciiTheme="minorEastAsia" w:hAnsiTheme="minorEastAsia" w:eastAsiaTheme="minorEastAsia"/>
          <w:b/>
          <w:color w:val="auto"/>
          <w:sz w:val="24"/>
          <w:highlight w:val="none"/>
        </w:rPr>
      </w:pPr>
      <w:r>
        <w:rPr>
          <w:rFonts w:hint="eastAsia" w:cs="仿宋" w:asciiTheme="minorEastAsia" w:hAnsiTheme="minorEastAsia" w:eastAsiaTheme="minorEastAsia"/>
          <w:b/>
          <w:color w:val="auto"/>
          <w:sz w:val="24"/>
          <w:highlight w:val="none"/>
        </w:rPr>
        <w:t>2</w:t>
      </w:r>
      <w:r>
        <w:rPr>
          <w:rFonts w:hint="eastAsia" w:cs="仿宋" w:asciiTheme="minorEastAsia" w:hAnsiTheme="minorEastAsia" w:eastAsiaTheme="minorEastAsia"/>
          <w:b/>
          <w:color w:val="auto"/>
          <w:sz w:val="24"/>
          <w:highlight w:val="none"/>
          <w:lang w:val="en-US" w:eastAsia="zh-CN"/>
        </w:rPr>
        <w:t>7</w:t>
      </w:r>
      <w:r>
        <w:rPr>
          <w:rFonts w:hint="eastAsia" w:cs="仿宋" w:asciiTheme="minorEastAsia" w:hAnsiTheme="minorEastAsia" w:eastAsiaTheme="minorEastAsia"/>
          <w:b/>
          <w:color w:val="auto"/>
          <w:sz w:val="24"/>
          <w:highlight w:val="none"/>
        </w:rPr>
        <w:t>合同效力</w:t>
      </w:r>
    </w:p>
    <w:p>
      <w:pPr>
        <w:keepNext w:val="0"/>
        <w:keepLines w:val="0"/>
        <w:pageBreakBefore w:val="0"/>
        <w:shd w:val="clear"/>
        <w:kinsoku/>
        <w:wordWrap/>
        <w:overflowPunct/>
        <w:topLinePunct w:val="0"/>
        <w:bidi w:val="0"/>
        <w:snapToGrid/>
        <w:spacing w:line="500" w:lineRule="exact"/>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本合同一式四份，甲乙双方各两份，每份均具有同等法律效力。本合同自双方当事人盖章或者签字时生效。</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b/>
          <w:color w:val="auto"/>
          <w:sz w:val="24"/>
          <w:highlight w:val="none"/>
          <w:lang w:val="zh-CN"/>
        </w:rPr>
      </w:pP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b/>
          <w:color w:val="auto"/>
          <w:sz w:val="24"/>
          <w:highlight w:val="none"/>
          <w:lang w:val="zh-CN"/>
        </w:rPr>
        <w:t>甲方名称（公章）</w:t>
      </w:r>
      <w:r>
        <w:rPr>
          <w:rFonts w:hint="eastAsia" w:cs="仿宋" w:asciiTheme="minorEastAsia" w:hAnsiTheme="minorEastAsia" w:eastAsiaTheme="minorEastAsia"/>
          <w:color w:val="auto"/>
          <w:sz w:val="24"/>
          <w:highlight w:val="none"/>
          <w:lang w:val="zh-CN"/>
        </w:rPr>
        <w:t xml:space="preserve">：                       </w:t>
      </w:r>
      <w:r>
        <w:rPr>
          <w:rFonts w:hint="eastAsia" w:cs="仿宋" w:asciiTheme="minorEastAsia" w:hAnsiTheme="minorEastAsia" w:eastAsiaTheme="minorEastAsia"/>
          <w:b/>
          <w:color w:val="auto"/>
          <w:sz w:val="24"/>
          <w:highlight w:val="none"/>
          <w:lang w:val="zh-CN"/>
        </w:rPr>
        <w:t>乙方名称（公章）</w:t>
      </w:r>
      <w:r>
        <w:rPr>
          <w:rFonts w:hint="eastAsia" w:cs="仿宋" w:asciiTheme="minorEastAsia" w:hAnsiTheme="minorEastAsia" w:eastAsiaTheme="minorEastAsia"/>
          <w:color w:val="auto"/>
          <w:sz w:val="24"/>
          <w:highlight w:val="none"/>
          <w:lang w:val="zh-CN"/>
        </w:rPr>
        <w:t>：</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统一社会信用代码：                       统一社会信用代码或身份证号码：</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住所：                                   住所：</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法定代表人或授权代表（签字）：       </w:t>
      </w:r>
      <w:r>
        <w:rPr>
          <w:rFonts w:hint="eastAsia" w:cs="仿宋" w:asciiTheme="minorEastAsia" w:hAnsiTheme="minorEastAsia" w:eastAsiaTheme="minorEastAsia"/>
          <w:color w:val="auto"/>
          <w:sz w:val="24"/>
          <w:highlight w:val="none"/>
        </w:rPr>
        <w:t xml:space="preserve">   </w:t>
      </w:r>
      <w:r>
        <w:rPr>
          <w:rFonts w:hint="eastAsia" w:cs="仿宋" w:asciiTheme="minorEastAsia" w:hAnsiTheme="minorEastAsia" w:eastAsiaTheme="minorEastAsia"/>
          <w:color w:val="auto"/>
          <w:sz w:val="24"/>
          <w:highlight w:val="none"/>
          <w:lang w:val="zh-CN"/>
        </w:rPr>
        <w:t xml:space="preserve"> 法定代表人或授权代表（签字）: </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联系人：                                 联系人：</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约定送达地址：                           约定送达地址：</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邮政编码：                               邮政编码：</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lang w:val="zh-CN"/>
        </w:rPr>
      </w:pPr>
      <w:r>
        <w:rPr>
          <w:rFonts w:hint="eastAsia" w:cs="仿宋" w:asciiTheme="minorEastAsia" w:hAnsiTheme="minorEastAsia" w:eastAsiaTheme="minorEastAsia"/>
          <w:color w:val="auto"/>
          <w:sz w:val="24"/>
          <w:highlight w:val="none"/>
          <w:lang w:val="zh-CN"/>
        </w:rPr>
        <w:t xml:space="preserve">电话:                                    电话: </w:t>
      </w:r>
    </w:p>
    <w:p>
      <w:pPr>
        <w:keepNext w:val="0"/>
        <w:keepLines w:val="0"/>
        <w:pageBreakBefore w:val="0"/>
        <w:shd w:val="clear"/>
        <w:kinsoku/>
        <w:wordWrap/>
        <w:overflowPunct/>
        <w:topLinePunct w:val="0"/>
        <w:autoSpaceDE w:val="0"/>
        <w:autoSpaceDN w:val="0"/>
        <w:bidi w:val="0"/>
        <w:snapToGrid/>
        <w:spacing w:line="500" w:lineRule="exact"/>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zh-CN"/>
        </w:rPr>
        <w:t>传真:                                    传真:</w:t>
      </w:r>
    </w:p>
    <w:p>
      <w:pPr>
        <w:pStyle w:val="2"/>
        <w:keepNext w:val="0"/>
        <w:keepLines w:val="0"/>
        <w:pageBreakBefore w:val="0"/>
        <w:shd w:val="clear"/>
        <w:kinsoku/>
        <w:wordWrap/>
        <w:overflowPunct/>
        <w:topLinePunct w:val="0"/>
        <w:bidi w:val="0"/>
        <w:snapToGrid/>
        <w:spacing w:line="500" w:lineRule="exact"/>
        <w:ind w:firstLine="0" w:firstLineChars="0"/>
        <w:textAlignment w:val="auto"/>
        <w:rPr>
          <w:rFonts w:cs="仿宋" w:asciiTheme="minorEastAsia" w:hAnsiTheme="minorEastAsia" w:eastAsiaTheme="minorEastAsia"/>
          <w:color w:val="auto"/>
          <w:sz w:val="24"/>
          <w:highlight w:val="none"/>
        </w:rPr>
      </w:pPr>
    </w:p>
    <w:p>
      <w:pPr>
        <w:pStyle w:val="2"/>
        <w:keepNext w:val="0"/>
        <w:keepLines w:val="0"/>
        <w:pageBreakBefore w:val="0"/>
        <w:shd w:val="clear"/>
        <w:kinsoku/>
        <w:wordWrap/>
        <w:overflowPunct/>
        <w:topLinePunct w:val="0"/>
        <w:bidi w:val="0"/>
        <w:snapToGrid/>
        <w:spacing w:line="500" w:lineRule="exact"/>
        <w:ind w:firstLine="0" w:firstLineChars="0"/>
        <w:textAlignment w:val="auto"/>
        <w:rPr>
          <w:rFonts w:hint="eastAsia" w:ascii="宋体" w:hAnsi="宋体" w:eastAsia="宋体" w:cs="仿宋"/>
          <w:b/>
          <w:bCs/>
          <w:color w:val="auto"/>
          <w:sz w:val="24"/>
          <w:highlight w:val="none"/>
        </w:rPr>
      </w:pPr>
    </w:p>
    <w:p>
      <w:pPr>
        <w:pStyle w:val="2"/>
        <w:keepNext w:val="0"/>
        <w:keepLines w:val="0"/>
        <w:pageBreakBefore w:val="0"/>
        <w:shd w:val="clear"/>
        <w:kinsoku/>
        <w:wordWrap/>
        <w:overflowPunct/>
        <w:topLinePunct w:val="0"/>
        <w:bidi w:val="0"/>
        <w:snapToGrid/>
        <w:spacing w:line="500" w:lineRule="exact"/>
        <w:ind w:firstLine="0" w:firstLineChars="0"/>
        <w:textAlignment w:val="auto"/>
        <w:rPr>
          <w:rFonts w:hint="eastAsia" w:ascii="宋体" w:hAnsi="宋体" w:eastAsia="宋体" w:cs="仿宋"/>
          <w:b/>
          <w:bCs/>
          <w:color w:val="auto"/>
          <w:sz w:val="24"/>
          <w:highlight w:val="none"/>
          <w:lang w:val="zh-CN" w:eastAsia="zh-CN"/>
        </w:rPr>
      </w:pPr>
      <w:r>
        <w:rPr>
          <w:rFonts w:hint="eastAsia" w:ascii="宋体" w:hAnsi="宋体" w:eastAsia="宋体" w:cs="仿宋"/>
          <w:b/>
          <w:bCs/>
          <w:color w:val="auto"/>
          <w:sz w:val="24"/>
          <w:highlight w:val="none"/>
        </w:rPr>
        <w:t>见证人（公章）：</w:t>
      </w:r>
      <w:bookmarkStart w:id="395" w:name="_Toc331685783"/>
      <w:r>
        <w:rPr>
          <w:rFonts w:hint="eastAsia" w:ascii="宋体" w:hAnsi="宋体" w:eastAsia="宋体" w:cs="仿宋"/>
          <w:b/>
          <w:bCs/>
          <w:color w:val="auto"/>
          <w:sz w:val="24"/>
          <w:highlight w:val="none"/>
          <w:lang w:val="en-US" w:eastAsia="zh-CN"/>
        </w:rPr>
        <w:t xml:space="preserve"> </w:t>
      </w:r>
    </w:p>
    <w:p>
      <w:pPr>
        <w:keepNext w:val="0"/>
        <w:keepLines w:val="0"/>
        <w:pageBreakBefore w:val="0"/>
        <w:shd w:val="clear"/>
        <w:kinsoku/>
        <w:wordWrap/>
        <w:overflowPunct/>
        <w:topLinePunct w:val="0"/>
        <w:autoSpaceDE w:val="0"/>
        <w:autoSpaceDN w:val="0"/>
        <w:bidi w:val="0"/>
        <w:snapToGrid/>
        <w:spacing w:line="5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住所：</w:t>
      </w:r>
      <w:r>
        <w:rPr>
          <w:rFonts w:hint="eastAsia"/>
          <w:color w:val="auto"/>
          <w:sz w:val="24"/>
          <w:highlight w:val="none"/>
          <w:lang w:val="en-US" w:eastAsia="zh-CN"/>
        </w:rPr>
        <w:t xml:space="preserve"> </w:t>
      </w:r>
      <w:r>
        <w:rPr>
          <w:rFonts w:hint="eastAsia" w:ascii="宋体" w:hAnsi="宋体" w:cs="仿宋"/>
          <w:color w:val="auto"/>
          <w:sz w:val="24"/>
          <w:highlight w:val="none"/>
          <w:lang w:val="zh-CN"/>
        </w:rPr>
        <w:t xml:space="preserve">                             </w:t>
      </w:r>
    </w:p>
    <w:p>
      <w:pPr>
        <w:keepNext w:val="0"/>
        <w:keepLines w:val="0"/>
        <w:pageBreakBefore w:val="0"/>
        <w:shd w:val="clear"/>
        <w:kinsoku/>
        <w:wordWrap/>
        <w:overflowPunct/>
        <w:topLinePunct w:val="0"/>
        <w:autoSpaceDE w:val="0"/>
        <w:autoSpaceDN w:val="0"/>
        <w:bidi w:val="0"/>
        <w:snapToGrid/>
        <w:spacing w:line="5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 xml:space="preserve">法定代表人或授权代表（签字）：       </w:t>
      </w:r>
      <w:r>
        <w:rPr>
          <w:rFonts w:hint="eastAsia" w:ascii="宋体" w:hAnsi="宋体" w:cs="仿宋"/>
          <w:color w:val="auto"/>
          <w:sz w:val="24"/>
          <w:highlight w:val="none"/>
        </w:rPr>
        <w:t xml:space="preserve"> </w:t>
      </w:r>
    </w:p>
    <w:p>
      <w:pPr>
        <w:keepNext w:val="0"/>
        <w:keepLines w:val="0"/>
        <w:pageBreakBefore w:val="0"/>
        <w:shd w:val="clear"/>
        <w:kinsoku/>
        <w:wordWrap/>
        <w:overflowPunct/>
        <w:topLinePunct w:val="0"/>
        <w:autoSpaceDE w:val="0"/>
        <w:autoSpaceDN w:val="0"/>
        <w:bidi w:val="0"/>
        <w:snapToGrid/>
        <w:spacing w:line="5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 xml:space="preserve">联系人：                                                                  </w:t>
      </w:r>
    </w:p>
    <w:p>
      <w:pPr>
        <w:keepNext w:val="0"/>
        <w:keepLines w:val="0"/>
        <w:pageBreakBefore w:val="0"/>
        <w:shd w:val="clear"/>
        <w:kinsoku/>
        <w:wordWrap/>
        <w:overflowPunct/>
        <w:topLinePunct w:val="0"/>
        <w:autoSpaceDE w:val="0"/>
        <w:autoSpaceDN w:val="0"/>
        <w:bidi w:val="0"/>
        <w:snapToGrid/>
        <w:spacing w:line="500" w:lineRule="exact"/>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 xml:space="preserve">电话:                                 </w:t>
      </w:r>
    </w:p>
    <w:bookmarkEnd w:id="395"/>
    <w:p>
      <w:pPr>
        <w:pStyle w:val="2"/>
        <w:shd w:val="clear"/>
        <w:spacing w:line="360" w:lineRule="auto"/>
        <w:ind w:firstLine="482"/>
        <w:rPr>
          <w:rFonts w:hint="eastAsia" w:cs="仿宋" w:asciiTheme="majorEastAsia" w:hAnsiTheme="majorEastAsia" w:eastAsiaTheme="majorEastAsia"/>
          <w:b/>
          <w:color w:val="auto"/>
          <w:sz w:val="36"/>
          <w:szCs w:val="20"/>
          <w:highlight w:val="none"/>
        </w:rPr>
      </w:pPr>
      <w:r>
        <w:rPr>
          <w:rFonts w:cs="仿宋" w:asciiTheme="majorEastAsia" w:hAnsiTheme="majorEastAsia" w:eastAsiaTheme="majorEastAsia"/>
          <w:b/>
          <w:color w:val="auto"/>
          <w:sz w:val="24"/>
          <w:highlight w:val="none"/>
        </w:rPr>
        <w:br w:type="page"/>
      </w:r>
    </w:p>
    <w:p>
      <w:pPr>
        <w:spacing w:line="360" w:lineRule="auto"/>
        <w:ind w:left="720" w:firstLine="723" w:firstLineChars="200"/>
        <w:outlineLvl w:val="0"/>
        <w:rPr>
          <w:rFonts w:cs="仿宋" w:asciiTheme="majorEastAsia" w:hAnsiTheme="majorEastAsia" w:eastAsiaTheme="majorEastAsia"/>
          <w:b/>
          <w:color w:val="auto"/>
          <w:sz w:val="36"/>
          <w:szCs w:val="20"/>
          <w:highlight w:val="none"/>
        </w:rPr>
      </w:pPr>
      <w:r>
        <w:rPr>
          <w:rFonts w:hint="eastAsia" w:cs="仿宋" w:asciiTheme="majorEastAsia" w:hAnsiTheme="majorEastAsia" w:eastAsiaTheme="majorEastAsia"/>
          <w:b/>
          <w:color w:val="auto"/>
          <w:sz w:val="36"/>
          <w:szCs w:val="20"/>
          <w:highlight w:val="none"/>
        </w:rPr>
        <w:t>第六部分</w:t>
      </w:r>
      <w:bookmarkEnd w:id="393"/>
      <w:r>
        <w:rPr>
          <w:rFonts w:hint="eastAsia" w:cs="仿宋" w:asciiTheme="majorEastAsia" w:hAnsiTheme="majorEastAsia" w:eastAsiaTheme="majorEastAsia"/>
          <w:b/>
          <w:color w:val="auto"/>
          <w:sz w:val="36"/>
          <w:szCs w:val="20"/>
          <w:highlight w:val="none"/>
        </w:rPr>
        <w:t xml:space="preserve"> </w:t>
      </w:r>
      <w:bookmarkEnd w:id="394"/>
      <w:r>
        <w:rPr>
          <w:rFonts w:hint="eastAsia" w:cs="仿宋" w:asciiTheme="majorEastAsia" w:hAnsiTheme="majorEastAsia" w:eastAsiaTheme="majorEastAsia"/>
          <w:b/>
          <w:color w:val="auto"/>
          <w:sz w:val="36"/>
          <w:szCs w:val="20"/>
          <w:highlight w:val="none"/>
        </w:rPr>
        <w:t>应提交的有关格式范例</w:t>
      </w:r>
    </w:p>
    <w:p>
      <w:pPr>
        <w:spacing w:line="360" w:lineRule="auto"/>
        <w:jc w:val="center"/>
        <w:outlineLvl w:val="0"/>
        <w:rPr>
          <w:rFonts w:cs="仿宋" w:asciiTheme="majorEastAsia" w:hAnsiTheme="majorEastAsia" w:eastAsiaTheme="majorEastAsia"/>
          <w:b/>
          <w:color w:val="auto"/>
          <w:kern w:val="0"/>
          <w:sz w:val="36"/>
          <w:szCs w:val="36"/>
          <w:highlight w:val="none"/>
        </w:rPr>
      </w:pPr>
    </w:p>
    <w:p>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资格文件部分</w:t>
      </w:r>
    </w:p>
    <w:p>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pPr>
        <w:spacing w:line="360" w:lineRule="auto"/>
        <w:jc w:val="center"/>
        <w:outlineLvl w:val="0"/>
        <w:rPr>
          <w:rFonts w:cs="仿宋" w:asciiTheme="majorEastAsia" w:hAnsiTheme="majorEastAsia" w:eastAsiaTheme="majorEastAsia"/>
          <w:b/>
          <w:color w:val="auto"/>
          <w:kern w:val="0"/>
          <w:sz w:val="36"/>
          <w:szCs w:val="36"/>
          <w:highlight w:val="none"/>
        </w:rPr>
      </w:pP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有效的企业法人营业执照（或事业法人登记证）、其他组织（个体工商户）的营业执照或者民办非企业单位登记证书；</w:t>
      </w: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符合参加政府采购活动应当具备的一般条件的承诺函；</w:t>
      </w:r>
    </w:p>
    <w:p>
      <w:pPr>
        <w:adjustRightInd w:val="0"/>
        <w:snapToGrid w:val="0"/>
        <w:spacing w:line="360" w:lineRule="auto"/>
        <w:ind w:left="420" w:leftChars="200" w:firstLine="560" w:firstLineChars="2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lang w:val="en-US" w:eastAsia="zh-CN"/>
        </w:rPr>
        <w:t>3</w:t>
      </w:r>
      <w:r>
        <w:rPr>
          <w:rFonts w:hint="eastAsia" w:cs="仿宋" w:asciiTheme="majorEastAsia" w:hAnsiTheme="majorEastAsia" w:eastAsiaTheme="majorEastAsia"/>
          <w:color w:val="auto"/>
          <w:sz w:val="28"/>
          <w:szCs w:val="28"/>
          <w:highlight w:val="none"/>
        </w:rPr>
        <w:t xml:space="preserve"> 本项目的特定资格要求。</w:t>
      </w:r>
    </w:p>
    <w:p>
      <w:pPr>
        <w:pStyle w:val="2"/>
        <w:spacing w:line="360" w:lineRule="auto"/>
        <w:ind w:firstLine="480"/>
        <w:rPr>
          <w:rFonts w:cs="仿宋" w:asciiTheme="majorEastAsia" w:hAnsiTheme="majorEastAsia" w:eastAsiaTheme="majorEastAsia"/>
          <w:color w:val="auto"/>
          <w:sz w:val="24"/>
          <w:highlight w:val="none"/>
        </w:rPr>
      </w:pPr>
    </w:p>
    <w:p>
      <w:pPr>
        <w:spacing w:line="360" w:lineRule="auto"/>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br w:type="page"/>
      </w: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一、 符合参加政府采购活动应当具备的一般条件的承诺函</w:t>
      </w:r>
    </w:p>
    <w:p>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我方参与（项目名称）【招标编号：（采购编号）】政府采购活动，郑重承诺：</w:t>
      </w:r>
    </w:p>
    <w:p>
      <w:pPr>
        <w:snapToGrid w:val="0"/>
        <w:spacing w:line="360" w:lineRule="auto"/>
        <w:ind w:firstLine="360" w:firstLineChars="15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（一）具备《中华人民共和国政府采购法》第二十二条第一款规定的条件：</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1、具有独立承担民事责任的能力；</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2、具有良好的商业信誉和健全的财务会计制度； </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3、具有履行合同所必需的设备和专业技术能力；</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4、有依法缴纳税收和社会保障资金的良好记录；</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5、参加政府采购活动前三年内，在经营活动中没有重大违法记录；</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6、具有法律、行政法规规定的其他条件。</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（二）未被信用中国（www.creditchina.gov.cn)、中国政府采购网（www.ccgp.gov.cn）列入失信被执行人、</w:t>
      </w:r>
      <w:r>
        <w:rPr>
          <w:rFonts w:hint="eastAsia" w:cs="仿宋" w:asciiTheme="majorEastAsia" w:hAnsiTheme="majorEastAsia" w:eastAsiaTheme="majorEastAsia"/>
          <w:color w:val="auto"/>
          <w:sz w:val="24"/>
          <w:highlight w:val="none"/>
          <w:lang w:val="en-US" w:eastAsia="zh-CN"/>
        </w:rPr>
        <w:t>税收违法黑名单</w:t>
      </w:r>
      <w:r>
        <w:rPr>
          <w:rFonts w:hint="eastAsia" w:cs="仿宋" w:asciiTheme="majorEastAsia" w:hAnsiTheme="majorEastAsia" w:eastAsiaTheme="majorEastAsia"/>
          <w:color w:val="auto"/>
          <w:sz w:val="24"/>
          <w:highlight w:val="none"/>
        </w:rPr>
        <w:t>、政府采购严重违法失信行为记录名单。</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（三）不存在以下情况：</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pPr>
        <w:snapToGrid w:val="0"/>
        <w:spacing w:line="360" w:lineRule="auto"/>
        <w:ind w:firstLine="5520" w:firstLineChars="2300"/>
        <w:rPr>
          <w:rFonts w:cs="仿宋" w:asciiTheme="majorEastAsia" w:hAnsiTheme="majorEastAsia" w:eastAsiaTheme="majorEastAsia"/>
          <w:color w:val="auto"/>
          <w:kern w:val="0"/>
          <w:sz w:val="24"/>
          <w:highlight w:val="none"/>
          <w:lang w:val="zh-CN"/>
        </w:rPr>
      </w:pPr>
    </w:p>
    <w:p>
      <w:pP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pP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pP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pacing w:line="360" w:lineRule="auto"/>
        <w:jc w:val="center"/>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en-US" w:eastAsia="zh-CN"/>
        </w:rPr>
        <w:t>二</w:t>
      </w:r>
      <w:r>
        <w:rPr>
          <w:rFonts w:hint="eastAsia" w:cs="仿宋" w:asciiTheme="majorEastAsia" w:hAnsiTheme="majorEastAsia" w:eastAsiaTheme="majorEastAsia"/>
          <w:b/>
          <w:color w:val="auto"/>
          <w:kern w:val="0"/>
          <w:sz w:val="32"/>
          <w:szCs w:val="32"/>
          <w:highlight w:val="none"/>
        </w:rPr>
        <w:t>、本项目的特定资格要求</w:t>
      </w:r>
    </w:p>
    <w:p>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（根据招标公告本项目的特定资格要求提供相应的材料；未要求的，无需提供）</w:t>
      </w:r>
    </w:p>
    <w:p>
      <w:pPr>
        <w:spacing w:line="360" w:lineRule="auto"/>
        <w:rPr>
          <w:rFonts w:cs="仿宋" w:asciiTheme="majorEastAsia" w:hAnsiTheme="majorEastAsia" w:eastAsiaTheme="majorEastAsia"/>
          <w:color w:val="auto"/>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pacing w:line="360" w:lineRule="auto"/>
        <w:jc w:val="center"/>
        <w:outlineLvl w:val="0"/>
        <w:rPr>
          <w:rFonts w:cs="仿宋" w:asciiTheme="majorEastAsia" w:hAnsiTheme="majorEastAsia" w:eastAsiaTheme="majorEastAsia"/>
          <w:b/>
          <w:color w:val="auto"/>
          <w:kern w:val="0"/>
          <w:sz w:val="36"/>
          <w:szCs w:val="36"/>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pacing w:line="360" w:lineRule="auto"/>
        <w:jc w:val="center"/>
        <w:outlineLvl w:val="0"/>
        <w:rPr>
          <w:rFonts w:cs="仿宋" w:asciiTheme="majorEastAsia" w:hAnsiTheme="majorEastAsia" w:eastAsiaTheme="majorEastAsia"/>
          <w:b/>
          <w:color w:val="auto"/>
          <w:kern w:val="0"/>
          <w:sz w:val="36"/>
          <w:szCs w:val="36"/>
          <w:highlight w:val="none"/>
        </w:rPr>
      </w:pPr>
    </w:p>
    <w:p>
      <w:pPr>
        <w:snapToGrid w:val="0"/>
        <w:spacing w:line="360" w:lineRule="auto"/>
        <w:ind w:right="480"/>
        <w:jc w:val="center"/>
        <w:rPr>
          <w:rFonts w:cs="仿宋" w:asciiTheme="majorEastAsia" w:hAnsiTheme="majorEastAsia" w:eastAsiaTheme="majorEastAsia"/>
          <w:b/>
          <w:color w:val="auto"/>
          <w:kern w:val="0"/>
          <w:sz w:val="32"/>
          <w:szCs w:val="32"/>
          <w:highlight w:val="none"/>
        </w:rPr>
      </w:pPr>
    </w:p>
    <w:p>
      <w:pPr>
        <w:spacing w:line="360" w:lineRule="auto"/>
        <w:jc w:val="center"/>
        <w:outlineLvl w:val="0"/>
        <w:rPr>
          <w:rFonts w:cs="仿宋" w:asciiTheme="majorEastAsia" w:hAnsiTheme="majorEastAsia" w:eastAsiaTheme="majorEastAsia"/>
          <w:b/>
          <w:color w:val="auto"/>
          <w:kern w:val="0"/>
          <w:sz w:val="36"/>
          <w:szCs w:val="36"/>
          <w:highlight w:val="none"/>
        </w:rPr>
      </w:pPr>
    </w:p>
    <w:p>
      <w:pPr>
        <w:spacing w:line="360" w:lineRule="auto"/>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br w:type="page"/>
      </w:r>
    </w:p>
    <w:p>
      <w:pPr>
        <w:spacing w:line="360" w:lineRule="auto"/>
        <w:ind w:right="420"/>
        <w:jc w:val="center"/>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商务技术文件部分</w:t>
      </w:r>
    </w:p>
    <w:p>
      <w:pPr>
        <w:spacing w:line="360" w:lineRule="auto"/>
        <w:jc w:val="center"/>
        <w:outlineLvl w:val="0"/>
        <w:rPr>
          <w:rFonts w:cs="仿宋" w:asciiTheme="majorEastAsia" w:hAnsiTheme="majorEastAsia" w:eastAsiaTheme="majorEastAsia"/>
          <w:b/>
          <w:color w:val="auto"/>
          <w:kern w:val="0"/>
          <w:sz w:val="24"/>
          <w:highlight w:val="none"/>
        </w:rPr>
      </w:pPr>
    </w:p>
    <w:p>
      <w:pPr>
        <w:spacing w:line="360" w:lineRule="auto"/>
        <w:ind w:left="3990" w:leftChars="1900"/>
        <w:outlineLvl w:val="0"/>
        <w:rPr>
          <w:rFonts w:cs="仿宋" w:asciiTheme="majorEastAsia" w:hAnsiTheme="majorEastAsia" w:eastAsiaTheme="majorEastAsia"/>
          <w:b/>
          <w:color w:val="auto"/>
          <w:kern w:val="0"/>
          <w:sz w:val="28"/>
          <w:szCs w:val="28"/>
          <w:highlight w:val="none"/>
        </w:rPr>
      </w:pPr>
      <w:r>
        <w:rPr>
          <w:rFonts w:hint="eastAsia" w:cs="仿宋" w:asciiTheme="majorEastAsia" w:hAnsiTheme="majorEastAsia" w:eastAsiaTheme="majorEastAsia"/>
          <w:b/>
          <w:color w:val="auto"/>
          <w:kern w:val="0"/>
          <w:sz w:val="28"/>
          <w:szCs w:val="28"/>
          <w:highlight w:val="none"/>
        </w:rPr>
        <w:t>目 录</w:t>
      </w:r>
    </w:p>
    <w:p>
      <w:pPr>
        <w:snapToGrid w:val="0"/>
        <w:spacing w:line="360" w:lineRule="auto"/>
        <w:ind w:firstLine="960" w:firstLineChars="400"/>
        <w:rPr>
          <w:rFonts w:cs="仿宋" w:asciiTheme="majorEastAsia" w:hAnsiTheme="majorEastAsia" w:eastAsiaTheme="majorEastAsia"/>
          <w:color w:val="auto"/>
          <w:sz w:val="24"/>
          <w:highlight w:val="none"/>
        </w:rPr>
      </w:pP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符合性自查表；</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投标函；</w:t>
      </w:r>
      <w:r>
        <w:rPr>
          <w:rFonts w:hint="eastAsia" w:cs="仿宋" w:asciiTheme="majorEastAsia" w:hAnsiTheme="majorEastAsia" w:eastAsiaTheme="majorEastAsia"/>
          <w:color w:val="auto"/>
          <w:sz w:val="28"/>
          <w:szCs w:val="28"/>
          <w:highlight w:val="none"/>
          <w:lang w:val="zh-CN"/>
        </w:rPr>
        <w:t xml:space="preserve"> </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授权委托书；</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 xml:space="preserve">4 </w:t>
      </w:r>
      <w:r>
        <w:rPr>
          <w:rFonts w:hint="eastAsia" w:cs="仿宋" w:asciiTheme="majorEastAsia" w:hAnsiTheme="majorEastAsia" w:eastAsiaTheme="majorEastAsia"/>
          <w:color w:val="auto"/>
          <w:sz w:val="28"/>
          <w:szCs w:val="28"/>
          <w:highlight w:val="none"/>
          <w:lang w:val="zh-CN"/>
        </w:rPr>
        <w:t>投标人基本情况表</w:t>
      </w:r>
      <w:r>
        <w:rPr>
          <w:rFonts w:hint="eastAsia" w:cs="仿宋" w:asciiTheme="majorEastAsia" w:hAnsiTheme="majorEastAsia" w:eastAsiaTheme="majorEastAsia"/>
          <w:color w:val="auto"/>
          <w:sz w:val="28"/>
          <w:szCs w:val="28"/>
          <w:highlight w:val="none"/>
        </w:rPr>
        <w:t>；</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距采购人最近或者能为本项目提供最优服务的网点情况表；</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评标标准相应的商务技术资料；</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商务偏离表；</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8 技术偏离表；</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9 同类业绩情况一览表；</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lang w:val="zh-CN"/>
        </w:rPr>
      </w:pPr>
      <w:r>
        <w:rPr>
          <w:rFonts w:hint="eastAsia" w:cs="仿宋" w:asciiTheme="majorEastAsia" w:hAnsiTheme="majorEastAsia" w:eastAsiaTheme="majorEastAsia"/>
          <w:color w:val="auto"/>
          <w:sz w:val="28"/>
          <w:szCs w:val="28"/>
          <w:highlight w:val="none"/>
        </w:rPr>
        <w:t xml:space="preserve">10 </w:t>
      </w:r>
      <w:r>
        <w:rPr>
          <w:rFonts w:hint="eastAsia" w:cs="仿宋" w:asciiTheme="majorEastAsia" w:hAnsiTheme="majorEastAsia" w:eastAsiaTheme="majorEastAsia"/>
          <w:color w:val="auto"/>
          <w:sz w:val="28"/>
          <w:szCs w:val="28"/>
          <w:highlight w:val="none"/>
          <w:lang w:val="zh-CN"/>
        </w:rPr>
        <w:t>政府采购供应商廉洁自律承诺书；</w:t>
      </w:r>
    </w:p>
    <w:p>
      <w:pPr>
        <w:adjustRightInd w:val="0"/>
        <w:snapToGrid w:val="0"/>
        <w:spacing w:line="360" w:lineRule="auto"/>
        <w:ind w:firstLine="840" w:firstLineChars="3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11 其他资料。</w:t>
      </w:r>
    </w:p>
    <w:p>
      <w:pPr>
        <w:snapToGrid w:val="0"/>
        <w:spacing w:line="360" w:lineRule="auto"/>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color w:val="auto"/>
          <w:kern w:val="0"/>
          <w:sz w:val="24"/>
          <w:highlight w:val="none"/>
        </w:rPr>
        <w:br w:type="page"/>
      </w: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rPr>
      </w:pPr>
      <w:r>
        <w:rPr>
          <w:rFonts w:hint="eastAsia" w:cs="仿宋" w:asciiTheme="majorEastAsia" w:hAnsiTheme="majorEastAsia" w:eastAsiaTheme="majorEastAsia"/>
          <w:b/>
          <w:color w:val="auto"/>
          <w:kern w:val="0"/>
          <w:sz w:val="32"/>
          <w:szCs w:val="32"/>
          <w:highlight w:val="none"/>
        </w:rPr>
        <w:t>符合性自查表</w:t>
      </w:r>
    </w:p>
    <w:tbl>
      <w:tblPr>
        <w:tblStyle w:val="18"/>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序号</w:t>
            </w:r>
          </w:p>
        </w:tc>
        <w:tc>
          <w:tcPr>
            <w:tcW w:w="4103" w:type="dxa"/>
            <w:vAlign w:val="center"/>
          </w:tcPr>
          <w:p>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实质性要求</w:t>
            </w:r>
          </w:p>
        </w:tc>
        <w:tc>
          <w:tcPr>
            <w:tcW w:w="2518" w:type="dxa"/>
            <w:vAlign w:val="center"/>
          </w:tcPr>
          <w:p>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需要提供的符合性审查资料</w:t>
            </w:r>
          </w:p>
        </w:tc>
        <w:tc>
          <w:tcPr>
            <w:tcW w:w="11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b/>
                <w:color w:val="auto"/>
                <w:sz w:val="24"/>
                <w:highlight w:val="none"/>
              </w:rPr>
              <w:t>自查结论</w:t>
            </w:r>
          </w:p>
        </w:tc>
        <w:tc>
          <w:tcPr>
            <w:tcW w:w="1785" w:type="dxa"/>
            <w:vAlign w:val="center"/>
          </w:tcPr>
          <w:p>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投标文件中的</w:t>
            </w:r>
          </w:p>
          <w:p>
            <w:pPr>
              <w:snapToGrid w:val="0"/>
              <w:spacing w:line="360" w:lineRule="auto"/>
              <w:jc w:val="center"/>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w:t>
            </w:r>
          </w:p>
        </w:tc>
        <w:tc>
          <w:tcPr>
            <w:tcW w:w="4103"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投标文件按照招标文件要求签署、盖章。</w:t>
            </w:r>
          </w:p>
        </w:tc>
        <w:tc>
          <w:tcPr>
            <w:tcW w:w="2518"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需要使用电子签名或者签字盖章的投标文件的组成部分</w:t>
            </w:r>
          </w:p>
        </w:tc>
        <w:tc>
          <w:tcPr>
            <w:tcW w:w="11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pacing w:line="360" w:lineRule="auto"/>
              <w:rPr>
                <w:rFonts w:cs="仿宋" w:asciiTheme="majorEastAsia" w:hAnsiTheme="majorEastAsia" w:eastAsiaTheme="majorEastAsia"/>
                <w:color w:val="auto"/>
                <w:sz w:val="24"/>
                <w:highlight w:val="none"/>
              </w:rPr>
            </w:pPr>
          </w:p>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p>
        </w:tc>
        <w:tc>
          <w:tcPr>
            <w:tcW w:w="4103"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投标文件中承诺的投标有效期不少于招标文件中载明的投标有效期。</w:t>
            </w:r>
          </w:p>
        </w:tc>
        <w:tc>
          <w:tcPr>
            <w:tcW w:w="2518"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投标函</w:t>
            </w:r>
          </w:p>
        </w:tc>
        <w:tc>
          <w:tcPr>
            <w:tcW w:w="11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w:t>
            </w:r>
          </w:p>
        </w:tc>
        <w:tc>
          <w:tcPr>
            <w:tcW w:w="4103"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投标文件满足招标文件的其它实质性要求。</w:t>
            </w:r>
          </w:p>
        </w:tc>
        <w:tc>
          <w:tcPr>
            <w:tcW w:w="2518"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1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pacing w:line="360" w:lineRule="auto"/>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p>
        </w:tc>
        <w:tc>
          <w:tcPr>
            <w:tcW w:w="4103" w:type="dxa"/>
            <w:vAlign w:val="center"/>
          </w:tcPr>
          <w:p>
            <w:pP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518" w:type="dxa"/>
            <w:vAlign w:val="center"/>
          </w:tcPr>
          <w:p>
            <w:pPr>
              <w:spacing w:line="360" w:lineRule="auto"/>
              <w:rPr>
                <w:rFonts w:cs="仿宋" w:asciiTheme="majorEastAsia" w:hAnsiTheme="majorEastAsia" w:eastAsiaTheme="majorEastAsia"/>
                <w:color w:val="auto"/>
                <w:kern w:val="0"/>
                <w:sz w:val="24"/>
                <w:highlight w:val="none"/>
              </w:rPr>
            </w:pPr>
          </w:p>
        </w:tc>
        <w:tc>
          <w:tcPr>
            <w:tcW w:w="11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pPr>
              <w:spacing w:line="360" w:lineRule="auto"/>
              <w:jc w:val="center"/>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5</w:t>
            </w:r>
          </w:p>
        </w:tc>
        <w:tc>
          <w:tcPr>
            <w:tcW w:w="4103" w:type="dxa"/>
            <w:vAlign w:val="center"/>
          </w:tcPr>
          <w:p>
            <w:pPr>
              <w:snapToGrid w:val="0"/>
              <w:spacing w:line="360" w:lineRule="auto"/>
              <w:jc w:val="left"/>
              <w:rPr>
                <w:rFonts w:cs="仿宋" w:asciiTheme="majorEastAsia" w:hAnsiTheme="majorEastAsia" w:eastAsiaTheme="majorEastAsia"/>
                <w:bCs/>
                <w:color w:val="auto"/>
                <w:sz w:val="24"/>
                <w:highlight w:val="none"/>
              </w:rPr>
            </w:pPr>
            <w:r>
              <w:rPr>
                <w:rFonts w:hint="eastAsia" w:cs="仿宋" w:asciiTheme="majorEastAsia" w:hAnsiTheme="majorEastAsia" w:eastAsiaTheme="majorEastAsia"/>
                <w:bCs/>
                <w:color w:val="auto"/>
                <w:sz w:val="24"/>
                <w:highlight w:val="none"/>
              </w:rPr>
              <w:t>按有关法律、法规、规章不属于投标无效的。</w:t>
            </w:r>
          </w:p>
        </w:tc>
        <w:tc>
          <w:tcPr>
            <w:tcW w:w="2518" w:type="dxa"/>
            <w:vAlign w:val="center"/>
          </w:tcPr>
          <w:p>
            <w:pPr>
              <w:spacing w:line="360" w:lineRule="auto"/>
              <w:rPr>
                <w:rFonts w:cs="仿宋" w:asciiTheme="majorEastAsia" w:hAnsiTheme="majorEastAsia" w:eastAsiaTheme="majorEastAsia"/>
                <w:color w:val="auto"/>
                <w:kern w:val="0"/>
                <w:sz w:val="24"/>
                <w:highlight w:val="none"/>
              </w:rPr>
            </w:pPr>
          </w:p>
        </w:tc>
        <w:tc>
          <w:tcPr>
            <w:tcW w:w="11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□不通过</w:t>
            </w:r>
          </w:p>
        </w:tc>
        <w:tc>
          <w:tcPr>
            <w:tcW w:w="1785"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pPr>
              <w:spacing w:line="360" w:lineRule="auto"/>
              <w:jc w:val="center"/>
              <w:rPr>
                <w:rFonts w:cs="仿宋" w:asciiTheme="majorEastAsia" w:hAnsiTheme="majorEastAsia" w:eastAsiaTheme="majorEastAsia"/>
                <w:color w:val="auto"/>
                <w:sz w:val="24"/>
                <w:highlight w:val="none"/>
              </w:rPr>
            </w:pPr>
          </w:p>
        </w:tc>
        <w:tc>
          <w:tcPr>
            <w:tcW w:w="4103" w:type="dxa"/>
            <w:vAlign w:val="center"/>
          </w:tcPr>
          <w:p>
            <w:pPr>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w:t>
            </w:r>
          </w:p>
        </w:tc>
        <w:tc>
          <w:tcPr>
            <w:tcW w:w="2518" w:type="dxa"/>
            <w:vAlign w:val="center"/>
          </w:tcPr>
          <w:p>
            <w:pPr>
              <w:spacing w:line="360" w:lineRule="auto"/>
              <w:rPr>
                <w:rFonts w:cs="仿宋" w:asciiTheme="majorEastAsia" w:hAnsiTheme="majorEastAsia" w:eastAsiaTheme="majorEastAsia"/>
                <w:color w:val="auto"/>
                <w:kern w:val="0"/>
                <w:sz w:val="24"/>
                <w:highlight w:val="none"/>
              </w:rPr>
            </w:pPr>
          </w:p>
        </w:tc>
        <w:tc>
          <w:tcPr>
            <w:tcW w:w="1185" w:type="dxa"/>
          </w:tcPr>
          <w:p>
            <w:pPr>
              <w:spacing w:line="360" w:lineRule="auto"/>
              <w:rPr>
                <w:rFonts w:cs="仿宋" w:asciiTheme="majorEastAsia" w:hAnsiTheme="majorEastAsia" w:eastAsiaTheme="majorEastAsia"/>
                <w:color w:val="auto"/>
                <w:sz w:val="24"/>
                <w:highlight w:val="none"/>
              </w:rPr>
            </w:pPr>
          </w:p>
        </w:tc>
        <w:tc>
          <w:tcPr>
            <w:tcW w:w="1785" w:type="dxa"/>
            <w:vAlign w:val="center"/>
          </w:tcPr>
          <w:p>
            <w:pPr>
              <w:spacing w:line="360" w:lineRule="auto"/>
              <w:rPr>
                <w:rFonts w:cs="仿宋" w:asciiTheme="majorEastAsia" w:hAnsiTheme="majorEastAsia" w:eastAsiaTheme="majorEastAsia"/>
                <w:color w:val="auto"/>
                <w:sz w:val="24"/>
                <w:highlight w:val="none"/>
              </w:rPr>
            </w:pPr>
          </w:p>
        </w:tc>
      </w:tr>
    </w:tbl>
    <w:p>
      <w:pPr>
        <w:snapToGrid w:val="0"/>
        <w:spacing w:line="360" w:lineRule="auto"/>
        <w:jc w:val="left"/>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pPr>
        <w:numPr>
          <w:ilvl w:val="0"/>
          <w:numId w:val="4"/>
        </w:numPr>
        <w:snapToGrid w:val="0"/>
        <w:spacing w:line="360" w:lineRule="auto"/>
        <w:jc w:val="center"/>
        <w:outlineLvl w:val="0"/>
        <w:rPr>
          <w:rFonts w:cs="仿宋" w:asciiTheme="majorEastAsia" w:hAnsiTheme="majorEastAsia" w:eastAsiaTheme="majorEastAsia"/>
          <w:b/>
          <w:color w:val="auto"/>
          <w:sz w:val="32"/>
          <w:szCs w:val="32"/>
          <w:highlight w:val="none"/>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投标</w:t>
      </w:r>
      <w:r>
        <w:rPr>
          <w:rFonts w:hint="eastAsia" w:cs="仿宋" w:asciiTheme="majorEastAsia" w:hAnsiTheme="majorEastAsia" w:eastAsiaTheme="majorEastAsia"/>
          <w:b/>
          <w:color w:val="auto"/>
          <w:sz w:val="32"/>
          <w:szCs w:val="32"/>
          <w:highlight w:val="none"/>
        </w:rPr>
        <w:t>函</w:t>
      </w:r>
    </w:p>
    <w:p>
      <w:pPr>
        <w:snapToGrid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（采购人）、（采购代理机构）：</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1、我方承诺投标有效期从提交投标文件的截止之日起</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天（不少于90天）</w:t>
      </w:r>
      <w:r>
        <w:rPr>
          <w:rFonts w:hint="eastAsia" w:cs="仿宋" w:asciiTheme="majorEastAsia" w:hAnsiTheme="majorEastAsia" w:eastAsiaTheme="majorEastAsia"/>
          <w:color w:val="auto"/>
          <w:highlight w:val="none"/>
        </w:rPr>
        <w:t>，</w:t>
      </w:r>
      <w:r>
        <w:rPr>
          <w:rFonts w:hint="eastAsia" w:cs="仿宋" w:asciiTheme="majorEastAsia" w:hAnsiTheme="majorEastAsia" w:eastAsiaTheme="majorEastAsia"/>
          <w:color w:val="auto"/>
          <w:sz w:val="24"/>
          <w:highlight w:val="none"/>
        </w:rPr>
        <w:t>本投标文件在投标有效期满之前均具有约束力。</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2、我方的投标文件包括以下内容：</w:t>
      </w:r>
    </w:p>
    <w:p>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2.1资格文件：</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2.1.1有效的企业法人营业执照（或事业法人登记证）、其他组织（个体工商户）的营业执照或者民办非企业单位登记证书；</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2.1.2符合参加政府采购活动应当具备的一般条件的承诺函落实政府采购政策需满足的资格要求（如果有）；</w:t>
      </w:r>
    </w:p>
    <w:p>
      <w:pPr>
        <w:snapToGrid w:val="0"/>
        <w:spacing w:line="360" w:lineRule="auto"/>
        <w:ind w:firstLine="960" w:firstLineChars="4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2.1.</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本项目的特定资格要求。</w:t>
      </w:r>
    </w:p>
    <w:p>
      <w:pPr>
        <w:snapToGrid w:val="0"/>
        <w:spacing w:line="360" w:lineRule="auto"/>
        <w:ind w:left="210" w:leftChars="1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 xml:space="preserve"> </w:t>
      </w:r>
      <w:r>
        <w:rPr>
          <w:rFonts w:hint="eastAsia" w:cs="仿宋" w:asciiTheme="majorEastAsia" w:hAnsiTheme="majorEastAsia" w:eastAsiaTheme="majorEastAsia"/>
          <w:color w:val="auto"/>
          <w:sz w:val="24"/>
          <w:highlight w:val="none"/>
        </w:rPr>
        <w:t>商务技术</w:t>
      </w:r>
      <w:r>
        <w:rPr>
          <w:rFonts w:hint="eastAsia" w:cs="仿宋" w:asciiTheme="majorEastAsia" w:hAnsiTheme="majorEastAsia" w:eastAsiaTheme="majorEastAsia"/>
          <w:color w:val="auto"/>
          <w:sz w:val="24"/>
          <w:highlight w:val="none"/>
          <w:lang w:val="zh-CN"/>
        </w:rPr>
        <w:t>文件：</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2.2.1 符合性自查表；</w:t>
      </w:r>
    </w:p>
    <w:p>
      <w:pPr>
        <w:snapToGrid w:val="0"/>
        <w:spacing w:line="360" w:lineRule="auto"/>
        <w:ind w:left="420" w:leftChars="200" w:firstLine="480" w:firstLineChars="200"/>
        <w:rPr>
          <w:rFonts w:cs="仿宋" w:asciiTheme="majorEastAsia" w:hAnsiTheme="majorEastAsia" w:eastAsiaTheme="majorEastAsia"/>
          <w:color w:val="auto"/>
          <w:highlight w:val="none"/>
          <w:lang w:val="zh-CN"/>
        </w:rPr>
      </w:pPr>
      <w:r>
        <w:rPr>
          <w:rFonts w:hint="eastAsia" w:cs="仿宋" w:asciiTheme="majorEastAsia" w:hAnsiTheme="majorEastAsia" w:eastAsiaTheme="majorEastAsia"/>
          <w:color w:val="auto"/>
          <w:sz w:val="24"/>
          <w:highlight w:val="none"/>
        </w:rPr>
        <w:t>2.2.2 投标函；</w:t>
      </w:r>
      <w:r>
        <w:rPr>
          <w:rFonts w:hint="eastAsia" w:cs="仿宋" w:asciiTheme="majorEastAsia" w:hAnsiTheme="majorEastAsia" w:eastAsiaTheme="majorEastAsia"/>
          <w:color w:val="auto"/>
          <w:sz w:val="24"/>
          <w:highlight w:val="none"/>
          <w:lang w:val="zh-CN"/>
        </w:rPr>
        <w:t xml:space="preserve"> </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2.2.3 授权委托书；</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2.2.4 </w:t>
      </w:r>
      <w:r>
        <w:rPr>
          <w:rFonts w:hint="eastAsia" w:cs="仿宋" w:asciiTheme="majorEastAsia" w:hAnsiTheme="majorEastAsia" w:eastAsiaTheme="majorEastAsia"/>
          <w:b w:val="0"/>
          <w:bCs/>
          <w:color w:val="auto"/>
          <w:kern w:val="0"/>
          <w:sz w:val="24"/>
          <w:szCs w:val="24"/>
          <w:highlight w:val="none"/>
          <w:lang w:val="zh-CN"/>
        </w:rPr>
        <w:t>投标人基本情况表</w:t>
      </w:r>
      <w:r>
        <w:rPr>
          <w:rFonts w:hint="eastAsia" w:cs="仿宋" w:asciiTheme="majorEastAsia" w:hAnsiTheme="majorEastAsia" w:eastAsiaTheme="majorEastAsia"/>
          <w:color w:val="auto"/>
          <w:sz w:val="24"/>
          <w:highlight w:val="none"/>
        </w:rPr>
        <w:t>；</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2.2.5 距采购人最近或者能为本项目提供最优服务的网点情况表；</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2.2.6 评标标准相应的商务技术资料；</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7 商务偏离表；</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8 技术偏离表；</w:t>
      </w:r>
    </w:p>
    <w:p>
      <w:pPr>
        <w:snapToGrid w:val="0"/>
        <w:spacing w:line="360" w:lineRule="auto"/>
        <w:ind w:left="420" w:leftChars="2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9 同类业绩情况一览表；</w:t>
      </w:r>
    </w:p>
    <w:p>
      <w:pPr>
        <w:snapToGrid w:val="0"/>
        <w:spacing w:line="360" w:lineRule="auto"/>
        <w:ind w:left="420" w:leftChars="200" w:firstLine="480" w:firstLineChars="200"/>
        <w:rPr>
          <w:rFonts w:cs="仿宋" w:asciiTheme="majorEastAsia" w:hAnsiTheme="majorEastAsia" w:eastAsiaTheme="majorEastAsia"/>
          <w:color w:val="auto"/>
          <w:sz w:val="24"/>
          <w:highlight w:val="none"/>
          <w:lang w:val="zh-CN"/>
        </w:rPr>
      </w:pPr>
      <w:r>
        <w:rPr>
          <w:rFonts w:hint="eastAsia" w:cs="仿宋" w:asciiTheme="majorEastAsia" w:hAnsiTheme="majorEastAsia" w:eastAsiaTheme="majorEastAsia"/>
          <w:color w:val="auto"/>
          <w:sz w:val="24"/>
          <w:highlight w:val="none"/>
        </w:rPr>
        <w:t xml:space="preserve">2.2.10 </w:t>
      </w:r>
      <w:r>
        <w:rPr>
          <w:rFonts w:hint="eastAsia" w:cs="仿宋" w:asciiTheme="majorEastAsia" w:hAnsiTheme="majorEastAsia" w:eastAsiaTheme="majorEastAsia"/>
          <w:color w:val="auto"/>
          <w:sz w:val="24"/>
          <w:highlight w:val="none"/>
          <w:lang w:val="zh-CN"/>
        </w:rPr>
        <w:t>政府采购供应商廉洁自律承诺书；</w:t>
      </w:r>
    </w:p>
    <w:p>
      <w:pPr>
        <w:snapToGrid w:val="0"/>
        <w:spacing w:line="360" w:lineRule="auto"/>
        <w:ind w:left="420" w:leftChars="200" w:firstLine="480" w:firstLineChars="20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2.2.11 其他资料。</w:t>
      </w:r>
    </w:p>
    <w:p>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w:t>
      </w:r>
      <w:r>
        <w:rPr>
          <w:rFonts w:hint="eastAsia" w:cs="仿宋" w:asciiTheme="majorEastAsia" w:hAnsiTheme="majorEastAsia" w:eastAsiaTheme="majorEastAsia"/>
          <w:color w:val="auto"/>
          <w:sz w:val="24"/>
          <w:highlight w:val="none"/>
          <w:lang w:val="zh-CN"/>
        </w:rPr>
        <w:t>.</w:t>
      </w:r>
      <w:r>
        <w:rPr>
          <w:rFonts w:hint="eastAsia" w:cs="仿宋" w:asciiTheme="majorEastAsia" w:hAnsiTheme="majorEastAsia" w:eastAsiaTheme="majorEastAsia"/>
          <w:color w:val="auto"/>
          <w:sz w:val="24"/>
          <w:highlight w:val="none"/>
        </w:rPr>
        <w:t>3报价文件</w:t>
      </w:r>
    </w:p>
    <w:p>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2.3.1 开标一览表；</w:t>
      </w:r>
    </w:p>
    <w:p>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2.3.2投标报价明细表；</w:t>
      </w:r>
    </w:p>
    <w:p>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2.3.3 中小企业声明函（如有）；</w:t>
      </w:r>
    </w:p>
    <w:p>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2.3.4 残疾人福利性单位声明函（如有）；</w:t>
      </w:r>
    </w:p>
    <w:p>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2.3.5 监狱企业的证明文件（如有）；</w:t>
      </w:r>
    </w:p>
    <w:p>
      <w:pPr>
        <w:snapToGrid w:val="0"/>
        <w:spacing w:line="360" w:lineRule="auto"/>
        <w:ind w:firstLine="960" w:firstLineChars="4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2.3.6 政府采购统计基础信息表。</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3、我方承诺除商务技术偏离表列出的偏离外，我方响应招标文件的全部要求。</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4、如我方中标，我方承诺：</w:t>
      </w:r>
    </w:p>
    <w:p>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4.2在签订合同时不向你方提出附加条件；  </w:t>
      </w:r>
    </w:p>
    <w:p>
      <w:pPr>
        <w:snapToGrid w:val="0"/>
        <w:spacing w:line="360" w:lineRule="auto"/>
        <w:ind w:left="210" w:leftChars="100"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4.</w:t>
      </w:r>
      <w:r>
        <w:rPr>
          <w:rFonts w:hint="eastAsia" w:cs="仿宋" w:asciiTheme="majorEastAsia" w:hAnsiTheme="majorEastAsia" w:eastAsiaTheme="majorEastAsia"/>
          <w:color w:val="auto"/>
          <w:sz w:val="24"/>
          <w:highlight w:val="none"/>
          <w:lang w:val="en-US" w:eastAsia="zh-CN"/>
        </w:rPr>
        <w:t>3</w:t>
      </w:r>
      <w:r>
        <w:rPr>
          <w:rFonts w:hint="eastAsia" w:cs="仿宋" w:asciiTheme="majorEastAsia" w:hAnsiTheme="majorEastAsia" w:eastAsiaTheme="majorEastAsia"/>
          <w:color w:val="auto"/>
          <w:sz w:val="24"/>
          <w:highlight w:val="none"/>
        </w:rPr>
        <w:t xml:space="preserve">在合同约定的期限内完成合同规定的全部义务。 </w:t>
      </w:r>
    </w:p>
    <w:p>
      <w:pPr>
        <w:snapToGrid w:val="0"/>
        <w:spacing w:line="360" w:lineRule="auto"/>
        <w:ind w:firstLine="480" w:firstLineChars="2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5、其他补充说明: </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 xml:space="preserve"> 。</w:t>
      </w:r>
    </w:p>
    <w:p>
      <w:pPr>
        <w:spacing w:line="360" w:lineRule="auto"/>
        <w:ind w:firstLine="3600" w:firstLineChars="1500"/>
        <w:rPr>
          <w:rFonts w:cs="仿宋" w:asciiTheme="majorEastAsia" w:hAnsiTheme="majorEastAsia" w:eastAsiaTheme="majorEastAsia"/>
          <w:color w:val="auto"/>
          <w:sz w:val="24"/>
          <w:highlight w:val="none"/>
        </w:rPr>
      </w:pPr>
    </w:p>
    <w:p>
      <w:pPr>
        <w:spacing w:line="360" w:lineRule="auto"/>
        <w:ind w:firstLine="3600" w:firstLineChars="1500"/>
        <w:rPr>
          <w:rFonts w:cs="仿宋" w:asciiTheme="majorEastAsia" w:hAnsiTheme="majorEastAsia" w:eastAsiaTheme="majorEastAsia"/>
          <w:color w:val="auto"/>
          <w:sz w:val="24"/>
          <w:highlight w:val="none"/>
        </w:rPr>
      </w:pPr>
    </w:p>
    <w:p>
      <w:pPr>
        <w:spacing w:line="360" w:lineRule="auto"/>
        <w:ind w:right="420" w:firstLine="5250" w:firstLineChars="2500"/>
        <w:rPr>
          <w:rFonts w:ascii="宋体" w:hAnsi="宋体" w:cs="宋体"/>
          <w:color w:val="auto"/>
          <w:highlight w:val="none"/>
        </w:rPr>
      </w:pPr>
      <w:r>
        <w:rPr>
          <w:rFonts w:hint="eastAsia" w:ascii="宋体" w:hAnsi="宋体" w:cs="宋体"/>
          <w:color w:val="auto"/>
          <w:highlight w:val="none"/>
        </w:rPr>
        <w:t xml:space="preserve">法定代表人（签名或印章）：     </w:t>
      </w:r>
    </w:p>
    <w:p>
      <w:pPr>
        <w:spacing w:line="360" w:lineRule="auto"/>
        <w:ind w:right="420" w:firstLine="5460" w:firstLineChars="2600"/>
        <w:rPr>
          <w:rFonts w:ascii="宋体" w:hAnsi="宋体" w:cs="宋体"/>
          <w:color w:val="auto"/>
          <w:highlight w:val="none"/>
        </w:rPr>
      </w:pPr>
      <w:r>
        <w:rPr>
          <w:rFonts w:hint="eastAsia" w:ascii="宋体" w:hAnsi="宋体" w:cs="宋体"/>
          <w:color w:val="auto"/>
          <w:highlight w:val="none"/>
        </w:rPr>
        <w:t xml:space="preserve">投标人（盖章）：   </w:t>
      </w:r>
    </w:p>
    <w:p>
      <w:pPr>
        <w:spacing w:line="360" w:lineRule="auto"/>
        <w:ind w:right="420" w:firstLine="5355" w:firstLineChars="2550"/>
        <w:rPr>
          <w:rFonts w:ascii="宋体" w:hAnsi="宋体" w:cs="宋体"/>
          <w:color w:val="auto"/>
          <w:highlight w:val="none"/>
        </w:rPr>
      </w:pPr>
      <w:r>
        <w:rPr>
          <w:rFonts w:hint="eastAsia" w:ascii="宋体" w:hAnsi="宋体" w:cs="宋体"/>
          <w:color w:val="auto"/>
          <w:highlight w:val="none"/>
        </w:rPr>
        <w:t xml:space="preserve"> 年    月    日</w:t>
      </w:r>
    </w:p>
    <w:p>
      <w:pPr>
        <w:spacing w:line="360" w:lineRule="auto"/>
        <w:jc w:val="center"/>
        <w:rPr>
          <w:rFonts w:cs="仿宋" w:asciiTheme="majorEastAsia" w:hAnsiTheme="majorEastAsia" w:eastAsiaTheme="majorEastAsia"/>
          <w:b/>
          <w:color w:val="auto"/>
          <w:kern w:val="0"/>
          <w:sz w:val="32"/>
          <w:szCs w:val="32"/>
          <w:highlight w:val="none"/>
        </w:rPr>
      </w:pPr>
    </w:p>
    <w:p>
      <w:pPr>
        <w:spacing w:line="360" w:lineRule="auto"/>
        <w:jc w:val="center"/>
        <w:rPr>
          <w:rFonts w:cs="仿宋" w:asciiTheme="majorEastAsia" w:hAnsiTheme="majorEastAsia" w:eastAsiaTheme="majorEastAsia"/>
          <w:b/>
          <w:color w:val="auto"/>
          <w:kern w:val="0"/>
          <w:sz w:val="32"/>
          <w:szCs w:val="32"/>
          <w:highlight w:val="none"/>
          <w:lang w:val="zh-CN"/>
        </w:rPr>
      </w:pPr>
    </w:p>
    <w:p>
      <w:pPr>
        <w:spacing w:line="360" w:lineRule="auto"/>
        <w:rPr>
          <w:rFonts w:cs="仿宋" w:asciiTheme="majorEastAsia" w:hAnsiTheme="majorEastAsia" w:eastAsiaTheme="majorEastAsia"/>
          <w:b/>
          <w:color w:val="auto"/>
          <w:sz w:val="32"/>
          <w:szCs w:val="32"/>
          <w:highlight w:val="none"/>
        </w:rPr>
      </w:pPr>
      <w:bookmarkStart w:id="396" w:name="_Toc488936100"/>
      <w:bookmarkStart w:id="397" w:name="_Toc110393361"/>
      <w:bookmarkStart w:id="398" w:name="_Toc14746861"/>
      <w:bookmarkStart w:id="399" w:name="_Toc479927873"/>
      <w:bookmarkStart w:id="400" w:name="_Toc483379796"/>
      <w:bookmarkStart w:id="401" w:name="_Toc225223761"/>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授权委托书</w:t>
      </w:r>
    </w:p>
    <w:p>
      <w:pPr>
        <w:jc w:val="left"/>
        <w:rPr>
          <w:rFonts w:ascii="宋体" w:hAnsi="宋体" w:cs="宋体"/>
          <w:b/>
          <w:color w:val="auto"/>
          <w:sz w:val="32"/>
          <w:szCs w:val="32"/>
          <w:highlight w:val="none"/>
        </w:rPr>
      </w:pPr>
      <w:r>
        <w:rPr>
          <w:rFonts w:hint="eastAsia" w:cs="仿宋" w:asciiTheme="majorEastAsia" w:hAnsiTheme="majorEastAsia" w:eastAsiaTheme="majorEastAsia"/>
          <w:color w:val="auto"/>
          <w:sz w:val="24"/>
          <w:highlight w:val="none"/>
        </w:rPr>
        <w:t xml:space="preserve">                           </w:t>
      </w:r>
      <w:r>
        <w:rPr>
          <w:rFonts w:hint="eastAsia" w:ascii="宋体" w:hAnsi="宋体" w:cs="宋体"/>
          <w:b/>
          <w:color w:val="auto"/>
          <w:sz w:val="32"/>
          <w:szCs w:val="32"/>
          <w:highlight w:val="none"/>
        </w:rPr>
        <w:t>法定代表人授权委托书</w:t>
      </w:r>
    </w:p>
    <w:p>
      <w:pPr>
        <w:jc w:val="center"/>
        <w:rPr>
          <w:rFonts w:ascii="宋体" w:hAnsi="宋体" w:cs="宋体"/>
          <w:b/>
          <w:color w:val="auto"/>
          <w:sz w:val="32"/>
          <w:szCs w:val="32"/>
          <w:highlight w:val="none"/>
        </w:rPr>
      </w:pPr>
      <w:r>
        <w:rPr>
          <w:rFonts w:hint="eastAsia" w:ascii="宋体" w:hAnsi="宋体" w:cs="宋体"/>
          <w:bCs/>
          <w:color w:val="auto"/>
          <w:sz w:val="24"/>
          <w:highlight w:val="none"/>
        </w:rPr>
        <w:t>（法定代表人来投标的，此表不用）</w:t>
      </w:r>
    </w:p>
    <w:p>
      <w:pPr>
        <w:snapToGrid w:val="0"/>
        <w:spacing w:line="360" w:lineRule="auto"/>
        <w:rPr>
          <w:rFonts w:ascii="宋体" w:hAnsi="宋体" w:cs="宋体"/>
          <w:bCs/>
          <w:color w:val="auto"/>
          <w:sz w:val="24"/>
          <w:highlight w:val="none"/>
        </w:rPr>
      </w:pPr>
    </w:p>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（投标人名称）的法定代表人，现授权委托本单位在职职工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被授权人签名：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w:t>
      </w:r>
      <w:r>
        <w:rPr>
          <w:rFonts w:hint="eastAsia" w:ascii="宋体" w:hAnsi="宋体" w:cs="宋体"/>
          <w:color w:val="auto"/>
          <w:szCs w:val="21"/>
          <w:highlight w:val="none"/>
          <w:u w:val="single"/>
        </w:rPr>
        <w:t xml:space="preserve">          </w:t>
      </w:r>
    </w:p>
    <w:p>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ascii="宋体" w:hAnsi="宋体" w:cs="宋体"/>
          <w:color w:val="auto"/>
          <w:szCs w:val="21"/>
          <w:highlight w:val="none"/>
        </w:rPr>
      </w:pPr>
    </w:p>
    <w:p>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pPr>
        <w:spacing w:line="360" w:lineRule="auto"/>
        <w:ind w:firstLine="1260" w:firstLineChars="600"/>
        <w:rPr>
          <w:rFonts w:ascii="宋体" w:hAnsi="宋体" w:cs="宋体"/>
          <w:color w:val="auto"/>
          <w:highlight w:val="none"/>
        </w:rPr>
      </w:pPr>
      <w:r>
        <w:rPr>
          <w:rFonts w:hint="eastAsia" w:ascii="宋体" w:hAnsi="宋体" w:cs="宋体"/>
          <w:color w:val="auto"/>
          <w:highlight w:val="none"/>
        </w:rPr>
        <w:t xml:space="preserve">                                  日期：</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附：法定代表人身份证复印件（正反面）、授权代表身份证复印件（正反面）：</w:t>
      </w:r>
    </w:p>
    <w:p>
      <w:pPr>
        <w:snapToGrid w:val="0"/>
        <w:spacing w:line="360" w:lineRule="auto"/>
        <w:rPr>
          <w:rFonts w:cs="仿宋" w:asciiTheme="majorEastAsia" w:hAnsiTheme="majorEastAsia" w:eastAsiaTheme="majorEastAsia"/>
          <w:color w:val="auto"/>
          <w:sz w:val="24"/>
          <w:highlight w:val="none"/>
        </w:rPr>
      </w:pPr>
    </w:p>
    <w:p>
      <w:pPr>
        <w:spacing w:line="360" w:lineRule="auto"/>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b/>
          <w:color w:val="auto"/>
          <w:kern w:val="0"/>
          <w:sz w:val="32"/>
          <w:szCs w:val="32"/>
          <w:highlight w:val="none"/>
          <w:lang w:val="zh-CN"/>
        </w:rPr>
        <w:t xml:space="preserve">      </w:t>
      </w:r>
      <w:r>
        <w:rPr>
          <w:rFonts w:hint="eastAsia" w:cs="仿宋" w:asciiTheme="majorEastAsia" w:hAnsiTheme="majorEastAsia" w:eastAsiaTheme="majorEastAsia"/>
          <w:b/>
          <w:color w:val="auto"/>
          <w:kern w:val="0"/>
          <w:sz w:val="32"/>
          <w:szCs w:val="32"/>
          <w:highlight w:val="none"/>
        </w:rPr>
        <w:t xml:space="preserve"> </w:t>
      </w:r>
    </w:p>
    <w:p>
      <w:pPr>
        <w:spacing w:line="360" w:lineRule="auto"/>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投标人基本情况</w:t>
      </w:r>
      <w:bookmarkEnd w:id="396"/>
      <w:bookmarkEnd w:id="397"/>
      <w:bookmarkEnd w:id="398"/>
      <w:bookmarkEnd w:id="399"/>
      <w:bookmarkEnd w:id="400"/>
      <w:bookmarkEnd w:id="401"/>
      <w:r>
        <w:rPr>
          <w:rFonts w:hint="eastAsia" w:cs="仿宋" w:asciiTheme="majorEastAsia" w:hAnsiTheme="majorEastAsia" w:eastAsiaTheme="majorEastAsia"/>
          <w:b/>
          <w:color w:val="auto"/>
          <w:kern w:val="0"/>
          <w:sz w:val="32"/>
          <w:szCs w:val="32"/>
          <w:highlight w:val="none"/>
          <w:lang w:val="zh-CN"/>
        </w:rPr>
        <w:t>表</w:t>
      </w:r>
    </w:p>
    <w:tbl>
      <w:tblPr>
        <w:tblStyle w:val="18"/>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投标人名称</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注册地址</w:t>
            </w:r>
          </w:p>
        </w:tc>
        <w:tc>
          <w:tcPr>
            <w:tcW w:w="2809"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成立时间</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统一信用代码</w:t>
            </w:r>
          </w:p>
        </w:tc>
        <w:tc>
          <w:tcPr>
            <w:tcW w:w="2809"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注册资金</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投标联系人姓名</w:t>
            </w:r>
          </w:p>
        </w:tc>
        <w:tc>
          <w:tcPr>
            <w:tcW w:w="193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法定代表人姓名</w:t>
            </w:r>
          </w:p>
        </w:tc>
        <w:tc>
          <w:tcPr>
            <w:tcW w:w="193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手机</w:t>
            </w:r>
          </w:p>
        </w:tc>
        <w:tc>
          <w:tcPr>
            <w:tcW w:w="1852"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项目负责人姓名</w:t>
            </w:r>
          </w:p>
        </w:tc>
        <w:tc>
          <w:tcPr>
            <w:tcW w:w="193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电话</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20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技术职称</w:t>
            </w:r>
          </w:p>
        </w:tc>
        <w:tc>
          <w:tcPr>
            <w:tcW w:w="1852"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936" w:type="dxa"/>
            <w:vMerge w:val="restart"/>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restart"/>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w:t>
            </w: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高级职称</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中级职称</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936" w:type="dxa"/>
            <w:vMerge w:val="continue"/>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873" w:type="dxa"/>
            <w:vMerge w:val="continue"/>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786"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各类注册人员</w:t>
            </w:r>
          </w:p>
        </w:tc>
        <w:tc>
          <w:tcPr>
            <w:tcW w:w="3052" w:type="dxa"/>
            <w:gridSpan w:val="2"/>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基本账户开户银行</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基本账户账号</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经营范围</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备注</w:t>
            </w:r>
          </w:p>
        </w:tc>
        <w:tc>
          <w:tcPr>
            <w:tcW w:w="7647" w:type="dxa"/>
            <w:gridSpan w:val="5"/>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bl>
    <w:p>
      <w:pPr>
        <w:adjustRightInd w:val="0"/>
        <w:snapToGrid w:val="0"/>
        <w:spacing w:line="360" w:lineRule="auto"/>
        <w:ind w:firstLine="482" w:firstLineChars="200"/>
        <w:rPr>
          <w:rFonts w:cs="仿宋" w:asciiTheme="majorEastAsia" w:hAnsiTheme="majorEastAsia" w:eastAsiaTheme="majorEastAsia"/>
          <w:b/>
          <w:bCs/>
          <w:color w:val="auto"/>
          <w:kern w:val="0"/>
          <w:sz w:val="24"/>
          <w:highlight w:val="none"/>
          <w:lang w:val="zh-CN"/>
        </w:rPr>
      </w:pPr>
      <w:r>
        <w:rPr>
          <w:rFonts w:hint="eastAsia" w:cs="仿宋" w:asciiTheme="majorEastAsia" w:hAnsiTheme="majorEastAsia" w:eastAsiaTheme="majorEastAsia"/>
          <w:b/>
          <w:bCs/>
          <w:color w:val="auto"/>
          <w:kern w:val="0"/>
          <w:sz w:val="24"/>
          <w:highlight w:val="none"/>
          <w:lang w:val="zh-CN"/>
        </w:rPr>
        <w:t>兹证明上述声明是真实、正确的，并提供了全部能提供的资料和数据，我们同意遵照贵方要求出示有关证明文件。</w:t>
      </w:r>
    </w:p>
    <w:p>
      <w:pPr>
        <w:adjustRightInd w:val="0"/>
        <w:snapToGrid w:val="0"/>
        <w:spacing w:line="360" w:lineRule="auto"/>
        <w:rPr>
          <w:rFonts w:cs="仿宋" w:asciiTheme="majorEastAsia" w:hAnsiTheme="majorEastAsia" w:eastAsiaTheme="majorEastAsia"/>
          <w:color w:val="auto"/>
          <w:kern w:val="0"/>
          <w:sz w:val="24"/>
          <w:highlight w:val="none"/>
          <w:lang w:val="zh-CN"/>
        </w:rPr>
      </w:pPr>
    </w:p>
    <w:p>
      <w:pPr>
        <w:pStyle w:val="2"/>
        <w:spacing w:line="360" w:lineRule="auto"/>
        <w:ind w:firstLine="560"/>
        <w:rPr>
          <w:rFonts w:cs="仿宋" w:asciiTheme="majorEastAsia" w:hAnsiTheme="majorEastAsia" w:eastAsiaTheme="majorEastAsia"/>
          <w:color w:val="auto"/>
          <w:highlight w:val="none"/>
          <w:lang w:val="zh-CN"/>
        </w:rPr>
      </w:pPr>
    </w:p>
    <w:p>
      <w:pP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adjustRightInd w:val="0"/>
        <w:snapToGrid w:val="0"/>
        <w:spacing w:line="360" w:lineRule="auto"/>
        <w:ind w:firstLine="4080" w:firstLineChars="17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距采购人最近或者能为本项目提供最优服务的网点情况表</w:t>
      </w:r>
    </w:p>
    <w:p>
      <w:pPr>
        <w:spacing w:line="360" w:lineRule="auto"/>
        <w:rPr>
          <w:rFonts w:cs="仿宋" w:asciiTheme="majorEastAsia" w:hAnsiTheme="majorEastAsia" w:eastAsiaTheme="majorEastAsia"/>
          <w:color w:val="auto"/>
          <w:highlight w:val="none"/>
        </w:rPr>
      </w:pP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pPr>
              <w:adjustRightInd w:val="0"/>
              <w:snapToGrid w:val="0"/>
              <w:spacing w:line="360" w:lineRule="auto"/>
              <w:rPr>
                <w:rFonts w:cs="仿宋" w:asciiTheme="majorEastAsia" w:hAnsiTheme="majorEastAsia" w:eastAsiaTheme="majorEastAsia"/>
                <w:color w:val="auto"/>
                <w:kern w:val="0"/>
                <w:sz w:val="24"/>
                <w:highlight w:val="none"/>
                <w:lang w:val="zh-CN"/>
              </w:rPr>
            </w:pPr>
          </w:p>
        </w:tc>
      </w:tr>
    </w:tbl>
    <w:p>
      <w:pPr>
        <w:spacing w:line="360" w:lineRule="auto"/>
        <w:rPr>
          <w:rFonts w:cs="仿宋" w:asciiTheme="majorEastAsia" w:hAnsiTheme="majorEastAsia" w:eastAsiaTheme="majorEastAsia"/>
          <w:color w:val="auto"/>
          <w:highlight w:val="none"/>
        </w:rPr>
      </w:pPr>
    </w:p>
    <w:p>
      <w:pPr>
        <w:spacing w:line="360" w:lineRule="auto"/>
        <w:rPr>
          <w:rFonts w:cs="仿宋" w:asciiTheme="majorEastAsia" w:hAnsiTheme="majorEastAsia" w:eastAsiaTheme="majorEastAsia"/>
          <w:color w:val="auto"/>
          <w:highlight w:val="none"/>
        </w:rPr>
      </w:pPr>
    </w:p>
    <w:p>
      <w:pPr>
        <w:adjustRightInd w:val="0"/>
        <w:snapToGrid w:val="0"/>
        <w:spacing w:line="360" w:lineRule="auto"/>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highlight w:val="none"/>
        </w:rPr>
        <w:t xml:space="preserve">       </w:t>
      </w:r>
    </w:p>
    <w:p>
      <w:pP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adjustRightInd w:val="0"/>
        <w:snapToGrid w:val="0"/>
        <w:spacing w:line="360" w:lineRule="auto"/>
        <w:ind w:left="3990" w:leftChars="19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adjustRightInd w:val="0"/>
        <w:snapToGrid w:val="0"/>
        <w:spacing w:line="360" w:lineRule="auto"/>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评标标准相应的商务技术资料</w:t>
      </w:r>
    </w:p>
    <w:p>
      <w:pPr>
        <w:snapToGrid w:val="0"/>
        <w:spacing w:line="360" w:lineRule="auto"/>
        <w:jc w:val="left"/>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（按招标文件第四部分评标办法前附表中“投标文件中评标标准相应的商务技术资料目录”提供资料）</w:t>
      </w:r>
    </w:p>
    <w:p>
      <w:pPr>
        <w:pStyle w:val="2"/>
        <w:ind w:firstLine="560"/>
        <w:rPr>
          <w:rFonts w:asciiTheme="majorEastAsia" w:hAnsiTheme="majorEastAsia" w:eastAsiaTheme="majorEastAsia"/>
          <w:color w:val="auto"/>
          <w:highlight w:val="none"/>
          <w:lang w:val="zh-CN"/>
        </w:rPr>
      </w:pP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商务偏离表</w:t>
      </w:r>
    </w:p>
    <w:tbl>
      <w:tblPr>
        <w:tblStyle w:val="18"/>
        <w:tblW w:w="5171" w:type="pct"/>
        <w:tblInd w:w="0" w:type="dxa"/>
        <w:tblLayout w:type="autofit"/>
        <w:tblCellMar>
          <w:top w:w="0" w:type="dxa"/>
          <w:left w:w="108" w:type="dxa"/>
          <w:bottom w:w="0" w:type="dxa"/>
          <w:right w:w="108" w:type="dxa"/>
        </w:tblCellMar>
      </w:tblPr>
      <w:tblGrid>
        <w:gridCol w:w="763"/>
        <w:gridCol w:w="5409"/>
        <w:gridCol w:w="1639"/>
        <w:gridCol w:w="1793"/>
      </w:tblGrid>
      <w:tr>
        <w:tblPrEx>
          <w:tblCellMar>
            <w:top w:w="0" w:type="dxa"/>
            <w:left w:w="108" w:type="dxa"/>
            <w:bottom w:w="0" w:type="dxa"/>
            <w:right w:w="108" w:type="dxa"/>
          </w:tblCellMar>
        </w:tblPrEx>
        <w:trPr>
          <w:trHeight w:val="281"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项目</w:t>
            </w:r>
          </w:p>
        </w:tc>
        <w:tc>
          <w:tcPr>
            <w:tcW w:w="2814"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jc w:val="center"/>
              <w:rPr>
                <w:rFonts w:cs="仿宋" w:asciiTheme="majorEastAsia" w:hAnsiTheme="majorEastAsia" w:eastAsiaTheme="majorEastAsia"/>
                <w:b/>
                <w:bCs/>
                <w:color w:val="auto"/>
                <w:kern w:val="0"/>
                <w:sz w:val="24"/>
                <w:highlight w:val="none"/>
              </w:rPr>
            </w:pPr>
            <w:r>
              <w:rPr>
                <w:rFonts w:hint="eastAsia" w:cs="仿宋" w:asciiTheme="majorEastAsia" w:hAnsiTheme="majorEastAsia" w:eastAsiaTheme="majorEastAsia"/>
                <w:b/>
                <w:bCs/>
                <w:color w:val="auto"/>
                <w:kern w:val="0"/>
                <w:sz w:val="24"/>
                <w:highlight w:val="none"/>
              </w:rPr>
              <w:t>要 求</w:t>
            </w:r>
          </w:p>
        </w:tc>
        <w:tc>
          <w:tcPr>
            <w:tcW w:w="853"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偏离情况</w:t>
            </w:r>
          </w:p>
        </w:tc>
        <w:tc>
          <w:tcPr>
            <w:tcW w:w="933"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投标人承诺或说明</w:t>
            </w:r>
          </w:p>
        </w:tc>
      </w:tr>
      <w:tr>
        <w:tblPrEx>
          <w:tblCellMar>
            <w:top w:w="0" w:type="dxa"/>
            <w:left w:w="108" w:type="dxa"/>
            <w:bottom w:w="0" w:type="dxa"/>
            <w:right w:w="108" w:type="dxa"/>
          </w:tblCellMar>
        </w:tblPrEx>
        <w:trPr>
          <w:trHeight w:val="469"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rPr>
                <w:rFonts w:cs="仿宋" w:asciiTheme="majorEastAsia" w:hAnsiTheme="majorEastAsia" w:eastAsiaTheme="majorEastAsia"/>
                <w:color w:val="auto"/>
                <w:kern w:val="0"/>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rPr>
                <w:rFonts w:cs="仿宋" w:asciiTheme="majorEastAsia" w:hAnsiTheme="majorEastAsia" w:eastAsiaTheme="majorEastAsia"/>
                <w:color w:val="auto"/>
                <w:kern w:val="0"/>
                <w:sz w:val="24"/>
                <w:highlight w:val="none"/>
              </w:rPr>
            </w:pPr>
          </w:p>
        </w:tc>
      </w:tr>
      <w:tr>
        <w:tblPrEx>
          <w:tblCellMar>
            <w:top w:w="0" w:type="dxa"/>
            <w:left w:w="108" w:type="dxa"/>
            <w:bottom w:w="0" w:type="dxa"/>
            <w:right w:w="108" w:type="dxa"/>
          </w:tblCellMar>
        </w:tblPrEx>
        <w:trPr>
          <w:trHeight w:val="469"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rPr>
                <w:color w:val="auto"/>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r>
      <w:tr>
        <w:tblPrEx>
          <w:tblCellMar>
            <w:top w:w="0" w:type="dxa"/>
            <w:left w:w="108" w:type="dxa"/>
            <w:bottom w:w="0" w:type="dxa"/>
            <w:right w:w="108" w:type="dxa"/>
          </w:tblCellMar>
        </w:tblPrEx>
        <w:trPr>
          <w:trHeight w:val="469"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tabs>
                <w:tab w:val="left" w:pos="0"/>
              </w:tabs>
              <w:adjustRightInd w:val="0"/>
              <w:snapToGrid w:val="0"/>
              <w:spacing w:line="360" w:lineRule="auto"/>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left="-108" w:right="-120"/>
              <w:jc w:val="left"/>
              <w:rPr>
                <w:rFonts w:ascii="宋体" w:hAnsi="宋体" w:cs="宋体"/>
                <w:color w:val="auto"/>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widowControl/>
              <w:spacing w:line="0" w:lineRule="atLeast"/>
              <w:ind w:left="-108" w:right="-120"/>
              <w:jc w:val="left"/>
              <w:rPr>
                <w:rFonts w:ascii="宋体" w:hAnsi="宋体" w:cs="宋体"/>
                <w:color w:val="auto"/>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widowControl/>
              <w:spacing w:line="0" w:lineRule="atLeast"/>
              <w:ind w:left="-108" w:right="-120"/>
              <w:jc w:val="left"/>
              <w:rPr>
                <w:rFonts w:ascii="宋体" w:hAnsi="宋体" w:cs="宋体"/>
                <w:color w:val="auto"/>
                <w:sz w:val="24"/>
                <w:highlight w:val="none"/>
              </w:rPr>
            </w:pPr>
          </w:p>
        </w:tc>
      </w:tr>
      <w:tr>
        <w:tblPrEx>
          <w:tblCellMar>
            <w:top w:w="0" w:type="dxa"/>
            <w:left w:w="108" w:type="dxa"/>
            <w:bottom w:w="0" w:type="dxa"/>
            <w:right w:w="108" w:type="dxa"/>
          </w:tblCellMar>
        </w:tblPrEx>
        <w:trPr>
          <w:trHeight w:val="342"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r>
      <w:tr>
        <w:tblPrEx>
          <w:tblCellMar>
            <w:top w:w="0" w:type="dxa"/>
            <w:left w:w="108" w:type="dxa"/>
            <w:bottom w:w="0" w:type="dxa"/>
            <w:right w:w="108" w:type="dxa"/>
          </w:tblCellMar>
        </w:tblPrEx>
        <w:trPr>
          <w:trHeight w:val="469"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r>
      <w:tr>
        <w:tblPrEx>
          <w:tblCellMar>
            <w:top w:w="0" w:type="dxa"/>
            <w:left w:w="108" w:type="dxa"/>
            <w:bottom w:w="0" w:type="dxa"/>
            <w:right w:w="108" w:type="dxa"/>
          </w:tblCellMar>
        </w:tblPrEx>
        <w:trPr>
          <w:trHeight w:val="549"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r>
      <w:tr>
        <w:tblPrEx>
          <w:tblCellMar>
            <w:top w:w="0" w:type="dxa"/>
            <w:left w:w="108" w:type="dxa"/>
            <w:bottom w:w="0" w:type="dxa"/>
            <w:right w:w="108" w:type="dxa"/>
          </w:tblCellMar>
        </w:tblPrEx>
        <w:trPr>
          <w:trHeight w:val="666" w:hRule="atLeast"/>
        </w:trPr>
        <w:tc>
          <w:tcPr>
            <w:tcW w:w="397"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r>
      <w:tr>
        <w:tblPrEx>
          <w:tblCellMar>
            <w:top w:w="0" w:type="dxa"/>
            <w:left w:w="108" w:type="dxa"/>
            <w:bottom w:w="0" w:type="dxa"/>
            <w:right w:w="108" w:type="dxa"/>
          </w:tblCellMar>
        </w:tblPrEx>
        <w:tc>
          <w:tcPr>
            <w:tcW w:w="397"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2814" w:type="pct"/>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left"/>
              <w:rPr>
                <w:rFonts w:cs="仿宋" w:asciiTheme="majorEastAsia" w:hAnsiTheme="majorEastAsia" w:eastAsiaTheme="majorEastAsia"/>
                <w:color w:val="auto"/>
                <w:kern w:val="0"/>
                <w:sz w:val="24"/>
                <w:highlight w:val="none"/>
              </w:rPr>
            </w:pPr>
          </w:p>
        </w:tc>
        <w:tc>
          <w:tcPr>
            <w:tcW w:w="85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c>
          <w:tcPr>
            <w:tcW w:w="933" w:type="pct"/>
            <w:tcBorders>
              <w:top w:val="single" w:color="000000" w:sz="4" w:space="0"/>
              <w:left w:val="single" w:color="000000" w:sz="4" w:space="0"/>
              <w:bottom w:val="single" w:color="000000" w:sz="4" w:space="0"/>
              <w:right w:val="single" w:color="000000" w:sz="4" w:space="0"/>
            </w:tcBorders>
          </w:tcPr>
          <w:p>
            <w:pPr>
              <w:pStyle w:val="2"/>
              <w:ind w:firstLine="0" w:firstLineChars="0"/>
              <w:jc w:val="left"/>
              <w:rPr>
                <w:rFonts w:cs="仿宋" w:asciiTheme="majorEastAsia" w:hAnsiTheme="majorEastAsia" w:eastAsiaTheme="majorEastAsia"/>
                <w:color w:val="auto"/>
                <w:kern w:val="0"/>
                <w:sz w:val="24"/>
                <w:highlight w:val="none"/>
              </w:rPr>
            </w:pPr>
          </w:p>
        </w:tc>
      </w:tr>
    </w:tbl>
    <w:p>
      <w:pPr>
        <w:spacing w:line="360" w:lineRule="auto"/>
        <w:jc w:val="left"/>
        <w:rPr>
          <w:rFonts w:hint="default" w:cs="仿宋" w:asciiTheme="majorEastAsia" w:hAnsiTheme="majorEastAsia" w:eastAsiaTheme="majorEastAsia"/>
          <w:color w:val="auto"/>
          <w:kern w:val="0"/>
          <w:sz w:val="24"/>
          <w:highlight w:val="none"/>
          <w:lang w:val="en-US" w:eastAsia="zh-CN"/>
        </w:rPr>
      </w:pPr>
      <w:r>
        <w:rPr>
          <w:rFonts w:hint="eastAsia" w:cs="仿宋" w:asciiTheme="majorEastAsia" w:hAnsiTheme="majorEastAsia" w:eastAsiaTheme="majorEastAsia"/>
          <w:color w:val="auto"/>
          <w:kern w:val="0"/>
          <w:sz w:val="24"/>
          <w:highlight w:val="none"/>
          <w:lang w:val="en-US" w:eastAsia="zh-CN"/>
        </w:rPr>
        <w:t xml:space="preserve">注：根据采购文件第三章 商务要求  逐项填写。 </w:t>
      </w:r>
    </w:p>
    <w:p>
      <w:pPr>
        <w:spacing w:line="360" w:lineRule="auto"/>
        <w:jc w:val="left"/>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投标人保证：除商务偏离表列出的偏离外，投标人响应招标文件的全部商务要求。</w:t>
      </w:r>
    </w:p>
    <w:p>
      <w:pPr>
        <w:adjustRightInd w:val="0"/>
        <w:snapToGrid w:val="0"/>
        <w:spacing w:line="360" w:lineRule="auto"/>
        <w:jc w:val="right"/>
        <w:rPr>
          <w:rFonts w:hint="eastAsia" w:cs="仿宋" w:asciiTheme="majorEastAsia" w:hAnsiTheme="majorEastAsia" w:eastAsiaTheme="majorEastAsia"/>
          <w:color w:val="auto"/>
          <w:kern w:val="0"/>
          <w:sz w:val="24"/>
          <w:highlight w:val="none"/>
          <w:lang w:val="zh-CN"/>
        </w:rPr>
      </w:pPr>
    </w:p>
    <w:p>
      <w:pPr>
        <w:adjustRightInd w:val="0"/>
        <w:snapToGrid w:val="0"/>
        <w:spacing w:line="360" w:lineRule="auto"/>
        <w:jc w:val="right"/>
        <w:rPr>
          <w:rFonts w:hint="eastAsia" w:cs="仿宋" w:asciiTheme="majorEastAsia" w:hAnsiTheme="majorEastAsia" w:eastAsiaTheme="majorEastAsia"/>
          <w:color w:val="auto"/>
          <w:kern w:val="0"/>
          <w:sz w:val="24"/>
          <w:highlight w:val="none"/>
          <w:lang w:val="zh-CN"/>
        </w:rPr>
      </w:pPr>
    </w:p>
    <w:p>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widowControl/>
        <w:jc w:val="left"/>
        <w:rPr>
          <w:rFonts w:asciiTheme="majorEastAsia" w:hAnsiTheme="majorEastAsia" w:eastAsiaTheme="majorEastAsia"/>
          <w:color w:val="auto"/>
          <w:sz w:val="28"/>
          <w:highlight w:val="none"/>
          <w:lang w:val="zh-CN"/>
        </w:rPr>
      </w:pPr>
    </w:p>
    <w:p>
      <w:pPr>
        <w:widowControl/>
        <w:jc w:val="left"/>
        <w:rPr>
          <w:rFonts w:asciiTheme="majorEastAsia" w:hAnsiTheme="majorEastAsia" w:eastAsiaTheme="majorEastAsia"/>
          <w:color w:val="auto"/>
          <w:sz w:val="28"/>
          <w:highlight w:val="none"/>
          <w:lang w:val="zh-CN"/>
        </w:rPr>
      </w:pPr>
      <w:r>
        <w:rPr>
          <w:rFonts w:asciiTheme="majorEastAsia" w:hAnsiTheme="majorEastAsia" w:eastAsiaTheme="majorEastAsia"/>
          <w:color w:val="auto"/>
          <w:highlight w:val="none"/>
          <w:lang w:val="zh-CN"/>
        </w:rPr>
        <w:br w:type="page"/>
      </w:r>
    </w:p>
    <w:p>
      <w:pPr>
        <w:pStyle w:val="2"/>
        <w:ind w:firstLine="560"/>
        <w:rPr>
          <w:rFonts w:asciiTheme="majorEastAsia" w:hAnsiTheme="majorEastAsia" w:eastAsiaTheme="majorEastAsia"/>
          <w:color w:val="auto"/>
          <w:highlight w:val="none"/>
          <w:lang w:val="zh-CN"/>
        </w:rPr>
      </w:pP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t>技术偏离表</w:t>
      </w:r>
    </w:p>
    <w:p>
      <w:pPr>
        <w:spacing w:line="360" w:lineRule="auto"/>
        <w:jc w:val="center"/>
        <w:rPr>
          <w:color w:val="auto"/>
          <w:highlight w:val="none"/>
        </w:rPr>
      </w:pPr>
      <w:r>
        <w:rPr>
          <w:rFonts w:hint="eastAsia" w:ascii="宋体" w:hAnsi="宋体" w:cs="宋体"/>
          <w:b/>
          <w:color w:val="auto"/>
          <w:highlight w:val="none"/>
        </w:rPr>
        <w:t>1.带</w:t>
      </w:r>
      <w:r>
        <w:rPr>
          <w:rFonts w:hint="eastAsia" w:ascii="宋体" w:hAnsi="宋体" w:eastAsia="宋体" w:cs="宋体"/>
          <w:b/>
          <w:color w:val="auto"/>
          <w:highlight w:val="none"/>
        </w:rPr>
        <w:t>▲</w:t>
      </w:r>
      <w:r>
        <w:rPr>
          <w:rFonts w:hint="eastAsia" w:ascii="宋体" w:hAnsi="宋体" w:cs="宋体"/>
          <w:b/>
          <w:color w:val="auto"/>
          <w:highlight w:val="none"/>
        </w:rPr>
        <w:t>条款响应一览表</w:t>
      </w:r>
    </w:p>
    <w:p>
      <w:pPr>
        <w:ind w:firstLine="210" w:firstLineChars="100"/>
        <w:rPr>
          <w:rFonts w:ascii="宋体" w:hAnsi="宋体" w:cs="宋体"/>
          <w:color w:val="auto"/>
          <w:highlight w:val="none"/>
        </w:rPr>
      </w:pPr>
      <w:r>
        <w:rPr>
          <w:rFonts w:hint="eastAsia" w:ascii="宋体" w:hAnsi="宋体" w:cs="宋体"/>
          <w:color w:val="auto"/>
          <w:highlight w:val="none"/>
        </w:rPr>
        <w:t xml:space="preserve">  项目名称：     </w:t>
      </w:r>
    </w:p>
    <w:p>
      <w:pPr>
        <w:ind w:firstLine="210" w:firstLineChars="100"/>
        <w:rPr>
          <w:rFonts w:ascii="宋体" w:hAnsi="宋体" w:cs="宋体"/>
          <w:color w:val="auto"/>
          <w:highlight w:val="none"/>
        </w:rPr>
      </w:pPr>
      <w:r>
        <w:rPr>
          <w:rFonts w:hint="eastAsia" w:ascii="宋体" w:hAnsi="宋体" w:cs="宋体"/>
          <w:color w:val="auto"/>
          <w:highlight w:val="none"/>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r>
              <w:rPr>
                <w:rFonts w:hint="eastAsia" w:ascii="宋体" w:hAnsi="宋体" w:cs="宋体"/>
                <w:color w:val="auto"/>
                <w:highlight w:val="none"/>
              </w:rPr>
              <w:t>……</w:t>
            </w: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bl>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注：投标人必须对应采购文件“第三部分 采购需求”带“</w:t>
      </w:r>
      <w:r>
        <w:rPr>
          <w:rFonts w:hint="eastAsia" w:ascii="宋体" w:hAnsi="宋体" w:eastAsia="宋体" w:cs="宋体"/>
          <w:b/>
          <w:color w:val="auto"/>
          <w:highlight w:val="none"/>
        </w:rPr>
        <w:t>▲</w:t>
      </w:r>
      <w:r>
        <w:rPr>
          <w:rFonts w:hint="eastAsia" w:ascii="宋体" w:hAnsi="宋体" w:cs="宋体"/>
          <w:color w:val="auto"/>
          <w:highlight w:val="none"/>
        </w:rPr>
        <w:t>”的条款逐条应答并按要求填写上表。条款如要求提供的相关证明资料</w:t>
      </w:r>
      <w:r>
        <w:rPr>
          <w:rFonts w:hint="eastAsia" w:ascii="宋体" w:hAnsi="宋体" w:cs="宋体"/>
          <w:color w:val="auto"/>
          <w:highlight w:val="none"/>
          <w:lang w:val="en-US" w:eastAsia="zh-CN"/>
        </w:rPr>
        <w:t>或人员证书等</w:t>
      </w:r>
      <w:r>
        <w:rPr>
          <w:rFonts w:hint="eastAsia" w:ascii="宋体" w:hAnsi="宋体" w:cs="宋体"/>
          <w:color w:val="auto"/>
          <w:highlight w:val="none"/>
        </w:rPr>
        <w:t>必须一并提供，否则视为不响应。</w:t>
      </w:r>
    </w:p>
    <w:p>
      <w:pPr>
        <w:spacing w:line="360" w:lineRule="auto"/>
        <w:ind w:firstLine="211" w:firstLineChars="100"/>
        <w:rPr>
          <w:rFonts w:ascii="宋体" w:hAnsi="宋体" w:cs="宋体"/>
          <w:b/>
          <w:color w:val="auto"/>
          <w:highlight w:val="none"/>
        </w:rPr>
      </w:pPr>
    </w:p>
    <w:p>
      <w:pPr>
        <w:spacing w:line="360" w:lineRule="auto"/>
        <w:ind w:firstLine="3360" w:firstLineChars="1600"/>
        <w:rPr>
          <w:rFonts w:ascii="宋体" w:hAnsi="宋体" w:cs="宋体"/>
          <w:color w:val="auto"/>
          <w:highlight w:val="none"/>
        </w:rPr>
      </w:pPr>
      <w:r>
        <w:rPr>
          <w:rFonts w:hint="eastAsia" w:ascii="宋体" w:hAnsi="宋体" w:cs="宋体"/>
          <w:color w:val="auto"/>
          <w:highlight w:val="none"/>
        </w:rPr>
        <w:t>法定代表人或其授权委托人（签名或印章）：</w:t>
      </w:r>
    </w:p>
    <w:p>
      <w:pPr>
        <w:spacing w:line="360" w:lineRule="auto"/>
        <w:ind w:firstLine="4830" w:firstLineChars="2300"/>
        <w:rPr>
          <w:rFonts w:ascii="宋体" w:hAnsi="宋体" w:cs="宋体"/>
          <w:color w:val="auto"/>
          <w:highlight w:val="none"/>
        </w:rPr>
      </w:pPr>
      <w:r>
        <w:rPr>
          <w:rFonts w:hint="eastAsia" w:ascii="宋体" w:hAnsi="宋体" w:cs="宋体"/>
          <w:color w:val="auto"/>
          <w:highlight w:val="none"/>
        </w:rPr>
        <w:t>投标人（盖章）：</w:t>
      </w:r>
    </w:p>
    <w:p>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pPr>
        <w:pStyle w:val="47"/>
        <w:ind w:left="0" w:leftChars="0" w:firstLine="0" w:firstLineChars="0"/>
        <w:jc w:val="both"/>
        <w:rPr>
          <w:rFonts w:hint="eastAsia" w:ascii="宋体" w:hAnsi="宋体" w:cs="宋体"/>
          <w:b/>
          <w:color w:val="auto"/>
          <w:highlight w:val="none"/>
        </w:rPr>
      </w:pPr>
    </w:p>
    <w:p>
      <w:pPr>
        <w:pStyle w:val="47"/>
        <w:ind w:left="420" w:firstLine="0" w:firstLineChars="0"/>
        <w:jc w:val="center"/>
        <w:rPr>
          <w:rFonts w:ascii="宋体" w:hAnsi="宋体" w:cs="宋体"/>
          <w:color w:val="auto"/>
          <w:highlight w:val="none"/>
        </w:rPr>
      </w:pPr>
      <w:r>
        <w:rPr>
          <w:rFonts w:hint="eastAsia" w:ascii="宋体" w:hAnsi="宋体" w:cs="宋体"/>
          <w:b/>
          <w:color w:val="auto"/>
          <w:highlight w:val="none"/>
        </w:rPr>
        <w:t>2.一般性条款响应一览表</w:t>
      </w:r>
    </w:p>
    <w:p>
      <w:pPr>
        <w:ind w:firstLine="420" w:firstLineChars="200"/>
        <w:rPr>
          <w:rFonts w:ascii="宋体" w:hAnsi="宋体" w:cs="宋体"/>
          <w:color w:val="auto"/>
          <w:highlight w:val="none"/>
        </w:rPr>
      </w:pPr>
      <w:r>
        <w:rPr>
          <w:rFonts w:hint="eastAsia" w:ascii="宋体" w:hAnsi="宋体" w:cs="宋体"/>
          <w:color w:val="auto"/>
          <w:highlight w:val="none"/>
        </w:rPr>
        <w:t xml:space="preserve">项目名称：     </w:t>
      </w:r>
    </w:p>
    <w:p>
      <w:pPr>
        <w:pStyle w:val="47"/>
        <w:ind w:left="420" w:firstLine="0" w:firstLineChars="0"/>
        <w:rPr>
          <w:rFonts w:ascii="宋体" w:hAnsi="宋体" w:cs="宋体"/>
          <w:color w:val="auto"/>
          <w:highlight w:val="none"/>
        </w:rPr>
      </w:pPr>
      <w:r>
        <w:rPr>
          <w:rFonts w:hint="eastAsia" w:ascii="宋体" w:hAnsi="宋体" w:cs="宋体"/>
          <w:color w:val="auto"/>
          <w:highlight w:val="none"/>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87" w:type="dxa"/>
            <w:vAlign w:val="center"/>
          </w:tcPr>
          <w:p>
            <w:pPr>
              <w:ind w:firstLine="210" w:firstLineChars="100"/>
              <w:rPr>
                <w:rFonts w:ascii="宋体" w:hAnsi="宋体" w:cs="宋体"/>
                <w:color w:val="auto"/>
                <w:highlight w:val="none"/>
              </w:rPr>
            </w:pPr>
            <w:r>
              <w:rPr>
                <w:rFonts w:hint="eastAsia" w:ascii="宋体" w:hAnsi="宋体" w:cs="宋体"/>
                <w:color w:val="auto"/>
                <w:highlight w:val="none"/>
              </w:rPr>
              <w:t>采购文件条款描述</w:t>
            </w:r>
          </w:p>
        </w:tc>
        <w:tc>
          <w:tcPr>
            <w:tcW w:w="2788" w:type="dxa"/>
            <w:vAlign w:val="center"/>
          </w:tcPr>
          <w:p>
            <w:pPr>
              <w:ind w:left="-78" w:leftChars="-37" w:right="-80" w:rightChars="-38"/>
              <w:jc w:val="center"/>
              <w:rPr>
                <w:rFonts w:ascii="宋体" w:hAnsi="宋体" w:cs="宋体"/>
                <w:color w:val="auto"/>
                <w:highlight w:val="none"/>
              </w:rPr>
            </w:pPr>
            <w:r>
              <w:rPr>
                <w:rFonts w:hint="eastAsia" w:ascii="宋体" w:hAnsi="宋体" w:cs="宋体"/>
                <w:color w:val="auto"/>
                <w:highlight w:val="none"/>
              </w:rPr>
              <w:t>投标人响应描述</w:t>
            </w:r>
          </w:p>
        </w:tc>
        <w:tc>
          <w:tcPr>
            <w:tcW w:w="2788" w:type="dxa"/>
            <w:vAlign w:val="center"/>
          </w:tcPr>
          <w:p>
            <w:pPr>
              <w:ind w:left="-78" w:leftChars="-37" w:right="-80" w:rightChars="-38"/>
              <w:jc w:val="center"/>
              <w:rPr>
                <w:rFonts w:ascii="宋体" w:hAnsi="宋体" w:cs="宋体"/>
                <w:color w:val="auto"/>
                <w:highlight w:val="none"/>
              </w:rPr>
            </w:pPr>
            <w:r>
              <w:rPr>
                <w:rFonts w:hint="eastAsia" w:ascii="宋体" w:hAnsi="宋体" w:cs="宋体"/>
                <w:color w:val="auto"/>
                <w:highlight w:val="no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cs="宋体"/>
                <w:color w:val="auto"/>
                <w:highlight w:val="none"/>
              </w:rPr>
            </w:pPr>
            <w:r>
              <w:rPr>
                <w:rFonts w:hint="eastAsia" w:ascii="宋体" w:hAnsi="宋体" w:cs="宋体"/>
                <w:color w:val="auto"/>
                <w:highlight w:val="none"/>
              </w:rPr>
              <w:t>……</w:t>
            </w:r>
          </w:p>
        </w:tc>
        <w:tc>
          <w:tcPr>
            <w:tcW w:w="2787" w:type="dxa"/>
          </w:tcPr>
          <w:p>
            <w:pPr>
              <w:rPr>
                <w:rFonts w:ascii="宋体" w:hAnsi="宋体" w:cs="宋体"/>
                <w:color w:val="auto"/>
                <w:highlight w:val="none"/>
              </w:rPr>
            </w:pPr>
          </w:p>
        </w:tc>
        <w:tc>
          <w:tcPr>
            <w:tcW w:w="2788" w:type="dxa"/>
          </w:tcPr>
          <w:p>
            <w:pPr>
              <w:rPr>
                <w:rFonts w:ascii="宋体" w:hAnsi="宋体" w:cs="宋体"/>
                <w:color w:val="auto"/>
                <w:highlight w:val="none"/>
              </w:rPr>
            </w:pPr>
          </w:p>
        </w:tc>
        <w:tc>
          <w:tcPr>
            <w:tcW w:w="2788" w:type="dxa"/>
          </w:tcPr>
          <w:p>
            <w:pPr>
              <w:rPr>
                <w:rFonts w:ascii="宋体" w:hAnsi="宋体" w:cs="宋体"/>
                <w:color w:val="auto"/>
                <w:highlight w:val="none"/>
              </w:rPr>
            </w:pPr>
          </w:p>
        </w:tc>
      </w:tr>
    </w:tbl>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注：投标人必须对应采购文件“第三部分 采购需求”一般条款逐条应答并按要求填写上表。条款如要求提供的相关证明资料</w:t>
      </w:r>
      <w:r>
        <w:rPr>
          <w:rFonts w:hint="eastAsia" w:ascii="宋体" w:hAnsi="宋体" w:cs="宋体"/>
          <w:color w:val="auto"/>
          <w:highlight w:val="none"/>
          <w:lang w:val="en-US" w:eastAsia="zh-CN"/>
        </w:rPr>
        <w:t>或人员证书等</w:t>
      </w:r>
      <w:r>
        <w:rPr>
          <w:rFonts w:hint="eastAsia" w:ascii="宋体" w:hAnsi="宋体" w:cs="宋体"/>
          <w:color w:val="auto"/>
          <w:highlight w:val="none"/>
        </w:rPr>
        <w:t>必须一并提供，否则视为不响应。</w:t>
      </w:r>
    </w:p>
    <w:p>
      <w:pPr>
        <w:spacing w:line="360" w:lineRule="auto"/>
        <w:rPr>
          <w:rFonts w:hint="eastAsia" w:ascii="宋体" w:hAnsi="宋体" w:cs="宋体"/>
          <w:color w:val="auto"/>
          <w:highlight w:val="none"/>
        </w:rPr>
      </w:pPr>
    </w:p>
    <w:p>
      <w:pPr>
        <w:spacing w:line="360" w:lineRule="auto"/>
        <w:ind w:firstLine="4410" w:firstLineChars="2100"/>
        <w:rPr>
          <w:rFonts w:ascii="宋体" w:hAnsi="宋体" w:cs="宋体"/>
          <w:color w:val="auto"/>
          <w:highlight w:val="none"/>
        </w:rPr>
      </w:pPr>
      <w:r>
        <w:rPr>
          <w:rFonts w:hint="eastAsia" w:ascii="宋体" w:hAnsi="宋体" w:cs="宋体"/>
          <w:color w:val="auto"/>
          <w:highlight w:val="none"/>
        </w:rPr>
        <w:t>法定代表人或其授权委托人（签名或印章）：</w:t>
      </w:r>
    </w:p>
    <w:p>
      <w:pPr>
        <w:spacing w:line="360" w:lineRule="auto"/>
        <w:ind w:firstLine="4410" w:firstLineChars="2100"/>
        <w:rPr>
          <w:rFonts w:ascii="宋体" w:hAnsi="宋体" w:cs="宋体"/>
          <w:color w:val="auto"/>
          <w:highlight w:val="none"/>
        </w:rPr>
      </w:pPr>
      <w:r>
        <w:rPr>
          <w:rFonts w:hint="eastAsia" w:ascii="宋体" w:hAnsi="宋体" w:cs="宋体"/>
          <w:color w:val="auto"/>
          <w:highlight w:val="none"/>
        </w:rPr>
        <w:t>投标人（盖章）：</w:t>
      </w:r>
    </w:p>
    <w:p>
      <w:pPr>
        <w:spacing w:line="360" w:lineRule="auto"/>
        <w:rPr>
          <w:rFonts w:ascii="宋体" w:hAnsi="宋体" w:cs="宋体"/>
          <w:color w:val="auto"/>
          <w:sz w:val="24"/>
          <w:highlight w:val="none"/>
        </w:rPr>
      </w:pPr>
      <w:r>
        <w:rPr>
          <w:rFonts w:hint="eastAsia" w:ascii="宋体" w:hAnsi="宋体" w:cs="宋体"/>
          <w:color w:val="auto"/>
          <w:highlight w:val="none"/>
        </w:rPr>
        <w:t xml:space="preserve">                                           日期：</w:t>
      </w:r>
    </w:p>
    <w:p>
      <w:pPr>
        <w:spacing w:line="360" w:lineRule="auto"/>
        <w:ind w:firstLine="3360" w:firstLineChars="1600"/>
        <w:rPr>
          <w:rFonts w:hint="eastAsia" w:ascii="宋体" w:hAnsi="宋体" w:cs="宋体"/>
          <w:color w:val="auto"/>
          <w:highlight w:val="none"/>
        </w:rPr>
      </w:pPr>
    </w:p>
    <w:p>
      <w:pPr>
        <w:pStyle w:val="2"/>
        <w:ind w:firstLine="560"/>
        <w:rPr>
          <w:color w:val="auto"/>
          <w:highlight w:val="none"/>
        </w:rPr>
      </w:pP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rPr>
        <w:br w:type="page"/>
      </w:r>
      <w:r>
        <w:rPr>
          <w:rFonts w:hint="eastAsia" w:cs="仿宋" w:asciiTheme="majorEastAsia" w:hAnsiTheme="majorEastAsia" w:eastAsiaTheme="majorEastAsia"/>
          <w:b/>
          <w:color w:val="auto"/>
          <w:kern w:val="0"/>
          <w:sz w:val="32"/>
          <w:szCs w:val="32"/>
          <w:highlight w:val="none"/>
        </w:rPr>
        <w:t>同类业绩情况一览表</w:t>
      </w:r>
    </w:p>
    <w:p>
      <w:pPr>
        <w:spacing w:line="360" w:lineRule="auto"/>
        <w:jc w:val="center"/>
        <w:rPr>
          <w:rFonts w:cs="仿宋" w:asciiTheme="majorEastAsia" w:hAnsiTheme="majorEastAsia" w:eastAsiaTheme="majorEastAsia"/>
          <w:color w:val="auto"/>
          <w:highlight w:val="none"/>
        </w:rPr>
      </w:pPr>
    </w:p>
    <w:tbl>
      <w:tblPr>
        <w:tblStyle w:val="18"/>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采购单位名称</w:t>
            </w:r>
          </w:p>
        </w:tc>
        <w:tc>
          <w:tcPr>
            <w:tcW w:w="1732" w:type="dxa"/>
            <w:tcBorders>
              <w:top w:val="single" w:color="auto" w:sz="4" w:space="0"/>
              <w:left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合同金额</w:t>
            </w:r>
          </w:p>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合同签订时间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kern w:val="0"/>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cs="仿宋" w:asciiTheme="majorEastAsia" w:hAnsiTheme="majorEastAsia" w:eastAsiaTheme="majorEastAsia"/>
                <w:color w:val="auto"/>
                <w:kern w:val="0"/>
                <w:sz w:val="24"/>
                <w:highlight w:val="none"/>
              </w:rPr>
            </w:pPr>
          </w:p>
        </w:tc>
      </w:tr>
    </w:tbl>
    <w:p>
      <w:pPr>
        <w:spacing w:line="360" w:lineRule="auto"/>
        <w:jc w:val="left"/>
        <w:rPr>
          <w:rFonts w:cs="仿宋" w:asciiTheme="majorEastAsia" w:hAnsiTheme="majorEastAsia" w:eastAsiaTheme="majorEastAsia"/>
          <w:color w:val="auto"/>
          <w:kern w:val="0"/>
          <w:sz w:val="24"/>
          <w:highlight w:val="none"/>
        </w:rPr>
      </w:pPr>
    </w:p>
    <w:p>
      <w:pPr>
        <w:spacing w:line="360" w:lineRule="auto"/>
        <w:jc w:val="left"/>
        <w:rPr>
          <w:rFonts w:cs="仿宋" w:asciiTheme="majorEastAsia" w:hAnsiTheme="majorEastAsia" w:eastAsiaTheme="majorEastAsia"/>
          <w:color w:val="auto"/>
          <w:kern w:val="0"/>
          <w:sz w:val="24"/>
          <w:highlight w:val="none"/>
        </w:rPr>
      </w:pPr>
    </w:p>
    <w:p>
      <w:pPr>
        <w:spacing w:line="360" w:lineRule="auto"/>
        <w:jc w:val="left"/>
        <w:rPr>
          <w:rFonts w:cs="仿宋" w:asciiTheme="majorEastAsia" w:hAnsiTheme="majorEastAsia" w:eastAsiaTheme="majorEastAsia"/>
          <w:color w:val="auto"/>
          <w:kern w:val="0"/>
          <w:sz w:val="24"/>
          <w:highlight w:val="none"/>
        </w:rPr>
      </w:pPr>
    </w:p>
    <w:p>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spacing w:line="360" w:lineRule="auto"/>
        <w:ind w:left="4620" w:leftChars="2200"/>
        <w:jc w:val="left"/>
        <w:rPr>
          <w:rFonts w:cs="仿宋" w:asciiTheme="majorEastAsia" w:hAnsiTheme="majorEastAsia" w:eastAsiaTheme="majorEastAsia"/>
          <w:b/>
          <w:color w:val="auto"/>
          <w:kern w:val="0"/>
          <w:sz w:val="32"/>
          <w:szCs w:val="32"/>
          <w:highlight w:val="none"/>
          <w:lang w:val="zh-CN"/>
        </w:rPr>
      </w:pPr>
    </w:p>
    <w:p>
      <w:pPr>
        <w:numPr>
          <w:ilvl w:val="0"/>
          <w:numId w:val="4"/>
        </w:numPr>
        <w:snapToGrid w:val="0"/>
        <w:spacing w:line="360" w:lineRule="auto"/>
        <w:jc w:val="center"/>
        <w:outlineLvl w:val="0"/>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b/>
          <w:color w:val="auto"/>
          <w:kern w:val="0"/>
          <w:sz w:val="32"/>
          <w:szCs w:val="32"/>
          <w:highlight w:val="none"/>
          <w:lang w:val="zh-CN"/>
        </w:rPr>
        <w:br w:type="page"/>
      </w:r>
      <w:r>
        <w:rPr>
          <w:rFonts w:hint="eastAsia" w:cs="仿宋" w:asciiTheme="majorEastAsia" w:hAnsiTheme="majorEastAsia" w:eastAsiaTheme="majorEastAsia"/>
          <w:b/>
          <w:color w:val="auto"/>
          <w:kern w:val="0"/>
          <w:sz w:val="32"/>
          <w:szCs w:val="32"/>
          <w:highlight w:val="none"/>
          <w:lang w:val="zh-CN"/>
        </w:rPr>
        <w:t>政府采购供应商廉洁自律承诺书</w:t>
      </w:r>
    </w:p>
    <w:p>
      <w:pPr>
        <w:snapToGrid w:val="0"/>
        <w:spacing w:line="360" w:lineRule="auto"/>
        <w:rPr>
          <w:rFonts w:cs="仿宋" w:asciiTheme="majorEastAsia" w:hAnsiTheme="majorEastAsia" w:eastAsiaTheme="majorEastAsia"/>
          <w:color w:val="auto"/>
          <w:sz w:val="24"/>
          <w:highlight w:val="none"/>
        </w:rPr>
      </w:pPr>
    </w:p>
    <w:p>
      <w:pPr>
        <w:snapToGrid w:val="0"/>
        <w:spacing w:line="360" w:lineRule="auto"/>
        <w:rPr>
          <w:rFonts w:cs="仿宋" w:asciiTheme="majorEastAsia" w:hAnsiTheme="majorEastAsia" w:eastAsiaTheme="majorEastAsia"/>
          <w:color w:val="auto"/>
          <w:kern w:val="0"/>
          <w:sz w:val="24"/>
          <w:highlight w:val="non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我单位响应你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好处；</w:t>
      </w:r>
    </w:p>
    <w:p>
      <w:pPr>
        <w:autoSpaceDE w:val="0"/>
        <w:autoSpaceDN w:val="0"/>
        <w:spacing w:line="360" w:lineRule="auto"/>
        <w:ind w:left="481" w:leftChars="229"/>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六、严格遵守《</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政府采购法》《</w:t>
      </w:r>
      <w:r>
        <w:rPr>
          <w:rFonts w:hint="eastAsia" w:cs="仿宋" w:asciiTheme="majorEastAsia" w:hAnsiTheme="majorEastAsia" w:eastAsiaTheme="majorEastAsia"/>
          <w:color w:val="auto"/>
          <w:sz w:val="24"/>
          <w:highlight w:val="none"/>
          <w:lang w:val="zh-CN"/>
        </w:rPr>
        <w:t>中华人民共和国</w:t>
      </w:r>
      <w:r>
        <w:rPr>
          <w:rFonts w:hint="eastAsia" w:cs="仿宋" w:asciiTheme="majorEastAsia" w:hAnsiTheme="majorEastAsia" w:eastAsiaTheme="majorEastAsia"/>
          <w:color w:val="auto"/>
          <w:kern w:val="0"/>
          <w:sz w:val="24"/>
          <w:highlight w:val="none"/>
          <w:lang w:val="zh-CN"/>
        </w:rPr>
        <w:t>招标投标</w:t>
      </w:r>
    </w:p>
    <w:p>
      <w:pPr>
        <w:autoSpaceDE w:val="0"/>
        <w:autoSpaceDN w:val="0"/>
        <w:spacing w:line="360" w:lineRule="auto"/>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w:t>
      </w:r>
      <w:r>
        <w:rPr>
          <w:rFonts w:hint="eastAsia" w:cs="仿宋" w:asciiTheme="majorEastAsia" w:hAnsiTheme="majorEastAsia" w:eastAsiaTheme="majorEastAsia"/>
          <w:color w:val="auto"/>
          <w:sz w:val="24"/>
          <w:highlight w:val="none"/>
          <w:lang w:val="zh-CN"/>
        </w:rPr>
        <w:t>《中华人民共和国民法典》</w:t>
      </w:r>
      <w:r>
        <w:rPr>
          <w:rFonts w:hint="eastAsia" w:cs="仿宋" w:asciiTheme="majorEastAsia" w:hAnsiTheme="majorEastAsia" w:eastAsiaTheme="majorEastAsia"/>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如违反上述承诺，你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color w:val="auto"/>
          <w:sz w:val="24"/>
          <w:highlight w:val="none"/>
        </w:rPr>
        <w:t>单位</w:t>
      </w:r>
      <w:r>
        <w:rPr>
          <w:rFonts w:hint="eastAsia" w:cs="仿宋" w:asciiTheme="majorEastAsia" w:hAnsiTheme="majorEastAsia" w:eastAsiaTheme="majorEastAsia"/>
          <w:color w:val="auto"/>
          <w:kern w:val="0"/>
          <w:sz w:val="24"/>
          <w:highlight w:val="none"/>
          <w:lang w:val="zh-CN"/>
        </w:rPr>
        <w:t>进行项目建设或其他经营活动，并通报</w:t>
      </w:r>
      <w:r>
        <w:rPr>
          <w:rFonts w:hint="eastAsia" w:cs="仿宋" w:asciiTheme="majorEastAsia" w:hAnsiTheme="majorEastAsia" w:eastAsiaTheme="majorEastAsia"/>
          <w:color w:val="auto"/>
          <w:kern w:val="0"/>
          <w:sz w:val="24"/>
          <w:highlight w:val="none"/>
          <w:lang w:val="en-US" w:eastAsia="zh-CN"/>
        </w:rPr>
        <w:t>有关监督机构。</w:t>
      </w:r>
      <w:r>
        <w:rPr>
          <w:rFonts w:hint="eastAsia" w:cs="仿宋" w:asciiTheme="majorEastAsia" w:hAnsiTheme="majorEastAsia" w:eastAsiaTheme="majorEastAsia"/>
          <w:color w:val="auto"/>
          <w:kern w:val="0"/>
          <w:sz w:val="24"/>
          <w:highlight w:val="none"/>
          <w:lang w:val="zh-CN"/>
        </w:rPr>
        <w:t>由此引起的相应损失均由我单位承担。</w:t>
      </w:r>
    </w:p>
    <w:p>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pPr>
        <w:autoSpaceDE w:val="0"/>
        <w:autoSpaceDN w:val="0"/>
        <w:spacing w:line="360" w:lineRule="auto"/>
        <w:ind w:left="2"/>
        <w:jc w:val="left"/>
        <w:rPr>
          <w:rFonts w:cs="仿宋" w:asciiTheme="majorEastAsia" w:hAnsiTheme="majorEastAsia" w:eastAsiaTheme="majorEastAsia"/>
          <w:color w:val="auto"/>
          <w:kern w:val="0"/>
          <w:sz w:val="24"/>
          <w:highlight w:val="none"/>
          <w:lang w:val="zh-CN"/>
        </w:rPr>
      </w:pPr>
    </w:p>
    <w:p>
      <w:pPr>
        <w:adjustRightInd w:val="0"/>
        <w:snapToGrid w:val="0"/>
        <w:spacing w:line="360" w:lineRule="auto"/>
        <w:jc w:val="right"/>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法定代表人或其授权委托人（签名或印章）：</w:t>
      </w:r>
    </w:p>
    <w:p>
      <w:pPr>
        <w:adjustRightInd w:val="0"/>
        <w:snapToGrid w:val="0"/>
        <w:spacing w:line="360" w:lineRule="auto"/>
        <w:ind w:left="3990" w:leftChars="1900"/>
        <w:jc w:val="center"/>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投标人（盖章）：</w:t>
      </w:r>
    </w:p>
    <w:p>
      <w:pPr>
        <w:adjustRightInd w:val="0"/>
        <w:snapToGrid w:val="0"/>
        <w:spacing w:line="360" w:lineRule="auto"/>
        <w:ind w:right="1920"/>
        <w:jc w:val="center"/>
        <w:rPr>
          <w:rFonts w:cs="仿宋" w:asciiTheme="majorEastAsia" w:hAnsiTheme="majorEastAsia" w:eastAsiaTheme="majorEastAsia"/>
          <w:b/>
          <w:color w:val="auto"/>
          <w:kern w:val="0"/>
          <w:sz w:val="32"/>
          <w:szCs w:val="32"/>
          <w:highlight w:val="none"/>
          <w:lang w:val="zh-CN"/>
        </w:rPr>
      </w:pPr>
      <w:r>
        <w:rPr>
          <w:rFonts w:hint="eastAsia" w:cs="仿宋" w:asciiTheme="majorEastAsia" w:hAnsiTheme="majorEastAsia" w:eastAsiaTheme="majorEastAsia"/>
          <w:color w:val="auto"/>
          <w:kern w:val="0"/>
          <w:sz w:val="24"/>
          <w:highlight w:val="none"/>
          <w:lang w:val="zh-CN"/>
        </w:rPr>
        <w:t xml:space="preserve">                                      日期</w:t>
      </w:r>
      <w:r>
        <w:rPr>
          <w:rFonts w:hint="eastAsia" w:cs="仿宋" w:asciiTheme="majorEastAsia" w:hAnsiTheme="majorEastAsia" w:eastAsiaTheme="majorEastAsia"/>
          <w:color w:val="auto"/>
          <w:kern w:val="0"/>
          <w:sz w:val="24"/>
          <w:highlight w:val="none"/>
        </w:rPr>
        <w:t>:</w:t>
      </w:r>
    </w:p>
    <w:p>
      <w:pPr>
        <w:spacing w:line="360" w:lineRule="auto"/>
        <w:ind w:left="4620" w:leftChars="2200"/>
        <w:rPr>
          <w:rFonts w:cs="仿宋" w:asciiTheme="majorEastAsia" w:hAnsiTheme="majorEastAsia" w:eastAsiaTheme="majorEastAsia"/>
          <w:color w:val="auto"/>
          <w:sz w:val="24"/>
          <w:highlight w:val="none"/>
        </w:rPr>
      </w:pPr>
    </w:p>
    <w:p>
      <w:pPr>
        <w:spacing w:line="360" w:lineRule="auto"/>
        <w:jc w:val="center"/>
        <w:rPr>
          <w:rFonts w:cs="仿宋" w:asciiTheme="majorEastAsia" w:hAnsiTheme="majorEastAsia" w:eastAsiaTheme="majorEastAsia"/>
          <w:b/>
          <w:bCs/>
          <w:color w:val="auto"/>
          <w:sz w:val="24"/>
          <w:highlight w:val="none"/>
        </w:rPr>
      </w:pPr>
    </w:p>
    <w:p>
      <w:pPr>
        <w:spacing w:line="360" w:lineRule="auto"/>
        <w:jc w:val="center"/>
        <w:rPr>
          <w:rFonts w:cs="仿宋" w:asciiTheme="majorEastAsia" w:hAnsiTheme="majorEastAsia" w:eastAsiaTheme="majorEastAsia"/>
          <w:b/>
          <w:bCs/>
          <w:color w:val="auto"/>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cs="仿宋" w:asciiTheme="majorEastAsia" w:hAnsiTheme="majorEastAsia" w:eastAsiaTheme="majorEastAsia"/>
          <w:b/>
          <w:color w:val="auto"/>
          <w:kern w:val="0"/>
          <w:sz w:val="36"/>
          <w:szCs w:val="36"/>
          <w:highlight w:val="none"/>
        </w:rPr>
      </w:pPr>
    </w:p>
    <w:p>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报价文件部分</w:t>
      </w:r>
    </w:p>
    <w:p>
      <w:pPr>
        <w:spacing w:line="360" w:lineRule="auto"/>
        <w:jc w:val="center"/>
        <w:outlineLvl w:val="0"/>
        <w:rPr>
          <w:rFonts w:cs="仿宋" w:asciiTheme="majorEastAsia" w:hAnsiTheme="majorEastAsia" w:eastAsiaTheme="majorEastAsia"/>
          <w:b/>
          <w:color w:val="auto"/>
          <w:kern w:val="0"/>
          <w:sz w:val="36"/>
          <w:szCs w:val="36"/>
          <w:highlight w:val="none"/>
        </w:rPr>
      </w:pPr>
      <w:r>
        <w:rPr>
          <w:rFonts w:hint="eastAsia" w:cs="仿宋" w:asciiTheme="majorEastAsia" w:hAnsiTheme="majorEastAsia" w:eastAsiaTheme="majorEastAsia"/>
          <w:b/>
          <w:color w:val="auto"/>
          <w:kern w:val="0"/>
          <w:sz w:val="36"/>
          <w:szCs w:val="36"/>
          <w:highlight w:val="none"/>
        </w:rPr>
        <w:t>目录</w:t>
      </w:r>
    </w:p>
    <w:p>
      <w:pPr>
        <w:snapToGrid w:val="0"/>
        <w:spacing w:line="360" w:lineRule="auto"/>
        <w:ind w:firstLine="480" w:firstLineChars="200"/>
        <w:rPr>
          <w:rFonts w:cs="仿宋" w:asciiTheme="majorEastAsia" w:hAnsiTheme="majorEastAsia" w:eastAsiaTheme="majorEastAsia"/>
          <w:color w:val="auto"/>
          <w:sz w:val="24"/>
          <w:highlight w:val="none"/>
          <w:u w:val="single"/>
          <w:lang w:val="zh-CN"/>
        </w:rPr>
      </w:pPr>
      <w:r>
        <w:rPr>
          <w:rFonts w:hint="eastAsia" w:cs="仿宋" w:asciiTheme="majorEastAsia" w:hAnsiTheme="majorEastAsia" w:eastAsiaTheme="majorEastAsia"/>
          <w:color w:val="auto"/>
          <w:sz w:val="24"/>
          <w:highlight w:val="none"/>
        </w:rPr>
        <w:t xml:space="preserve"> </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1 开标一览表；</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2 投标报价明细表；</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3 中小企业声明函（如有）；</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4 残疾人福利性单位声明函（如有）；</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5 监狱企业的证明文件（如有）；</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6 政府采购统计基础信息表；</w:t>
      </w:r>
    </w:p>
    <w:p>
      <w:pPr>
        <w:snapToGrid w:val="0"/>
        <w:spacing w:line="360" w:lineRule="auto"/>
        <w:ind w:firstLine="1120" w:firstLineChars="400"/>
        <w:rPr>
          <w:rFonts w:cs="仿宋" w:asciiTheme="majorEastAsia" w:hAnsiTheme="majorEastAsia" w:eastAsiaTheme="majorEastAsia"/>
          <w:color w:val="auto"/>
          <w:sz w:val="28"/>
          <w:szCs w:val="28"/>
          <w:highlight w:val="none"/>
        </w:rPr>
      </w:pPr>
      <w:r>
        <w:rPr>
          <w:rFonts w:hint="eastAsia" w:cs="仿宋" w:asciiTheme="majorEastAsia" w:hAnsiTheme="majorEastAsia" w:eastAsiaTheme="majorEastAsia"/>
          <w:color w:val="auto"/>
          <w:sz w:val="28"/>
          <w:szCs w:val="28"/>
          <w:highlight w:val="none"/>
        </w:rPr>
        <w:t>7 其他资料（如有）。</w:t>
      </w:r>
    </w:p>
    <w:p>
      <w:pPr>
        <w:snapToGrid w:val="0"/>
        <w:spacing w:line="360" w:lineRule="auto"/>
        <w:ind w:right="480"/>
        <w:rPr>
          <w:rFonts w:cs="仿宋" w:asciiTheme="majorEastAsia" w:hAnsiTheme="majorEastAsia" w:eastAsiaTheme="majorEastAsia"/>
          <w:b/>
          <w:color w:val="auto"/>
          <w:kern w:val="0"/>
          <w:sz w:val="32"/>
          <w:szCs w:val="32"/>
          <w:highlight w:val="none"/>
        </w:rPr>
      </w:pPr>
    </w:p>
    <w:p>
      <w:pPr>
        <w:pStyle w:val="31"/>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31"/>
        <w:keepNext w:val="0"/>
        <w:pageBreakBefore w:val="0"/>
        <w:tabs>
          <w:tab w:val="clear" w:pos="720"/>
        </w:tabs>
        <w:snapToGrid w:val="0"/>
        <w:spacing w:before="120" w:after="120"/>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一、开标一览表（报价表）</w:t>
      </w:r>
    </w:p>
    <w:p>
      <w:pPr>
        <w:snapToGrid w:val="0"/>
        <w:spacing w:line="360" w:lineRule="auto"/>
        <w:rPr>
          <w:rFonts w:cs="仿宋" w:asciiTheme="majorEastAsia" w:hAnsiTheme="majorEastAsia" w:eastAsiaTheme="majorEastAsia"/>
          <w:color w:val="auto"/>
          <w:kern w:val="0"/>
          <w:sz w:val="24"/>
          <w:highlight w:val="none"/>
          <w:u w:val="single"/>
        </w:rPr>
      </w:pPr>
      <w:r>
        <w:rPr>
          <w:rFonts w:hint="eastAsia" w:cs="仿宋" w:asciiTheme="majorEastAsia" w:hAnsiTheme="majorEastAsia" w:eastAsiaTheme="majorEastAsia"/>
          <w:color w:val="auto"/>
          <w:sz w:val="24"/>
          <w:highlight w:val="none"/>
        </w:rPr>
        <w:t>（采购人）、（采购代理机构）</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color w:val="auto"/>
          <w:kern w:val="0"/>
          <w:sz w:val="24"/>
          <w:highlight w:val="none"/>
          <w:u w:val="single"/>
        </w:rPr>
        <w:t xml:space="preserve">                                     </w:t>
      </w:r>
    </w:p>
    <w:p>
      <w:pPr>
        <w:snapToGrid w:val="0"/>
        <w:spacing w:line="360" w:lineRule="auto"/>
        <w:ind w:firstLine="482"/>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color w:val="auto"/>
          <w:sz w:val="24"/>
          <w:highlight w:val="none"/>
        </w:rPr>
        <w:t>（项目名称）</w:t>
      </w:r>
      <w:r>
        <w:rPr>
          <w:rFonts w:hint="eastAsia" w:cs="仿宋" w:asciiTheme="majorEastAsia" w:hAnsiTheme="majorEastAsia" w:eastAsiaTheme="majorEastAsia"/>
          <w:color w:val="auto"/>
          <w:kern w:val="0"/>
          <w:sz w:val="24"/>
          <w:highlight w:val="none"/>
          <w:lang w:val="zh-CN"/>
        </w:rPr>
        <w:t>【招标编号：</w:t>
      </w:r>
      <w:r>
        <w:rPr>
          <w:rFonts w:hint="eastAsia" w:cs="仿宋" w:asciiTheme="majorEastAsia" w:hAnsiTheme="majorEastAsia" w:eastAsiaTheme="majorEastAsia"/>
          <w:color w:val="auto"/>
          <w:sz w:val="24"/>
          <w:highlight w:val="none"/>
        </w:rPr>
        <w:t>（采购编号）】的实施</w:t>
      </w:r>
      <w:r>
        <w:rPr>
          <w:rFonts w:hint="eastAsia" w:cs="仿宋" w:asciiTheme="majorEastAsia" w:hAnsiTheme="majorEastAsia" w:eastAsiaTheme="majorEastAsia"/>
          <w:color w:val="auto"/>
          <w:kern w:val="0"/>
          <w:sz w:val="24"/>
          <w:highlight w:val="none"/>
          <w:lang w:val="zh-CN"/>
        </w:rPr>
        <w:t>。</w:t>
      </w:r>
    </w:p>
    <w:p>
      <w:pPr>
        <w:spacing w:line="360" w:lineRule="auto"/>
        <w:jc w:val="center"/>
        <w:rPr>
          <w:rFonts w:hint="eastAsia"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开标一览表（报价表）(单位均为人民币元)</w:t>
      </w:r>
    </w:p>
    <w:tbl>
      <w:tblPr>
        <w:tblStyle w:val="18"/>
        <w:tblpPr w:leftFromText="180" w:rightFromText="180" w:vertAnchor="text" w:tblpX="500"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9"/>
        <w:gridCol w:w="3864"/>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69" w:type="dxa"/>
            <w:vAlign w:val="center"/>
          </w:tcPr>
          <w:p>
            <w:pPr>
              <w:pStyle w:val="46"/>
              <w:widowControl w:val="0"/>
              <w:numPr>
                <w:ilvl w:val="0"/>
                <w:numId w:val="0"/>
              </w:numPr>
              <w:shd w:val="clear"/>
              <w:tabs>
                <w:tab w:val="left" w:pos="1200"/>
              </w:tabs>
              <w:spacing w:after="120"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项目名称</w:t>
            </w:r>
          </w:p>
        </w:tc>
        <w:tc>
          <w:tcPr>
            <w:tcW w:w="3864" w:type="dxa"/>
            <w:vAlign w:val="center"/>
          </w:tcPr>
          <w:p>
            <w:pPr>
              <w:pStyle w:val="46"/>
              <w:widowControl w:val="0"/>
              <w:numPr>
                <w:ilvl w:val="0"/>
                <w:numId w:val="0"/>
              </w:numPr>
              <w:shd w:val="clear"/>
              <w:tabs>
                <w:tab w:val="left" w:pos="1200"/>
              </w:tabs>
              <w:spacing w:after="120" w:line="400" w:lineRule="exact"/>
              <w:jc w:val="cente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投标报价</w:t>
            </w:r>
          </w:p>
        </w:tc>
        <w:tc>
          <w:tcPr>
            <w:tcW w:w="4173" w:type="dxa"/>
            <w:vAlign w:val="center"/>
          </w:tcPr>
          <w:p>
            <w:pPr>
              <w:shd w:val="clear"/>
              <w:spacing w:line="360" w:lineRule="auto"/>
              <w:jc w:val="center"/>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5869" w:type="dxa"/>
            <w:vAlign w:val="center"/>
          </w:tcPr>
          <w:p>
            <w:pPr>
              <w:pStyle w:val="46"/>
              <w:widowControl w:val="0"/>
              <w:numPr>
                <w:ilvl w:val="0"/>
                <w:numId w:val="0"/>
              </w:numPr>
              <w:shd w:val="clear"/>
              <w:tabs>
                <w:tab w:val="left" w:pos="1200"/>
              </w:tabs>
              <w:spacing w:after="120" w:line="400" w:lineRule="exact"/>
              <w:jc w:val="center"/>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 xml:space="preserve"> </w:t>
            </w:r>
          </w:p>
        </w:tc>
        <w:tc>
          <w:tcPr>
            <w:tcW w:w="3864" w:type="dxa"/>
            <w:vAlign w:val="center"/>
          </w:tcPr>
          <w:p>
            <w:pPr>
              <w:pStyle w:val="46"/>
              <w:widowControl w:val="0"/>
              <w:numPr>
                <w:ilvl w:val="0"/>
                <w:numId w:val="0"/>
              </w:numPr>
              <w:shd w:val="clear"/>
              <w:tabs>
                <w:tab w:val="left" w:pos="1200"/>
              </w:tabs>
              <w:spacing w:after="120" w:line="400" w:lineRule="exact"/>
              <w:jc w:val="righ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元/年</w:t>
            </w:r>
          </w:p>
        </w:tc>
        <w:tc>
          <w:tcPr>
            <w:tcW w:w="4173" w:type="dxa"/>
          </w:tcPr>
          <w:p>
            <w:pPr>
              <w:pStyle w:val="46"/>
              <w:widowControl w:val="0"/>
              <w:numPr>
                <w:ilvl w:val="0"/>
                <w:numId w:val="0"/>
              </w:numPr>
              <w:shd w:val="clear"/>
              <w:tabs>
                <w:tab w:val="left" w:pos="1200"/>
              </w:tabs>
              <w:spacing w:after="120" w:line="400" w:lineRule="exact"/>
              <w:jc w:val="center"/>
              <w:rPr>
                <w:rFonts w:hint="eastAsia" w:asciiTheme="majorEastAsia" w:hAnsiTheme="majorEastAsia" w:eastAsiaTheme="majorEastAsia" w:cstheme="maj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06" w:type="dxa"/>
            <w:gridSpan w:val="3"/>
          </w:tcPr>
          <w:p>
            <w:pPr>
              <w:shd w:val="clear"/>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b/>
                <w:color w:val="auto"/>
                <w:sz w:val="24"/>
                <w:szCs w:val="24"/>
                <w:highlight w:val="none"/>
              </w:rPr>
              <w:t>投标报价（小写）</w:t>
            </w:r>
            <w:r>
              <w:rPr>
                <w:rFonts w:hint="eastAsia" w:asciiTheme="majorEastAsia" w:hAnsiTheme="majorEastAsia" w:eastAsiaTheme="majorEastAsia" w:cstheme="majorEastAsia"/>
                <w:b/>
                <w:color w:val="auto"/>
                <w:sz w:val="24"/>
                <w:szCs w:val="24"/>
                <w:highlight w:val="none"/>
                <w:lang w:val="en-US"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06" w:type="dxa"/>
            <w:gridSpan w:val="3"/>
          </w:tcPr>
          <w:p>
            <w:pPr>
              <w:shd w:val="clear"/>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b/>
                <w:color w:val="auto"/>
                <w:sz w:val="24"/>
                <w:szCs w:val="24"/>
                <w:highlight w:val="none"/>
              </w:rPr>
              <w:t>投标报价（大写）</w:t>
            </w:r>
            <w:r>
              <w:rPr>
                <w:rFonts w:hint="eastAsia" w:asciiTheme="majorEastAsia" w:hAnsiTheme="majorEastAsia" w:eastAsiaTheme="majorEastAsia" w:cstheme="majorEastAsia"/>
                <w:b/>
                <w:color w:val="auto"/>
                <w:sz w:val="24"/>
                <w:szCs w:val="24"/>
                <w:highlight w:val="none"/>
                <w:lang w:val="en-US" w:eastAsia="zh-CN"/>
              </w:rPr>
              <w:t xml:space="preserve">                          元/年</w:t>
            </w:r>
          </w:p>
        </w:tc>
      </w:tr>
    </w:tbl>
    <w:p>
      <w:pPr>
        <w:pStyle w:val="2"/>
        <w:ind w:left="0" w:leftChars="0" w:firstLine="0" w:firstLineChars="0"/>
        <w:rPr>
          <w:rFonts w:hint="eastAsia" w:cs="仿宋" w:asciiTheme="majorEastAsia" w:hAnsiTheme="majorEastAsia" w:eastAsiaTheme="majorEastAsia"/>
          <w:b/>
          <w:color w:val="auto"/>
          <w:kern w:val="0"/>
          <w:sz w:val="24"/>
          <w:highlight w:val="none"/>
          <w:lang w:val="zh-CN"/>
        </w:rPr>
      </w:pPr>
    </w:p>
    <w:p>
      <w:pPr>
        <w:snapToGrid w:val="0"/>
        <w:spacing w:line="360" w:lineRule="auto"/>
        <w:ind w:left="480"/>
        <w:rPr>
          <w:rFonts w:cs="仿宋" w:asciiTheme="majorEastAsia" w:hAnsiTheme="majorEastAsia" w:eastAsiaTheme="majorEastAsia"/>
          <w:b/>
          <w:color w:val="auto"/>
          <w:kern w:val="0"/>
          <w:sz w:val="24"/>
          <w:highlight w:val="none"/>
          <w:lang w:val="zh-CN"/>
        </w:rPr>
      </w:pPr>
      <w:r>
        <w:rPr>
          <w:rFonts w:hint="eastAsia" w:cs="仿宋" w:asciiTheme="majorEastAsia" w:hAnsiTheme="majorEastAsia" w:eastAsiaTheme="majorEastAsia"/>
          <w:b/>
          <w:color w:val="auto"/>
          <w:kern w:val="0"/>
          <w:sz w:val="24"/>
          <w:highlight w:val="none"/>
          <w:lang w:val="zh-CN"/>
        </w:rPr>
        <w:t>注：</w:t>
      </w:r>
    </w:p>
    <w:p>
      <w:pPr>
        <w:spacing w:line="360" w:lineRule="auto"/>
        <w:ind w:left="-2" w:leftChars="-1" w:firstLine="480" w:firstLineChars="200"/>
        <w:rPr>
          <w:rFonts w:cs="仿宋" w:asciiTheme="majorEastAsia" w:hAnsiTheme="majorEastAsia" w:eastAsiaTheme="majorEastAsia"/>
          <w:color w:val="auto"/>
          <w:kern w:val="0"/>
          <w:sz w:val="24"/>
          <w:highlight w:val="none"/>
          <w:lang w:val="zh-CN"/>
        </w:rPr>
      </w:pPr>
      <w:r>
        <w:rPr>
          <w:rFonts w:hint="eastAsia" w:cs="仿宋" w:asciiTheme="majorEastAsia" w:hAnsiTheme="majorEastAsia" w:eastAsiaTheme="majorEastAsia"/>
          <w:color w:val="auto"/>
          <w:kern w:val="0"/>
          <w:sz w:val="24"/>
          <w:highlight w:val="none"/>
          <w:lang w:val="zh-CN"/>
        </w:rPr>
        <w:t>1、投标人需按本表格式填写，不得自行更改。</w:t>
      </w:r>
    </w:p>
    <w:p>
      <w:pPr>
        <w:spacing w:line="360" w:lineRule="auto"/>
        <w:ind w:firstLine="480" w:firstLineChars="200"/>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color w:val="auto"/>
          <w:kern w:val="0"/>
          <w:sz w:val="24"/>
          <w:highlight w:val="none"/>
          <w:lang w:val="zh-CN"/>
        </w:rPr>
        <w:t>2、有关本项目实施所涉及的一切费用均计入报价。</w:t>
      </w:r>
      <w:r>
        <w:rPr>
          <w:rFonts w:hint="eastAsia" w:cs="仿宋" w:asciiTheme="majorEastAsia" w:hAnsiTheme="majorEastAsia" w:eastAsiaTheme="majorEastAsia"/>
          <w:b/>
          <w:color w:val="auto"/>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color w:val="auto"/>
          <w:kern w:val="0"/>
          <w:sz w:val="24"/>
          <w:highlight w:val="none"/>
          <w:lang w:val="zh-CN"/>
        </w:rPr>
        <w:t>，</w:t>
      </w:r>
      <w:r>
        <w:rPr>
          <w:rFonts w:hint="eastAsia" w:cs="仿宋" w:asciiTheme="majorEastAsia" w:hAnsiTheme="majorEastAsia" w:eastAsiaTheme="majorEastAsia"/>
          <w:b/>
          <w:color w:val="auto"/>
          <w:kern w:val="0"/>
          <w:sz w:val="24"/>
          <w:highlight w:val="none"/>
          <w:lang w:val="zh-CN"/>
        </w:rPr>
        <w:t>不得出现“0元”“免费赠送”等形式的无偿报价，</w:t>
      </w:r>
      <w:r>
        <w:rPr>
          <w:rFonts w:hint="eastAsia" w:cs="仿宋" w:asciiTheme="majorEastAsia" w:hAnsiTheme="majorEastAsia" w:eastAsiaTheme="majorEastAsia"/>
          <w:b/>
          <w:color w:val="auto"/>
          <w:kern w:val="0"/>
          <w:sz w:val="24"/>
          <w:highlight w:val="none"/>
        </w:rPr>
        <w:t>否则视为</w:t>
      </w:r>
      <w:r>
        <w:rPr>
          <w:rFonts w:hint="eastAsia" w:cs="仿宋" w:asciiTheme="majorEastAsia" w:hAnsiTheme="majorEastAsia" w:eastAsiaTheme="majorEastAsia"/>
          <w:b/>
          <w:color w:val="auto"/>
          <w:sz w:val="24"/>
          <w:highlight w:val="none"/>
        </w:rPr>
        <w:t>投标文件含有采购人不能接受的附加条件的，投标无效</w:t>
      </w:r>
      <w:r>
        <w:rPr>
          <w:rFonts w:hint="eastAsia" w:cs="仿宋" w:asciiTheme="majorEastAsia" w:hAnsiTheme="majorEastAsia" w:eastAsiaTheme="majorEastAsia"/>
          <w:b/>
          <w:color w:val="auto"/>
          <w:kern w:val="0"/>
          <w:sz w:val="24"/>
          <w:highlight w:val="none"/>
          <w:lang w:val="zh-CN"/>
        </w:rPr>
        <w:t>。</w:t>
      </w:r>
    </w:p>
    <w:p>
      <w:pP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pPr>
        <w:spacing w:line="360" w:lineRule="auto"/>
        <w:ind w:left="7560" w:leftChars="36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pPr>
        <w:spacing w:line="360" w:lineRule="auto"/>
        <w:ind w:left="7560" w:leftChars="3600"/>
        <w:rPr>
          <w:rFonts w:asciiTheme="majorEastAsia" w:hAnsiTheme="majorEastAsia" w:eastAsiaTheme="majorEastAsia"/>
          <w:color w:val="auto"/>
          <w:highlight w:val="none"/>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color w:val="auto"/>
          <w:sz w:val="24"/>
          <w:highlight w:val="none"/>
        </w:rPr>
        <w:t xml:space="preserve">日  期： </w:t>
      </w:r>
    </w:p>
    <w:p>
      <w:pPr>
        <w:pStyle w:val="31"/>
        <w:keepNext w:val="0"/>
        <w:pageBreakBefore w:val="0"/>
        <w:tabs>
          <w:tab w:val="clear" w:pos="720"/>
        </w:tabs>
        <w:snapToGrid w:val="0"/>
        <w:spacing w:before="120" w:after="120" w:line="240" w:lineRule="auto"/>
        <w:ind w:firstLine="643"/>
        <w:outlineLvl w:val="9"/>
        <w:rPr>
          <w:rFonts w:cs="仿宋" w:asciiTheme="majorEastAsia" w:hAnsiTheme="majorEastAsia" w:eastAsiaTheme="majorEastAsia"/>
          <w:color w:val="auto"/>
          <w:kern w:val="2"/>
          <w:sz w:val="32"/>
          <w:szCs w:val="32"/>
          <w:highlight w:val="none"/>
        </w:rPr>
      </w:pPr>
      <w:r>
        <w:rPr>
          <w:rFonts w:hint="eastAsia" w:cs="仿宋" w:asciiTheme="majorEastAsia" w:hAnsiTheme="majorEastAsia" w:eastAsiaTheme="majorEastAsia"/>
          <w:color w:val="auto"/>
          <w:kern w:val="2"/>
          <w:sz w:val="32"/>
          <w:szCs w:val="32"/>
          <w:highlight w:val="none"/>
        </w:rPr>
        <w:t>二、投标报价明细表</w:t>
      </w:r>
    </w:p>
    <w:p>
      <w:pPr>
        <w:snapToGrid w:val="0"/>
        <w:spacing w:line="24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投标人名称：</w:t>
      </w:r>
      <w:r>
        <w:rPr>
          <w:rFonts w:hint="eastAsia" w:cs="仿宋" w:asciiTheme="majorEastAsia" w:hAnsiTheme="majorEastAsia" w:eastAsiaTheme="majorEastAsia"/>
          <w:color w:val="auto"/>
          <w:kern w:val="0"/>
          <w:sz w:val="24"/>
          <w:highlight w:val="none"/>
          <w:u w:val="single"/>
        </w:rPr>
        <w:t xml:space="preserve">                            </w:t>
      </w:r>
    </w:p>
    <w:p>
      <w:pPr>
        <w:snapToGrid w:val="0"/>
        <w:spacing w:line="24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标    项：</w:t>
      </w:r>
      <w:r>
        <w:rPr>
          <w:rFonts w:hint="eastAsia" w:cs="仿宋" w:asciiTheme="majorEastAsia" w:hAnsiTheme="majorEastAsia" w:eastAsiaTheme="majorEastAsia"/>
          <w:color w:val="auto"/>
          <w:kern w:val="0"/>
          <w:sz w:val="24"/>
          <w:highlight w:val="none"/>
          <w:u w:val="single"/>
        </w:rPr>
        <w:t xml:space="preserve">                              </w:t>
      </w:r>
    </w:p>
    <w:p>
      <w:pPr>
        <w:snapToGrid w:val="0"/>
        <w:spacing w:line="240" w:lineRule="auto"/>
        <w:jc w:val="left"/>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项目编号： </w:t>
      </w:r>
      <w:r>
        <w:rPr>
          <w:rFonts w:hint="eastAsia" w:cs="仿宋" w:asciiTheme="majorEastAsia" w:hAnsiTheme="majorEastAsia" w:eastAsiaTheme="majorEastAsia"/>
          <w:color w:val="auto"/>
          <w:kern w:val="0"/>
          <w:sz w:val="24"/>
          <w:highlight w:val="none"/>
          <w:u w:val="single"/>
        </w:rPr>
        <w:t xml:space="preserve">                             </w:t>
      </w:r>
      <w:r>
        <w:rPr>
          <w:rFonts w:hint="eastAsia" w:cs="仿宋" w:asciiTheme="majorEastAsia" w:hAnsiTheme="majorEastAsia" w:eastAsiaTheme="majorEastAsia"/>
          <w:color w:val="auto"/>
          <w:sz w:val="24"/>
          <w:highlight w:val="none"/>
        </w:rPr>
        <w:t xml:space="preserve">           金额单位：人民币（元）</w:t>
      </w:r>
    </w:p>
    <w:p>
      <w:pPr>
        <w:pStyle w:val="2"/>
        <w:rPr>
          <w:rFonts w:hint="eastAsia"/>
          <w:color w:val="auto"/>
          <w:highlight w:val="none"/>
        </w:rPr>
      </w:pPr>
    </w:p>
    <w:tbl>
      <w:tblPr>
        <w:tblStyle w:val="18"/>
        <w:tblW w:w="10400" w:type="dxa"/>
        <w:jc w:val="center"/>
        <w:tblLayout w:type="fixed"/>
        <w:tblCellMar>
          <w:top w:w="15" w:type="dxa"/>
          <w:left w:w="15" w:type="dxa"/>
          <w:bottom w:w="15" w:type="dxa"/>
          <w:right w:w="15" w:type="dxa"/>
        </w:tblCellMar>
      </w:tblPr>
      <w:tblGrid>
        <w:gridCol w:w="687"/>
        <w:gridCol w:w="1269"/>
        <w:gridCol w:w="1856"/>
        <w:gridCol w:w="960"/>
        <w:gridCol w:w="1545"/>
        <w:gridCol w:w="1201"/>
        <w:gridCol w:w="1169"/>
        <w:gridCol w:w="1713"/>
      </w:tblGrid>
      <w:tr>
        <w:tblPrEx>
          <w:tblCellMar>
            <w:top w:w="15" w:type="dxa"/>
            <w:left w:w="15" w:type="dxa"/>
            <w:bottom w:w="15" w:type="dxa"/>
            <w:right w:w="15" w:type="dxa"/>
          </w:tblCellMar>
        </w:tblPrEx>
        <w:trPr>
          <w:trHeight w:val="877"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序号</w:t>
            </w:r>
          </w:p>
        </w:tc>
        <w:tc>
          <w:tcPr>
            <w:tcW w:w="3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岗位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数量</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月综合服务费（元/月）</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计费时间（月）</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年小计（元）</w:t>
            </w: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备注</w:t>
            </w:r>
          </w:p>
        </w:tc>
      </w:tr>
      <w:tr>
        <w:tblPrEx>
          <w:tblCellMar>
            <w:top w:w="15" w:type="dxa"/>
            <w:left w:w="15" w:type="dxa"/>
            <w:bottom w:w="15" w:type="dxa"/>
            <w:right w:w="15" w:type="dxa"/>
          </w:tblCellMar>
        </w:tblPrEx>
        <w:trPr>
          <w:trHeight w:val="866"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3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项目经理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5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2</w:t>
            </w:r>
          </w:p>
        </w:tc>
        <w:tc>
          <w:tcPr>
            <w:tcW w:w="3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经理助理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（兼餐饮负责人）</w:t>
            </w:r>
          </w:p>
        </w:tc>
      </w:tr>
      <w:tr>
        <w:tblPrEx>
          <w:tblCellMar>
            <w:top w:w="15" w:type="dxa"/>
            <w:left w:w="15" w:type="dxa"/>
            <w:bottom w:w="15" w:type="dxa"/>
            <w:right w:w="15" w:type="dxa"/>
          </w:tblCellMar>
        </w:tblPrEx>
        <w:trPr>
          <w:trHeight w:val="862"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3</w:t>
            </w:r>
          </w:p>
        </w:tc>
        <w:tc>
          <w:tcPr>
            <w:tcW w:w="3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前厅接待及会务服务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63" w:hRule="atLeast"/>
          <w:jc w:val="center"/>
        </w:trPr>
        <w:tc>
          <w:tcPr>
            <w:tcW w:w="68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4</w:t>
            </w:r>
          </w:p>
        </w:tc>
        <w:tc>
          <w:tcPr>
            <w:tcW w:w="1269"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工程服务人员</w:t>
            </w:r>
          </w:p>
        </w:tc>
        <w:tc>
          <w:tcPr>
            <w:tcW w:w="185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工程主管</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24" w:hRule="atLeast"/>
          <w:jc w:val="center"/>
        </w:trPr>
        <w:tc>
          <w:tcPr>
            <w:tcW w:w="68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69"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85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高配值班电工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2</w:t>
            </w:r>
          </w:p>
        </w:tc>
        <w:tc>
          <w:tcPr>
            <w:tcW w:w="15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58" w:hRule="atLeast"/>
          <w:jc w:val="center"/>
        </w:trPr>
        <w:tc>
          <w:tcPr>
            <w:tcW w:w="68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69"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85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电工、管道工</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2</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20" w:hRule="atLeast"/>
          <w:jc w:val="center"/>
        </w:trPr>
        <w:tc>
          <w:tcPr>
            <w:tcW w:w="68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5</w:t>
            </w:r>
          </w:p>
        </w:tc>
        <w:tc>
          <w:tcPr>
            <w:tcW w:w="1269"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保安员</w:t>
            </w:r>
          </w:p>
        </w:tc>
        <w:tc>
          <w:tcPr>
            <w:tcW w:w="185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保安主管</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40" w:hRule="atLeast"/>
          <w:jc w:val="center"/>
        </w:trPr>
        <w:tc>
          <w:tcPr>
            <w:tcW w:w="68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69" w:type="dxa"/>
            <w:vMerge w:val="continue"/>
            <w:tcBorders>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85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保安员</w:t>
            </w:r>
          </w:p>
        </w:tc>
        <w:tc>
          <w:tcPr>
            <w:tcW w:w="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34</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779"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6</w:t>
            </w:r>
          </w:p>
        </w:tc>
        <w:tc>
          <w:tcPr>
            <w:tcW w:w="31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保洁员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22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27" w:hRule="atLeast"/>
          <w:jc w:val="center"/>
        </w:trPr>
        <w:tc>
          <w:tcPr>
            <w:tcW w:w="68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7</w:t>
            </w:r>
          </w:p>
        </w:tc>
        <w:tc>
          <w:tcPr>
            <w:tcW w:w="1269"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餐饮人员</w:t>
            </w:r>
          </w:p>
        </w:tc>
        <w:tc>
          <w:tcPr>
            <w:tcW w:w="185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中式烹调师</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4</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其中主厨1名，副厨3名。</w:t>
            </w:r>
          </w:p>
        </w:tc>
      </w:tr>
      <w:tr>
        <w:tblPrEx>
          <w:tblCellMar>
            <w:top w:w="15" w:type="dxa"/>
            <w:left w:w="15" w:type="dxa"/>
            <w:bottom w:w="15" w:type="dxa"/>
            <w:right w:w="15" w:type="dxa"/>
          </w:tblCellMar>
        </w:tblPrEx>
        <w:trPr>
          <w:trHeight w:val="913" w:hRule="atLeast"/>
          <w:jc w:val="center"/>
        </w:trPr>
        <w:tc>
          <w:tcPr>
            <w:tcW w:w="68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69"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85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西式面点师</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15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41" w:hRule="atLeast"/>
          <w:jc w:val="center"/>
        </w:trPr>
        <w:tc>
          <w:tcPr>
            <w:tcW w:w="68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69"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85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餐厅服务员</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1</w:t>
            </w:r>
          </w:p>
        </w:tc>
        <w:tc>
          <w:tcPr>
            <w:tcW w:w="15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68" w:hRule="atLeast"/>
          <w:jc w:val="center"/>
        </w:trPr>
        <w:tc>
          <w:tcPr>
            <w:tcW w:w="68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69"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85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洗杂工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5</w:t>
            </w:r>
          </w:p>
        </w:tc>
        <w:tc>
          <w:tcPr>
            <w:tcW w:w="15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34" w:hRule="atLeast"/>
          <w:jc w:val="center"/>
        </w:trPr>
        <w:tc>
          <w:tcPr>
            <w:tcW w:w="6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8</w:t>
            </w:r>
          </w:p>
        </w:tc>
        <w:tc>
          <w:tcPr>
            <w:tcW w:w="3125"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绿化工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2</w:t>
            </w:r>
          </w:p>
        </w:tc>
        <w:tc>
          <w:tcPr>
            <w:tcW w:w="15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789" w:hRule="atLeast"/>
          <w:jc w:val="center"/>
        </w:trPr>
        <w:tc>
          <w:tcPr>
            <w:tcW w:w="68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9</w:t>
            </w:r>
          </w:p>
        </w:tc>
        <w:tc>
          <w:tcPr>
            <w:tcW w:w="3125"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业态经营</w:t>
            </w:r>
          </w:p>
        </w:tc>
        <w:tc>
          <w:tcPr>
            <w:tcW w:w="9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3</w:t>
            </w:r>
          </w:p>
        </w:tc>
        <w:tc>
          <w:tcPr>
            <w:tcW w:w="154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843" w:hRule="atLeast"/>
          <w:jc w:val="center"/>
        </w:trPr>
        <w:tc>
          <w:tcPr>
            <w:tcW w:w="38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82</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r>
        <w:tblPrEx>
          <w:tblCellMar>
            <w:top w:w="15" w:type="dxa"/>
            <w:left w:w="15" w:type="dxa"/>
            <w:bottom w:w="15" w:type="dxa"/>
            <w:right w:w="15" w:type="dxa"/>
          </w:tblCellMar>
        </w:tblPrEx>
        <w:trPr>
          <w:trHeight w:val="795" w:hRule="atLeast"/>
          <w:jc w:val="center"/>
        </w:trPr>
        <w:tc>
          <w:tcPr>
            <w:tcW w:w="38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t>投标总价（元/年）</w:t>
            </w:r>
          </w:p>
        </w:tc>
        <w:tc>
          <w:tcPr>
            <w:tcW w:w="658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iCs w:val="0"/>
                <w:color w:val="auto"/>
                <w:kern w:val="0"/>
                <w:sz w:val="24"/>
                <w:szCs w:val="24"/>
                <w:highlight w:val="none"/>
                <w:u w:val="none"/>
                <w:lang w:val="en-US" w:eastAsia="zh-CN" w:bidi="ar"/>
              </w:rPr>
            </w:pPr>
          </w:p>
        </w:tc>
      </w:tr>
    </w:tbl>
    <w:p>
      <w:pPr>
        <w:pStyle w:val="11"/>
        <w:spacing w:line="240" w:lineRule="auto"/>
        <w:ind w:left="0" w:leftChars="0"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注：</w:t>
      </w:r>
    </w:p>
    <w:p>
      <w:pPr>
        <w:pStyle w:val="11"/>
        <w:spacing w:line="360" w:lineRule="auto"/>
        <w:ind w:left="-176" w:leftChars="-84" w:firstLine="177" w:firstLineChars="74"/>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1.</w:t>
      </w:r>
      <w:r>
        <w:rPr>
          <w:rFonts w:hint="eastAsia" w:cs="仿宋" w:asciiTheme="majorEastAsia" w:hAnsiTheme="majorEastAsia" w:eastAsiaTheme="majorEastAsia"/>
          <w:color w:val="auto"/>
          <w:kern w:val="0"/>
          <w:sz w:val="24"/>
          <w:highlight w:val="none"/>
          <w:lang w:val="zh-CN"/>
        </w:rPr>
        <w:t>投标人需按本表格式填写，不得自行更改，</w:t>
      </w:r>
      <w:r>
        <w:rPr>
          <w:rFonts w:hint="eastAsia" w:cs="仿宋" w:asciiTheme="majorEastAsia" w:hAnsiTheme="majorEastAsia" w:eastAsiaTheme="majorEastAsia"/>
          <w:color w:val="auto"/>
          <w:highlight w:val="none"/>
          <w:lang w:val="en-US" w:eastAsia="zh-CN"/>
        </w:rPr>
        <w:t>未按本表格填写的作无效标处理。</w:t>
      </w:r>
    </w:p>
    <w:p>
      <w:pPr>
        <w:pStyle w:val="11"/>
        <w:spacing w:line="360" w:lineRule="auto"/>
        <w:ind w:left="0" w:leftChars="0" w:firstLine="0" w:firstLineChars="0"/>
        <w:rPr>
          <w:rFonts w:cs="仿宋" w:asciiTheme="majorEastAsia" w:hAnsiTheme="majorEastAsia" w:eastAsiaTheme="majorEastAsia"/>
          <w:color w:val="auto"/>
          <w:highlight w:val="none"/>
        </w:rPr>
      </w:pPr>
      <w:r>
        <w:rPr>
          <w:rFonts w:hint="eastAsia" w:cs="仿宋" w:asciiTheme="majorEastAsia" w:hAnsiTheme="majorEastAsia" w:eastAsiaTheme="majorEastAsia"/>
          <w:color w:val="auto"/>
          <w:highlight w:val="none"/>
        </w:rPr>
        <w:t>2.投标总价应与开标一览表的投标报价一致。</w:t>
      </w:r>
    </w:p>
    <w:p>
      <w:pPr>
        <w:spacing w:line="360" w:lineRule="auto"/>
        <w:rPr>
          <w:rFonts w:hint="default" w:cs="仿宋" w:asciiTheme="majorEastAsia" w:hAnsiTheme="majorEastAsia" w:eastAsiaTheme="majorEastAsia"/>
          <w:color w:val="auto"/>
          <w:kern w:val="2"/>
          <w:sz w:val="24"/>
          <w:szCs w:val="24"/>
          <w:highlight w:val="none"/>
          <w:lang w:val="en-US" w:eastAsia="zh-CN" w:bidi="ar-SA"/>
        </w:rPr>
      </w:pPr>
      <w:r>
        <w:rPr>
          <w:rFonts w:hint="eastAsia" w:cs="仿宋" w:asciiTheme="majorEastAsia" w:hAnsiTheme="majorEastAsia" w:eastAsiaTheme="majorEastAsia"/>
          <w:color w:val="auto"/>
          <w:kern w:val="2"/>
          <w:sz w:val="24"/>
          <w:szCs w:val="24"/>
          <w:highlight w:val="none"/>
          <w:lang w:val="en-US" w:eastAsia="zh-CN" w:bidi="ar-SA"/>
        </w:rPr>
        <w:t>3、投标总价为完成本项目的所有费用，包含福利、岗位补贴、社保、意外保险、节假日加班费，服装费、管理费及购买服务需交纳的所有税费及其他一切相关费用（含服务过程中所需的耗材及设备等），投标人少报或漏报的工作量，采购人将视为已包含在投标总价中，并不予调整。</w:t>
      </w:r>
    </w:p>
    <w:p>
      <w:pPr>
        <w:pStyle w:val="2"/>
        <w:rPr>
          <w:color w:val="auto"/>
          <w:highlight w:val="none"/>
        </w:rPr>
      </w:pPr>
    </w:p>
    <w:p>
      <w:pPr>
        <w:spacing w:line="24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法定代表人或其授权委托人（签名或印章）：        </w:t>
      </w:r>
    </w:p>
    <w:p>
      <w:pPr>
        <w:spacing w:line="240" w:lineRule="auto"/>
        <w:ind w:left="3780" w:leftChars="1800"/>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投标人（盖章）：         </w:t>
      </w:r>
    </w:p>
    <w:p>
      <w:pPr>
        <w:pStyle w:val="31"/>
        <w:keepNext w:val="0"/>
        <w:pageBreakBefore w:val="0"/>
        <w:tabs>
          <w:tab w:val="clear" w:pos="720"/>
        </w:tabs>
        <w:snapToGrid w:val="0"/>
        <w:spacing w:before="120" w:after="120" w:line="240" w:lineRule="auto"/>
        <w:ind w:left="3780" w:leftChars="1800"/>
        <w:jc w:val="both"/>
        <w:outlineLvl w:val="9"/>
        <w:rPr>
          <w:rFonts w:cs="仿宋" w:asciiTheme="majorEastAsia" w:hAnsiTheme="majorEastAsia" w:eastAsiaTheme="majorEastAsia"/>
          <w:b w:val="0"/>
          <w:color w:val="auto"/>
          <w:kern w:val="2"/>
          <w:sz w:val="24"/>
          <w:szCs w:val="24"/>
          <w:highlight w:val="none"/>
        </w:rPr>
      </w:pPr>
      <w:r>
        <w:rPr>
          <w:rFonts w:hint="eastAsia" w:cs="仿宋" w:asciiTheme="majorEastAsia" w:hAnsiTheme="majorEastAsia" w:eastAsiaTheme="majorEastAsia"/>
          <w:b w:val="0"/>
          <w:color w:val="auto"/>
          <w:kern w:val="2"/>
          <w:sz w:val="24"/>
          <w:szCs w:val="24"/>
          <w:highlight w:val="none"/>
        </w:rPr>
        <w:t xml:space="preserve">日  期：  </w:t>
      </w:r>
    </w:p>
    <w:p>
      <w:pPr>
        <w:pStyle w:val="31"/>
        <w:keepNext w:val="0"/>
        <w:pageBreakBefore w:val="0"/>
        <w:numPr>
          <w:ilvl w:val="0"/>
          <w:numId w:val="5"/>
        </w:numPr>
        <w:tabs>
          <w:tab w:val="clear" w:pos="720"/>
        </w:tabs>
        <w:snapToGrid w:val="0"/>
        <w:spacing w:before="120" w:after="120" w:line="240" w:lineRule="auto"/>
        <w:ind w:left="0" w:leftChars="0" w:firstLine="480" w:firstLineChars="200"/>
        <w:outlineLvl w:val="9"/>
        <w:rPr>
          <w:rFonts w:hint="eastAsia"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val="0"/>
          <w:color w:val="auto"/>
          <w:kern w:val="2"/>
          <w:sz w:val="24"/>
          <w:szCs w:val="24"/>
          <w:highlight w:val="none"/>
        </w:rPr>
        <w:br w:type="page"/>
      </w:r>
      <w:r>
        <w:rPr>
          <w:rFonts w:hint="eastAsia" w:cs="仿宋" w:asciiTheme="majorEastAsia" w:hAnsiTheme="majorEastAsia" w:eastAsiaTheme="majorEastAsia"/>
          <w:color w:val="auto"/>
          <w:sz w:val="32"/>
          <w:szCs w:val="32"/>
          <w:highlight w:val="none"/>
        </w:rPr>
        <w:t>中小企业声明函</w:t>
      </w:r>
    </w:p>
    <w:p>
      <w:pPr>
        <w:pStyle w:val="31"/>
        <w:keepNext w:val="0"/>
        <w:pageBreakBefore w:val="0"/>
        <w:numPr>
          <w:ilvl w:val="0"/>
          <w:numId w:val="0"/>
        </w:numPr>
        <w:tabs>
          <w:tab w:val="clear" w:pos="720"/>
        </w:tabs>
        <w:snapToGrid w:val="0"/>
        <w:spacing w:before="120" w:after="120" w:line="240" w:lineRule="auto"/>
        <w:ind w:leftChars="200" w:firstLine="1928" w:firstLineChars="600"/>
        <w:jc w:val="both"/>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招标文件</w:t>
      </w:r>
      <w:r>
        <w:rPr>
          <w:rFonts w:hint="eastAsia" w:ascii="仿宋" w:hAnsi="仿宋" w:eastAsia="仿宋" w:cs="仿宋"/>
          <w:color w:val="auto"/>
          <w:sz w:val="24"/>
          <w:highlight w:val="none"/>
          <w:u w:val="single"/>
        </w:rPr>
        <w:t>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Chars="17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法定代表人或其授权委托人（签名或印章）：</w:t>
      </w:r>
    </w:p>
    <w:p>
      <w:pPr>
        <w:keepNext w:val="0"/>
        <w:keepLines w:val="0"/>
        <w:pageBreakBefore w:val="0"/>
        <w:widowControl w:val="0"/>
        <w:kinsoku/>
        <w:wordWrap/>
        <w:overflowPunct/>
        <w:topLinePunct w:val="0"/>
        <w:autoSpaceDE/>
        <w:autoSpaceDN/>
        <w:bidi w:val="0"/>
        <w:adjustRightInd w:val="0"/>
        <w:snapToGrid w:val="0"/>
        <w:spacing w:line="360" w:lineRule="auto"/>
        <w:ind w:leftChars="1700" w:firstLine="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textAlignment w:val="auto"/>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lang w:val="en-US" w:eastAsia="zh-CN"/>
        </w:rPr>
        <w:t>:</w:t>
      </w:r>
    </w:p>
    <w:p>
      <w:pPr>
        <w:spacing w:line="360" w:lineRule="auto"/>
        <w:ind w:firstLine="310" w:firstLineChars="147"/>
        <w:jc w:val="left"/>
        <w:rPr>
          <w:rFonts w:hint="eastAsia" w:ascii="仿宋" w:hAnsi="仿宋" w:eastAsia="仿宋" w:cs="仿宋"/>
          <w:color w:val="auto"/>
          <w:sz w:val="24"/>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right="-283"/>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cs="仿宋" w:asciiTheme="majorEastAsia" w:hAnsiTheme="majorEastAsia" w:eastAsiaTheme="majorEastAsia"/>
          <w:b/>
          <w:bCs/>
          <w:color w:val="auto"/>
          <w:sz w:val="32"/>
          <w:szCs w:val="32"/>
          <w:highlight w:val="none"/>
        </w:rPr>
      </w:pPr>
      <w:r>
        <w:rPr>
          <w:rFonts w:hint="eastAsia" w:cs="仿宋" w:asciiTheme="majorEastAsia" w:hAnsiTheme="majorEastAsia" w:eastAsiaTheme="majorEastAsia"/>
          <w:b/>
          <w:color w:val="auto"/>
          <w:sz w:val="32"/>
          <w:szCs w:val="32"/>
          <w:highlight w:val="none"/>
        </w:rPr>
        <w:br w:type="page"/>
      </w:r>
    </w:p>
    <w:p>
      <w:pPr>
        <w:spacing w:line="360" w:lineRule="auto"/>
        <w:jc w:val="center"/>
        <w:rPr>
          <w:rFonts w:cs="仿宋" w:asciiTheme="majorEastAsia" w:hAnsiTheme="majorEastAsia" w:eastAsiaTheme="majorEastAsia"/>
          <w:color w:val="auto"/>
          <w:sz w:val="32"/>
          <w:szCs w:val="32"/>
          <w:highlight w:val="none"/>
        </w:rPr>
      </w:pPr>
      <w:r>
        <w:rPr>
          <w:rFonts w:hint="eastAsia" w:cs="仿宋" w:asciiTheme="majorEastAsia" w:hAnsiTheme="majorEastAsia" w:eastAsiaTheme="majorEastAsia"/>
          <w:b/>
          <w:bCs/>
          <w:color w:val="auto"/>
          <w:sz w:val="32"/>
          <w:szCs w:val="32"/>
          <w:highlight w:val="none"/>
        </w:rPr>
        <w:t>四、残疾人福利性单位声明函</w:t>
      </w:r>
    </w:p>
    <w:p>
      <w:pPr>
        <w:spacing w:line="360" w:lineRule="auto"/>
        <w:rPr>
          <w:rFonts w:cs="仿宋" w:asciiTheme="majorEastAsia" w:hAnsiTheme="majorEastAsia" w:eastAsiaTheme="majorEastAsia"/>
          <w:b/>
          <w:color w:val="auto"/>
          <w:spacing w:val="6"/>
          <w:sz w:val="30"/>
          <w:szCs w:val="30"/>
          <w:highlight w:val="none"/>
        </w:rPr>
      </w:pPr>
    </w:p>
    <w:p>
      <w:pP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本单位对上述声明的真实性负责。如有虚假，将依法承担相应责任。</w:t>
      </w:r>
    </w:p>
    <w:p>
      <w:pPr>
        <w:spacing w:line="360" w:lineRule="auto"/>
        <w:ind w:firstLine="480" w:firstLineChars="200"/>
        <w:jc w:val="left"/>
        <w:rPr>
          <w:rFonts w:cs="仿宋" w:asciiTheme="majorEastAsia" w:hAnsiTheme="majorEastAsia" w:eastAsiaTheme="majorEastAsia"/>
          <w:color w:val="auto"/>
          <w:sz w:val="24"/>
          <w:highlight w:val="none"/>
        </w:rPr>
      </w:pPr>
    </w:p>
    <w:p>
      <w:pPr>
        <w:spacing w:line="360" w:lineRule="auto"/>
        <w:ind w:firstLine="480" w:firstLineChars="200"/>
        <w:jc w:val="left"/>
        <w:rPr>
          <w:rFonts w:cs="仿宋" w:asciiTheme="majorEastAsia" w:hAnsiTheme="majorEastAsia" w:eastAsiaTheme="majorEastAsia"/>
          <w:color w:val="auto"/>
          <w:sz w:val="24"/>
          <w:highlight w:val="none"/>
        </w:rPr>
      </w:pPr>
    </w:p>
    <w:p>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            法定代表人或其授权委托人（签名或印章）：</w:t>
      </w:r>
    </w:p>
    <w:p>
      <w:pPr>
        <w:adjustRightInd w:val="0"/>
        <w:spacing w:line="360" w:lineRule="auto"/>
        <w:ind w:firstLine="3840" w:firstLineChars="16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pP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p>
      <w:pPr>
        <w:spacing w:line="360" w:lineRule="auto"/>
        <w:ind w:firstLine="643" w:firstLineChars="200"/>
        <w:jc w:val="left"/>
        <w:rPr>
          <w:rFonts w:cs="仿宋" w:asciiTheme="majorEastAsia" w:hAnsiTheme="majorEastAsia" w:eastAsiaTheme="majorEastAsia"/>
          <w:b/>
          <w:color w:val="auto"/>
          <w:sz w:val="32"/>
          <w:szCs w:val="32"/>
          <w:highlight w:val="none"/>
        </w:rPr>
      </w:pPr>
    </w:p>
    <w:p>
      <w:pPr>
        <w:spacing w:line="360" w:lineRule="auto"/>
        <w:rPr>
          <w:rFonts w:cs="仿宋" w:asciiTheme="majorEastAsia" w:hAnsiTheme="majorEastAsia" w:eastAsiaTheme="majorEastAsia"/>
          <w:b/>
          <w:color w:val="auto"/>
          <w:sz w:val="32"/>
          <w:szCs w:val="32"/>
          <w:highlight w:val="none"/>
        </w:rPr>
      </w:pPr>
    </w:p>
    <w:p>
      <w:pPr>
        <w:numPr>
          <w:ilvl w:val="0"/>
          <w:numId w:val="6"/>
        </w:numPr>
        <w:spacing w:line="360" w:lineRule="auto"/>
        <w:jc w:val="center"/>
        <w:rPr>
          <w:rFonts w:cs="仿宋" w:asciiTheme="majorEastAsia" w:hAnsiTheme="majorEastAsia" w:eastAsiaTheme="majorEastAsia"/>
          <w:b/>
          <w:color w:val="auto"/>
          <w:spacing w:val="6"/>
          <w:sz w:val="32"/>
          <w:szCs w:val="32"/>
          <w:highlight w:val="none"/>
        </w:rPr>
      </w:pPr>
      <w:r>
        <w:rPr>
          <w:rFonts w:hint="eastAsia" w:cs="仿宋" w:asciiTheme="majorEastAsia" w:hAnsiTheme="majorEastAsia" w:eastAsiaTheme="majorEastAsia"/>
          <w:b/>
          <w:color w:val="auto"/>
          <w:spacing w:val="6"/>
          <w:sz w:val="32"/>
          <w:szCs w:val="32"/>
          <w:highlight w:val="none"/>
        </w:rPr>
        <w:br w:type="page"/>
      </w:r>
      <w:r>
        <w:rPr>
          <w:rFonts w:hint="eastAsia" w:cs="仿宋" w:asciiTheme="majorEastAsia" w:hAnsiTheme="majorEastAsia" w:eastAsiaTheme="majorEastAsia"/>
          <w:b/>
          <w:color w:val="auto"/>
          <w:spacing w:val="6"/>
          <w:sz w:val="32"/>
          <w:szCs w:val="32"/>
          <w:highlight w:val="none"/>
        </w:rPr>
        <w:t>政府采购统计基础信息表</w:t>
      </w:r>
    </w:p>
    <w:p>
      <w:pPr>
        <w:pStyle w:val="2"/>
        <w:spacing w:line="360" w:lineRule="auto"/>
        <w:ind w:firstLine="0" w:firstLineChars="0"/>
        <w:rPr>
          <w:rFonts w:cs="仿宋" w:asciiTheme="majorEastAsia" w:hAnsiTheme="majorEastAsia" w:eastAsiaTheme="majorEastAsia"/>
          <w:color w:val="auto"/>
          <w:highlight w:val="none"/>
        </w:rPr>
      </w:pPr>
    </w:p>
    <w:tbl>
      <w:tblPr>
        <w:tblStyle w:val="18"/>
        <w:tblW w:w="8537" w:type="dxa"/>
        <w:jc w:val="center"/>
        <w:tblLayout w:type="fixed"/>
        <w:tblCellMar>
          <w:top w:w="0" w:type="dxa"/>
          <w:left w:w="108" w:type="dxa"/>
          <w:bottom w:w="0" w:type="dxa"/>
          <w:right w:w="108" w:type="dxa"/>
        </w:tblCellMar>
      </w:tblPr>
      <w:tblGrid>
        <w:gridCol w:w="4998"/>
        <w:gridCol w:w="3539"/>
      </w:tblGrid>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投标单位名称</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r>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pPr>
              <w:spacing w:line="360" w:lineRule="auto"/>
              <w:rPr>
                <w:rFonts w:cs="仿宋" w:asciiTheme="majorEastAsia" w:hAnsiTheme="majorEastAsia" w:eastAsiaTheme="majorEastAsia"/>
                <w:color w:val="auto"/>
                <w:highlight w:val="none"/>
              </w:rPr>
            </w:pPr>
          </w:p>
        </w:tc>
      </w:tr>
    </w:tbl>
    <w:p>
      <w:pPr>
        <w:adjustRightInd w:val="0"/>
        <w:spacing w:line="360" w:lineRule="auto"/>
        <w:jc w:val="left"/>
        <w:rPr>
          <w:rFonts w:cs="仿宋" w:asciiTheme="majorEastAsia" w:hAnsiTheme="majorEastAsia" w:eastAsiaTheme="majorEastAsia"/>
          <w:color w:val="auto"/>
          <w:sz w:val="24"/>
          <w:highlight w:val="none"/>
        </w:rPr>
      </w:pPr>
    </w:p>
    <w:p>
      <w:pPr>
        <w:adjustRightInd w:val="0"/>
        <w:spacing w:line="360" w:lineRule="auto"/>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备注：请各投标人务必填写此表作为投标文件的组成部分。</w:t>
      </w:r>
    </w:p>
    <w:p>
      <w:pPr>
        <w:adjustRightInd w:val="0"/>
        <w:spacing w:line="360" w:lineRule="auto"/>
        <w:jc w:val="left"/>
        <w:rPr>
          <w:rFonts w:cs="仿宋" w:asciiTheme="majorEastAsia" w:hAnsiTheme="majorEastAsia" w:eastAsiaTheme="majorEastAsia"/>
          <w:color w:val="auto"/>
          <w:sz w:val="24"/>
          <w:highlight w:val="none"/>
        </w:rPr>
      </w:pPr>
    </w:p>
    <w:p>
      <w:pPr>
        <w:adjustRightInd w:val="0"/>
        <w:spacing w:line="360" w:lineRule="auto"/>
        <w:jc w:val="left"/>
        <w:rPr>
          <w:rFonts w:cs="仿宋" w:asciiTheme="majorEastAsia" w:hAnsiTheme="majorEastAsia" w:eastAsiaTheme="majorEastAsia"/>
          <w:color w:val="auto"/>
          <w:sz w:val="24"/>
          <w:highlight w:val="none"/>
        </w:rPr>
      </w:pPr>
    </w:p>
    <w:p>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法定代表人或其授权委托人（签名或印章）：</w:t>
      </w:r>
    </w:p>
    <w:p>
      <w:pPr>
        <w:adjustRightInd w:val="0"/>
        <w:spacing w:line="360" w:lineRule="auto"/>
        <w:ind w:firstLine="2400" w:firstLineChars="1000"/>
        <w:jc w:val="left"/>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投标人（盖章）：</w:t>
      </w:r>
    </w:p>
    <w:p>
      <w:pPr>
        <w:rPr>
          <w:rFonts w:asciiTheme="majorEastAsia" w:hAnsiTheme="majorEastAsia" w:eastAsiaTheme="majorEastAsia"/>
          <w:color w:val="auto"/>
          <w:highlight w:val="none"/>
        </w:rPr>
      </w:pPr>
      <w:r>
        <w:rPr>
          <w:rFonts w:hint="eastAsia" w:cs="仿宋" w:asciiTheme="majorEastAsia" w:hAnsiTheme="majorEastAsia" w:eastAsiaTheme="majorEastAsia"/>
          <w:color w:val="auto"/>
          <w:sz w:val="24"/>
          <w:highlight w:val="none"/>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7C9C246"/>
    <w:multiLevelType w:val="singleLevel"/>
    <w:tmpl w:val="A7C9C246"/>
    <w:lvl w:ilvl="0" w:tentative="0">
      <w:start w:val="2"/>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pStyle w:val="46"/>
      <w:suff w:val="nothing"/>
      <w:lvlText w:val="%1．"/>
      <w:lvlJc w:val="left"/>
      <w:pPr>
        <w:ind w:left="0" w:firstLine="400"/>
      </w:pPr>
      <w:rPr>
        <w:rFonts w:hint="default"/>
      </w:rPr>
    </w:lvl>
  </w:abstractNum>
  <w:abstractNum w:abstractNumId="3">
    <w:nsid w:val="E547743D"/>
    <w:multiLevelType w:val="singleLevel"/>
    <w:tmpl w:val="E547743D"/>
    <w:lvl w:ilvl="0" w:tentative="0">
      <w:start w:val="3"/>
      <w:numFmt w:val="chineseCounting"/>
      <w:suff w:val="space"/>
      <w:lvlText w:val="第%1部分"/>
      <w:lvlJc w:val="left"/>
      <w:rPr>
        <w:rFonts w:hint="eastAsia"/>
      </w:rPr>
    </w:lvl>
  </w:abstractNum>
  <w:abstractNum w:abstractNumId="4">
    <w:nsid w:val="2DC53F9C"/>
    <w:multiLevelType w:val="singleLevel"/>
    <w:tmpl w:val="2DC53F9C"/>
    <w:lvl w:ilvl="0" w:tentative="0">
      <w:start w:val="5"/>
      <w:numFmt w:val="chineseCounting"/>
      <w:suff w:val="space"/>
      <w:lvlText w:val="第%1部分"/>
      <w:lvlJc w:val="left"/>
      <w:rPr>
        <w:rFonts w:hint="eastAsia"/>
      </w:rPr>
    </w:lvl>
  </w:abstractNum>
  <w:abstractNum w:abstractNumId="5">
    <w:nsid w:val="495C2BCE"/>
    <w:multiLevelType w:val="singleLevel"/>
    <w:tmpl w:val="495C2BCE"/>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BiMjhlNGMxN2Y5YWVlMWMxNjY0ZTY1MjRjM2Q1ODIifQ=="/>
  </w:docVars>
  <w:rsids>
    <w:rsidRoot w:val="00982EB4"/>
    <w:rsid w:val="00016734"/>
    <w:rsid w:val="000331D4"/>
    <w:rsid w:val="00061CE1"/>
    <w:rsid w:val="00095D46"/>
    <w:rsid w:val="000E448A"/>
    <w:rsid w:val="000F198F"/>
    <w:rsid w:val="001553AB"/>
    <w:rsid w:val="001716B0"/>
    <w:rsid w:val="001B2FBB"/>
    <w:rsid w:val="001C1283"/>
    <w:rsid w:val="001F3EFC"/>
    <w:rsid w:val="00215736"/>
    <w:rsid w:val="00223803"/>
    <w:rsid w:val="0024092E"/>
    <w:rsid w:val="00257FDF"/>
    <w:rsid w:val="0027141A"/>
    <w:rsid w:val="002936BF"/>
    <w:rsid w:val="003549BF"/>
    <w:rsid w:val="003773A8"/>
    <w:rsid w:val="003874A0"/>
    <w:rsid w:val="00452882"/>
    <w:rsid w:val="00475B92"/>
    <w:rsid w:val="004A3340"/>
    <w:rsid w:val="004C3E57"/>
    <w:rsid w:val="004E23EB"/>
    <w:rsid w:val="004E36CD"/>
    <w:rsid w:val="005047BD"/>
    <w:rsid w:val="00507B69"/>
    <w:rsid w:val="00545EB5"/>
    <w:rsid w:val="00550EE6"/>
    <w:rsid w:val="005537BE"/>
    <w:rsid w:val="00555D80"/>
    <w:rsid w:val="005657F7"/>
    <w:rsid w:val="005B0674"/>
    <w:rsid w:val="005B09B1"/>
    <w:rsid w:val="005D37FA"/>
    <w:rsid w:val="0065305C"/>
    <w:rsid w:val="0065579D"/>
    <w:rsid w:val="00673D9C"/>
    <w:rsid w:val="00686437"/>
    <w:rsid w:val="00693366"/>
    <w:rsid w:val="006A264B"/>
    <w:rsid w:val="006B3085"/>
    <w:rsid w:val="006B593D"/>
    <w:rsid w:val="006D63C7"/>
    <w:rsid w:val="00706C27"/>
    <w:rsid w:val="00764A69"/>
    <w:rsid w:val="00773362"/>
    <w:rsid w:val="007E5A2D"/>
    <w:rsid w:val="008232A9"/>
    <w:rsid w:val="0083502E"/>
    <w:rsid w:val="00886BF0"/>
    <w:rsid w:val="008B0252"/>
    <w:rsid w:val="008C7259"/>
    <w:rsid w:val="008F739E"/>
    <w:rsid w:val="009024C2"/>
    <w:rsid w:val="00982EB4"/>
    <w:rsid w:val="00995301"/>
    <w:rsid w:val="009F5B94"/>
    <w:rsid w:val="00A23DA0"/>
    <w:rsid w:val="00B3449C"/>
    <w:rsid w:val="00B408F1"/>
    <w:rsid w:val="00BA7F9C"/>
    <w:rsid w:val="00BF605B"/>
    <w:rsid w:val="00C56A2B"/>
    <w:rsid w:val="00C73083"/>
    <w:rsid w:val="00C82E86"/>
    <w:rsid w:val="00CB17EC"/>
    <w:rsid w:val="00CF24DB"/>
    <w:rsid w:val="00D62310"/>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72B6BAB"/>
    <w:rsid w:val="089A1358"/>
    <w:rsid w:val="0C0F7961"/>
    <w:rsid w:val="0CF31055"/>
    <w:rsid w:val="0D3A01A5"/>
    <w:rsid w:val="0DED5A4B"/>
    <w:rsid w:val="0EB95B50"/>
    <w:rsid w:val="111E5570"/>
    <w:rsid w:val="11480E2F"/>
    <w:rsid w:val="11A64463"/>
    <w:rsid w:val="11EE45B3"/>
    <w:rsid w:val="12EA76C8"/>
    <w:rsid w:val="135B77F6"/>
    <w:rsid w:val="14DB7CD8"/>
    <w:rsid w:val="15D74342"/>
    <w:rsid w:val="19396DC2"/>
    <w:rsid w:val="1ABF5F29"/>
    <w:rsid w:val="1C0627C5"/>
    <w:rsid w:val="1C30655F"/>
    <w:rsid w:val="1EFE281C"/>
    <w:rsid w:val="1F154E34"/>
    <w:rsid w:val="204D2A03"/>
    <w:rsid w:val="215238B8"/>
    <w:rsid w:val="21B53220"/>
    <w:rsid w:val="220A14E7"/>
    <w:rsid w:val="2265699E"/>
    <w:rsid w:val="231B2E91"/>
    <w:rsid w:val="25391AF9"/>
    <w:rsid w:val="27876F4E"/>
    <w:rsid w:val="28FD5D60"/>
    <w:rsid w:val="2B1408DF"/>
    <w:rsid w:val="2B28078D"/>
    <w:rsid w:val="2C202119"/>
    <w:rsid w:val="2D106BCC"/>
    <w:rsid w:val="2D5A072D"/>
    <w:rsid w:val="2E75093F"/>
    <w:rsid w:val="2EC25C14"/>
    <w:rsid w:val="30212E01"/>
    <w:rsid w:val="305277BA"/>
    <w:rsid w:val="30CE781C"/>
    <w:rsid w:val="318F1FAC"/>
    <w:rsid w:val="31F10330"/>
    <w:rsid w:val="33214257"/>
    <w:rsid w:val="34335541"/>
    <w:rsid w:val="34381B90"/>
    <w:rsid w:val="359C6305"/>
    <w:rsid w:val="35ED4C3B"/>
    <w:rsid w:val="36994613"/>
    <w:rsid w:val="36A24B9E"/>
    <w:rsid w:val="3AA722DA"/>
    <w:rsid w:val="3B037446"/>
    <w:rsid w:val="3B630B03"/>
    <w:rsid w:val="3B6D0EE4"/>
    <w:rsid w:val="3F4D34B9"/>
    <w:rsid w:val="403544D7"/>
    <w:rsid w:val="41513858"/>
    <w:rsid w:val="41D34149"/>
    <w:rsid w:val="42B9270F"/>
    <w:rsid w:val="42F848B2"/>
    <w:rsid w:val="43402962"/>
    <w:rsid w:val="45346513"/>
    <w:rsid w:val="47143DF0"/>
    <w:rsid w:val="47962A0D"/>
    <w:rsid w:val="485052AE"/>
    <w:rsid w:val="490619BC"/>
    <w:rsid w:val="49B31142"/>
    <w:rsid w:val="4A495268"/>
    <w:rsid w:val="4ACC0E05"/>
    <w:rsid w:val="4B9D6558"/>
    <w:rsid w:val="4C063F39"/>
    <w:rsid w:val="4CBA0275"/>
    <w:rsid w:val="4F9A68CB"/>
    <w:rsid w:val="500B7417"/>
    <w:rsid w:val="506D4BA2"/>
    <w:rsid w:val="519827A8"/>
    <w:rsid w:val="54503FD7"/>
    <w:rsid w:val="5526447D"/>
    <w:rsid w:val="563F215C"/>
    <w:rsid w:val="57815B08"/>
    <w:rsid w:val="57CF5D62"/>
    <w:rsid w:val="580C6D7B"/>
    <w:rsid w:val="5C9B6DBC"/>
    <w:rsid w:val="5EAC0136"/>
    <w:rsid w:val="60B826F2"/>
    <w:rsid w:val="61A213D6"/>
    <w:rsid w:val="624B5B25"/>
    <w:rsid w:val="633345F0"/>
    <w:rsid w:val="63461BB5"/>
    <w:rsid w:val="65F16251"/>
    <w:rsid w:val="675C5BE6"/>
    <w:rsid w:val="696A2B02"/>
    <w:rsid w:val="69B232CE"/>
    <w:rsid w:val="6AE07B4D"/>
    <w:rsid w:val="6C68488C"/>
    <w:rsid w:val="6DF55585"/>
    <w:rsid w:val="6F2A2565"/>
    <w:rsid w:val="6F3F4FA5"/>
    <w:rsid w:val="6FD470B5"/>
    <w:rsid w:val="6FF06942"/>
    <w:rsid w:val="70F76297"/>
    <w:rsid w:val="72F559D2"/>
    <w:rsid w:val="73355DF8"/>
    <w:rsid w:val="73D70FC8"/>
    <w:rsid w:val="745B4A26"/>
    <w:rsid w:val="74B44DE3"/>
    <w:rsid w:val="756D2523"/>
    <w:rsid w:val="76946AA3"/>
    <w:rsid w:val="76BF14E2"/>
    <w:rsid w:val="79686E45"/>
    <w:rsid w:val="797A238A"/>
    <w:rsid w:val="799A608C"/>
    <w:rsid w:val="79E625AF"/>
    <w:rsid w:val="7A4603D5"/>
    <w:rsid w:val="7A737ACF"/>
    <w:rsid w:val="7CA9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25"/>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3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6">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7">
    <w:name w:val="annotation text"/>
    <w:basedOn w:val="1"/>
    <w:semiHidden/>
    <w:unhideWhenUsed/>
    <w:qFormat/>
    <w:uiPriority w:val="99"/>
    <w:pPr>
      <w:jc w:val="left"/>
    </w:pPr>
  </w:style>
  <w:style w:type="paragraph" w:styleId="8">
    <w:name w:val="Body Text"/>
    <w:basedOn w:val="1"/>
    <w:next w:val="9"/>
    <w:link w:val="29"/>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0"/>
    <w:qFormat/>
    <w:uiPriority w:val="0"/>
    <w:pPr>
      <w:widowControl/>
      <w:spacing w:after="120" w:line="240" w:lineRule="auto"/>
      <w:ind w:firstLine="420" w:firstLineChars="100"/>
    </w:pPr>
    <w:rPr>
      <w:szCs w:val="20"/>
    </w:rPr>
  </w:style>
  <w:style w:type="paragraph" w:styleId="10">
    <w:name w:val="toc 6"/>
    <w:basedOn w:val="1"/>
    <w:next w:val="1"/>
    <w:qFormat/>
    <w:uiPriority w:val="0"/>
    <w:pPr>
      <w:ind w:left="1050"/>
      <w:jc w:val="left"/>
    </w:pPr>
    <w:rPr>
      <w:sz w:val="18"/>
      <w:szCs w:val="18"/>
    </w:rPr>
  </w:style>
  <w:style w:type="paragraph" w:styleId="11">
    <w:name w:val="Body Text Indent"/>
    <w:basedOn w:val="1"/>
    <w:link w:val="26"/>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link w:val="28"/>
    <w:qFormat/>
    <w:uiPriority w:val="0"/>
    <w:rPr>
      <w:rFonts w:ascii="宋体" w:hAnsi="Courier New" w:cs="Arial"/>
      <w:snapToGrid w:val="0"/>
      <w:szCs w:val="21"/>
    </w:rPr>
  </w:style>
  <w:style w:type="paragraph" w:styleId="14">
    <w:name w:val="Date"/>
    <w:basedOn w:val="1"/>
    <w:next w:val="1"/>
    <w:link w:val="27"/>
    <w:qFormat/>
    <w:uiPriority w:val="0"/>
    <w:pPr>
      <w:ind w:left="100" w:leftChars="2500"/>
    </w:pPr>
    <w:rPr>
      <w:rFonts w:ascii="宋体"/>
      <w:sz w:val="24"/>
      <w:szCs w:val="21"/>
      <w:lang w:val="zh-CN"/>
    </w:rPr>
  </w:style>
  <w:style w:type="paragraph" w:styleId="15">
    <w:name w:val="Balloon Text"/>
    <w:basedOn w:val="1"/>
    <w:link w:val="42"/>
    <w:semiHidden/>
    <w:unhideWhenUsed/>
    <w:qFormat/>
    <w:uiPriority w:val="99"/>
    <w:rPr>
      <w:sz w:val="18"/>
      <w:szCs w:val="18"/>
    </w:rPr>
  </w:style>
  <w:style w:type="paragraph" w:styleId="16">
    <w:name w:val="footer"/>
    <w:basedOn w:val="1"/>
    <w:link w:val="24"/>
    <w:unhideWhenUsed/>
    <w:qFormat/>
    <w:uiPriority w:val="99"/>
    <w:pPr>
      <w:tabs>
        <w:tab w:val="center" w:pos="4153"/>
        <w:tab w:val="right" w:pos="8306"/>
      </w:tabs>
      <w:snapToGrid w:val="0"/>
      <w:jc w:val="left"/>
    </w:pPr>
    <w:rPr>
      <w:sz w:val="18"/>
      <w:szCs w:val="18"/>
    </w:rPr>
  </w:style>
  <w:style w:type="paragraph" w:styleId="1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rPr>
      <w:rFonts w:ascii="Arial" w:hAnsi="Arial" w:eastAsia="黑体" w:cs="Arial"/>
      <w:snapToGrid w:val="0"/>
      <w:kern w:val="0"/>
      <w:szCs w:val="21"/>
    </w:rPr>
  </w:style>
  <w:style w:type="character" w:styleId="22">
    <w:name w:val="Hyperlink"/>
    <w:qFormat/>
    <w:uiPriority w:val="99"/>
    <w:rPr>
      <w:rFonts w:ascii="Arial" w:hAnsi="Arial" w:eastAsia="黑体" w:cs="Arial"/>
      <w:snapToGrid w:val="0"/>
      <w:color w:val="000000"/>
      <w:kern w:val="0"/>
      <w:sz w:val="18"/>
      <w:szCs w:val="18"/>
      <w:u w:val="none"/>
    </w:rPr>
  </w:style>
  <w:style w:type="character" w:customStyle="1" w:styleId="23">
    <w:name w:val="页眉 Char"/>
    <w:basedOn w:val="20"/>
    <w:link w:val="17"/>
    <w:qFormat/>
    <w:uiPriority w:val="99"/>
    <w:rPr>
      <w:sz w:val="18"/>
      <w:szCs w:val="18"/>
    </w:rPr>
  </w:style>
  <w:style w:type="character" w:customStyle="1" w:styleId="24">
    <w:name w:val="页脚 Char"/>
    <w:basedOn w:val="20"/>
    <w:link w:val="16"/>
    <w:qFormat/>
    <w:uiPriority w:val="99"/>
    <w:rPr>
      <w:sz w:val="18"/>
      <w:szCs w:val="18"/>
    </w:rPr>
  </w:style>
  <w:style w:type="character" w:customStyle="1" w:styleId="25">
    <w:name w:val="标题 2 Char"/>
    <w:basedOn w:val="20"/>
    <w:link w:val="3"/>
    <w:qFormat/>
    <w:uiPriority w:val="0"/>
    <w:rPr>
      <w:rFonts w:ascii="仿宋_GB2312" w:hAnsi="仿宋" w:eastAsia="仿宋_GB2312" w:cs="Times New Roman"/>
      <w:b/>
      <w:bCs/>
      <w:sz w:val="32"/>
      <w:szCs w:val="32"/>
      <w:lang w:val="zh-CN"/>
    </w:rPr>
  </w:style>
  <w:style w:type="character" w:customStyle="1" w:styleId="26">
    <w:name w:val="正文文本缩进 Char"/>
    <w:basedOn w:val="20"/>
    <w:link w:val="11"/>
    <w:qFormat/>
    <w:uiPriority w:val="0"/>
    <w:rPr>
      <w:rFonts w:ascii="宋体" w:hAnsi="宋体" w:eastAsia="宋体" w:cs="Times New Roman"/>
      <w:sz w:val="24"/>
      <w:szCs w:val="24"/>
    </w:rPr>
  </w:style>
  <w:style w:type="character" w:customStyle="1" w:styleId="27">
    <w:name w:val="日期 Char"/>
    <w:basedOn w:val="20"/>
    <w:link w:val="14"/>
    <w:qFormat/>
    <w:uiPriority w:val="0"/>
    <w:rPr>
      <w:rFonts w:ascii="宋体" w:hAnsi="Calibri" w:eastAsia="宋体" w:cs="Times New Roman"/>
      <w:sz w:val="24"/>
      <w:szCs w:val="21"/>
      <w:lang w:val="zh-CN"/>
    </w:rPr>
  </w:style>
  <w:style w:type="character" w:customStyle="1" w:styleId="28">
    <w:name w:val="纯文本 Char"/>
    <w:basedOn w:val="20"/>
    <w:link w:val="13"/>
    <w:qFormat/>
    <w:uiPriority w:val="0"/>
    <w:rPr>
      <w:rFonts w:ascii="宋体" w:hAnsi="Courier New" w:eastAsia="宋体" w:cs="Arial"/>
      <w:snapToGrid w:val="0"/>
      <w:szCs w:val="21"/>
    </w:rPr>
  </w:style>
  <w:style w:type="character" w:customStyle="1" w:styleId="29">
    <w:name w:val="正文文本 Char"/>
    <w:basedOn w:val="20"/>
    <w:link w:val="8"/>
    <w:qFormat/>
    <w:uiPriority w:val="0"/>
    <w:rPr>
      <w:rFonts w:ascii="宋体" w:hAnsi="Arial" w:eastAsia="宋体" w:cs="Arial"/>
      <w:snapToGrid w:val="0"/>
      <w:sz w:val="24"/>
      <w:szCs w:val="21"/>
      <w:lang w:val="zh-CN"/>
    </w:rPr>
  </w:style>
  <w:style w:type="paragraph" w:customStyle="1" w:styleId="30">
    <w:name w:val="索引 11"/>
    <w:basedOn w:val="1"/>
    <w:next w:val="1"/>
    <w:qFormat/>
    <w:uiPriority w:val="99"/>
    <w:pPr>
      <w:spacing w:line="360" w:lineRule="auto"/>
    </w:pPr>
    <w:rPr>
      <w:rFonts w:ascii="仿宋_GB2312" w:eastAsia="仿宋_GB2312"/>
      <w:sz w:val="24"/>
      <w:szCs w:val="20"/>
    </w:rPr>
  </w:style>
  <w:style w:type="paragraph" w:customStyle="1" w:styleId="3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3">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4">
    <w:name w:val="纯文本1"/>
    <w:basedOn w:val="1"/>
    <w:qFormat/>
    <w:uiPriority w:val="0"/>
    <w:rPr>
      <w:rFonts w:ascii="宋体" w:hAnsi="Courier New"/>
      <w:kern w:val="0"/>
      <w:sz w:val="20"/>
      <w:szCs w:val="20"/>
    </w:rPr>
  </w:style>
  <w:style w:type="paragraph" w:customStyle="1" w:styleId="3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0_0"/>
    <w:basedOn w:val="35"/>
    <w:qFormat/>
    <w:uiPriority w:val="0"/>
    <w:rPr>
      <w:rFonts w:ascii="宋体" w:hAnsi="Courier New"/>
      <w:szCs w:val="21"/>
    </w:rPr>
  </w:style>
  <w:style w:type="paragraph" w:customStyle="1" w:styleId="37">
    <w:name w:val="正文2"/>
    <w:basedOn w:val="1"/>
    <w:qFormat/>
    <w:uiPriority w:val="0"/>
    <w:pPr>
      <w:spacing w:before="156" w:line="360" w:lineRule="auto"/>
      <w:ind w:firstLine="510" w:firstLineChars="200"/>
    </w:pPr>
    <w:rPr>
      <w:sz w:val="24"/>
      <w:szCs w:val="20"/>
    </w:rPr>
  </w:style>
  <w:style w:type="paragraph" w:customStyle="1" w:styleId="38">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39">
    <w:name w:val="标题 3 Char"/>
    <w:basedOn w:val="20"/>
    <w:link w:val="4"/>
    <w:semiHidden/>
    <w:qFormat/>
    <w:uiPriority w:val="9"/>
    <w:rPr>
      <w:rFonts w:ascii="Calibri" w:hAnsi="Calibri" w:eastAsia="宋体" w:cs="Times New Roman"/>
      <w:b/>
      <w:bCs/>
      <w:sz w:val="32"/>
      <w:szCs w:val="32"/>
    </w:rPr>
  </w:style>
  <w:style w:type="character" w:customStyle="1" w:styleId="40">
    <w:name w:val="标题 4 Char"/>
    <w:basedOn w:val="20"/>
    <w:link w:val="5"/>
    <w:semiHidden/>
    <w:qFormat/>
    <w:uiPriority w:val="9"/>
    <w:rPr>
      <w:rFonts w:asciiTheme="majorHAnsi" w:hAnsiTheme="majorHAnsi" w:eastAsiaTheme="majorEastAsia" w:cstheme="majorBidi"/>
      <w:b/>
      <w:bCs/>
      <w:sz w:val="28"/>
      <w:szCs w:val="28"/>
    </w:rPr>
  </w:style>
  <w:style w:type="paragraph" w:customStyle="1" w:styleId="41">
    <w:name w:val="标题4"/>
    <w:basedOn w:val="1"/>
    <w:qFormat/>
    <w:uiPriority w:val="0"/>
    <w:rPr>
      <w:rFonts w:ascii="Times New Roman" w:hAnsi="Times New Roman" w:eastAsia="仿宋_GB2312"/>
      <w:sz w:val="32"/>
      <w:szCs w:val="20"/>
    </w:rPr>
  </w:style>
  <w:style w:type="character" w:customStyle="1" w:styleId="42">
    <w:name w:val="批注框文本 Char"/>
    <w:basedOn w:val="20"/>
    <w:link w:val="15"/>
    <w:semiHidden/>
    <w:qFormat/>
    <w:uiPriority w:val="99"/>
    <w:rPr>
      <w:rFonts w:ascii="Calibri" w:hAnsi="Calibri" w:eastAsia="宋体" w:cs="Times New Roman"/>
      <w:sz w:val="18"/>
      <w:szCs w:val="18"/>
    </w:rPr>
  </w:style>
  <w:style w:type="character" w:customStyle="1" w:styleId="43">
    <w:name w:val="List Paragraph Char"/>
    <w:link w:val="44"/>
    <w:qFormat/>
    <w:locked/>
    <w:uiPriority w:val="0"/>
    <w:rPr>
      <w:rFonts w:ascii="Times New Roman" w:hAnsi="Times New Roman"/>
      <w:szCs w:val="24"/>
    </w:rPr>
  </w:style>
  <w:style w:type="paragraph" w:customStyle="1" w:styleId="44">
    <w:name w:val="列出段落1"/>
    <w:basedOn w:val="1"/>
    <w:link w:val="43"/>
    <w:qFormat/>
    <w:uiPriority w:val="0"/>
    <w:pPr>
      <w:ind w:firstLine="420" w:firstLineChars="200"/>
    </w:pPr>
    <w:rPr>
      <w:rFonts w:ascii="Times New Roman" w:hAnsi="Times New Roman" w:eastAsiaTheme="minorEastAsia" w:cstheme="minorBidi"/>
    </w:rPr>
  </w:style>
  <w:style w:type="paragraph" w:customStyle="1" w:styleId="45">
    <w:name w:val="表格文字"/>
    <w:basedOn w:val="1"/>
    <w:next w:val="8"/>
    <w:qFormat/>
    <w:uiPriority w:val="0"/>
    <w:pPr>
      <w:adjustRightInd w:val="0"/>
      <w:spacing w:line="420" w:lineRule="atLeast"/>
      <w:jc w:val="left"/>
      <w:textAlignment w:val="baseline"/>
    </w:pPr>
    <w:rPr>
      <w:kern w:val="0"/>
    </w:rPr>
  </w:style>
  <w:style w:type="paragraph" w:customStyle="1" w:styleId="46">
    <w:name w:val="正文段"/>
    <w:basedOn w:val="1"/>
    <w:qFormat/>
    <w:uiPriority w:val="0"/>
    <w:pPr>
      <w:widowControl/>
      <w:numPr>
        <w:ilvl w:val="0"/>
        <w:numId w:val="1"/>
      </w:numPr>
      <w:snapToGrid w:val="0"/>
      <w:spacing w:afterLines="50"/>
    </w:pPr>
    <w:rPr>
      <w:rFonts w:ascii="Times New Roman" w:hAnsi="Times New Roman"/>
      <w:kern w:val="0"/>
      <w:sz w:val="24"/>
      <w:szCs w:val="20"/>
    </w:rPr>
  </w:style>
  <w:style w:type="paragraph" w:styleId="4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63</Pages>
  <Words>31033</Words>
  <Characters>32916</Characters>
  <Lines>222</Lines>
  <Paragraphs>62</Paragraphs>
  <TotalTime>49</TotalTime>
  <ScaleCrop>false</ScaleCrop>
  <LinksUpToDate>false</LinksUpToDate>
  <CharactersWithSpaces>35572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彧シ燊シ粼</cp:lastModifiedBy>
  <cp:lastPrinted>2022-06-07T06:45:00Z</cp:lastPrinted>
  <dcterms:modified xsi:type="dcterms:W3CDTF">2022-08-16T08:37:31Z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A12025A4C1A0495C92A5218CFCA62A79</vt:lpwstr>
  </property>
</Properties>
</file>