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rPr>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上虞区大气污染防治攻坚整改提升服务项目</w:t>
      </w:r>
    </w:p>
    <w:p>
      <w:pPr>
        <w:pStyle w:val="6"/>
        <w:rPr>
          <w:rFonts w:ascii="宋体" w:hAnsi="宋体" w:cs="宋体"/>
          <w:b/>
          <w:bCs/>
          <w:sz w:val="44"/>
          <w:szCs w:val="44"/>
        </w:rPr>
      </w:pPr>
    </w:p>
    <w:p>
      <w:pPr>
        <w:pStyle w:val="6"/>
        <w:rPr>
          <w:rFonts w:ascii="宋体" w:hAnsi="宋体" w:cs="宋体"/>
          <w:b/>
          <w:bCs/>
          <w:sz w:val="44"/>
          <w:szCs w:val="44"/>
        </w:rPr>
      </w:pPr>
    </w:p>
    <w:p>
      <w:pPr>
        <w:pStyle w:val="6"/>
        <w:rPr>
          <w:rFonts w:ascii="宋体" w:hAnsi="宋体" w:cs="宋体"/>
          <w:b/>
          <w:bCs/>
          <w:sz w:val="44"/>
          <w:szCs w:val="44"/>
        </w:rPr>
      </w:pPr>
    </w:p>
    <w:p>
      <w:pPr>
        <w:pStyle w:val="6"/>
        <w:rPr>
          <w:rFonts w:ascii="宋体" w:hAnsi="宋体" w:cs="宋体"/>
          <w:b/>
          <w:bCs/>
          <w:sz w:val="44"/>
          <w:szCs w:val="44"/>
        </w:rPr>
      </w:pPr>
    </w:p>
    <w:p>
      <w:pPr>
        <w:pStyle w:val="6"/>
        <w:rPr>
          <w:rFonts w:ascii="宋体" w:hAnsi="宋体" w:cs="宋体"/>
          <w:b/>
          <w:bCs/>
          <w:sz w:val="44"/>
          <w:szCs w:val="44"/>
        </w:rPr>
      </w:pPr>
    </w:p>
    <w:p>
      <w:pPr>
        <w:pStyle w:val="6"/>
        <w:rPr>
          <w:rFonts w:ascii="宋体" w:hAnsi="宋体" w:cs="宋体"/>
        </w:rPr>
      </w:pPr>
    </w:p>
    <w:p>
      <w:pPr>
        <w:spacing w:line="360" w:lineRule="auto"/>
        <w:jc w:val="center"/>
        <w:rPr>
          <w:rFonts w:ascii="宋体" w:hAnsi="宋体" w:cs="宋体"/>
          <w:b/>
          <w:bCs/>
          <w:sz w:val="24"/>
          <w:szCs w:val="24"/>
        </w:rPr>
      </w:pPr>
      <w:r>
        <w:rPr>
          <w:rFonts w:hint="eastAsia" w:ascii="宋体" w:hAnsi="宋体" w:cs="宋体"/>
          <w:b/>
          <w:bCs/>
          <w:sz w:val="72"/>
          <w:szCs w:val="72"/>
        </w:rPr>
        <w:t>竞争性磋商文件</w:t>
      </w:r>
    </w:p>
    <w:p>
      <w:pPr>
        <w:spacing w:line="360" w:lineRule="auto"/>
        <w:jc w:val="center"/>
        <w:rPr>
          <w:rFonts w:ascii="宋体" w:hAnsi="宋体" w:cs="宋体"/>
          <w:b/>
          <w:bCs/>
          <w:sz w:val="24"/>
          <w:szCs w:val="24"/>
        </w:rPr>
      </w:pPr>
    </w:p>
    <w:p>
      <w:pPr>
        <w:snapToGrid w:val="0"/>
        <w:spacing w:line="360" w:lineRule="auto"/>
        <w:ind w:firstLine="2301" w:firstLineChars="767"/>
        <w:jc w:val="left"/>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FSJZCS2023009</w:t>
      </w:r>
    </w:p>
    <w:p>
      <w:pPr>
        <w:snapToGrid w:val="0"/>
        <w:spacing w:line="360" w:lineRule="auto"/>
        <w:ind w:firstLine="2301" w:firstLineChars="767"/>
        <w:jc w:val="left"/>
        <w:rPr>
          <w:rFonts w:ascii="宋体" w:hAnsi="宋体" w:cs="宋体"/>
          <w:sz w:val="30"/>
          <w:szCs w:val="30"/>
        </w:rPr>
      </w:pPr>
    </w:p>
    <w:p>
      <w:pPr>
        <w:spacing w:line="360" w:lineRule="auto"/>
        <w:rPr>
          <w:rFonts w:ascii="宋体" w:hAnsi="宋体" w:cs="宋体"/>
          <w:sz w:val="28"/>
          <w:szCs w:val="28"/>
        </w:rPr>
      </w:pPr>
    </w:p>
    <w:p>
      <w:pPr>
        <w:pStyle w:val="14"/>
        <w:rPr>
          <w:rFonts w:ascii="宋体" w:hAnsi="宋体" w:cs="宋体"/>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napToGrid w:val="0"/>
        <w:spacing w:line="360" w:lineRule="auto"/>
        <w:ind w:firstLine="1500" w:firstLineChars="500"/>
        <w:rPr>
          <w:rFonts w:ascii="宋体" w:hAnsi="宋体" w:cs="宋体"/>
          <w:u w:val="single"/>
        </w:rPr>
      </w:pPr>
      <w:r>
        <w:rPr>
          <w:rFonts w:hint="eastAsia" w:ascii="宋体" w:hAnsi="宋体" w:cs="宋体"/>
          <w:sz w:val="30"/>
          <w:szCs w:val="30"/>
        </w:rPr>
        <w:t>采购人：绍兴市生态环境局上虞分局</w:t>
      </w:r>
    </w:p>
    <w:p>
      <w:pPr>
        <w:snapToGrid w:val="0"/>
        <w:spacing w:line="360" w:lineRule="auto"/>
        <w:ind w:firstLine="1500" w:firstLineChars="500"/>
        <w:rPr>
          <w:rFonts w:ascii="宋体" w:hAnsi="宋体" w:cs="宋体"/>
          <w:sz w:val="30"/>
          <w:szCs w:val="30"/>
        </w:rPr>
      </w:pPr>
      <w:r>
        <w:rPr>
          <w:rFonts w:hint="eastAsia" w:ascii="宋体" w:hAnsi="宋体" w:cs="宋体"/>
          <w:sz w:val="30"/>
          <w:szCs w:val="30"/>
        </w:rPr>
        <w:t>采购代理机构：浙江宇康工程管理咨询有限公司</w:t>
      </w:r>
    </w:p>
    <w:p>
      <w:pPr>
        <w:jc w:val="center"/>
        <w:rPr>
          <w:rFonts w:ascii="宋体" w:hAnsi="宋体" w:cs="宋体"/>
          <w:sz w:val="30"/>
          <w:szCs w:val="30"/>
        </w:rPr>
        <w:sectPr>
          <w:pgSz w:w="11906" w:h="16838"/>
          <w:pgMar w:top="1247" w:right="1474" w:bottom="1247" w:left="1474" w:header="851" w:footer="992" w:gutter="0"/>
          <w:cols w:space="0" w:num="1"/>
          <w:docGrid w:type="lines" w:linePitch="312" w:charSpace="0"/>
        </w:sectPr>
      </w:pPr>
      <w:r>
        <w:rPr>
          <w:rFonts w:hint="eastAsia" w:ascii="宋体" w:hAnsi="宋体" w:cs="宋体"/>
          <w:sz w:val="30"/>
          <w:szCs w:val="30"/>
        </w:rPr>
        <w:t>二〇二三年</w:t>
      </w:r>
      <w:r>
        <w:rPr>
          <w:rFonts w:hint="eastAsia" w:ascii="宋体" w:hAnsi="宋体" w:cs="宋体"/>
          <w:sz w:val="30"/>
          <w:szCs w:val="30"/>
          <w:lang w:eastAsia="zh-CN"/>
        </w:rPr>
        <w:t>三</w:t>
      </w:r>
      <w:r>
        <w:rPr>
          <w:rFonts w:hint="eastAsia" w:ascii="宋体" w:hAnsi="宋体" w:cs="宋体"/>
          <w:sz w:val="30"/>
          <w:szCs w:val="30"/>
        </w:rPr>
        <w:t>月</w:t>
      </w:r>
    </w:p>
    <w:p>
      <w:pPr>
        <w:spacing w:line="360" w:lineRule="auto"/>
        <w:jc w:val="center"/>
        <w:rPr>
          <w:rFonts w:ascii="宋体" w:hAnsi="宋体" w:cs="宋体"/>
          <w:sz w:val="24"/>
          <w:szCs w:val="24"/>
        </w:rPr>
      </w:pPr>
      <w:r>
        <w:rPr>
          <w:rFonts w:hint="eastAsia" w:ascii="宋体" w:hAnsi="宋体" w:cs="宋体"/>
          <w:sz w:val="24"/>
          <w:szCs w:val="24"/>
        </w:rPr>
        <w:t>目录</w:t>
      </w:r>
    </w:p>
    <w:p>
      <w:pPr>
        <w:pStyle w:val="16"/>
        <w:tabs>
          <w:tab w:val="right" w:leader="dot" w:pos="8306"/>
        </w:tabs>
        <w:spacing w:line="360" w:lineRule="auto"/>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"_Toc3205" </w:instrText>
      </w:r>
      <w:r>
        <w:fldChar w:fldCharType="separate"/>
      </w:r>
      <w:r>
        <w:rPr>
          <w:rFonts w:hint="eastAsia" w:ascii="宋体" w:hAnsi="宋体" w:cs="宋体"/>
          <w:szCs w:val="36"/>
        </w:rPr>
        <w:t>第一部分磋商公告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6"/>
        <w:tabs>
          <w:tab w:val="right" w:leader="dot" w:pos="8306"/>
        </w:tabs>
        <w:spacing w:line="360" w:lineRule="auto"/>
        <w:rPr>
          <w:rFonts w:ascii="宋体" w:hAnsi="宋体" w:cs="宋体"/>
        </w:rPr>
      </w:pPr>
      <w:r>
        <w:fldChar w:fldCharType="begin"/>
      </w:r>
      <w:r>
        <w:instrText xml:space="preserve"> HYPERLINK \l "_Toc28272" </w:instrText>
      </w:r>
      <w:r>
        <w:fldChar w:fldCharType="separate"/>
      </w:r>
      <w:r>
        <w:rPr>
          <w:rFonts w:hint="eastAsia" w:ascii="宋体" w:hAnsi="宋体" w:cs="宋体"/>
          <w:szCs w:val="36"/>
        </w:rPr>
        <w:t>第二部分供应商须知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_Toc28272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"_Toc18864" </w:instrText>
      </w:r>
      <w:r>
        <w:fldChar w:fldCharType="separate"/>
      </w:r>
      <w:r>
        <w:rPr>
          <w:rFonts w:hint="eastAsia" w:ascii="宋体" w:hAnsi="宋体" w:cs="宋体"/>
        </w:rPr>
        <w:t>一、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_Toc18864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"_Toc21952" </w:instrText>
      </w:r>
      <w:r>
        <w:fldChar w:fldCharType="separate"/>
      </w:r>
      <w:r>
        <w:rPr>
          <w:rFonts w:hint="eastAsia" w:ascii="宋体" w:hAnsi="宋体" w:cs="宋体"/>
        </w:rPr>
        <w:t>二、 竞争性磋商文件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_Toc21952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"_Toc31016" </w:instrText>
      </w:r>
      <w:r>
        <w:fldChar w:fldCharType="separate"/>
      </w:r>
      <w:r>
        <w:rPr>
          <w:rFonts w:hint="eastAsia" w:ascii="宋体" w:hAnsi="宋体" w:cs="宋体"/>
        </w:rPr>
        <w:t>三、 竞争性磋商响应文件的编写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_Toc31016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"_Toc4883" </w:instrText>
      </w:r>
      <w:r>
        <w:fldChar w:fldCharType="separate"/>
      </w:r>
      <w:r>
        <w:rPr>
          <w:rFonts w:hint="eastAsia" w:ascii="宋体" w:hAnsi="宋体" w:cs="宋体"/>
        </w:rPr>
        <w:t>四、 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_Toc4883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"_Toc26652" </w:instrText>
      </w:r>
      <w:r>
        <w:fldChar w:fldCharType="separate"/>
      </w:r>
      <w:r>
        <w:rPr>
          <w:rFonts w:hint="eastAsia" w:ascii="宋体" w:hAnsi="宋体" w:cs="宋体"/>
        </w:rPr>
        <w:t>五、 磋商无效的情形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_Toc26652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"_Toc13076" </w:instrText>
      </w:r>
      <w:r>
        <w:fldChar w:fldCharType="separate"/>
      </w:r>
      <w:r>
        <w:rPr>
          <w:rFonts w:hint="eastAsia" w:ascii="宋体" w:hAnsi="宋体" w:cs="宋体"/>
        </w:rPr>
        <w:t>六、 采购中止的情形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_Toc13076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"_Toc7332" </w:instrText>
      </w:r>
      <w:r>
        <w:fldChar w:fldCharType="separate"/>
      </w:r>
      <w:r>
        <w:rPr>
          <w:rFonts w:hint="eastAsia" w:ascii="宋体" w:hAnsi="宋体" w:cs="宋体"/>
        </w:rPr>
        <w:t>七、 确定成交供应商与签订合同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_Toc7332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6"/>
        <w:tabs>
          <w:tab w:val="right" w:leader="dot" w:pos="8306"/>
        </w:tabs>
        <w:spacing w:line="360" w:lineRule="auto"/>
        <w:rPr>
          <w:rFonts w:ascii="宋体" w:hAnsi="宋体" w:cs="宋体"/>
        </w:rPr>
      </w:pPr>
      <w:r>
        <w:fldChar w:fldCharType="begin"/>
      </w:r>
      <w:r>
        <w:instrText xml:space="preserve"> HYPERLINK \l "_Toc18043" </w:instrText>
      </w:r>
      <w:r>
        <w:fldChar w:fldCharType="separate"/>
      </w:r>
      <w:r>
        <w:rPr>
          <w:rFonts w:hint="eastAsia" w:ascii="宋体" w:hAnsi="宋体" w:cs="宋体"/>
          <w:szCs w:val="36"/>
        </w:rPr>
        <w:t>第三部分 采购内容及要求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_Toc18043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"_Toc915" </w:instrText>
      </w:r>
      <w:r>
        <w:fldChar w:fldCharType="separate"/>
      </w:r>
      <w:r>
        <w:rPr>
          <w:rFonts w:hint="eastAsia" w:ascii="宋体" w:hAnsi="宋体" w:cs="宋体"/>
        </w:rPr>
        <w:t>第一章 采购内容及要求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_Toc915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"_Toc4575" </w:instrText>
      </w:r>
      <w:r>
        <w:fldChar w:fldCharType="separate"/>
      </w:r>
      <w:r>
        <w:rPr>
          <w:rFonts w:hint="eastAsia" w:ascii="宋体" w:hAnsi="宋体" w:cs="宋体"/>
        </w:rPr>
        <w:t>第二章  付款方式及要求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_Toc4575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6"/>
        <w:tabs>
          <w:tab w:val="right" w:leader="dot" w:pos="8306"/>
        </w:tabs>
        <w:spacing w:line="360" w:lineRule="auto"/>
        <w:rPr>
          <w:rFonts w:ascii="宋体" w:hAnsi="宋体" w:cs="宋体"/>
        </w:rPr>
      </w:pPr>
      <w:r>
        <w:fldChar w:fldCharType="begin"/>
      </w:r>
      <w:r>
        <w:instrText xml:space="preserve"> HYPERLINK \l "_Toc30191" </w:instrText>
      </w:r>
      <w:r>
        <w:fldChar w:fldCharType="separate"/>
      </w:r>
      <w:r>
        <w:rPr>
          <w:rFonts w:hint="eastAsia" w:ascii="宋体" w:hAnsi="宋体" w:cs="宋体"/>
          <w:szCs w:val="36"/>
        </w:rPr>
        <w:t>第四部分 磋商原则及磋商方法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_Toc30191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"_Toc15829" </w:instrText>
      </w:r>
      <w:r>
        <w:fldChar w:fldCharType="separate"/>
      </w:r>
      <w:r>
        <w:rPr>
          <w:rFonts w:hint="eastAsia" w:ascii="宋体" w:hAnsi="宋体" w:cs="宋体"/>
        </w:rPr>
        <w:t>一、 磋商原则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_Toc15829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"_Toc26388" </w:instrText>
      </w:r>
      <w:r>
        <w:fldChar w:fldCharType="separate"/>
      </w:r>
      <w:r>
        <w:rPr>
          <w:rFonts w:hint="eastAsia" w:ascii="宋体" w:hAnsi="宋体" w:cs="宋体"/>
        </w:rPr>
        <w:t>二、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_Toc26388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"_Toc4344" </w:instrText>
      </w:r>
      <w:r>
        <w:fldChar w:fldCharType="separate"/>
      </w:r>
      <w:r>
        <w:rPr>
          <w:rFonts w:hint="eastAsia" w:ascii="宋体" w:hAnsi="宋体" w:cs="宋体"/>
        </w:rPr>
        <w:t>三、 注意事项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_Toc4344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8"/>
        <w:tabs>
          <w:tab w:val="right" w:leader="dot" w:pos="8306"/>
        </w:tabs>
        <w:spacing w:line="360" w:lineRule="auto"/>
        <w:ind w:left="0" w:leftChars="0"/>
        <w:rPr>
          <w:rFonts w:ascii="宋体" w:hAnsi="宋体" w:cs="宋体"/>
        </w:rPr>
      </w:pPr>
      <w:r>
        <w:fldChar w:fldCharType="begin"/>
      </w:r>
      <w:r>
        <w:instrText xml:space="preserve"> HYPERLINK \l "_Toc26902" </w:instrText>
      </w:r>
      <w:r>
        <w:fldChar w:fldCharType="separate"/>
      </w:r>
      <w:r>
        <w:rPr>
          <w:rFonts w:hint="eastAsia" w:ascii="宋体" w:hAnsi="宋体" w:cs="宋体"/>
        </w:rPr>
        <w:t>四、 评分细则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_Toc26902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6"/>
        <w:tabs>
          <w:tab w:val="right" w:leader="dot" w:pos="8306"/>
        </w:tabs>
        <w:spacing w:line="360" w:lineRule="auto"/>
        <w:rPr>
          <w:rFonts w:ascii="宋体" w:hAnsi="宋体" w:cs="宋体"/>
        </w:rPr>
      </w:pPr>
      <w:r>
        <w:fldChar w:fldCharType="begin"/>
      </w:r>
      <w:r>
        <w:instrText xml:space="preserve"> HYPERLINK \l "_Toc19277" </w:instrText>
      </w:r>
      <w:r>
        <w:fldChar w:fldCharType="separate"/>
      </w:r>
      <w:r>
        <w:rPr>
          <w:rFonts w:hint="eastAsia" w:ascii="宋体" w:hAnsi="宋体" w:cs="宋体"/>
          <w:szCs w:val="36"/>
        </w:rPr>
        <w:t>第五部分采购合同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_Toc19277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6"/>
        <w:tabs>
          <w:tab w:val="right" w:leader="dot" w:pos="8306"/>
        </w:tabs>
        <w:spacing w:line="360" w:lineRule="auto"/>
        <w:rPr>
          <w:rFonts w:ascii="宋体" w:hAnsi="宋体" w:cs="宋体"/>
        </w:rPr>
      </w:pPr>
      <w:r>
        <w:fldChar w:fldCharType="begin"/>
      </w:r>
      <w:r>
        <w:instrText xml:space="preserve"> HYPERLINK \l "_Toc24867" </w:instrText>
      </w:r>
      <w:r>
        <w:fldChar w:fldCharType="separate"/>
      </w:r>
      <w:r>
        <w:rPr>
          <w:rFonts w:hint="eastAsia" w:ascii="宋体" w:hAnsi="宋体" w:cs="宋体"/>
          <w:szCs w:val="36"/>
        </w:rPr>
        <w:t>第六部分应提交的有关格式范例</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_Toc24867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pPr>
        <w:pStyle w:val="2"/>
        <w:spacing w:line="360" w:lineRule="auto"/>
        <w:rPr>
          <w:rFonts w:hAnsi="宋体"/>
        </w:rPr>
      </w:pPr>
      <w:r>
        <w:rPr>
          <w:rFonts w:hint="eastAsia" w:hAnsi="宋体"/>
          <w:szCs w:val="24"/>
        </w:rPr>
        <w:fldChar w:fldCharType="end"/>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abs>
          <w:tab w:val="left" w:pos="3148"/>
        </w:tabs>
        <w:jc w:val="left"/>
        <w:rPr>
          <w:rFonts w:ascii="宋体" w:hAnsi="宋体" w:cs="宋体"/>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rPr>
        <w:tab/>
      </w:r>
    </w:p>
    <w:p>
      <w:pPr>
        <w:pStyle w:val="3"/>
        <w:jc w:val="center"/>
        <w:rPr>
          <w:rFonts w:ascii="宋体" w:hAnsi="宋体" w:cs="宋体"/>
        </w:rPr>
      </w:pPr>
      <w:bookmarkStart w:id="0" w:name="_Toc31034"/>
      <w:bookmarkStart w:id="1" w:name="_Toc32199"/>
      <w:bookmarkStart w:id="2" w:name="_Toc3205"/>
      <w:bookmarkStart w:id="3" w:name="_Toc91899870"/>
      <w:bookmarkStart w:id="4" w:name="第二部分"/>
      <w:r>
        <w:rPr>
          <w:rFonts w:hint="eastAsia" w:ascii="宋体" w:hAnsi="宋体" w:cs="宋体"/>
          <w:sz w:val="36"/>
          <w:szCs w:val="36"/>
        </w:rPr>
        <w:t>第一部分磋商公告</w:t>
      </w:r>
      <w:bookmarkEnd w:id="0"/>
      <w:bookmarkEnd w:id="1"/>
      <w:bookmarkEnd w:id="2"/>
    </w:p>
    <w:p>
      <w:pPr>
        <w:adjustRightInd w:val="0"/>
        <w:spacing w:line="360" w:lineRule="auto"/>
        <w:jc w:val="center"/>
        <w:rPr>
          <w:rFonts w:ascii="宋体" w:hAnsi="宋体" w:cs="宋体"/>
          <w:sz w:val="28"/>
          <w:szCs w:val="28"/>
        </w:rPr>
      </w:pPr>
      <w:r>
        <w:rPr>
          <w:rFonts w:hint="eastAsia" w:ascii="宋体" w:hAnsi="宋体" w:cs="宋体"/>
          <w:sz w:val="28"/>
          <w:szCs w:val="28"/>
        </w:rPr>
        <w:t>浙江宇康工程管理咨询有限公司关于绍兴市生态环境局上虞分局上虞区大气污染防治攻坚整改提升服务项目的竞争性磋商公告</w:t>
      </w:r>
    </w:p>
    <w:p>
      <w:pPr>
        <w:adjustRightInd w:val="0"/>
        <w:spacing w:line="360" w:lineRule="auto"/>
        <w:jc w:val="center"/>
        <w:rPr>
          <w:rFonts w:ascii="宋体" w:hAnsi="宋体" w:cs="宋体"/>
          <w:sz w:val="28"/>
          <w:szCs w:val="28"/>
        </w:rPr>
      </w:pPr>
      <w:r>
        <w:rPr>
          <w:rFonts w:hint="eastAsia" w:ascii="宋体" w:hAnsi="宋体" w:cs="宋体"/>
          <w:sz w:val="28"/>
          <w:szCs w:val="28"/>
        </w:rPr>
        <w:t>公告日期：2023年</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日</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根据《中华人民共和国政府采购法》等有关规定，</w:t>
      </w:r>
      <w:r>
        <w:rPr>
          <w:rFonts w:hint="eastAsia" w:ascii="宋体" w:hAnsi="宋体" w:cs="宋体"/>
          <w:sz w:val="24"/>
          <w:szCs w:val="24"/>
          <w:u w:val="single"/>
        </w:rPr>
        <w:t xml:space="preserve"> 浙江宇康工程管理咨询有限公司 </w:t>
      </w:r>
      <w:r>
        <w:rPr>
          <w:rFonts w:hint="eastAsia" w:ascii="宋体" w:hAnsi="宋体" w:cs="宋体"/>
          <w:sz w:val="24"/>
          <w:szCs w:val="24"/>
        </w:rPr>
        <w:t>受</w:t>
      </w:r>
      <w:r>
        <w:rPr>
          <w:rFonts w:hint="eastAsia" w:ascii="宋体" w:hAnsi="宋体" w:cs="宋体"/>
          <w:sz w:val="24"/>
          <w:szCs w:val="24"/>
          <w:u w:val="single"/>
        </w:rPr>
        <w:t xml:space="preserve"> 绍兴市生态环境局上虞分局 </w:t>
      </w:r>
      <w:r>
        <w:rPr>
          <w:rFonts w:hint="eastAsia" w:ascii="宋体" w:hAnsi="宋体" w:cs="宋体"/>
          <w:sz w:val="24"/>
          <w:szCs w:val="24"/>
        </w:rPr>
        <w:t>委托，现就</w:t>
      </w:r>
      <w:r>
        <w:rPr>
          <w:rFonts w:hint="eastAsia" w:ascii="宋体" w:hAnsi="宋体" w:cs="宋体"/>
          <w:sz w:val="24"/>
          <w:szCs w:val="24"/>
          <w:u w:val="single"/>
        </w:rPr>
        <w:t xml:space="preserve"> 上虞区大气污染防治攻坚整改提升服务项目的竞争性磋商公告 </w:t>
      </w:r>
      <w:r>
        <w:rPr>
          <w:rFonts w:hint="eastAsia" w:ascii="宋体" w:hAnsi="宋体" w:cs="宋体"/>
          <w:sz w:val="24"/>
          <w:szCs w:val="24"/>
        </w:rPr>
        <w:t>进行竞争性磋商采购，欢迎国内合格的供应商参加本次采购活动。</w:t>
      </w:r>
    </w:p>
    <w:p>
      <w:pPr>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一．磋商项目编号：</w:t>
      </w:r>
      <w:r>
        <w:rPr>
          <w:rFonts w:hint="eastAsia" w:ascii="宋体" w:hAnsi="宋体" w:cs="宋体"/>
          <w:sz w:val="24"/>
          <w:szCs w:val="24"/>
          <w:u w:val="single"/>
        </w:rPr>
        <w:t xml:space="preserve">FSJZCS2023009 </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二．采购组织类型：</w:t>
      </w:r>
      <w:r>
        <w:rPr>
          <w:rFonts w:hint="eastAsia" w:ascii="宋体" w:hAnsi="宋体" w:cs="宋体"/>
          <w:sz w:val="24"/>
          <w:szCs w:val="24"/>
          <w:u w:val="single"/>
        </w:rPr>
        <w:t>分散采购（中介代理）</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三．磋商项目概况:</w:t>
      </w:r>
    </w:p>
    <w:tbl>
      <w:tblPr>
        <w:tblStyle w:val="24"/>
        <w:tblW w:w="9544"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821"/>
        <w:gridCol w:w="1720"/>
        <w:gridCol w:w="552"/>
        <w:gridCol w:w="594"/>
        <w:gridCol w:w="1356"/>
        <w:gridCol w:w="2684"/>
        <w:gridCol w:w="1311"/>
        <w:gridCol w:w="506"/>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821"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序号</w:t>
            </w:r>
          </w:p>
        </w:tc>
        <w:tc>
          <w:tcPr>
            <w:tcW w:w="1720"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项目名称</w:t>
            </w:r>
          </w:p>
        </w:tc>
        <w:tc>
          <w:tcPr>
            <w:tcW w:w="552"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数量</w:t>
            </w:r>
          </w:p>
        </w:tc>
        <w:tc>
          <w:tcPr>
            <w:tcW w:w="594"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单位</w:t>
            </w:r>
          </w:p>
        </w:tc>
        <w:tc>
          <w:tcPr>
            <w:tcW w:w="1356"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预算金额(万元)</w:t>
            </w:r>
          </w:p>
        </w:tc>
        <w:tc>
          <w:tcPr>
            <w:tcW w:w="2684"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简要规格描述或标项基本概况介绍</w:t>
            </w:r>
          </w:p>
        </w:tc>
        <w:tc>
          <w:tcPr>
            <w:tcW w:w="1311"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最高限价(万元)</w:t>
            </w:r>
          </w:p>
        </w:tc>
        <w:tc>
          <w:tcPr>
            <w:tcW w:w="506" w:type="dxa"/>
            <w:tcBorders>
              <w:top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821" w:type="dxa"/>
            <w:tcBorders>
              <w:bottom w:val="single" w:color="000000" w:sz="4" w:space="0"/>
            </w:tcBorders>
            <w:vAlign w:val="center"/>
          </w:tcPr>
          <w:p>
            <w:pPr>
              <w:adjustRightInd w:val="0"/>
              <w:jc w:val="center"/>
              <w:rPr>
                <w:rFonts w:ascii="宋体" w:hAnsi="宋体" w:cs="宋体"/>
                <w:sz w:val="24"/>
                <w:szCs w:val="24"/>
              </w:rPr>
            </w:pPr>
            <w:r>
              <w:rPr>
                <w:rFonts w:hint="eastAsia" w:ascii="宋体" w:hAnsi="宋体" w:cs="宋体"/>
                <w:sz w:val="24"/>
                <w:szCs w:val="24"/>
              </w:rPr>
              <w:t>1</w:t>
            </w:r>
          </w:p>
        </w:tc>
        <w:tc>
          <w:tcPr>
            <w:tcW w:w="1720" w:type="dxa"/>
            <w:tcBorders>
              <w:bottom w:val="single" w:color="000000" w:sz="4" w:space="0"/>
            </w:tcBorders>
            <w:vAlign w:val="center"/>
          </w:tcPr>
          <w:p>
            <w:pPr>
              <w:adjustRightInd w:val="0"/>
              <w:jc w:val="center"/>
              <w:rPr>
                <w:rFonts w:ascii="宋体" w:hAnsi="宋体" w:cs="宋体"/>
                <w:sz w:val="24"/>
                <w:szCs w:val="24"/>
              </w:rPr>
            </w:pPr>
            <w:r>
              <w:rPr>
                <w:rFonts w:hint="eastAsia" w:ascii="宋体" w:hAnsi="宋体" w:cs="宋体"/>
                <w:sz w:val="24"/>
                <w:szCs w:val="24"/>
              </w:rPr>
              <w:t>上虞区大气污染防治攻坚整改提升服务项目</w:t>
            </w:r>
          </w:p>
        </w:tc>
        <w:tc>
          <w:tcPr>
            <w:tcW w:w="552" w:type="dxa"/>
            <w:tcBorders>
              <w:bottom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594" w:type="dxa"/>
            <w:tcBorders>
              <w:bottom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项</w:t>
            </w:r>
          </w:p>
        </w:tc>
        <w:tc>
          <w:tcPr>
            <w:tcW w:w="1356" w:type="dxa"/>
            <w:tcBorders>
              <w:bottom w:val="single" w:color="000000" w:sz="4" w:space="0"/>
            </w:tcBorders>
            <w:vAlign w:val="center"/>
          </w:tcPr>
          <w:p>
            <w:pPr>
              <w:widowControl/>
              <w:spacing w:before="100" w:after="100" w:line="312" w:lineRule="auto"/>
              <w:jc w:val="center"/>
              <w:rPr>
                <w:rFonts w:ascii="宋体" w:hAnsi="宋体" w:cs="宋体"/>
                <w:sz w:val="24"/>
                <w:szCs w:val="24"/>
              </w:rPr>
            </w:pPr>
            <w:r>
              <w:rPr>
                <w:rFonts w:hint="eastAsia" w:ascii="宋体" w:hAnsi="宋体" w:cs="宋体"/>
                <w:kern w:val="0"/>
                <w:sz w:val="24"/>
                <w:szCs w:val="24"/>
              </w:rPr>
              <w:t>120</w:t>
            </w:r>
          </w:p>
        </w:tc>
        <w:tc>
          <w:tcPr>
            <w:tcW w:w="2684" w:type="dxa"/>
            <w:tcBorders>
              <w:bottom w:val="single" w:color="000000" w:sz="4" w:space="0"/>
            </w:tcBorders>
            <w:vAlign w:val="center"/>
          </w:tcPr>
          <w:p>
            <w:pPr>
              <w:pStyle w:val="11"/>
              <w:snapToGrid w:val="0"/>
              <w:spacing w:before="120" w:after="120"/>
              <w:jc w:val="center"/>
              <w:rPr>
                <w:rFonts w:hAnsi="宋体"/>
                <w:sz w:val="24"/>
                <w:szCs w:val="24"/>
              </w:rPr>
            </w:pPr>
            <w:r>
              <w:rPr>
                <w:rFonts w:hint="eastAsia" w:hAnsi="宋体"/>
                <w:sz w:val="24"/>
              </w:rPr>
              <w:t>具体详见“第三部分 采购内容及要求”</w:t>
            </w:r>
          </w:p>
        </w:tc>
        <w:tc>
          <w:tcPr>
            <w:tcW w:w="1311" w:type="dxa"/>
            <w:tcBorders>
              <w:bottom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120</w:t>
            </w:r>
          </w:p>
        </w:tc>
        <w:tc>
          <w:tcPr>
            <w:tcW w:w="506" w:type="dxa"/>
            <w:tcBorders>
              <w:bottom w:val="single" w:color="000000" w:sz="4" w:space="0"/>
            </w:tcBorders>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w:t>
            </w:r>
          </w:p>
        </w:tc>
      </w:tr>
    </w:tbl>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四．合格供应商资格要求:</w:t>
      </w:r>
    </w:p>
    <w:p>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符合政府采购法第二十二条，且未被“信用中国”（www.creditchina.gov.cn）、中国政府采购网（www.ccgp.gov.cn）列入失信被执行人、重大税收违法案件当事人名单、政府采购严重违法失信行为记录名单。 </w:t>
      </w:r>
    </w:p>
    <w:p>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落实政府采购政策需满足的资格要求：供应商为中小企业/小微企业。</w:t>
      </w:r>
    </w:p>
    <w:p>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hint="eastAsia" w:ascii="宋体" w:hAnsi="宋体" w:cs="宋体"/>
          <w:sz w:val="24"/>
          <w:szCs w:val="24"/>
        </w:rPr>
        <w:t>联合体参加磋商。</w:t>
      </w:r>
    </w:p>
    <w:p>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本项目采用资格后审的审查方式，由磋商小组负责审查。</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五．获取磋商文件</w:t>
      </w:r>
    </w:p>
    <w:p>
      <w:pPr>
        <w:numPr>
          <w:ilvl w:val="0"/>
          <w:numId w:val="3"/>
        </w:numPr>
        <w:adjustRightInd w:val="0"/>
        <w:spacing w:line="360" w:lineRule="auto"/>
        <w:ind w:firstLine="480" w:firstLineChars="200"/>
        <w:rPr>
          <w:rFonts w:ascii="宋体" w:hAnsi="宋体" w:cs="宋体"/>
          <w:sz w:val="24"/>
          <w:szCs w:val="24"/>
        </w:rPr>
      </w:pPr>
      <w:bookmarkStart w:id="5" w:name="报名开始时间1"/>
      <w:r>
        <w:rPr>
          <w:rFonts w:hint="eastAsia" w:ascii="宋体" w:hAnsi="宋体" w:cs="宋体"/>
          <w:sz w:val="24"/>
          <w:szCs w:val="24"/>
        </w:rPr>
        <w:t>获取磋商文件时间:</w:t>
      </w:r>
      <w:bookmarkEnd w:id="5"/>
      <w:r>
        <w:rPr>
          <w:rFonts w:hint="eastAsia" w:ascii="宋体" w:hAnsi="宋体" w:cs="宋体"/>
          <w:sz w:val="24"/>
          <w:szCs w:val="24"/>
          <w:u w:val="single"/>
        </w:rPr>
        <w:t>2023年</w:t>
      </w:r>
      <w:r>
        <w:rPr>
          <w:rFonts w:hint="eastAsia" w:ascii="宋体" w:hAnsi="宋体" w:cs="宋体"/>
          <w:sz w:val="24"/>
          <w:szCs w:val="24"/>
          <w:u w:val="single"/>
          <w:lang w:val="en-US" w:eastAsia="zh-CN"/>
        </w:rPr>
        <w:t>3</w:t>
      </w:r>
      <w:r>
        <w:rPr>
          <w:rFonts w:hint="eastAsia" w:ascii="宋体" w:hAnsi="宋体" w:cs="宋体"/>
          <w:sz w:val="24"/>
          <w:szCs w:val="24"/>
          <w:u w:val="single"/>
        </w:rPr>
        <w:t>月</w:t>
      </w:r>
      <w:r>
        <w:rPr>
          <w:rFonts w:hint="eastAsia" w:ascii="宋体" w:hAnsi="宋体" w:cs="宋体"/>
          <w:sz w:val="24"/>
          <w:szCs w:val="24"/>
          <w:u w:val="single"/>
          <w:lang w:val="en-US" w:eastAsia="zh-CN"/>
        </w:rPr>
        <w:t>21</w:t>
      </w:r>
      <w:r>
        <w:rPr>
          <w:rFonts w:hint="eastAsia" w:ascii="宋体" w:hAnsi="宋体" w:cs="宋体"/>
          <w:sz w:val="24"/>
          <w:szCs w:val="24"/>
          <w:u w:val="single"/>
        </w:rPr>
        <w:t>日上午9:30</w:t>
      </w:r>
      <w:r>
        <w:rPr>
          <w:rFonts w:hint="eastAsia" w:ascii="宋体" w:hAnsi="宋体" w:cs="宋体"/>
          <w:sz w:val="24"/>
          <w:szCs w:val="24"/>
        </w:rPr>
        <w:t>之前获取。</w:t>
      </w:r>
    </w:p>
    <w:p>
      <w:pPr>
        <w:numPr>
          <w:ilvl w:val="0"/>
          <w:numId w:val="3"/>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获取磋商文件方式：供应商登陆政采云平台http://www.zcygov.cn/，在线申请获取磋商文件（进入“项目采购”应用，在获取采购文件菜单中选择项目，申请获取采购文件）。</w:t>
      </w:r>
    </w:p>
    <w:p>
      <w:pPr>
        <w:numPr>
          <w:ilvl w:val="0"/>
          <w:numId w:val="3"/>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提示：</w:t>
      </w:r>
    </w:p>
    <w:p>
      <w:pPr>
        <w:numPr>
          <w:ilvl w:val="0"/>
          <w:numId w:val="4"/>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将拒绝接受未获取磋商文件供应商的响应文件。</w:t>
      </w:r>
    </w:p>
    <w:p>
      <w:pPr>
        <w:numPr>
          <w:ilvl w:val="0"/>
          <w:numId w:val="4"/>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磋商文件及更正补充公告请自行登录浙江政府采购网或绍兴市上虞区公共资源交易中心网站，在采购公告页面中下载。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六．投标与开标注意事项：</w:t>
      </w:r>
    </w:p>
    <w:p>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本项目实行</w:t>
      </w:r>
      <w:r>
        <w:rPr>
          <w:rFonts w:hint="eastAsia" w:ascii="宋体" w:hAnsi="宋体" w:cs="宋体"/>
          <w:b/>
          <w:bCs/>
          <w:sz w:val="24"/>
          <w:szCs w:val="24"/>
        </w:rPr>
        <w:t>网上投标</w:t>
      </w:r>
      <w:r>
        <w:rPr>
          <w:rFonts w:hint="eastAsia" w:ascii="宋体" w:hAnsi="宋体" w:cs="宋体"/>
          <w:sz w:val="24"/>
          <w:szCs w:val="24"/>
        </w:rPr>
        <w:t>，采用电子投标文件，若供应商参与投标，自行承担投标一切费用。</w:t>
      </w:r>
    </w:p>
    <w:p>
      <w:pPr>
        <w:numPr>
          <w:ilvl w:val="0"/>
          <w:numId w:val="5"/>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供应商将政采云电子交易客户端下载、安装完成后，可通过账号密码或CA登录客户端进行投标文件制作。在使用政采云投标客户端时，建议使用WIN7及以上操作系统。</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注：供应商先要申领CA，取得CA后需要在政采云平台进行绑定，CA相关操作可参考《CA管理学习专题》。完成CA数字证书办理在资料齐全的情况下预计7个工作日左右，建议供应商获取招标文件后立即办理。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sz w:val="24"/>
        </w:rPr>
      </w:pPr>
      <w:r>
        <w:rPr>
          <w:rFonts w:hint="eastAsia" w:ascii="宋体" w:hAnsi="宋体" w:cs="宋体"/>
          <w:sz w:val="24"/>
        </w:rPr>
        <w:t>《CA管理学习专题》：</w:t>
      </w:r>
    </w:p>
    <w:p>
      <w:pPr>
        <w:adjustRightInd w:val="0"/>
        <w:spacing w:line="360" w:lineRule="auto"/>
        <w:ind w:left="420" w:leftChars="200"/>
        <w:rPr>
          <w:rFonts w:ascii="宋体" w:hAnsi="宋体" w:cs="宋体"/>
          <w:sz w:val="24"/>
        </w:rPr>
      </w:pPr>
      <w:r>
        <w:rPr>
          <w:rFonts w:hint="eastAsia" w:ascii="宋体" w:hAnsi="宋体" w:cs="宋体"/>
          <w:sz w:val="24"/>
        </w:rPr>
        <w:t>https://edu.zcygov.cn/luban/ca?utm=web-government-front.380aac0a.0.0.fc2b6aa0b6e211ebbdb0dd007730dd44</w:t>
      </w:r>
    </w:p>
    <w:p>
      <w:pPr>
        <w:adjustRightInd w:val="0"/>
        <w:spacing w:line="360" w:lineRule="auto"/>
        <w:ind w:left="420" w:leftChars="200"/>
        <w:rPr>
          <w:rFonts w:ascii="宋体" w:hAnsi="宋体" w:cs="宋体"/>
          <w:sz w:val="24"/>
        </w:rPr>
      </w:pPr>
      <w:r>
        <w:rPr>
          <w:rFonts w:hint="eastAsia" w:ascii="宋体" w:hAnsi="宋体" w:cs="宋体"/>
          <w:sz w:val="24"/>
        </w:rPr>
        <w:t>《CA驱动和申领流程》:</w:t>
      </w:r>
    </w:p>
    <w:p>
      <w:pPr>
        <w:adjustRightInd w:val="0"/>
        <w:spacing w:line="360" w:lineRule="auto"/>
        <w:ind w:left="420" w:leftChars="200"/>
        <w:rPr>
          <w:rFonts w:ascii="宋体" w:hAnsi="宋体" w:cs="宋体"/>
          <w:sz w:val="24"/>
          <w:szCs w:val="24"/>
        </w:rPr>
      </w:pPr>
      <w:r>
        <w:fldChar w:fldCharType="begin"/>
      </w:r>
      <w:r>
        <w:instrText xml:space="preserve"> HYPERLINK "http://zfcg.czt.zj.gov.cn/bidClientTemplate/2019-05-27/12945.html" </w:instrText>
      </w:r>
      <w:r>
        <w:fldChar w:fldCharType="separate"/>
      </w:r>
      <w:r>
        <w:rPr>
          <w:rFonts w:hint="eastAsia" w:ascii="宋体" w:hAnsi="宋体" w:cs="宋体"/>
          <w:sz w:val="24"/>
        </w:rPr>
        <w:t>http://zfcg.czt.zj.gov.cn/bidClientTemplate/2019-05-27/12945.html</w:t>
      </w:r>
      <w:r>
        <w:rPr>
          <w:rFonts w:hint="eastAsia" w:ascii="宋体" w:hAnsi="宋体" w:cs="宋体"/>
          <w:sz w:val="24"/>
        </w:rPr>
        <w:fldChar w:fldCharType="end"/>
      </w:r>
    </w:p>
    <w:p>
      <w:pPr>
        <w:keepNext w:val="0"/>
        <w:keepLines w:val="0"/>
        <w:pageBreakBefore w:val="0"/>
        <w:widowControl w:val="0"/>
        <w:numPr>
          <w:ilvl w:val="0"/>
          <w:numId w:val="5"/>
        </w:numPr>
        <w:kinsoku/>
        <w:overflowPunct/>
        <w:topLinePunct w:val="0"/>
        <w:autoSpaceDE/>
        <w:autoSpaceDN/>
        <w:bidi w:val="0"/>
        <w:adjustRightInd w:val="0"/>
        <w:snapToGri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投标文件制作：</w:t>
      </w:r>
    </w:p>
    <w:p>
      <w:pPr>
        <w:keepNext w:val="0"/>
        <w:keepLines w:val="0"/>
        <w:pageBreakBefore w:val="0"/>
        <w:widowControl w:val="0"/>
        <w:numPr>
          <w:ilvl w:val="0"/>
          <w:numId w:val="6"/>
        </w:numPr>
        <w:kinsoku/>
        <w:overflowPunct/>
        <w:topLinePunct w:val="0"/>
        <w:autoSpaceDE/>
        <w:autoSpaceDN/>
        <w:bidi w:val="0"/>
        <w:adjustRightInd w:val="0"/>
        <w:snapToGri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投标人通过“政采云”平台电子投标工具制作投标文件。</w:t>
      </w:r>
    </w:p>
    <w:p>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《电子投标工具》：</w:t>
      </w:r>
    </w:p>
    <w:p>
      <w:pPr>
        <w:keepNext w:val="0"/>
        <w:keepLines w:val="0"/>
        <w:pageBreakBefore w:val="0"/>
        <w:widowControl w:val="0"/>
        <w:kinsoku/>
        <w:overflowPunct/>
        <w:topLinePunct w:val="0"/>
        <w:autoSpaceDE/>
        <w:autoSpaceDN/>
        <w:bidi w:val="0"/>
        <w:adjustRightInd w:val="0"/>
        <w:snapToGrid/>
        <w:spacing w:line="360" w:lineRule="auto"/>
        <w:ind w:left="0" w:leftChars="0" w:firstLine="420" w:firstLineChars="200"/>
        <w:jc w:val="left"/>
        <w:textAlignment w:val="auto"/>
        <w:rPr>
          <w:rFonts w:ascii="宋体" w:hAnsi="宋体" w:cs="宋体"/>
          <w:sz w:val="24"/>
          <w:szCs w:val="24"/>
        </w:rPr>
      </w:pPr>
      <w:r>
        <w:fldChar w:fldCharType="begin"/>
      </w:r>
      <w:r>
        <w:instrText xml:space="preserve"> HYPERLINK "http://zfcg.czt.zj.gov.cn/bidClientTemplate/2019-09-24/12975.html" </w:instrText>
      </w:r>
      <w:r>
        <w:fldChar w:fldCharType="separate"/>
      </w:r>
      <w:r>
        <w:rPr>
          <w:rFonts w:hint="eastAsia" w:ascii="宋体" w:hAnsi="宋体" w:cs="宋体"/>
          <w:sz w:val="24"/>
          <w:szCs w:val="24"/>
        </w:rPr>
        <w:t>http://zfcg.czt.zj.gov.cn/bidClientTemplate/2019-09-24/12975.html</w:t>
      </w:r>
      <w:r>
        <w:rPr>
          <w:rFonts w:hint="eastAsia" w:ascii="宋体" w:hAnsi="宋体" w:cs="宋体"/>
          <w:sz w:val="24"/>
          <w:szCs w:val="24"/>
        </w:rPr>
        <w:fldChar w:fldCharType="end"/>
      </w:r>
    </w:p>
    <w:p>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ascii="宋体" w:hAnsi="宋体" w:cs="宋体"/>
          <w:sz w:val="24"/>
          <w:szCs w:val="24"/>
        </w:rPr>
      </w:pPr>
      <w:r>
        <w:rPr>
          <w:rFonts w:hint="eastAsia" w:ascii="宋体" w:hAnsi="宋体" w:cs="宋体"/>
          <w:sz w:val="24"/>
          <w:szCs w:val="24"/>
        </w:rPr>
        <w:t>《供应商-政府采购项目电子交易操作指南》：(需登录账号后查看)</w:t>
      </w:r>
    </w:p>
    <w:p>
      <w:pPr>
        <w:keepNext w:val="0"/>
        <w:keepLines w:val="0"/>
        <w:pageBreakBefore w:val="0"/>
        <w:widowControl w:val="0"/>
        <w:kinsoku/>
        <w:overflowPunct/>
        <w:topLinePunct w:val="0"/>
        <w:autoSpaceDE/>
        <w:autoSpaceDN/>
        <w:bidi w:val="0"/>
        <w:adjustRightInd w:val="0"/>
        <w:snapToGrid/>
        <w:spacing w:line="360" w:lineRule="auto"/>
        <w:ind w:left="0" w:leftChars="0" w:firstLine="420" w:firstLineChars="200"/>
        <w:jc w:val="left"/>
        <w:textAlignment w:val="auto"/>
        <w:rPr>
          <w:rFonts w:ascii="宋体" w:hAnsi="宋体" w:cs="宋体"/>
          <w:sz w:val="24"/>
          <w:szCs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szCs w:val="24"/>
        </w:rPr>
        <w:t>https://service.zcygov.cn/#/knowledges/tree?tag=AG1DtGwBFdiHxlNdhY0r</w:t>
      </w:r>
      <w:r>
        <w:rPr>
          <w:rFonts w:hint="eastAsia" w:ascii="宋体" w:hAnsi="宋体" w:cs="宋体"/>
          <w:sz w:val="24"/>
          <w:szCs w:val="24"/>
        </w:rPr>
        <w:fldChar w:fldCharType="end"/>
      </w:r>
    </w:p>
    <w:p>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4.供应商在法定质疑期内应一次性提出针对同一采购程序环节的质疑。否则质疑将不予受理。</w:t>
      </w:r>
    </w:p>
    <w:p>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sz w:val="24"/>
          <w:szCs w:val="24"/>
        </w:rPr>
      </w:pPr>
      <w:r>
        <w:rPr>
          <w:rFonts w:hint="eastAsia" w:ascii="宋体" w:hAnsi="宋体" w:cs="宋体"/>
          <w:sz w:val="24"/>
          <w:szCs w:val="24"/>
        </w:rPr>
        <w:t>6.特别提醒</w:t>
      </w:r>
    </w:p>
    <w:p>
      <w:pPr>
        <w:numPr>
          <w:ilvl w:val="0"/>
          <w:numId w:val="7"/>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单位负责人为同一人或者存在直接控股、管理关系的不同供应商，不得参加同一合同项下的政府采购活动。</w:t>
      </w:r>
    </w:p>
    <w:p>
      <w:pPr>
        <w:numPr>
          <w:ilvl w:val="0"/>
          <w:numId w:val="7"/>
        </w:numPr>
        <w:wordWrap w:val="0"/>
        <w:adjustRightInd w:val="0"/>
        <w:spacing w:line="360" w:lineRule="auto"/>
        <w:ind w:firstLine="480" w:firstLineChars="200"/>
        <w:rPr>
          <w:rFonts w:ascii="宋体" w:hAnsi="宋体" w:cs="宋体"/>
          <w:b/>
          <w:sz w:val="24"/>
          <w:szCs w:val="24"/>
        </w:rPr>
      </w:pPr>
      <w:r>
        <w:rPr>
          <w:rFonts w:hint="eastAsia" w:ascii="宋体" w:hAnsi="宋体" w:cs="宋体"/>
          <w:sz w:val="24"/>
          <w:szCs w:val="24"/>
        </w:rPr>
        <w:t>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hAnsi="宋体" w:cs="宋体"/>
          <w:sz w:val="24"/>
          <w:szCs w:val="24"/>
        </w:rPr>
      </w:pPr>
      <w:r>
        <w:rPr>
          <w:rFonts w:hint="eastAsia" w:ascii="宋体" w:hAnsi="宋体" w:cs="宋体"/>
          <w:b/>
          <w:bCs/>
          <w:sz w:val="24"/>
          <w:szCs w:val="24"/>
        </w:rPr>
        <w:t>七．磋商响应截止时间及要求：</w:t>
      </w:r>
      <w:r>
        <w:rPr>
          <w:rFonts w:hint="eastAsia" w:ascii="宋体" w:hAnsi="宋体" w:cs="宋体"/>
          <w:sz w:val="24"/>
          <w:szCs w:val="24"/>
          <w:u w:val="single"/>
        </w:rPr>
        <w:t xml:space="preserve"> 2023</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21</w:t>
      </w:r>
      <w:r>
        <w:rPr>
          <w:rFonts w:hint="eastAsia" w:ascii="宋体" w:hAnsi="宋体" w:cs="宋体"/>
          <w:sz w:val="24"/>
          <w:szCs w:val="24"/>
          <w:u w:val="single"/>
        </w:rPr>
        <w:t xml:space="preserve"> </w:t>
      </w:r>
      <w:r>
        <w:rPr>
          <w:rFonts w:hint="eastAsia" w:ascii="宋体" w:hAnsi="宋体" w:cs="宋体"/>
          <w:sz w:val="24"/>
          <w:szCs w:val="24"/>
        </w:rPr>
        <w:t>日上午</w:t>
      </w:r>
      <w:r>
        <w:rPr>
          <w:rFonts w:hint="eastAsia" w:ascii="宋体" w:hAnsi="宋体" w:cs="宋体"/>
          <w:sz w:val="24"/>
          <w:szCs w:val="24"/>
          <w:u w:val="single"/>
        </w:rPr>
        <w:t>9</w:t>
      </w:r>
      <w:r>
        <w:rPr>
          <w:rFonts w:hint="eastAsia" w:ascii="宋体" w:hAnsi="宋体" w:cs="宋体"/>
          <w:sz w:val="24"/>
          <w:szCs w:val="24"/>
        </w:rPr>
        <w:t>时</w:t>
      </w:r>
      <w:r>
        <w:rPr>
          <w:rFonts w:hint="eastAsia" w:ascii="宋体" w:hAnsi="宋体" w:cs="宋体"/>
          <w:sz w:val="24"/>
          <w:szCs w:val="24"/>
          <w:u w:val="single"/>
        </w:rPr>
        <w:t xml:space="preserve">30 </w:t>
      </w:r>
      <w:r>
        <w:rPr>
          <w:rFonts w:hint="eastAsia" w:ascii="宋体" w:hAnsi="宋体" w:cs="宋体"/>
          <w:sz w:val="24"/>
          <w:szCs w:val="24"/>
        </w:rPr>
        <w:t>分整</w:t>
      </w:r>
      <w:r>
        <w:rPr>
          <w:rFonts w:hint="eastAsia" w:ascii="宋体" w:hAnsi="宋体" w:cs="宋体"/>
          <w:kern w:val="0"/>
          <w:sz w:val="24"/>
          <w:szCs w:val="24"/>
        </w:rPr>
        <w:t>之前将电子磋商响应文件上传到“政采云”平台。</w:t>
      </w:r>
    </w:p>
    <w:p>
      <w:pPr>
        <w:adjustRightInd w:val="0"/>
        <w:spacing w:line="360" w:lineRule="auto"/>
        <w:ind w:firstLine="482" w:firstLineChars="200"/>
        <w:jc w:val="left"/>
        <w:rPr>
          <w:rFonts w:ascii="宋体" w:hAnsi="宋体" w:cs="宋体"/>
          <w:sz w:val="24"/>
          <w:szCs w:val="24"/>
        </w:rPr>
      </w:pPr>
      <w:r>
        <w:rPr>
          <w:rFonts w:hint="eastAsia" w:ascii="宋体" w:hAnsi="宋体" w:cs="宋体"/>
          <w:b/>
          <w:bCs/>
          <w:sz w:val="24"/>
          <w:szCs w:val="24"/>
        </w:rPr>
        <w:t>八．递交首次响应文件时间及地点：</w:t>
      </w:r>
      <w:bookmarkStart w:id="6" w:name="B30_开标地点"/>
      <w:r>
        <w:rPr>
          <w:rFonts w:hint="eastAsia" w:ascii="宋体" w:hAnsi="宋体" w:cs="宋体"/>
          <w:sz w:val="24"/>
          <w:szCs w:val="24"/>
          <w:u w:val="single"/>
        </w:rPr>
        <w:t xml:space="preserve"> 2023</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21</w:t>
      </w:r>
      <w:r>
        <w:rPr>
          <w:rFonts w:hint="eastAsia" w:ascii="宋体" w:hAnsi="宋体" w:cs="宋体"/>
          <w:sz w:val="24"/>
          <w:szCs w:val="24"/>
          <w:u w:val="single"/>
        </w:rPr>
        <w:t xml:space="preserve"> </w:t>
      </w:r>
      <w:r>
        <w:rPr>
          <w:rFonts w:hint="eastAsia" w:ascii="宋体" w:hAnsi="宋体" w:cs="宋体"/>
          <w:sz w:val="24"/>
          <w:szCs w:val="24"/>
        </w:rPr>
        <w:t>日上午</w:t>
      </w:r>
      <w:r>
        <w:rPr>
          <w:rFonts w:hint="eastAsia" w:ascii="宋体" w:hAnsi="宋体" w:cs="宋体"/>
          <w:sz w:val="24"/>
          <w:szCs w:val="24"/>
          <w:u w:val="single"/>
        </w:rPr>
        <w:t>9</w:t>
      </w:r>
      <w:r>
        <w:rPr>
          <w:rFonts w:hint="eastAsia" w:ascii="宋体" w:hAnsi="宋体" w:cs="宋体"/>
          <w:sz w:val="24"/>
          <w:szCs w:val="24"/>
        </w:rPr>
        <w:t>时</w:t>
      </w:r>
      <w:r>
        <w:rPr>
          <w:rFonts w:hint="eastAsia" w:ascii="宋体" w:hAnsi="宋体" w:cs="宋体"/>
          <w:sz w:val="24"/>
          <w:szCs w:val="24"/>
          <w:u w:val="single"/>
        </w:rPr>
        <w:t xml:space="preserve">30 </w:t>
      </w:r>
      <w:r>
        <w:rPr>
          <w:rFonts w:hint="eastAsia" w:ascii="宋体" w:hAnsi="宋体" w:cs="宋体"/>
          <w:sz w:val="24"/>
          <w:szCs w:val="24"/>
        </w:rPr>
        <w:t>分整在上虞区公共资源交易中心三楼</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375</w:t>
      </w:r>
      <w:r>
        <w:rPr>
          <w:rFonts w:hint="eastAsia" w:ascii="宋体" w:hAnsi="宋体" w:cs="宋体"/>
          <w:sz w:val="24"/>
          <w:szCs w:val="24"/>
          <w:u w:val="single"/>
        </w:rPr>
        <w:t xml:space="preserve"> </w:t>
      </w:r>
      <w:r>
        <w:rPr>
          <w:rFonts w:hint="eastAsia" w:ascii="宋体" w:hAnsi="宋体" w:cs="宋体"/>
          <w:sz w:val="24"/>
          <w:szCs w:val="24"/>
        </w:rPr>
        <w:t>开标室开标。</w:t>
      </w:r>
      <w:bookmarkEnd w:id="6"/>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开标时间后30分钟内（当日10: 00 前）供应商可以登录“政采云”平台，用“项目采购-开标评标”功能进行解密响应文件。若供应商在规定时间内（当日10: 00 前）解密失败，则由采购代理机构工作人员上传供应商提供的备份文件。备份文件（后缀名为.bfbs）须存储在U盘中，与上传的电子磋商响应文件一致，用信封进行密封并盖章</w:t>
      </w:r>
      <w:r>
        <w:rPr>
          <w:rFonts w:hint="eastAsia" w:ascii="宋体" w:hAnsi="宋体" w:cs="宋体"/>
          <w:b/>
          <w:bCs/>
          <w:sz w:val="24"/>
          <w:szCs w:val="24"/>
        </w:rPr>
        <w:t>（信封内仅需放入存储备份文件的U盘）</w:t>
      </w:r>
      <w:r>
        <w:rPr>
          <w:rFonts w:hint="eastAsia" w:ascii="宋体" w:hAnsi="宋体" w:cs="宋体"/>
          <w:sz w:val="24"/>
          <w:szCs w:val="24"/>
        </w:rPr>
        <w:t>，由授权代表在磋商响应截止时间前递交至开标地点。若电子磋商响应文件正常解锁，则U盘退还给供应商；若解锁失败，则由采购代理机构将U盘中的备份文件上传，该U盘将由采购代理机构保存。</w:t>
      </w:r>
    </w:p>
    <w:p>
      <w:pPr>
        <w:adjustRightInd w:val="0"/>
        <w:spacing w:line="360" w:lineRule="auto"/>
        <w:ind w:firstLine="480" w:firstLineChars="200"/>
        <w:rPr>
          <w:rFonts w:ascii="宋体" w:hAnsi="宋体" w:cs="宋体"/>
          <w:kern w:val="0"/>
          <w:sz w:val="24"/>
          <w:szCs w:val="24"/>
        </w:rPr>
      </w:pPr>
      <w:r>
        <w:rPr>
          <w:rFonts w:hint="eastAsia" w:ascii="宋体" w:hAnsi="宋体" w:cs="宋体"/>
          <w:sz w:val="24"/>
          <w:szCs w:val="24"/>
        </w:rPr>
        <w:t>本次开标不提供现场视频。</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九．磋商保证金：无</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十．公告期限：3个工作日</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十一．联系方式：</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1．采购代理机构名称：浙江宇康工程管理咨询有限公司</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项目联系人（询问）：苗黎               </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项目联系方式（询问）：13757586169           </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质疑联系人：蒲志刚</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质疑联系方式：18368083941</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地址：绍兴市上虞区百官街道江东北路588号百官广场30楼  </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2．采购人名称：绍兴市生态环境局上虞分局</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 xml:space="preserve">联系人（询问）：陈女士  </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联系电话（询问）：0575-82191286</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质疑联系人：屠先生</w:t>
      </w:r>
    </w:p>
    <w:p>
      <w:pPr>
        <w:adjustRightInd w:val="0"/>
        <w:spacing w:line="360" w:lineRule="auto"/>
        <w:ind w:firstLine="480" w:firstLineChars="200"/>
        <w:rPr>
          <w:rFonts w:ascii="宋体" w:hAnsi="宋体" w:cs="宋体"/>
          <w:sz w:val="24"/>
        </w:rPr>
      </w:pPr>
      <w:r>
        <w:rPr>
          <w:rFonts w:hint="eastAsia" w:ascii="宋体" w:hAnsi="宋体" w:cs="宋体"/>
          <w:kern w:val="0"/>
          <w:sz w:val="24"/>
        </w:rPr>
        <w:t>质疑联系方式：0575-82191286</w:t>
      </w:r>
      <w:r>
        <w:rPr>
          <w:rFonts w:hint="eastAsia" w:ascii="宋体" w:hAnsi="宋体" w:cs="宋体"/>
          <w:sz w:val="24"/>
        </w:rPr>
        <w:t xml:space="preserve"> </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地址：绍兴市上虞区曹娥街道江西路1888号惠普广场D座</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3．同级政府采购监督管理部门名称：上虞区财政局政府采购监管科</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联系人：谷先生</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监督投诉电话：0575-82130212</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传真：0575-82130212</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地址：绍兴市上虞区体育场路18号</w:t>
      </w:r>
    </w:p>
    <w:p>
      <w:pPr>
        <w:spacing w:line="360" w:lineRule="auto"/>
        <w:jc w:val="center"/>
        <w:outlineLvl w:val="0"/>
        <w:rPr>
          <w:rFonts w:ascii="宋体" w:hAnsi="宋体" w:cs="宋体"/>
          <w:b/>
          <w:bCs/>
          <w:sz w:val="36"/>
          <w:szCs w:val="36"/>
        </w:rPr>
      </w:pPr>
      <w:r>
        <w:rPr>
          <w:rFonts w:hint="eastAsia" w:ascii="宋体" w:hAnsi="宋体" w:cs="宋体"/>
          <w:b/>
          <w:bCs/>
          <w:sz w:val="36"/>
          <w:szCs w:val="36"/>
        </w:rPr>
        <w:br w:type="page"/>
      </w:r>
      <w:bookmarkStart w:id="7" w:name="_Toc28272"/>
      <w:bookmarkStart w:id="8" w:name="_Toc546"/>
      <w:bookmarkStart w:id="9" w:name="_Toc29834"/>
      <w:r>
        <w:rPr>
          <w:rStyle w:val="35"/>
          <w:rFonts w:hint="eastAsia" w:ascii="宋体" w:hAnsi="宋体" w:cs="宋体"/>
          <w:sz w:val="36"/>
          <w:szCs w:val="36"/>
        </w:rPr>
        <w:t>第二部分</w:t>
      </w:r>
      <w:bookmarkEnd w:id="3"/>
      <w:bookmarkEnd w:id="4"/>
      <w:r>
        <w:rPr>
          <w:rStyle w:val="35"/>
          <w:rFonts w:hint="eastAsia" w:ascii="宋体" w:hAnsi="宋体" w:cs="宋体"/>
          <w:sz w:val="36"/>
          <w:szCs w:val="36"/>
        </w:rPr>
        <w:t>供应商须知</w:t>
      </w:r>
      <w:bookmarkEnd w:id="7"/>
      <w:bookmarkEnd w:id="8"/>
      <w:bookmarkEnd w:id="9"/>
    </w:p>
    <w:p>
      <w:pPr>
        <w:widowControl/>
        <w:adjustRightInd w:val="0"/>
        <w:snapToGrid w:val="0"/>
        <w:spacing w:line="360" w:lineRule="auto"/>
        <w:jc w:val="center"/>
        <w:rPr>
          <w:rFonts w:ascii="宋体" w:hAnsi="宋体" w:cs="宋体"/>
          <w:b/>
          <w:bCs/>
          <w:snapToGrid w:val="0"/>
          <w:kern w:val="0"/>
          <w:sz w:val="32"/>
          <w:szCs w:val="32"/>
        </w:rPr>
      </w:pPr>
      <w:r>
        <w:rPr>
          <w:rFonts w:hint="eastAsia" w:ascii="宋体" w:hAnsi="宋体" w:cs="宋体"/>
          <w:b/>
          <w:bCs/>
          <w:snapToGrid w:val="0"/>
          <w:kern w:val="0"/>
          <w:sz w:val="30"/>
          <w:szCs w:val="30"/>
        </w:rPr>
        <w:t>供应商须知前附表</w:t>
      </w:r>
    </w:p>
    <w:tbl>
      <w:tblPr>
        <w:tblStyle w:val="24"/>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宋体" w:hAnsi="宋体" w:cs="宋体"/>
                <w:b/>
                <w:bCs/>
                <w:snapToGrid w:val="0"/>
                <w:kern w:val="0"/>
              </w:rPr>
            </w:pPr>
            <w:r>
              <w:rPr>
                <w:rFonts w:hint="eastAsia" w:ascii="宋体" w:hAnsi="宋体" w:cs="宋体"/>
                <w:b/>
                <w:bCs/>
                <w:snapToGrid w:val="0"/>
                <w:kern w:val="0"/>
              </w:rPr>
              <w:t>序号</w:t>
            </w:r>
          </w:p>
        </w:tc>
        <w:tc>
          <w:tcPr>
            <w:tcW w:w="1800" w:type="dxa"/>
            <w:tcBorders>
              <w:top w:val="double" w:color="auto" w:sz="4" w:space="0"/>
            </w:tcBorders>
            <w:vAlign w:val="center"/>
          </w:tcPr>
          <w:p>
            <w:pPr>
              <w:snapToGrid w:val="0"/>
              <w:jc w:val="center"/>
              <w:rPr>
                <w:rFonts w:ascii="宋体" w:hAnsi="宋体" w:cs="宋体"/>
                <w:b/>
                <w:bCs/>
                <w:snapToGrid w:val="0"/>
                <w:kern w:val="0"/>
              </w:rPr>
            </w:pPr>
            <w:r>
              <w:rPr>
                <w:rFonts w:hint="eastAsia" w:ascii="宋体" w:hAnsi="宋体" w:cs="宋体"/>
                <w:b/>
                <w:bCs/>
                <w:snapToGrid w:val="0"/>
                <w:kern w:val="0"/>
              </w:rPr>
              <w:t>项目</w:t>
            </w:r>
          </w:p>
        </w:tc>
        <w:tc>
          <w:tcPr>
            <w:tcW w:w="6682" w:type="dxa"/>
            <w:tcBorders>
              <w:top w:val="double" w:color="auto" w:sz="4" w:space="0"/>
            </w:tcBorders>
            <w:vAlign w:val="center"/>
          </w:tcPr>
          <w:p>
            <w:pPr>
              <w:snapToGrid w:val="0"/>
              <w:jc w:val="center"/>
              <w:rPr>
                <w:rFonts w:ascii="宋体" w:hAnsi="宋体" w:cs="宋体"/>
                <w:b/>
                <w:bCs/>
                <w:snapToGrid w:val="0"/>
                <w:kern w:val="0"/>
              </w:rPr>
            </w:pPr>
            <w:r>
              <w:rPr>
                <w:rFonts w:hint="eastAsia" w:ascii="宋体" w:hAnsi="宋体" w:cs="宋体"/>
                <w:b/>
                <w:bCs/>
                <w:snapToGrid w:val="0"/>
                <w:kern w:val="0"/>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项目名称</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上虞区大气污染防治攻坚整改提升服务项目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2</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服务周期</w:t>
            </w:r>
          </w:p>
        </w:tc>
        <w:tc>
          <w:tcPr>
            <w:tcW w:w="6682" w:type="dxa"/>
            <w:vAlign w:val="center"/>
          </w:tcPr>
          <w:p>
            <w:pPr>
              <w:ind w:firstLine="422" w:firstLineChars="200"/>
              <w:rPr>
                <w:rFonts w:ascii="宋体" w:hAnsi="宋体" w:cs="宋体"/>
              </w:rPr>
            </w:pPr>
            <w:r>
              <w:rPr>
                <w:rFonts w:hint="eastAsia" w:ascii="宋体" w:hAnsi="宋体" w:cs="宋体"/>
                <w:b/>
                <w:bCs/>
                <w:snapToGrid w:val="0"/>
                <w:kern w:val="0"/>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3</w:t>
            </w:r>
          </w:p>
        </w:tc>
        <w:tc>
          <w:tcPr>
            <w:tcW w:w="1800" w:type="dxa"/>
            <w:vAlign w:val="center"/>
          </w:tcPr>
          <w:p>
            <w:pPr>
              <w:snapToGrid w:val="0"/>
              <w:jc w:val="center"/>
              <w:rPr>
                <w:rFonts w:ascii="宋体" w:hAnsi="宋体" w:cs="宋体"/>
                <w:b/>
                <w:bCs/>
                <w:snapToGrid w:val="0"/>
                <w:kern w:val="0"/>
              </w:rPr>
            </w:pPr>
            <w:r>
              <w:rPr>
                <w:rFonts w:hint="eastAsia" w:ascii="宋体" w:hAnsi="宋体" w:cs="宋体"/>
                <w:b/>
                <w:bCs/>
                <w:snapToGrid w:val="0"/>
                <w:kern w:val="0"/>
              </w:rPr>
              <w:t>最高限价</w:t>
            </w:r>
          </w:p>
        </w:tc>
        <w:tc>
          <w:tcPr>
            <w:tcW w:w="6682" w:type="dxa"/>
            <w:vAlign w:val="center"/>
          </w:tcPr>
          <w:p>
            <w:pPr>
              <w:snapToGrid w:val="0"/>
              <w:ind w:firstLine="420" w:firstLineChars="200"/>
              <w:rPr>
                <w:rFonts w:ascii="宋体" w:hAnsi="宋体" w:cs="宋体"/>
                <w:b/>
                <w:bCs/>
                <w:snapToGrid w:val="0"/>
                <w:kern w:val="0"/>
              </w:rPr>
            </w:pPr>
            <w:r>
              <w:rPr>
                <w:rFonts w:hint="eastAsia" w:ascii="宋体" w:hAnsi="宋体" w:cs="宋体"/>
              </w:rPr>
              <w:t>本项目最高限价人民币</w:t>
            </w:r>
            <w:r>
              <w:rPr>
                <w:rFonts w:hint="eastAsia" w:ascii="宋体" w:hAnsi="宋体" w:cs="宋体"/>
                <w:u w:val="single"/>
              </w:rPr>
              <w:t xml:space="preserve"> 120 </w:t>
            </w:r>
            <w:r>
              <w:rPr>
                <w:rFonts w:hint="eastAsia" w:ascii="宋体" w:hAnsi="宋体" w:cs="宋体"/>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 xml:space="preserve">                                                                                                   4</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资格审查方式</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资格审查是指开标后，磋商小组将依据法律法规和磋商文件的规定对供应商的资格进行审查。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5</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踏勘现场</w:t>
            </w:r>
          </w:p>
        </w:tc>
        <w:tc>
          <w:tcPr>
            <w:tcW w:w="6682" w:type="dxa"/>
            <w:vAlign w:val="center"/>
          </w:tcPr>
          <w:p>
            <w:pPr>
              <w:snapToGrid w:val="0"/>
              <w:ind w:firstLine="422" w:firstLineChars="200"/>
              <w:rPr>
                <w:rFonts w:ascii="宋体" w:hAnsi="宋体" w:cs="宋体"/>
                <w:snapToGrid w:val="0"/>
                <w:kern w:val="0"/>
              </w:rPr>
            </w:pPr>
            <w:r>
              <w:rPr>
                <w:rFonts w:hint="eastAsia" w:ascii="宋体" w:hAnsi="宋体" w:cs="宋体"/>
                <w:b/>
                <w:bCs/>
                <w:snapToGrid w:val="0"/>
                <w:kern w:val="0"/>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6</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询问</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供应商对政府采购活动事项有疑问的，可以向采购机构提出询问，采购人或者招标代理机构应当在3个工作日内对供应商依法提出的询问作出答复，但答复的内容不得涉及商业秘密。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7</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磋商文件的澄清与修改</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招标采购单位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8</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磋商响应文件组成</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供应商向采购人递交的响应文件由资格文件、商务技术文件、报价文件三部分组成。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9</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评标办法</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10</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磋商响应文件递交地址及截止时间</w:t>
            </w:r>
          </w:p>
        </w:tc>
        <w:tc>
          <w:tcPr>
            <w:tcW w:w="6682" w:type="dxa"/>
            <w:vAlign w:val="center"/>
          </w:tcPr>
          <w:p>
            <w:pPr>
              <w:snapToGrid w:val="0"/>
              <w:ind w:firstLine="420" w:firstLineChars="200"/>
              <w:rPr>
                <w:rFonts w:ascii="宋体" w:hAnsi="宋体" w:cs="宋体"/>
                <w:kern w:val="0"/>
              </w:rPr>
            </w:pPr>
            <w:r>
              <w:rPr>
                <w:rFonts w:hint="eastAsia" w:ascii="宋体" w:hAnsi="宋体" w:cs="宋体"/>
                <w:snapToGrid w:val="0"/>
                <w:kern w:val="0"/>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11</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开标时间、地点</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开标时间：</w:t>
            </w:r>
            <w:r>
              <w:rPr>
                <w:rFonts w:hint="eastAsia" w:ascii="宋体" w:hAnsi="宋体" w:cs="宋体"/>
                <w:kern w:val="0"/>
              </w:rPr>
              <w:t>详见磋商公告</w:t>
            </w:r>
          </w:p>
          <w:p>
            <w:pPr>
              <w:snapToGrid w:val="0"/>
              <w:ind w:firstLine="420" w:firstLineChars="200"/>
              <w:rPr>
                <w:rFonts w:ascii="宋体" w:hAnsi="宋体" w:cs="宋体"/>
                <w:kern w:val="0"/>
              </w:rPr>
            </w:pPr>
            <w:r>
              <w:rPr>
                <w:rFonts w:hint="eastAsia" w:ascii="宋体" w:hAnsi="宋体" w:cs="宋体"/>
                <w:snapToGrid w:val="0"/>
                <w:kern w:val="0"/>
              </w:rPr>
              <w:t>开标地点：</w:t>
            </w:r>
            <w:r>
              <w:rPr>
                <w:rFonts w:hint="eastAsia" w:ascii="宋体" w:hAnsi="宋体" w:cs="宋体"/>
                <w:kern w:val="0"/>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12</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磋商响应文件有效期</w:t>
            </w:r>
          </w:p>
        </w:tc>
        <w:tc>
          <w:tcPr>
            <w:tcW w:w="6682" w:type="dxa"/>
            <w:vAlign w:val="center"/>
          </w:tcPr>
          <w:p>
            <w:pPr>
              <w:snapToGrid w:val="0"/>
              <w:ind w:firstLine="420" w:firstLineChars="200"/>
              <w:rPr>
                <w:rFonts w:ascii="宋体" w:hAnsi="宋体" w:cs="宋体"/>
                <w:snapToGrid w:val="0"/>
                <w:kern w:val="0"/>
              </w:rPr>
            </w:pPr>
            <w:r>
              <w:rPr>
                <w:rFonts w:hint="eastAsia" w:ascii="宋体" w:hAnsi="宋体" w:cs="宋体"/>
                <w:snapToGrid w:val="0"/>
                <w:kern w:val="0"/>
              </w:rPr>
              <w:t>响应文件有效期为从提交响应文件的截止之日起90天。供应商的响应文件中承诺的响应文件有效期少于磋商文件中载明的响应文件有效期的，磋商无效。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13</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履约保证金</w:t>
            </w:r>
          </w:p>
        </w:tc>
        <w:tc>
          <w:tcPr>
            <w:tcW w:w="6682" w:type="dxa"/>
            <w:vAlign w:val="center"/>
          </w:tcPr>
          <w:p>
            <w:pPr>
              <w:pStyle w:val="11"/>
              <w:snapToGrid w:val="0"/>
              <w:ind w:firstLine="420" w:firstLineChars="200"/>
              <w:rPr>
                <w:rFonts w:hAnsi="宋体"/>
                <w:kern w:val="0"/>
              </w:rPr>
            </w:pPr>
            <w:r>
              <w:rPr>
                <w:rFonts w:hint="eastAsia" w:hAnsi="宋体"/>
                <w:kern w:val="0"/>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14</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磋商公告及成交结果公告发布媒体</w:t>
            </w:r>
          </w:p>
        </w:tc>
        <w:tc>
          <w:tcPr>
            <w:tcW w:w="6682" w:type="dxa"/>
            <w:vAlign w:val="center"/>
          </w:tcPr>
          <w:p>
            <w:pPr>
              <w:pStyle w:val="11"/>
              <w:snapToGrid w:val="0"/>
              <w:ind w:firstLine="420" w:firstLineChars="200"/>
              <w:jc w:val="left"/>
              <w:rPr>
                <w:rFonts w:hAnsi="宋体"/>
                <w:kern w:val="0"/>
              </w:rPr>
            </w:pPr>
            <w:r>
              <w:rPr>
                <w:rFonts w:hint="eastAsia" w:hAnsi="宋体"/>
                <w:kern w:val="0"/>
              </w:rPr>
              <w:t>浙江省政府采购网、绍兴市上虞区公共资源交易中心网站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rPr>
            </w:pPr>
            <w:r>
              <w:rPr>
                <w:rFonts w:hint="eastAsia" w:ascii="宋体" w:hAnsi="宋体" w:cs="宋体"/>
              </w:rPr>
              <w:t>15</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质疑</w:t>
            </w:r>
          </w:p>
        </w:tc>
        <w:tc>
          <w:tcPr>
            <w:tcW w:w="6682" w:type="dxa"/>
            <w:vAlign w:val="center"/>
          </w:tcPr>
          <w:p>
            <w:pPr>
              <w:spacing w:line="360" w:lineRule="exact"/>
              <w:ind w:firstLine="420" w:firstLineChars="200"/>
              <w:jc w:val="left"/>
              <w:rPr>
                <w:rFonts w:ascii="宋体" w:hAnsi="宋体" w:cs="宋体"/>
              </w:rPr>
            </w:pPr>
            <w:r>
              <w:rPr>
                <w:rFonts w:hint="eastAsia" w:ascii="宋体" w:hAnsi="宋体" w:cs="宋体"/>
              </w:rPr>
              <w:t>根据《中华人民共和国政府采购法》第五十二条、《中华人民共和国政府采购法实施条例》第五十三条、《浙江省政府采购供应商质疑处理办法》的规定：</w:t>
            </w:r>
          </w:p>
          <w:p>
            <w:pPr>
              <w:spacing w:line="360" w:lineRule="exact"/>
              <w:ind w:firstLine="420" w:firstLineChars="200"/>
              <w:jc w:val="left"/>
              <w:rPr>
                <w:rFonts w:ascii="宋体" w:hAnsi="宋体" w:cs="宋体"/>
              </w:rPr>
            </w:pPr>
            <w:r>
              <w:rPr>
                <w:rFonts w:hint="eastAsia" w:ascii="宋体" w:hAnsi="宋体" w:cs="宋体"/>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否则质疑将不予受理。</w:t>
            </w:r>
          </w:p>
          <w:p>
            <w:pPr>
              <w:spacing w:line="360" w:lineRule="exact"/>
              <w:ind w:firstLine="420" w:firstLineChars="200"/>
              <w:jc w:val="left"/>
              <w:rPr>
                <w:rFonts w:ascii="宋体" w:hAnsi="宋体" w:cs="宋体"/>
              </w:rPr>
            </w:pPr>
            <w:r>
              <w:rPr>
                <w:rFonts w:hint="eastAsia" w:ascii="宋体" w:hAnsi="宋体" w:cs="宋体"/>
              </w:rPr>
              <w:t>投标人如认为采购过程使自身的合法权益受到损害的，应于各采购程序环节结束之日起七个工作日内以书面形式向采购机构提出质疑；</w:t>
            </w:r>
          </w:p>
          <w:p>
            <w:pPr>
              <w:snapToGrid w:val="0"/>
              <w:ind w:firstLine="420" w:firstLineChars="200"/>
              <w:jc w:val="left"/>
              <w:rPr>
                <w:rFonts w:ascii="宋体" w:hAnsi="宋体" w:cs="宋体"/>
                <w:snapToGrid w:val="0"/>
                <w:kern w:val="0"/>
              </w:rPr>
            </w:pPr>
            <w:r>
              <w:rPr>
                <w:rFonts w:hint="eastAsia" w:ascii="宋体" w:hAnsi="宋体" w:cs="宋体"/>
              </w:rPr>
              <w:t>投标人如认为中标结果使自身的合法权益受到损害的，应于中标或者成交结果公告期限届满之日起七个工作日内以书面形式向采购机构提出质疑</w:t>
            </w:r>
            <w:r>
              <w:rPr>
                <w:rFonts w:hint="eastAsia" w:ascii="宋体" w:hAnsi="宋体" w:cs="宋体"/>
                <w:snapToGrid w:val="0"/>
                <w:kern w:val="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16</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投诉</w:t>
            </w:r>
          </w:p>
        </w:tc>
        <w:tc>
          <w:tcPr>
            <w:tcW w:w="6682" w:type="dxa"/>
            <w:vAlign w:val="center"/>
          </w:tcPr>
          <w:p>
            <w:pPr>
              <w:snapToGrid w:val="0"/>
              <w:ind w:firstLine="420" w:firstLineChars="200"/>
              <w:jc w:val="left"/>
              <w:rPr>
                <w:rFonts w:ascii="宋体" w:hAnsi="宋体" w:cs="宋体"/>
                <w:snapToGrid w:val="0"/>
                <w:kern w:val="0"/>
              </w:rPr>
            </w:pPr>
            <w:r>
              <w:rPr>
                <w:rFonts w:hint="eastAsia" w:ascii="宋体" w:hAnsi="宋体" w:cs="宋体"/>
                <w:snapToGrid w:val="0"/>
                <w:kern w:val="0"/>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17</w:t>
            </w:r>
          </w:p>
        </w:tc>
        <w:tc>
          <w:tcPr>
            <w:tcW w:w="1800" w:type="dxa"/>
            <w:vAlign w:val="center"/>
          </w:tcPr>
          <w:p>
            <w:pPr>
              <w:snapToGrid w:val="0"/>
              <w:jc w:val="center"/>
              <w:rPr>
                <w:rFonts w:ascii="宋体" w:hAnsi="宋体" w:cs="宋体"/>
                <w:snapToGrid w:val="0"/>
                <w:kern w:val="0"/>
              </w:rPr>
            </w:pPr>
            <w:r>
              <w:rPr>
                <w:rFonts w:hint="eastAsia" w:ascii="宋体" w:hAnsi="宋体" w:cs="宋体"/>
                <w:snapToGrid w:val="0"/>
                <w:kern w:val="0"/>
              </w:rPr>
              <w:t>特别说明</w:t>
            </w:r>
          </w:p>
        </w:tc>
        <w:tc>
          <w:tcPr>
            <w:tcW w:w="6682" w:type="dxa"/>
            <w:vAlign w:val="center"/>
          </w:tcPr>
          <w:p>
            <w:pPr>
              <w:pStyle w:val="11"/>
              <w:snapToGrid w:val="0"/>
              <w:spacing w:line="360" w:lineRule="exact"/>
              <w:ind w:firstLine="420" w:firstLineChars="200"/>
              <w:jc w:val="left"/>
              <w:rPr>
                <w:rFonts w:hAnsi="宋体"/>
                <w:kern w:val="0"/>
              </w:rPr>
            </w:pPr>
            <w:r>
              <w:rPr>
                <w:rFonts w:hint="eastAsia" w:hAnsi="宋体"/>
                <w:kern w:val="0"/>
              </w:rPr>
              <w:t>投标人应无条件的、认真仔细的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pPr>
              <w:pStyle w:val="11"/>
              <w:snapToGrid w:val="0"/>
              <w:spacing w:line="360" w:lineRule="exact"/>
              <w:ind w:firstLine="420" w:firstLineChars="200"/>
              <w:jc w:val="left"/>
              <w:rPr>
                <w:rFonts w:hAnsi="宋体"/>
                <w:kern w:val="0"/>
              </w:rPr>
            </w:pPr>
            <w:r>
              <w:rPr>
                <w:rFonts w:hint="eastAsia" w:hAnsi="宋体"/>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1"/>
              <w:snapToGrid w:val="0"/>
              <w:ind w:firstLine="420" w:firstLineChars="200"/>
              <w:jc w:val="left"/>
              <w:rPr>
                <w:rFonts w:hAnsi="宋体"/>
                <w:b/>
                <w:bCs/>
                <w:kern w:val="0"/>
              </w:rPr>
            </w:pPr>
            <w:r>
              <w:rPr>
                <w:rFonts w:hint="eastAsia" w:hAnsi="宋体"/>
                <w:kern w:val="0"/>
              </w:rPr>
              <w:t>磋商文件中凡标注“</w:t>
            </w:r>
            <w:r>
              <w:rPr>
                <w:rFonts w:hint="eastAsia" w:hAnsi="宋体"/>
              </w:rPr>
              <w:t>★</w:t>
            </w:r>
            <w:r>
              <w:rPr>
                <w:rFonts w:hint="eastAsia" w:hAnsi="宋体"/>
                <w:kern w:val="0"/>
              </w:rPr>
              <w:t>”的条款均为实质性要求，不响应的磋商响应文件将作无效标处理。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18</w:t>
            </w:r>
          </w:p>
        </w:tc>
        <w:tc>
          <w:tcPr>
            <w:tcW w:w="1800" w:type="dxa"/>
            <w:vAlign w:val="center"/>
          </w:tcPr>
          <w:p>
            <w:pPr>
              <w:snapToGrid w:val="0"/>
              <w:jc w:val="center"/>
              <w:rPr>
                <w:rFonts w:ascii="宋体" w:hAnsi="宋体" w:cs="宋体"/>
              </w:rPr>
            </w:pPr>
            <w:r>
              <w:rPr>
                <w:rFonts w:hint="eastAsia" w:ascii="宋体" w:hAnsi="宋体" w:cs="宋体"/>
              </w:rPr>
              <w:t>支</w:t>
            </w:r>
          </w:p>
          <w:p>
            <w:pPr>
              <w:snapToGrid w:val="0"/>
              <w:jc w:val="center"/>
              <w:rPr>
                <w:rFonts w:ascii="宋体" w:hAnsi="宋体" w:cs="宋体"/>
              </w:rPr>
            </w:pPr>
            <w:r>
              <w:rPr>
                <w:rFonts w:hint="eastAsia" w:ascii="宋体" w:hAnsi="宋体" w:cs="宋体"/>
              </w:rPr>
              <w:t>持</w:t>
            </w:r>
          </w:p>
          <w:p>
            <w:pPr>
              <w:snapToGrid w:val="0"/>
              <w:jc w:val="center"/>
              <w:rPr>
                <w:rFonts w:ascii="宋体" w:hAnsi="宋体" w:cs="宋体"/>
              </w:rPr>
            </w:pPr>
            <w:r>
              <w:rPr>
                <w:rFonts w:hint="eastAsia" w:ascii="宋体" w:hAnsi="宋体" w:cs="宋体"/>
              </w:rPr>
              <w:t>中</w:t>
            </w:r>
          </w:p>
          <w:p>
            <w:pPr>
              <w:snapToGrid w:val="0"/>
              <w:jc w:val="center"/>
              <w:rPr>
                <w:rFonts w:ascii="宋体" w:hAnsi="宋体" w:cs="宋体"/>
              </w:rPr>
            </w:pPr>
            <w:r>
              <w:rPr>
                <w:rFonts w:hint="eastAsia" w:ascii="宋体" w:hAnsi="宋体" w:cs="宋体"/>
              </w:rPr>
              <w:t>小</w:t>
            </w:r>
          </w:p>
          <w:p>
            <w:pPr>
              <w:snapToGrid w:val="0"/>
              <w:jc w:val="center"/>
              <w:rPr>
                <w:rFonts w:ascii="宋体" w:hAnsi="宋体" w:cs="宋体"/>
              </w:rPr>
            </w:pPr>
            <w:r>
              <w:rPr>
                <w:rFonts w:hint="eastAsia" w:ascii="宋体" w:hAnsi="宋体" w:cs="宋体"/>
              </w:rPr>
              <w:t>企</w:t>
            </w:r>
          </w:p>
          <w:p>
            <w:pPr>
              <w:snapToGrid w:val="0"/>
              <w:jc w:val="center"/>
              <w:rPr>
                <w:rFonts w:ascii="宋体" w:hAnsi="宋体" w:cs="宋体"/>
              </w:rPr>
            </w:pPr>
            <w:r>
              <w:rPr>
                <w:rFonts w:hint="eastAsia" w:ascii="宋体" w:hAnsi="宋体" w:cs="宋体"/>
              </w:rPr>
              <w:t>业</w:t>
            </w:r>
          </w:p>
          <w:p>
            <w:pPr>
              <w:snapToGrid w:val="0"/>
              <w:jc w:val="center"/>
              <w:rPr>
                <w:rFonts w:ascii="宋体" w:hAnsi="宋体" w:cs="宋体"/>
              </w:rPr>
            </w:pPr>
          </w:p>
        </w:tc>
        <w:tc>
          <w:tcPr>
            <w:tcW w:w="6682" w:type="dxa"/>
            <w:vAlign w:val="center"/>
          </w:tcPr>
          <w:p>
            <w:pPr>
              <w:ind w:firstLine="420" w:firstLineChars="200"/>
              <w:rPr>
                <w:rFonts w:ascii="宋体" w:hAnsi="宋体" w:cs="宋体"/>
              </w:rPr>
            </w:pPr>
            <w:r>
              <w:rPr>
                <w:rFonts w:hint="eastAsia" w:ascii="宋体" w:hAnsi="宋体" w:cs="宋体"/>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20" w:firstLineChars="200"/>
              <w:rPr>
                <w:rFonts w:ascii="宋体" w:hAnsi="宋体" w:cs="宋体"/>
              </w:rPr>
            </w:pPr>
            <w:r>
              <w:rPr>
                <w:rFonts w:hint="eastAsia" w:ascii="宋体" w:hAnsi="宋体" w:cs="宋体"/>
              </w:rPr>
              <w:t>符合中小企业划分标准的个体工商户，在政府采购活动中视同中小企业。</w:t>
            </w:r>
          </w:p>
          <w:p>
            <w:pPr>
              <w:ind w:firstLine="420" w:firstLineChars="200"/>
              <w:rPr>
                <w:rFonts w:ascii="宋体" w:hAnsi="宋体" w:cs="宋体"/>
              </w:rPr>
            </w:pPr>
            <w:r>
              <w:rPr>
                <w:rFonts w:hint="eastAsia" w:ascii="宋体" w:hAnsi="宋体" w:cs="宋体"/>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20" w:firstLineChars="200"/>
              <w:rPr>
                <w:rFonts w:ascii="宋体" w:hAnsi="宋体" w:cs="宋体"/>
              </w:rPr>
            </w:pPr>
            <w:r>
              <w:rPr>
                <w:rFonts w:hint="eastAsia" w:ascii="宋体" w:hAnsi="宋体" w:cs="宋体"/>
              </w:rPr>
              <w:t>在服务采购项目中，服务由小微企业承接，即提供服务的人员为小微企业依照《中华人民共和国劳动合同法》订立劳动合同的从业人员。</w:t>
            </w:r>
          </w:p>
          <w:p>
            <w:pPr>
              <w:ind w:firstLine="420" w:firstLineChars="200"/>
              <w:rPr>
                <w:rFonts w:ascii="宋体" w:hAnsi="宋体" w:cs="宋体"/>
              </w:rPr>
            </w:pPr>
            <w:r>
              <w:rPr>
                <w:rFonts w:hint="eastAsia" w:ascii="宋体" w:hAnsi="宋体" w:cs="宋体"/>
              </w:rPr>
              <w:t>联合体各方均为小型、微型企业的，联合体视同为小型、微型企业。</w:t>
            </w:r>
          </w:p>
          <w:p>
            <w:pPr>
              <w:ind w:firstLine="420" w:firstLineChars="200"/>
              <w:rPr>
                <w:rFonts w:ascii="宋体" w:hAnsi="宋体" w:cs="宋体"/>
              </w:rPr>
            </w:pPr>
            <w:r>
              <w:rPr>
                <w:rFonts w:hint="eastAsia" w:ascii="宋体" w:hAnsi="宋体" w:cs="宋体"/>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ascii="宋体" w:hAnsi="宋体" w:cs="宋体"/>
              </w:rPr>
            </w:pPr>
            <w:r>
              <w:rPr>
                <w:rFonts w:hint="eastAsia" w:ascii="宋体" w:hAnsi="宋体" w:cs="宋体"/>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-20%给予扣除，用扣除后的价格参加评审；对于联合协议或者分包意向协议约定小微企业的合同份额占到合同总金额30%以上的，采购单位、采购代理机构应结合项目实际，对联合体或者大中型企业的报价按4%—6%给予扣除，用扣除后的价格参加评审。</w:t>
            </w:r>
          </w:p>
          <w:p>
            <w:pPr>
              <w:ind w:firstLine="420" w:firstLineChars="200"/>
              <w:rPr>
                <w:rFonts w:ascii="宋体" w:hAnsi="宋体" w:cs="宋体"/>
              </w:rPr>
            </w:pPr>
            <w:r>
              <w:rPr>
                <w:rFonts w:hint="eastAsia" w:ascii="宋体" w:hAnsi="宋体" w:cs="宋体"/>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19</w:t>
            </w:r>
          </w:p>
        </w:tc>
        <w:tc>
          <w:tcPr>
            <w:tcW w:w="1800" w:type="dxa"/>
            <w:vAlign w:val="center"/>
          </w:tcPr>
          <w:p>
            <w:pPr>
              <w:snapToGrid w:val="0"/>
              <w:jc w:val="center"/>
              <w:rPr>
                <w:rFonts w:ascii="宋体" w:hAnsi="宋体" w:cs="宋体"/>
              </w:rPr>
            </w:pPr>
            <w:r>
              <w:rPr>
                <w:rFonts w:hint="eastAsia" w:ascii="宋体" w:hAnsi="宋体" w:cs="宋体"/>
              </w:rPr>
              <w:t>招标代理服务费</w:t>
            </w:r>
          </w:p>
        </w:tc>
        <w:tc>
          <w:tcPr>
            <w:tcW w:w="6682" w:type="dxa"/>
            <w:vAlign w:val="center"/>
          </w:tcPr>
          <w:p>
            <w:pPr>
              <w:autoSpaceDN w:val="0"/>
              <w:spacing w:line="340" w:lineRule="exact"/>
              <w:rPr>
                <w:rFonts w:ascii="宋体" w:hAnsi="宋体" w:cs="宋体"/>
                <w:snapToGrid w:val="0"/>
                <w:kern w:val="0"/>
              </w:rPr>
            </w:pPr>
            <w:r>
              <w:rPr>
                <w:rFonts w:hint="eastAsia" w:ascii="宋体" w:hAnsi="宋体" w:cs="宋体"/>
                <w:snapToGrid w:val="0"/>
                <w:kern w:val="0"/>
              </w:rPr>
              <w:t>招标代理服务费由成交供应商支付，按下列服务招标计算方式计取。</w:t>
            </w:r>
          </w:p>
          <w:tbl>
            <w:tblPr>
              <w:tblStyle w:val="24"/>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9"/>
              <w:gridCol w:w="1062"/>
              <w:gridCol w:w="1062"/>
              <w:gridCol w:w="10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服务类型 中标金额（万元）</w:t>
                  </w:r>
                </w:p>
              </w:tc>
              <w:tc>
                <w:tcPr>
                  <w:tcW w:w="825" w:type="pct"/>
                  <w:tcBorders>
                    <w:top w:val="outset" w:color="auto" w:sz="6" w:space="0"/>
                    <w:left w:val="outset" w:color="auto" w:sz="6" w:space="0"/>
                    <w:bottom w:val="outset" w:color="auto" w:sz="6" w:space="0"/>
                    <w:right w:val="outset" w:color="auto" w:sz="6" w:space="0"/>
                  </w:tcBorders>
                  <w:noWrap/>
                  <w:vAlign w:val="center"/>
                </w:tcPr>
                <w:p>
                  <w:pPr>
                    <w:widowControl/>
                    <w:spacing w:before="100" w:beforeAutospacing="1" w:after="100" w:afterAutospacing="1"/>
                    <w:jc w:val="center"/>
                    <w:rPr>
                      <w:rFonts w:ascii="宋体" w:hAnsi="宋体" w:cs="宋体"/>
                    </w:rPr>
                  </w:pPr>
                  <w:r>
                    <w:rPr>
                      <w:rFonts w:hint="eastAsia" w:ascii="宋体" w:hAnsi="宋体" w:cs="宋体"/>
                    </w:rPr>
                    <w:t>货物招标</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服务招标</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100以下</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100—500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1.1％</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0.8％</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500—1000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0.8％</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0.45％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1000—5000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0.25％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5000—10000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0.25％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0.1％</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10000——100000</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0.05％</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0.05％</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1000000以上</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0.01％</w:t>
                  </w:r>
                </w:p>
              </w:tc>
              <w:tc>
                <w:tcPr>
                  <w:tcW w:w="825"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0.01％</w:t>
                  </w:r>
                </w:p>
              </w:tc>
              <w:tc>
                <w:tcPr>
                  <w:tcW w:w="800"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rPr>
                  </w:pPr>
                  <w:r>
                    <w:rPr>
                      <w:rFonts w:hint="eastAsia" w:ascii="宋体" w:hAnsi="宋体" w:cs="宋体"/>
                    </w:rPr>
                    <w:t>0.01％</w:t>
                  </w:r>
                </w:p>
              </w:tc>
            </w:tr>
          </w:tbl>
          <w:p>
            <w:pPr>
              <w:spacing w:line="340" w:lineRule="exact"/>
              <w:ind w:firstLine="420" w:firstLineChars="200"/>
              <w:rPr>
                <w:rFonts w:ascii="宋体" w:hAnsi="宋体" w:cs="宋体"/>
                <w:snapToGrid w:val="0"/>
                <w:kern w:val="0"/>
              </w:rPr>
            </w:pPr>
            <w:r>
              <w:rPr>
                <w:rFonts w:hint="eastAsia" w:ascii="宋体" w:hAnsi="宋体" w:cs="宋体"/>
                <w:snapToGrid w:val="0"/>
                <w:kern w:val="0"/>
              </w:rPr>
              <w:t>结算方式及时间为：在领取中标通知书前由成交供应商一次性向采购代理机构付清。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20</w:t>
            </w:r>
          </w:p>
        </w:tc>
        <w:tc>
          <w:tcPr>
            <w:tcW w:w="1800" w:type="dxa"/>
            <w:vAlign w:val="center"/>
          </w:tcPr>
          <w:p>
            <w:pPr>
              <w:snapToGrid w:val="0"/>
              <w:jc w:val="center"/>
              <w:rPr>
                <w:rFonts w:ascii="宋体" w:hAnsi="宋体" w:cs="宋体"/>
              </w:rPr>
            </w:pPr>
            <w:r>
              <w:rPr>
                <w:rFonts w:hint="eastAsia" w:ascii="宋体" w:hAnsi="宋体" w:cs="宋体"/>
              </w:rPr>
              <w:t>是否允许分包</w:t>
            </w:r>
          </w:p>
        </w:tc>
        <w:tc>
          <w:tcPr>
            <w:tcW w:w="6682" w:type="dxa"/>
            <w:vAlign w:val="center"/>
          </w:tcPr>
          <w:p>
            <w:pPr>
              <w:ind w:firstLine="420" w:firstLineChars="200"/>
              <w:rPr>
                <w:rFonts w:ascii="宋体" w:hAnsi="宋体" w:cs="宋体"/>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21</w:t>
            </w:r>
          </w:p>
        </w:tc>
        <w:tc>
          <w:tcPr>
            <w:tcW w:w="1800" w:type="dxa"/>
            <w:tcBorders>
              <w:top w:val="single" w:color="auto" w:sz="4" w:space="0"/>
            </w:tcBorders>
            <w:vAlign w:val="center"/>
          </w:tcPr>
          <w:p>
            <w:pPr>
              <w:snapToGrid w:val="0"/>
              <w:jc w:val="center"/>
              <w:rPr>
                <w:rFonts w:ascii="宋体" w:hAnsi="宋体" w:cs="宋体"/>
              </w:rPr>
            </w:pPr>
            <w:r>
              <w:rPr>
                <w:rFonts w:hint="eastAsia" w:ascii="宋体" w:hAnsi="宋体" w:cs="宋体"/>
              </w:rPr>
              <w:t>是否提供演示</w:t>
            </w:r>
          </w:p>
        </w:tc>
        <w:tc>
          <w:tcPr>
            <w:tcW w:w="6682" w:type="dxa"/>
            <w:tcBorders>
              <w:top w:val="single" w:color="auto" w:sz="4" w:space="0"/>
            </w:tcBorders>
            <w:vAlign w:val="center"/>
          </w:tcPr>
          <w:p>
            <w:pPr>
              <w:ind w:firstLine="420" w:firstLineChars="200"/>
              <w:rPr>
                <w:rFonts w:ascii="宋体" w:hAnsi="宋体" w:cs="宋体"/>
              </w:rPr>
            </w:pPr>
            <w:r>
              <w:rPr>
                <w:rFonts w:hint="eastAsia" w:ascii="宋体" w:hAnsi="宋体" w:cs="宋体"/>
              </w:rPr>
              <w:t>本项目</w:t>
            </w:r>
            <w:r>
              <w:rPr>
                <w:rFonts w:hint="eastAsia" w:ascii="宋体" w:hAnsi="宋体" w:cs="宋体"/>
                <w:u w:val="single"/>
              </w:rPr>
              <w:t>不需要</w:t>
            </w:r>
            <w:r>
              <w:rPr>
                <w:rFonts w:hint="eastAsia" w:ascii="宋体" w:hAnsi="宋体" w:cs="宋体"/>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22</w:t>
            </w:r>
          </w:p>
        </w:tc>
        <w:tc>
          <w:tcPr>
            <w:tcW w:w="1800" w:type="dxa"/>
            <w:vAlign w:val="center"/>
          </w:tcPr>
          <w:p>
            <w:pPr>
              <w:snapToGrid w:val="0"/>
              <w:jc w:val="center"/>
              <w:rPr>
                <w:rFonts w:ascii="宋体" w:hAnsi="宋体" w:cs="宋体"/>
              </w:rPr>
            </w:pPr>
            <w:r>
              <w:rPr>
                <w:rFonts w:hint="eastAsia" w:ascii="宋体" w:hAnsi="宋体" w:cs="宋体"/>
              </w:rPr>
              <w:t>供应商信用信息查询渠道及截止时点、信用信息查询记录和证据留存的具体方式、信用信息的使用规则</w:t>
            </w:r>
          </w:p>
        </w:tc>
        <w:tc>
          <w:tcPr>
            <w:tcW w:w="6682" w:type="dxa"/>
            <w:vAlign w:val="center"/>
          </w:tcPr>
          <w:p>
            <w:pPr>
              <w:ind w:firstLine="420" w:firstLineChars="200"/>
              <w:rPr>
                <w:rFonts w:ascii="宋体" w:hAnsi="宋体" w:cs="宋体"/>
              </w:rPr>
            </w:pPr>
            <w:r>
              <w:rPr>
                <w:rFonts w:hint="eastAsia" w:ascii="宋体" w:hAnsi="宋体" w:cs="宋体"/>
              </w:rPr>
              <w:t>1、查询渠道：信用中国（网址：http://www.creditchina.gov.cn）、中国政府采购网(网址：http://www.ccgp.gov.cn）。</w:t>
            </w:r>
          </w:p>
          <w:p>
            <w:pPr>
              <w:ind w:firstLine="420" w:firstLineChars="200"/>
              <w:rPr>
                <w:rFonts w:ascii="宋体" w:hAnsi="宋体" w:cs="宋体"/>
              </w:rPr>
            </w:pPr>
            <w:r>
              <w:rPr>
                <w:rFonts w:hint="eastAsia" w:ascii="宋体" w:hAnsi="宋体" w:cs="宋体"/>
              </w:rPr>
              <w:t>2、截止时点：开标后评标前。</w:t>
            </w:r>
          </w:p>
          <w:p>
            <w:pPr>
              <w:ind w:firstLine="420" w:firstLineChars="200"/>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pPr>
              <w:ind w:firstLine="420" w:firstLineChars="200"/>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23</w:t>
            </w:r>
          </w:p>
        </w:tc>
        <w:tc>
          <w:tcPr>
            <w:tcW w:w="1800" w:type="dxa"/>
            <w:vAlign w:val="center"/>
          </w:tcPr>
          <w:p>
            <w:pPr>
              <w:snapToGrid w:val="0"/>
              <w:jc w:val="center"/>
              <w:rPr>
                <w:rFonts w:ascii="宋体" w:hAnsi="宋体" w:cs="宋体"/>
              </w:rPr>
            </w:pPr>
            <w:r>
              <w:rPr>
                <w:rFonts w:hint="eastAsia" w:ascii="宋体" w:hAnsi="宋体" w:cs="宋体"/>
              </w:rPr>
              <w:t>金融支持</w:t>
            </w:r>
          </w:p>
        </w:tc>
        <w:tc>
          <w:tcPr>
            <w:tcW w:w="6682" w:type="dxa"/>
            <w:vAlign w:val="center"/>
          </w:tcPr>
          <w:p>
            <w:pPr>
              <w:ind w:firstLine="420" w:firstLineChars="200"/>
              <w:rPr>
                <w:rFonts w:ascii="宋体" w:hAnsi="宋体" w:cs="宋体"/>
              </w:rPr>
            </w:pPr>
            <w:r>
              <w:rPr>
                <w:rFonts w:hint="eastAsia" w:ascii="宋体" w:hAnsi="宋体" w:cs="宋体"/>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宋体" w:hAnsi="宋体" w:cs="宋体"/>
                <w:snapToGrid w:val="0"/>
                <w:kern w:val="0"/>
              </w:rPr>
            </w:pPr>
            <w:r>
              <w:rPr>
                <w:rFonts w:hint="eastAsia" w:ascii="宋体" w:hAnsi="宋体" w:cs="宋体"/>
                <w:snapToGrid w:val="0"/>
                <w:kern w:val="0"/>
              </w:rPr>
              <w:t>24</w:t>
            </w:r>
          </w:p>
        </w:tc>
        <w:tc>
          <w:tcPr>
            <w:tcW w:w="1800" w:type="dxa"/>
            <w:vAlign w:val="center"/>
          </w:tcPr>
          <w:p>
            <w:pPr>
              <w:snapToGrid w:val="0"/>
              <w:jc w:val="center"/>
              <w:rPr>
                <w:rFonts w:ascii="宋体" w:hAnsi="宋体" w:cs="宋体"/>
              </w:rPr>
            </w:pPr>
            <w:r>
              <w:rPr>
                <w:rFonts w:hint="eastAsia" w:ascii="宋体" w:hAnsi="宋体" w:cs="宋体"/>
              </w:rPr>
              <w:t>其他</w:t>
            </w:r>
          </w:p>
        </w:tc>
        <w:tc>
          <w:tcPr>
            <w:tcW w:w="6682" w:type="dxa"/>
            <w:vAlign w:val="center"/>
          </w:tcPr>
          <w:p>
            <w:pPr>
              <w:numPr>
                <w:ilvl w:val="0"/>
                <w:numId w:val="8"/>
              </w:numPr>
              <w:ind w:firstLine="420" w:firstLineChars="200"/>
              <w:rPr>
                <w:rFonts w:ascii="宋体" w:hAnsi="宋体" w:cs="宋体"/>
              </w:rPr>
            </w:pPr>
            <w:r>
              <w:rPr>
                <w:rFonts w:hint="eastAsia" w:ascii="宋体" w:hAnsi="宋体" w:cs="宋体"/>
              </w:rPr>
              <w:t>本磋商文件要求提供的身份证复印件皆需提供正反面，否则按不提供处理。</w:t>
            </w:r>
          </w:p>
          <w:p>
            <w:pPr>
              <w:numPr>
                <w:ilvl w:val="0"/>
                <w:numId w:val="8"/>
              </w:numPr>
              <w:ind w:firstLine="420" w:firstLineChars="200"/>
              <w:rPr>
                <w:rFonts w:ascii="宋体" w:hAnsi="宋体" w:cs="宋体"/>
              </w:rPr>
            </w:pPr>
            <w:r>
              <w:rPr>
                <w:rFonts w:hint="eastAsia" w:ascii="宋体" w:hAnsi="宋体" w:cs="宋体"/>
              </w:rPr>
              <w:t>本项目货物如涉及柴油动力移动源，柴油动力移动源应当符合低排放要求。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pPr>
              <w:snapToGrid w:val="0"/>
              <w:jc w:val="center"/>
              <w:rPr>
                <w:rFonts w:ascii="宋体" w:hAnsi="宋体" w:cs="宋体"/>
                <w:snapToGrid w:val="0"/>
                <w:kern w:val="0"/>
              </w:rPr>
            </w:pPr>
            <w:r>
              <w:rPr>
                <w:rFonts w:hint="eastAsia" w:ascii="宋体" w:hAnsi="宋体" w:cs="宋体"/>
                <w:snapToGrid w:val="0"/>
                <w:kern w:val="0"/>
              </w:rPr>
              <w:t>25</w:t>
            </w:r>
          </w:p>
        </w:tc>
        <w:tc>
          <w:tcPr>
            <w:tcW w:w="1800" w:type="dxa"/>
            <w:vMerge w:val="restart"/>
            <w:vAlign w:val="center"/>
          </w:tcPr>
          <w:p>
            <w:pPr>
              <w:snapToGrid w:val="0"/>
              <w:jc w:val="center"/>
              <w:rPr>
                <w:rFonts w:ascii="宋体" w:hAnsi="宋体" w:cs="宋体"/>
              </w:rPr>
            </w:pPr>
            <w:r>
              <w:rPr>
                <w:rFonts w:hint="eastAsia" w:ascii="宋体" w:hAnsi="宋体" w:cs="宋体"/>
              </w:rPr>
              <w:t>预付款</w:t>
            </w:r>
          </w:p>
        </w:tc>
        <w:tc>
          <w:tcPr>
            <w:tcW w:w="6682" w:type="dxa"/>
            <w:tcBorders>
              <w:bottom w:val="double" w:color="auto" w:sz="4" w:space="0"/>
            </w:tcBorders>
            <w:vAlign w:val="center"/>
          </w:tcPr>
          <w:p>
            <w:pPr>
              <w:ind w:firstLine="420" w:firstLineChars="200"/>
              <w:rPr>
                <w:rFonts w:ascii="宋体" w:hAnsi="宋体" w:cs="宋体"/>
              </w:rPr>
            </w:pPr>
            <w:r>
              <w:rPr>
                <w:rFonts w:hint="eastAsia" w:ascii="宋体" w:hAnsi="宋体" w:cs="宋体"/>
              </w:rPr>
              <w:t>本项目</w:t>
            </w:r>
            <w:r>
              <w:rPr>
                <w:rFonts w:hint="eastAsia" w:ascii="宋体" w:hAnsi="宋体" w:cs="宋体"/>
              </w:rPr>
              <w:sym w:font="Wingdings 2" w:char="0052"/>
            </w:r>
            <w:r>
              <w:rPr>
                <w:rFonts w:hint="eastAsia" w:ascii="宋体" w:hAnsi="宋体" w:cs="宋体"/>
              </w:rPr>
              <w:t>是</w:t>
            </w:r>
            <w:r>
              <w:rPr>
                <w:rFonts w:hint="eastAsia" w:ascii="宋体" w:hAnsi="宋体" w:cs="宋体"/>
              </w:rPr>
              <w:sym w:font="Wingdings 2" w:char="00A3"/>
            </w:r>
            <w:r>
              <w:rPr>
                <w:rFonts w:hint="eastAsia" w:ascii="宋体" w:hAnsi="宋体" w:cs="宋体"/>
              </w:rPr>
              <w:t>否  涉及预付款，预付款比例为40%；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tcPr>
          <w:p>
            <w:pPr>
              <w:snapToGrid w:val="0"/>
              <w:jc w:val="center"/>
              <w:rPr>
                <w:rFonts w:ascii="宋体" w:hAnsi="宋体" w:cs="宋体"/>
                <w:snapToGrid w:val="0"/>
                <w:kern w:val="0"/>
              </w:rPr>
            </w:pPr>
          </w:p>
        </w:tc>
        <w:tc>
          <w:tcPr>
            <w:tcW w:w="1800" w:type="dxa"/>
            <w:vMerge w:val="continue"/>
          </w:tcPr>
          <w:p>
            <w:pPr>
              <w:snapToGrid w:val="0"/>
              <w:jc w:val="center"/>
              <w:rPr>
                <w:rFonts w:ascii="宋体" w:hAnsi="宋体" w:cs="宋体"/>
              </w:rPr>
            </w:pPr>
          </w:p>
        </w:tc>
        <w:tc>
          <w:tcPr>
            <w:tcW w:w="6682" w:type="dxa"/>
            <w:vAlign w:val="center"/>
          </w:tcPr>
          <w:p>
            <w:pPr>
              <w:ind w:firstLine="420" w:firstLineChars="200"/>
              <w:rPr>
                <w:rFonts w:ascii="宋体" w:hAnsi="宋体" w:cs="宋体"/>
              </w:rPr>
            </w:pPr>
            <w:r>
              <w:rPr>
                <w:rFonts w:hint="eastAsia" w:ascii="宋体" w:hAnsi="宋体" w:cs="宋体"/>
              </w:rPr>
              <w:t>根据《浙江省财政厅关于进一步发挥政府采购政策功能全力推动经济稳进提质的通知》[浙财采监〔2022）3号]文件第二条第五点关于“进一步提高政府采购预付款比例”的规定：</w:t>
            </w:r>
          </w:p>
          <w:p>
            <w:pPr>
              <w:ind w:firstLine="420" w:firstLineChars="200"/>
              <w:rPr>
                <w:rFonts w:ascii="宋体" w:hAnsi="宋体" w:cs="宋体"/>
              </w:rPr>
            </w:pPr>
            <w:r>
              <w:rPr>
                <w:rFonts w:hint="eastAsia" w:ascii="宋体" w:hAnsi="宋体" w:cs="宋体"/>
              </w:rPr>
              <w:t>1、采购单位应当在政府采购合同中约定预付款；</w:t>
            </w:r>
          </w:p>
          <w:p>
            <w:pPr>
              <w:ind w:firstLine="420" w:firstLineChars="200"/>
              <w:rPr>
                <w:rFonts w:ascii="宋体" w:hAnsi="宋体" w:cs="宋体"/>
              </w:rPr>
            </w:pPr>
            <w:r>
              <w:rPr>
                <w:rFonts w:hint="eastAsia" w:ascii="宋体" w:hAnsi="宋体" w:cs="宋体"/>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20" w:firstLineChars="200"/>
              <w:rPr>
                <w:rFonts w:ascii="宋体" w:hAnsi="宋体" w:cs="宋体"/>
              </w:rPr>
            </w:pPr>
            <w:r>
              <w:rPr>
                <w:rFonts w:hint="eastAsia" w:ascii="宋体" w:hAnsi="宋体" w:cs="宋体"/>
              </w:rPr>
              <w:t>3、本项目涉及投标人为大型企业，或者以人工投入为主且实行按月定期结算支付款项的，预付款可低于上述比例或者不约定预付款（相应字样应在合同中体现）。</w:t>
            </w:r>
          </w:p>
          <w:p>
            <w:pPr>
              <w:ind w:firstLine="420" w:firstLineChars="200"/>
              <w:rPr>
                <w:rFonts w:ascii="宋体" w:hAnsi="宋体" w:cs="宋体"/>
                <w:b/>
                <w:bCs/>
              </w:rPr>
            </w:pPr>
            <w:r>
              <w:rPr>
                <w:rFonts w:hint="eastAsia" w:ascii="宋体" w:hAnsi="宋体" w:cs="宋体"/>
              </w:rPr>
              <w:t>4、在签订合同时，中标人明确表示无需预付款或者主动要求降低预付款比例的，应提交相应申请函经采购人确认后，可不适用前述规定。</w:t>
            </w:r>
          </w:p>
        </w:tc>
      </w:tr>
    </w:tbl>
    <w:p>
      <w:pPr>
        <w:pStyle w:val="6"/>
        <w:spacing w:line="360" w:lineRule="auto"/>
        <w:rPr>
          <w:rFonts w:ascii="宋体" w:hAnsi="宋体" w:cs="宋体"/>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 w:val="24"/>
          <w:szCs w:val="24"/>
        </w:rPr>
        <w:t>注：以上内容如有变化将另行通知。如通知其中某一内容发生变化，其余未提及的将不作变动。</w:t>
      </w:r>
    </w:p>
    <w:p>
      <w:pPr>
        <w:pStyle w:val="2"/>
        <w:numPr>
          <w:ilvl w:val="0"/>
          <w:numId w:val="9"/>
        </w:numPr>
        <w:spacing w:line="336" w:lineRule="auto"/>
        <w:jc w:val="center"/>
        <w:rPr>
          <w:rFonts w:hAnsi="宋体"/>
        </w:rPr>
      </w:pPr>
      <w:bookmarkStart w:id="10" w:name="_Toc18864"/>
      <w:bookmarkStart w:id="11" w:name="_Toc25187"/>
      <w:r>
        <w:rPr>
          <w:rFonts w:hint="eastAsia" w:hAnsi="宋体"/>
        </w:rPr>
        <w:t>总则</w:t>
      </w:r>
      <w:bookmarkEnd w:id="10"/>
      <w:bookmarkEnd w:id="11"/>
    </w:p>
    <w:p>
      <w:pPr>
        <w:spacing w:line="336" w:lineRule="auto"/>
        <w:ind w:firstLine="480" w:firstLineChars="200"/>
        <w:rPr>
          <w:rFonts w:ascii="宋体" w:hAnsi="宋体" w:cs="宋体"/>
        </w:rPr>
      </w:pPr>
      <w:r>
        <w:rPr>
          <w:rFonts w:hint="eastAsia" w:ascii="宋体" w:hAnsi="宋体" w:cs="宋体"/>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1、适用范围</w:t>
      </w:r>
    </w:p>
    <w:p>
      <w:pPr>
        <w:spacing w:line="336" w:lineRule="auto"/>
        <w:ind w:firstLine="480" w:firstLineChars="200"/>
        <w:rPr>
          <w:rFonts w:ascii="宋体" w:hAnsi="宋体" w:cs="宋体"/>
          <w:sz w:val="24"/>
          <w:szCs w:val="24"/>
        </w:rPr>
      </w:pPr>
      <w:r>
        <w:rPr>
          <w:rFonts w:hint="eastAsia" w:ascii="宋体" w:hAnsi="宋体" w:cs="宋体"/>
          <w:sz w:val="24"/>
          <w:szCs w:val="24"/>
        </w:rPr>
        <w:t>1.1本次磋商工作仅适用于</w:t>
      </w:r>
      <w:r>
        <w:rPr>
          <w:rFonts w:hint="eastAsia" w:ascii="宋体" w:hAnsi="宋体" w:cs="宋体"/>
          <w:sz w:val="24"/>
          <w:szCs w:val="24"/>
          <w:u w:val="single"/>
        </w:rPr>
        <w:t>上虞区大气污染防治攻坚整改提升服务项目</w:t>
      </w:r>
      <w:r>
        <w:rPr>
          <w:rFonts w:hint="eastAsia" w:ascii="宋体" w:hAnsi="宋体" w:cs="宋体"/>
          <w:sz w:val="24"/>
          <w:szCs w:val="24"/>
        </w:rPr>
        <w:t>。</w:t>
      </w:r>
    </w:p>
    <w:p>
      <w:pPr>
        <w:pStyle w:val="22"/>
        <w:spacing w:line="336" w:lineRule="auto"/>
        <w:ind w:firstLine="480" w:firstLineChars="200"/>
        <w:rPr>
          <w:rFonts w:ascii="宋体" w:hAnsi="宋体" w:cs="宋体"/>
        </w:rPr>
      </w:pPr>
      <w:r>
        <w:rPr>
          <w:rFonts w:hint="eastAsia" w:ascii="宋体" w:hAnsi="宋体" w:cs="宋体"/>
          <w:sz w:val="24"/>
          <w:szCs w:val="24"/>
        </w:rPr>
        <w:t>1.2本项目采购方式采用竞争性磋商方式。</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2、定义</w:t>
      </w:r>
    </w:p>
    <w:p>
      <w:pPr>
        <w:spacing w:line="336" w:lineRule="auto"/>
        <w:ind w:firstLine="480" w:firstLineChars="200"/>
        <w:rPr>
          <w:rFonts w:ascii="宋体" w:hAnsi="宋体" w:cs="宋体"/>
          <w:sz w:val="24"/>
          <w:szCs w:val="24"/>
          <w:u w:val="single"/>
        </w:rPr>
      </w:pPr>
      <w:r>
        <w:rPr>
          <w:rFonts w:hint="eastAsia" w:ascii="宋体" w:hAnsi="宋体" w:cs="宋体"/>
          <w:sz w:val="24"/>
          <w:szCs w:val="24"/>
        </w:rPr>
        <w:t>2.1“</w:t>
      </w:r>
      <w:r>
        <w:rPr>
          <w:rFonts w:hint="eastAsia" w:ascii="宋体" w:hAnsi="宋体" w:cs="宋体"/>
          <w:sz w:val="24"/>
          <w:szCs w:val="24"/>
          <w:lang w:val="zh-CN"/>
        </w:rPr>
        <w:t>采购人”系指</w:t>
      </w:r>
      <w:r>
        <w:rPr>
          <w:rFonts w:hint="eastAsia" w:ascii="宋体" w:hAnsi="宋体" w:cs="宋体"/>
          <w:sz w:val="24"/>
          <w:szCs w:val="24"/>
          <w:u w:val="single"/>
        </w:rPr>
        <w:t>绍兴市生态环境局上虞分局</w:t>
      </w:r>
      <w:r>
        <w:rPr>
          <w:rFonts w:hint="eastAsia" w:ascii="宋体" w:hAnsi="宋体" w:cs="宋体"/>
          <w:sz w:val="24"/>
          <w:szCs w:val="24"/>
        </w:rPr>
        <w:t>。采购人委托</w:t>
      </w:r>
      <w:r>
        <w:rPr>
          <w:rFonts w:hint="eastAsia" w:ascii="宋体" w:hAnsi="宋体" w:cs="宋体"/>
          <w:sz w:val="24"/>
          <w:szCs w:val="24"/>
          <w:u w:val="single"/>
        </w:rPr>
        <w:t>浙江宇康工程管理咨询有限公司</w:t>
      </w:r>
      <w:r>
        <w:rPr>
          <w:rFonts w:hint="eastAsia" w:ascii="宋体" w:hAnsi="宋体" w:cs="宋体"/>
          <w:sz w:val="24"/>
          <w:szCs w:val="24"/>
        </w:rPr>
        <w:t>为本项目采购代理机构。</w:t>
      </w:r>
    </w:p>
    <w:p>
      <w:pPr>
        <w:spacing w:line="336" w:lineRule="auto"/>
        <w:ind w:firstLine="480" w:firstLineChars="200"/>
        <w:rPr>
          <w:rFonts w:ascii="宋体" w:hAnsi="宋体" w:cs="宋体"/>
          <w:sz w:val="24"/>
          <w:szCs w:val="24"/>
        </w:rPr>
      </w:pPr>
      <w:r>
        <w:rPr>
          <w:rFonts w:hint="eastAsia" w:ascii="宋体" w:hAnsi="宋体" w:cs="宋体"/>
          <w:sz w:val="24"/>
          <w:szCs w:val="24"/>
        </w:rPr>
        <w:t>2.2“磋商供应商”系指响应本次采购，参加本次竞争性磋商的供应商。</w:t>
      </w:r>
    </w:p>
    <w:p>
      <w:pPr>
        <w:spacing w:line="336" w:lineRule="auto"/>
        <w:ind w:firstLine="480" w:firstLineChars="200"/>
        <w:rPr>
          <w:rFonts w:ascii="宋体" w:hAnsi="宋体" w:cs="宋体"/>
          <w:sz w:val="24"/>
          <w:szCs w:val="24"/>
          <w:lang w:val="zh-CN"/>
        </w:rPr>
      </w:pPr>
      <w:r>
        <w:rPr>
          <w:rFonts w:hint="eastAsia" w:ascii="宋体" w:hAnsi="宋体" w:cs="宋体"/>
          <w:sz w:val="24"/>
          <w:szCs w:val="24"/>
        </w:rPr>
        <w:t>2.3</w:t>
      </w:r>
      <w:r>
        <w:rPr>
          <w:rFonts w:hint="eastAsia" w:ascii="宋体" w:hAnsi="宋体" w:cs="宋体"/>
          <w:sz w:val="24"/>
          <w:szCs w:val="24"/>
          <w:lang w:val="zh-CN"/>
        </w:rPr>
        <w:t>“服务”系指</w:t>
      </w:r>
      <w:r>
        <w:rPr>
          <w:rFonts w:hint="eastAsia" w:ascii="宋体" w:hAnsi="宋体" w:cs="宋体"/>
          <w:sz w:val="24"/>
          <w:szCs w:val="24"/>
        </w:rPr>
        <w:t>磋商供应商按合同规定，须承担的服务的义务</w:t>
      </w:r>
      <w:r>
        <w:rPr>
          <w:rFonts w:hint="eastAsia" w:ascii="宋体" w:hAnsi="宋体" w:cs="宋体"/>
          <w:sz w:val="24"/>
          <w:szCs w:val="24"/>
          <w:lang w:val="zh-CN"/>
        </w:rPr>
        <w:t>。</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3、采购项目概况</w:t>
      </w:r>
      <w:r>
        <w:rPr>
          <w:rFonts w:hint="eastAsia" w:ascii="宋体" w:hAnsi="宋体" w:cs="宋体"/>
          <w:b/>
          <w:bCs/>
          <w:sz w:val="24"/>
          <w:szCs w:val="24"/>
        </w:rPr>
        <w:tab/>
      </w:r>
      <w:r>
        <w:rPr>
          <w:rFonts w:hint="eastAsia" w:ascii="宋体" w:hAnsi="宋体" w:cs="宋体"/>
          <w:b/>
          <w:bCs/>
          <w:sz w:val="24"/>
          <w:szCs w:val="24"/>
        </w:rPr>
        <w:tab/>
      </w:r>
    </w:p>
    <w:p>
      <w:pPr>
        <w:spacing w:line="336" w:lineRule="auto"/>
        <w:ind w:firstLine="480" w:firstLineChars="200"/>
        <w:rPr>
          <w:rFonts w:ascii="宋体" w:hAnsi="宋体" w:cs="宋体"/>
          <w:sz w:val="24"/>
          <w:szCs w:val="24"/>
        </w:rPr>
      </w:pPr>
      <w:r>
        <w:rPr>
          <w:rFonts w:hint="eastAsia" w:ascii="宋体" w:hAnsi="宋体" w:cs="宋体"/>
          <w:sz w:val="24"/>
          <w:szCs w:val="24"/>
        </w:rPr>
        <w:t>详见竞争性磋商公告相关内容，主要要求参见本文件第</w:t>
      </w:r>
      <w:r>
        <w:rPr>
          <w:rFonts w:hint="eastAsia" w:ascii="宋体" w:hAnsi="宋体" w:cs="宋体"/>
          <w:sz w:val="24"/>
          <w:szCs w:val="24"/>
          <w:u w:val="single"/>
        </w:rPr>
        <w:t>三</w:t>
      </w:r>
      <w:r>
        <w:rPr>
          <w:rFonts w:hint="eastAsia" w:ascii="宋体" w:hAnsi="宋体" w:cs="宋体"/>
          <w:sz w:val="24"/>
          <w:szCs w:val="24"/>
        </w:rPr>
        <w:t>部分。</w:t>
      </w:r>
    </w:p>
    <w:p>
      <w:pPr>
        <w:adjustRightInd w:val="0"/>
        <w:spacing w:line="336" w:lineRule="auto"/>
        <w:ind w:firstLine="482" w:firstLineChars="200"/>
        <w:rPr>
          <w:rFonts w:ascii="宋体" w:hAnsi="宋体" w:cs="宋体"/>
          <w:b/>
          <w:bCs/>
          <w:sz w:val="24"/>
          <w:szCs w:val="24"/>
        </w:rPr>
      </w:pPr>
      <w:r>
        <w:rPr>
          <w:rFonts w:hint="eastAsia" w:ascii="宋体" w:hAnsi="宋体" w:cs="宋体"/>
          <w:b/>
          <w:bCs/>
          <w:sz w:val="24"/>
          <w:szCs w:val="24"/>
        </w:rPr>
        <w:t>4、合格的磋商供应商</w:t>
      </w:r>
    </w:p>
    <w:p>
      <w:pPr>
        <w:spacing w:line="336" w:lineRule="auto"/>
        <w:ind w:firstLine="480" w:firstLineChars="200"/>
        <w:rPr>
          <w:rFonts w:ascii="宋体" w:hAnsi="宋体" w:cs="宋体"/>
          <w:sz w:val="24"/>
          <w:szCs w:val="24"/>
        </w:rPr>
      </w:pPr>
      <w:bookmarkStart w:id="12" w:name="_Toc197163261"/>
      <w:bookmarkStart w:id="13" w:name="_Toc197156227"/>
      <w:bookmarkStart w:id="14" w:name="_Toc204683265"/>
      <w:bookmarkStart w:id="15" w:name="_Toc197657950"/>
      <w:bookmarkStart w:id="16" w:name="_Toc193523219"/>
      <w:bookmarkStart w:id="17" w:name="_Toc208913145"/>
      <w:bookmarkStart w:id="18" w:name="_Toc209520993"/>
      <w:bookmarkStart w:id="19" w:name="_Toc208287611"/>
      <w:bookmarkStart w:id="20" w:name="_Toc207946571"/>
      <w:bookmarkStart w:id="21" w:name="_Toc197053926"/>
      <w:bookmarkStart w:id="22" w:name="_Toc211412066"/>
      <w:bookmarkStart w:id="23" w:name="_Toc193538208"/>
      <w:bookmarkStart w:id="24" w:name="_Toc209504018"/>
      <w:bookmarkStart w:id="25" w:name="_Toc209435242"/>
      <w:r>
        <w:rPr>
          <w:rFonts w:hint="eastAsia" w:ascii="宋体" w:hAnsi="宋体" w:cs="宋体"/>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pacing w:line="336" w:lineRule="auto"/>
        <w:ind w:firstLine="482" w:firstLineChars="200"/>
        <w:rPr>
          <w:rFonts w:ascii="宋体" w:hAnsi="宋体" w:cs="宋体"/>
          <w:b/>
          <w:bCs/>
          <w:sz w:val="24"/>
          <w:szCs w:val="24"/>
        </w:rPr>
      </w:pPr>
      <w:r>
        <w:rPr>
          <w:rFonts w:hint="eastAsia" w:ascii="宋体" w:hAnsi="宋体" w:cs="宋体"/>
          <w:b/>
          <w:bCs/>
          <w:sz w:val="24"/>
          <w:szCs w:val="24"/>
        </w:rPr>
        <w:t>5、磋商费用</w:t>
      </w:r>
    </w:p>
    <w:p>
      <w:pPr>
        <w:spacing w:line="336" w:lineRule="auto"/>
        <w:ind w:firstLine="480" w:firstLineChars="200"/>
        <w:rPr>
          <w:rFonts w:ascii="宋体" w:hAnsi="宋体" w:cs="宋体"/>
          <w:sz w:val="24"/>
          <w:szCs w:val="24"/>
        </w:rPr>
      </w:pPr>
      <w:r>
        <w:rPr>
          <w:rFonts w:hint="eastAsia" w:ascii="宋体" w:hAnsi="宋体" w:cs="宋体"/>
          <w:sz w:val="24"/>
          <w:szCs w:val="24"/>
        </w:rPr>
        <w:t>磋商供应商应承担其参加磋商所涉及的一切费用，不管结果如何，采购人对上述费用不负任何责任。</w:t>
      </w:r>
    </w:p>
    <w:p>
      <w:pPr>
        <w:pStyle w:val="2"/>
        <w:numPr>
          <w:ilvl w:val="0"/>
          <w:numId w:val="9"/>
        </w:numPr>
        <w:spacing w:line="336" w:lineRule="auto"/>
        <w:jc w:val="center"/>
        <w:rPr>
          <w:rFonts w:hAnsi="宋体"/>
        </w:rPr>
      </w:pPr>
      <w:bookmarkStart w:id="26" w:name="_Toc416992151"/>
      <w:bookmarkStart w:id="27" w:name="_Toc21952"/>
      <w:bookmarkStart w:id="28" w:name="_Toc32689"/>
      <w:bookmarkStart w:id="29" w:name="_Toc25923"/>
      <w:bookmarkStart w:id="30" w:name="_Toc11814"/>
      <w:r>
        <w:rPr>
          <w:rFonts w:hint="eastAsia" w:hAnsi="宋体"/>
        </w:rPr>
        <w:t>竞争性磋商文件</w:t>
      </w:r>
      <w:bookmarkEnd w:id="26"/>
      <w:bookmarkEnd w:id="27"/>
      <w:bookmarkEnd w:id="28"/>
      <w:bookmarkEnd w:id="29"/>
      <w:bookmarkEnd w:id="30"/>
    </w:p>
    <w:p>
      <w:pPr>
        <w:adjustRightInd w:val="0"/>
        <w:spacing w:line="336" w:lineRule="auto"/>
        <w:ind w:firstLine="482" w:firstLineChars="200"/>
        <w:rPr>
          <w:rFonts w:ascii="宋体" w:hAnsi="宋体" w:cs="宋体"/>
          <w:b/>
          <w:bCs/>
          <w:sz w:val="24"/>
          <w:szCs w:val="24"/>
        </w:rPr>
      </w:pPr>
      <w:r>
        <w:rPr>
          <w:rFonts w:hint="eastAsia" w:ascii="宋体" w:hAnsi="宋体" w:cs="宋体"/>
          <w:b/>
          <w:bCs/>
          <w:sz w:val="24"/>
          <w:szCs w:val="24"/>
        </w:rPr>
        <w:t>6、磋商文件的组成</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6.1本磋商文件包括目录所示内容及所有按本须知发出的补充资料（如果有）。</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6.2除上述所列内容外，采购人及采购代理机构的任何工作人员对磋商供应商所作的任何口头解释、介绍、答复，只能供磋商供应商参考，对采购人和磋商供应商无任何约束力。</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6.3磋商供应商应仔细阅读磋商文件的所有内容，按照文件要求提交响应文件，并保证所提交的全部资料的真实性。不按磋商文件的要求提供的响应文件和资料，可能导致磋商被拒绝。</w:t>
      </w:r>
    </w:p>
    <w:p>
      <w:pPr>
        <w:spacing w:line="336" w:lineRule="auto"/>
        <w:ind w:firstLine="480" w:firstLineChars="200"/>
        <w:rPr>
          <w:rFonts w:ascii="宋体" w:hAnsi="宋体" w:cs="宋体"/>
          <w:sz w:val="24"/>
          <w:szCs w:val="24"/>
        </w:rPr>
      </w:pPr>
      <w:r>
        <w:rPr>
          <w:rFonts w:hint="eastAsia" w:ascii="宋体" w:hAnsi="宋体" w:cs="宋体"/>
          <w:sz w:val="24"/>
          <w:szCs w:val="24"/>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36" w:lineRule="auto"/>
        <w:ind w:firstLine="472" w:firstLineChars="196"/>
        <w:rPr>
          <w:rFonts w:ascii="宋体" w:hAnsi="宋体" w:cs="宋体"/>
          <w:b/>
          <w:bCs/>
          <w:sz w:val="24"/>
          <w:szCs w:val="24"/>
        </w:rPr>
      </w:pPr>
      <w:r>
        <w:rPr>
          <w:rFonts w:hint="eastAsia" w:ascii="宋体" w:hAnsi="宋体" w:cs="宋体"/>
          <w:b/>
          <w:bCs/>
          <w:sz w:val="24"/>
          <w:szCs w:val="24"/>
        </w:rPr>
        <w:t>7、磋商文件的澄清与修改</w:t>
      </w:r>
    </w:p>
    <w:p>
      <w:pPr>
        <w:pStyle w:val="9"/>
        <w:spacing w:line="336" w:lineRule="auto"/>
        <w:ind w:firstLine="480" w:firstLineChars="200"/>
      </w:pPr>
      <w:r>
        <w:rPr>
          <w:rFonts w:hint="eastAsi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pStyle w:val="9"/>
        <w:spacing w:line="336" w:lineRule="auto"/>
        <w:ind w:right="-252" w:rightChars="-120" w:firstLine="480" w:firstLineChars="200"/>
      </w:pPr>
      <w:r>
        <w:rPr>
          <w:rFonts w:hint="eastAsia"/>
        </w:rPr>
        <w:t>7.2磋商供应商要求解释或澄清的问题应以书面形式，并加盖公章、写明日期。</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7.3提交响应文件截止之日前，采购人、采购代理机构或者磋商小组可以对已发出的磋商文件进行必要的澄清或者修改，澄清或者修改的内容作为磋商文件的组成部分。</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7.4竞争性磋商文件的澄清修改文件及更正补充公告，请自行登录浙江政府采购网或绍兴市上虞区公共资源交易中心网站，在采购公告页面中下载。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7.6竞争性磋商文件澄清、答复、修改、补充的内容为竞争性磋商文件的组成部分。</w:t>
      </w:r>
    </w:p>
    <w:p>
      <w:pPr>
        <w:pStyle w:val="6"/>
        <w:spacing w:line="336" w:lineRule="auto"/>
        <w:rPr>
          <w:rFonts w:ascii="宋体" w:hAnsi="宋体" w:cs="宋体"/>
          <w:sz w:val="24"/>
          <w:szCs w:val="24"/>
        </w:rPr>
      </w:pPr>
      <w:r>
        <w:rPr>
          <w:rFonts w:hint="eastAsia" w:ascii="宋体" w:hAnsi="宋体" w:cs="宋体"/>
          <w:sz w:val="24"/>
          <w:szCs w:val="24"/>
        </w:rPr>
        <w:t>7.7磋商文件发售截止日后，经采购人同意后购买磋商文件的磋商供应商不得对磋商文件和补充文件提出答疑或质疑。</w:t>
      </w:r>
    </w:p>
    <w:p>
      <w:pPr>
        <w:pStyle w:val="2"/>
        <w:numPr>
          <w:ilvl w:val="0"/>
          <w:numId w:val="9"/>
        </w:numPr>
        <w:spacing w:line="336" w:lineRule="auto"/>
        <w:jc w:val="center"/>
        <w:rPr>
          <w:rFonts w:hAnsi="宋体"/>
        </w:rPr>
      </w:pPr>
      <w:bookmarkStart w:id="31" w:name="_Toc1729"/>
      <w:bookmarkStart w:id="32" w:name="_Toc23135"/>
      <w:bookmarkStart w:id="33" w:name="_Toc6079"/>
      <w:bookmarkStart w:id="34" w:name="_Toc26027"/>
      <w:bookmarkStart w:id="35" w:name="_Toc1202"/>
      <w:bookmarkStart w:id="36" w:name="_Toc26603"/>
      <w:bookmarkStart w:id="37" w:name="_Toc11093"/>
      <w:bookmarkStart w:id="38" w:name="_Toc10810"/>
      <w:bookmarkStart w:id="39" w:name="_Toc10669"/>
      <w:bookmarkStart w:id="40" w:name="_Toc1828"/>
      <w:bookmarkStart w:id="41" w:name="_Toc6273"/>
      <w:bookmarkStart w:id="42" w:name="_Toc31016"/>
      <w:bookmarkStart w:id="43" w:name="_Toc7126"/>
      <w:bookmarkStart w:id="44" w:name="_Toc31748"/>
      <w:bookmarkStart w:id="45" w:name="_Toc11669"/>
      <w:bookmarkStart w:id="46" w:name="_Toc18702"/>
      <w:bookmarkStart w:id="47" w:name="_Toc14650"/>
      <w:bookmarkStart w:id="48" w:name="_Toc24622"/>
      <w:bookmarkStart w:id="49" w:name="_Toc6457"/>
      <w:bookmarkStart w:id="50" w:name="_Toc11692"/>
      <w:bookmarkStart w:id="51" w:name="_Toc23975"/>
      <w:bookmarkStart w:id="52" w:name="_Toc11515"/>
      <w:bookmarkStart w:id="53" w:name="_Toc391298957"/>
      <w:bookmarkStart w:id="54" w:name="_Toc8860"/>
      <w:r>
        <w:rPr>
          <w:rFonts w:hint="eastAsia" w:hAnsi="宋体"/>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36" w:lineRule="auto"/>
        <w:ind w:firstLine="480" w:firstLineChars="200"/>
        <w:rPr>
          <w:rFonts w:ascii="宋体" w:hAnsi="宋体" w:cs="宋体"/>
          <w:sz w:val="24"/>
          <w:szCs w:val="24"/>
        </w:rPr>
      </w:pPr>
      <w:r>
        <w:rPr>
          <w:rFonts w:hint="eastAsia" w:ascii="宋体" w:hAnsi="宋体" w:cs="宋体"/>
          <w:sz w:val="24"/>
          <w:szCs w:val="24"/>
        </w:rPr>
        <w:t>8、要求</w:t>
      </w:r>
    </w:p>
    <w:p>
      <w:pPr>
        <w:spacing w:line="336" w:lineRule="auto"/>
        <w:ind w:firstLine="480" w:firstLineChars="200"/>
        <w:rPr>
          <w:rFonts w:ascii="宋体" w:hAnsi="宋体" w:cs="宋体"/>
          <w:sz w:val="24"/>
          <w:szCs w:val="24"/>
        </w:rPr>
      </w:pPr>
      <w:r>
        <w:rPr>
          <w:rFonts w:hint="eastAsia" w:ascii="宋体" w:hAnsi="宋体" w:cs="宋体"/>
          <w:sz w:val="24"/>
          <w:szCs w:val="24"/>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336" w:lineRule="auto"/>
        <w:ind w:firstLine="480" w:firstLineChars="200"/>
        <w:rPr>
          <w:rFonts w:ascii="宋体" w:hAnsi="宋体" w:cs="宋体"/>
          <w:sz w:val="24"/>
          <w:szCs w:val="24"/>
        </w:rPr>
      </w:pPr>
      <w:r>
        <w:rPr>
          <w:rFonts w:hint="eastAsia" w:ascii="宋体" w:hAnsi="宋体" w:cs="宋体"/>
          <w:sz w:val="24"/>
          <w:szCs w:val="24"/>
        </w:rPr>
        <w:t>8.2报价</w:t>
      </w:r>
    </w:p>
    <w:p>
      <w:pPr>
        <w:spacing w:line="336" w:lineRule="auto"/>
        <w:ind w:firstLine="480" w:firstLineChars="200"/>
        <w:rPr>
          <w:rFonts w:ascii="宋体" w:hAnsi="宋体" w:cs="宋体"/>
          <w:b/>
          <w:bCs/>
          <w:sz w:val="24"/>
          <w:szCs w:val="24"/>
          <w:shd w:val="clear" w:color="FFFFFF" w:fill="D9D9D9"/>
        </w:rPr>
      </w:pPr>
      <w:r>
        <w:rPr>
          <w:rFonts w:hint="eastAsia" w:ascii="宋体" w:hAnsi="宋体" w:cs="宋体"/>
          <w:sz w:val="24"/>
          <w:szCs w:val="24"/>
        </w:rPr>
        <w:t>8.2.1本次报价非一次性报价，报价币种为人民币。在磋商后根据磋商情况（包括细化采购方案和要求，增补部分采购内容等），供应商须二次报价（最终报价），</w:t>
      </w:r>
      <w:r>
        <w:rPr>
          <w:rFonts w:hint="eastAsia" w:ascii="宋体" w:hAnsi="宋体" w:cs="宋体"/>
          <w:b/>
          <w:bCs/>
          <w:sz w:val="24"/>
          <w:szCs w:val="24"/>
        </w:rPr>
        <w:t>如果供应商在规定时间30分钟内未提交第二次报价，视该供应商放弃本次投标，作无效标处理</w:t>
      </w:r>
      <w:r>
        <w:rPr>
          <w:rFonts w:hint="eastAsia" w:ascii="宋体" w:hAnsi="宋体" w:cs="宋体"/>
          <w:sz w:val="24"/>
          <w:szCs w:val="24"/>
        </w:rPr>
        <w:t>。</w:t>
      </w:r>
    </w:p>
    <w:p>
      <w:pPr>
        <w:pStyle w:val="51"/>
        <w:tabs>
          <w:tab w:val="left" w:pos="0"/>
        </w:tabs>
        <w:spacing w:line="336" w:lineRule="auto"/>
        <w:ind w:firstLine="480"/>
        <w:rPr>
          <w:rFonts w:ascii="宋体" w:hAnsi="宋体" w:cs="宋体"/>
          <w:u w:val="single"/>
        </w:rPr>
      </w:pPr>
      <w:r>
        <w:rPr>
          <w:rFonts w:hint="eastAsia" w:ascii="宋体" w:hAnsi="宋体" w:cs="宋体"/>
          <w:u w:val="single"/>
        </w:rPr>
        <w:t>8.2.2投标报价应包含项目所需全部服务，不得缺漏，是履行合同的最终价格（服务费、交通费、检测费、报告费、专家评审费、人工费、税金、招标代理费以及成交供应商认为有必要计入的其它费用等一切费用）。</w:t>
      </w:r>
      <w:r>
        <w:rPr>
          <w:rFonts w:hint="eastAsia" w:ascii="宋体" w:hAnsi="宋体" w:cs="宋体"/>
        </w:rPr>
        <w:t>投标报价为供应商所能承受的最低、最终报价，供应商不得再要求追加任何费用。</w:t>
      </w:r>
    </w:p>
    <w:p>
      <w:pPr>
        <w:spacing w:line="336" w:lineRule="auto"/>
        <w:ind w:firstLine="480" w:firstLineChars="200"/>
        <w:rPr>
          <w:rFonts w:ascii="宋体" w:hAnsi="宋体" w:cs="宋体"/>
          <w:sz w:val="24"/>
          <w:szCs w:val="24"/>
        </w:rPr>
      </w:pPr>
      <w:r>
        <w:rPr>
          <w:rFonts w:hint="eastAsia" w:ascii="宋体" w:hAnsi="宋体" w:cs="宋体"/>
          <w:sz w:val="24"/>
          <w:szCs w:val="24"/>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hAnsi="宋体" w:cs="宋体"/>
        </w:rPr>
      </w:pPr>
      <w:r>
        <w:rPr>
          <w:rFonts w:hint="eastAsia" w:ascii="宋体" w:hAnsi="宋体" w:cs="宋体"/>
          <w:sz w:val="24"/>
          <w:szCs w:val="24"/>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pPr>
        <w:pStyle w:val="11"/>
        <w:spacing w:line="336" w:lineRule="auto"/>
        <w:ind w:firstLine="482" w:firstLineChars="200"/>
        <w:rPr>
          <w:rFonts w:hAnsi="宋体"/>
          <w:b/>
          <w:bCs/>
          <w:sz w:val="24"/>
          <w:szCs w:val="24"/>
          <w:u w:val="single"/>
        </w:rPr>
      </w:pPr>
      <w:r>
        <w:rPr>
          <w:rFonts w:hint="eastAsia" w:hAnsi="宋体"/>
          <w:b/>
          <w:bCs/>
          <w:sz w:val="24"/>
          <w:szCs w:val="24"/>
        </w:rPr>
        <w:t>9、响应文件的组成</w:t>
      </w:r>
      <w:r>
        <w:rPr>
          <w:rFonts w:hint="eastAsia" w:hAnsi="宋体"/>
          <w:b/>
          <w:bCs/>
          <w:sz w:val="24"/>
          <w:szCs w:val="24"/>
          <w:u w:val="single"/>
        </w:rPr>
        <w:t>（供应商应根据采购文件的要求提供相应的内容且设置关联定位，供应商可查看《供应商-政府采购项目电子交易操作指南》进行操作：https://help.zcygov.cn/web/site_2/2018/12-28/2573.html）</w:t>
      </w:r>
    </w:p>
    <w:p>
      <w:pPr>
        <w:pStyle w:val="51"/>
        <w:tabs>
          <w:tab w:val="left" w:pos="0"/>
        </w:tabs>
        <w:spacing w:before="0" w:line="336" w:lineRule="auto"/>
        <w:ind w:firstLine="480"/>
        <w:rPr>
          <w:rFonts w:ascii="宋体" w:hAnsi="宋体" w:cs="宋体"/>
        </w:rPr>
      </w:pPr>
      <w:r>
        <w:rPr>
          <w:rFonts w:hint="eastAsia" w:ascii="宋体" w:hAnsi="宋体" w:cs="宋体"/>
        </w:rPr>
        <w:t>响应文件应当包括以下主要内容：资格文件、商务技术文件、报价文件。</w:t>
      </w:r>
    </w:p>
    <w:p>
      <w:pPr>
        <w:pStyle w:val="51"/>
        <w:numPr>
          <w:ilvl w:val="0"/>
          <w:numId w:val="10"/>
        </w:numPr>
        <w:spacing w:before="0" w:line="336" w:lineRule="auto"/>
        <w:ind w:firstLine="480"/>
        <w:rPr>
          <w:rFonts w:ascii="宋体" w:hAnsi="宋体" w:cs="宋体"/>
        </w:rPr>
      </w:pPr>
      <w:r>
        <w:rPr>
          <w:rFonts w:hint="eastAsia" w:ascii="宋体" w:hAnsi="宋体" w:cs="宋体"/>
        </w:rPr>
        <w:t>资格文件包括以下内容：</w:t>
      </w:r>
    </w:p>
    <w:p>
      <w:pPr>
        <w:pStyle w:val="51"/>
        <w:numPr>
          <w:ilvl w:val="0"/>
          <w:numId w:val="11"/>
        </w:numPr>
        <w:spacing w:before="0" w:line="336" w:lineRule="auto"/>
        <w:ind w:firstLine="480"/>
        <w:rPr>
          <w:rFonts w:ascii="宋体" w:hAnsi="宋体" w:cs="宋体"/>
        </w:rPr>
      </w:pPr>
      <w:r>
        <w:rPr>
          <w:rFonts w:hint="eastAsia" w:ascii="宋体" w:hAnsi="宋体" w:cs="宋体"/>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1"/>
        <w:numPr>
          <w:ilvl w:val="0"/>
          <w:numId w:val="11"/>
        </w:numPr>
        <w:spacing w:before="0" w:line="336" w:lineRule="auto"/>
        <w:ind w:firstLine="480"/>
        <w:rPr>
          <w:rFonts w:ascii="宋体" w:hAnsi="宋体" w:cs="宋体"/>
        </w:rPr>
      </w:pPr>
      <w:r>
        <w:rPr>
          <w:rFonts w:hint="eastAsia" w:ascii="宋体" w:hAnsi="宋体" w:cs="宋体"/>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1"/>
        <w:spacing w:before="0" w:line="336" w:lineRule="auto"/>
        <w:ind w:firstLine="480"/>
        <w:rPr>
          <w:rFonts w:ascii="宋体" w:hAnsi="宋体" w:cs="宋体"/>
        </w:rPr>
      </w:pPr>
      <w:r>
        <w:rPr>
          <w:rFonts w:hint="eastAsia" w:ascii="宋体" w:hAnsi="宋体" w:cs="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51"/>
        <w:numPr>
          <w:ilvl w:val="0"/>
          <w:numId w:val="11"/>
        </w:numPr>
        <w:spacing w:before="0" w:line="336" w:lineRule="auto"/>
        <w:ind w:firstLine="480"/>
        <w:rPr>
          <w:rFonts w:ascii="宋体" w:hAnsi="宋体" w:cs="宋体"/>
        </w:rPr>
      </w:pPr>
      <w:r>
        <w:rPr>
          <w:rFonts w:hint="eastAsia" w:ascii="宋体" w:hAnsi="宋体" w:cs="宋体"/>
        </w:rPr>
        <w:t>具有履行合同所必需的产品和专业技术能力的承诺函；</w:t>
      </w:r>
    </w:p>
    <w:p>
      <w:pPr>
        <w:pStyle w:val="51"/>
        <w:numPr>
          <w:ilvl w:val="0"/>
          <w:numId w:val="11"/>
        </w:numPr>
        <w:spacing w:before="0" w:line="336" w:lineRule="auto"/>
        <w:ind w:firstLine="480"/>
        <w:rPr>
          <w:rFonts w:ascii="宋体" w:hAnsi="宋体" w:cs="宋体"/>
        </w:rPr>
      </w:pPr>
      <w:r>
        <w:rPr>
          <w:rFonts w:hint="eastAsia" w:ascii="宋体" w:hAnsi="宋体" w:cs="宋体"/>
        </w:rPr>
        <w:t>投标人承诺函；</w:t>
      </w:r>
    </w:p>
    <w:p>
      <w:pPr>
        <w:pStyle w:val="51"/>
        <w:numPr>
          <w:ilvl w:val="0"/>
          <w:numId w:val="11"/>
        </w:numPr>
        <w:spacing w:before="0"/>
        <w:ind w:firstLine="480"/>
        <w:rPr>
          <w:rFonts w:ascii="宋体" w:hAnsi="宋体" w:cs="宋体"/>
        </w:rPr>
      </w:pPr>
      <w:r>
        <w:rPr>
          <w:rFonts w:hint="eastAsia" w:ascii="宋体" w:hAnsi="宋体" w:cs="宋体"/>
        </w:rPr>
        <w:t>中小企业声明函（格式见附件）；</w:t>
      </w:r>
    </w:p>
    <w:p>
      <w:pPr>
        <w:pStyle w:val="51"/>
        <w:numPr>
          <w:ilvl w:val="0"/>
          <w:numId w:val="11"/>
        </w:numPr>
        <w:spacing w:before="0"/>
        <w:ind w:firstLine="480"/>
        <w:rPr>
          <w:rFonts w:ascii="宋体" w:hAnsi="宋体" w:cs="宋体"/>
        </w:rPr>
      </w:pPr>
      <w:r>
        <w:rPr>
          <w:rFonts w:hint="eastAsia" w:ascii="宋体" w:hAnsi="宋体" w:cs="宋体"/>
        </w:rPr>
        <w:t>残疾人福利性单位声明函(如有)（格式见附件）；</w:t>
      </w:r>
    </w:p>
    <w:p>
      <w:pPr>
        <w:pStyle w:val="51"/>
        <w:numPr>
          <w:ilvl w:val="0"/>
          <w:numId w:val="11"/>
        </w:numPr>
        <w:spacing w:before="0" w:line="336" w:lineRule="auto"/>
        <w:ind w:firstLine="480"/>
        <w:rPr>
          <w:rFonts w:ascii="宋体" w:hAnsi="宋体" w:cs="宋体"/>
        </w:rPr>
      </w:pPr>
      <w:r>
        <w:rPr>
          <w:rFonts w:hint="eastAsia" w:ascii="宋体" w:hAnsi="宋体" w:cs="宋体"/>
        </w:rPr>
        <w:t>监狱企业证明文件(如有)（格式见附件）。</w:t>
      </w:r>
    </w:p>
    <w:p>
      <w:pPr>
        <w:pStyle w:val="51"/>
        <w:numPr>
          <w:ilvl w:val="0"/>
          <w:numId w:val="10"/>
        </w:numPr>
        <w:spacing w:before="0" w:line="336" w:lineRule="auto"/>
        <w:ind w:firstLine="480"/>
        <w:rPr>
          <w:rFonts w:ascii="宋体" w:hAnsi="宋体" w:cs="宋体"/>
        </w:rPr>
      </w:pPr>
      <w:r>
        <w:rPr>
          <w:rFonts w:hint="eastAsia" w:ascii="宋体" w:hAnsi="宋体" w:cs="宋体"/>
        </w:rPr>
        <w:t>商务技术文件，本次磋商需要供应商提供以下项所列的技术文件：</w:t>
      </w:r>
    </w:p>
    <w:p>
      <w:pPr>
        <w:pStyle w:val="51"/>
        <w:numPr>
          <w:ilvl w:val="0"/>
          <w:numId w:val="12"/>
        </w:numPr>
        <w:spacing w:before="0" w:line="336" w:lineRule="auto"/>
        <w:ind w:firstLine="480"/>
        <w:rPr>
          <w:rFonts w:ascii="宋体" w:hAnsi="宋体" w:cs="宋体"/>
        </w:rPr>
      </w:pPr>
      <w:r>
        <w:rPr>
          <w:rFonts w:hint="eastAsia" w:ascii="宋体" w:hAnsi="宋体" w:cs="宋体"/>
        </w:rPr>
        <w:t>评分对应表（格式见附件，主要用于评委对应评分内容）</w:t>
      </w:r>
    </w:p>
    <w:p>
      <w:pPr>
        <w:pStyle w:val="51"/>
        <w:numPr>
          <w:ilvl w:val="0"/>
          <w:numId w:val="12"/>
        </w:numPr>
        <w:spacing w:before="0" w:line="336" w:lineRule="auto"/>
        <w:ind w:firstLine="480"/>
        <w:rPr>
          <w:rFonts w:ascii="宋体" w:hAnsi="宋体" w:cs="宋体"/>
        </w:rPr>
      </w:pPr>
      <w:r>
        <w:rPr>
          <w:rFonts w:hint="eastAsia" w:ascii="宋体" w:hAnsi="宋体" w:cs="宋体"/>
        </w:rPr>
        <w:t>供应商商务技术文件中资信分自评表（格式见附件）；</w:t>
      </w:r>
    </w:p>
    <w:p>
      <w:pPr>
        <w:pStyle w:val="51"/>
        <w:numPr>
          <w:ilvl w:val="0"/>
          <w:numId w:val="12"/>
        </w:numPr>
        <w:spacing w:before="0" w:line="336" w:lineRule="auto"/>
        <w:ind w:firstLine="480"/>
        <w:rPr>
          <w:rFonts w:ascii="宋体" w:hAnsi="宋体" w:cs="宋体"/>
        </w:rPr>
      </w:pPr>
      <w:r>
        <w:rPr>
          <w:rFonts w:hint="eastAsia" w:ascii="宋体" w:hAnsi="宋体" w:cs="宋体"/>
        </w:rPr>
        <w:t>磋商项目明细清单（格式见附件）；</w:t>
      </w:r>
    </w:p>
    <w:p>
      <w:pPr>
        <w:pStyle w:val="51"/>
        <w:numPr>
          <w:ilvl w:val="0"/>
          <w:numId w:val="12"/>
        </w:numPr>
        <w:spacing w:before="0" w:line="336" w:lineRule="auto"/>
        <w:ind w:firstLine="480"/>
        <w:rPr>
          <w:rFonts w:ascii="宋体" w:hAnsi="宋体" w:cs="宋体"/>
        </w:rPr>
      </w:pPr>
      <w:r>
        <w:rPr>
          <w:rFonts w:hint="eastAsia" w:ascii="宋体" w:hAnsi="宋体" w:cs="宋体"/>
        </w:rPr>
        <w:t>技术响应及建议表（格式见附件）；</w:t>
      </w:r>
    </w:p>
    <w:p>
      <w:pPr>
        <w:pStyle w:val="51"/>
        <w:numPr>
          <w:ilvl w:val="0"/>
          <w:numId w:val="12"/>
        </w:numPr>
        <w:spacing w:before="0" w:line="336" w:lineRule="auto"/>
        <w:ind w:firstLine="480"/>
        <w:rPr>
          <w:rFonts w:ascii="宋体" w:hAnsi="宋体" w:cs="宋体"/>
        </w:rPr>
      </w:pPr>
      <w:r>
        <w:rPr>
          <w:rFonts w:hint="eastAsia" w:ascii="宋体" w:hAnsi="宋体" w:cs="宋体"/>
        </w:rPr>
        <w:t>商务响应表（格式见附件）；</w:t>
      </w:r>
    </w:p>
    <w:p>
      <w:pPr>
        <w:pStyle w:val="51"/>
        <w:numPr>
          <w:ilvl w:val="0"/>
          <w:numId w:val="12"/>
        </w:numPr>
        <w:spacing w:before="0" w:line="336" w:lineRule="auto"/>
        <w:ind w:firstLine="480"/>
        <w:rPr>
          <w:rFonts w:ascii="宋体" w:hAnsi="宋体" w:cs="宋体"/>
        </w:rPr>
      </w:pPr>
      <w:r>
        <w:rPr>
          <w:rFonts w:hint="eastAsia" w:ascii="宋体" w:hAnsi="宋体" w:cs="宋体"/>
        </w:rPr>
        <w:t>项目理解；</w:t>
      </w:r>
    </w:p>
    <w:p>
      <w:pPr>
        <w:pStyle w:val="51"/>
        <w:numPr>
          <w:ilvl w:val="0"/>
          <w:numId w:val="12"/>
        </w:numPr>
        <w:spacing w:before="0" w:line="336" w:lineRule="auto"/>
        <w:ind w:firstLine="480"/>
        <w:rPr>
          <w:rFonts w:ascii="宋体" w:hAnsi="宋体" w:cs="宋体"/>
        </w:rPr>
      </w:pPr>
      <w:r>
        <w:rPr>
          <w:rFonts w:hint="eastAsia" w:ascii="宋体" w:hAnsi="宋体" w:cs="宋体"/>
        </w:rPr>
        <w:t>实施方案；</w:t>
      </w:r>
    </w:p>
    <w:p>
      <w:pPr>
        <w:pStyle w:val="51"/>
        <w:numPr>
          <w:ilvl w:val="0"/>
          <w:numId w:val="12"/>
        </w:numPr>
        <w:spacing w:before="0" w:line="336" w:lineRule="auto"/>
        <w:ind w:firstLine="480"/>
        <w:rPr>
          <w:rFonts w:ascii="宋体" w:hAnsi="宋体" w:cs="宋体"/>
        </w:rPr>
      </w:pPr>
      <w:r>
        <w:rPr>
          <w:rFonts w:hint="eastAsia" w:ascii="宋体" w:hAnsi="宋体" w:cs="宋体"/>
        </w:rPr>
        <w:t>人员配置；</w:t>
      </w:r>
    </w:p>
    <w:p>
      <w:pPr>
        <w:pStyle w:val="51"/>
        <w:numPr>
          <w:ilvl w:val="0"/>
          <w:numId w:val="12"/>
        </w:numPr>
        <w:spacing w:before="0" w:line="336" w:lineRule="auto"/>
        <w:ind w:firstLine="480"/>
        <w:rPr>
          <w:rFonts w:ascii="宋体" w:hAnsi="宋体" w:cs="宋体"/>
        </w:rPr>
      </w:pPr>
      <w:r>
        <w:rPr>
          <w:rFonts w:hint="eastAsia" w:ascii="宋体" w:hAnsi="宋体" w:cs="宋体"/>
        </w:rPr>
        <w:t>人员培训；</w:t>
      </w:r>
    </w:p>
    <w:p>
      <w:pPr>
        <w:pStyle w:val="51"/>
        <w:numPr>
          <w:ilvl w:val="0"/>
          <w:numId w:val="12"/>
        </w:numPr>
        <w:spacing w:before="0" w:line="336" w:lineRule="auto"/>
        <w:ind w:firstLine="480"/>
        <w:rPr>
          <w:rFonts w:ascii="宋体" w:hAnsi="宋体" w:cs="宋体"/>
        </w:rPr>
      </w:pPr>
      <w:r>
        <w:rPr>
          <w:rFonts w:hint="eastAsia" w:ascii="宋体" w:hAnsi="宋体" w:cs="宋体"/>
        </w:rPr>
        <w:t>售后服务；</w:t>
      </w:r>
    </w:p>
    <w:p>
      <w:pPr>
        <w:pStyle w:val="51"/>
        <w:numPr>
          <w:ilvl w:val="0"/>
          <w:numId w:val="12"/>
        </w:numPr>
        <w:spacing w:before="0" w:line="336" w:lineRule="auto"/>
        <w:ind w:firstLine="480"/>
        <w:rPr>
          <w:rFonts w:ascii="宋体" w:hAnsi="宋体" w:cs="宋体"/>
        </w:rPr>
      </w:pPr>
      <w:r>
        <w:rPr>
          <w:rFonts w:hint="eastAsia" w:ascii="宋体" w:hAnsi="宋体" w:cs="宋体"/>
        </w:rPr>
        <w:t>本地化服务能力；</w:t>
      </w:r>
    </w:p>
    <w:p>
      <w:pPr>
        <w:pStyle w:val="51"/>
        <w:numPr>
          <w:ilvl w:val="0"/>
          <w:numId w:val="12"/>
        </w:numPr>
        <w:spacing w:before="0" w:line="336" w:lineRule="auto"/>
        <w:ind w:firstLine="480"/>
        <w:rPr>
          <w:rFonts w:ascii="宋体" w:hAnsi="宋体" w:cs="宋体"/>
        </w:rPr>
      </w:pPr>
      <w:r>
        <w:rPr>
          <w:rFonts w:hint="eastAsia" w:ascii="宋体" w:hAnsi="宋体" w:cs="宋体"/>
        </w:rPr>
        <w:t>业绩；</w:t>
      </w:r>
    </w:p>
    <w:p>
      <w:pPr>
        <w:pStyle w:val="51"/>
        <w:numPr>
          <w:ilvl w:val="0"/>
          <w:numId w:val="12"/>
        </w:numPr>
        <w:spacing w:before="0" w:line="336" w:lineRule="auto"/>
        <w:ind w:firstLine="480"/>
        <w:rPr>
          <w:rFonts w:ascii="宋体" w:hAnsi="宋体" w:cs="宋体"/>
        </w:rPr>
      </w:pPr>
      <w:r>
        <w:rPr>
          <w:rFonts w:hint="eastAsia" w:ascii="宋体" w:hAnsi="宋体" w:cs="宋体"/>
        </w:rPr>
        <w:t>企业荣誉；</w:t>
      </w:r>
    </w:p>
    <w:p>
      <w:pPr>
        <w:pStyle w:val="51"/>
        <w:numPr>
          <w:ilvl w:val="0"/>
          <w:numId w:val="12"/>
        </w:numPr>
        <w:spacing w:before="0" w:line="336" w:lineRule="auto"/>
        <w:ind w:firstLine="480"/>
        <w:rPr>
          <w:rFonts w:ascii="宋体" w:hAnsi="宋体" w:cs="宋体"/>
        </w:rPr>
      </w:pPr>
      <w:r>
        <w:rPr>
          <w:rFonts w:hint="eastAsia" w:ascii="宋体" w:hAnsi="宋体" w:cs="宋体"/>
        </w:rPr>
        <w:t>项目负责人证书；</w:t>
      </w:r>
    </w:p>
    <w:p>
      <w:pPr>
        <w:pStyle w:val="51"/>
        <w:numPr>
          <w:ilvl w:val="0"/>
          <w:numId w:val="12"/>
        </w:numPr>
        <w:spacing w:before="0" w:line="336" w:lineRule="auto"/>
        <w:ind w:firstLine="480"/>
        <w:rPr>
          <w:rFonts w:ascii="宋体" w:hAnsi="宋体" w:cs="宋体"/>
        </w:rPr>
      </w:pPr>
      <w:r>
        <w:rPr>
          <w:rFonts w:hint="eastAsia" w:ascii="宋体" w:hAnsi="宋体" w:cs="宋体"/>
        </w:rPr>
        <w:t>供应商认为需要的其他文件资料。</w:t>
      </w:r>
    </w:p>
    <w:p>
      <w:pPr>
        <w:pStyle w:val="51"/>
        <w:tabs>
          <w:tab w:val="left" w:pos="0"/>
        </w:tabs>
        <w:spacing w:before="0" w:line="336" w:lineRule="auto"/>
        <w:ind w:firstLine="480"/>
        <w:rPr>
          <w:rFonts w:ascii="宋体" w:hAnsi="宋体" w:cs="宋体"/>
        </w:rPr>
      </w:pPr>
      <w:r>
        <w:rPr>
          <w:rFonts w:hint="eastAsia" w:ascii="宋体" w:hAnsi="宋体" w:cs="宋体"/>
        </w:rPr>
        <w:t>注：以上内容应与评标办法中内容具有一致性。</w:t>
      </w:r>
    </w:p>
    <w:p>
      <w:pPr>
        <w:pStyle w:val="51"/>
        <w:tabs>
          <w:tab w:val="left" w:pos="0"/>
        </w:tabs>
        <w:spacing w:before="0" w:line="336" w:lineRule="auto"/>
        <w:ind w:firstLine="480"/>
        <w:rPr>
          <w:rFonts w:ascii="宋体" w:hAnsi="宋体" w:cs="宋体"/>
        </w:rPr>
      </w:pPr>
      <w:r>
        <w:rPr>
          <w:rFonts w:hint="eastAsia" w:ascii="宋体" w:hAnsi="宋体" w:cs="宋体"/>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pPr>
        <w:pStyle w:val="51"/>
        <w:tabs>
          <w:tab w:val="left" w:pos="0"/>
        </w:tabs>
        <w:spacing w:before="0" w:line="336" w:lineRule="auto"/>
        <w:ind w:firstLine="480"/>
        <w:rPr>
          <w:rFonts w:ascii="宋体" w:hAnsi="宋体" w:cs="宋体"/>
        </w:rPr>
      </w:pPr>
      <w:r>
        <w:rPr>
          <w:rFonts w:hint="eastAsia" w:ascii="宋体" w:hAnsi="宋体" w:cs="宋体"/>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1"/>
        <w:numPr>
          <w:ilvl w:val="0"/>
          <w:numId w:val="10"/>
        </w:numPr>
        <w:spacing w:before="0" w:line="336" w:lineRule="auto"/>
        <w:ind w:firstLine="480"/>
        <w:rPr>
          <w:rFonts w:ascii="宋体" w:hAnsi="宋体" w:cs="宋体"/>
        </w:rPr>
      </w:pPr>
      <w:r>
        <w:rPr>
          <w:rFonts w:hint="eastAsia" w:ascii="宋体" w:hAnsi="宋体" w:cs="宋体"/>
        </w:rPr>
        <w:t>报价文件包括以下内容：</w:t>
      </w:r>
    </w:p>
    <w:p>
      <w:pPr>
        <w:pStyle w:val="51"/>
        <w:numPr>
          <w:ilvl w:val="0"/>
          <w:numId w:val="13"/>
        </w:numPr>
        <w:spacing w:before="0" w:line="336" w:lineRule="auto"/>
        <w:ind w:firstLine="480"/>
        <w:rPr>
          <w:rFonts w:ascii="宋体" w:hAnsi="宋体" w:cs="宋体"/>
        </w:rPr>
      </w:pPr>
      <w:r>
        <w:rPr>
          <w:rFonts w:hint="eastAsia" w:ascii="宋体" w:hAnsi="宋体" w:cs="宋体"/>
        </w:rPr>
        <w:t>磋商函（格式见附件）；</w:t>
      </w:r>
    </w:p>
    <w:p>
      <w:pPr>
        <w:pStyle w:val="51"/>
        <w:numPr>
          <w:ilvl w:val="0"/>
          <w:numId w:val="13"/>
        </w:numPr>
        <w:spacing w:before="0" w:line="336" w:lineRule="auto"/>
        <w:ind w:firstLine="480"/>
        <w:rPr>
          <w:rFonts w:ascii="宋体" w:hAnsi="宋体" w:cs="宋体"/>
        </w:rPr>
      </w:pPr>
      <w:r>
        <w:rPr>
          <w:rFonts w:hint="eastAsia" w:ascii="宋体" w:hAnsi="宋体" w:cs="宋体"/>
        </w:rPr>
        <w:t>报价一览表（格式见附件）；</w:t>
      </w:r>
    </w:p>
    <w:p>
      <w:pPr>
        <w:pStyle w:val="51"/>
        <w:numPr>
          <w:ilvl w:val="0"/>
          <w:numId w:val="13"/>
        </w:numPr>
        <w:spacing w:before="0" w:line="336" w:lineRule="auto"/>
        <w:ind w:firstLine="480"/>
        <w:rPr>
          <w:rFonts w:ascii="宋体" w:hAnsi="宋体" w:cs="宋体"/>
        </w:rPr>
      </w:pPr>
      <w:r>
        <w:rPr>
          <w:rFonts w:hint="eastAsia" w:ascii="宋体" w:hAnsi="宋体" w:cs="宋体"/>
        </w:rPr>
        <w:t>磋商报价明细表（格式见附件）。</w:t>
      </w:r>
    </w:p>
    <w:p>
      <w:pPr>
        <w:pStyle w:val="51"/>
        <w:spacing w:before="0" w:line="336" w:lineRule="auto"/>
        <w:ind w:firstLine="241" w:firstLineChars="100"/>
        <w:rPr>
          <w:rFonts w:ascii="宋体" w:hAnsi="宋体" w:cs="宋体"/>
          <w:b/>
          <w:bCs/>
          <w:u w:val="single"/>
        </w:rPr>
      </w:pPr>
      <w:r>
        <w:rPr>
          <w:rFonts w:hint="eastAsia" w:ascii="宋体" w:hAnsi="宋体" w:cs="宋体"/>
          <w:b/>
          <w:bCs/>
          <w:u w:val="single"/>
        </w:rPr>
        <w:t>注：“资格文件”、“商务技术文件”、“报价文件”须分3个PDF格式分别导入。</w:t>
      </w:r>
    </w:p>
    <w:p>
      <w:pPr>
        <w:pStyle w:val="51"/>
        <w:spacing w:before="0" w:line="336" w:lineRule="auto"/>
        <w:ind w:left="420" w:leftChars="200" w:firstLine="0" w:firstLineChars="0"/>
        <w:rPr>
          <w:rFonts w:ascii="宋体" w:hAnsi="宋体" w:cs="宋体"/>
          <w:b/>
          <w:bCs/>
        </w:rPr>
      </w:pPr>
      <w:r>
        <w:rPr>
          <w:rFonts w:hint="eastAsia" w:ascii="宋体" w:hAnsi="宋体" w:cs="宋体"/>
          <w:b/>
          <w:bCs/>
        </w:rPr>
        <w:t>10、响应文件有效期</w:t>
      </w:r>
    </w:p>
    <w:p>
      <w:pPr>
        <w:pStyle w:val="51"/>
        <w:spacing w:before="0" w:line="336" w:lineRule="auto"/>
        <w:ind w:firstLine="480"/>
        <w:rPr>
          <w:rFonts w:ascii="宋体" w:hAnsi="宋体" w:cs="宋体"/>
        </w:rPr>
      </w:pPr>
      <w:r>
        <w:rPr>
          <w:rFonts w:hint="eastAsia" w:ascii="宋体" w:hAnsi="宋体" w:cs="宋体"/>
        </w:rPr>
        <w:t>10.1 响应文件未在磋商响应截止时间前完成传输的或者未按时解密的，视为放弃磋商；响应文件解密失败后未提供备份文件或者备份文件也出现异常情况无法进行评审的，亦视为放弃磋商。</w:t>
      </w:r>
    </w:p>
    <w:p>
      <w:pPr>
        <w:pStyle w:val="51"/>
        <w:spacing w:before="0" w:line="336" w:lineRule="auto"/>
        <w:ind w:firstLine="480"/>
        <w:rPr>
          <w:rFonts w:ascii="宋体" w:hAnsi="宋体" w:cs="宋体"/>
        </w:rPr>
      </w:pPr>
      <w:r>
        <w:rPr>
          <w:rFonts w:hint="eastAsia" w:ascii="宋体" w:hAnsi="宋体" w:cs="宋体"/>
        </w:rPr>
        <w:t>10.2 响应文件上传后，自磋商响应截止日期起，在前附表所列的磋商响应文件有效期内有效。</w:t>
      </w:r>
    </w:p>
    <w:p>
      <w:pPr>
        <w:pStyle w:val="51"/>
        <w:spacing w:before="0" w:line="336" w:lineRule="auto"/>
        <w:ind w:firstLine="480"/>
        <w:rPr>
          <w:rFonts w:ascii="宋体" w:hAnsi="宋体" w:cs="宋体"/>
        </w:rPr>
      </w:pPr>
      <w:r>
        <w:rPr>
          <w:rFonts w:hint="eastAsia" w:ascii="宋体" w:hAnsi="宋体" w:cs="宋体"/>
        </w:rPr>
        <w:t>10.3 在原定有效期满之前，如果出现特殊情况，采购代理机构可以以书面形式向磋商供应商提出延长磋商有效期的要求，磋商供应商对此须以书面形式予以答复。</w:t>
      </w:r>
    </w:p>
    <w:p>
      <w:pPr>
        <w:pStyle w:val="51"/>
        <w:spacing w:before="0" w:line="336" w:lineRule="auto"/>
        <w:ind w:left="420" w:leftChars="200" w:firstLine="0" w:firstLineChars="0"/>
        <w:rPr>
          <w:rFonts w:ascii="宋体" w:hAnsi="宋体" w:cs="宋体"/>
          <w:b/>
          <w:bCs/>
        </w:rPr>
      </w:pPr>
      <w:r>
        <w:rPr>
          <w:rFonts w:hint="eastAsia" w:ascii="宋体" w:hAnsi="宋体" w:cs="宋体"/>
          <w:b/>
          <w:bCs/>
        </w:rPr>
        <w:t>11、供应商如有下列情况之一者列入不良行为记录：</w:t>
      </w:r>
    </w:p>
    <w:p>
      <w:pPr>
        <w:pStyle w:val="51"/>
        <w:spacing w:before="0" w:line="336" w:lineRule="auto"/>
        <w:ind w:left="420" w:leftChars="200" w:firstLine="0" w:firstLineChars="0"/>
        <w:rPr>
          <w:rFonts w:ascii="宋体" w:hAnsi="宋体" w:cs="宋体"/>
        </w:rPr>
      </w:pPr>
      <w:r>
        <w:rPr>
          <w:rFonts w:hint="eastAsia" w:ascii="宋体" w:hAnsi="宋体" w:cs="宋体"/>
        </w:rPr>
        <w:t>11.1 供应商在磋商响应文件有效期内撤回投标的；</w:t>
      </w:r>
    </w:p>
    <w:p>
      <w:pPr>
        <w:pStyle w:val="51"/>
        <w:spacing w:before="0" w:line="336" w:lineRule="auto"/>
        <w:ind w:left="420" w:leftChars="200" w:firstLine="0" w:firstLineChars="0"/>
        <w:rPr>
          <w:rFonts w:ascii="宋体" w:hAnsi="宋体" w:cs="宋体"/>
        </w:rPr>
      </w:pPr>
      <w:r>
        <w:rPr>
          <w:rFonts w:hint="eastAsia" w:ascii="宋体" w:hAnsi="宋体" w:cs="宋体"/>
        </w:rPr>
        <w:t>11.2 供应商或中标候选人放弃中标或中标候选人资格的；</w:t>
      </w:r>
    </w:p>
    <w:p>
      <w:pPr>
        <w:pStyle w:val="51"/>
        <w:spacing w:before="0" w:line="336" w:lineRule="auto"/>
        <w:ind w:left="420" w:leftChars="200" w:firstLine="0" w:firstLineChars="0"/>
        <w:rPr>
          <w:rFonts w:ascii="宋体" w:hAnsi="宋体" w:cs="宋体"/>
        </w:rPr>
      </w:pPr>
      <w:r>
        <w:rPr>
          <w:rFonts w:hint="eastAsia" w:ascii="宋体" w:hAnsi="宋体" w:cs="宋体"/>
        </w:rPr>
        <w:t>11.3 擅自修改或拒绝接受已经确认的条款；</w:t>
      </w:r>
    </w:p>
    <w:p>
      <w:pPr>
        <w:pStyle w:val="51"/>
        <w:spacing w:before="0" w:line="336" w:lineRule="auto"/>
        <w:ind w:left="420" w:leftChars="200" w:firstLine="0" w:firstLineChars="0"/>
        <w:rPr>
          <w:rFonts w:ascii="宋体" w:hAnsi="宋体" w:cs="宋体"/>
        </w:rPr>
      </w:pPr>
      <w:r>
        <w:rPr>
          <w:rFonts w:hint="eastAsia" w:ascii="宋体" w:hAnsi="宋体" w:cs="宋体"/>
        </w:rPr>
        <w:t>11.4 成交供应商未按规定与采购人签订合同；</w:t>
      </w:r>
    </w:p>
    <w:p>
      <w:pPr>
        <w:pStyle w:val="51"/>
        <w:spacing w:before="0" w:line="336" w:lineRule="auto"/>
        <w:ind w:left="420" w:leftChars="200" w:firstLine="0" w:firstLineChars="0"/>
        <w:rPr>
          <w:rFonts w:ascii="宋体" w:hAnsi="宋体" w:cs="宋体"/>
        </w:rPr>
      </w:pPr>
      <w:r>
        <w:rPr>
          <w:rFonts w:hint="eastAsia" w:ascii="宋体" w:hAnsi="宋体" w:cs="宋体"/>
        </w:rPr>
        <w:t>11.5供应商采取提供虚假资料等不正当手段的；</w:t>
      </w:r>
    </w:p>
    <w:p>
      <w:pPr>
        <w:pStyle w:val="51"/>
        <w:spacing w:before="0" w:line="336" w:lineRule="auto"/>
        <w:ind w:left="420" w:leftChars="200" w:firstLine="0" w:firstLineChars="0"/>
        <w:rPr>
          <w:rFonts w:ascii="宋体" w:hAnsi="宋体" w:cs="宋体"/>
        </w:rPr>
      </w:pPr>
      <w:r>
        <w:rPr>
          <w:rFonts w:hint="eastAsia" w:ascii="宋体" w:hAnsi="宋体" w:cs="宋体"/>
        </w:rPr>
        <w:t>11.6供应商在投标过程中串通投标的。</w:t>
      </w:r>
    </w:p>
    <w:p>
      <w:pPr>
        <w:pStyle w:val="51"/>
        <w:spacing w:before="0" w:line="336" w:lineRule="auto"/>
        <w:ind w:firstLine="482"/>
        <w:rPr>
          <w:rFonts w:ascii="宋体" w:hAnsi="宋体" w:cs="宋体"/>
          <w:b/>
          <w:bCs/>
        </w:rPr>
      </w:pPr>
      <w:r>
        <w:rPr>
          <w:rFonts w:hint="eastAsia" w:ascii="宋体" w:hAnsi="宋体" w:cs="宋体"/>
          <w:b/>
          <w:bCs/>
        </w:rPr>
        <w:t>12、响应文件的编制和签署</w:t>
      </w:r>
    </w:p>
    <w:p>
      <w:pPr>
        <w:pStyle w:val="51"/>
        <w:spacing w:before="0" w:line="336" w:lineRule="auto"/>
        <w:ind w:firstLine="480"/>
        <w:rPr>
          <w:rFonts w:ascii="宋体" w:hAnsi="宋体" w:cs="宋体"/>
        </w:rPr>
      </w:pPr>
      <w:r>
        <w:rPr>
          <w:rFonts w:hint="eastAsia" w:ascii="宋体" w:hAnsi="宋体" w:cs="宋体"/>
        </w:rPr>
        <w:t>12.1 按磋商文件9.1条、9.2条、9.3条要求提供的各种文件，响应文件分为资格文件、商务技术文件和报价文件三部分。</w:t>
      </w:r>
    </w:p>
    <w:p>
      <w:pPr>
        <w:pStyle w:val="51"/>
        <w:spacing w:before="0" w:line="336" w:lineRule="auto"/>
        <w:ind w:firstLine="480"/>
        <w:rPr>
          <w:rFonts w:ascii="宋体" w:hAnsi="宋体" w:cs="宋体"/>
        </w:rPr>
      </w:pPr>
      <w:r>
        <w:rPr>
          <w:rFonts w:hint="eastAsia" w:ascii="宋体" w:hAnsi="宋体" w:cs="宋体"/>
        </w:rPr>
        <w:t>12.2 响应文件须按附件格式要求进行电子签章，供应商应写全称。（电子磋商响应文件中所须加盖公章部分均应采用电子签章）</w:t>
      </w:r>
    </w:p>
    <w:p>
      <w:pPr>
        <w:pStyle w:val="51"/>
        <w:spacing w:before="0" w:line="336" w:lineRule="auto"/>
        <w:ind w:firstLine="480"/>
        <w:rPr>
          <w:rFonts w:ascii="宋体" w:hAnsi="宋体" w:cs="宋体"/>
        </w:rPr>
      </w:pPr>
      <w:r>
        <w:rPr>
          <w:rFonts w:hint="eastAsia" w:ascii="宋体" w:hAnsi="宋体" w:cs="宋体"/>
        </w:rPr>
        <w:t>12.3 全套响应文件应无涂改和行间插字，除非这些删改是根据采购代理机构要求进行，或者是供应商造成的必须修改的错误。所修改处应由法定代表人或其授权代表签字盖章予以确认。</w:t>
      </w:r>
    </w:p>
    <w:p>
      <w:pPr>
        <w:pStyle w:val="51"/>
        <w:spacing w:before="0" w:line="336" w:lineRule="auto"/>
        <w:ind w:firstLine="480"/>
        <w:rPr>
          <w:rFonts w:ascii="宋体" w:hAnsi="宋体" w:cs="宋体"/>
        </w:rPr>
      </w:pPr>
      <w:r>
        <w:rPr>
          <w:rFonts w:hint="eastAsia" w:ascii="宋体" w:hAnsi="宋体" w:cs="宋体"/>
        </w:rPr>
        <w:t>12.4 由于字迹模糊或表达不清引起的后果由供应商负责。</w:t>
      </w:r>
    </w:p>
    <w:p>
      <w:pPr>
        <w:pStyle w:val="51"/>
        <w:spacing w:before="0" w:line="336" w:lineRule="auto"/>
        <w:ind w:firstLine="482"/>
        <w:rPr>
          <w:rFonts w:ascii="宋体" w:hAnsi="宋体" w:cs="宋体"/>
          <w:b/>
          <w:bCs/>
        </w:rPr>
      </w:pPr>
      <w:r>
        <w:rPr>
          <w:rFonts w:hint="eastAsia" w:ascii="宋体" w:hAnsi="宋体" w:cs="宋体"/>
          <w:b/>
          <w:bCs/>
        </w:rPr>
        <w:t>13、响应文件的形式</w:t>
      </w:r>
    </w:p>
    <w:p>
      <w:pPr>
        <w:pStyle w:val="51"/>
        <w:spacing w:before="0" w:line="336" w:lineRule="auto"/>
        <w:ind w:firstLine="480"/>
        <w:rPr>
          <w:rFonts w:ascii="宋体" w:hAnsi="宋体" w:cs="宋体"/>
        </w:rPr>
      </w:pPr>
      <w:r>
        <w:rPr>
          <w:rFonts w:hint="eastAsia" w:ascii="宋体" w:hAnsi="宋体" w:cs="宋体"/>
        </w:rPr>
        <w:t>响应文件为电子磋商响应文件，电子磋商响应文件按“政采云供应商项目采购-电子招投标操作指南”及本磋商文件要求制作、加密传输。</w:t>
      </w:r>
    </w:p>
    <w:p>
      <w:pPr>
        <w:pStyle w:val="2"/>
        <w:numPr>
          <w:ilvl w:val="0"/>
          <w:numId w:val="9"/>
        </w:numPr>
        <w:spacing w:line="336" w:lineRule="auto"/>
        <w:jc w:val="center"/>
        <w:rPr>
          <w:rFonts w:hAnsi="宋体"/>
        </w:rPr>
      </w:pPr>
      <w:bookmarkStart w:id="55" w:name="_Toc4883"/>
      <w:bookmarkStart w:id="56" w:name="_Toc1420"/>
      <w:bookmarkStart w:id="57" w:name="_Toc21266"/>
      <w:r>
        <w:rPr>
          <w:rFonts w:hint="eastAsia" w:hAnsi="宋体"/>
        </w:rPr>
        <w:t>响应文件的递交</w:t>
      </w:r>
      <w:bookmarkEnd w:id="55"/>
      <w:bookmarkEnd w:id="56"/>
      <w:bookmarkEnd w:id="57"/>
    </w:p>
    <w:p>
      <w:pPr>
        <w:pStyle w:val="11"/>
        <w:spacing w:line="336" w:lineRule="auto"/>
        <w:ind w:left="420" w:leftChars="200"/>
        <w:rPr>
          <w:rFonts w:hAnsi="宋体"/>
          <w:b/>
          <w:bCs/>
          <w:sz w:val="24"/>
          <w:szCs w:val="24"/>
        </w:rPr>
      </w:pPr>
      <w:r>
        <w:rPr>
          <w:rFonts w:hint="eastAsia" w:hAnsi="宋体"/>
          <w:b/>
          <w:bCs/>
          <w:sz w:val="24"/>
          <w:szCs w:val="24"/>
        </w:rPr>
        <w:t>14、磋商响应截止期</w:t>
      </w:r>
    </w:p>
    <w:p>
      <w:pPr>
        <w:pStyle w:val="51"/>
        <w:numPr>
          <w:ilvl w:val="0"/>
          <w:numId w:val="14"/>
        </w:numPr>
        <w:spacing w:before="0" w:line="336" w:lineRule="auto"/>
        <w:ind w:firstLine="480"/>
        <w:rPr>
          <w:rFonts w:ascii="宋体" w:hAnsi="宋体" w:cs="宋体"/>
        </w:rPr>
      </w:pPr>
      <w:r>
        <w:rPr>
          <w:rFonts w:hint="eastAsia" w:ascii="宋体" w:hAnsi="宋体" w:cs="宋体"/>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pPr>
        <w:pStyle w:val="51"/>
        <w:numPr>
          <w:ilvl w:val="0"/>
          <w:numId w:val="14"/>
        </w:numPr>
        <w:spacing w:before="0" w:line="336" w:lineRule="auto"/>
        <w:ind w:firstLine="480"/>
        <w:rPr>
          <w:rFonts w:ascii="宋体" w:hAnsi="宋体" w:cs="宋体"/>
        </w:rPr>
      </w:pPr>
      <w:r>
        <w:rPr>
          <w:rFonts w:hint="eastAsia" w:ascii="宋体" w:hAnsi="宋体" w:cs="宋体"/>
        </w:rPr>
        <w:t>采购人因故推迟磋商响应截止时间，将以公告形式通知。在这种情况下，采购人和供应商的权利和义务将受到新的截止时间的约束。</w:t>
      </w:r>
    </w:p>
    <w:p>
      <w:pPr>
        <w:pStyle w:val="11"/>
        <w:spacing w:line="336" w:lineRule="auto"/>
        <w:ind w:left="420" w:leftChars="200"/>
        <w:rPr>
          <w:rFonts w:hAnsi="宋体"/>
          <w:b/>
          <w:bCs/>
          <w:sz w:val="24"/>
          <w:szCs w:val="24"/>
        </w:rPr>
      </w:pPr>
      <w:r>
        <w:rPr>
          <w:rFonts w:hint="eastAsia" w:hAnsi="宋体"/>
          <w:b/>
          <w:bCs/>
          <w:sz w:val="24"/>
          <w:szCs w:val="24"/>
        </w:rPr>
        <w:t>15、响应文件的修改、撤销</w:t>
      </w:r>
    </w:p>
    <w:p>
      <w:pPr>
        <w:pStyle w:val="11"/>
        <w:spacing w:line="336" w:lineRule="auto"/>
        <w:ind w:firstLine="480" w:firstLineChars="200"/>
        <w:rPr>
          <w:rFonts w:hAnsi="宋体"/>
          <w:sz w:val="24"/>
          <w:szCs w:val="24"/>
        </w:rPr>
      </w:pPr>
      <w:r>
        <w:rPr>
          <w:rFonts w:hint="eastAsia" w:hAnsi="宋体"/>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pPr>
        <w:pStyle w:val="2"/>
        <w:numPr>
          <w:ilvl w:val="0"/>
          <w:numId w:val="9"/>
        </w:numPr>
        <w:spacing w:line="336" w:lineRule="auto"/>
        <w:jc w:val="center"/>
        <w:rPr>
          <w:rFonts w:hAnsi="宋体"/>
        </w:rPr>
      </w:pPr>
      <w:bookmarkStart w:id="58" w:name="_Toc24120"/>
      <w:bookmarkStart w:id="59" w:name="_Toc26652"/>
      <w:r>
        <w:rPr>
          <w:rFonts w:hint="eastAsia" w:hAnsi="宋体"/>
        </w:rPr>
        <w:t>磋商无效的情形</w:t>
      </w:r>
      <w:bookmarkEnd w:id="58"/>
      <w:bookmarkEnd w:id="59"/>
    </w:p>
    <w:p>
      <w:pPr>
        <w:pStyle w:val="11"/>
        <w:snapToGrid w:val="0"/>
        <w:spacing w:line="336" w:lineRule="auto"/>
        <w:ind w:firstLine="482" w:firstLineChars="200"/>
        <w:rPr>
          <w:rFonts w:hAnsi="宋体"/>
          <w:b/>
          <w:bCs/>
          <w:sz w:val="24"/>
          <w:szCs w:val="24"/>
        </w:rPr>
      </w:pPr>
      <w:r>
        <w:rPr>
          <w:rFonts w:hint="eastAsia" w:hAnsi="宋体"/>
          <w:b/>
          <w:bCs/>
          <w:sz w:val="24"/>
          <w:szCs w:val="24"/>
        </w:rPr>
        <w:t>16、无效响应</w:t>
      </w:r>
    </w:p>
    <w:p>
      <w:pPr>
        <w:pStyle w:val="11"/>
        <w:snapToGrid w:val="0"/>
        <w:spacing w:line="336" w:lineRule="auto"/>
        <w:ind w:firstLine="480" w:firstLineChars="200"/>
        <w:rPr>
          <w:rFonts w:hAnsi="宋体"/>
          <w:sz w:val="24"/>
          <w:szCs w:val="24"/>
        </w:rPr>
      </w:pPr>
      <w:r>
        <w:rPr>
          <w:rFonts w:hint="eastAsia" w:hAnsi="宋体"/>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16.1未按照磋商文件规定要求签署、盖章的；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16.2《法定代表人授权书》填写不全、错误、未加盖供应商公章（公章和签字或盖章缺一不可）；</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16.3个体工商户的身份证明与营业执照不一致的；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16.4响应文件中的磋商函未加盖供应商的企业公章或填写不全的；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16.5报价一经涂改，未在涂改处加盖投标单位公章或者未经法定代表人或其授权代表签字或盖章的；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16.6因未按规定的格式填写，内容不全或主要实质性内容字迹模糊辨认不清,经评标委员会认定为无法评审的；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16.7出现同一标的物或本次采购产品(服务)内的主要产品(重要组成部分)出现技术、商务描述不一致或前后描述不一致，经评标委员会认定后为无法评审的；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16.8响应详细配置清单响应表不真实填写或弄虚作假的；改变磋商文件提供的清单中的计量单位、工程数量；</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16.9对采购产品技术规格未详细应答，致使其技术文件无法评审的；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16.10响应文件有采购方不能接受的条件；</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16.12磋商报价超过预算金额或最高限价的；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16.13响应文件“商务技术文件资料”部分中出现《报价一览表》或《磋商报价明细表》相关内容的；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16.14评标委员会认定有重大偏差或实质性不响应磋商文件要求的，即“★”的关键性指标及技术参数要求负偏离或缺漏；</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16.15供应商拒绝按磋商文件规定的修正原则对响应文件进行修改的；</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16.16有下列情形之一的，视为供应商串通投标，其投标无效：</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16.16.1不同供应商的响应文件由同一单位或者个人编制；</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16.16.2不同供应商委托同一单位或者个人办理投标事宜；</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16.16.3不同供应商的响应文件载明的项目管理成员或者联系人员为同一人；</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16.16.4不同供应商的响应文件异常一致或者投标报价呈规律性差异；</w:t>
      </w:r>
    </w:p>
    <w:p>
      <w:pPr>
        <w:spacing w:line="336" w:lineRule="auto"/>
        <w:ind w:firstLine="482" w:firstLineChars="200"/>
        <w:rPr>
          <w:rFonts w:ascii="宋体" w:hAnsi="宋体" w:cs="宋体"/>
          <w:b/>
          <w:bCs/>
          <w:sz w:val="24"/>
          <w:szCs w:val="24"/>
        </w:rPr>
      </w:pPr>
      <w:r>
        <w:rPr>
          <w:rFonts w:hint="eastAsia" w:ascii="宋体" w:hAnsi="宋体" w:cs="宋体"/>
          <w:b/>
          <w:bCs/>
          <w:sz w:val="24"/>
          <w:szCs w:val="24"/>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rFonts w:ascii="宋体" w:hAnsi="宋体" w:cs="宋体"/>
          <w:b/>
          <w:sz w:val="24"/>
        </w:rPr>
      </w:pPr>
      <w:r>
        <w:rPr>
          <w:rFonts w:hint="eastAsia" w:ascii="宋体" w:hAnsi="宋体" w:cs="宋体"/>
          <w:b/>
          <w:bCs/>
          <w:sz w:val="24"/>
          <w:szCs w:val="24"/>
        </w:rPr>
        <w:t>16.17</w:t>
      </w:r>
      <w:r>
        <w:rPr>
          <w:rFonts w:hint="eastAsia" w:ascii="宋体" w:hAnsi="宋体" w:cs="宋体"/>
          <w:b/>
          <w:sz w:val="24"/>
        </w:rPr>
        <w:t>员工工资标准低于上虞区最低工资标准的；</w:t>
      </w:r>
    </w:p>
    <w:p>
      <w:pPr>
        <w:tabs>
          <w:tab w:val="left" w:pos="3870"/>
          <w:tab w:val="left" w:pos="4085"/>
        </w:tabs>
        <w:snapToGrid w:val="0"/>
        <w:spacing w:line="336" w:lineRule="auto"/>
        <w:ind w:firstLine="482" w:firstLineChars="200"/>
        <w:jc w:val="left"/>
        <w:rPr>
          <w:rFonts w:ascii="宋体" w:hAnsi="宋体" w:cs="宋体"/>
          <w:b/>
          <w:bCs/>
          <w:sz w:val="24"/>
          <w:szCs w:val="24"/>
        </w:rPr>
      </w:pPr>
      <w:r>
        <w:rPr>
          <w:rFonts w:hint="eastAsia" w:ascii="宋体" w:hAnsi="宋体" w:cs="宋体"/>
          <w:b/>
          <w:bCs/>
          <w:sz w:val="24"/>
          <w:szCs w:val="24"/>
        </w:rPr>
        <w:t>16.18 其他违反法律、法规的情形。</w:t>
      </w:r>
    </w:p>
    <w:p>
      <w:pPr>
        <w:pStyle w:val="2"/>
        <w:numPr>
          <w:ilvl w:val="0"/>
          <w:numId w:val="9"/>
        </w:numPr>
        <w:spacing w:line="336" w:lineRule="auto"/>
        <w:jc w:val="center"/>
        <w:rPr>
          <w:rFonts w:hAnsi="宋体"/>
        </w:rPr>
      </w:pPr>
      <w:bookmarkStart w:id="60" w:name="_Toc13076"/>
      <w:bookmarkStart w:id="61" w:name="_Toc21752"/>
      <w:r>
        <w:rPr>
          <w:rFonts w:hint="eastAsia" w:hAnsi="宋体"/>
        </w:rPr>
        <w:t>采购中止的情形</w:t>
      </w:r>
      <w:bookmarkEnd w:id="60"/>
      <w:bookmarkEnd w:id="61"/>
    </w:p>
    <w:p>
      <w:pPr>
        <w:pStyle w:val="11"/>
        <w:spacing w:line="336" w:lineRule="auto"/>
        <w:ind w:left="420" w:leftChars="200"/>
        <w:rPr>
          <w:rFonts w:hAnsi="宋体"/>
          <w:b/>
          <w:bCs/>
          <w:sz w:val="24"/>
          <w:szCs w:val="24"/>
        </w:rPr>
      </w:pPr>
      <w:r>
        <w:rPr>
          <w:rFonts w:hint="eastAsia" w:hAnsi="宋体"/>
          <w:b/>
          <w:bCs/>
          <w:sz w:val="24"/>
          <w:szCs w:val="24"/>
        </w:rPr>
        <w:t>17、</w:t>
      </w:r>
      <w:r>
        <w:rPr>
          <w:rFonts w:hint="eastAsia" w:hAnsi="宋体"/>
          <w:b/>
          <w:bCs/>
          <w:sz w:val="24"/>
          <w:szCs w:val="24"/>
          <w:lang w:val="zh-CN"/>
        </w:rPr>
        <w:t>中止电子交易活动和</w:t>
      </w:r>
      <w:r>
        <w:rPr>
          <w:rFonts w:hint="eastAsia" w:hAnsi="宋体"/>
          <w:b/>
          <w:bCs/>
          <w:sz w:val="24"/>
          <w:szCs w:val="24"/>
        </w:rPr>
        <w:t>重新组织采购</w:t>
      </w:r>
    </w:p>
    <w:p>
      <w:pPr>
        <w:pStyle w:val="51"/>
        <w:tabs>
          <w:tab w:val="left" w:pos="0"/>
        </w:tabs>
        <w:spacing w:before="0" w:line="336" w:lineRule="auto"/>
        <w:ind w:left="420" w:leftChars="200" w:firstLine="0" w:firstLineChars="0"/>
        <w:rPr>
          <w:rFonts w:ascii="宋体" w:hAnsi="宋体" w:cs="宋体"/>
          <w:lang w:val="zh-CN"/>
        </w:rPr>
      </w:pPr>
      <w:r>
        <w:rPr>
          <w:rFonts w:hint="eastAsia" w:ascii="宋体" w:hAnsi="宋体" w:cs="宋体"/>
        </w:rPr>
        <w:t>17.1</w:t>
      </w:r>
      <w:r>
        <w:rPr>
          <w:rFonts w:hint="eastAsia" w:ascii="宋体" w:hAnsi="宋体" w:cs="宋体"/>
          <w:lang w:val="zh-CN"/>
        </w:rPr>
        <w:t>采购过程中出现以下情形，导致电子交易平台无法正常运行，或者无法保证电子交易的公平、公正和安全时，采购组织机构可中止电子交易活动：</w:t>
      </w:r>
    </w:p>
    <w:p>
      <w:pPr>
        <w:numPr>
          <w:ilvl w:val="0"/>
          <w:numId w:val="15"/>
        </w:numPr>
        <w:tabs>
          <w:tab w:val="left" w:pos="0"/>
        </w:tabs>
        <w:spacing w:line="336" w:lineRule="auto"/>
        <w:ind w:firstLine="480" w:firstLineChars="200"/>
        <w:rPr>
          <w:rFonts w:ascii="宋体" w:hAnsi="宋体" w:cs="宋体"/>
          <w:sz w:val="24"/>
          <w:szCs w:val="24"/>
        </w:rPr>
      </w:pPr>
      <w:r>
        <w:rPr>
          <w:rFonts w:hint="eastAsia" w:ascii="宋体" w:hAnsi="宋体" w:cs="宋体"/>
          <w:sz w:val="24"/>
          <w:szCs w:val="24"/>
        </w:rPr>
        <w:t>电子交易平台发生故障而无法登录访问的；</w:t>
      </w:r>
    </w:p>
    <w:p>
      <w:pPr>
        <w:numPr>
          <w:ilvl w:val="0"/>
          <w:numId w:val="15"/>
        </w:numPr>
        <w:tabs>
          <w:tab w:val="left" w:pos="0"/>
        </w:tabs>
        <w:spacing w:line="336" w:lineRule="auto"/>
        <w:ind w:firstLine="480" w:firstLineChars="200"/>
        <w:rPr>
          <w:rFonts w:ascii="宋体" w:hAnsi="宋体" w:cs="宋体"/>
          <w:sz w:val="24"/>
          <w:szCs w:val="24"/>
        </w:rPr>
      </w:pPr>
      <w:r>
        <w:rPr>
          <w:rFonts w:hint="eastAsia" w:ascii="宋体" w:hAnsi="宋体" w:cs="宋体"/>
          <w:sz w:val="24"/>
          <w:szCs w:val="24"/>
        </w:rPr>
        <w:t>电子交易平台应用或数据库出现错误，不能进行正常操作的；</w:t>
      </w:r>
    </w:p>
    <w:p>
      <w:pPr>
        <w:numPr>
          <w:ilvl w:val="0"/>
          <w:numId w:val="15"/>
        </w:numPr>
        <w:tabs>
          <w:tab w:val="left" w:pos="0"/>
        </w:tabs>
        <w:spacing w:line="336" w:lineRule="auto"/>
        <w:ind w:firstLine="480" w:firstLineChars="200"/>
        <w:rPr>
          <w:rFonts w:ascii="宋体" w:hAnsi="宋体" w:cs="宋体"/>
          <w:sz w:val="24"/>
          <w:szCs w:val="24"/>
        </w:rPr>
      </w:pPr>
      <w:r>
        <w:rPr>
          <w:rFonts w:hint="eastAsia" w:ascii="宋体" w:hAnsi="宋体" w:cs="宋体"/>
          <w:sz w:val="24"/>
          <w:szCs w:val="24"/>
        </w:rPr>
        <w:t>电子交易平台发现严重安全漏洞，有潜在泄密危险的；</w:t>
      </w:r>
    </w:p>
    <w:p>
      <w:pPr>
        <w:numPr>
          <w:ilvl w:val="0"/>
          <w:numId w:val="15"/>
        </w:numPr>
        <w:tabs>
          <w:tab w:val="left" w:pos="0"/>
        </w:tabs>
        <w:spacing w:line="336" w:lineRule="auto"/>
        <w:ind w:firstLine="480" w:firstLineChars="200"/>
        <w:rPr>
          <w:rFonts w:ascii="宋体" w:hAnsi="宋体" w:cs="宋体"/>
          <w:sz w:val="24"/>
          <w:szCs w:val="24"/>
        </w:rPr>
      </w:pPr>
      <w:r>
        <w:rPr>
          <w:rFonts w:hint="eastAsia" w:ascii="宋体" w:hAnsi="宋体" w:cs="宋体"/>
          <w:sz w:val="24"/>
          <w:szCs w:val="24"/>
        </w:rPr>
        <w:t>病毒发作导致不能进行正常操作的；</w:t>
      </w:r>
    </w:p>
    <w:p>
      <w:pPr>
        <w:numPr>
          <w:ilvl w:val="0"/>
          <w:numId w:val="15"/>
        </w:numPr>
        <w:tabs>
          <w:tab w:val="left" w:pos="0"/>
        </w:tabs>
        <w:spacing w:line="336" w:lineRule="auto"/>
        <w:ind w:firstLine="480" w:firstLineChars="200"/>
        <w:rPr>
          <w:rFonts w:ascii="宋体" w:hAnsi="宋体" w:cs="宋体"/>
          <w:sz w:val="24"/>
          <w:szCs w:val="24"/>
        </w:rPr>
      </w:pPr>
      <w:r>
        <w:rPr>
          <w:rFonts w:hint="eastAsia" w:ascii="宋体" w:hAnsi="宋体" w:cs="宋体"/>
          <w:sz w:val="24"/>
          <w:szCs w:val="24"/>
        </w:rPr>
        <w:t>其他无法保证电子交易的公平、公正和安全的情况。</w:t>
      </w:r>
    </w:p>
    <w:p>
      <w:pPr>
        <w:pStyle w:val="51"/>
        <w:tabs>
          <w:tab w:val="left" w:pos="0"/>
        </w:tabs>
        <w:spacing w:before="0" w:line="336" w:lineRule="auto"/>
        <w:ind w:firstLine="480"/>
        <w:rPr>
          <w:rFonts w:ascii="宋体" w:hAnsi="宋体" w:cs="宋体"/>
        </w:rPr>
      </w:pPr>
      <w:r>
        <w:rPr>
          <w:rFonts w:hint="eastAsia" w:ascii="宋体" w:hAnsi="宋体" w:cs="宋体"/>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pPr>
        <w:pStyle w:val="2"/>
        <w:numPr>
          <w:ilvl w:val="0"/>
          <w:numId w:val="9"/>
        </w:numPr>
        <w:spacing w:line="336" w:lineRule="auto"/>
        <w:jc w:val="center"/>
        <w:rPr>
          <w:rFonts w:hAnsi="宋体"/>
        </w:rPr>
      </w:pPr>
      <w:bookmarkStart w:id="62" w:name="_Toc7332"/>
      <w:bookmarkStart w:id="63" w:name="_Toc14029"/>
      <w:r>
        <w:rPr>
          <w:rFonts w:hint="eastAsia" w:hAnsi="宋体"/>
        </w:rPr>
        <w:t>确定成交供应商与签订合同</w:t>
      </w:r>
      <w:bookmarkEnd w:id="62"/>
      <w:bookmarkEnd w:id="63"/>
    </w:p>
    <w:p>
      <w:pPr>
        <w:snapToGrid w:val="0"/>
        <w:spacing w:line="336" w:lineRule="auto"/>
        <w:ind w:firstLine="482" w:firstLineChars="200"/>
        <w:rPr>
          <w:rFonts w:ascii="宋体" w:hAnsi="宋体" w:cs="宋体"/>
          <w:b/>
          <w:bCs/>
          <w:sz w:val="24"/>
          <w:szCs w:val="24"/>
        </w:rPr>
      </w:pPr>
      <w:r>
        <w:rPr>
          <w:rFonts w:hint="eastAsia" w:ascii="宋体" w:hAnsi="宋体" w:cs="宋体"/>
          <w:b/>
          <w:bCs/>
          <w:sz w:val="24"/>
          <w:szCs w:val="24"/>
        </w:rPr>
        <w:t>18、推荐成交候选供应商</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pPr>
        <w:snapToGrid w:val="0"/>
        <w:spacing w:line="336" w:lineRule="auto"/>
        <w:ind w:firstLine="480" w:firstLineChars="200"/>
        <w:rPr>
          <w:rFonts w:ascii="宋体" w:hAnsi="宋体" w:cs="宋体"/>
          <w:sz w:val="24"/>
          <w:szCs w:val="24"/>
        </w:rPr>
      </w:pPr>
      <w:r>
        <w:rPr>
          <w:rFonts w:hint="eastAsia" w:ascii="宋体" w:hAnsi="宋体" w:cs="宋体"/>
          <w:sz w:val="24"/>
          <w:szCs w:val="24"/>
        </w:rPr>
        <w:t>18.2 采购代理机构应当在评审结束后2个工作日内将评审报告送采购人确认。</w:t>
      </w:r>
    </w:p>
    <w:p>
      <w:pPr>
        <w:snapToGrid w:val="0"/>
        <w:spacing w:line="336" w:lineRule="auto"/>
        <w:ind w:firstLine="482" w:firstLineChars="200"/>
        <w:rPr>
          <w:rFonts w:ascii="宋体" w:hAnsi="宋体" w:cs="宋体"/>
          <w:b/>
          <w:bCs/>
          <w:sz w:val="24"/>
          <w:szCs w:val="24"/>
        </w:rPr>
      </w:pPr>
      <w:r>
        <w:rPr>
          <w:rFonts w:hint="eastAsia" w:ascii="宋体" w:hAnsi="宋体" w:cs="宋体"/>
          <w:b/>
          <w:bCs/>
          <w:sz w:val="24"/>
          <w:szCs w:val="24"/>
        </w:rPr>
        <w:t>19、确定成交供应商</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19.2采购人或者采购代理机构应当在成交供应商确定后2个工作日内，在省级以上财政部门指定的政府采购信息发布媒体上公告成交结果，同时向成交供应商发出成交通知书。</w:t>
      </w:r>
    </w:p>
    <w:p>
      <w:pPr>
        <w:adjustRightInd w:val="0"/>
        <w:spacing w:line="336" w:lineRule="auto"/>
        <w:ind w:firstLine="482" w:firstLineChars="200"/>
        <w:rPr>
          <w:rFonts w:ascii="宋体" w:hAnsi="宋体" w:cs="宋体"/>
          <w:b/>
          <w:bCs/>
          <w:sz w:val="24"/>
          <w:szCs w:val="24"/>
        </w:rPr>
      </w:pPr>
      <w:r>
        <w:rPr>
          <w:rFonts w:hint="eastAsia" w:ascii="宋体" w:hAnsi="宋体" w:cs="宋体"/>
          <w:b/>
          <w:bCs/>
          <w:sz w:val="24"/>
          <w:szCs w:val="24"/>
        </w:rPr>
        <w:t>20、签订合同</w:t>
      </w:r>
    </w:p>
    <w:p>
      <w:pPr>
        <w:pStyle w:val="51"/>
        <w:snapToGrid w:val="0"/>
        <w:spacing w:before="0" w:line="336" w:lineRule="auto"/>
        <w:ind w:firstLine="480"/>
        <w:rPr>
          <w:rFonts w:ascii="宋体" w:hAnsi="宋体" w:cs="宋体"/>
        </w:rPr>
      </w:pPr>
      <w:r>
        <w:rPr>
          <w:rFonts w:hint="eastAsia" w:ascii="宋体" w:hAnsi="宋体" w:cs="宋体"/>
        </w:rPr>
        <w:t>20.1. 采购人与成交供应商应当在成交通知书发出之日起30日内，按照磋商文件确定的合同文本以及采购标的、规格型号、采购金额、采购数量、技术和服务要求等事项签订政府采购合同。</w:t>
      </w:r>
    </w:p>
    <w:p>
      <w:pPr>
        <w:pStyle w:val="51"/>
        <w:snapToGrid w:val="0"/>
        <w:spacing w:before="0" w:line="336" w:lineRule="auto"/>
        <w:ind w:firstLine="480"/>
        <w:rPr>
          <w:rFonts w:ascii="宋体" w:hAnsi="宋体" w:cs="宋体"/>
        </w:rPr>
      </w:pPr>
      <w:r>
        <w:rPr>
          <w:rFonts w:hint="eastAsia" w:ascii="宋体" w:hAnsi="宋体" w:cs="宋体"/>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adjustRightInd w:val="0"/>
        <w:snapToGrid w:val="0"/>
        <w:spacing w:line="336" w:lineRule="auto"/>
        <w:ind w:firstLine="482" w:firstLineChars="200"/>
        <w:rPr>
          <w:rFonts w:ascii="宋体" w:hAnsi="宋体" w:cs="宋体"/>
          <w:b/>
          <w:bCs/>
          <w:sz w:val="24"/>
          <w:szCs w:val="24"/>
        </w:rPr>
      </w:pPr>
      <w:r>
        <w:rPr>
          <w:rFonts w:hint="eastAsia" w:ascii="宋体" w:hAnsi="宋体" w:cs="宋体"/>
          <w:b/>
          <w:bCs/>
          <w:sz w:val="24"/>
          <w:szCs w:val="24"/>
        </w:rPr>
        <w:t>21、解释权</w:t>
      </w:r>
    </w:p>
    <w:p>
      <w:pPr>
        <w:adjustRightInd w:val="0"/>
        <w:spacing w:line="336" w:lineRule="auto"/>
        <w:ind w:firstLine="480" w:firstLineChars="200"/>
        <w:rPr>
          <w:rFonts w:ascii="宋体" w:hAnsi="宋体" w:cs="宋体"/>
          <w:sz w:val="24"/>
          <w:szCs w:val="24"/>
        </w:rPr>
      </w:pPr>
      <w:r>
        <w:rPr>
          <w:rFonts w:hint="eastAsia" w:ascii="宋体" w:hAnsi="宋体" w:cs="宋体"/>
          <w:sz w:val="24"/>
          <w:szCs w:val="24"/>
        </w:rPr>
        <w:t>磋商文件的解释权均属于</w:t>
      </w:r>
      <w:r>
        <w:rPr>
          <w:rFonts w:hint="eastAsia" w:ascii="宋体" w:hAnsi="宋体" w:cs="宋体"/>
          <w:sz w:val="24"/>
          <w:szCs w:val="24"/>
          <w:u w:val="single"/>
        </w:rPr>
        <w:t>绍兴市生态环境局上虞分局</w:t>
      </w:r>
      <w:r>
        <w:rPr>
          <w:rFonts w:hint="eastAsia" w:ascii="宋体" w:hAnsi="宋体" w:cs="宋体"/>
          <w:sz w:val="24"/>
          <w:szCs w:val="24"/>
        </w:rPr>
        <w:t>和</w:t>
      </w:r>
      <w:r>
        <w:rPr>
          <w:rFonts w:hint="eastAsia" w:ascii="宋体" w:hAnsi="宋体" w:cs="宋体"/>
          <w:sz w:val="24"/>
          <w:szCs w:val="24"/>
          <w:u w:val="single"/>
        </w:rPr>
        <w:t>浙江宇康工程管理咨询有限公司</w:t>
      </w:r>
      <w:r>
        <w:rPr>
          <w:rFonts w:hint="eastAsia" w:ascii="宋体" w:hAnsi="宋体" w:cs="宋体"/>
          <w:sz w:val="24"/>
          <w:szCs w:val="24"/>
        </w:rPr>
        <w:t>。</w:t>
      </w:r>
    </w:p>
    <w:p>
      <w:pPr>
        <w:pStyle w:val="9"/>
      </w:pPr>
    </w:p>
    <w:p>
      <w:pPr>
        <w:pStyle w:val="3"/>
        <w:jc w:val="center"/>
        <w:rPr>
          <w:rFonts w:ascii="宋体" w:hAnsi="宋体" w:cs="宋体"/>
          <w:sz w:val="36"/>
          <w:szCs w:val="36"/>
        </w:rPr>
      </w:pPr>
      <w:r>
        <w:rPr>
          <w:rFonts w:hint="eastAsia" w:ascii="宋体" w:hAnsi="宋体" w:cs="宋体"/>
          <w:sz w:val="36"/>
          <w:szCs w:val="36"/>
        </w:rPr>
        <w:br w:type="page"/>
      </w:r>
      <w:bookmarkStart w:id="64" w:name="_Toc18043"/>
      <w:bookmarkStart w:id="65" w:name="_Toc21248"/>
      <w:r>
        <w:rPr>
          <w:rFonts w:hint="eastAsia" w:ascii="宋体" w:hAnsi="宋体" w:cs="宋体"/>
          <w:sz w:val="36"/>
          <w:szCs w:val="36"/>
        </w:rPr>
        <w:t>第三部分 采购内容及要求</w:t>
      </w:r>
      <w:bookmarkEnd w:id="64"/>
      <w:bookmarkEnd w:id="65"/>
    </w:p>
    <w:p>
      <w:pPr>
        <w:pStyle w:val="2"/>
        <w:jc w:val="center"/>
        <w:rPr>
          <w:rFonts w:hAnsi="宋体"/>
        </w:rPr>
      </w:pPr>
      <w:bookmarkStart w:id="66" w:name="_Toc915"/>
      <w:bookmarkStart w:id="67" w:name="_Toc25073"/>
      <w:bookmarkStart w:id="68" w:name="_Toc15284"/>
      <w:r>
        <w:rPr>
          <w:rFonts w:hint="eastAsia" w:hAnsi="宋体"/>
        </w:rPr>
        <w:t xml:space="preserve">第一章 </w:t>
      </w:r>
      <w:bookmarkStart w:id="69" w:name="_Toc506107120"/>
      <w:r>
        <w:rPr>
          <w:rFonts w:hint="eastAsia" w:hAnsi="宋体"/>
        </w:rPr>
        <w:t>采购内容及要求</w:t>
      </w:r>
      <w:bookmarkEnd w:id="66"/>
      <w:bookmarkEnd w:id="67"/>
      <w:bookmarkEnd w:id="69"/>
    </w:p>
    <w:p>
      <w:pPr>
        <w:autoSpaceDE w:val="0"/>
        <w:autoSpaceDN w:val="0"/>
        <w:adjustRightInd w:val="0"/>
        <w:spacing w:line="360" w:lineRule="auto"/>
        <w:ind w:firstLine="472" w:firstLineChars="196"/>
        <w:jc w:val="left"/>
        <w:rPr>
          <w:rFonts w:ascii="宋体" w:hAnsi="宋体" w:cs="宋体"/>
          <w:b/>
          <w:bCs/>
          <w:sz w:val="24"/>
          <w:szCs w:val="24"/>
        </w:rPr>
      </w:pPr>
      <w:bookmarkStart w:id="70" w:name="_Toc20154"/>
      <w:bookmarkStart w:id="71" w:name="_Toc383594466"/>
      <w:bookmarkStart w:id="72" w:name="_Toc388866625"/>
      <w:bookmarkStart w:id="73" w:name="_Toc370912322"/>
      <w:bookmarkStart w:id="74" w:name="_Toc339877854"/>
      <w:bookmarkStart w:id="75" w:name="_Toc370460889"/>
      <w:r>
        <w:rPr>
          <w:rFonts w:hint="eastAsia" w:ascii="宋体" w:hAnsi="宋体" w:cs="宋体"/>
          <w:b/>
          <w:bCs/>
          <w:sz w:val="24"/>
          <w:szCs w:val="24"/>
        </w:rPr>
        <w:t>一、项目概况</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2022年上虞区空气质量优良率较去年同期大幅下降，主要污染物臭氧浓度较去年同期大幅升高。为切实有效改善环境空气质量，主动打好大气污染防治主动仗、攻坚仗、翻身仗，确保攻坚整改顺利销号，同步做好亚运会环境空气质量保障工作。我局拟通过购买第三方技术服务，引入专业技术团队协助开展上虞区大气污染防治攻坚整改工作，协助开展“重点行业整治技术服务”、“挥发性有机物专项治理技术服务”、“移动源污染治理攻坚技术服务”和“污染天气应急管控技术服务”等重点工作。</w:t>
      </w:r>
    </w:p>
    <w:p>
      <w:pPr>
        <w:pStyle w:val="14"/>
        <w:ind w:firstLine="482" w:firstLineChars="200"/>
        <w:rPr>
          <w:rFonts w:ascii="宋体" w:hAnsi="宋体" w:cs="宋体"/>
          <w:b/>
          <w:bCs/>
          <w:sz w:val="24"/>
          <w:szCs w:val="24"/>
        </w:rPr>
      </w:pPr>
      <w:r>
        <w:rPr>
          <w:rFonts w:hint="eastAsia" w:ascii="宋体" w:hAnsi="宋体" w:cs="宋体"/>
          <w:b/>
          <w:bCs/>
          <w:sz w:val="24"/>
          <w:szCs w:val="24"/>
        </w:rPr>
        <w:t>二、项目工作内容</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（一）重点行业整治技术服务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①企业排查：对列入重点行业整治的家具制造、塑料制品和伞业配件企业实现检查全覆盖，建立问题清单库；</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②精细化诊断：针对存在较多环保问题的企业出具精细化诊断报告（不少于40家）；</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③指导企业对照环保整治标准开展整改提升，协助指导整治验收：列入整治清单企业全覆盖。</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（二）挥发性有机物专项治理技术服务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源头替代现状摸底调查及分析报告编制，指导重点行业开展源头替代工作：以家具制造、塑料制品、伞业配件企业为主，开展源头替代摸底调查，发表调查不少于200家（其中入户调查不少于100家），编制上虞区重点行业源头替代现状分析报告，指导重点行业开展源头替代工作（不少于30家）；</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②低效治理设施企业现状摸底调查及技术指导：开展低效治理设施摸底调查并编制清单，为高效安全废气治理设施标准制定提供技术指导；</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③涉活性炭使用企业现状摸底调查及技术指导：开展涉活性炭使用企业摸底调查并编制清单，制定技术规范，并为活性炭回收、集中处置再生的管理体系建立提供技术指导。</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（三）移动源污染治理攻坚技术服务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①老旧柴油叉车底数摸排调查：开展老旧柴油叉车摸排调查并编制清单；</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②协助完成淘汰替换补助资料审核。</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（四）污染天气应急管控技术服务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①重污染天气重点行业绩效分级提档专项技术服务：绩效提级指导与审核服务（不少于10家）；</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②国控气站污染分析：全面分析上虞中学、重华小学国控气站历年臭氧污染情况并编制分析报告；</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③开展亚运会期间空气质量应急保障工作技术指导服务。</w:t>
      </w:r>
    </w:p>
    <w:p>
      <w:pPr>
        <w:autoSpaceDE w:val="0"/>
        <w:autoSpaceDN w:val="0"/>
        <w:adjustRightInd w:val="0"/>
        <w:spacing w:line="360" w:lineRule="auto"/>
        <w:ind w:firstLine="472" w:firstLineChars="196"/>
        <w:jc w:val="left"/>
        <w:rPr>
          <w:rFonts w:ascii="宋体" w:hAnsi="宋体" w:cs="宋体"/>
          <w:b/>
          <w:sz w:val="24"/>
          <w:szCs w:val="24"/>
        </w:rPr>
      </w:pPr>
      <w:r>
        <w:rPr>
          <w:rFonts w:hint="eastAsia" w:ascii="宋体" w:hAnsi="宋体" w:cs="宋体"/>
          <w:b/>
          <w:sz w:val="24"/>
          <w:szCs w:val="24"/>
        </w:rPr>
        <w:t>三、项目成果要求</w:t>
      </w:r>
    </w:p>
    <w:p>
      <w:pPr>
        <w:pStyle w:val="81"/>
        <w:spacing w:line="360" w:lineRule="auto"/>
        <w:ind w:firstLine="480"/>
        <w:rPr>
          <w:rFonts w:ascii="宋体" w:hAnsi="宋体" w:eastAsia="宋体" w:cs="宋体"/>
          <w:sz w:val="24"/>
          <w:szCs w:val="24"/>
        </w:rPr>
      </w:pPr>
      <w:r>
        <w:rPr>
          <w:rFonts w:hint="eastAsia" w:ascii="宋体" w:hAnsi="宋体" w:eastAsia="宋体" w:cs="宋体"/>
          <w:sz w:val="24"/>
          <w:szCs w:val="24"/>
        </w:rPr>
        <w:t>（一）深度要求：符合相关法律法规、标准要求。</w:t>
      </w:r>
    </w:p>
    <w:p>
      <w:pPr>
        <w:pStyle w:val="81"/>
        <w:spacing w:line="360" w:lineRule="auto"/>
        <w:ind w:firstLine="480"/>
        <w:rPr>
          <w:rFonts w:ascii="宋体" w:hAnsi="宋体" w:eastAsia="宋体" w:cs="宋体"/>
          <w:sz w:val="24"/>
          <w:szCs w:val="24"/>
        </w:rPr>
      </w:pPr>
      <w:r>
        <w:rPr>
          <w:rFonts w:hint="eastAsia" w:ascii="宋体" w:hAnsi="宋体" w:eastAsia="宋体" w:cs="宋体"/>
          <w:sz w:val="24"/>
          <w:szCs w:val="24"/>
        </w:rPr>
        <w:t>（二）形式要求：</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①梳理家具制造、塑料制品和伞业配件为主的重点企业问题清单，并提交40家企业精细化诊断报告；</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②梳理企业源头替代调查表，低效治理设施企业调查表、涉活性炭企业调查表，并提交《上虞区重点行业源头替代现状分析报告》《上虞区重点行业低效设施升级技术规范》和《上虞区活性炭分散吸附、集中再生技术及应用规范》；</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③梳理老旧柴油叉车清单，提供资料审核技术支持；</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④提交《上虞区国控气站污染分析报告》。</w:t>
      </w:r>
    </w:p>
    <w:p>
      <w:pPr>
        <w:autoSpaceDE w:val="0"/>
        <w:autoSpaceDN w:val="0"/>
        <w:adjustRightInd w:val="0"/>
        <w:spacing w:line="360" w:lineRule="auto"/>
        <w:ind w:firstLine="472" w:firstLineChars="196"/>
        <w:jc w:val="left"/>
        <w:rPr>
          <w:rFonts w:ascii="宋体" w:hAnsi="宋体" w:cs="宋体"/>
          <w:b/>
          <w:sz w:val="24"/>
          <w:szCs w:val="24"/>
        </w:rPr>
      </w:pPr>
      <w:r>
        <w:rPr>
          <w:rFonts w:hint="eastAsia" w:ascii="宋体" w:hAnsi="宋体" w:cs="宋体"/>
          <w:b/>
          <w:sz w:val="24"/>
          <w:szCs w:val="24"/>
        </w:rPr>
        <w:t>四、项目完成期限</w:t>
      </w:r>
    </w:p>
    <w:p>
      <w:pPr>
        <w:pStyle w:val="81"/>
        <w:spacing w:line="360" w:lineRule="auto"/>
        <w:ind w:firstLine="480"/>
        <w:rPr>
          <w:rFonts w:ascii="宋体" w:hAnsi="宋体" w:eastAsia="宋体" w:cs="宋体"/>
          <w:sz w:val="24"/>
          <w:szCs w:val="24"/>
        </w:rPr>
      </w:pPr>
      <w:r>
        <w:rPr>
          <w:rFonts w:hint="eastAsia" w:ascii="宋体" w:hAnsi="宋体" w:eastAsia="宋体" w:cs="宋体"/>
          <w:sz w:val="24"/>
          <w:szCs w:val="24"/>
        </w:rPr>
        <w:t>合同签订后一年，2023年   月   日至2024年   月    日。</w:t>
      </w:r>
    </w:p>
    <w:p>
      <w:pPr>
        <w:pStyle w:val="81"/>
        <w:spacing w:line="360" w:lineRule="auto"/>
        <w:ind w:firstLine="480"/>
        <w:rPr>
          <w:rFonts w:ascii="宋体" w:hAnsi="宋体" w:eastAsia="宋体" w:cs="宋体"/>
          <w:sz w:val="24"/>
          <w:szCs w:val="24"/>
        </w:rPr>
      </w:pPr>
    </w:p>
    <w:bookmarkEnd w:id="70"/>
    <w:bookmarkEnd w:id="71"/>
    <w:bookmarkEnd w:id="72"/>
    <w:bookmarkEnd w:id="73"/>
    <w:bookmarkEnd w:id="74"/>
    <w:bookmarkEnd w:id="75"/>
    <w:p>
      <w:pPr>
        <w:pStyle w:val="2"/>
        <w:jc w:val="center"/>
        <w:rPr>
          <w:rFonts w:hAnsi="宋体"/>
        </w:rPr>
      </w:pPr>
      <w:bookmarkStart w:id="76" w:name="_Toc83283744"/>
      <w:bookmarkStart w:id="77" w:name="_Toc4575"/>
      <w:r>
        <w:rPr>
          <w:rFonts w:hint="eastAsia" w:hAnsi="宋体"/>
        </w:rPr>
        <w:t>第二章  付款方式及要求</w:t>
      </w:r>
      <w:bookmarkEnd w:id="76"/>
      <w:bookmarkEnd w:id="77"/>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一、付款方式：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（1）合同签订后支付至合同总价的40%；</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（2）2023年12月底支付至合同总价的65%（具体根据资金落实情况执行）；</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（3）余款在项目完成后付清。</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二、付款要求：</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r>
        <w:rPr>
          <w:rFonts w:hint="eastAsia" w:ascii="宋体" w:hAnsi="宋体" w:cs="宋体"/>
          <w:sz w:val="24"/>
          <w:szCs w:val="24"/>
        </w:rPr>
        <w:br w:type="page"/>
      </w:r>
    </w:p>
    <w:p>
      <w:pPr>
        <w:pStyle w:val="3"/>
        <w:jc w:val="center"/>
        <w:rPr>
          <w:rFonts w:ascii="宋体" w:hAnsi="宋体" w:cs="宋体"/>
          <w:sz w:val="36"/>
          <w:szCs w:val="36"/>
        </w:rPr>
      </w:pPr>
      <w:bookmarkStart w:id="78" w:name="_Toc30191"/>
      <w:r>
        <w:rPr>
          <w:rFonts w:hint="eastAsia" w:ascii="宋体" w:hAnsi="宋体" w:cs="宋体"/>
          <w:sz w:val="36"/>
          <w:szCs w:val="36"/>
        </w:rPr>
        <w:t>第四部分 磋商原则及磋商方法</w:t>
      </w:r>
      <w:bookmarkEnd w:id="68"/>
      <w:bookmarkEnd w:id="78"/>
    </w:p>
    <w:p>
      <w:pPr>
        <w:pStyle w:val="2"/>
        <w:numPr>
          <w:ilvl w:val="0"/>
          <w:numId w:val="16"/>
        </w:numPr>
        <w:jc w:val="center"/>
        <w:rPr>
          <w:rFonts w:hAnsi="宋体"/>
        </w:rPr>
      </w:pPr>
      <w:bookmarkStart w:id="79" w:name="_Toc1265"/>
      <w:bookmarkStart w:id="80" w:name="_Toc15829"/>
      <w:r>
        <w:rPr>
          <w:rFonts w:hint="eastAsia" w:hAnsi="宋体"/>
        </w:rPr>
        <w:t>磋商原则</w:t>
      </w:r>
      <w:bookmarkEnd w:id="79"/>
      <w:bookmarkEnd w:id="80"/>
    </w:p>
    <w:p>
      <w:pPr>
        <w:pStyle w:val="6"/>
        <w:spacing w:line="360" w:lineRule="auto"/>
        <w:ind w:firstLine="480" w:firstLineChars="200"/>
        <w:rPr>
          <w:rFonts w:ascii="宋体" w:hAnsi="宋体" w:cs="宋体"/>
          <w:sz w:val="24"/>
          <w:szCs w:val="24"/>
        </w:rPr>
      </w:pPr>
      <w:r>
        <w:rPr>
          <w:rFonts w:hint="eastAsia" w:ascii="宋体" w:hAnsi="宋体" w:cs="宋体"/>
          <w:sz w:val="24"/>
          <w:szCs w:val="24"/>
        </w:rPr>
        <w:t>1、本次竞争性磋商本着公平、公正、科学、择优的原则，邀请各磋商方参加报价。</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2、磋商小组将严格按照竞争性磋商文件的要求，对供应商的响应性文件进行认真评审；磋商小组对响应性文件的评审仅依据响应性文件本身，而不依据响应性文件以外的任何因素。</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3、磋商小组按照统一的磋商原则和磋商方法，用同一标准对所有响应性文件进行评审。</w:t>
      </w:r>
    </w:p>
    <w:p>
      <w:pPr>
        <w:pStyle w:val="11"/>
        <w:spacing w:line="360" w:lineRule="auto"/>
        <w:ind w:firstLine="482" w:firstLineChars="200"/>
        <w:rPr>
          <w:rFonts w:hAnsi="宋体"/>
          <w:b/>
          <w:bCs/>
          <w:sz w:val="24"/>
          <w:szCs w:val="24"/>
        </w:rPr>
      </w:pPr>
      <w:r>
        <w:rPr>
          <w:rFonts w:hint="eastAsia" w:hAnsi="宋体"/>
          <w:b/>
          <w:bCs/>
          <w:sz w:val="24"/>
          <w:szCs w:val="24"/>
        </w:rPr>
        <w:t>4、评审</w:t>
      </w:r>
    </w:p>
    <w:p>
      <w:pPr>
        <w:pStyle w:val="11"/>
        <w:spacing w:line="360" w:lineRule="auto"/>
        <w:ind w:firstLine="480" w:firstLineChars="200"/>
        <w:rPr>
          <w:rFonts w:hAnsi="宋体"/>
          <w:sz w:val="24"/>
          <w:szCs w:val="24"/>
        </w:rPr>
      </w:pPr>
      <w:r>
        <w:rPr>
          <w:rFonts w:hint="eastAsia" w:hAnsi="宋体"/>
          <w:sz w:val="24"/>
          <w:szCs w:val="24"/>
        </w:rPr>
        <w:t>4.1在磋商响应截止时间前按规定提交响应文件的供应商在三家（含）以上的，由采购人或采购代理机构组织进行开标。</w:t>
      </w:r>
    </w:p>
    <w:p>
      <w:pPr>
        <w:pStyle w:val="11"/>
        <w:spacing w:line="360" w:lineRule="auto"/>
        <w:ind w:firstLine="482" w:firstLineChars="200"/>
        <w:rPr>
          <w:rFonts w:hAnsi="宋体"/>
          <w:sz w:val="24"/>
          <w:szCs w:val="24"/>
        </w:rPr>
      </w:pPr>
      <w:r>
        <w:rPr>
          <w:rFonts w:hint="eastAsia" w:hAnsi="宋体"/>
          <w:b/>
          <w:bCs/>
          <w:sz w:val="24"/>
          <w:szCs w:val="24"/>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hAnsi="宋体"/>
          <w:sz w:val="24"/>
          <w:szCs w:val="24"/>
        </w:rPr>
        <w:t>备份文件（后缀名为.bfbs）须存储在U盘中，与上传的电子磋商响应文件一致，用信封进行密封并盖章</w:t>
      </w:r>
      <w:r>
        <w:rPr>
          <w:rFonts w:hint="eastAsia" w:hAnsi="宋体"/>
          <w:b/>
          <w:bCs/>
          <w:sz w:val="24"/>
          <w:szCs w:val="24"/>
        </w:rPr>
        <w:t>（信封内仅需放入存储备份文件的U盘）</w:t>
      </w:r>
      <w:r>
        <w:rPr>
          <w:rFonts w:hint="eastAsia" w:hAnsi="宋体"/>
          <w:sz w:val="24"/>
          <w:szCs w:val="24"/>
        </w:rPr>
        <w:t>，由授权代表在磋商响应截止时间前递交至开标地点。</w:t>
      </w:r>
    </w:p>
    <w:p>
      <w:pPr>
        <w:pStyle w:val="11"/>
        <w:spacing w:line="360" w:lineRule="auto"/>
        <w:ind w:firstLine="480" w:firstLineChars="200"/>
        <w:rPr>
          <w:rFonts w:hAnsi="宋体"/>
          <w:sz w:val="24"/>
          <w:szCs w:val="24"/>
        </w:rPr>
      </w:pPr>
      <w:r>
        <w:rPr>
          <w:rFonts w:hint="eastAsia" w:hAnsi="宋体"/>
          <w:sz w:val="24"/>
          <w:szCs w:val="24"/>
        </w:rPr>
        <w:t>4.3采购人按磋商文件规定的时间、地点公开开标。开标仪式由采购人或采购代理机构主持及有关人员参加。</w:t>
      </w:r>
    </w:p>
    <w:p>
      <w:pPr>
        <w:pStyle w:val="51"/>
        <w:spacing w:before="0"/>
        <w:ind w:firstLine="480"/>
        <w:rPr>
          <w:rFonts w:ascii="宋体" w:hAnsi="宋体" w:cs="宋体"/>
        </w:rPr>
      </w:pPr>
      <w:r>
        <w:rPr>
          <w:rFonts w:hint="eastAsia" w:ascii="宋体" w:hAnsi="宋体" w:cs="宋体"/>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pPr>
        <w:pStyle w:val="51"/>
        <w:spacing w:before="0"/>
        <w:ind w:firstLine="480"/>
        <w:rPr>
          <w:rFonts w:ascii="宋体" w:hAnsi="宋体" w:cs="宋体"/>
        </w:rPr>
      </w:pPr>
      <w:r>
        <w:rPr>
          <w:rFonts w:hint="eastAsia" w:ascii="宋体" w:hAnsi="宋体" w:cs="宋体"/>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rPr>
          <w:rFonts w:ascii="宋体" w:hAnsi="宋体" w:cs="宋体"/>
          <w:sz w:val="24"/>
          <w:szCs w:val="24"/>
        </w:rPr>
      </w:pPr>
      <w:r>
        <w:rPr>
          <w:rFonts w:hint="eastAsia" w:ascii="宋体" w:hAnsi="宋体" w:cs="宋体"/>
          <w:sz w:val="24"/>
          <w:szCs w:val="24"/>
        </w:rPr>
        <w:t>5、组建磋商小组</w:t>
      </w:r>
    </w:p>
    <w:p>
      <w:pPr>
        <w:pStyle w:val="51"/>
        <w:spacing w:before="0"/>
        <w:ind w:firstLine="480"/>
        <w:rPr>
          <w:rFonts w:ascii="宋体" w:hAnsi="宋体" w:cs="宋体"/>
        </w:rPr>
      </w:pPr>
      <w:r>
        <w:rPr>
          <w:rFonts w:hint="eastAsia" w:ascii="宋体" w:hAnsi="宋体" w:cs="宋体"/>
        </w:rPr>
        <w:t>5.1磋商小组由采购人代表和评审专家共3人或以上单数组成，其中评审专家人数不少于磋商小组成员总数的2/3。</w:t>
      </w:r>
    </w:p>
    <w:p>
      <w:pPr>
        <w:pStyle w:val="51"/>
        <w:tabs>
          <w:tab w:val="left" w:pos="0"/>
        </w:tabs>
        <w:spacing w:before="0"/>
        <w:ind w:firstLine="480"/>
        <w:rPr>
          <w:rFonts w:ascii="宋体" w:hAnsi="宋体" w:cs="宋体"/>
          <w:lang w:val="zh-CN"/>
        </w:rPr>
      </w:pPr>
      <w:r>
        <w:rPr>
          <w:rFonts w:hint="eastAsia" w:ascii="宋体" w:hAnsi="宋体" w:cs="宋体"/>
        </w:rPr>
        <w:t>5.2</w:t>
      </w:r>
      <w:r>
        <w:rPr>
          <w:rFonts w:hint="eastAsia" w:ascii="宋体" w:hAnsi="宋体" w:cs="宋体"/>
          <w:lang w:val="zh-CN"/>
        </w:rPr>
        <w:t>评标工作由评标委员会负责，并推选产生的组长主持；</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5.3</w:t>
      </w:r>
      <w:r>
        <w:rPr>
          <w:rFonts w:hint="eastAsia" w:ascii="宋体" w:hAnsi="宋体" w:cs="宋体"/>
          <w:sz w:val="24"/>
          <w:szCs w:val="24"/>
          <w:lang w:val="zh-CN"/>
        </w:rPr>
        <w:t>本次评标为在线评标。</w:t>
      </w:r>
    </w:p>
    <w:p>
      <w:pPr>
        <w:pStyle w:val="2"/>
        <w:numPr>
          <w:ilvl w:val="0"/>
          <w:numId w:val="16"/>
        </w:numPr>
        <w:jc w:val="center"/>
        <w:rPr>
          <w:rFonts w:hAnsi="宋体"/>
        </w:rPr>
      </w:pPr>
      <w:bookmarkStart w:id="81" w:name="_Toc10093"/>
      <w:bookmarkStart w:id="82" w:name="_Toc26388"/>
      <w:r>
        <w:rPr>
          <w:rFonts w:hint="eastAsia" w:hAnsi="宋体"/>
        </w:rPr>
        <w:t>磋商程序</w:t>
      </w:r>
      <w:bookmarkEnd w:id="81"/>
      <w:bookmarkEnd w:id="82"/>
    </w:p>
    <w:p>
      <w:pPr>
        <w:snapToGrid w:val="0"/>
        <w:spacing w:line="360" w:lineRule="auto"/>
        <w:ind w:firstLine="480"/>
        <w:rPr>
          <w:rFonts w:ascii="宋体" w:hAnsi="宋体" w:cs="宋体"/>
          <w:b/>
          <w:bCs/>
          <w:sz w:val="24"/>
          <w:szCs w:val="24"/>
        </w:rPr>
      </w:pPr>
      <w:r>
        <w:rPr>
          <w:rFonts w:hint="eastAsia" w:ascii="宋体" w:hAnsi="宋体" w:cs="宋体"/>
          <w:b/>
          <w:bCs/>
          <w:sz w:val="24"/>
          <w:szCs w:val="24"/>
        </w:rPr>
        <w:t>1、对所有响应文件的初审</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1.1资格审查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（1）开标后，磋商小组将依法对供应商的资格进行审查。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（2）磋商小组依据法律法规和磋商文件的规定，对供应商的基本资格条件、特定资格条件进行审查。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（3）供应商未按照磋商文件要求提供与基本资格条件、特定资格条件相应的有效资格证明材料的，视为供应商不具备磋商文件中规定的资格要求，其磋商无效。并将无效原由告知相关供应商.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（1）响应文件无法定代表人或其委托授权代表签名或盖章。</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（2）响应文件内容虚假的。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（3）响应文件有采购人不能接受的附加条件的。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（4）磋商有效期、服务期等商务条款不能满足磋商文件要求的。</w:t>
      </w:r>
    </w:p>
    <w:p>
      <w:pPr>
        <w:widowControl/>
        <w:spacing w:line="360" w:lineRule="auto"/>
        <w:ind w:firstLine="482"/>
        <w:jc w:val="left"/>
        <w:rPr>
          <w:rFonts w:ascii="宋体" w:hAnsi="宋体" w:cs="宋体"/>
          <w:sz w:val="24"/>
          <w:szCs w:val="24"/>
        </w:rPr>
      </w:pPr>
      <w:r>
        <w:rPr>
          <w:rFonts w:hint="eastAsia" w:ascii="宋体" w:hAnsi="宋体" w:cs="宋体"/>
          <w:sz w:val="24"/>
          <w:szCs w:val="24"/>
        </w:rPr>
        <w:t>（5）投标价格超出预算或最高限价，导致采购单位无法支付的。</w:t>
      </w:r>
    </w:p>
    <w:p>
      <w:pPr>
        <w:widowControl/>
        <w:spacing w:line="360" w:lineRule="auto"/>
        <w:ind w:firstLine="482"/>
        <w:jc w:val="left"/>
        <w:rPr>
          <w:rFonts w:ascii="宋体" w:hAnsi="宋体" w:cs="宋体"/>
          <w:sz w:val="24"/>
          <w:szCs w:val="24"/>
        </w:rPr>
      </w:pPr>
      <w:r>
        <w:rPr>
          <w:rFonts w:hint="eastAsia" w:ascii="宋体" w:hAnsi="宋体" w:cs="宋体"/>
          <w:sz w:val="24"/>
          <w:szCs w:val="24"/>
        </w:rPr>
        <w:t>（6）磋商文件明确规定的其他无效条款的。</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1"/>
        <w:tabs>
          <w:tab w:val="left" w:pos="0"/>
        </w:tabs>
        <w:spacing w:before="0"/>
        <w:ind w:firstLine="480"/>
        <w:rPr>
          <w:rFonts w:ascii="宋体" w:hAnsi="宋体" w:cs="宋体"/>
        </w:rPr>
      </w:pPr>
      <w:r>
        <w:rPr>
          <w:rFonts w:hint="eastAsia" w:ascii="宋体" w:hAnsi="宋体" w:cs="宋体"/>
        </w:rPr>
        <w:t>1.4磋商小组要求供应商澄清、说明或者更正响应文件应当以书面形式发出。供应商的澄清、说明或者更正应当由法定代表人或其授权代表签字或者加盖公章。由授权代表签字的，应当附法定代表人授权书。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、磋商</w:t>
      </w:r>
    </w:p>
    <w:p>
      <w:pPr>
        <w:snapToGrid w:val="0"/>
        <w:spacing w:line="360" w:lineRule="auto"/>
        <w:ind w:firstLine="480"/>
        <w:rPr>
          <w:rFonts w:ascii="宋体" w:hAnsi="宋体" w:cs="宋体"/>
          <w:sz w:val="24"/>
          <w:szCs w:val="24"/>
        </w:rPr>
      </w:pPr>
      <w:r>
        <w:rPr>
          <w:rFonts w:hint="eastAsia" w:ascii="宋体" w:hAnsi="宋体" w:cs="宋体"/>
          <w:sz w:val="24"/>
          <w:szCs w:val="24"/>
        </w:rPr>
        <w:t>2.1 初审合格的供应商进入下一步的磋商活动。</w:t>
      </w:r>
    </w:p>
    <w:p>
      <w:pPr>
        <w:snapToGrid w:val="0"/>
        <w:spacing w:line="360" w:lineRule="auto"/>
        <w:ind w:firstLine="480"/>
        <w:rPr>
          <w:rFonts w:ascii="宋体" w:hAnsi="宋体" w:cs="宋体"/>
          <w:sz w:val="24"/>
          <w:szCs w:val="24"/>
        </w:rPr>
      </w:pPr>
      <w:r>
        <w:rPr>
          <w:rFonts w:hint="eastAsia" w:ascii="宋体" w:hAnsi="宋体" w:cs="宋体"/>
          <w:sz w:val="24"/>
          <w:szCs w:val="24"/>
        </w:rPr>
        <w:t>2.2 磋商小组所有成员应当集中与单一供应商分别进行磋商，并给予所有参加磋商的供应商平等的磋商机会。</w:t>
      </w:r>
    </w:p>
    <w:p>
      <w:pPr>
        <w:snapToGrid w:val="0"/>
        <w:spacing w:line="360" w:lineRule="auto"/>
        <w:ind w:firstLine="480"/>
        <w:rPr>
          <w:rFonts w:ascii="宋体" w:hAnsi="宋体" w:cs="宋体"/>
          <w:sz w:val="24"/>
          <w:szCs w:val="24"/>
        </w:rPr>
      </w:pPr>
      <w:r>
        <w:rPr>
          <w:rFonts w:hint="eastAsia" w:ascii="宋体" w:hAnsi="宋体" w:cs="宋体"/>
          <w:sz w:val="24"/>
          <w:szCs w:val="24"/>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pPr>
        <w:snapToGrid w:val="0"/>
        <w:spacing w:line="360" w:lineRule="auto"/>
        <w:ind w:firstLine="480"/>
        <w:rPr>
          <w:rFonts w:ascii="宋体" w:hAnsi="宋体" w:cs="宋体"/>
          <w:sz w:val="24"/>
          <w:szCs w:val="24"/>
        </w:rPr>
      </w:pPr>
      <w:r>
        <w:rPr>
          <w:rFonts w:hint="eastAsia" w:ascii="宋体" w:hAnsi="宋体" w:cs="宋体"/>
          <w:sz w:val="24"/>
          <w:szCs w:val="24"/>
        </w:rPr>
        <w:t>2.4 在磋商过程中，磋商小组可以根据磋商文件和磋商情况实质性变动采购需求中的技术、服务要求以及合同草案条款。实质性变动的内容，须经采购人代表确认。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2.5 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60" w:lineRule="auto"/>
        <w:ind w:firstLine="480"/>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、最后报价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3.1商务技术汇总后，供应商开启报价文件，磋商小组应当要求所有实质性响应的供应商在规定时间内提交最后报价。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3.2最后报价是供应商响应文件的有效组成部分，若最后报价高于响应文件报价文件报价，则以第一次报价计入评分。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3.3已提交响应文件的供应商，在提交最后报价之前，若因磋商文件实质性变动导致供应商无法满足采购需求的，允许供应商退出磋商。</w:t>
      </w:r>
    </w:p>
    <w:p>
      <w:pPr>
        <w:pStyle w:val="6"/>
        <w:spacing w:line="360" w:lineRule="auto"/>
        <w:ind w:firstLine="482" w:firstLineChars="200"/>
        <w:rPr>
          <w:rFonts w:ascii="宋体" w:hAnsi="宋体" w:cs="宋体"/>
          <w:b/>
          <w:bCs/>
          <w:sz w:val="24"/>
          <w:szCs w:val="24"/>
        </w:rPr>
      </w:pPr>
      <w:r>
        <w:rPr>
          <w:rFonts w:hint="eastAsia" w:ascii="宋体" w:hAnsi="宋体" w:cs="宋体"/>
          <w:b/>
          <w:bCs/>
          <w:sz w:val="24"/>
          <w:szCs w:val="24"/>
        </w:rPr>
        <w:t>4、电子评标</w:t>
      </w:r>
    </w:p>
    <w:p>
      <w:pPr>
        <w:pStyle w:val="6"/>
        <w:spacing w:line="360" w:lineRule="auto"/>
        <w:ind w:firstLine="0"/>
        <w:rPr>
          <w:rFonts w:ascii="宋体" w:hAnsi="宋体" w:cs="宋体"/>
          <w:sz w:val="24"/>
          <w:szCs w:val="24"/>
        </w:rPr>
      </w:pPr>
      <w:r>
        <w:rPr>
          <w:rFonts w:hint="eastAsia" w:ascii="宋体" w:hAnsi="宋体" w:cs="宋体"/>
          <w:sz w:val="24"/>
          <w:szCs w:val="24"/>
        </w:rPr>
        <w:t xml:space="preserve">    4.1磋商活动由采购代理机构主持,磋商响应截止时间后,供应商登录政采云平台对电子响应文件进行在线解密；</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4.2响应文件解密结束,开启响应文件,磋商小组对资格和商务技术响应文件进行资格审查和符合性审查；</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4.3供应商按递交磋商响应文件的前后顺序决定磋商的顺序,就价格、服务等认为需要磋商的内容进行磋商,供应商逐家回答磋商小组的提问,供应商作出最终承诺；</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4.4磋商小组对商务技术响应文件进行评审；</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4.5商务技术汇总后，供应商开启报价文件，进行磋商二次报价（最终报价），</w:t>
      </w:r>
      <w:r>
        <w:rPr>
          <w:rFonts w:hint="eastAsia" w:ascii="宋体" w:hAnsi="宋体" w:cs="宋体"/>
          <w:b/>
          <w:bCs/>
          <w:sz w:val="24"/>
          <w:szCs w:val="24"/>
        </w:rPr>
        <w:t>如果供应商在规定时间30分钟内未提交第二次报价，视该供应商放弃本次投标，作无效标处理</w:t>
      </w:r>
      <w:r>
        <w:rPr>
          <w:rFonts w:hint="eastAsia" w:ascii="宋体" w:hAnsi="宋体" w:cs="宋体"/>
          <w:sz w:val="24"/>
          <w:szCs w:val="24"/>
        </w:rPr>
        <w:t>；</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4.6在系统上开启最终报价情况；</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4.7磋商小组对报价情况进行评审；</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4.8在系统上公开资格和商务技术评审结果；</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4.9在系统上公布评审结果。</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4.10开标会结束。</w:t>
      </w:r>
    </w:p>
    <w:p>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特别说明:政采云如对电子化开标及评审程序有调整的,按调整后的程序操作。</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5.综合评分</w:t>
      </w:r>
    </w:p>
    <w:p>
      <w:pPr>
        <w:tabs>
          <w:tab w:val="left" w:pos="-1080"/>
          <w:tab w:val="left" w:pos="180"/>
          <w:tab w:val="left" w:pos="1080"/>
        </w:tabs>
        <w:snapToGrid w:val="0"/>
        <w:spacing w:line="360" w:lineRule="auto"/>
        <w:ind w:firstLine="480"/>
        <w:rPr>
          <w:rFonts w:ascii="宋体" w:hAnsi="宋体" w:cs="宋体"/>
          <w:kern w:val="0"/>
          <w:sz w:val="24"/>
          <w:szCs w:val="24"/>
        </w:rPr>
      </w:pPr>
      <w:r>
        <w:rPr>
          <w:rFonts w:hint="eastAsia" w:ascii="宋体" w:hAnsi="宋体" w:cs="宋体"/>
          <w:sz w:val="24"/>
          <w:szCs w:val="24"/>
        </w:rPr>
        <w:t>5.1本评标办法采用综合评标法，由商务技术分和报价分合计组成，其中商务技术分</w:t>
      </w:r>
      <w:r>
        <w:rPr>
          <w:rFonts w:hint="eastAsia" w:ascii="宋体" w:hAnsi="宋体" w:cs="宋体"/>
          <w:sz w:val="24"/>
          <w:szCs w:val="24"/>
          <w:u w:val="single"/>
        </w:rPr>
        <w:t>80</w:t>
      </w:r>
      <w:r>
        <w:rPr>
          <w:rFonts w:hint="eastAsia" w:ascii="宋体" w:hAnsi="宋体" w:cs="宋体"/>
          <w:sz w:val="24"/>
          <w:szCs w:val="24"/>
        </w:rPr>
        <w:t>分、报价分</w:t>
      </w:r>
      <w:r>
        <w:rPr>
          <w:rFonts w:hint="eastAsia" w:ascii="宋体" w:hAnsi="宋体" w:cs="宋体"/>
          <w:sz w:val="24"/>
          <w:szCs w:val="24"/>
          <w:u w:val="single"/>
        </w:rPr>
        <w:t>20</w:t>
      </w:r>
      <w:r>
        <w:rPr>
          <w:rFonts w:hint="eastAsia" w:ascii="宋体" w:hAnsi="宋体" w:cs="宋体"/>
          <w:sz w:val="24"/>
          <w:szCs w:val="24"/>
        </w:rPr>
        <w:t>分；满分为100分。</w:t>
      </w:r>
    </w:p>
    <w:p>
      <w:pPr>
        <w:spacing w:line="360" w:lineRule="auto"/>
        <w:ind w:firstLine="480"/>
        <w:rPr>
          <w:rFonts w:ascii="宋体" w:hAnsi="宋体" w:cs="宋体"/>
          <w:sz w:val="24"/>
          <w:szCs w:val="24"/>
        </w:rPr>
      </w:pPr>
      <w:r>
        <w:rPr>
          <w:rFonts w:hint="eastAsia" w:ascii="宋体" w:hAnsi="宋体" w:cs="宋体"/>
          <w:sz w:val="24"/>
          <w:szCs w:val="24"/>
        </w:rPr>
        <w:t>5.2经初步评审合格的响应文件，磋商小组根据竞争性磋商文件确定的评审标准和方法，对其商务技术部分作进一步评审、比较、打分。</w:t>
      </w:r>
    </w:p>
    <w:p>
      <w:pPr>
        <w:pStyle w:val="11"/>
        <w:spacing w:line="360" w:lineRule="auto"/>
        <w:ind w:firstLine="480" w:firstLineChars="200"/>
        <w:rPr>
          <w:rFonts w:hAnsi="宋体"/>
          <w:sz w:val="24"/>
          <w:szCs w:val="24"/>
        </w:rPr>
      </w:pPr>
      <w:r>
        <w:rPr>
          <w:rFonts w:hint="eastAsia" w:hAnsi="宋体"/>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pPr>
        <w:pStyle w:val="11"/>
        <w:spacing w:line="360" w:lineRule="auto"/>
        <w:ind w:left="420" w:leftChars="200"/>
        <w:rPr>
          <w:rFonts w:hAnsi="宋体"/>
          <w:b/>
          <w:bCs/>
          <w:sz w:val="24"/>
          <w:szCs w:val="24"/>
        </w:rPr>
      </w:pPr>
      <w:r>
        <w:rPr>
          <w:rFonts w:hint="eastAsia" w:hAnsi="宋体"/>
          <w:b/>
          <w:bCs/>
          <w:sz w:val="24"/>
          <w:szCs w:val="24"/>
        </w:rPr>
        <w:t>6、修正原则</w:t>
      </w:r>
    </w:p>
    <w:p>
      <w:pPr>
        <w:pStyle w:val="51"/>
        <w:spacing w:before="0"/>
        <w:ind w:left="420" w:leftChars="200" w:firstLine="0" w:firstLineChars="0"/>
        <w:rPr>
          <w:rFonts w:ascii="宋体" w:hAnsi="宋体" w:cs="宋体"/>
          <w:lang w:val="zh-CN"/>
        </w:rPr>
      </w:pPr>
      <w:r>
        <w:rPr>
          <w:rFonts w:hint="eastAsia" w:ascii="宋体" w:hAnsi="宋体" w:cs="宋体"/>
        </w:rPr>
        <w:t>响应</w:t>
      </w:r>
      <w:r>
        <w:rPr>
          <w:rFonts w:hint="eastAsia" w:ascii="宋体" w:hAnsi="宋体" w:cs="宋体"/>
          <w:lang w:val="zh-CN"/>
        </w:rPr>
        <w:t>文件报价出现前后不一致的，按照下列规定修正：</w:t>
      </w:r>
    </w:p>
    <w:p>
      <w:pPr>
        <w:pStyle w:val="51"/>
        <w:tabs>
          <w:tab w:val="left" w:pos="0"/>
        </w:tabs>
        <w:spacing w:before="0"/>
        <w:ind w:firstLine="480"/>
        <w:rPr>
          <w:rFonts w:ascii="宋体" w:hAnsi="宋体" w:cs="宋体"/>
          <w:lang w:val="zh-CN"/>
        </w:rPr>
      </w:pPr>
      <w:r>
        <w:rPr>
          <w:rFonts w:hint="eastAsia" w:ascii="宋体" w:hAnsi="宋体" w:cs="宋体"/>
        </w:rPr>
        <w:t>6.1响应</w:t>
      </w:r>
      <w:r>
        <w:rPr>
          <w:rFonts w:hint="eastAsia" w:ascii="宋体" w:hAnsi="宋体" w:cs="宋体"/>
          <w:lang w:val="zh-CN"/>
        </w:rPr>
        <w:t>文件中</w:t>
      </w:r>
      <w:r>
        <w:rPr>
          <w:rFonts w:hint="eastAsia" w:ascii="宋体" w:hAnsi="宋体" w:cs="宋体"/>
        </w:rPr>
        <w:t>报价</w:t>
      </w:r>
      <w:r>
        <w:rPr>
          <w:rFonts w:hint="eastAsia" w:ascii="宋体" w:hAnsi="宋体" w:cs="宋体"/>
          <w:lang w:val="zh-CN"/>
        </w:rPr>
        <w:t>一览表内容与</w:t>
      </w:r>
      <w:r>
        <w:rPr>
          <w:rFonts w:hint="eastAsia" w:ascii="宋体" w:hAnsi="宋体" w:cs="宋体"/>
        </w:rPr>
        <w:t>响应</w:t>
      </w:r>
      <w:r>
        <w:rPr>
          <w:rFonts w:hint="eastAsia" w:ascii="宋体" w:hAnsi="宋体" w:cs="宋体"/>
          <w:lang w:val="zh-CN"/>
        </w:rPr>
        <w:t>文件中相应内容不一致的，以</w:t>
      </w:r>
      <w:r>
        <w:rPr>
          <w:rFonts w:hint="eastAsia" w:ascii="宋体" w:hAnsi="宋体" w:cs="宋体"/>
        </w:rPr>
        <w:t>报价</w:t>
      </w:r>
      <w:r>
        <w:rPr>
          <w:rFonts w:hint="eastAsia" w:ascii="宋体" w:hAnsi="宋体" w:cs="宋体"/>
          <w:lang w:val="zh-CN"/>
        </w:rPr>
        <w:t>一览表为准；</w:t>
      </w:r>
    </w:p>
    <w:p>
      <w:pPr>
        <w:pStyle w:val="51"/>
        <w:tabs>
          <w:tab w:val="left" w:pos="0"/>
        </w:tabs>
        <w:spacing w:before="0"/>
        <w:ind w:firstLine="480"/>
        <w:rPr>
          <w:rFonts w:ascii="宋体" w:hAnsi="宋体" w:cs="宋体"/>
          <w:lang w:val="zh-CN"/>
        </w:rPr>
      </w:pPr>
      <w:r>
        <w:rPr>
          <w:rFonts w:hint="eastAsia" w:ascii="宋体" w:hAnsi="宋体" w:cs="宋体"/>
        </w:rPr>
        <w:t>6.2</w:t>
      </w:r>
      <w:r>
        <w:rPr>
          <w:rFonts w:hint="eastAsia" w:ascii="宋体" w:hAnsi="宋体" w:cs="宋体"/>
          <w:lang w:val="zh-CN"/>
        </w:rPr>
        <w:t>大写金额和小写金额不一致的，以大写金额为准；</w:t>
      </w:r>
    </w:p>
    <w:p>
      <w:pPr>
        <w:pStyle w:val="51"/>
        <w:tabs>
          <w:tab w:val="left" w:pos="0"/>
        </w:tabs>
        <w:spacing w:before="0"/>
        <w:ind w:firstLine="480"/>
        <w:rPr>
          <w:rFonts w:ascii="宋体" w:hAnsi="宋体" w:cs="宋体"/>
          <w:lang w:val="zh-CN"/>
        </w:rPr>
      </w:pPr>
      <w:r>
        <w:rPr>
          <w:rFonts w:hint="eastAsia" w:ascii="宋体" w:hAnsi="宋体" w:cs="宋体"/>
        </w:rPr>
        <w:t>6.3</w:t>
      </w:r>
      <w:r>
        <w:rPr>
          <w:rFonts w:hint="eastAsia" w:ascii="宋体" w:hAnsi="宋体" w:cs="宋体"/>
          <w:lang w:val="zh-CN"/>
        </w:rPr>
        <w:t>单价金额小数点或者百分比有明显错位的，以</w:t>
      </w:r>
      <w:r>
        <w:rPr>
          <w:rFonts w:hint="eastAsia" w:ascii="宋体" w:hAnsi="宋体" w:cs="宋体"/>
        </w:rPr>
        <w:t>报价</w:t>
      </w:r>
      <w:r>
        <w:rPr>
          <w:rFonts w:hint="eastAsia" w:ascii="宋体" w:hAnsi="宋体" w:cs="宋体"/>
          <w:lang w:val="zh-CN"/>
        </w:rPr>
        <w:t>一览表的总价为准，并修改单价；</w:t>
      </w:r>
    </w:p>
    <w:p>
      <w:pPr>
        <w:pStyle w:val="51"/>
        <w:tabs>
          <w:tab w:val="left" w:pos="0"/>
        </w:tabs>
        <w:spacing w:before="0"/>
        <w:ind w:firstLine="480"/>
        <w:rPr>
          <w:rFonts w:ascii="宋体" w:hAnsi="宋体" w:cs="宋体"/>
          <w:lang w:val="zh-CN"/>
        </w:rPr>
      </w:pPr>
      <w:r>
        <w:rPr>
          <w:rFonts w:hint="eastAsia" w:ascii="宋体" w:hAnsi="宋体" w:cs="宋体"/>
        </w:rPr>
        <w:t>6.4</w:t>
      </w:r>
      <w:r>
        <w:rPr>
          <w:rFonts w:hint="eastAsia" w:ascii="宋体" w:hAnsi="宋体" w:cs="宋体"/>
          <w:lang w:val="zh-CN"/>
        </w:rPr>
        <w:t>总价金额与按单价汇总金额不一致的，以单价金额计算结果为准。</w:t>
      </w:r>
    </w:p>
    <w:p>
      <w:pPr>
        <w:pStyle w:val="51"/>
        <w:spacing w:before="0"/>
        <w:ind w:firstLine="480"/>
        <w:rPr>
          <w:rFonts w:ascii="宋体" w:hAnsi="宋体" w:cs="宋体"/>
          <w:lang w:val="zh-CN"/>
        </w:rPr>
      </w:pPr>
      <w:r>
        <w:rPr>
          <w:rFonts w:hint="eastAsia" w:ascii="宋体" w:hAnsi="宋体" w:cs="宋体"/>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cs="宋体"/>
        </w:rPr>
        <w:t>供应商</w:t>
      </w:r>
      <w:r>
        <w:rPr>
          <w:rFonts w:hint="eastAsia" w:ascii="宋体" w:hAnsi="宋体" w:cs="宋体"/>
          <w:lang w:val="zh-CN"/>
        </w:rPr>
        <w:t>确认后产生约束力，</w:t>
      </w:r>
      <w:r>
        <w:rPr>
          <w:rFonts w:hint="eastAsia" w:ascii="宋体" w:hAnsi="宋体" w:cs="宋体"/>
        </w:rPr>
        <w:t>供应商</w:t>
      </w:r>
      <w:r>
        <w:rPr>
          <w:rFonts w:hint="eastAsia" w:ascii="宋体" w:hAnsi="宋体" w:cs="宋体"/>
          <w:lang w:val="zh-CN"/>
        </w:rPr>
        <w:t>不确认的，其</w:t>
      </w:r>
      <w:r>
        <w:rPr>
          <w:rFonts w:hint="eastAsia" w:ascii="宋体" w:hAnsi="宋体" w:cs="宋体"/>
        </w:rPr>
        <w:t>磋商</w:t>
      </w:r>
      <w:r>
        <w:rPr>
          <w:rFonts w:hint="eastAsia" w:ascii="宋体" w:hAnsi="宋体" w:cs="宋体"/>
          <w:lang w:val="zh-CN"/>
        </w:rPr>
        <w:t>无效。</w:t>
      </w:r>
    </w:p>
    <w:p>
      <w:pPr>
        <w:pStyle w:val="11"/>
        <w:spacing w:line="360" w:lineRule="auto"/>
        <w:ind w:left="420" w:leftChars="200"/>
        <w:rPr>
          <w:rFonts w:hAnsi="宋体"/>
          <w:b/>
          <w:bCs/>
          <w:sz w:val="24"/>
          <w:szCs w:val="24"/>
        </w:rPr>
      </w:pPr>
      <w:r>
        <w:rPr>
          <w:rFonts w:hint="eastAsia" w:hAnsi="宋体"/>
          <w:b/>
          <w:bCs/>
          <w:sz w:val="24"/>
          <w:szCs w:val="24"/>
        </w:rPr>
        <w:t>7、响应文件的澄清</w:t>
      </w:r>
    </w:p>
    <w:p>
      <w:pPr>
        <w:pStyle w:val="51"/>
        <w:tabs>
          <w:tab w:val="left" w:pos="0"/>
        </w:tabs>
        <w:spacing w:before="0"/>
        <w:ind w:firstLine="480"/>
        <w:rPr>
          <w:rFonts w:ascii="宋体" w:hAnsi="宋体" w:cs="宋体"/>
          <w:lang w:val="zh-CN"/>
        </w:rPr>
      </w:pPr>
      <w:r>
        <w:rPr>
          <w:rFonts w:hint="eastAsia" w:ascii="宋体" w:hAnsi="宋体" w:cs="宋体"/>
        </w:rPr>
        <w:t>7.1</w:t>
      </w:r>
      <w:r>
        <w:rPr>
          <w:rFonts w:hint="eastAsia" w:ascii="宋体" w:hAnsi="宋体" w:cs="宋体"/>
          <w:lang w:val="zh-CN"/>
        </w:rPr>
        <w:t>评审中因</w:t>
      </w:r>
      <w:r>
        <w:rPr>
          <w:rFonts w:hint="eastAsia" w:ascii="宋体" w:hAnsi="宋体" w:cs="宋体"/>
        </w:rPr>
        <w:t>响应</w:t>
      </w:r>
      <w:r>
        <w:rPr>
          <w:rFonts w:hint="eastAsia" w:ascii="宋体" w:hAnsi="宋体" w:cs="宋体"/>
          <w:lang w:val="zh-CN"/>
        </w:rPr>
        <w:t>文件含义不明、表述不一致或有明显计算错误等内容需要供应商作出澄清、说明或者补正的，</w:t>
      </w:r>
      <w:r>
        <w:rPr>
          <w:rFonts w:hint="eastAsia" w:ascii="宋体" w:hAnsi="宋体" w:cs="宋体"/>
        </w:rPr>
        <w:t>磋商小组</w:t>
      </w:r>
      <w:r>
        <w:rPr>
          <w:rFonts w:hint="eastAsia" w:ascii="宋体" w:hAnsi="宋体" w:cs="宋体"/>
          <w:lang w:val="zh-CN"/>
        </w:rPr>
        <w:t>和供应商应当通过政采云平台交换数据电文，给予供应商提交澄清说明或补正的时间不少于半小时，供应商已经明确表示澄清说明或补正完毕的除外。</w:t>
      </w:r>
    </w:p>
    <w:p>
      <w:pPr>
        <w:spacing w:line="360" w:lineRule="auto"/>
        <w:ind w:firstLine="480" w:firstLineChars="200"/>
        <w:rPr>
          <w:rFonts w:ascii="宋体" w:hAnsi="宋体" w:cs="宋体"/>
          <w:sz w:val="24"/>
          <w:szCs w:val="24"/>
        </w:rPr>
      </w:pPr>
      <w:r>
        <w:rPr>
          <w:rFonts w:hint="eastAsia" w:ascii="宋体" w:hAnsi="宋体" w:cs="宋体"/>
          <w:sz w:val="24"/>
          <w:szCs w:val="24"/>
          <w:lang w:val="zh-CN"/>
        </w:rPr>
        <w:t>供应商通过政采云平台交换的数据电文必须进行电子签章。</w:t>
      </w:r>
    </w:p>
    <w:p>
      <w:pPr>
        <w:pStyle w:val="2"/>
        <w:numPr>
          <w:ilvl w:val="0"/>
          <w:numId w:val="16"/>
        </w:numPr>
        <w:jc w:val="center"/>
        <w:rPr>
          <w:rFonts w:hAnsi="宋体"/>
        </w:rPr>
      </w:pPr>
      <w:bookmarkStart w:id="83" w:name="_Toc4344"/>
      <w:bookmarkStart w:id="84" w:name="_Toc12816"/>
      <w:r>
        <w:rPr>
          <w:rFonts w:hint="eastAsia" w:hAnsi="宋体"/>
        </w:rPr>
        <w:t>注意事项</w:t>
      </w:r>
      <w:bookmarkEnd w:id="83"/>
      <w:bookmarkEnd w:id="84"/>
    </w:p>
    <w:p>
      <w:pPr>
        <w:pStyle w:val="6"/>
        <w:spacing w:line="360" w:lineRule="auto"/>
        <w:rPr>
          <w:rFonts w:ascii="宋体" w:hAnsi="宋体" w:cs="宋体"/>
          <w:b/>
          <w:bCs/>
          <w:sz w:val="24"/>
          <w:szCs w:val="24"/>
        </w:rPr>
      </w:pPr>
      <w:r>
        <w:rPr>
          <w:rFonts w:hint="eastAsia" w:ascii="宋体" w:hAnsi="宋体" w:cs="宋体"/>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pPr>
        <w:pStyle w:val="2"/>
        <w:numPr>
          <w:ilvl w:val="0"/>
          <w:numId w:val="17"/>
        </w:numPr>
        <w:jc w:val="center"/>
        <w:rPr>
          <w:rFonts w:hAnsi="宋体"/>
        </w:rPr>
      </w:pPr>
      <w:bookmarkStart w:id="85" w:name="_Toc26902"/>
      <w:bookmarkStart w:id="86" w:name="_Toc13782"/>
      <w:r>
        <w:rPr>
          <w:rFonts w:hint="eastAsia" w:hAnsi="宋体"/>
        </w:rPr>
        <w:t>评分细则</w:t>
      </w:r>
      <w:bookmarkEnd w:id="85"/>
      <w:bookmarkEnd w:id="86"/>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一、报价文件评分标准（</w:t>
      </w:r>
      <w:r>
        <w:rPr>
          <w:rFonts w:hint="eastAsia" w:ascii="宋体" w:hAnsi="宋体" w:cs="宋体"/>
          <w:b/>
          <w:bCs/>
          <w:sz w:val="24"/>
          <w:szCs w:val="24"/>
          <w:u w:val="single"/>
        </w:rPr>
        <w:t>20</w:t>
      </w:r>
      <w:r>
        <w:rPr>
          <w:rFonts w:hint="eastAsia" w:ascii="宋体" w:hAnsi="宋体" w:cs="宋体"/>
          <w:b/>
          <w:bCs/>
          <w:sz w:val="24"/>
          <w:szCs w:val="24"/>
        </w:rPr>
        <w:t>分）</w:t>
      </w:r>
    </w:p>
    <w:p>
      <w:pPr>
        <w:spacing w:line="360" w:lineRule="auto"/>
        <w:ind w:firstLine="480" w:firstLineChars="200"/>
        <w:rPr>
          <w:rFonts w:ascii="宋体" w:hAnsi="宋体" w:cs="宋体"/>
          <w:sz w:val="24"/>
          <w:szCs w:val="24"/>
        </w:rPr>
      </w:pPr>
      <w:r>
        <w:rPr>
          <w:rFonts w:hint="eastAsia" w:ascii="宋体" w:hAnsi="宋体" w:cs="宋体"/>
          <w:sz w:val="24"/>
          <w:szCs w:val="24"/>
        </w:rPr>
        <w:t>报价文件主要是对供应商的有效报价进行评议，其评分标准及分值设置规则如下：</w:t>
      </w:r>
    </w:p>
    <w:p>
      <w:pPr>
        <w:spacing w:line="360" w:lineRule="auto"/>
        <w:ind w:firstLine="480" w:firstLineChars="200"/>
        <w:rPr>
          <w:rFonts w:ascii="宋体" w:hAnsi="宋体" w:cs="宋体"/>
          <w:sz w:val="24"/>
          <w:szCs w:val="24"/>
        </w:rPr>
      </w:pPr>
      <w:r>
        <w:rPr>
          <w:rFonts w:hint="eastAsia" w:ascii="宋体" w:hAnsi="宋体" w:cs="宋体"/>
          <w:sz w:val="24"/>
          <w:szCs w:val="24"/>
        </w:rPr>
        <w:t>1、本次采购最高限价规定如下：</w:t>
      </w:r>
    </w:p>
    <w:p>
      <w:pPr>
        <w:spacing w:line="360" w:lineRule="auto"/>
        <w:ind w:firstLine="480" w:firstLineChars="200"/>
        <w:rPr>
          <w:rFonts w:ascii="宋体" w:hAnsi="宋体" w:cs="宋体"/>
          <w:b/>
          <w:bCs/>
          <w:sz w:val="24"/>
          <w:szCs w:val="24"/>
        </w:rPr>
      </w:pPr>
      <w:r>
        <w:rPr>
          <w:rFonts w:hint="eastAsia" w:ascii="宋体" w:hAnsi="宋体" w:cs="宋体"/>
          <w:sz w:val="24"/>
          <w:szCs w:val="24"/>
        </w:rPr>
        <w:t>本项目投标报价的最高限价</w:t>
      </w:r>
      <w:r>
        <w:rPr>
          <w:rFonts w:hint="eastAsia" w:ascii="宋体" w:hAnsi="宋体" w:cs="宋体"/>
          <w:b/>
          <w:bCs/>
          <w:sz w:val="24"/>
          <w:szCs w:val="24"/>
        </w:rPr>
        <w:t>为人民币</w:t>
      </w:r>
      <w:r>
        <w:rPr>
          <w:rFonts w:hint="eastAsia" w:ascii="宋体" w:hAnsi="宋体" w:cs="宋体"/>
          <w:b/>
          <w:bCs/>
          <w:sz w:val="24"/>
          <w:szCs w:val="24"/>
          <w:u w:val="single"/>
        </w:rPr>
        <w:fldChar w:fldCharType="begin"/>
      </w:r>
      <w:r>
        <w:rPr>
          <w:rFonts w:hint="eastAsia" w:ascii="宋体" w:hAnsi="宋体" w:cs="宋体"/>
          <w:b/>
          <w:bCs/>
          <w:sz w:val="24"/>
          <w:szCs w:val="24"/>
          <w:u w:val="single"/>
        </w:rPr>
        <w:instrText xml:space="preserve"> = 1350000 \* CHINESENUM2 </w:instrText>
      </w:r>
      <w:r>
        <w:rPr>
          <w:rFonts w:hint="eastAsia" w:ascii="宋体" w:hAnsi="宋体" w:cs="宋体"/>
          <w:b/>
          <w:bCs/>
          <w:sz w:val="24"/>
          <w:szCs w:val="24"/>
          <w:u w:val="single"/>
        </w:rPr>
        <w:fldChar w:fldCharType="separate"/>
      </w:r>
      <w:r>
        <w:rPr>
          <w:rFonts w:hint="eastAsia" w:ascii="宋体" w:hAnsi="宋体" w:cs="宋体"/>
          <w:b/>
          <w:bCs/>
          <w:sz w:val="24"/>
          <w:szCs w:val="24"/>
          <w:u w:val="single"/>
        </w:rPr>
        <w:t xml:space="preserve"> </w:t>
      </w:r>
      <w:r>
        <w:rPr>
          <w:rFonts w:hint="eastAsia" w:ascii="宋体" w:hAnsi="宋体" w:cs="宋体"/>
          <w:b/>
          <w:bCs/>
          <w:sz w:val="24"/>
          <w:szCs w:val="24"/>
          <w:u w:val="single"/>
        </w:rPr>
        <w:fldChar w:fldCharType="begin"/>
      </w:r>
      <w:r>
        <w:rPr>
          <w:rFonts w:hint="eastAsia" w:ascii="宋体" w:hAnsi="宋体" w:cs="宋体"/>
          <w:b/>
          <w:bCs/>
          <w:sz w:val="24"/>
          <w:szCs w:val="24"/>
          <w:u w:val="single"/>
        </w:rPr>
        <w:instrText xml:space="preserve"> = 1200000 \* CHINESENUM2 \* MERGEFORMAT </w:instrText>
      </w:r>
      <w:r>
        <w:rPr>
          <w:rFonts w:hint="eastAsia" w:ascii="宋体" w:hAnsi="宋体" w:cs="宋体"/>
          <w:b/>
          <w:bCs/>
          <w:sz w:val="24"/>
          <w:szCs w:val="24"/>
          <w:u w:val="single"/>
        </w:rPr>
        <w:fldChar w:fldCharType="separate"/>
      </w:r>
      <w:r>
        <w:rPr>
          <w:rFonts w:hint="eastAsia" w:ascii="宋体" w:hAnsi="宋体" w:cs="宋体"/>
          <w:b/>
          <w:bCs/>
          <w:sz w:val="24"/>
          <w:szCs w:val="24"/>
          <w:u w:val="single"/>
        </w:rPr>
        <w:t>壹佰贰拾万</w:t>
      </w:r>
      <w:r>
        <w:rPr>
          <w:rFonts w:hint="eastAsia" w:ascii="宋体" w:hAnsi="宋体" w:cs="宋体"/>
          <w:b/>
          <w:bCs/>
          <w:sz w:val="24"/>
          <w:szCs w:val="24"/>
          <w:u w:val="single"/>
        </w:rPr>
        <w:fldChar w:fldCharType="end"/>
      </w:r>
      <w:r>
        <w:rPr>
          <w:rFonts w:hint="eastAsia" w:ascii="宋体" w:hAnsi="宋体" w:cs="宋体"/>
          <w:b/>
          <w:bCs/>
          <w:sz w:val="24"/>
          <w:szCs w:val="24"/>
          <w:u w:val="single"/>
        </w:rPr>
        <w:fldChar w:fldCharType="end"/>
      </w:r>
      <w:r>
        <w:rPr>
          <w:rFonts w:hint="eastAsia" w:ascii="宋体" w:hAnsi="宋体" w:cs="宋体"/>
          <w:b/>
          <w:bCs/>
          <w:sz w:val="24"/>
          <w:szCs w:val="24"/>
          <w:u w:val="single"/>
        </w:rPr>
        <w:t xml:space="preserve">元整 </w:t>
      </w:r>
      <w:r>
        <w:rPr>
          <w:rFonts w:hint="eastAsia" w:ascii="宋体" w:hAnsi="宋体" w:cs="宋体"/>
          <w:b/>
          <w:bCs/>
          <w:sz w:val="24"/>
          <w:szCs w:val="24"/>
        </w:rPr>
        <w:t>（小写</w:t>
      </w:r>
      <w:r>
        <w:rPr>
          <w:rFonts w:hint="eastAsia" w:ascii="宋体" w:hAnsi="宋体" w:cs="宋体"/>
          <w:b/>
          <w:bCs/>
          <w:sz w:val="24"/>
          <w:szCs w:val="24"/>
          <w:u w:val="single"/>
        </w:rPr>
        <w:t xml:space="preserve"> 1200000.00 </w:t>
      </w:r>
      <w:r>
        <w:rPr>
          <w:rFonts w:hint="eastAsia" w:ascii="宋体" w:hAnsi="宋体" w:cs="宋体"/>
          <w:b/>
          <w:bCs/>
          <w:sz w:val="24"/>
          <w:szCs w:val="24"/>
        </w:rPr>
        <w:t>元）。最高限价由采购人根据市场价格的调查设定，并且不高于本项目财政预算。</w:t>
      </w:r>
    </w:p>
    <w:p>
      <w:pPr>
        <w:spacing w:line="360" w:lineRule="auto"/>
        <w:ind w:firstLine="480" w:firstLineChars="200"/>
        <w:rPr>
          <w:rFonts w:ascii="宋体" w:hAnsi="宋体" w:cs="宋体"/>
          <w:sz w:val="24"/>
          <w:szCs w:val="24"/>
        </w:rPr>
      </w:pPr>
      <w:r>
        <w:rPr>
          <w:rFonts w:hint="eastAsia" w:ascii="宋体" w:hAnsi="宋体" w:cs="宋体"/>
          <w:sz w:val="24"/>
          <w:szCs w:val="24"/>
        </w:rPr>
        <w:t>2、供应商的报价在最高限价内的，为有效报价。</w:t>
      </w:r>
    </w:p>
    <w:p>
      <w:pPr>
        <w:spacing w:line="360" w:lineRule="auto"/>
        <w:ind w:firstLine="480" w:firstLineChars="200"/>
        <w:rPr>
          <w:rFonts w:ascii="宋体" w:hAnsi="宋体" w:cs="宋体"/>
          <w:sz w:val="24"/>
          <w:szCs w:val="24"/>
        </w:rPr>
      </w:pPr>
      <w:r>
        <w:rPr>
          <w:rFonts w:hint="eastAsia" w:ascii="宋体" w:hAnsi="宋体" w:cs="宋体"/>
          <w:sz w:val="24"/>
          <w:szCs w:val="24"/>
        </w:rPr>
        <w:t>3、本次评标设有最佳报价。</w:t>
      </w:r>
      <w:r>
        <w:rPr>
          <w:rFonts w:hint="eastAsia" w:ascii="宋体" w:hAnsi="宋体" w:cs="宋体"/>
        </w:rPr>
        <w:t>最</w:t>
      </w:r>
      <w:r>
        <w:rPr>
          <w:rFonts w:hint="eastAsia" w:ascii="宋体" w:hAnsi="宋体" w:cs="宋体"/>
          <w:sz w:val="24"/>
          <w:szCs w:val="24"/>
        </w:rPr>
        <w:t>佳报价确定方式：根据所有入围供应商有效报价中的最低报价作为最佳报价。</w:t>
      </w:r>
    </w:p>
    <w:p>
      <w:pPr>
        <w:spacing w:line="360" w:lineRule="auto"/>
        <w:ind w:firstLine="480" w:firstLineChars="200"/>
        <w:rPr>
          <w:rFonts w:ascii="宋体" w:hAnsi="宋体" w:cs="宋体"/>
          <w:sz w:val="24"/>
          <w:szCs w:val="24"/>
        </w:rPr>
      </w:pPr>
      <w:r>
        <w:rPr>
          <w:rFonts w:hint="eastAsia" w:ascii="宋体" w:hAnsi="宋体" w:cs="宋体"/>
          <w:sz w:val="24"/>
          <w:szCs w:val="24"/>
        </w:rPr>
        <w:t>4、最佳报价者的报价分为满分，其他供应商的有效报价与最佳报价相比，按下列方法计算其报价分：</w:t>
      </w:r>
    </w:p>
    <w:p>
      <w:pPr>
        <w:spacing w:line="360" w:lineRule="auto"/>
        <w:ind w:firstLine="480" w:firstLineChars="200"/>
        <w:rPr>
          <w:rFonts w:ascii="宋体" w:hAnsi="宋体" w:cs="宋体"/>
          <w:sz w:val="24"/>
          <w:szCs w:val="24"/>
        </w:rPr>
      </w:pPr>
      <w:r>
        <w:rPr>
          <w:rFonts w:hint="eastAsia" w:ascii="宋体" w:hAnsi="宋体" w:cs="宋体"/>
          <w:sz w:val="24"/>
          <w:szCs w:val="24"/>
        </w:rPr>
        <w:t>投标价格分=(最佳报价/投标报价)*价格权值*100。</w:t>
      </w:r>
    </w:p>
    <w:p>
      <w:pPr>
        <w:spacing w:line="360" w:lineRule="auto"/>
        <w:ind w:firstLine="480" w:firstLineChars="200"/>
        <w:rPr>
          <w:rFonts w:ascii="宋体" w:hAnsi="宋体" w:cs="宋体"/>
          <w:sz w:val="24"/>
          <w:szCs w:val="24"/>
        </w:rPr>
      </w:pPr>
      <w:r>
        <w:rPr>
          <w:rFonts w:hint="eastAsia" w:ascii="宋体" w:hAnsi="宋体" w:cs="宋体"/>
          <w:sz w:val="24"/>
          <w:szCs w:val="24"/>
        </w:rPr>
        <w:t>5、当报价一览表与磋商报价明细表报价不一致时，以报价一览表为准，磋商报价明细表报价予以修正并由授权代表签字确认，拒绝修正或确认的，则做无效标处理。</w:t>
      </w:r>
    </w:p>
    <w:p>
      <w:pPr>
        <w:spacing w:line="360" w:lineRule="auto"/>
        <w:ind w:firstLine="480" w:firstLineChars="200"/>
        <w:rPr>
          <w:rFonts w:ascii="宋体" w:hAnsi="宋体" w:cs="宋体"/>
          <w:sz w:val="24"/>
          <w:szCs w:val="24"/>
        </w:rPr>
      </w:pPr>
      <w:r>
        <w:rPr>
          <w:rFonts w:hint="eastAsia" w:ascii="宋体" w:hAnsi="宋体" w:cs="宋体"/>
          <w:sz w:val="24"/>
          <w:szCs w:val="24"/>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cs="宋体"/>
          <w:b/>
          <w:bCs/>
          <w:sz w:val="24"/>
          <w:szCs w:val="24"/>
        </w:rPr>
        <w:t>无效响应</w:t>
      </w:r>
      <w:r>
        <w:rPr>
          <w:rFonts w:hint="eastAsia" w:ascii="宋体" w:hAnsi="宋体" w:cs="宋体"/>
          <w:sz w:val="24"/>
          <w:szCs w:val="24"/>
        </w:rPr>
        <w:t>处理。</w:t>
      </w:r>
    </w:p>
    <w:p>
      <w:pPr>
        <w:autoSpaceDE w:val="0"/>
        <w:autoSpaceDN w:val="0"/>
        <w:spacing w:line="360" w:lineRule="auto"/>
        <w:ind w:firstLine="482"/>
        <w:rPr>
          <w:rFonts w:ascii="宋体" w:hAnsi="宋体" w:cs="宋体"/>
          <w:sz w:val="24"/>
          <w:szCs w:val="24"/>
        </w:rPr>
      </w:pPr>
      <w:r>
        <w:rPr>
          <w:rFonts w:hint="eastAsia" w:ascii="宋体" w:hAnsi="宋体" w:cs="宋体"/>
          <w:sz w:val="24"/>
          <w:szCs w:val="24"/>
        </w:rPr>
        <w:t>7、</w:t>
      </w:r>
      <w:r>
        <w:rPr>
          <w:rFonts w:hint="eastAsia" w:ascii="宋体" w:hAnsi="宋体" w:cs="宋体"/>
          <w:b/>
          <w:bCs/>
          <w:sz w:val="24"/>
          <w:szCs w:val="24"/>
        </w:rPr>
        <w:t>投标价格的合理性</w:t>
      </w:r>
      <w:r>
        <w:rPr>
          <w:rFonts w:hint="eastAsia" w:ascii="宋体" w:hAnsi="宋体"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pPr>
        <w:spacing w:line="360" w:lineRule="auto"/>
        <w:ind w:firstLine="480" w:firstLineChars="200"/>
        <w:rPr>
          <w:rFonts w:ascii="宋体" w:hAnsi="宋体" w:cs="宋体"/>
          <w:sz w:val="24"/>
          <w:szCs w:val="24"/>
        </w:rPr>
      </w:pPr>
      <w:r>
        <w:rPr>
          <w:rFonts w:hint="eastAsia" w:ascii="宋体" w:hAnsi="宋体" w:cs="宋体"/>
          <w:sz w:val="24"/>
          <w:szCs w:val="24"/>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宋体" w:hAnsi="宋体" w:cs="宋体"/>
          <w:sz w:val="24"/>
          <w:szCs w:val="24"/>
        </w:rPr>
      </w:pPr>
      <w:r>
        <w:rPr>
          <w:rFonts w:hint="eastAsia" w:ascii="宋体" w:hAnsi="宋体" w:cs="宋体"/>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-20%给予扣除，用扣除后的价格参加评审；对于联合协议或者分包意向协议约定小微企业的合同份额占到合同总金额30%以上的，采购单位、采购代理机构应结合项目实际，对联合体或者大中型企业的报价按4%—6%给予扣除，用扣除后的价格参加评审。（中标价及合同价仍以其投标报价为准）</w:t>
      </w:r>
    </w:p>
    <w:p>
      <w:pPr>
        <w:spacing w:line="360" w:lineRule="auto"/>
        <w:ind w:firstLine="480" w:firstLineChars="200"/>
        <w:rPr>
          <w:rFonts w:ascii="宋体" w:hAnsi="宋体" w:cs="宋体"/>
          <w:sz w:val="24"/>
          <w:szCs w:val="24"/>
        </w:rPr>
      </w:pPr>
      <w:r>
        <w:rPr>
          <w:rFonts w:hint="eastAsia" w:ascii="宋体" w:hAnsi="宋体" w:cs="宋体"/>
          <w:sz w:val="24"/>
          <w:szCs w:val="24"/>
        </w:rPr>
        <w:t>组成联合体或者接受分包的小微企业与联合体内其他企业、分包企业之间存在直接控股、管理关系的，不享受价格扣除优惠政策。联合体各方均为小型、微型企业的，联合体视同为小型、微型企业。</w:t>
      </w:r>
    </w:p>
    <w:p>
      <w:pPr>
        <w:numPr>
          <w:ilvl w:val="0"/>
          <w:numId w:val="18"/>
        </w:numPr>
        <w:ind w:firstLine="482" w:firstLineChars="200"/>
        <w:rPr>
          <w:rFonts w:ascii="宋体" w:hAnsi="宋体" w:cs="宋体"/>
          <w:b/>
          <w:bCs/>
          <w:sz w:val="24"/>
          <w:szCs w:val="24"/>
        </w:rPr>
      </w:pPr>
      <w:r>
        <w:rPr>
          <w:rFonts w:hint="eastAsia" w:ascii="宋体" w:hAnsi="宋体" w:cs="宋体"/>
          <w:b/>
          <w:bCs/>
          <w:sz w:val="24"/>
          <w:szCs w:val="24"/>
        </w:rPr>
        <w:t>商务技术文件评标内容及标准（</w:t>
      </w:r>
      <w:r>
        <w:rPr>
          <w:rFonts w:hint="eastAsia" w:ascii="宋体" w:hAnsi="宋体" w:cs="宋体"/>
          <w:b/>
          <w:bCs/>
          <w:sz w:val="24"/>
          <w:szCs w:val="24"/>
          <w:u w:val="single"/>
        </w:rPr>
        <w:t>80</w:t>
      </w:r>
      <w:r>
        <w:rPr>
          <w:rFonts w:hint="eastAsia" w:ascii="宋体" w:hAnsi="宋体" w:cs="宋体"/>
          <w:b/>
          <w:bCs/>
          <w:sz w:val="24"/>
          <w:szCs w:val="24"/>
        </w:rPr>
        <w:t>分）</w:t>
      </w:r>
    </w:p>
    <w:p>
      <w:pPr>
        <w:numPr>
          <w:ilvl w:val="0"/>
          <w:numId w:val="19"/>
        </w:numPr>
        <w:ind w:firstLine="482" w:firstLineChars="200"/>
        <w:rPr>
          <w:rFonts w:ascii="宋体" w:hAnsi="宋体" w:cs="宋体"/>
          <w:b/>
          <w:bCs/>
          <w:sz w:val="24"/>
          <w:szCs w:val="24"/>
        </w:rPr>
      </w:pPr>
      <w:r>
        <w:rPr>
          <w:rFonts w:hint="eastAsia" w:ascii="宋体" w:hAnsi="宋体" w:cs="宋体"/>
          <w:b/>
          <w:bCs/>
          <w:sz w:val="24"/>
          <w:szCs w:val="24"/>
        </w:rPr>
        <w:t>评分细则</w:t>
      </w:r>
    </w:p>
    <w:tbl>
      <w:tblPr>
        <w:tblStyle w:val="24"/>
        <w:tblpPr w:leftFromText="180" w:rightFromText="180" w:vertAnchor="text" w:horzAnchor="page" w:tblpX="1540" w:tblpY="295"/>
        <w:tblOverlap w:val="never"/>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1"/>
        <w:gridCol w:w="1493"/>
        <w:gridCol w:w="556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06" w:type="dxa"/>
            <w:gridSpan w:val="2"/>
            <w:tcBorders>
              <w:top w:val="single" w:color="auto" w:sz="4" w:space="0"/>
              <w:left w:val="single" w:color="auto" w:sz="4" w:space="0"/>
              <w:bottom w:val="single" w:color="auto" w:sz="4" w:space="0"/>
              <w:right w:val="single" w:color="auto" w:sz="4" w:space="0"/>
            </w:tcBorders>
            <w:noWrap/>
            <w:vAlign w:val="center"/>
          </w:tcPr>
          <w:p>
            <w:pPr>
              <w:autoSpaceDE w:val="0"/>
              <w:adjustRightInd w:val="0"/>
              <w:spacing w:before="162" w:beforeLines="50" w:line="360" w:lineRule="auto"/>
              <w:jc w:val="center"/>
              <w:rPr>
                <w:rFonts w:ascii="宋体" w:hAnsi="宋体" w:cs="宋体"/>
                <w:sz w:val="24"/>
                <w:szCs w:val="24"/>
              </w:rPr>
            </w:pPr>
            <w:r>
              <w:rPr>
                <w:rFonts w:hint="eastAsia" w:ascii="宋体" w:hAnsi="宋体" w:cs="宋体"/>
                <w:sz w:val="24"/>
                <w:szCs w:val="24"/>
              </w:rPr>
              <w:t>评分项目</w:t>
            </w:r>
          </w:p>
        </w:tc>
        <w:tc>
          <w:tcPr>
            <w:tcW w:w="7058" w:type="dxa"/>
            <w:gridSpan w:val="2"/>
            <w:tcBorders>
              <w:top w:val="single" w:color="auto" w:sz="4" w:space="0"/>
              <w:left w:val="nil"/>
              <w:bottom w:val="single" w:color="auto" w:sz="4" w:space="0"/>
              <w:right w:val="single" w:color="auto" w:sz="4" w:space="0"/>
            </w:tcBorders>
            <w:noWrap/>
            <w:vAlign w:val="center"/>
          </w:tcPr>
          <w:p>
            <w:pPr>
              <w:autoSpaceDE w:val="0"/>
              <w:adjustRightInd w:val="0"/>
              <w:spacing w:before="162" w:beforeLines="50" w:line="360" w:lineRule="auto"/>
              <w:jc w:val="center"/>
              <w:rPr>
                <w:rFonts w:ascii="宋体" w:hAnsi="宋体" w:cs="宋体"/>
                <w:sz w:val="24"/>
                <w:szCs w:val="24"/>
              </w:rPr>
            </w:pPr>
            <w:r>
              <w:rPr>
                <w:rFonts w:hint="eastAsia" w:ascii="宋体" w:hAnsi="宋体" w:cs="宋体"/>
                <w:sz w:val="24"/>
                <w:szCs w:val="24"/>
              </w:rPr>
              <w:t>评标要点及说明</w:t>
            </w:r>
          </w:p>
        </w:tc>
        <w:tc>
          <w:tcPr>
            <w:tcW w:w="780" w:type="dxa"/>
            <w:tcBorders>
              <w:top w:val="single" w:color="auto" w:sz="4" w:space="0"/>
              <w:left w:val="single" w:color="auto" w:sz="4" w:space="0"/>
              <w:bottom w:val="single" w:color="auto" w:sz="4" w:space="0"/>
              <w:right w:val="single" w:color="auto" w:sz="4" w:space="0"/>
            </w:tcBorders>
            <w:noWrap/>
            <w:vAlign w:val="center"/>
          </w:tcPr>
          <w:p>
            <w:pPr>
              <w:autoSpaceDE w:val="0"/>
              <w:adjustRightInd w:val="0"/>
              <w:spacing w:before="162" w:beforeLines="50" w:line="360" w:lineRule="auto"/>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restart"/>
            <w:tcBorders>
              <w:left w:val="single" w:color="auto" w:sz="4" w:space="0"/>
              <w:right w:val="single" w:color="auto" w:sz="4" w:space="0"/>
            </w:tcBorders>
            <w:noWrap/>
            <w:vAlign w:val="center"/>
          </w:tcPr>
          <w:p>
            <w:pPr>
              <w:autoSpaceDE w:val="0"/>
              <w:autoSpaceDN w:val="0"/>
              <w:adjustRightInd w:val="0"/>
              <w:spacing w:line="360" w:lineRule="auto"/>
              <w:jc w:val="center"/>
              <w:textAlignment w:val="baseline"/>
              <w:rPr>
                <w:rFonts w:ascii="宋体" w:hAnsi="宋体" w:cs="宋体"/>
                <w:sz w:val="24"/>
                <w:szCs w:val="24"/>
              </w:rPr>
            </w:pPr>
            <w:r>
              <w:rPr>
                <w:rFonts w:hint="eastAsia" w:ascii="宋体" w:hAnsi="宋体" w:cs="宋体"/>
                <w:sz w:val="24"/>
                <w:szCs w:val="24"/>
              </w:rPr>
              <w:t>技术</w:t>
            </w:r>
          </w:p>
        </w:tc>
        <w:tc>
          <w:tcPr>
            <w:tcW w:w="1493" w:type="dxa"/>
            <w:vMerge w:val="restart"/>
            <w:tcBorders>
              <w:left w:val="single" w:color="auto" w:sz="4" w:space="0"/>
              <w:right w:val="single" w:color="auto" w:sz="4" w:space="0"/>
            </w:tcBorders>
            <w:noWrap/>
            <w:vAlign w:val="center"/>
          </w:tcPr>
          <w:p>
            <w:pPr>
              <w:spacing w:line="360" w:lineRule="auto"/>
              <w:ind w:left="240" w:hanging="240" w:hangingChars="100"/>
              <w:jc w:val="center"/>
              <w:rPr>
                <w:rFonts w:ascii="宋体" w:hAnsi="宋体" w:cs="宋体"/>
                <w:sz w:val="24"/>
                <w:szCs w:val="24"/>
              </w:rPr>
            </w:pPr>
            <w:r>
              <w:rPr>
                <w:rFonts w:hint="eastAsia" w:ascii="宋体" w:hAnsi="宋体" w:cs="宋体"/>
                <w:kern w:val="0"/>
                <w:sz w:val="24"/>
                <w:szCs w:val="24"/>
              </w:rPr>
              <w:t>项目理解</w:t>
            </w: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评委根据供应商对本项目背景解读、项目区域综合现状的把握程度进行打分。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center"/>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spacing w:line="360" w:lineRule="auto"/>
              <w:ind w:left="240" w:hanging="240" w:hangingChars="100"/>
              <w:rPr>
                <w:rFonts w:ascii="宋体" w:hAnsi="宋体" w:cs="宋体"/>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评委根据供应商针对本项目重难点分析及相应解决方案进行打分。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评委根据供应商提出合理化建议的科学性、可行性进行打分。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restart"/>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实施方案</w:t>
            </w: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评委根据供应商结合上虞实际，对重点行业整治技术服务方案的科学性、可行性进行打分。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评委根据供应商结合上虞实际，对挥发性有机物专项治理技术服务方案的完整性、有效性进行打分。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评委根据供应商结合上虞实际，移动源污染治理攻坚技术服务方案完整性、有效性进行打分。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评委根据供应商结合上虞实际，对污染天气应急管控技术服务方案完整性、有效性进行打分。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restart"/>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技术能力</w:t>
            </w: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评委根据供应商对调查人员构成、人员组织的合理性、科学性进行打分。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评委根据供应商列出“精细化诊断报告”提纲（要求列到三级目录及以上）的完整性、合理性、逻辑清晰性、可操作性进行打分。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 w:val="24"/>
                <w:szCs w:val="24"/>
              </w:rPr>
            </w:pPr>
            <w:r>
              <w:rPr>
                <w:rFonts w:hint="eastAsia" w:ascii="宋体" w:hAnsi="宋体" w:cs="宋体"/>
                <w:kern w:val="0"/>
                <w:sz w:val="24"/>
                <w:szCs w:val="24"/>
              </w:rPr>
              <w:t>评委根据供应商列出“国控气站污染分析报告”提纲（要求列到三级目录及以上）的完整性、合理性、逻辑清晰性、可操作性进行打分。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评委根据供应商对涉VOCs源头替代工作理解程度、上虞区可实施企业现状情况的了解程度进行打分。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评委根据供应商对低效治理设施工作理解程度、上虞区可提升企业现状的了解程度进行打分。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评委根据供应商对活性炭回收及再生体系理解程度、上虞区涉活性炭企业现状的了解程度进行打分。</w:t>
            </w:r>
          </w:p>
        </w:tc>
        <w:tc>
          <w:tcPr>
            <w:tcW w:w="780"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评委根据供应商对重污染天气重点行业绩效分级提档工作的理解程度、上虞区具备提级条件企业现状的了解程度进行打分。</w:t>
            </w:r>
          </w:p>
        </w:tc>
        <w:tc>
          <w:tcPr>
            <w:tcW w:w="780"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kern w:val="0"/>
                <w:sz w:val="24"/>
                <w:szCs w:val="24"/>
              </w:rPr>
            </w:pPr>
            <w:r>
              <w:rPr>
                <w:rFonts w:hint="eastAsia" w:ascii="宋体" w:hAnsi="宋体" w:cs="宋体"/>
                <w:kern w:val="0"/>
                <w:sz w:val="24"/>
                <w:szCs w:val="24"/>
              </w:rPr>
              <w:t>评委根据供应商对亚运会期间空气质量应急保障工作的理解程度、上虞区涉及亚运会期间空气质量应急保障企业现状的了解程度进行打分。</w:t>
            </w:r>
          </w:p>
        </w:tc>
        <w:tc>
          <w:tcPr>
            <w:tcW w:w="780"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restart"/>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人员配置</w:t>
            </w:r>
          </w:p>
        </w:tc>
        <w:tc>
          <w:tcPr>
            <w:tcW w:w="55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kern w:val="0"/>
                <w:sz w:val="24"/>
                <w:szCs w:val="24"/>
              </w:rPr>
            </w:pPr>
            <w:r>
              <w:rPr>
                <w:rStyle w:val="68"/>
                <w:rFonts w:hint="eastAsia" w:ascii="宋体" w:hAnsi="宋体" w:cs="宋体"/>
                <w:sz w:val="24"/>
              </w:rPr>
              <w:t>评委根据</w:t>
            </w:r>
            <w:r>
              <w:rPr>
                <w:rFonts w:hint="eastAsia" w:ascii="宋体" w:hAnsi="宋体" w:cs="宋体"/>
                <w:sz w:val="24"/>
              </w:rPr>
              <w:t>供应商拟</w:t>
            </w:r>
            <w:r>
              <w:rPr>
                <w:rStyle w:val="68"/>
                <w:rFonts w:hint="eastAsia" w:ascii="宋体" w:hAnsi="宋体" w:cs="宋体"/>
                <w:sz w:val="24"/>
              </w:rPr>
              <w:t>投入本项目的项目组人员职责划分的全面合理性进行打分。</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gridSpan w:val="2"/>
            <w:vMerge w:val="continue"/>
            <w:tcBorders>
              <w:left w:val="single" w:color="auto" w:sz="4" w:space="0"/>
              <w:right w:val="single" w:color="auto" w:sz="4" w:space="0"/>
            </w:tcBorders>
            <w:noWrap/>
            <w:vAlign w:val="center"/>
          </w:tcPr>
          <w:p>
            <w:pPr>
              <w:autoSpaceDE w:val="0"/>
              <w:autoSpaceDN w:val="0"/>
              <w:adjustRightInd w:val="0"/>
              <w:spacing w:line="360" w:lineRule="auto"/>
              <w:jc w:val="left"/>
              <w:textAlignment w:val="baseline"/>
              <w:rPr>
                <w:rFonts w:ascii="宋体" w:hAnsi="宋体" w:cs="宋体"/>
                <w:sz w:val="24"/>
                <w:szCs w:val="24"/>
              </w:rPr>
            </w:pPr>
          </w:p>
        </w:tc>
        <w:tc>
          <w:tcPr>
            <w:tcW w:w="1493" w:type="dxa"/>
            <w:vMerge w:val="continue"/>
            <w:tcBorders>
              <w:left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4"/>
                <w:szCs w:val="24"/>
              </w:rPr>
            </w:pPr>
          </w:p>
        </w:tc>
        <w:tc>
          <w:tcPr>
            <w:tcW w:w="556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评委根据供应商拟投入本项目的项目组人员（除项目负责人外）的证书、学历、职称、专业素质、技术能力、经验等情况进行打分。</w:t>
            </w:r>
            <w:r>
              <w:rPr>
                <w:rFonts w:hint="eastAsia" w:ascii="宋体" w:hAnsi="宋体" w:cs="宋体"/>
                <w:bCs/>
                <w:kern w:val="0"/>
                <w:sz w:val="24"/>
                <w:szCs w:val="24"/>
              </w:rPr>
              <w:t>提供拟投入人员近三个月社保及证书等相关证明资料扫描件加盖公章。</w:t>
            </w:r>
          </w:p>
        </w:tc>
        <w:tc>
          <w:tcPr>
            <w:tcW w:w="780" w:type="dxa"/>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406" w:type="dxa"/>
            <w:gridSpan w:val="2"/>
            <w:vMerge w:val="continue"/>
            <w:tcBorders>
              <w:left w:val="single" w:color="auto" w:sz="4" w:space="0"/>
              <w:right w:val="single" w:color="auto" w:sz="4" w:space="0"/>
            </w:tcBorders>
            <w:noWrap/>
            <w:vAlign w:val="center"/>
          </w:tcPr>
          <w:p>
            <w:pPr>
              <w:widowControl/>
              <w:spacing w:line="360" w:lineRule="auto"/>
              <w:jc w:val="left"/>
              <w:rPr>
                <w:rFonts w:ascii="宋体" w:hAnsi="宋体" w:cs="宋体"/>
                <w:sz w:val="24"/>
                <w:szCs w:val="24"/>
              </w:rPr>
            </w:pPr>
          </w:p>
        </w:tc>
        <w:tc>
          <w:tcPr>
            <w:tcW w:w="1493" w:type="dxa"/>
            <w:tcBorders>
              <w:top w:val="single" w:color="auto" w:sz="4" w:space="0"/>
              <w:left w:val="nil"/>
              <w:right w:val="single" w:color="auto" w:sz="4" w:space="0"/>
            </w:tcBorders>
            <w:noWrap/>
            <w:vAlign w:val="center"/>
          </w:tcPr>
          <w:p>
            <w:pPr>
              <w:pStyle w:val="51"/>
              <w:spacing w:before="0"/>
              <w:ind w:firstLine="0" w:firstLineChars="0"/>
              <w:jc w:val="center"/>
              <w:rPr>
                <w:rFonts w:ascii="宋体" w:hAnsi="宋体" w:cs="宋体"/>
                <w:kern w:val="0"/>
                <w:szCs w:val="21"/>
                <w:lang w:val="zh-CN"/>
              </w:rPr>
            </w:pPr>
            <w:r>
              <w:rPr>
                <w:rFonts w:hint="eastAsia" w:ascii="宋体" w:hAnsi="宋体" w:cs="宋体"/>
                <w:kern w:val="0"/>
                <w:szCs w:val="21"/>
                <w:lang w:val="zh-CN"/>
              </w:rPr>
              <w:t>人员培训</w:t>
            </w:r>
          </w:p>
        </w:tc>
        <w:tc>
          <w:tcPr>
            <w:tcW w:w="5565" w:type="dxa"/>
            <w:tcBorders>
              <w:top w:val="single" w:color="auto" w:sz="4" w:space="0"/>
              <w:left w:val="single" w:color="auto" w:sz="4" w:space="0"/>
              <w:right w:val="single" w:color="auto" w:sz="4" w:space="0"/>
            </w:tcBorders>
            <w:noWrap/>
            <w:vAlign w:val="center"/>
          </w:tcPr>
          <w:p>
            <w:pPr>
              <w:pStyle w:val="51"/>
              <w:spacing w:before="0"/>
              <w:ind w:firstLine="0" w:firstLineChars="0"/>
              <w:jc w:val="left"/>
              <w:rPr>
                <w:rFonts w:ascii="宋体" w:hAnsi="宋体" w:cs="宋体"/>
                <w:kern w:val="0"/>
                <w:szCs w:val="21"/>
              </w:rPr>
            </w:pPr>
            <w:r>
              <w:rPr>
                <w:rFonts w:hint="eastAsia" w:ascii="宋体" w:hAnsi="宋体" w:cs="宋体"/>
                <w:kern w:val="0"/>
                <w:szCs w:val="21"/>
              </w:rPr>
              <w:t>评委根据供应商针对本项目提供详细的人员计划、人员培训及有关措施等情况进行评分。</w:t>
            </w:r>
          </w:p>
        </w:tc>
        <w:tc>
          <w:tcPr>
            <w:tcW w:w="780"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06" w:type="dxa"/>
            <w:gridSpan w:val="2"/>
            <w:vMerge w:val="continue"/>
            <w:tcBorders>
              <w:left w:val="single" w:color="auto" w:sz="4" w:space="0"/>
              <w:right w:val="single" w:color="auto" w:sz="4" w:space="0"/>
            </w:tcBorders>
            <w:noWrap/>
            <w:vAlign w:val="center"/>
          </w:tcPr>
          <w:p>
            <w:pPr>
              <w:widowControl/>
              <w:spacing w:line="360" w:lineRule="auto"/>
              <w:jc w:val="left"/>
              <w:rPr>
                <w:rFonts w:ascii="宋体" w:hAnsi="宋体" w:cs="宋体"/>
                <w:sz w:val="24"/>
                <w:szCs w:val="24"/>
              </w:rPr>
            </w:pPr>
          </w:p>
        </w:tc>
        <w:tc>
          <w:tcPr>
            <w:tcW w:w="1493" w:type="dxa"/>
            <w:tcBorders>
              <w:top w:val="single" w:color="auto" w:sz="4" w:space="0"/>
              <w:left w:val="nil"/>
              <w:right w:val="single" w:color="auto" w:sz="4" w:space="0"/>
            </w:tcBorders>
            <w:noWrap/>
            <w:vAlign w:val="center"/>
          </w:tcPr>
          <w:p>
            <w:pPr>
              <w:pStyle w:val="51"/>
              <w:spacing w:before="0"/>
              <w:ind w:firstLine="0" w:firstLineChars="0"/>
              <w:jc w:val="center"/>
              <w:rPr>
                <w:rFonts w:ascii="宋体" w:hAnsi="宋体" w:cs="宋体"/>
                <w:kern w:val="0"/>
                <w:szCs w:val="21"/>
                <w:lang w:val="zh-CN"/>
              </w:rPr>
            </w:pPr>
            <w:r>
              <w:rPr>
                <w:rFonts w:hint="eastAsia" w:ascii="宋体" w:hAnsi="宋体" w:cs="宋体"/>
                <w:kern w:val="0"/>
                <w:szCs w:val="21"/>
                <w:lang w:val="zh-CN"/>
              </w:rPr>
              <w:t>售后服务</w:t>
            </w:r>
          </w:p>
        </w:tc>
        <w:tc>
          <w:tcPr>
            <w:tcW w:w="5565" w:type="dxa"/>
            <w:tcBorders>
              <w:top w:val="single" w:color="auto" w:sz="4" w:space="0"/>
              <w:left w:val="single" w:color="auto" w:sz="4" w:space="0"/>
              <w:right w:val="single" w:color="auto" w:sz="4" w:space="0"/>
            </w:tcBorders>
            <w:noWrap/>
            <w:vAlign w:val="center"/>
          </w:tcPr>
          <w:p>
            <w:pPr>
              <w:pStyle w:val="51"/>
              <w:spacing w:before="0"/>
              <w:ind w:firstLine="0" w:firstLineChars="0"/>
              <w:jc w:val="left"/>
              <w:rPr>
                <w:rFonts w:ascii="宋体" w:hAnsi="宋体" w:cs="宋体"/>
                <w:kern w:val="0"/>
                <w:szCs w:val="21"/>
                <w:lang w:val="zh-CN"/>
              </w:rPr>
            </w:pPr>
            <w:r>
              <w:rPr>
                <w:rFonts w:hint="eastAsia" w:ascii="宋体" w:hAnsi="宋体" w:cs="宋体"/>
                <w:kern w:val="0"/>
                <w:szCs w:val="21"/>
              </w:rPr>
              <w:t>评委根据供应商针对本项目的</w:t>
            </w:r>
            <w:r>
              <w:rPr>
                <w:rFonts w:hint="eastAsia" w:ascii="宋体" w:hAnsi="宋体" w:cs="宋体"/>
                <w:kern w:val="0"/>
                <w:szCs w:val="21"/>
                <w:lang w:val="zh-CN"/>
              </w:rPr>
              <w:t>服务承诺（包括项目落实保障措施、保密措施、其他优惠等）及服务承诺的可行性、完整性、免费服务期承诺时间、服务承诺落实的保障措施及服务到达现场的时效性等</w:t>
            </w:r>
            <w:r>
              <w:rPr>
                <w:rFonts w:hint="eastAsia" w:ascii="宋体" w:hAnsi="宋体" w:cs="宋体"/>
                <w:kern w:val="0"/>
                <w:szCs w:val="21"/>
              </w:rPr>
              <w:t>进行打分</w:t>
            </w:r>
            <w:r>
              <w:rPr>
                <w:rFonts w:hint="eastAsia" w:ascii="宋体" w:hAnsi="宋体" w:cs="宋体"/>
                <w:kern w:val="0"/>
                <w:szCs w:val="21"/>
                <w:lang w:val="zh-CN"/>
              </w:rPr>
              <w:t>。</w:t>
            </w:r>
          </w:p>
        </w:tc>
        <w:tc>
          <w:tcPr>
            <w:tcW w:w="780"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5"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商务</w:t>
            </w:r>
          </w:p>
        </w:tc>
        <w:tc>
          <w:tcPr>
            <w:tcW w:w="731" w:type="dxa"/>
            <w:vMerge w:val="restart"/>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资信</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120" w:line="360" w:lineRule="auto"/>
              <w:jc w:val="center"/>
              <w:rPr>
                <w:rFonts w:ascii="宋体" w:hAnsi="宋体" w:cs="宋体"/>
                <w:sz w:val="24"/>
                <w:szCs w:val="24"/>
              </w:rPr>
            </w:pPr>
            <w:r>
              <w:rPr>
                <w:rFonts w:hint="eastAsia" w:ascii="宋体" w:hAnsi="宋体" w:cs="宋体"/>
                <w:sz w:val="24"/>
                <w:szCs w:val="24"/>
              </w:rPr>
              <w:t>业绩</w:t>
            </w:r>
          </w:p>
        </w:tc>
        <w:tc>
          <w:tcPr>
            <w:tcW w:w="55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sz w:val="24"/>
                <w:szCs w:val="24"/>
              </w:rPr>
            </w:pPr>
            <w:r>
              <w:rPr>
                <w:rFonts w:hint="eastAsia" w:ascii="宋体" w:hAnsi="宋体" w:cs="宋体"/>
                <w:sz w:val="24"/>
                <w:szCs w:val="24"/>
              </w:rPr>
              <w:t>业绩</w:t>
            </w:r>
            <w:r>
              <w:rPr>
                <w:rFonts w:hint="eastAsia" w:ascii="宋体" w:hAnsi="宋体" w:cs="宋体"/>
                <w:b/>
                <w:bCs/>
                <w:sz w:val="24"/>
                <w:szCs w:val="24"/>
              </w:rPr>
              <w:t>（具体详见商务要求表）</w:t>
            </w: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Borders>
              <w:left w:val="single" w:color="auto" w:sz="4" w:space="0"/>
              <w:right w:val="single" w:color="auto" w:sz="4" w:space="0"/>
            </w:tcBorders>
            <w:noWrap/>
            <w:vAlign w:val="center"/>
          </w:tcPr>
          <w:p>
            <w:pPr>
              <w:spacing w:line="360" w:lineRule="auto"/>
              <w:jc w:val="center"/>
              <w:rPr>
                <w:rFonts w:ascii="宋体" w:hAnsi="宋体" w:cs="宋体"/>
                <w:sz w:val="24"/>
                <w:szCs w:val="24"/>
              </w:rPr>
            </w:pPr>
          </w:p>
        </w:tc>
        <w:tc>
          <w:tcPr>
            <w:tcW w:w="731" w:type="dxa"/>
            <w:vMerge w:val="continue"/>
            <w:tcBorders>
              <w:left w:val="single" w:color="auto" w:sz="4" w:space="0"/>
              <w:right w:val="single" w:color="auto" w:sz="4" w:space="0"/>
            </w:tcBorders>
            <w:noWrap/>
            <w:vAlign w:val="center"/>
          </w:tcPr>
          <w:p>
            <w:pPr>
              <w:spacing w:line="360" w:lineRule="auto"/>
              <w:jc w:val="center"/>
              <w:rPr>
                <w:rFonts w:ascii="宋体" w:hAnsi="宋体" w:cs="宋体"/>
                <w:sz w:val="24"/>
                <w:szCs w:val="24"/>
              </w:rPr>
            </w:pP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120" w:line="360" w:lineRule="auto"/>
              <w:jc w:val="center"/>
              <w:rPr>
                <w:rFonts w:ascii="宋体" w:hAnsi="宋体" w:cs="宋体"/>
                <w:sz w:val="24"/>
                <w:szCs w:val="24"/>
              </w:rPr>
            </w:pPr>
            <w:r>
              <w:rPr>
                <w:rFonts w:hint="eastAsia" w:ascii="宋体" w:hAnsi="宋体" w:cs="宋体"/>
                <w:sz w:val="24"/>
                <w:szCs w:val="24"/>
              </w:rPr>
              <w:t>企业荣誉</w:t>
            </w:r>
          </w:p>
        </w:tc>
        <w:tc>
          <w:tcPr>
            <w:tcW w:w="5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sz w:val="24"/>
                <w:szCs w:val="24"/>
              </w:rPr>
            </w:pPr>
            <w:r>
              <w:rPr>
                <w:rFonts w:hint="eastAsia" w:ascii="宋体" w:hAnsi="宋体" w:cs="宋体"/>
                <w:sz w:val="24"/>
                <w:szCs w:val="24"/>
              </w:rPr>
              <w:t>企业荣誉</w:t>
            </w:r>
            <w:r>
              <w:rPr>
                <w:rFonts w:hint="eastAsia" w:ascii="宋体" w:hAnsi="宋体" w:cs="宋体"/>
                <w:b/>
                <w:bCs/>
                <w:sz w:val="24"/>
                <w:szCs w:val="24"/>
              </w:rPr>
              <w:t>（具体详见商务要求表）</w:t>
            </w: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5"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sz w:val="24"/>
                <w:szCs w:val="24"/>
              </w:rPr>
            </w:pPr>
          </w:p>
        </w:tc>
        <w:tc>
          <w:tcPr>
            <w:tcW w:w="731" w:type="dxa"/>
            <w:vMerge w:val="continue"/>
            <w:tcBorders>
              <w:left w:val="single" w:color="auto" w:sz="4" w:space="0"/>
              <w:right w:val="single" w:color="auto" w:sz="4" w:space="0"/>
            </w:tcBorders>
            <w:noWrap/>
            <w:vAlign w:val="center"/>
          </w:tcPr>
          <w:p>
            <w:pPr>
              <w:widowControl/>
              <w:spacing w:line="360" w:lineRule="auto"/>
              <w:jc w:val="left"/>
              <w:rPr>
                <w:rFonts w:ascii="宋体" w:hAnsi="宋体" w:cs="宋体"/>
                <w:sz w:val="24"/>
                <w:szCs w:val="24"/>
              </w:rPr>
            </w:pP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120" w:line="360" w:lineRule="auto"/>
              <w:jc w:val="center"/>
              <w:rPr>
                <w:rFonts w:ascii="宋体" w:hAnsi="宋体" w:cs="宋体"/>
                <w:sz w:val="24"/>
                <w:szCs w:val="24"/>
              </w:rPr>
            </w:pPr>
            <w:r>
              <w:rPr>
                <w:rFonts w:hint="eastAsia" w:ascii="宋体" w:hAnsi="宋体" w:cs="宋体"/>
                <w:sz w:val="24"/>
                <w:szCs w:val="24"/>
              </w:rPr>
              <w:t>项目负责人证书</w:t>
            </w:r>
          </w:p>
        </w:tc>
        <w:tc>
          <w:tcPr>
            <w:tcW w:w="5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sz w:val="24"/>
                <w:szCs w:val="24"/>
              </w:rPr>
            </w:pPr>
            <w:r>
              <w:rPr>
                <w:rFonts w:hint="eastAsia" w:ascii="宋体" w:hAnsi="宋体" w:cs="宋体"/>
                <w:sz w:val="24"/>
                <w:szCs w:val="24"/>
              </w:rPr>
              <w:t>项目负责人证书</w:t>
            </w:r>
            <w:r>
              <w:rPr>
                <w:rFonts w:hint="eastAsia" w:ascii="宋体" w:hAnsi="宋体" w:cs="宋体"/>
                <w:b/>
                <w:bCs/>
                <w:sz w:val="24"/>
                <w:szCs w:val="24"/>
              </w:rPr>
              <w:t>（具体详见商务要求表）</w:t>
            </w:r>
          </w:p>
        </w:tc>
        <w:tc>
          <w:tcPr>
            <w:tcW w:w="7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4</w:t>
            </w:r>
          </w:p>
        </w:tc>
      </w:tr>
    </w:tbl>
    <w:p>
      <w:pPr>
        <w:pStyle w:val="23"/>
      </w:pPr>
    </w:p>
    <w:p>
      <w:pPr>
        <w:numPr>
          <w:ilvl w:val="0"/>
          <w:numId w:val="20"/>
        </w:numPr>
        <w:ind w:firstLine="482" w:firstLineChars="200"/>
        <w:rPr>
          <w:rFonts w:ascii="宋体" w:hAnsi="宋体" w:cs="宋体"/>
          <w:sz w:val="24"/>
          <w:szCs w:val="24"/>
        </w:rPr>
      </w:pPr>
      <w:r>
        <w:rPr>
          <w:rFonts w:hint="eastAsia" w:ascii="宋体" w:hAnsi="宋体" w:cs="宋体"/>
          <w:b/>
          <w:bCs/>
          <w:sz w:val="24"/>
          <w:szCs w:val="24"/>
        </w:rPr>
        <w:t>商务要求表</w:t>
      </w:r>
      <w:r>
        <w:rPr>
          <w:rFonts w:hint="eastAsia" w:ascii="宋体" w:hAnsi="宋体" w:cs="宋体"/>
          <w:sz w:val="24"/>
          <w:szCs w:val="24"/>
        </w:rPr>
        <w:t>（对应评分标准）</w:t>
      </w:r>
    </w:p>
    <w:tbl>
      <w:tblPr>
        <w:tblStyle w:val="2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275"/>
        <w:gridCol w:w="625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27"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资信</w:t>
            </w:r>
          </w:p>
        </w:tc>
        <w:tc>
          <w:tcPr>
            <w:tcW w:w="1275" w:type="dxa"/>
            <w:tcBorders>
              <w:top w:val="single" w:color="auto" w:sz="4" w:space="0"/>
              <w:left w:val="single" w:color="auto" w:sz="4" w:space="0"/>
              <w:right w:val="single" w:color="auto" w:sz="4" w:space="0"/>
            </w:tcBorders>
            <w:noWrap/>
            <w:vAlign w:val="center"/>
          </w:tcPr>
          <w:p>
            <w:pPr>
              <w:spacing w:after="120"/>
              <w:jc w:val="center"/>
              <w:rPr>
                <w:rFonts w:ascii="宋体" w:hAnsi="宋体" w:cs="宋体"/>
                <w:sz w:val="24"/>
                <w:szCs w:val="24"/>
              </w:rPr>
            </w:pPr>
            <w:r>
              <w:rPr>
                <w:rFonts w:hint="eastAsia" w:ascii="宋体" w:hAnsi="宋体" w:cs="宋体"/>
                <w:sz w:val="24"/>
                <w:szCs w:val="24"/>
              </w:rPr>
              <w:t>业绩</w:t>
            </w:r>
          </w:p>
        </w:tc>
        <w:tc>
          <w:tcPr>
            <w:tcW w:w="62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宋体" w:hAnsi="宋体" w:cs="宋体"/>
                <w:bCs/>
                <w:kern w:val="0"/>
                <w:sz w:val="24"/>
                <w:szCs w:val="24"/>
              </w:rPr>
            </w:pPr>
            <w:r>
              <w:rPr>
                <w:rFonts w:hint="eastAsia" w:ascii="宋体" w:hAnsi="宋体" w:cs="宋体"/>
                <w:bCs/>
                <w:kern w:val="0"/>
                <w:sz w:val="24"/>
                <w:szCs w:val="24"/>
                <w:lang w:val="zh-CN"/>
              </w:rPr>
              <w:t>供应商提供从201</w:t>
            </w:r>
            <w:r>
              <w:rPr>
                <w:rFonts w:hint="eastAsia" w:ascii="宋体" w:hAnsi="宋体" w:cs="宋体"/>
                <w:bCs/>
                <w:kern w:val="0"/>
                <w:sz w:val="24"/>
                <w:szCs w:val="24"/>
              </w:rPr>
              <w:t>9</w:t>
            </w:r>
            <w:r>
              <w:rPr>
                <w:rFonts w:hint="eastAsia" w:ascii="宋体" w:hAnsi="宋体" w:cs="宋体"/>
                <w:bCs/>
                <w:kern w:val="0"/>
                <w:sz w:val="24"/>
                <w:szCs w:val="24"/>
                <w:lang w:val="zh-CN"/>
              </w:rPr>
              <w:t>年1月1日（</w:t>
            </w:r>
            <w:r>
              <w:rPr>
                <w:rFonts w:hint="eastAsia" w:ascii="宋体" w:hAnsi="宋体" w:cs="宋体"/>
                <w:bCs/>
                <w:kern w:val="0"/>
                <w:sz w:val="24"/>
                <w:szCs w:val="24"/>
              </w:rPr>
              <w:t>以合同签订时间为准</w:t>
            </w:r>
            <w:r>
              <w:rPr>
                <w:rFonts w:hint="eastAsia" w:ascii="宋体" w:hAnsi="宋体" w:cs="宋体"/>
                <w:bCs/>
                <w:kern w:val="0"/>
                <w:sz w:val="24"/>
                <w:szCs w:val="24"/>
                <w:lang w:val="zh-CN"/>
              </w:rPr>
              <w:t>）起至今所承担</w:t>
            </w:r>
            <w:r>
              <w:rPr>
                <w:rFonts w:hint="eastAsia" w:ascii="宋体" w:hAnsi="宋体" w:cs="宋体"/>
                <w:bCs/>
                <w:kern w:val="0"/>
                <w:sz w:val="24"/>
                <w:szCs w:val="24"/>
              </w:rPr>
              <w:t>的类似</w:t>
            </w:r>
            <w:r>
              <w:rPr>
                <w:rFonts w:hint="eastAsia" w:ascii="宋体" w:hAnsi="宋体" w:cs="宋体"/>
                <w:bCs/>
                <w:kern w:val="0"/>
                <w:sz w:val="24"/>
                <w:szCs w:val="24"/>
                <w:lang w:val="zh-CN"/>
              </w:rPr>
              <w:t>项目业绩</w:t>
            </w:r>
            <w:r>
              <w:rPr>
                <w:rFonts w:hint="eastAsia" w:ascii="宋体" w:hAnsi="宋体" w:cs="宋体"/>
                <w:bCs/>
                <w:kern w:val="0"/>
                <w:sz w:val="24"/>
                <w:szCs w:val="24"/>
              </w:rPr>
              <w:t>的每个得1分</w:t>
            </w:r>
            <w:r>
              <w:rPr>
                <w:rFonts w:hint="eastAsia" w:ascii="宋体" w:hAnsi="宋体" w:cs="宋体"/>
                <w:bCs/>
                <w:kern w:val="0"/>
                <w:sz w:val="24"/>
                <w:szCs w:val="24"/>
                <w:lang w:val="zh-CN"/>
              </w:rPr>
              <w:t>，</w:t>
            </w:r>
            <w:r>
              <w:rPr>
                <w:rFonts w:hint="eastAsia" w:ascii="宋体" w:hAnsi="宋体" w:cs="宋体"/>
                <w:bCs/>
                <w:kern w:val="0"/>
                <w:sz w:val="24"/>
                <w:szCs w:val="24"/>
              </w:rPr>
              <w:t>本项最高得2分</w:t>
            </w:r>
            <w:r>
              <w:rPr>
                <w:rFonts w:hint="eastAsia" w:ascii="宋体" w:hAnsi="宋体" w:cs="宋体"/>
                <w:bCs/>
                <w:kern w:val="0"/>
                <w:sz w:val="24"/>
                <w:szCs w:val="24"/>
                <w:lang w:val="zh-CN"/>
              </w:rPr>
              <w:t>。</w:t>
            </w:r>
            <w:r>
              <w:rPr>
                <w:rFonts w:hint="eastAsia" w:ascii="宋体" w:hAnsi="宋体" w:cs="宋体"/>
                <w:bCs/>
                <w:kern w:val="0"/>
                <w:sz w:val="24"/>
                <w:szCs w:val="24"/>
              </w:rPr>
              <w:t>提供合同扫描件加盖公章。</w:t>
            </w:r>
          </w:p>
        </w:tc>
        <w:tc>
          <w:tcPr>
            <w:tcW w:w="8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cs="宋体"/>
                <w:bCs/>
                <w:kern w:val="0"/>
                <w:sz w:val="24"/>
                <w:szCs w:val="24"/>
              </w:rPr>
            </w:pPr>
            <w:r>
              <w:rPr>
                <w:rFonts w:hint="eastAsia" w:ascii="宋体" w:hAnsi="宋体" w:cs="宋体"/>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27" w:type="dxa"/>
            <w:vMerge w:val="continue"/>
            <w:tcBorders>
              <w:left w:val="single" w:color="auto" w:sz="4" w:space="0"/>
              <w:right w:val="single" w:color="auto" w:sz="4" w:space="0"/>
            </w:tcBorders>
            <w:noWrap/>
            <w:vAlign w:val="center"/>
          </w:tcPr>
          <w:p>
            <w:pPr>
              <w:jc w:val="center"/>
              <w:rPr>
                <w:rFonts w:ascii="宋体" w:hAnsi="宋体" w:cs="宋体"/>
                <w:sz w:val="24"/>
                <w:szCs w:val="24"/>
              </w:rPr>
            </w:pPr>
          </w:p>
        </w:tc>
        <w:tc>
          <w:tcPr>
            <w:tcW w:w="1275" w:type="dxa"/>
            <w:tcBorders>
              <w:top w:val="single" w:color="auto" w:sz="4" w:space="0"/>
              <w:left w:val="single" w:color="auto" w:sz="4" w:space="0"/>
              <w:right w:val="single" w:color="auto" w:sz="4" w:space="0"/>
            </w:tcBorders>
            <w:noWrap/>
            <w:vAlign w:val="center"/>
          </w:tcPr>
          <w:p>
            <w:pPr>
              <w:spacing w:after="120"/>
              <w:jc w:val="center"/>
              <w:rPr>
                <w:rFonts w:ascii="宋体" w:hAnsi="宋体" w:cs="宋体"/>
                <w:sz w:val="24"/>
                <w:szCs w:val="24"/>
              </w:rPr>
            </w:pPr>
            <w:r>
              <w:rPr>
                <w:rFonts w:hint="eastAsia" w:ascii="宋体" w:hAnsi="宋体" w:cs="宋体"/>
                <w:sz w:val="24"/>
                <w:szCs w:val="24"/>
              </w:rPr>
              <w:t>企业荣誉</w:t>
            </w:r>
          </w:p>
        </w:tc>
        <w:tc>
          <w:tcPr>
            <w:tcW w:w="62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宋体" w:hAnsi="宋体" w:cs="宋体"/>
                <w:bCs/>
                <w:kern w:val="0"/>
                <w:sz w:val="24"/>
                <w:szCs w:val="24"/>
              </w:rPr>
            </w:pPr>
            <w:r>
              <w:rPr>
                <w:rFonts w:hint="eastAsia" w:ascii="宋体" w:hAnsi="宋体" w:cs="宋体"/>
                <w:bCs/>
                <w:kern w:val="0"/>
                <w:sz w:val="24"/>
                <w:szCs w:val="24"/>
                <w:lang w:val="zh-CN"/>
              </w:rPr>
              <w:t>供应商获得过市级政府部门授予科学技术进步奖的每个得</w:t>
            </w:r>
            <w:r>
              <w:rPr>
                <w:rFonts w:hint="eastAsia" w:ascii="宋体" w:hAnsi="宋体" w:cs="宋体"/>
                <w:bCs/>
                <w:kern w:val="0"/>
                <w:sz w:val="24"/>
                <w:szCs w:val="24"/>
              </w:rPr>
              <w:t>1分，获得过</w:t>
            </w:r>
            <w:r>
              <w:rPr>
                <w:rFonts w:hint="eastAsia" w:ascii="宋体" w:hAnsi="宋体" w:cs="宋体"/>
                <w:bCs/>
                <w:kern w:val="0"/>
                <w:sz w:val="24"/>
                <w:szCs w:val="24"/>
                <w:lang w:val="zh-CN"/>
              </w:rPr>
              <w:t>省级及以上政府部门授予科学技术进步奖的每个得</w:t>
            </w:r>
            <w:r>
              <w:rPr>
                <w:rFonts w:hint="eastAsia" w:ascii="宋体" w:hAnsi="宋体" w:cs="宋体"/>
                <w:bCs/>
                <w:kern w:val="0"/>
                <w:sz w:val="24"/>
                <w:szCs w:val="24"/>
              </w:rPr>
              <w:t>2分，本项最高得4分。</w:t>
            </w:r>
          </w:p>
        </w:tc>
        <w:tc>
          <w:tcPr>
            <w:tcW w:w="8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cs="宋体"/>
                <w:bCs/>
                <w:kern w:val="0"/>
                <w:sz w:val="24"/>
                <w:szCs w:val="24"/>
              </w:rPr>
            </w:pPr>
            <w:r>
              <w:rPr>
                <w:rFonts w:hint="eastAsia" w:ascii="宋体" w:hAnsi="宋体" w:cs="宋体"/>
                <w:bCs/>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27" w:type="dxa"/>
            <w:vMerge w:val="continue"/>
            <w:tcBorders>
              <w:left w:val="single" w:color="auto" w:sz="4" w:space="0"/>
              <w:right w:val="single" w:color="auto" w:sz="4" w:space="0"/>
            </w:tcBorders>
            <w:noWrap/>
            <w:vAlign w:val="center"/>
          </w:tcPr>
          <w:p>
            <w:pPr>
              <w:jc w:val="center"/>
              <w:rPr>
                <w:rFonts w:ascii="宋体" w:hAnsi="宋体" w:cs="宋体"/>
                <w:sz w:val="24"/>
                <w:szCs w:val="24"/>
              </w:rPr>
            </w:pPr>
          </w:p>
        </w:tc>
        <w:tc>
          <w:tcPr>
            <w:tcW w:w="1275" w:type="dxa"/>
            <w:vMerge w:val="restart"/>
            <w:tcBorders>
              <w:top w:val="single" w:color="auto" w:sz="4" w:space="0"/>
              <w:left w:val="single" w:color="auto" w:sz="4" w:space="0"/>
              <w:right w:val="single" w:color="auto" w:sz="4" w:space="0"/>
            </w:tcBorders>
            <w:noWrap/>
            <w:vAlign w:val="center"/>
          </w:tcPr>
          <w:p>
            <w:pPr>
              <w:spacing w:after="120"/>
              <w:jc w:val="center"/>
              <w:rPr>
                <w:rFonts w:ascii="宋体" w:hAnsi="宋体" w:cs="宋体"/>
                <w:sz w:val="24"/>
                <w:szCs w:val="24"/>
              </w:rPr>
            </w:pPr>
            <w:r>
              <w:rPr>
                <w:rFonts w:hint="eastAsia" w:ascii="宋体" w:hAnsi="宋体" w:cs="宋体"/>
                <w:sz w:val="24"/>
                <w:szCs w:val="24"/>
              </w:rPr>
              <w:t>项目负责人证书</w:t>
            </w:r>
          </w:p>
        </w:tc>
        <w:tc>
          <w:tcPr>
            <w:tcW w:w="62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宋体" w:hAnsi="宋体" w:cs="宋体"/>
                <w:bCs/>
                <w:kern w:val="0"/>
                <w:sz w:val="24"/>
                <w:szCs w:val="24"/>
              </w:rPr>
            </w:pPr>
            <w:r>
              <w:rPr>
                <w:rFonts w:hint="eastAsia" w:ascii="宋体" w:hAnsi="宋体" w:cs="宋体"/>
                <w:bCs/>
                <w:kern w:val="0"/>
                <w:sz w:val="24"/>
                <w:szCs w:val="24"/>
              </w:rPr>
              <w:t>项目负责人具有环境相关专业高级及以上职称得2分，具有中级职称得1分，其他不得分。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cs="宋体"/>
                <w:bCs/>
                <w:kern w:val="0"/>
                <w:sz w:val="24"/>
                <w:szCs w:val="24"/>
              </w:rPr>
            </w:pPr>
            <w:r>
              <w:rPr>
                <w:rFonts w:hint="eastAsia" w:ascii="宋体" w:hAnsi="宋体" w:cs="宋体"/>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27" w:type="dxa"/>
            <w:vMerge w:val="continue"/>
            <w:tcBorders>
              <w:left w:val="single" w:color="auto" w:sz="4" w:space="0"/>
              <w:right w:val="single" w:color="auto" w:sz="4" w:space="0"/>
            </w:tcBorders>
            <w:noWrap/>
            <w:vAlign w:val="center"/>
          </w:tcPr>
          <w:p>
            <w:pPr>
              <w:jc w:val="center"/>
              <w:rPr>
                <w:rFonts w:ascii="宋体" w:hAnsi="宋体" w:cs="宋体"/>
                <w:sz w:val="24"/>
                <w:szCs w:val="24"/>
              </w:rPr>
            </w:pPr>
          </w:p>
        </w:tc>
        <w:tc>
          <w:tcPr>
            <w:tcW w:w="1275" w:type="dxa"/>
            <w:vMerge w:val="continue"/>
            <w:tcBorders>
              <w:left w:val="single" w:color="auto" w:sz="4" w:space="0"/>
              <w:right w:val="single" w:color="auto" w:sz="4" w:space="0"/>
            </w:tcBorders>
            <w:noWrap/>
            <w:vAlign w:val="center"/>
          </w:tcPr>
          <w:p>
            <w:pPr>
              <w:spacing w:after="120"/>
              <w:jc w:val="center"/>
              <w:rPr>
                <w:rFonts w:ascii="宋体" w:hAnsi="宋体" w:cs="宋体"/>
                <w:sz w:val="24"/>
                <w:szCs w:val="24"/>
              </w:rPr>
            </w:pPr>
          </w:p>
        </w:tc>
        <w:tc>
          <w:tcPr>
            <w:tcW w:w="625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宋体" w:hAnsi="宋体" w:cs="宋体"/>
                <w:bCs/>
                <w:kern w:val="0"/>
                <w:sz w:val="24"/>
                <w:szCs w:val="24"/>
              </w:rPr>
            </w:pPr>
            <w:r>
              <w:rPr>
                <w:rFonts w:hint="eastAsia" w:ascii="宋体" w:hAnsi="宋体" w:cs="宋体"/>
                <w:bCs/>
                <w:kern w:val="0"/>
                <w:sz w:val="24"/>
                <w:szCs w:val="24"/>
              </w:rPr>
              <w:t>项目负责人具有注册环保工程师或注册环评工程师得2分，没有不得分。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宋体" w:hAnsi="宋体" w:cs="宋体"/>
                <w:bCs/>
                <w:kern w:val="0"/>
                <w:sz w:val="24"/>
                <w:szCs w:val="24"/>
              </w:rPr>
            </w:pPr>
            <w:r>
              <w:rPr>
                <w:rFonts w:hint="eastAsia" w:ascii="宋体" w:hAnsi="宋体" w:cs="宋体"/>
                <w:bCs/>
                <w:kern w:val="0"/>
                <w:sz w:val="24"/>
                <w:szCs w:val="24"/>
              </w:rPr>
              <w:t>2</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1、评标委员会各成员应当独立对每个供应商的响应文件进行评价，并汇总每个供应商的得分。资信分为客观分，也需独立进行评价并核对分值，最终分值需一致。</w:t>
      </w:r>
    </w:p>
    <w:p>
      <w:pPr>
        <w:spacing w:line="360" w:lineRule="auto"/>
        <w:ind w:firstLine="480" w:firstLineChars="200"/>
        <w:rPr>
          <w:rFonts w:ascii="宋体" w:hAnsi="宋体" w:cs="宋体"/>
          <w:sz w:val="24"/>
          <w:szCs w:val="24"/>
        </w:rPr>
      </w:pPr>
      <w:r>
        <w:rPr>
          <w:rFonts w:hint="eastAsia" w:ascii="宋体" w:hAnsi="宋体" w:cs="宋体"/>
          <w:sz w:val="24"/>
          <w:szCs w:val="24"/>
        </w:rPr>
        <w:t>2、所有文件、合同、证书、资质等需要真实有效。成交供应商在中标后签订合同时需提供以上证明文件原件，若发现资料作假的取消中标资格。</w:t>
      </w:r>
      <w:bookmarkStart w:id="87" w:name="_Toc8033"/>
      <w:bookmarkStart w:id="88" w:name="_Toc4517"/>
    </w:p>
    <w:p>
      <w:pPr>
        <w:pStyle w:val="3"/>
        <w:jc w:val="center"/>
        <w:rPr>
          <w:rFonts w:ascii="宋体" w:hAnsi="宋体" w:cs="宋体"/>
          <w:sz w:val="36"/>
          <w:szCs w:val="36"/>
        </w:rPr>
      </w:pPr>
      <w:bookmarkStart w:id="89" w:name="_Toc19277"/>
    </w:p>
    <w:p>
      <w:pPr>
        <w:pStyle w:val="3"/>
        <w:jc w:val="center"/>
        <w:rPr>
          <w:rFonts w:ascii="宋体" w:hAnsi="宋体" w:cs="宋体"/>
          <w:sz w:val="36"/>
          <w:szCs w:val="36"/>
        </w:rPr>
      </w:pPr>
      <w:bookmarkStart w:id="114" w:name="_GoBack"/>
      <w:bookmarkEnd w:id="114"/>
    </w:p>
    <w:p>
      <w:pPr>
        <w:pStyle w:val="3"/>
        <w:jc w:val="center"/>
        <w:rPr>
          <w:rFonts w:ascii="宋体" w:hAnsi="宋体" w:cs="宋体"/>
          <w:sz w:val="36"/>
          <w:szCs w:val="36"/>
        </w:rPr>
      </w:pPr>
    </w:p>
    <w:p>
      <w:pPr>
        <w:rPr>
          <w:rFonts w:ascii="宋体" w:hAnsi="宋体" w:cs="宋体"/>
          <w:sz w:val="36"/>
          <w:szCs w:val="36"/>
        </w:rPr>
      </w:pPr>
    </w:p>
    <w:p>
      <w:pPr>
        <w:pStyle w:val="2"/>
        <w:rPr>
          <w:rFonts w:hAnsi="宋体"/>
          <w:sz w:val="36"/>
          <w:szCs w:val="36"/>
        </w:rPr>
      </w:pPr>
    </w:p>
    <w:p>
      <w:pPr>
        <w:rPr>
          <w:rFonts w:ascii="宋体" w:hAnsi="宋体" w:cs="宋体"/>
          <w:sz w:val="36"/>
          <w:szCs w:val="36"/>
        </w:rPr>
      </w:pPr>
    </w:p>
    <w:p>
      <w:pPr>
        <w:pStyle w:val="2"/>
        <w:rPr>
          <w:rFonts w:hAnsi="宋体"/>
          <w:sz w:val="36"/>
          <w:szCs w:val="36"/>
        </w:rPr>
      </w:pPr>
    </w:p>
    <w:p>
      <w:pPr>
        <w:rPr>
          <w:rFonts w:ascii="宋体" w:hAnsi="宋体" w:cs="宋体"/>
          <w:sz w:val="36"/>
          <w:szCs w:val="36"/>
        </w:rPr>
      </w:pPr>
    </w:p>
    <w:p>
      <w:pPr>
        <w:pStyle w:val="2"/>
        <w:rPr>
          <w:rFonts w:hAnsi="宋体"/>
          <w:sz w:val="36"/>
          <w:szCs w:val="36"/>
        </w:rPr>
      </w:pPr>
    </w:p>
    <w:p/>
    <w:p>
      <w:pPr>
        <w:pStyle w:val="3"/>
        <w:jc w:val="center"/>
        <w:rPr>
          <w:rFonts w:ascii="宋体" w:hAnsi="宋体" w:cs="宋体"/>
        </w:rPr>
      </w:pPr>
      <w:r>
        <w:rPr>
          <w:rFonts w:hint="eastAsia" w:ascii="宋体" w:hAnsi="宋体" w:cs="宋体"/>
          <w:sz w:val="36"/>
          <w:szCs w:val="36"/>
        </w:rPr>
        <w:t>第五部分采购合同</w:t>
      </w:r>
      <w:bookmarkEnd w:id="87"/>
      <w:bookmarkEnd w:id="88"/>
      <w:bookmarkEnd w:id="89"/>
    </w:p>
    <w:p>
      <w:pPr>
        <w:spacing w:line="348" w:lineRule="auto"/>
        <w:ind w:firstLine="480" w:firstLineChars="200"/>
        <w:jc w:val="left"/>
        <w:rPr>
          <w:rFonts w:ascii="宋体" w:hAnsi="宋体" w:cs="宋体"/>
          <w:kern w:val="0"/>
          <w:sz w:val="24"/>
        </w:rPr>
      </w:pPr>
      <w:r>
        <w:rPr>
          <w:rFonts w:hint="eastAsia" w:ascii="宋体" w:hAnsi="宋体" w:cs="宋体"/>
          <w:kern w:val="0"/>
          <w:sz w:val="24"/>
          <w:szCs w:val="24"/>
        </w:rPr>
        <w:t>　</w:t>
      </w:r>
      <w:r>
        <w:rPr>
          <w:rFonts w:hint="eastAsia" w:ascii="宋体" w:hAnsi="宋体" w:cs="宋体"/>
          <w:kern w:val="0"/>
          <w:sz w:val="24"/>
        </w:rPr>
        <w:t>合同编号：（2023）第</w:t>
      </w:r>
      <w:r>
        <w:rPr>
          <w:rFonts w:hint="eastAsia" w:ascii="宋体" w:hAnsi="宋体" w:cs="宋体"/>
          <w:kern w:val="0"/>
          <w:sz w:val="24"/>
          <w:u w:val="single"/>
        </w:rPr>
        <w:t>　　</w:t>
      </w:r>
      <w:r>
        <w:rPr>
          <w:rFonts w:hint="eastAsia" w:ascii="宋体" w:hAnsi="宋体" w:cs="宋体"/>
          <w:kern w:val="0"/>
          <w:sz w:val="24"/>
        </w:rPr>
        <w:t>号</w:t>
      </w:r>
    </w:p>
    <w:p>
      <w:pPr>
        <w:spacing w:line="348" w:lineRule="auto"/>
        <w:ind w:firstLine="480" w:firstLineChars="200"/>
        <w:jc w:val="left"/>
        <w:rPr>
          <w:rFonts w:ascii="宋体" w:hAnsi="宋体" w:cs="宋体"/>
          <w:kern w:val="0"/>
          <w:sz w:val="24"/>
        </w:rPr>
      </w:pPr>
      <w:r>
        <w:rPr>
          <w:rFonts w:hint="eastAsia" w:ascii="宋体" w:hAnsi="宋体" w:cs="宋体"/>
          <w:kern w:val="0"/>
          <w:sz w:val="24"/>
        </w:rPr>
        <w:t>　签订日期：2023年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spacing w:line="348" w:lineRule="auto"/>
        <w:ind w:firstLine="480" w:firstLineChars="200"/>
        <w:rPr>
          <w:rFonts w:ascii="宋体" w:hAnsi="宋体" w:cs="宋体"/>
          <w:sz w:val="28"/>
          <w:u w:val="single"/>
        </w:rPr>
      </w:pPr>
      <w:r>
        <w:rPr>
          <w:rFonts w:hint="eastAsia" w:ascii="宋体" w:hAnsi="宋体" w:cs="宋体"/>
          <w:kern w:val="0"/>
          <w:sz w:val="24"/>
        </w:rPr>
        <w:t>　供方</w:t>
      </w:r>
      <w:r>
        <w:rPr>
          <w:rFonts w:hint="eastAsia" w:ascii="宋体" w:hAnsi="宋体" w:cs="宋体"/>
          <w:sz w:val="28"/>
        </w:rPr>
        <w:t>：</w:t>
      </w:r>
      <w:r>
        <w:rPr>
          <w:rFonts w:hint="eastAsia" w:ascii="宋体" w:hAnsi="宋体" w:cs="宋体"/>
          <w:sz w:val="28"/>
          <w:u w:val="single"/>
        </w:rPr>
        <w:t>　　　　　　　　　　　　　　　　　　　　　　　　　</w:t>
      </w:r>
    </w:p>
    <w:p>
      <w:pPr>
        <w:spacing w:line="348" w:lineRule="auto"/>
        <w:ind w:firstLine="720" w:firstLineChars="300"/>
        <w:jc w:val="left"/>
        <w:rPr>
          <w:rFonts w:ascii="宋体" w:hAnsi="宋体" w:cs="宋体"/>
          <w:sz w:val="28"/>
          <w:u w:val="single"/>
        </w:rPr>
      </w:pPr>
      <w:r>
        <w:rPr>
          <w:rFonts w:hint="eastAsia" w:ascii="宋体" w:hAnsi="宋体" w:cs="宋体"/>
          <w:kern w:val="0"/>
          <w:sz w:val="24"/>
        </w:rPr>
        <w:t>需方</w:t>
      </w:r>
      <w:r>
        <w:rPr>
          <w:rFonts w:hint="eastAsia" w:ascii="宋体" w:hAnsi="宋体" w:cs="宋体"/>
          <w:sz w:val="28"/>
        </w:rPr>
        <w:t>：</w:t>
      </w:r>
      <w:r>
        <w:rPr>
          <w:rFonts w:hint="eastAsia" w:ascii="宋体" w:hAnsi="宋体" w:cs="宋体"/>
          <w:sz w:val="28"/>
          <w:u w:val="single"/>
        </w:rPr>
        <w:t>　　　　　　　　　　　　　　　　　　　　　　　　　</w:t>
      </w:r>
    </w:p>
    <w:p>
      <w:pPr>
        <w:spacing w:line="348" w:lineRule="auto"/>
        <w:ind w:firstLine="720" w:firstLineChars="300"/>
        <w:jc w:val="left"/>
        <w:rPr>
          <w:rFonts w:ascii="宋体" w:hAnsi="宋体" w:cs="宋体"/>
          <w:b/>
          <w:bCs/>
          <w:sz w:val="24"/>
        </w:rPr>
      </w:pPr>
      <w:r>
        <w:rPr>
          <w:rFonts w:hint="eastAsia" w:ascii="宋体" w:hAnsi="宋体" w:cs="宋体"/>
          <w:kern w:val="0"/>
          <w:sz w:val="24"/>
        </w:rPr>
        <w:t>根据《中华人民共和国民法典》、政府采购编号为FSJZCS2023009 招标文件、中标人响应文件的规定，经公开招标采购，签订本合同。</w:t>
      </w:r>
    </w:p>
    <w:p>
      <w:pPr>
        <w:autoSpaceDE w:val="0"/>
        <w:autoSpaceDN w:val="0"/>
        <w:adjustRightIn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一、项目概况</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2022年上虞区空气质量优良率较去年同期大幅下降，主要污染物臭氧浓度较去年同期大幅升高。为切实有效改善环境空气质量，主动打好大气污染防治主动仗、攻坚仗、翻身仗，确保攻坚整改顺利销号，同步做好亚运会环境空气质量保障工作。我局拟通过购买第三方技术服务，引入专业技术团队协助开展上虞区大气污染防治攻坚整改工作，协助开展“重点行业整治技术服务”、“挥发性有机物专项治理技术服务”、“移动源污染治理攻坚技术服务”和“污染天气应急管控技术服务”等重点工作。</w:t>
      </w:r>
    </w:p>
    <w:p>
      <w:pPr>
        <w:pStyle w:val="14"/>
        <w:ind w:firstLine="482" w:firstLineChars="200"/>
        <w:rPr>
          <w:rFonts w:ascii="宋体" w:hAnsi="宋体" w:cs="宋体"/>
          <w:b/>
          <w:bCs/>
          <w:sz w:val="24"/>
          <w:szCs w:val="24"/>
        </w:rPr>
      </w:pPr>
      <w:r>
        <w:rPr>
          <w:rFonts w:hint="eastAsia" w:ascii="宋体" w:hAnsi="宋体" w:cs="宋体"/>
          <w:b/>
          <w:bCs/>
          <w:sz w:val="24"/>
          <w:szCs w:val="24"/>
        </w:rPr>
        <w:t>二、项目工作内容</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（一）重点行业整治技术服务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①企业排查：对列入重点行业整治的家具制造、塑料制品和伞业配件企业实现检查全覆盖，建立问题清单库；</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②精细化诊断：针对存在较多环保问题的企业出具精细化诊断报告（不少于40家）；</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③指导企业对照环保整治标准开展整改提升，协助指导整治验收：列入整治清单企业全覆盖。</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（二）挥发性有机物专项治理技术服务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源头替代现状摸底调查及分析报告编制，指导重点行业开展源头替代工作：以家具制造、塑料制品、伞业配件企业为主，开展源头替代摸底调查，发表调查不少于200家（其中入户调查不少于100家），编制上虞区重点行业源头替代现状分析报告，指导重点行业开展源头替代工作（不少于30家）；</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②低效治理设施企业现状摸底调查及技术指导：开展低效治理设施摸底调查并编制清单，为高效安全废气治理设施标准制定提供技术指导；</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③涉活性炭使用企业现状摸底调查及技术指导：开展涉活性炭使用企业摸底调查并编制清单，制定技术规范，并为活性炭回收、集中处置再生的管理体系建立提供技术指导。</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（三）移动源污染治理攻坚技术服务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①老旧柴油叉车底数摸排调查：开展老旧柴油叉车摸排调查并编制清单；</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②协助完成淘汰替换补助资料审核。</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（四）污染天气应急管控技术服务</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①重污染天气重点行业绩效分级提档专项技术服务：绩效提级指导与审核服务（不少于10家）；</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②国控气站污染分析：全面分析上虞中学、重华小学国控气站历年臭氧污染情况并编制分析报告；</w:t>
      </w:r>
    </w:p>
    <w:p>
      <w:pPr>
        <w:autoSpaceDE w:val="0"/>
        <w:autoSpaceDN w:val="0"/>
        <w:adjustRightInd w:val="0"/>
        <w:spacing w:line="360" w:lineRule="auto"/>
        <w:ind w:firstLine="470" w:firstLineChars="196"/>
        <w:jc w:val="left"/>
        <w:rPr>
          <w:rFonts w:ascii="宋体" w:hAnsi="宋体" w:cs="宋体"/>
          <w:sz w:val="24"/>
          <w:szCs w:val="24"/>
        </w:rPr>
      </w:pPr>
      <w:r>
        <w:rPr>
          <w:rFonts w:hint="eastAsia" w:ascii="宋体" w:hAnsi="宋体" w:cs="宋体"/>
          <w:sz w:val="24"/>
          <w:szCs w:val="24"/>
        </w:rPr>
        <w:t>③开展亚运会期间空气质量应急保障工作技术指导服务。</w:t>
      </w:r>
    </w:p>
    <w:p>
      <w:pPr>
        <w:autoSpaceDE w:val="0"/>
        <w:autoSpaceDN w:val="0"/>
        <w:adjustRightInd w:val="0"/>
        <w:spacing w:line="360" w:lineRule="auto"/>
        <w:ind w:firstLine="472" w:firstLineChars="196"/>
        <w:jc w:val="left"/>
        <w:rPr>
          <w:rFonts w:ascii="宋体" w:hAnsi="宋体" w:cs="宋体"/>
          <w:b/>
          <w:sz w:val="24"/>
          <w:szCs w:val="24"/>
        </w:rPr>
      </w:pPr>
      <w:r>
        <w:rPr>
          <w:rFonts w:hint="eastAsia" w:ascii="宋体" w:hAnsi="宋体" w:cs="宋体"/>
          <w:b/>
          <w:sz w:val="24"/>
          <w:szCs w:val="24"/>
        </w:rPr>
        <w:t>三、项目成果要求</w:t>
      </w:r>
    </w:p>
    <w:p>
      <w:pPr>
        <w:pStyle w:val="81"/>
        <w:spacing w:line="360" w:lineRule="auto"/>
        <w:ind w:firstLine="480"/>
        <w:rPr>
          <w:rFonts w:ascii="宋体" w:hAnsi="宋体" w:eastAsia="宋体" w:cs="宋体"/>
          <w:sz w:val="24"/>
          <w:szCs w:val="24"/>
        </w:rPr>
      </w:pPr>
      <w:r>
        <w:rPr>
          <w:rFonts w:hint="eastAsia" w:ascii="宋体" w:hAnsi="宋体" w:eastAsia="宋体" w:cs="宋体"/>
          <w:sz w:val="24"/>
          <w:szCs w:val="24"/>
        </w:rPr>
        <w:t>（一）深度要求：符合相关法律法规、标准要求。</w:t>
      </w:r>
    </w:p>
    <w:p>
      <w:pPr>
        <w:pStyle w:val="81"/>
        <w:spacing w:line="360" w:lineRule="auto"/>
        <w:ind w:firstLine="480"/>
        <w:rPr>
          <w:rFonts w:ascii="宋体" w:hAnsi="宋体" w:eastAsia="宋体" w:cs="宋体"/>
          <w:sz w:val="24"/>
          <w:szCs w:val="24"/>
        </w:rPr>
      </w:pPr>
      <w:r>
        <w:rPr>
          <w:rFonts w:hint="eastAsia" w:ascii="宋体" w:hAnsi="宋体" w:eastAsia="宋体" w:cs="宋体"/>
          <w:sz w:val="24"/>
          <w:szCs w:val="24"/>
        </w:rPr>
        <w:t>（二）形式要求：</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①梳理家具制造、塑料制品和伞业配件为主的重点企业问题清单，并提交40家企业精细化诊断报告；</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②梳理企业源头替代调查表，低效治理设施企业调查表、涉活性炭企业调查表，并提交《上虞区重点行业源头替代现状分析报告》《上虞区重点行业低效设施升级技术规范》和《上虞区活性炭分散吸附、集中再生技术及应用规范》；</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③梳理老旧柴油叉车清单，提供资料审核技术支持；</w:t>
      </w:r>
    </w:p>
    <w:p>
      <w:pPr>
        <w:autoSpaceDE w:val="0"/>
        <w:autoSpaceDN w:val="0"/>
        <w:adjustRightInd w:val="0"/>
        <w:spacing w:line="360" w:lineRule="auto"/>
        <w:ind w:firstLine="470" w:firstLineChars="196"/>
        <w:jc w:val="left"/>
        <w:rPr>
          <w:rFonts w:ascii="宋体" w:hAnsi="宋体" w:cs="宋体"/>
          <w:bCs/>
          <w:sz w:val="24"/>
          <w:szCs w:val="24"/>
        </w:rPr>
      </w:pPr>
      <w:r>
        <w:rPr>
          <w:rFonts w:hint="eastAsia" w:ascii="宋体" w:hAnsi="宋体" w:cs="宋体"/>
          <w:bCs/>
          <w:sz w:val="24"/>
          <w:szCs w:val="24"/>
        </w:rPr>
        <w:t>④提交《上虞区国控气站污染分析报告》。</w:t>
      </w:r>
    </w:p>
    <w:p>
      <w:pPr>
        <w:autoSpaceDE w:val="0"/>
        <w:autoSpaceDN w:val="0"/>
        <w:adjustRightInd w:val="0"/>
        <w:spacing w:line="360" w:lineRule="auto"/>
        <w:ind w:firstLine="472" w:firstLineChars="196"/>
        <w:jc w:val="left"/>
        <w:rPr>
          <w:rFonts w:ascii="宋体" w:hAnsi="宋体" w:cs="宋体"/>
          <w:b/>
          <w:sz w:val="24"/>
          <w:szCs w:val="24"/>
        </w:rPr>
      </w:pPr>
      <w:r>
        <w:rPr>
          <w:rFonts w:hint="eastAsia" w:ascii="宋体" w:hAnsi="宋体" w:cs="宋体"/>
          <w:b/>
          <w:sz w:val="24"/>
          <w:szCs w:val="24"/>
        </w:rPr>
        <w:t>四、项目完成期限</w:t>
      </w:r>
    </w:p>
    <w:p>
      <w:pPr>
        <w:pStyle w:val="81"/>
        <w:spacing w:line="360" w:lineRule="auto"/>
        <w:ind w:firstLine="480"/>
        <w:rPr>
          <w:rFonts w:ascii="宋体" w:hAnsi="宋体" w:eastAsia="宋体" w:cs="宋体"/>
          <w:sz w:val="24"/>
          <w:szCs w:val="24"/>
        </w:rPr>
      </w:pPr>
      <w:r>
        <w:rPr>
          <w:rFonts w:hint="eastAsia" w:ascii="宋体" w:hAnsi="宋体" w:eastAsia="宋体" w:cs="宋体"/>
          <w:sz w:val="24"/>
          <w:szCs w:val="24"/>
        </w:rPr>
        <w:t>2023年   月   日至2024年   月    日。</w:t>
      </w:r>
    </w:p>
    <w:p>
      <w:pPr>
        <w:spacing w:line="348" w:lineRule="auto"/>
        <w:ind w:firstLine="482" w:firstLineChars="200"/>
        <w:rPr>
          <w:rFonts w:ascii="宋体" w:hAnsi="宋体" w:cs="宋体"/>
          <w:b/>
          <w:bCs/>
          <w:kern w:val="0"/>
          <w:sz w:val="24"/>
        </w:rPr>
      </w:pPr>
      <w:r>
        <w:rPr>
          <w:rFonts w:hint="eastAsia" w:ascii="宋体" w:hAnsi="宋体" w:cs="宋体"/>
          <w:b/>
          <w:bCs/>
          <w:kern w:val="0"/>
          <w:sz w:val="24"/>
        </w:rPr>
        <w:t>五、服务费及付款方式</w:t>
      </w:r>
    </w:p>
    <w:p>
      <w:pPr>
        <w:pStyle w:val="69"/>
        <w:spacing w:line="348" w:lineRule="auto"/>
        <w:ind w:firstLine="480" w:firstLineChars="200"/>
        <w:rPr>
          <w:rFonts w:cs="宋体"/>
          <w:szCs w:val="24"/>
        </w:rPr>
      </w:pPr>
      <w:r>
        <w:rPr>
          <w:rFonts w:hint="eastAsia" w:cs="宋体"/>
          <w:szCs w:val="24"/>
        </w:rPr>
        <w:t>1、服务费：</w:t>
      </w:r>
    </w:p>
    <w:p>
      <w:pPr>
        <w:pStyle w:val="69"/>
        <w:spacing w:line="348" w:lineRule="auto"/>
        <w:ind w:firstLine="480" w:firstLineChars="200"/>
        <w:rPr>
          <w:rFonts w:cs="宋体"/>
          <w:szCs w:val="24"/>
        </w:rPr>
      </w:pPr>
      <w:r>
        <w:rPr>
          <w:rFonts w:hint="eastAsia" w:cs="宋体"/>
          <w:szCs w:val="24"/>
        </w:rPr>
        <w:t>本合同金额为人民币（大写）：________元（￥_______元）。</w:t>
      </w:r>
    </w:p>
    <w:p>
      <w:pPr>
        <w:pStyle w:val="69"/>
        <w:spacing w:line="348" w:lineRule="auto"/>
        <w:ind w:firstLine="480" w:firstLineChars="200"/>
        <w:rPr>
          <w:rFonts w:cs="宋体"/>
          <w:szCs w:val="24"/>
        </w:rPr>
      </w:pPr>
      <w:r>
        <w:rPr>
          <w:rFonts w:hint="eastAsia" w:cs="宋体"/>
          <w:szCs w:val="24"/>
        </w:rPr>
        <w:t>2、本项目付款方式：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2.1付款方式：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（1）合同签订后支付至合同总价的40%；</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（2）2023年12月底支付至合同总价的65%（具体根据资金落实情况执行）；</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（3）余款在项目完成后付清。</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2.2付款要求：</w:t>
      </w:r>
    </w:p>
    <w:p>
      <w:pPr>
        <w:spacing w:line="348" w:lineRule="auto"/>
        <w:ind w:firstLine="480" w:firstLineChars="200"/>
        <w:rPr>
          <w:rFonts w:ascii="宋体" w:hAnsi="宋体" w:cs="宋体"/>
          <w:sz w:val="24"/>
          <w:szCs w:val="24"/>
        </w:rPr>
      </w:pPr>
      <w:r>
        <w:rPr>
          <w:rFonts w:hint="eastAsia" w:ascii="宋体" w:hAnsi="宋体" w:cs="宋体"/>
          <w:sz w:val="24"/>
          <w:szCs w:val="24"/>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pPr>
        <w:spacing w:line="348" w:lineRule="auto"/>
        <w:ind w:firstLine="482" w:firstLineChars="200"/>
        <w:rPr>
          <w:rFonts w:ascii="宋体" w:hAnsi="宋体" w:cs="宋体"/>
          <w:b/>
          <w:bCs/>
          <w:sz w:val="24"/>
        </w:rPr>
      </w:pPr>
      <w:r>
        <w:rPr>
          <w:rFonts w:hint="eastAsia" w:ascii="宋体" w:hAnsi="宋体" w:cs="宋体"/>
          <w:b/>
          <w:bCs/>
          <w:sz w:val="24"/>
        </w:rPr>
        <w:t>六、违约责任</w:t>
      </w:r>
    </w:p>
    <w:p>
      <w:pPr>
        <w:snapToGrid w:val="0"/>
        <w:spacing w:line="348" w:lineRule="auto"/>
        <w:ind w:firstLine="482"/>
        <w:rPr>
          <w:rFonts w:ascii="宋体" w:hAnsi="宋体" w:cs="宋体"/>
          <w:kern w:val="0"/>
          <w:sz w:val="24"/>
        </w:rPr>
      </w:pPr>
      <w:r>
        <w:rPr>
          <w:rFonts w:hint="eastAsia" w:ascii="宋体" w:hAnsi="宋体" w:cs="宋体"/>
          <w:kern w:val="0"/>
          <w:sz w:val="24"/>
        </w:rPr>
        <w:t>1、甲方无正当理由拒绝服务的，乙方有要求甲方赔偿的权利。</w:t>
      </w:r>
    </w:p>
    <w:p>
      <w:pPr>
        <w:snapToGrid w:val="0"/>
        <w:spacing w:line="348" w:lineRule="auto"/>
        <w:ind w:firstLine="482"/>
        <w:rPr>
          <w:rFonts w:ascii="宋体" w:hAnsi="宋体" w:cs="宋体"/>
          <w:kern w:val="0"/>
          <w:sz w:val="24"/>
        </w:rPr>
      </w:pPr>
      <w:r>
        <w:rPr>
          <w:rFonts w:hint="eastAsia" w:ascii="宋体" w:hAnsi="宋体" w:cs="宋体"/>
          <w:kern w:val="0"/>
          <w:sz w:val="24"/>
        </w:rPr>
        <w:t>2、甲方无正当理由拒绝支付合同款或者延期支付的，由甲方按应支付每天万分之</w:t>
      </w:r>
      <w:r>
        <w:rPr>
          <w:rFonts w:hint="eastAsia" w:ascii="宋体" w:hAnsi="宋体" w:cs="宋体"/>
          <w:kern w:val="0"/>
          <w:sz w:val="24"/>
          <w:u w:val="single"/>
        </w:rPr>
        <w:t>　　</w:t>
      </w:r>
      <w:r>
        <w:rPr>
          <w:rFonts w:hint="eastAsia" w:ascii="宋体" w:hAnsi="宋体" w:cs="宋体"/>
          <w:kern w:val="0"/>
          <w:sz w:val="24"/>
        </w:rPr>
        <w:t>的延期违约金。</w:t>
      </w:r>
    </w:p>
    <w:p>
      <w:pPr>
        <w:snapToGrid w:val="0"/>
        <w:spacing w:line="348" w:lineRule="auto"/>
        <w:ind w:firstLine="482"/>
        <w:rPr>
          <w:rFonts w:ascii="宋体" w:hAnsi="宋体" w:cs="宋体"/>
          <w:kern w:val="0"/>
          <w:sz w:val="24"/>
        </w:rPr>
      </w:pPr>
      <w:r>
        <w:rPr>
          <w:rFonts w:hint="eastAsia" w:ascii="宋体" w:hAnsi="宋体" w:cs="宋体"/>
          <w:kern w:val="0"/>
          <w:sz w:val="24"/>
        </w:rPr>
        <w:t>3、乙方所交付服务（软件）品种、型号、规格、数量、质量不符合合同规定标准的，甲方有权拒绝接收，不予退还履约保证金，并有要求乙方赔偿的权利。</w:t>
      </w:r>
    </w:p>
    <w:p>
      <w:pPr>
        <w:snapToGrid w:val="0"/>
        <w:spacing w:line="348" w:lineRule="auto"/>
        <w:ind w:firstLine="482"/>
        <w:rPr>
          <w:rFonts w:ascii="宋体" w:hAnsi="宋体" w:cs="宋体"/>
          <w:kern w:val="0"/>
          <w:sz w:val="24"/>
        </w:rPr>
      </w:pPr>
      <w:r>
        <w:rPr>
          <w:rFonts w:hint="eastAsia" w:ascii="宋体" w:hAnsi="宋体" w:cs="宋体"/>
          <w:kern w:val="0"/>
          <w:sz w:val="24"/>
        </w:rPr>
        <w:t>4、乙方未能及时交货或其它非甲方原因引起验收交货延迟的，由乙方支付迟交服务（软件）合同价每天万分之</w:t>
      </w:r>
      <w:r>
        <w:rPr>
          <w:rFonts w:hint="eastAsia" w:ascii="宋体" w:hAnsi="宋体" w:cs="宋体"/>
          <w:kern w:val="0"/>
          <w:sz w:val="24"/>
          <w:u w:val="single"/>
        </w:rPr>
        <w:t>　　</w:t>
      </w:r>
      <w:r>
        <w:rPr>
          <w:rFonts w:hint="eastAsia" w:ascii="宋体" w:hAnsi="宋体" w:cs="宋体"/>
          <w:kern w:val="0"/>
          <w:sz w:val="24"/>
        </w:rPr>
        <w:t>的误期赔偿费。</w:t>
      </w:r>
    </w:p>
    <w:p>
      <w:pPr>
        <w:snapToGrid w:val="0"/>
        <w:spacing w:line="348" w:lineRule="auto"/>
        <w:ind w:firstLine="482"/>
        <w:rPr>
          <w:rFonts w:ascii="宋体" w:hAnsi="宋体" w:cs="宋体"/>
          <w:kern w:val="0"/>
          <w:sz w:val="24"/>
        </w:rPr>
      </w:pPr>
      <w:r>
        <w:rPr>
          <w:rFonts w:hint="eastAsia" w:ascii="宋体" w:hAnsi="宋体" w:cs="宋体"/>
          <w:kern w:val="0"/>
          <w:sz w:val="24"/>
        </w:rPr>
        <w:t>5、本项目货物如涉及柴油动力移动源，柴油动力移动源应当符合低排放要求。</w:t>
      </w:r>
    </w:p>
    <w:p>
      <w:pPr>
        <w:snapToGrid w:val="0"/>
        <w:spacing w:line="348" w:lineRule="auto"/>
        <w:ind w:firstLine="482"/>
        <w:rPr>
          <w:rFonts w:ascii="宋体" w:hAnsi="宋体" w:cs="宋体"/>
          <w:spacing w:val="-2"/>
          <w:sz w:val="24"/>
          <w:szCs w:val="24"/>
        </w:rPr>
      </w:pPr>
      <w:r>
        <w:rPr>
          <w:rFonts w:hint="eastAsia" w:ascii="宋体" w:hAnsi="宋体" w:cs="宋体"/>
          <w:kern w:val="0"/>
          <w:sz w:val="24"/>
        </w:rPr>
        <w:t>6、其他：</w:t>
      </w:r>
      <w:r>
        <w:rPr>
          <w:rFonts w:hint="eastAsia" w:ascii="宋体" w:hAnsi="宋体" w:cs="宋体"/>
          <w:kern w:val="0"/>
          <w:sz w:val="24"/>
          <w:u w:val="single"/>
        </w:rPr>
        <w:t>采购合同的履行、违约责任和解决争议的方式等适用《中华人民共和国民法典》。合同发生争议，双方当事人应及时协商解决。也可由当地建设行政主管部门调解，调解不成时，可依法向当地人民法院起诉</w:t>
      </w:r>
      <w:r>
        <w:rPr>
          <w:rFonts w:hint="eastAsia" w:ascii="宋体" w:hAnsi="宋体" w:cs="宋体"/>
          <w:kern w:val="0"/>
          <w:sz w:val="24"/>
        </w:rPr>
        <w:t>。</w:t>
      </w:r>
    </w:p>
    <w:p>
      <w:pPr>
        <w:spacing w:line="348" w:lineRule="auto"/>
        <w:ind w:left="480"/>
        <w:rPr>
          <w:rFonts w:ascii="宋体" w:hAnsi="宋体" w:cs="宋体"/>
          <w:b/>
          <w:bCs/>
          <w:sz w:val="24"/>
        </w:rPr>
      </w:pPr>
      <w:r>
        <w:rPr>
          <w:rFonts w:hint="eastAsia" w:ascii="宋体" w:hAnsi="宋体" w:cs="宋体"/>
          <w:b/>
          <w:bCs/>
          <w:sz w:val="24"/>
        </w:rPr>
        <w:t>七、</w:t>
      </w:r>
    </w:p>
    <w:p>
      <w:pPr>
        <w:spacing w:line="348" w:lineRule="auto"/>
        <w:ind w:firstLine="480" w:firstLineChars="200"/>
        <w:rPr>
          <w:rFonts w:ascii="宋体" w:hAnsi="宋体" w:cs="宋体"/>
          <w:sz w:val="24"/>
        </w:rPr>
      </w:pPr>
      <w:r>
        <w:rPr>
          <w:rFonts w:hint="eastAsia" w:ascii="宋体" w:hAnsi="宋体" w:cs="宋体"/>
          <w:sz w:val="24"/>
        </w:rPr>
        <w:t>本合同执行过程中的未尽事宜，双方应本着实事求是友好协商的态度加以解决。双方协商一致的，签订补充协议。补充协议与本合同具有同等效力。</w:t>
      </w:r>
    </w:p>
    <w:p>
      <w:pPr>
        <w:spacing w:line="348" w:lineRule="auto"/>
        <w:ind w:firstLine="480" w:firstLineChars="200"/>
        <w:rPr>
          <w:rFonts w:ascii="宋体" w:hAnsi="宋体" w:cs="宋体"/>
          <w:sz w:val="24"/>
        </w:rPr>
      </w:pPr>
      <w:r>
        <w:rPr>
          <w:rFonts w:hint="eastAsia" w:ascii="宋体" w:hAnsi="宋体" w:cs="宋体"/>
          <w:sz w:val="24"/>
        </w:rPr>
        <w:t>由于不可抗力，致使合同无法履行时，双方应按有关法律规定及时协商处理。</w:t>
      </w:r>
    </w:p>
    <w:p>
      <w:pPr>
        <w:spacing w:line="348" w:lineRule="auto"/>
        <w:ind w:firstLine="480" w:firstLineChars="200"/>
        <w:rPr>
          <w:rFonts w:ascii="宋体" w:hAnsi="宋体" w:cs="宋体"/>
          <w:sz w:val="24"/>
        </w:rPr>
      </w:pPr>
      <w:r>
        <w:rPr>
          <w:rFonts w:hint="eastAsia" w:ascii="宋体" w:hAnsi="宋体" w:cs="宋体"/>
          <w:sz w:val="24"/>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spacing w:line="348" w:lineRule="auto"/>
        <w:ind w:left="480"/>
        <w:rPr>
          <w:rFonts w:ascii="宋体" w:hAnsi="宋体" w:cs="宋体"/>
          <w:b/>
          <w:bCs/>
          <w:sz w:val="24"/>
        </w:rPr>
      </w:pPr>
      <w:r>
        <w:rPr>
          <w:rFonts w:hint="eastAsia" w:ascii="宋体" w:hAnsi="宋体" w:cs="宋体"/>
          <w:b/>
          <w:bCs/>
          <w:sz w:val="24"/>
        </w:rPr>
        <w:t>八、附则</w:t>
      </w:r>
    </w:p>
    <w:p>
      <w:pPr>
        <w:snapToGrid w:val="0"/>
        <w:spacing w:line="348" w:lineRule="auto"/>
        <w:ind w:firstLine="480" w:firstLineChars="200"/>
        <w:jc w:val="left"/>
        <w:rPr>
          <w:rFonts w:ascii="宋体" w:hAnsi="宋体" w:cs="宋体"/>
          <w:sz w:val="24"/>
          <w:szCs w:val="24"/>
        </w:rPr>
      </w:pPr>
      <w:r>
        <w:rPr>
          <w:rFonts w:hint="eastAsia" w:ascii="宋体" w:hAnsi="宋体" w:cs="宋体"/>
          <w:sz w:val="24"/>
        </w:rPr>
        <w:t>本合同由双方代表签字，加盖双方公章或合同专用章即生效。</w:t>
      </w:r>
    </w:p>
    <w:p>
      <w:pPr>
        <w:snapToGrid w:val="0"/>
        <w:spacing w:line="348" w:lineRule="auto"/>
        <w:ind w:firstLine="482" w:firstLineChars="200"/>
        <w:jc w:val="left"/>
        <w:rPr>
          <w:rFonts w:ascii="宋体" w:hAnsi="宋体" w:cs="宋体"/>
          <w:sz w:val="24"/>
          <w:szCs w:val="24"/>
        </w:rPr>
      </w:pPr>
      <w:r>
        <w:rPr>
          <w:rFonts w:hint="eastAsia" w:ascii="宋体" w:hAnsi="宋体" w:cs="宋体"/>
          <w:b/>
          <w:kern w:val="0"/>
          <w:sz w:val="24"/>
        </w:rPr>
        <w:t>本合同一式</w:t>
      </w:r>
      <w:r>
        <w:rPr>
          <w:rFonts w:hint="eastAsia" w:ascii="宋体" w:hAnsi="宋体" w:cs="宋体"/>
          <w:b/>
          <w:kern w:val="0"/>
          <w:sz w:val="24"/>
          <w:u w:val="single"/>
        </w:rPr>
        <w:t xml:space="preserve">　　　 </w:t>
      </w:r>
      <w:r>
        <w:rPr>
          <w:rFonts w:hint="eastAsia" w:ascii="宋体" w:hAnsi="宋体" w:cs="宋体"/>
          <w:b/>
          <w:kern w:val="0"/>
          <w:sz w:val="24"/>
        </w:rPr>
        <w:t>份，其中正本两份，采购人和中标人各执一份，并由采购人在30日内做好政采云平台网上合同创建及备案</w:t>
      </w:r>
      <w:r>
        <w:rPr>
          <w:rFonts w:hint="eastAsia" w:ascii="宋体" w:hAnsi="宋体" w:cs="宋体"/>
          <w:sz w:val="24"/>
          <w:szCs w:val="24"/>
        </w:rPr>
        <w:t>。</w:t>
      </w: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甲方单位</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（盖章）</w:t>
            </w: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乙方单位</w:t>
            </w:r>
          </w:p>
        </w:tc>
        <w:tc>
          <w:tcPr>
            <w:tcW w:w="270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代表签名</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代表签名</w:t>
            </w:r>
          </w:p>
        </w:tc>
        <w:tc>
          <w:tcPr>
            <w:tcW w:w="270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地址</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地址</w:t>
            </w:r>
          </w:p>
        </w:tc>
        <w:tc>
          <w:tcPr>
            <w:tcW w:w="270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电话</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电话</w:t>
            </w:r>
          </w:p>
        </w:tc>
        <w:tc>
          <w:tcPr>
            <w:tcW w:w="270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开户银行</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开户银行</w:t>
            </w:r>
          </w:p>
        </w:tc>
        <w:tc>
          <w:tcPr>
            <w:tcW w:w="270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帐号</w:t>
            </w:r>
          </w:p>
        </w:tc>
        <w:tc>
          <w:tcPr>
            <w:tcW w:w="234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r>
              <w:rPr>
                <w:rFonts w:hint="eastAsia" w:ascii="宋体" w:hAnsi="宋体" w:cs="宋体"/>
                <w:sz w:val="24"/>
                <w:szCs w:val="24"/>
              </w:rPr>
              <w:t>帐号</w:t>
            </w:r>
          </w:p>
        </w:tc>
        <w:tc>
          <w:tcPr>
            <w:tcW w:w="2700" w:type="dxa"/>
            <w:tcBorders>
              <w:top w:val="single" w:color="auto" w:sz="4" w:space="0"/>
              <w:left w:val="single" w:color="auto" w:sz="4" w:space="0"/>
              <w:bottom w:val="single" w:color="auto" w:sz="4" w:space="0"/>
              <w:right w:val="single" w:color="auto" w:sz="4" w:space="0"/>
            </w:tcBorders>
            <w:noWrap/>
            <w:vAlign w:val="center"/>
          </w:tcPr>
          <w:p>
            <w:pPr>
              <w:spacing w:line="348" w:lineRule="auto"/>
              <w:jc w:val="center"/>
              <w:rPr>
                <w:rFonts w:ascii="宋体" w:hAnsi="宋体" w:cs="宋体"/>
                <w:sz w:val="24"/>
                <w:szCs w:val="24"/>
              </w:rPr>
            </w:pPr>
          </w:p>
        </w:tc>
      </w:tr>
    </w:tbl>
    <w:p>
      <w:pPr>
        <w:spacing w:line="348" w:lineRule="auto"/>
        <w:rPr>
          <w:rFonts w:ascii="宋体" w:hAnsi="宋体" w:cs="宋体"/>
        </w:rPr>
      </w:pPr>
      <w:r>
        <w:rPr>
          <w:rFonts w:hint="eastAsia" w:ascii="宋体" w:hAnsi="宋体" w:cs="宋体"/>
        </w:rPr>
        <w:br w:type="page"/>
      </w:r>
    </w:p>
    <w:p>
      <w:pPr>
        <w:pStyle w:val="3"/>
        <w:jc w:val="center"/>
        <w:rPr>
          <w:rFonts w:ascii="宋体" w:hAnsi="宋体" w:cs="宋体"/>
          <w:sz w:val="36"/>
          <w:szCs w:val="36"/>
        </w:rPr>
      </w:pPr>
      <w:bookmarkStart w:id="90" w:name="_Toc24867"/>
      <w:bookmarkStart w:id="91" w:name="_Toc4669"/>
      <w:bookmarkStart w:id="92" w:name="_Toc7690"/>
      <w:r>
        <w:rPr>
          <w:rFonts w:hint="eastAsia" w:ascii="宋体" w:hAnsi="宋体" w:cs="宋体"/>
          <w:sz w:val="36"/>
          <w:szCs w:val="36"/>
        </w:rPr>
        <w:t>第六部分应提交的有关格式范例</w:t>
      </w:r>
      <w:bookmarkEnd w:id="90"/>
      <w:bookmarkEnd w:id="91"/>
      <w:bookmarkEnd w:id="92"/>
    </w:p>
    <w:p>
      <w:pPr>
        <w:rPr>
          <w:rFonts w:ascii="宋体" w:hAnsi="宋体" w:cs="宋体"/>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“资格文件”、“商务技术文件”、“报价文件”须分3个PDF格式分别导入。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pPr>
        <w:spacing w:line="360" w:lineRule="auto"/>
        <w:jc w:val="center"/>
        <w:rPr>
          <w:rFonts w:ascii="宋体" w:hAnsi="宋体" w:cs="宋体"/>
          <w:b/>
          <w:bCs/>
          <w:kern w:val="0"/>
          <w:sz w:val="36"/>
          <w:szCs w:val="36"/>
        </w:rPr>
      </w:pPr>
      <w:r>
        <w:rPr>
          <w:rFonts w:hint="eastAsia" w:ascii="宋体" w:hAnsi="宋体" w:cs="宋体"/>
          <w:b/>
          <w:bCs/>
          <w:sz w:val="24"/>
          <w:szCs w:val="24"/>
        </w:rPr>
        <w:br w:type="page"/>
      </w:r>
      <w:r>
        <w:rPr>
          <w:rFonts w:hint="eastAsia" w:ascii="宋体" w:hAnsi="宋体" w:cs="宋体"/>
          <w:b/>
          <w:bCs/>
          <w:kern w:val="0"/>
          <w:sz w:val="36"/>
          <w:szCs w:val="36"/>
        </w:rPr>
        <w:t>资格文件部分</w:t>
      </w: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r>
        <w:rPr>
          <w:rFonts w:hint="eastAsia" w:ascii="宋体" w:hAnsi="宋体" w:cs="宋体"/>
          <w:b/>
          <w:bCs/>
          <w:kern w:val="0"/>
          <w:sz w:val="36"/>
          <w:szCs w:val="36"/>
        </w:rPr>
        <w:t>目录</w:t>
      </w:r>
    </w:p>
    <w:p>
      <w:pPr>
        <w:spacing w:line="360" w:lineRule="auto"/>
        <w:ind w:firstLine="480" w:firstLineChars="200"/>
        <w:rPr>
          <w:rFonts w:ascii="宋体" w:hAnsi="宋体" w:cs="宋体"/>
          <w:sz w:val="24"/>
          <w:szCs w:val="24"/>
        </w:rPr>
      </w:pPr>
      <w:r>
        <w:rPr>
          <w:rFonts w:hint="eastAsia" w:ascii="宋体" w:hAnsi="宋体" w:cs="宋体"/>
          <w:sz w:val="24"/>
          <w:szCs w:val="24"/>
        </w:rPr>
        <w:t>（1）法定代表人授权书；（格式见附件）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sz w:val="24"/>
          <w:szCs w:val="24"/>
        </w:rPr>
      </w:pPr>
      <w:r>
        <w:rPr>
          <w:rFonts w:hint="eastAsia" w:ascii="宋体" w:hAnsi="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（3）具有履行合同所必需的产品和专业技术能力的承诺函；</w:t>
      </w:r>
    </w:p>
    <w:p>
      <w:pPr>
        <w:spacing w:line="360" w:lineRule="auto"/>
        <w:ind w:firstLine="480" w:firstLineChars="200"/>
        <w:rPr>
          <w:rFonts w:ascii="宋体" w:hAnsi="宋体" w:cs="宋体"/>
          <w:sz w:val="24"/>
          <w:szCs w:val="24"/>
        </w:rPr>
      </w:pPr>
      <w:r>
        <w:rPr>
          <w:rFonts w:hint="eastAsia" w:ascii="宋体" w:hAnsi="宋体" w:cs="宋体"/>
          <w:sz w:val="24"/>
          <w:szCs w:val="24"/>
        </w:rPr>
        <w:t>（4）投标人承诺函。</w:t>
      </w:r>
    </w:p>
    <w:p>
      <w:pPr>
        <w:spacing w:line="360" w:lineRule="auto"/>
        <w:ind w:firstLine="480" w:firstLineChars="200"/>
        <w:rPr>
          <w:rFonts w:ascii="宋体" w:hAnsi="宋体" w:cs="宋体"/>
          <w:sz w:val="24"/>
          <w:szCs w:val="24"/>
        </w:rPr>
      </w:pPr>
      <w:r>
        <w:rPr>
          <w:rFonts w:hint="eastAsia" w:ascii="宋体" w:hAnsi="宋体" w:cs="宋体"/>
          <w:sz w:val="24"/>
          <w:szCs w:val="24"/>
        </w:rPr>
        <w:t>（5）中小企业声明函（格式见附件）；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（6）残疾人福利性单位声明函(如有)（格式见附件）；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（7）监狱企业证明文件(如有)（格式见附件）。</w:t>
      </w:r>
    </w:p>
    <w:p>
      <w:pPr>
        <w:pStyle w:val="9"/>
        <w:ind w:firstLine="486"/>
      </w:pPr>
    </w:p>
    <w:p>
      <w:pPr>
        <w:rPr>
          <w:rFonts w:ascii="宋体" w:hAnsi="宋体" w:cs="宋体"/>
        </w:rPr>
      </w:pPr>
    </w:p>
    <w:p>
      <w:pPr>
        <w:pStyle w:val="5"/>
        <w:rPr>
          <w:rFonts w:ascii="宋体" w:hAnsi="宋体" w:eastAsia="宋体" w:cs="宋体"/>
        </w:rPr>
      </w:pPr>
    </w:p>
    <w:p>
      <w:pPr>
        <w:rPr>
          <w:rFonts w:ascii="宋体" w:hAnsi="宋体" w:cs="宋体"/>
        </w:rPr>
      </w:pPr>
    </w:p>
    <w:p>
      <w:pPr>
        <w:pStyle w:val="5"/>
        <w:rPr>
          <w:rFonts w:ascii="宋体" w:hAnsi="宋体" w:eastAsia="宋体" w:cs="宋体"/>
        </w:rPr>
      </w:pPr>
    </w:p>
    <w:p>
      <w:pPr>
        <w:rPr>
          <w:rFonts w:ascii="宋体" w:hAnsi="宋体" w:cs="宋体"/>
        </w:rPr>
      </w:pPr>
    </w:p>
    <w:p>
      <w:pPr>
        <w:pStyle w:val="5"/>
        <w:rPr>
          <w:rFonts w:ascii="宋体" w:hAnsi="宋体" w:eastAsia="宋体" w:cs="宋体"/>
        </w:rPr>
      </w:pPr>
    </w:p>
    <w:p>
      <w:pPr>
        <w:rPr>
          <w:rFonts w:ascii="宋体" w:hAnsi="宋体" w:cs="宋体"/>
        </w:rPr>
      </w:pPr>
    </w:p>
    <w:p>
      <w:pPr>
        <w:pStyle w:val="5"/>
        <w:rPr>
          <w:rFonts w:ascii="宋体" w:hAnsi="宋体" w:eastAsia="宋体" w:cs="宋体"/>
        </w:rPr>
      </w:pPr>
    </w:p>
    <w:p>
      <w:pPr>
        <w:rPr>
          <w:rFonts w:ascii="宋体" w:hAnsi="宋体" w:cs="宋体"/>
        </w:rPr>
      </w:pPr>
    </w:p>
    <w:p>
      <w:pPr>
        <w:snapToGrid w:val="0"/>
        <w:spacing w:before="50" w:after="162" w:afterLines="50"/>
        <w:jc w:val="left"/>
        <w:rPr>
          <w:rFonts w:ascii="宋体" w:hAnsi="宋体" w:cs="宋体"/>
          <w:b/>
          <w:bCs/>
          <w:sz w:val="24"/>
          <w:szCs w:val="24"/>
          <w:lang w:val="zh-CN"/>
        </w:rPr>
      </w:pPr>
      <w:bookmarkStart w:id="93" w:name="_Toc24699"/>
      <w:r>
        <w:rPr>
          <w:rFonts w:hint="eastAsia" w:ascii="宋体" w:hAnsi="宋体" w:cs="宋体"/>
          <w:b/>
          <w:bCs/>
          <w:sz w:val="24"/>
          <w:szCs w:val="24"/>
          <w:lang w:val="zh-CN"/>
        </w:rPr>
        <w:t>附件一：</w:t>
      </w:r>
    </w:p>
    <w:p>
      <w:pPr>
        <w:spacing w:line="360" w:lineRule="auto"/>
        <w:jc w:val="center"/>
        <w:rPr>
          <w:rFonts w:ascii="宋体" w:hAnsi="宋体" w:cs="宋体"/>
          <w:b/>
          <w:bCs/>
          <w:sz w:val="32"/>
          <w:szCs w:val="32"/>
        </w:rPr>
      </w:pPr>
      <w:r>
        <w:rPr>
          <w:rFonts w:hint="eastAsia" w:ascii="宋体" w:hAnsi="宋体" w:cs="宋体"/>
          <w:b/>
          <w:bCs/>
          <w:sz w:val="32"/>
          <w:szCs w:val="32"/>
        </w:rPr>
        <w:t>法定代表人授权书</w:t>
      </w:r>
      <w:bookmarkEnd w:id="93"/>
    </w:p>
    <w:p>
      <w:pPr>
        <w:pStyle w:val="6"/>
        <w:spacing w:line="360" w:lineRule="auto"/>
        <w:rPr>
          <w:rFonts w:ascii="宋体" w:hAnsi="宋体" w:cs="宋体"/>
        </w:rPr>
      </w:pPr>
    </w:p>
    <w:p>
      <w:pPr>
        <w:spacing w:line="360" w:lineRule="auto"/>
        <w:ind w:firstLine="480" w:firstLineChars="200"/>
        <w:rPr>
          <w:rFonts w:ascii="宋体" w:hAnsi="宋体" w:cs="宋体"/>
          <w:sz w:val="24"/>
          <w:szCs w:val="24"/>
        </w:rPr>
      </w:pPr>
      <w:r>
        <w:rPr>
          <w:rFonts w:hint="eastAsia" w:ascii="宋体" w:hAnsi="宋体" w:cs="宋体"/>
          <w:sz w:val="24"/>
          <w:szCs w:val="24"/>
        </w:rPr>
        <w:t>绍兴市生态环境局上虞分局：</w:t>
      </w:r>
    </w:p>
    <w:p>
      <w:pPr>
        <w:spacing w:line="360" w:lineRule="auto"/>
        <w:ind w:firstLine="480" w:firstLineChars="200"/>
        <w:rPr>
          <w:rFonts w:ascii="宋体" w:hAnsi="宋体" w:cs="宋体"/>
          <w:sz w:val="24"/>
          <w:szCs w:val="24"/>
        </w:rPr>
      </w:pPr>
      <w:r>
        <w:rPr>
          <w:rFonts w:hint="eastAsia" w:ascii="宋体" w:hAnsi="宋体" w:cs="宋体"/>
          <w:sz w:val="24"/>
          <w:szCs w:val="24"/>
        </w:rPr>
        <w:t>浙江宇康工程管理咨询有限公司：</w:t>
      </w:r>
    </w:p>
    <w:p>
      <w:pPr>
        <w:spacing w:line="360" w:lineRule="auto"/>
        <w:ind w:firstLine="480" w:firstLineChars="200"/>
        <w:rPr>
          <w:rFonts w:ascii="宋体" w:hAnsi="宋体" w:cs="宋体"/>
          <w:sz w:val="24"/>
          <w:szCs w:val="24"/>
        </w:rPr>
      </w:pPr>
      <w:r>
        <w:rPr>
          <w:rFonts w:hint="eastAsia" w:ascii="宋体" w:hAnsi="宋体" w:cs="宋体"/>
          <w:sz w:val="24"/>
          <w:szCs w:val="24"/>
          <w:u w:val="single"/>
        </w:rPr>
        <w:t>（供应商全称）</w:t>
      </w:r>
      <w:r>
        <w:rPr>
          <w:rFonts w:hint="eastAsia" w:ascii="宋体" w:hAnsi="宋体" w:cs="宋体"/>
          <w:sz w:val="24"/>
          <w:szCs w:val="24"/>
        </w:rPr>
        <w:t>法定代表人授权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法定代表人签字：</w:t>
      </w:r>
    </w:p>
    <w:p>
      <w:pPr>
        <w:spacing w:line="360" w:lineRule="auto"/>
        <w:ind w:firstLine="480" w:firstLineChars="200"/>
        <w:rPr>
          <w:rFonts w:ascii="宋体" w:hAnsi="宋体" w:cs="宋体"/>
          <w:sz w:val="24"/>
          <w:szCs w:val="24"/>
        </w:rPr>
      </w:pPr>
      <w:r>
        <w:rPr>
          <w:rFonts w:hint="eastAsia" w:ascii="宋体" w:hAnsi="宋体" w:cs="宋体"/>
          <w:sz w:val="24"/>
          <w:szCs w:val="24"/>
        </w:rPr>
        <w:t>供应商全称：（盖章）</w:t>
      </w:r>
    </w:p>
    <w:p>
      <w:pPr>
        <w:spacing w:line="360" w:lineRule="auto"/>
        <w:ind w:firstLine="480" w:firstLineChars="200"/>
        <w:rPr>
          <w:rFonts w:ascii="宋体" w:hAnsi="宋体" w:cs="宋体"/>
          <w:sz w:val="24"/>
          <w:szCs w:val="24"/>
        </w:rPr>
      </w:pPr>
      <w:r>
        <w:rPr>
          <w:rFonts w:hint="eastAsia" w:ascii="宋体" w:hAnsi="宋体" w:cs="宋体"/>
          <w:sz w:val="24"/>
          <w:szCs w:val="24"/>
        </w:rPr>
        <w:t>日期：</w:t>
      </w:r>
    </w:p>
    <w:p>
      <w:pPr>
        <w:spacing w:line="360" w:lineRule="auto"/>
        <w:ind w:firstLine="480" w:firstLineChars="200"/>
        <w:rPr>
          <w:rFonts w:ascii="宋体" w:hAnsi="宋体" w:cs="宋体"/>
          <w:sz w:val="24"/>
          <w:szCs w:val="24"/>
        </w:rPr>
      </w:pPr>
      <w:r>
        <w:rPr>
          <w:rFonts w:hint="eastAsia" w:ascii="宋体" w:hAnsi="宋体" w:cs="宋体"/>
          <w:sz w:val="24"/>
          <w:szCs w:val="24"/>
        </w:rPr>
        <w:t>附：</w:t>
      </w:r>
    </w:p>
    <w:p>
      <w:pPr>
        <w:spacing w:line="360" w:lineRule="auto"/>
        <w:ind w:firstLine="480" w:firstLineChars="200"/>
        <w:rPr>
          <w:rFonts w:ascii="宋体" w:hAnsi="宋体" w:cs="宋体"/>
          <w:sz w:val="24"/>
          <w:szCs w:val="24"/>
        </w:rPr>
      </w:pPr>
      <w:r>
        <w:rPr>
          <w:rFonts w:hint="eastAsia" w:ascii="宋体" w:hAnsi="宋体" w:cs="宋体"/>
          <w:sz w:val="24"/>
          <w:szCs w:val="24"/>
        </w:rPr>
        <w:t>授权代表姓名：</w:t>
      </w:r>
    </w:p>
    <w:p>
      <w:pPr>
        <w:spacing w:line="360" w:lineRule="auto"/>
        <w:ind w:firstLine="480" w:firstLineChars="200"/>
        <w:rPr>
          <w:rFonts w:ascii="宋体" w:hAnsi="宋体" w:cs="宋体"/>
          <w:sz w:val="24"/>
          <w:szCs w:val="24"/>
        </w:rPr>
      </w:pPr>
      <w:r>
        <w:rPr>
          <w:rFonts w:hint="eastAsia" w:ascii="宋体" w:hAnsi="宋体" w:cs="宋体"/>
          <w:sz w:val="24"/>
          <w:szCs w:val="24"/>
        </w:rPr>
        <w:t>职务：</w:t>
      </w:r>
    </w:p>
    <w:p>
      <w:pPr>
        <w:spacing w:line="360" w:lineRule="auto"/>
        <w:ind w:firstLine="480" w:firstLineChars="200"/>
        <w:rPr>
          <w:rFonts w:ascii="宋体" w:hAnsi="宋体" w:cs="宋体"/>
          <w:sz w:val="24"/>
          <w:szCs w:val="24"/>
        </w:rPr>
      </w:pPr>
      <w:r>
        <w:rPr>
          <w:rFonts w:hint="eastAsia" w:ascii="宋体" w:hAnsi="宋体" w:cs="宋体"/>
          <w:sz w:val="24"/>
          <w:szCs w:val="24"/>
        </w:rPr>
        <w:t>详细通讯地址：</w:t>
      </w:r>
    </w:p>
    <w:p>
      <w:pPr>
        <w:spacing w:line="360" w:lineRule="auto"/>
        <w:ind w:firstLine="480" w:firstLineChars="200"/>
        <w:rPr>
          <w:rFonts w:ascii="宋体" w:hAnsi="宋体" w:cs="宋体"/>
          <w:sz w:val="24"/>
          <w:szCs w:val="24"/>
        </w:rPr>
      </w:pPr>
      <w:r>
        <w:rPr>
          <w:rFonts w:hint="eastAsia" w:ascii="宋体" w:hAnsi="宋体" w:cs="宋体"/>
          <w:sz w:val="24"/>
          <w:szCs w:val="24"/>
        </w:rPr>
        <w:t>传真：</w:t>
      </w:r>
    </w:p>
    <w:p>
      <w:pPr>
        <w:spacing w:line="360" w:lineRule="auto"/>
        <w:ind w:firstLine="480" w:firstLineChars="200"/>
        <w:rPr>
          <w:rFonts w:ascii="宋体" w:hAnsi="宋体" w:cs="宋体"/>
          <w:sz w:val="24"/>
          <w:szCs w:val="24"/>
        </w:rPr>
      </w:pPr>
      <w:r>
        <w:rPr>
          <w:rFonts w:hint="eastAsia" w:ascii="宋体" w:hAnsi="宋体" w:cs="宋体"/>
          <w:sz w:val="24"/>
          <w:szCs w:val="24"/>
        </w:rPr>
        <w:t>电话：</w:t>
      </w:r>
    </w:p>
    <w:p>
      <w:pPr>
        <w:spacing w:line="360" w:lineRule="auto"/>
        <w:ind w:firstLine="480" w:firstLineChars="200"/>
        <w:rPr>
          <w:rFonts w:ascii="宋体" w:hAnsi="宋体" w:cs="宋体"/>
          <w:sz w:val="24"/>
          <w:szCs w:val="24"/>
        </w:rPr>
      </w:pPr>
      <w:r>
        <w:rPr>
          <w:rFonts w:hint="eastAsia" w:ascii="宋体" w:hAnsi="宋体" w:cs="宋体"/>
          <w:sz w:val="24"/>
          <w:szCs w:val="24"/>
        </w:rPr>
        <w:t>邮政编码：</w:t>
      </w:r>
    </w:p>
    <w:p>
      <w:pPr>
        <w:pStyle w:val="11"/>
        <w:snapToGrid w:val="0"/>
        <w:spacing w:line="360" w:lineRule="auto"/>
        <w:rPr>
          <w:rFonts w:hAnsi="宋体"/>
          <w:sz w:val="24"/>
          <w:szCs w:val="24"/>
        </w:rPr>
      </w:pPr>
    </w:p>
    <w:p>
      <w:pPr>
        <w:pStyle w:val="11"/>
        <w:snapToGrid w:val="0"/>
        <w:spacing w:line="360" w:lineRule="auto"/>
        <w:rPr>
          <w:rFonts w:hAnsi="宋体"/>
          <w:sz w:val="24"/>
          <w:szCs w:val="24"/>
        </w:rPr>
      </w:pPr>
    </w:p>
    <w:p>
      <w:pPr>
        <w:pStyle w:val="11"/>
        <w:snapToGrid w:val="0"/>
        <w:spacing w:line="360" w:lineRule="auto"/>
        <w:rPr>
          <w:rFonts w:hAnsi="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附：授权代表身份证复印件（正反面）</w:t>
      </w:r>
    </w:p>
    <w:p>
      <w:pPr>
        <w:spacing w:line="360" w:lineRule="auto"/>
        <w:rPr>
          <w:rFonts w:ascii="宋体" w:hAnsi="宋体" w:cs="宋体"/>
          <w:b/>
          <w:bCs/>
          <w:sz w:val="24"/>
          <w:szCs w:val="24"/>
        </w:rPr>
      </w:pPr>
    </w:p>
    <w:p>
      <w:pPr>
        <w:pStyle w:val="9"/>
        <w:ind w:firstLine="486"/>
      </w:pPr>
    </w:p>
    <w:p>
      <w:pPr>
        <w:snapToGrid w:val="0"/>
        <w:spacing w:before="50" w:after="162" w:afterLines="50"/>
        <w:jc w:val="left"/>
        <w:rPr>
          <w:rFonts w:ascii="宋体" w:hAnsi="宋体" w:cs="宋体"/>
          <w:b/>
          <w:bCs/>
          <w:sz w:val="24"/>
          <w:szCs w:val="24"/>
          <w:lang w:val="zh-CN"/>
        </w:rPr>
      </w:pPr>
      <w:r>
        <w:rPr>
          <w:rFonts w:hint="eastAsia" w:ascii="宋体" w:hAnsi="宋体" w:cs="宋体"/>
          <w:b/>
          <w:bCs/>
          <w:sz w:val="24"/>
          <w:szCs w:val="24"/>
        </w:rPr>
        <w:br w:type="page"/>
      </w:r>
      <w:r>
        <w:rPr>
          <w:rFonts w:hint="eastAsia" w:ascii="宋体" w:hAnsi="宋体" w:cs="宋体"/>
          <w:b/>
          <w:bCs/>
          <w:sz w:val="24"/>
          <w:szCs w:val="24"/>
          <w:lang w:val="zh-CN"/>
        </w:rPr>
        <w:t>附件二：</w:t>
      </w:r>
    </w:p>
    <w:p>
      <w:pPr>
        <w:spacing w:line="360" w:lineRule="auto"/>
        <w:jc w:val="center"/>
        <w:rPr>
          <w:rFonts w:ascii="宋体" w:hAnsi="宋体" w:cs="宋体"/>
          <w:b/>
          <w:bCs/>
          <w:sz w:val="32"/>
          <w:szCs w:val="32"/>
        </w:rPr>
      </w:pPr>
      <w:r>
        <w:rPr>
          <w:rFonts w:hint="eastAsia" w:ascii="宋体" w:hAnsi="宋体" w:cs="宋体"/>
          <w:b/>
          <w:bCs/>
          <w:sz w:val="32"/>
          <w:szCs w:val="32"/>
        </w:rPr>
        <w:t>投标人承诺函</w:t>
      </w:r>
    </w:p>
    <w:p>
      <w:pPr>
        <w:spacing w:line="360" w:lineRule="auto"/>
        <w:ind w:firstLine="420" w:firstLineChars="200"/>
        <w:rPr>
          <w:rFonts w:ascii="宋体" w:hAnsi="宋体" w:cs="宋体"/>
        </w:rPr>
      </w:pPr>
    </w:p>
    <w:p>
      <w:pPr>
        <w:spacing w:line="360" w:lineRule="auto"/>
        <w:ind w:firstLine="480" w:firstLineChars="200"/>
        <w:rPr>
          <w:rFonts w:ascii="宋体" w:hAnsi="宋体" w:cs="宋体"/>
          <w:sz w:val="24"/>
          <w:szCs w:val="24"/>
        </w:rPr>
      </w:pPr>
      <w:r>
        <w:rPr>
          <w:rFonts w:hint="eastAsia" w:ascii="宋体" w:hAnsi="宋体" w:cs="宋体"/>
          <w:sz w:val="24"/>
          <w:szCs w:val="24"/>
        </w:rPr>
        <w:t>绍兴市生态环境局上虞分局：</w:t>
      </w:r>
    </w:p>
    <w:p>
      <w:pPr>
        <w:spacing w:line="360" w:lineRule="auto"/>
        <w:ind w:firstLine="480" w:firstLineChars="200"/>
        <w:rPr>
          <w:rFonts w:ascii="宋体" w:hAnsi="宋体" w:cs="宋体"/>
          <w:sz w:val="24"/>
          <w:szCs w:val="24"/>
        </w:rPr>
      </w:pPr>
      <w:r>
        <w:rPr>
          <w:rFonts w:hint="eastAsia" w:ascii="宋体" w:hAnsi="宋体" w:cs="宋体"/>
          <w:sz w:val="24"/>
          <w:szCs w:val="24"/>
        </w:rPr>
        <w:t>浙江宇康工程管理咨询有限公司：</w:t>
      </w:r>
    </w:p>
    <w:p>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pPr>
        <w:pStyle w:val="51"/>
        <w:spacing w:before="0"/>
        <w:ind w:firstLine="480"/>
        <w:jc w:val="left"/>
        <w:rPr>
          <w:rFonts w:ascii="宋体" w:hAnsi="宋体" w:cs="宋体"/>
        </w:rPr>
      </w:pPr>
      <w:r>
        <w:rPr>
          <w:rFonts w:hint="eastAsia" w:ascii="宋体" w:hAnsi="宋体" w:cs="宋体"/>
        </w:rPr>
        <w:t>8、具有良好的商业信誉和健全的财务会计制度；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pPr>
        <w:spacing w:line="360" w:lineRule="auto"/>
        <w:ind w:firstLine="480" w:firstLineChars="200"/>
        <w:rPr>
          <w:rFonts w:ascii="宋体" w:hAnsi="宋体" w:cs="宋体"/>
          <w:sz w:val="24"/>
          <w:szCs w:val="24"/>
        </w:rPr>
      </w:pPr>
      <w:r>
        <w:rPr>
          <w:rFonts w:hint="eastAsia" w:ascii="宋体" w:hAnsi="宋体" w:cs="宋体"/>
          <w:sz w:val="24"/>
        </w:rPr>
        <w:t>10、以上事项如有虚假或隐瞒，我方愿意承担一切后果，并不再寻求任何旨在减轻或免除法律责任的辩解。</w:t>
      </w:r>
    </w:p>
    <w:p>
      <w:pPr>
        <w:pStyle w:val="9"/>
      </w:pPr>
    </w:p>
    <w:p>
      <w:pPr>
        <w:pStyle w:val="9"/>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spacing w:line="360" w:lineRule="auto"/>
        <w:jc w:val="left"/>
        <w:rPr>
          <w:rFonts w:ascii="宋体" w:hAnsi="宋体" w:cs="宋体"/>
          <w:b/>
          <w:bCs/>
          <w:sz w:val="24"/>
          <w:szCs w:val="24"/>
          <w:lang w:val="zh-CN"/>
        </w:rPr>
      </w:pPr>
    </w:p>
    <w:p>
      <w:pPr>
        <w:spacing w:line="360" w:lineRule="auto"/>
        <w:jc w:val="left"/>
        <w:rPr>
          <w:rFonts w:ascii="宋体" w:hAnsi="宋体" w:cs="宋体"/>
          <w:b/>
          <w:bCs/>
          <w:sz w:val="32"/>
          <w:szCs w:val="32"/>
        </w:rPr>
      </w:pPr>
      <w:r>
        <w:rPr>
          <w:rFonts w:hint="eastAsia" w:ascii="宋体" w:hAnsi="宋体" w:cs="宋体"/>
          <w:b/>
          <w:bCs/>
          <w:sz w:val="24"/>
          <w:szCs w:val="24"/>
          <w:lang w:val="zh-CN"/>
        </w:rPr>
        <w:t>附件三：</w:t>
      </w:r>
    </w:p>
    <w:p>
      <w:pPr>
        <w:spacing w:line="360" w:lineRule="auto"/>
        <w:jc w:val="center"/>
        <w:rPr>
          <w:rFonts w:ascii="宋体" w:hAnsi="宋体" w:cs="宋体"/>
          <w:b/>
          <w:bCs/>
          <w:sz w:val="32"/>
          <w:szCs w:val="32"/>
        </w:rPr>
      </w:pPr>
      <w:r>
        <w:rPr>
          <w:rFonts w:hint="eastAsia" w:ascii="宋体" w:hAnsi="宋体" w:cs="宋体"/>
          <w:b/>
          <w:bCs/>
          <w:sz w:val="32"/>
          <w:szCs w:val="32"/>
        </w:rPr>
        <w:t>中小企业声明函</w:t>
      </w:r>
    </w:p>
    <w:p>
      <w:pPr>
        <w:widowControl/>
        <w:snapToGrid w:val="0"/>
        <w:spacing w:line="324" w:lineRule="auto"/>
        <w:ind w:firstLine="480" w:firstLineChars="200"/>
        <w:jc w:val="center"/>
        <w:rPr>
          <w:rFonts w:ascii="宋体" w:hAnsi="宋体" w:cs="宋体"/>
          <w:kern w:val="0"/>
          <w:sz w:val="24"/>
          <w:szCs w:val="24"/>
        </w:rPr>
      </w:pPr>
      <w:r>
        <w:rPr>
          <w:rFonts w:hint="eastAsia" w:ascii="宋体" w:hAnsi="宋体" w:cs="宋体"/>
          <w:kern w:val="0"/>
          <w:sz w:val="24"/>
          <w:szCs w:val="24"/>
        </w:rPr>
        <w:t>【不属于中小企业的无需填写、递交】</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本公司（联合体）郑重声明，根据《政府采购促进中小企业发展管理办法》 （财库﹝2020﹞46 号）的规定，本公司（联合体）参加</w:t>
      </w:r>
      <w:r>
        <w:rPr>
          <w:rFonts w:hint="eastAsia" w:ascii="宋体" w:hAnsi="宋体" w:cs="宋体"/>
          <w:sz w:val="24"/>
          <w:szCs w:val="24"/>
          <w:u w:val="single"/>
        </w:rPr>
        <w:t xml:space="preserve"> （采购人名称） </w:t>
      </w:r>
      <w:r>
        <w:rPr>
          <w:rFonts w:hint="eastAsia" w:ascii="宋体" w:hAnsi="宋体" w:cs="宋体"/>
          <w:sz w:val="24"/>
          <w:szCs w:val="24"/>
        </w:rPr>
        <w:t>的</w:t>
      </w:r>
      <w:r>
        <w:rPr>
          <w:rFonts w:hint="eastAsia" w:ascii="宋体" w:hAnsi="宋体" w:cs="宋体"/>
          <w:sz w:val="24"/>
          <w:szCs w:val="24"/>
          <w:u w:val="single"/>
        </w:rPr>
        <w:t xml:space="preserve"> （项目名称）     </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288"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（项目名称）</w:t>
      </w:r>
      <w:r>
        <w:rPr>
          <w:rFonts w:hint="eastAsia" w:ascii="宋体" w:hAnsi="宋体" w:cs="宋体"/>
          <w:sz w:val="24"/>
          <w:szCs w:val="24"/>
        </w:rPr>
        <w:t>，属于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 </w:t>
      </w:r>
      <w:r>
        <w:rPr>
          <w:rFonts w:hint="eastAsia" w:ascii="宋体" w:hAnsi="宋体" w:cs="宋体"/>
          <w:sz w:val="24"/>
          <w:szCs w:val="24"/>
        </w:rPr>
        <w:t>，从业人员人，营业收入为万元，资产总额为万元 ，属于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 xml:space="preserve"> ；</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288" w:lineRule="auto"/>
        <w:ind w:firstLine="480" w:firstLineChars="20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288" w:lineRule="auto"/>
        <w:ind w:right="420" w:firstLine="4320" w:firstLineChars="1800"/>
        <w:rPr>
          <w:rFonts w:ascii="宋体" w:hAnsi="宋体" w:cs="宋体"/>
          <w:sz w:val="24"/>
          <w:szCs w:val="24"/>
        </w:rPr>
      </w:pPr>
    </w:p>
    <w:p>
      <w:pPr>
        <w:spacing w:line="288" w:lineRule="auto"/>
        <w:ind w:right="420" w:firstLine="4320" w:firstLineChars="1800"/>
        <w:rPr>
          <w:rFonts w:ascii="宋体" w:hAnsi="宋体" w:cs="宋体"/>
          <w:sz w:val="24"/>
          <w:szCs w:val="24"/>
        </w:rPr>
      </w:pPr>
    </w:p>
    <w:p>
      <w:pPr>
        <w:spacing w:line="288" w:lineRule="auto"/>
        <w:ind w:right="420" w:firstLine="4800" w:firstLineChars="2000"/>
        <w:rPr>
          <w:rFonts w:ascii="宋体" w:hAnsi="宋体" w:cs="宋体"/>
          <w:sz w:val="24"/>
          <w:szCs w:val="24"/>
        </w:rPr>
      </w:pPr>
      <w:r>
        <w:rPr>
          <w:rFonts w:hint="eastAsia" w:ascii="宋体" w:hAnsi="宋体" w:cs="宋体"/>
          <w:sz w:val="24"/>
          <w:szCs w:val="24"/>
        </w:rPr>
        <w:t xml:space="preserve">企业名称（盖章）： </w:t>
      </w:r>
    </w:p>
    <w:p>
      <w:pPr>
        <w:spacing w:line="288" w:lineRule="auto"/>
        <w:ind w:left="3780" w:leftChars="1800" w:firstLine="960" w:firstLineChars="400"/>
        <w:rPr>
          <w:rFonts w:ascii="宋体" w:hAnsi="宋体" w:cs="宋体"/>
          <w:sz w:val="24"/>
          <w:szCs w:val="24"/>
        </w:rPr>
      </w:pPr>
      <w:r>
        <w:rPr>
          <w:rFonts w:hint="eastAsia" w:ascii="宋体" w:hAnsi="宋体" w:cs="宋体"/>
          <w:sz w:val="24"/>
          <w:szCs w:val="24"/>
        </w:rPr>
        <w:t>日期：   年     月     日</w:t>
      </w:r>
    </w:p>
    <w:p>
      <w:pPr>
        <w:pStyle w:val="6"/>
        <w:spacing w:line="288" w:lineRule="auto"/>
        <w:rPr>
          <w:rFonts w:ascii="宋体" w:hAnsi="宋体" w:cs="宋体"/>
          <w:sz w:val="24"/>
          <w:szCs w:val="24"/>
        </w:rPr>
      </w:pPr>
    </w:p>
    <w:p>
      <w:pPr>
        <w:spacing w:line="288" w:lineRule="auto"/>
        <w:ind w:firstLine="480" w:firstLineChars="200"/>
        <w:jc w:val="left"/>
        <w:rPr>
          <w:rFonts w:ascii="宋体" w:hAnsi="宋体" w:cs="宋体"/>
          <w:sz w:val="24"/>
          <w:szCs w:val="24"/>
        </w:rPr>
      </w:pPr>
    </w:p>
    <w:p>
      <w:pPr>
        <w:spacing w:line="288" w:lineRule="auto"/>
        <w:ind w:firstLine="480" w:firstLineChars="200"/>
        <w:jc w:val="left"/>
        <w:rPr>
          <w:rFonts w:ascii="宋体" w:hAnsi="宋体" w:cs="宋体"/>
          <w:sz w:val="24"/>
          <w:szCs w:val="24"/>
        </w:rPr>
      </w:pPr>
    </w:p>
    <w:p>
      <w:pPr>
        <w:spacing w:line="288" w:lineRule="auto"/>
        <w:ind w:firstLine="480" w:firstLineChars="200"/>
        <w:jc w:val="left"/>
        <w:rPr>
          <w:rFonts w:ascii="宋体" w:hAnsi="宋体" w:cs="宋体"/>
          <w:sz w:val="24"/>
          <w:szCs w:val="24"/>
        </w:rPr>
      </w:pPr>
    </w:p>
    <w:p>
      <w:pPr>
        <w:spacing w:line="288" w:lineRule="auto"/>
        <w:ind w:firstLine="480" w:firstLineChars="200"/>
        <w:jc w:val="left"/>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widowControl/>
        <w:snapToGrid w:val="0"/>
        <w:spacing w:line="324" w:lineRule="auto"/>
        <w:ind w:firstLine="480" w:firstLineChars="200"/>
        <w:jc w:val="left"/>
        <w:rPr>
          <w:rFonts w:ascii="宋体" w:hAnsi="宋体" w:cs="宋体"/>
          <w:sz w:val="24"/>
          <w:szCs w:val="24"/>
        </w:rPr>
      </w:pPr>
    </w:p>
    <w:p>
      <w:pPr>
        <w:pStyle w:val="2"/>
        <w:spacing w:line="360" w:lineRule="auto"/>
        <w:jc w:val="center"/>
        <w:rPr>
          <w:rFonts w:hAnsi="宋体"/>
          <w:sz w:val="24"/>
          <w:szCs w:val="24"/>
        </w:rPr>
      </w:pPr>
    </w:p>
    <w:p>
      <w:pPr>
        <w:pStyle w:val="2"/>
        <w:spacing w:line="360" w:lineRule="auto"/>
        <w:jc w:val="center"/>
        <w:rPr>
          <w:rFonts w:hAnsi="宋体"/>
          <w:sz w:val="24"/>
          <w:szCs w:val="24"/>
        </w:rPr>
      </w:pPr>
    </w:p>
    <w:p>
      <w:pPr>
        <w:jc w:val="center"/>
        <w:rPr>
          <w:rFonts w:ascii="宋体" w:hAnsi="宋体" w:cs="宋体"/>
          <w:lang w:val="zh-CN"/>
        </w:rPr>
      </w:pPr>
      <w:bookmarkStart w:id="94" w:name="_Toc2071"/>
      <w:bookmarkStart w:id="95" w:name="_Toc3295"/>
      <w:bookmarkStart w:id="96" w:name="_Toc30916"/>
      <w:r>
        <w:rPr>
          <w:rFonts w:hint="eastAsia" w:ascii="宋体" w:hAnsi="宋体" w:cs="宋体"/>
        </w:rPr>
        <w:br w:type="page"/>
      </w:r>
      <w:bookmarkEnd w:id="94"/>
      <w:bookmarkEnd w:id="95"/>
      <w:bookmarkEnd w:id="96"/>
    </w:p>
    <w:p>
      <w:pPr>
        <w:rPr>
          <w:rFonts w:ascii="宋体" w:hAnsi="宋体" w:cs="宋体"/>
          <w:b/>
          <w:bCs/>
          <w:sz w:val="24"/>
          <w:szCs w:val="24"/>
          <w:lang w:val="zh-CN"/>
        </w:rPr>
      </w:pPr>
      <w:bookmarkStart w:id="97" w:name="_Toc31472"/>
      <w:bookmarkStart w:id="98" w:name="_Toc25017"/>
      <w:bookmarkStart w:id="99" w:name="_Toc16150"/>
      <w:bookmarkStart w:id="100" w:name="_Toc9715"/>
      <w:r>
        <w:rPr>
          <w:rFonts w:hint="eastAsia" w:ascii="宋体" w:hAnsi="宋体" w:cs="宋体"/>
          <w:b/>
          <w:bCs/>
          <w:sz w:val="24"/>
          <w:szCs w:val="24"/>
          <w:lang w:val="zh-CN"/>
        </w:rPr>
        <w:t>附件四</w:t>
      </w:r>
      <w:r>
        <w:rPr>
          <w:rFonts w:hint="eastAsia" w:ascii="宋体" w:hAnsi="宋体" w:cs="宋体"/>
          <w:b/>
          <w:bCs/>
          <w:sz w:val="24"/>
          <w:szCs w:val="24"/>
        </w:rPr>
        <w:t>：</w:t>
      </w:r>
    </w:p>
    <w:p>
      <w:pPr>
        <w:spacing w:line="360" w:lineRule="auto"/>
        <w:jc w:val="center"/>
        <w:rPr>
          <w:rFonts w:ascii="宋体" w:hAnsi="宋体" w:cs="宋体"/>
          <w:b/>
          <w:bCs/>
          <w:sz w:val="32"/>
          <w:szCs w:val="32"/>
        </w:rPr>
      </w:pPr>
      <w:r>
        <w:rPr>
          <w:rFonts w:hint="eastAsia" w:ascii="宋体" w:hAnsi="宋体" w:cs="宋体"/>
          <w:b/>
          <w:bCs/>
          <w:sz w:val="32"/>
          <w:szCs w:val="32"/>
        </w:rPr>
        <w:t>残疾人福利性单位声明函</w:t>
      </w:r>
      <w:bookmarkEnd w:id="97"/>
      <w:bookmarkEnd w:id="98"/>
      <w:bookmarkEnd w:id="99"/>
      <w:bookmarkEnd w:id="100"/>
    </w:p>
    <w:p>
      <w:pPr>
        <w:widowControl/>
        <w:snapToGrid w:val="0"/>
        <w:spacing w:line="324" w:lineRule="auto"/>
        <w:ind w:firstLine="480" w:firstLineChars="200"/>
        <w:jc w:val="center"/>
        <w:rPr>
          <w:rFonts w:ascii="宋体" w:hAnsi="宋体" w:cs="宋体"/>
          <w:kern w:val="0"/>
          <w:sz w:val="24"/>
          <w:szCs w:val="24"/>
        </w:rPr>
      </w:pPr>
      <w:r>
        <w:rPr>
          <w:rFonts w:hint="eastAsia" w:ascii="宋体" w:hAnsi="宋体" w:cs="宋体"/>
          <w:kern w:val="0"/>
          <w:sz w:val="24"/>
          <w:szCs w:val="24"/>
        </w:rPr>
        <w:t>【不属于残疾人福利性单位的无需填写、递交】</w:t>
      </w:r>
    </w:p>
    <w:p>
      <w:pPr>
        <w:spacing w:line="588" w:lineRule="exact"/>
        <w:rPr>
          <w:rFonts w:ascii="宋体" w:hAnsi="宋体" w:cs="宋体"/>
          <w:b/>
          <w:bCs/>
          <w:spacing w:val="6"/>
          <w:sz w:val="30"/>
          <w:szCs w:val="30"/>
        </w:rPr>
      </w:pPr>
    </w:p>
    <w:p>
      <w:pPr>
        <w:spacing w:line="588" w:lineRule="exact"/>
        <w:ind w:firstLine="480" w:firstLineChars="200"/>
        <w:rPr>
          <w:rFonts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pPr>
        <w:pStyle w:val="2"/>
        <w:rPr>
          <w:rFonts w:hAnsi="宋体"/>
        </w:rPr>
      </w:pPr>
    </w:p>
    <w:p>
      <w:pPr>
        <w:pStyle w:val="6"/>
        <w:rPr>
          <w:rFonts w:ascii="宋体" w:hAnsi="宋体" w:cs="宋体"/>
        </w:rPr>
      </w:pPr>
    </w:p>
    <w:p>
      <w:pPr>
        <w:spacing w:line="588" w:lineRule="exact"/>
        <w:rPr>
          <w:rFonts w:ascii="宋体" w:hAnsi="宋体" w:cs="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rPr>
          <w:rFonts w:ascii="宋体" w:hAnsi="宋体" w:cs="宋体"/>
          <w:b/>
          <w:bCs/>
          <w:sz w:val="24"/>
          <w:szCs w:val="24"/>
          <w:lang w:val="zh-CN"/>
        </w:rPr>
      </w:pPr>
      <w:bookmarkStart w:id="101" w:name="_Toc5441"/>
      <w:bookmarkStart w:id="102" w:name="_Toc24"/>
      <w:bookmarkStart w:id="103" w:name="_Toc2386"/>
      <w:bookmarkStart w:id="104" w:name="_Toc15966"/>
      <w:r>
        <w:rPr>
          <w:rFonts w:hint="eastAsia" w:ascii="宋体" w:hAnsi="宋体" w:cs="宋体"/>
          <w:sz w:val="24"/>
          <w:szCs w:val="24"/>
          <w:lang w:val="zh-CN"/>
        </w:rPr>
        <w:br w:type="page"/>
      </w:r>
      <w:r>
        <w:rPr>
          <w:rFonts w:hint="eastAsia" w:ascii="宋体" w:hAnsi="宋体" w:cs="宋体"/>
          <w:b/>
          <w:bCs/>
          <w:sz w:val="24"/>
          <w:szCs w:val="24"/>
          <w:lang w:val="zh-CN"/>
        </w:rPr>
        <w:t>附件五</w:t>
      </w:r>
      <w:r>
        <w:rPr>
          <w:rFonts w:hint="eastAsia" w:ascii="宋体" w:hAnsi="宋体" w:cs="宋体"/>
          <w:b/>
          <w:bCs/>
          <w:sz w:val="24"/>
          <w:szCs w:val="24"/>
        </w:rPr>
        <w:t>：</w:t>
      </w:r>
    </w:p>
    <w:p>
      <w:pPr>
        <w:spacing w:line="360" w:lineRule="auto"/>
        <w:jc w:val="center"/>
        <w:rPr>
          <w:rFonts w:ascii="宋体" w:hAnsi="宋体" w:cs="宋体"/>
          <w:b/>
          <w:bCs/>
          <w:sz w:val="32"/>
          <w:szCs w:val="32"/>
        </w:rPr>
      </w:pPr>
      <w:r>
        <w:rPr>
          <w:rFonts w:hint="eastAsia" w:ascii="宋体" w:hAnsi="宋体" w:cs="宋体"/>
          <w:b/>
          <w:bCs/>
          <w:sz w:val="32"/>
          <w:szCs w:val="32"/>
        </w:rPr>
        <w:t>监狱企业证明文件</w:t>
      </w:r>
      <w:bookmarkEnd w:id="101"/>
      <w:bookmarkEnd w:id="102"/>
      <w:bookmarkEnd w:id="103"/>
      <w:bookmarkEnd w:id="104"/>
    </w:p>
    <w:p>
      <w:pPr>
        <w:widowControl/>
        <w:snapToGrid w:val="0"/>
        <w:spacing w:line="360" w:lineRule="auto"/>
        <w:jc w:val="center"/>
        <w:rPr>
          <w:rFonts w:ascii="宋体" w:hAnsi="宋体" w:cs="宋体"/>
          <w:kern w:val="0"/>
          <w:sz w:val="28"/>
          <w:szCs w:val="28"/>
        </w:rPr>
      </w:pPr>
      <w:r>
        <w:rPr>
          <w:rFonts w:hint="eastAsia" w:ascii="宋体" w:hAnsi="宋体" w:cs="宋体"/>
          <w:kern w:val="0"/>
          <w:sz w:val="28"/>
          <w:szCs w:val="28"/>
        </w:rPr>
        <w:t>【不属于监狱企业的无需填写、递交】</w:t>
      </w:r>
    </w:p>
    <w:p>
      <w:pPr>
        <w:widowControl/>
        <w:snapToGrid w:val="0"/>
        <w:spacing w:line="324" w:lineRule="auto"/>
        <w:jc w:val="center"/>
        <w:rPr>
          <w:rFonts w:ascii="宋体" w:hAnsi="宋体" w:cs="宋体"/>
          <w:kern w:val="0"/>
          <w:sz w:val="24"/>
          <w:szCs w:val="24"/>
        </w:rPr>
      </w:pPr>
    </w:p>
    <w:p>
      <w:pPr>
        <w:spacing w:line="588" w:lineRule="exact"/>
        <w:ind w:firstLine="480" w:firstLineChars="200"/>
        <w:rPr>
          <w:rFonts w:ascii="宋体" w:hAnsi="宋体" w:cs="宋体"/>
          <w:sz w:val="24"/>
          <w:szCs w:val="24"/>
        </w:rPr>
      </w:pPr>
    </w:p>
    <w:p>
      <w:pPr>
        <w:adjustRightInd w:val="0"/>
        <w:snapToGrid w:val="0"/>
        <w:spacing w:before="162" w:beforeLines="50" w:line="360" w:lineRule="auto"/>
        <w:ind w:firstLine="480" w:firstLineChars="200"/>
        <w:rPr>
          <w:rFonts w:ascii="宋体" w:hAnsi="宋体" w:cs="宋体"/>
          <w:sz w:val="24"/>
          <w:szCs w:val="24"/>
        </w:rPr>
      </w:pPr>
      <w:r>
        <w:rPr>
          <w:rFonts w:hint="eastAsia" w:ascii="宋体" w:hAnsi="宋体" w:cs="宋体"/>
          <w:sz w:val="24"/>
          <w:szCs w:val="24"/>
        </w:rPr>
        <w:t>监狱企业需提供省级以上的监狱管理局、戒毒管理局（含新疆生产建设兵团）出具的属于监狱企业的证明文件。</w:t>
      </w:r>
    </w:p>
    <w:p>
      <w:pPr>
        <w:pStyle w:val="2"/>
        <w:rPr>
          <w:rFonts w:hAnsi="宋体"/>
        </w:rPr>
      </w:pPr>
    </w:p>
    <w:p>
      <w:pPr>
        <w:pStyle w:val="6"/>
        <w:rPr>
          <w:rFonts w:ascii="宋体" w:hAnsi="宋体" w:cs="宋体"/>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pStyle w:val="5"/>
        <w:ind w:firstLine="4320" w:firstLineChars="1800"/>
        <w:rPr>
          <w:rFonts w:ascii="宋体" w:hAnsi="宋体" w:eastAsia="宋体" w:cs="宋体"/>
        </w:rPr>
      </w:pPr>
      <w:r>
        <w:rPr>
          <w:rFonts w:hint="eastAsia" w:ascii="宋体" w:hAnsi="宋体" w:eastAsia="宋体" w:cs="宋体"/>
          <w:b w:val="0"/>
          <w:bCs/>
          <w:szCs w:val="24"/>
        </w:rPr>
        <w:t>供应商全称（公章）：</w:t>
      </w: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pP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r>
        <w:rPr>
          <w:rFonts w:hint="eastAsia" w:ascii="宋体" w:hAnsi="宋体" w:cs="宋体"/>
          <w:b/>
          <w:bCs/>
          <w:kern w:val="0"/>
          <w:sz w:val="36"/>
          <w:szCs w:val="36"/>
        </w:rPr>
        <w:t>商务技术文件</w:t>
      </w: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r>
        <w:rPr>
          <w:rFonts w:hint="eastAsia" w:ascii="宋体" w:hAnsi="宋体" w:cs="宋体"/>
          <w:b/>
          <w:bCs/>
          <w:kern w:val="0"/>
          <w:sz w:val="36"/>
          <w:szCs w:val="36"/>
        </w:rPr>
        <w:t>目录</w:t>
      </w:r>
    </w:p>
    <w:p>
      <w:pPr>
        <w:pStyle w:val="9"/>
        <w:ind w:left="426" w:firstLine="486"/>
      </w:pPr>
    </w:p>
    <w:p>
      <w:pPr>
        <w:numPr>
          <w:ilvl w:val="0"/>
          <w:numId w:val="21"/>
        </w:numPr>
        <w:spacing w:line="360" w:lineRule="auto"/>
        <w:rPr>
          <w:rFonts w:ascii="宋体" w:hAnsi="宋体" w:cs="宋体"/>
          <w:sz w:val="24"/>
          <w:szCs w:val="24"/>
        </w:rPr>
      </w:pPr>
      <w:r>
        <w:rPr>
          <w:rFonts w:hint="eastAsia" w:ascii="宋体" w:hAnsi="宋体" w:cs="宋体"/>
          <w:sz w:val="24"/>
          <w:szCs w:val="24"/>
        </w:rPr>
        <w:t>评分对应表（格式见附件，主要用于评委对应评分内容）</w:t>
      </w:r>
    </w:p>
    <w:p>
      <w:pPr>
        <w:numPr>
          <w:ilvl w:val="0"/>
          <w:numId w:val="21"/>
        </w:numPr>
        <w:spacing w:line="360" w:lineRule="auto"/>
        <w:rPr>
          <w:rFonts w:ascii="宋体" w:hAnsi="宋体" w:cs="宋体"/>
          <w:sz w:val="24"/>
          <w:szCs w:val="24"/>
        </w:rPr>
      </w:pPr>
      <w:r>
        <w:rPr>
          <w:rFonts w:hint="eastAsia" w:ascii="宋体" w:hAnsi="宋体" w:cs="宋体"/>
          <w:sz w:val="24"/>
          <w:szCs w:val="24"/>
        </w:rPr>
        <w:t>供应商商务技术文件中资信分自评表（格式见附件）；</w:t>
      </w:r>
    </w:p>
    <w:p>
      <w:pPr>
        <w:numPr>
          <w:ilvl w:val="0"/>
          <w:numId w:val="21"/>
        </w:numPr>
        <w:spacing w:line="360" w:lineRule="auto"/>
        <w:rPr>
          <w:rFonts w:ascii="宋体" w:hAnsi="宋体" w:cs="宋体"/>
          <w:sz w:val="24"/>
          <w:szCs w:val="24"/>
        </w:rPr>
      </w:pPr>
      <w:r>
        <w:rPr>
          <w:rFonts w:hint="eastAsia" w:ascii="宋体" w:hAnsi="宋体" w:cs="宋体"/>
          <w:sz w:val="24"/>
          <w:szCs w:val="24"/>
        </w:rPr>
        <w:t>磋商项目明细清单（格式见附件）；</w:t>
      </w:r>
    </w:p>
    <w:p>
      <w:pPr>
        <w:numPr>
          <w:ilvl w:val="0"/>
          <w:numId w:val="21"/>
        </w:numPr>
        <w:spacing w:line="360" w:lineRule="auto"/>
        <w:rPr>
          <w:rFonts w:ascii="宋体" w:hAnsi="宋体" w:cs="宋体"/>
          <w:sz w:val="24"/>
          <w:szCs w:val="24"/>
        </w:rPr>
      </w:pPr>
      <w:r>
        <w:rPr>
          <w:rFonts w:hint="eastAsia" w:ascii="宋体" w:hAnsi="宋体" w:cs="宋体"/>
          <w:sz w:val="24"/>
          <w:szCs w:val="24"/>
        </w:rPr>
        <w:t>技术响应及建议表（格式见附件）；</w:t>
      </w:r>
    </w:p>
    <w:p>
      <w:pPr>
        <w:numPr>
          <w:ilvl w:val="0"/>
          <w:numId w:val="21"/>
        </w:numPr>
        <w:spacing w:line="360" w:lineRule="auto"/>
        <w:rPr>
          <w:rFonts w:ascii="宋体" w:hAnsi="宋体" w:cs="宋体"/>
          <w:sz w:val="24"/>
          <w:szCs w:val="24"/>
        </w:rPr>
      </w:pPr>
      <w:r>
        <w:rPr>
          <w:rFonts w:hint="eastAsia" w:ascii="宋体" w:hAnsi="宋体" w:cs="宋体"/>
          <w:sz w:val="24"/>
          <w:szCs w:val="24"/>
        </w:rPr>
        <w:t>商务响应表（格式见附件）；</w:t>
      </w:r>
    </w:p>
    <w:p>
      <w:pPr>
        <w:numPr>
          <w:ilvl w:val="0"/>
          <w:numId w:val="21"/>
        </w:numPr>
        <w:spacing w:line="360" w:lineRule="auto"/>
        <w:rPr>
          <w:rFonts w:ascii="宋体" w:hAnsi="宋体" w:cs="宋体"/>
          <w:sz w:val="24"/>
          <w:szCs w:val="24"/>
        </w:rPr>
      </w:pPr>
      <w:r>
        <w:rPr>
          <w:rFonts w:hint="eastAsia" w:ascii="宋体" w:hAnsi="宋体" w:cs="宋体"/>
          <w:sz w:val="24"/>
          <w:szCs w:val="24"/>
        </w:rPr>
        <w:t>项目理解；</w:t>
      </w:r>
    </w:p>
    <w:p>
      <w:pPr>
        <w:numPr>
          <w:ilvl w:val="0"/>
          <w:numId w:val="21"/>
        </w:numPr>
        <w:spacing w:line="360" w:lineRule="auto"/>
        <w:rPr>
          <w:rFonts w:ascii="宋体" w:hAnsi="宋体" w:cs="宋体"/>
          <w:sz w:val="24"/>
          <w:szCs w:val="24"/>
        </w:rPr>
      </w:pPr>
      <w:r>
        <w:rPr>
          <w:rFonts w:hint="eastAsia" w:ascii="宋体" w:hAnsi="宋体" w:cs="宋体"/>
          <w:sz w:val="24"/>
          <w:szCs w:val="24"/>
        </w:rPr>
        <w:t>实施方案；</w:t>
      </w:r>
    </w:p>
    <w:p>
      <w:pPr>
        <w:numPr>
          <w:ilvl w:val="0"/>
          <w:numId w:val="21"/>
        </w:numPr>
        <w:spacing w:line="360" w:lineRule="auto"/>
        <w:rPr>
          <w:rFonts w:ascii="宋体" w:hAnsi="宋体" w:cs="宋体"/>
          <w:sz w:val="24"/>
          <w:szCs w:val="24"/>
        </w:rPr>
      </w:pPr>
      <w:r>
        <w:rPr>
          <w:rFonts w:hint="eastAsia" w:ascii="宋体" w:hAnsi="宋体" w:cs="宋体"/>
          <w:sz w:val="24"/>
          <w:szCs w:val="24"/>
        </w:rPr>
        <w:t>人员配置；</w:t>
      </w:r>
    </w:p>
    <w:p>
      <w:pPr>
        <w:numPr>
          <w:ilvl w:val="0"/>
          <w:numId w:val="21"/>
        </w:numPr>
        <w:spacing w:line="360" w:lineRule="auto"/>
        <w:rPr>
          <w:rFonts w:ascii="宋体" w:hAnsi="宋体" w:cs="宋体"/>
          <w:sz w:val="24"/>
          <w:szCs w:val="24"/>
        </w:rPr>
      </w:pPr>
      <w:r>
        <w:rPr>
          <w:rFonts w:hint="eastAsia" w:ascii="宋体" w:hAnsi="宋体" w:cs="宋体"/>
          <w:sz w:val="24"/>
          <w:szCs w:val="24"/>
        </w:rPr>
        <w:t>人员培训；</w:t>
      </w:r>
    </w:p>
    <w:p>
      <w:pPr>
        <w:numPr>
          <w:ilvl w:val="0"/>
          <w:numId w:val="21"/>
        </w:numPr>
        <w:spacing w:line="360" w:lineRule="auto"/>
        <w:rPr>
          <w:rFonts w:ascii="宋体" w:hAnsi="宋体" w:cs="宋体"/>
          <w:sz w:val="24"/>
          <w:szCs w:val="24"/>
        </w:rPr>
      </w:pPr>
      <w:r>
        <w:rPr>
          <w:rFonts w:hint="eastAsia" w:ascii="宋体" w:hAnsi="宋体" w:cs="宋体"/>
          <w:sz w:val="24"/>
          <w:szCs w:val="24"/>
        </w:rPr>
        <w:t>售后服务；</w:t>
      </w:r>
    </w:p>
    <w:p>
      <w:pPr>
        <w:numPr>
          <w:ilvl w:val="0"/>
          <w:numId w:val="21"/>
        </w:numPr>
        <w:spacing w:line="360" w:lineRule="auto"/>
        <w:rPr>
          <w:rFonts w:ascii="宋体" w:hAnsi="宋体" w:cs="宋体"/>
          <w:sz w:val="24"/>
          <w:szCs w:val="24"/>
        </w:rPr>
      </w:pPr>
      <w:r>
        <w:rPr>
          <w:rFonts w:hint="eastAsia" w:ascii="宋体" w:hAnsi="宋体" w:cs="宋体"/>
          <w:sz w:val="24"/>
          <w:szCs w:val="24"/>
        </w:rPr>
        <w:t>本地化服务能力；</w:t>
      </w:r>
    </w:p>
    <w:p>
      <w:pPr>
        <w:numPr>
          <w:ilvl w:val="0"/>
          <w:numId w:val="21"/>
        </w:numPr>
        <w:spacing w:line="360" w:lineRule="auto"/>
        <w:rPr>
          <w:rFonts w:ascii="宋体" w:hAnsi="宋体" w:cs="宋体"/>
          <w:sz w:val="24"/>
          <w:szCs w:val="24"/>
        </w:rPr>
      </w:pPr>
      <w:r>
        <w:rPr>
          <w:rFonts w:hint="eastAsia" w:ascii="宋体" w:hAnsi="宋体" w:cs="宋体"/>
          <w:sz w:val="24"/>
          <w:szCs w:val="24"/>
        </w:rPr>
        <w:t>业绩；</w:t>
      </w:r>
    </w:p>
    <w:p>
      <w:pPr>
        <w:numPr>
          <w:ilvl w:val="0"/>
          <w:numId w:val="21"/>
        </w:numPr>
        <w:spacing w:line="360" w:lineRule="auto"/>
        <w:rPr>
          <w:rFonts w:ascii="宋体" w:hAnsi="宋体" w:cs="宋体"/>
          <w:sz w:val="24"/>
          <w:szCs w:val="24"/>
        </w:rPr>
      </w:pPr>
      <w:r>
        <w:rPr>
          <w:rFonts w:hint="eastAsia" w:ascii="宋体" w:hAnsi="宋体" w:cs="宋体"/>
          <w:sz w:val="24"/>
          <w:szCs w:val="24"/>
        </w:rPr>
        <w:t>企业荣誉；</w:t>
      </w:r>
    </w:p>
    <w:p>
      <w:pPr>
        <w:numPr>
          <w:ilvl w:val="0"/>
          <w:numId w:val="21"/>
        </w:numPr>
        <w:spacing w:line="360" w:lineRule="auto"/>
        <w:rPr>
          <w:rFonts w:ascii="宋体" w:hAnsi="宋体" w:cs="宋体"/>
          <w:sz w:val="24"/>
          <w:szCs w:val="24"/>
        </w:rPr>
      </w:pPr>
      <w:r>
        <w:rPr>
          <w:rFonts w:hint="eastAsia" w:ascii="宋体" w:hAnsi="宋体" w:cs="宋体"/>
          <w:sz w:val="24"/>
          <w:szCs w:val="24"/>
        </w:rPr>
        <w:t>项目负责人证书；</w:t>
      </w:r>
    </w:p>
    <w:p>
      <w:pPr>
        <w:numPr>
          <w:ilvl w:val="0"/>
          <w:numId w:val="21"/>
        </w:numPr>
        <w:spacing w:line="360" w:lineRule="auto"/>
        <w:rPr>
          <w:rFonts w:ascii="宋体" w:hAnsi="宋体" w:cs="宋体"/>
          <w:sz w:val="24"/>
          <w:szCs w:val="24"/>
        </w:rPr>
      </w:pPr>
      <w:r>
        <w:rPr>
          <w:rFonts w:hint="eastAsia" w:ascii="宋体" w:hAnsi="宋体" w:cs="宋体"/>
          <w:sz w:val="24"/>
          <w:szCs w:val="24"/>
        </w:rPr>
        <w:t>供应商认为需要的其他文件资料。</w:t>
      </w:r>
    </w:p>
    <w:p>
      <w:pPr>
        <w:pStyle w:val="11"/>
        <w:spacing w:line="500" w:lineRule="exact"/>
        <w:ind w:firstLine="480" w:firstLineChars="200"/>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sz w:val="24"/>
          <w:szCs w:val="24"/>
        </w:rPr>
      </w:pPr>
    </w:p>
    <w:p>
      <w:pPr>
        <w:rPr>
          <w:rFonts w:ascii="宋体" w:hAnsi="宋体" w:cs="宋体"/>
          <w:sz w:val="24"/>
          <w:szCs w:val="24"/>
        </w:rPr>
      </w:pPr>
    </w:p>
    <w:p>
      <w:pPr>
        <w:pStyle w:val="2"/>
        <w:rPr>
          <w:rFonts w:hAnsi="宋体"/>
        </w:rPr>
      </w:pPr>
    </w:p>
    <w:p>
      <w:pPr>
        <w:spacing w:line="360" w:lineRule="auto"/>
        <w:ind w:firstLine="480" w:firstLineChars="200"/>
        <w:rPr>
          <w:rFonts w:ascii="宋体" w:hAnsi="宋体" w:cs="宋体"/>
          <w:sz w:val="24"/>
          <w:szCs w:val="24"/>
        </w:rPr>
      </w:pPr>
    </w:p>
    <w:p>
      <w:pPr>
        <w:pStyle w:val="14"/>
        <w:rPr>
          <w:rFonts w:ascii="宋体" w:hAnsi="宋体" w:cs="宋体"/>
        </w:rPr>
      </w:pPr>
    </w:p>
    <w:p>
      <w:pPr>
        <w:pStyle w:val="14"/>
        <w:rPr>
          <w:rFonts w:ascii="宋体" w:hAnsi="宋体" w:cs="宋体"/>
        </w:rPr>
      </w:pPr>
    </w:p>
    <w:p>
      <w:pPr>
        <w:pStyle w:val="14"/>
        <w:rPr>
          <w:rFonts w:ascii="宋体" w:hAnsi="宋体" w:cs="宋体"/>
        </w:rPr>
      </w:pPr>
    </w:p>
    <w:p>
      <w:pPr>
        <w:pStyle w:val="14"/>
        <w:rPr>
          <w:rFonts w:ascii="宋体" w:hAnsi="宋体" w:cs="宋体"/>
        </w:rPr>
      </w:pPr>
    </w:p>
    <w:p>
      <w:pPr>
        <w:snapToGrid w:val="0"/>
        <w:spacing w:before="50" w:after="50"/>
        <w:jc w:val="left"/>
        <w:rPr>
          <w:rFonts w:ascii="宋体" w:hAnsi="宋体" w:cs="宋体"/>
          <w:b/>
          <w:bCs/>
          <w:sz w:val="24"/>
          <w:szCs w:val="24"/>
          <w:lang w:val="zh-CN"/>
        </w:rPr>
      </w:pPr>
      <w:bookmarkStart w:id="105" w:name="_Toc10131"/>
      <w:r>
        <w:rPr>
          <w:rFonts w:hint="eastAsia" w:ascii="宋体" w:hAnsi="宋体" w:cs="宋体"/>
          <w:b/>
          <w:bCs/>
          <w:sz w:val="24"/>
          <w:szCs w:val="24"/>
          <w:lang w:val="zh-CN"/>
        </w:rPr>
        <w:t>附件六：</w:t>
      </w:r>
    </w:p>
    <w:p>
      <w:pPr>
        <w:spacing w:line="360" w:lineRule="auto"/>
        <w:jc w:val="center"/>
        <w:rPr>
          <w:rFonts w:ascii="宋体" w:hAnsi="宋体" w:cs="宋体"/>
          <w:b/>
          <w:bCs/>
          <w:sz w:val="32"/>
          <w:szCs w:val="32"/>
        </w:rPr>
      </w:pPr>
      <w:r>
        <w:rPr>
          <w:rFonts w:hint="eastAsia" w:ascii="宋体" w:hAnsi="宋体" w:cs="宋体"/>
          <w:b/>
          <w:bCs/>
          <w:sz w:val="32"/>
          <w:szCs w:val="32"/>
        </w:rPr>
        <w:t>评分对应表</w:t>
      </w:r>
    </w:p>
    <w:p>
      <w:pPr>
        <w:snapToGrid w:val="0"/>
        <w:spacing w:before="50"/>
        <w:jc w:val="center"/>
        <w:rPr>
          <w:rFonts w:ascii="宋体" w:hAnsi="宋体" w:cs="宋体"/>
          <w:b/>
          <w:bCs/>
          <w:sz w:val="32"/>
          <w:szCs w:val="32"/>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响应文件对应资料</w:t>
            </w:r>
          </w:p>
        </w:tc>
        <w:tc>
          <w:tcPr>
            <w:tcW w:w="1977" w:type="dxa"/>
            <w:tcBorders>
              <w:top w:val="single" w:color="auto" w:sz="4" w:space="0"/>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对应评分办法及评分标准</w:t>
            </w:r>
          </w:p>
          <w:p>
            <w:pPr>
              <w:jc w:val="center"/>
              <w:rPr>
                <w:rFonts w:ascii="宋体" w:hAnsi="宋体" w:cs="宋体"/>
                <w:sz w:val="24"/>
                <w:szCs w:val="24"/>
              </w:rPr>
            </w:pPr>
            <w:r>
              <w:rPr>
                <w:rFonts w:hint="eastAsia" w:ascii="宋体" w:hAnsi="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szCs w:val="24"/>
              </w:rPr>
            </w:pPr>
          </w:p>
        </w:tc>
        <w:tc>
          <w:tcPr>
            <w:tcW w:w="1977" w:type="dxa"/>
            <w:tcBorders>
              <w:top w:val="single" w:color="auto" w:sz="4" w:space="0"/>
              <w:left w:val="single" w:color="auto" w:sz="4" w:space="0"/>
              <w:bottom w:val="single" w:color="auto" w:sz="4" w:space="0"/>
            </w:tcBorders>
            <w:vAlign w:val="center"/>
          </w:tcPr>
          <w:p>
            <w:pPr>
              <w:spacing w:line="360" w:lineRule="auto"/>
              <w:ind w:firstLine="480" w:firstLineChars="200"/>
              <w:jc w:val="center"/>
              <w:rPr>
                <w:rFonts w:ascii="宋体" w:hAnsi="宋体" w:cs="宋体"/>
                <w:sz w:val="24"/>
                <w:szCs w:val="24"/>
              </w:rPr>
            </w:pPr>
          </w:p>
        </w:tc>
      </w:tr>
    </w:tbl>
    <w:p>
      <w:pPr>
        <w:spacing w:line="360" w:lineRule="auto"/>
        <w:ind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rPr>
          <w:rFonts w:ascii="宋体" w:hAnsi="宋体" w:cs="宋体"/>
          <w:lang w:val="zh-CN"/>
        </w:rPr>
      </w:pPr>
    </w:p>
    <w:p>
      <w:pPr>
        <w:rPr>
          <w:rFonts w:ascii="宋体" w:hAnsi="宋体" w:cs="宋体"/>
          <w:b/>
          <w:bCs/>
          <w:sz w:val="24"/>
          <w:szCs w:val="24"/>
          <w:lang w:val="zh-CN"/>
        </w:rPr>
      </w:pPr>
      <w:r>
        <w:rPr>
          <w:rFonts w:hint="eastAsia" w:ascii="宋体" w:hAnsi="宋体" w:cs="宋体"/>
          <w:b/>
          <w:bCs/>
          <w:sz w:val="24"/>
          <w:szCs w:val="24"/>
          <w:lang w:val="zh-CN"/>
        </w:rPr>
        <w:t>附件</w:t>
      </w:r>
      <w:r>
        <w:rPr>
          <w:rFonts w:hint="eastAsia" w:ascii="宋体" w:hAnsi="宋体" w:cs="宋体"/>
          <w:b/>
          <w:bCs/>
          <w:sz w:val="24"/>
          <w:szCs w:val="24"/>
        </w:rPr>
        <w:t>七：</w:t>
      </w:r>
    </w:p>
    <w:p>
      <w:pPr>
        <w:spacing w:line="360" w:lineRule="auto"/>
        <w:jc w:val="center"/>
        <w:rPr>
          <w:rFonts w:ascii="宋体" w:hAnsi="宋体" w:cs="宋体"/>
          <w:b/>
          <w:bCs/>
          <w:sz w:val="32"/>
          <w:szCs w:val="32"/>
        </w:rPr>
      </w:pPr>
      <w:r>
        <w:rPr>
          <w:rFonts w:hint="eastAsia" w:ascii="宋体" w:hAnsi="宋体" w:cs="宋体"/>
          <w:b/>
          <w:bCs/>
          <w:sz w:val="32"/>
          <w:szCs w:val="32"/>
        </w:rPr>
        <w:t>供应商商务技术文件中资信分自评表</w:t>
      </w:r>
      <w:bookmarkEnd w:id="105"/>
    </w:p>
    <w:p>
      <w:pPr>
        <w:snapToGrid w:val="0"/>
        <w:spacing w:before="50"/>
        <w:jc w:val="center"/>
        <w:rPr>
          <w:rFonts w:ascii="宋体" w:hAnsi="宋体" w:cs="宋体"/>
          <w:b/>
          <w:bCs/>
          <w:sz w:val="32"/>
          <w:szCs w:val="32"/>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序号</w:t>
            </w:r>
          </w:p>
        </w:tc>
        <w:tc>
          <w:tcPr>
            <w:tcW w:w="2387" w:type="dxa"/>
            <w:vAlign w:val="center"/>
          </w:tcPr>
          <w:p>
            <w:pPr>
              <w:jc w:val="center"/>
              <w:rPr>
                <w:rFonts w:ascii="宋体" w:hAnsi="宋体" w:cs="宋体"/>
                <w:sz w:val="24"/>
                <w:szCs w:val="24"/>
              </w:rPr>
            </w:pPr>
            <w:r>
              <w:rPr>
                <w:rFonts w:hint="eastAsia" w:ascii="宋体" w:hAnsi="宋体" w:cs="宋体"/>
                <w:sz w:val="24"/>
                <w:szCs w:val="24"/>
              </w:rPr>
              <w:t>资信分内容</w:t>
            </w:r>
          </w:p>
        </w:tc>
        <w:tc>
          <w:tcPr>
            <w:tcW w:w="1462" w:type="dxa"/>
            <w:vAlign w:val="center"/>
          </w:tcPr>
          <w:p>
            <w:pPr>
              <w:jc w:val="center"/>
              <w:rPr>
                <w:rFonts w:ascii="宋体" w:hAnsi="宋体" w:cs="宋体"/>
                <w:sz w:val="24"/>
                <w:szCs w:val="24"/>
              </w:rPr>
            </w:pPr>
            <w:r>
              <w:rPr>
                <w:rFonts w:hint="eastAsia" w:ascii="宋体" w:hAnsi="宋体" w:cs="宋体"/>
                <w:sz w:val="24"/>
                <w:szCs w:val="24"/>
              </w:rPr>
              <w:t>自评得分</w:t>
            </w:r>
          </w:p>
        </w:tc>
        <w:tc>
          <w:tcPr>
            <w:tcW w:w="2415" w:type="dxa"/>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响应文件对应资料</w:t>
            </w:r>
          </w:p>
        </w:tc>
        <w:tc>
          <w:tcPr>
            <w:tcW w:w="1746"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1</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2</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3</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4</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5</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6</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7</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8</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pPr>
              <w:jc w:val="center"/>
              <w:rPr>
                <w:rFonts w:ascii="宋体" w:hAnsi="宋体" w:cs="宋体"/>
                <w:sz w:val="24"/>
                <w:szCs w:val="24"/>
              </w:rPr>
            </w:pPr>
            <w:r>
              <w:rPr>
                <w:rFonts w:hint="eastAsia" w:ascii="宋体" w:hAnsi="宋体" w:cs="宋体"/>
                <w:sz w:val="24"/>
                <w:szCs w:val="24"/>
              </w:rPr>
              <w:t>合计</w:t>
            </w:r>
          </w:p>
        </w:tc>
        <w:tc>
          <w:tcPr>
            <w:tcW w:w="2387" w:type="dxa"/>
          </w:tcPr>
          <w:p>
            <w:pPr>
              <w:jc w:val="center"/>
              <w:rPr>
                <w:rFonts w:ascii="宋体" w:hAnsi="宋体" w:cs="宋体"/>
                <w:sz w:val="24"/>
                <w:szCs w:val="24"/>
              </w:rPr>
            </w:pPr>
          </w:p>
        </w:tc>
        <w:tc>
          <w:tcPr>
            <w:tcW w:w="1462" w:type="dxa"/>
          </w:tcPr>
          <w:p>
            <w:pPr>
              <w:jc w:val="center"/>
              <w:rPr>
                <w:rFonts w:ascii="宋体" w:hAnsi="宋体" w:cs="宋体"/>
                <w:sz w:val="24"/>
                <w:szCs w:val="24"/>
              </w:rPr>
            </w:pPr>
          </w:p>
        </w:tc>
        <w:tc>
          <w:tcPr>
            <w:tcW w:w="2415" w:type="dxa"/>
            <w:tcBorders>
              <w:right w:val="single" w:color="auto" w:sz="4" w:space="0"/>
            </w:tcBorders>
          </w:tcPr>
          <w:p>
            <w:pPr>
              <w:jc w:val="center"/>
              <w:rPr>
                <w:rFonts w:ascii="宋体" w:hAnsi="宋体" w:cs="宋体"/>
                <w:sz w:val="24"/>
                <w:szCs w:val="24"/>
              </w:rPr>
            </w:pPr>
          </w:p>
        </w:tc>
        <w:tc>
          <w:tcPr>
            <w:tcW w:w="1746" w:type="dxa"/>
            <w:tcBorders>
              <w:left w:val="single" w:color="auto" w:sz="4" w:space="0"/>
            </w:tcBorders>
          </w:tcPr>
          <w:p>
            <w:pPr>
              <w:jc w:val="center"/>
              <w:rPr>
                <w:rFonts w:ascii="宋体" w:hAnsi="宋体" w:cs="宋体"/>
                <w:sz w:val="24"/>
                <w:szCs w:val="24"/>
              </w:rPr>
            </w:pPr>
          </w:p>
        </w:tc>
      </w:tr>
    </w:tbl>
    <w:p>
      <w:pPr>
        <w:spacing w:line="360" w:lineRule="auto"/>
        <w:ind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snapToGrid w:val="0"/>
        <w:spacing w:before="50" w:after="162" w:afterLines="50"/>
        <w:jc w:val="left"/>
        <w:rPr>
          <w:rFonts w:ascii="宋体" w:hAnsi="宋体" w:cs="宋体"/>
          <w:b/>
          <w:bCs/>
          <w:sz w:val="24"/>
          <w:szCs w:val="24"/>
          <w:lang w:val="zh-CN"/>
        </w:rPr>
      </w:pPr>
      <w:r>
        <w:rPr>
          <w:rFonts w:hint="eastAsia" w:ascii="宋体" w:hAnsi="宋体" w:cs="宋体"/>
          <w:b/>
          <w:bCs/>
          <w:sz w:val="30"/>
          <w:szCs w:val="30"/>
        </w:rPr>
        <w:br w:type="page"/>
      </w:r>
      <w:r>
        <w:rPr>
          <w:rFonts w:hint="eastAsia" w:ascii="宋体" w:hAnsi="宋体" w:cs="宋体"/>
          <w:b/>
          <w:bCs/>
          <w:sz w:val="24"/>
          <w:szCs w:val="24"/>
          <w:lang w:val="zh-CN"/>
        </w:rPr>
        <w:t>附件八：</w:t>
      </w:r>
    </w:p>
    <w:p>
      <w:pPr>
        <w:spacing w:line="360" w:lineRule="auto"/>
        <w:jc w:val="center"/>
        <w:rPr>
          <w:rFonts w:ascii="宋体" w:hAnsi="宋体" w:cs="宋体"/>
          <w:b/>
          <w:bCs/>
          <w:sz w:val="32"/>
          <w:szCs w:val="32"/>
        </w:rPr>
      </w:pPr>
      <w:r>
        <w:rPr>
          <w:rFonts w:hint="eastAsia" w:ascii="宋体" w:hAnsi="宋体" w:cs="宋体"/>
          <w:b/>
          <w:bCs/>
          <w:sz w:val="32"/>
          <w:szCs w:val="32"/>
        </w:rPr>
        <w:t>投标项目明细清单</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s="宋体"/>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bl>
    <w:p>
      <w:pPr>
        <w:snapToGrid w:val="0"/>
        <w:spacing w:before="162" w:beforeLines="50" w:line="360" w:lineRule="auto"/>
        <w:ind w:firstLine="480" w:firstLineChars="200"/>
        <w:rPr>
          <w:rFonts w:ascii="宋体" w:hAnsi="宋体" w:cs="宋体"/>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pPr>
        <w:pStyle w:val="9"/>
      </w:pPr>
    </w:p>
    <w:p>
      <w:pPr>
        <w:pStyle w:val="9"/>
      </w:pPr>
    </w:p>
    <w:p>
      <w:pPr>
        <w:pStyle w:val="9"/>
      </w:pPr>
    </w:p>
    <w:p>
      <w:pPr>
        <w:snapToGrid w:val="0"/>
        <w:spacing w:before="162" w:beforeLines="50"/>
        <w:rPr>
          <w:rFonts w:ascii="宋体" w:hAnsi="宋体" w:cs="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snapToGrid w:val="0"/>
        <w:spacing w:before="50" w:after="50"/>
        <w:rPr>
          <w:rFonts w:ascii="宋体" w:hAnsi="宋体" w:cs="宋体"/>
          <w:spacing w:val="20"/>
          <w:sz w:val="24"/>
          <w:szCs w:val="24"/>
        </w:rPr>
      </w:pPr>
    </w:p>
    <w:p>
      <w:pPr>
        <w:snapToGrid w:val="0"/>
        <w:spacing w:before="50" w:after="50"/>
        <w:rPr>
          <w:rFonts w:ascii="宋体" w:hAnsi="宋体" w:cs="宋体"/>
          <w:spacing w:val="20"/>
          <w:sz w:val="30"/>
          <w:szCs w:val="30"/>
        </w:rPr>
      </w:pPr>
    </w:p>
    <w:p>
      <w:pPr>
        <w:pStyle w:val="9"/>
        <w:ind w:firstLine="686"/>
        <w:rPr>
          <w:spacing w:val="20"/>
          <w:sz w:val="30"/>
          <w:szCs w:val="30"/>
        </w:rPr>
      </w:pPr>
    </w:p>
    <w:p>
      <w:pPr>
        <w:pStyle w:val="9"/>
        <w:ind w:firstLine="686"/>
        <w:rPr>
          <w:spacing w:val="20"/>
          <w:sz w:val="30"/>
          <w:szCs w:val="30"/>
        </w:rPr>
        <w:sectPr>
          <w:footerReference r:id="rId5" w:type="default"/>
          <w:pgSz w:w="11906" w:h="16838"/>
          <w:pgMar w:top="1440" w:right="1803" w:bottom="1440" w:left="1803" w:header="851" w:footer="992" w:gutter="0"/>
          <w:cols w:space="0" w:num="1"/>
          <w:docGrid w:type="lines" w:linePitch="325" w:charSpace="0"/>
        </w:sectPr>
      </w:pPr>
    </w:p>
    <w:p>
      <w:pPr>
        <w:rPr>
          <w:rFonts w:ascii="宋体" w:hAnsi="宋体" w:cs="宋体"/>
          <w:b/>
          <w:bCs/>
          <w:sz w:val="24"/>
          <w:szCs w:val="24"/>
        </w:rPr>
      </w:pPr>
      <w:bookmarkStart w:id="106" w:name="_Toc2823"/>
      <w:r>
        <w:rPr>
          <w:rFonts w:hint="eastAsia" w:ascii="宋体" w:hAnsi="宋体" w:cs="宋体"/>
          <w:b/>
          <w:bCs/>
          <w:sz w:val="24"/>
          <w:szCs w:val="24"/>
        </w:rPr>
        <w:t>附件九：</w:t>
      </w:r>
    </w:p>
    <w:p>
      <w:pPr>
        <w:spacing w:line="360" w:lineRule="auto"/>
        <w:jc w:val="center"/>
        <w:rPr>
          <w:rFonts w:ascii="宋体" w:hAnsi="宋体" w:cs="宋体"/>
          <w:b/>
          <w:bCs/>
          <w:sz w:val="32"/>
          <w:szCs w:val="32"/>
        </w:rPr>
      </w:pPr>
      <w:r>
        <w:rPr>
          <w:rFonts w:hint="eastAsia" w:ascii="宋体" w:hAnsi="宋体" w:cs="宋体"/>
          <w:b/>
          <w:bCs/>
          <w:sz w:val="32"/>
          <w:szCs w:val="32"/>
        </w:rPr>
        <w:t>技术响应及建议表</w:t>
      </w:r>
      <w:bookmarkEnd w:id="106"/>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szCs w:val="24"/>
              </w:rPr>
            </w:pPr>
            <w:r>
              <w:rPr>
                <w:rFonts w:hint="eastAsia" w:ascii="宋体" w:hAnsi="宋体" w:cs="宋体"/>
                <w:sz w:val="24"/>
                <w:szCs w:val="24"/>
              </w:rPr>
              <w:t>序号</w:t>
            </w:r>
          </w:p>
        </w:tc>
        <w:tc>
          <w:tcPr>
            <w:tcW w:w="1440" w:type="dxa"/>
            <w:vAlign w:val="center"/>
          </w:tcPr>
          <w:p>
            <w:pPr>
              <w:snapToGrid w:val="0"/>
              <w:spacing w:before="50" w:after="50"/>
              <w:jc w:val="center"/>
              <w:rPr>
                <w:rFonts w:ascii="宋体" w:hAnsi="宋体" w:cs="宋体"/>
                <w:sz w:val="24"/>
                <w:szCs w:val="24"/>
              </w:rPr>
            </w:pPr>
            <w:r>
              <w:rPr>
                <w:rFonts w:hint="eastAsia" w:ascii="宋体" w:hAnsi="宋体" w:cs="宋体"/>
                <w:sz w:val="24"/>
                <w:szCs w:val="24"/>
              </w:rPr>
              <w:t>名称</w:t>
            </w:r>
          </w:p>
        </w:tc>
        <w:tc>
          <w:tcPr>
            <w:tcW w:w="1980" w:type="dxa"/>
            <w:vAlign w:val="center"/>
          </w:tcPr>
          <w:p>
            <w:pPr>
              <w:snapToGrid w:val="0"/>
              <w:spacing w:before="50" w:after="50"/>
              <w:jc w:val="center"/>
              <w:rPr>
                <w:rFonts w:ascii="宋体" w:hAnsi="宋体" w:cs="宋体"/>
                <w:sz w:val="24"/>
                <w:szCs w:val="24"/>
              </w:rPr>
            </w:pPr>
            <w:r>
              <w:rPr>
                <w:rFonts w:hint="eastAsia" w:ascii="宋体" w:hAnsi="宋体" w:cs="宋体"/>
                <w:sz w:val="24"/>
                <w:szCs w:val="24"/>
              </w:rPr>
              <w:t>磋商文件要求</w:t>
            </w:r>
          </w:p>
        </w:tc>
        <w:tc>
          <w:tcPr>
            <w:tcW w:w="2520" w:type="dxa"/>
            <w:vAlign w:val="center"/>
          </w:tcPr>
          <w:p>
            <w:pPr>
              <w:snapToGrid w:val="0"/>
              <w:spacing w:before="50" w:after="50"/>
              <w:jc w:val="center"/>
              <w:rPr>
                <w:rFonts w:ascii="宋体" w:hAnsi="宋体" w:cs="宋体"/>
                <w:sz w:val="24"/>
                <w:szCs w:val="24"/>
              </w:rPr>
            </w:pPr>
            <w:r>
              <w:rPr>
                <w:rFonts w:hint="eastAsia" w:ascii="宋体" w:hAnsi="宋体" w:cs="宋体"/>
                <w:sz w:val="24"/>
                <w:szCs w:val="24"/>
              </w:rPr>
              <w:t>响应文件响应</w:t>
            </w:r>
          </w:p>
        </w:tc>
        <w:tc>
          <w:tcPr>
            <w:tcW w:w="1953" w:type="dxa"/>
            <w:vAlign w:val="center"/>
          </w:tcPr>
          <w:p>
            <w:pPr>
              <w:snapToGrid w:val="0"/>
              <w:spacing w:before="50" w:after="50"/>
              <w:jc w:val="center"/>
              <w:rPr>
                <w:rFonts w:ascii="宋体" w:hAnsi="宋体" w:cs="宋体"/>
                <w:sz w:val="24"/>
                <w:szCs w:val="24"/>
              </w:rPr>
            </w:pPr>
            <w:r>
              <w:rPr>
                <w:rFonts w:hint="eastAsia" w:ascii="宋体" w:hAnsi="宋体" w:cs="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szCs w:val="24"/>
              </w:rPr>
            </w:pPr>
          </w:p>
        </w:tc>
        <w:tc>
          <w:tcPr>
            <w:tcW w:w="1440" w:type="dxa"/>
            <w:vAlign w:val="center"/>
          </w:tcPr>
          <w:p>
            <w:pPr>
              <w:snapToGrid w:val="0"/>
              <w:spacing w:before="50" w:after="50"/>
              <w:jc w:val="center"/>
              <w:rPr>
                <w:rFonts w:ascii="宋体" w:hAnsi="宋体" w:cs="宋体"/>
                <w:sz w:val="24"/>
                <w:szCs w:val="24"/>
              </w:rPr>
            </w:pPr>
          </w:p>
        </w:tc>
        <w:tc>
          <w:tcPr>
            <w:tcW w:w="1980" w:type="dxa"/>
            <w:vAlign w:val="center"/>
          </w:tcPr>
          <w:p>
            <w:pPr>
              <w:snapToGrid w:val="0"/>
              <w:spacing w:before="50" w:after="50"/>
              <w:jc w:val="center"/>
              <w:rPr>
                <w:rFonts w:ascii="宋体" w:hAnsi="宋体" w:cs="宋体"/>
                <w:sz w:val="24"/>
                <w:szCs w:val="24"/>
              </w:rPr>
            </w:pPr>
          </w:p>
        </w:tc>
        <w:tc>
          <w:tcPr>
            <w:tcW w:w="2520" w:type="dxa"/>
            <w:vAlign w:val="center"/>
          </w:tcPr>
          <w:p>
            <w:pPr>
              <w:snapToGrid w:val="0"/>
              <w:spacing w:before="50" w:after="50"/>
              <w:jc w:val="center"/>
              <w:rPr>
                <w:rFonts w:ascii="宋体" w:hAnsi="宋体" w:cs="宋体"/>
                <w:sz w:val="24"/>
                <w:szCs w:val="24"/>
              </w:rPr>
            </w:pPr>
          </w:p>
        </w:tc>
        <w:tc>
          <w:tcPr>
            <w:tcW w:w="1953" w:type="dxa"/>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szCs w:val="24"/>
              </w:rPr>
            </w:pPr>
          </w:p>
        </w:tc>
        <w:tc>
          <w:tcPr>
            <w:tcW w:w="1440" w:type="dxa"/>
            <w:vAlign w:val="center"/>
          </w:tcPr>
          <w:p>
            <w:pPr>
              <w:snapToGrid w:val="0"/>
              <w:spacing w:before="50" w:after="50"/>
              <w:jc w:val="center"/>
              <w:rPr>
                <w:rFonts w:ascii="宋体" w:hAnsi="宋体" w:cs="宋体"/>
                <w:sz w:val="24"/>
                <w:szCs w:val="24"/>
              </w:rPr>
            </w:pPr>
          </w:p>
        </w:tc>
        <w:tc>
          <w:tcPr>
            <w:tcW w:w="1980" w:type="dxa"/>
            <w:vAlign w:val="center"/>
          </w:tcPr>
          <w:p>
            <w:pPr>
              <w:snapToGrid w:val="0"/>
              <w:spacing w:before="50" w:after="50"/>
              <w:jc w:val="center"/>
              <w:rPr>
                <w:rFonts w:ascii="宋体" w:hAnsi="宋体" w:cs="宋体"/>
                <w:sz w:val="24"/>
                <w:szCs w:val="24"/>
              </w:rPr>
            </w:pPr>
          </w:p>
        </w:tc>
        <w:tc>
          <w:tcPr>
            <w:tcW w:w="2520" w:type="dxa"/>
            <w:vAlign w:val="center"/>
          </w:tcPr>
          <w:p>
            <w:pPr>
              <w:snapToGrid w:val="0"/>
              <w:spacing w:before="50" w:after="50"/>
              <w:jc w:val="center"/>
              <w:rPr>
                <w:rFonts w:ascii="宋体" w:hAnsi="宋体" w:cs="宋体"/>
                <w:sz w:val="24"/>
                <w:szCs w:val="24"/>
              </w:rPr>
            </w:pPr>
          </w:p>
        </w:tc>
        <w:tc>
          <w:tcPr>
            <w:tcW w:w="1953" w:type="dxa"/>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szCs w:val="24"/>
              </w:rPr>
            </w:pPr>
          </w:p>
        </w:tc>
        <w:tc>
          <w:tcPr>
            <w:tcW w:w="1440" w:type="dxa"/>
            <w:vAlign w:val="center"/>
          </w:tcPr>
          <w:p>
            <w:pPr>
              <w:snapToGrid w:val="0"/>
              <w:spacing w:before="50" w:after="50"/>
              <w:jc w:val="center"/>
              <w:rPr>
                <w:rFonts w:ascii="宋体" w:hAnsi="宋体" w:cs="宋体"/>
                <w:sz w:val="24"/>
                <w:szCs w:val="24"/>
              </w:rPr>
            </w:pPr>
          </w:p>
        </w:tc>
        <w:tc>
          <w:tcPr>
            <w:tcW w:w="1980" w:type="dxa"/>
            <w:vAlign w:val="center"/>
          </w:tcPr>
          <w:p>
            <w:pPr>
              <w:snapToGrid w:val="0"/>
              <w:spacing w:before="50" w:after="50"/>
              <w:jc w:val="center"/>
              <w:rPr>
                <w:rFonts w:ascii="宋体" w:hAnsi="宋体" w:cs="宋体"/>
                <w:sz w:val="24"/>
                <w:szCs w:val="24"/>
              </w:rPr>
            </w:pPr>
          </w:p>
        </w:tc>
        <w:tc>
          <w:tcPr>
            <w:tcW w:w="2520" w:type="dxa"/>
            <w:vAlign w:val="center"/>
          </w:tcPr>
          <w:p>
            <w:pPr>
              <w:snapToGrid w:val="0"/>
              <w:spacing w:before="50" w:after="50"/>
              <w:jc w:val="center"/>
              <w:rPr>
                <w:rFonts w:ascii="宋体" w:hAnsi="宋体" w:cs="宋体"/>
                <w:sz w:val="24"/>
                <w:szCs w:val="24"/>
              </w:rPr>
            </w:pPr>
          </w:p>
        </w:tc>
        <w:tc>
          <w:tcPr>
            <w:tcW w:w="1953" w:type="dxa"/>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szCs w:val="24"/>
              </w:rPr>
            </w:pPr>
          </w:p>
        </w:tc>
        <w:tc>
          <w:tcPr>
            <w:tcW w:w="1440" w:type="dxa"/>
            <w:vAlign w:val="center"/>
          </w:tcPr>
          <w:p>
            <w:pPr>
              <w:snapToGrid w:val="0"/>
              <w:spacing w:before="50" w:after="50"/>
              <w:jc w:val="center"/>
              <w:rPr>
                <w:rFonts w:ascii="宋体" w:hAnsi="宋体" w:cs="宋体"/>
                <w:sz w:val="24"/>
                <w:szCs w:val="24"/>
              </w:rPr>
            </w:pPr>
          </w:p>
        </w:tc>
        <w:tc>
          <w:tcPr>
            <w:tcW w:w="1980" w:type="dxa"/>
            <w:vAlign w:val="center"/>
          </w:tcPr>
          <w:p>
            <w:pPr>
              <w:snapToGrid w:val="0"/>
              <w:spacing w:before="50" w:after="50"/>
              <w:jc w:val="center"/>
              <w:rPr>
                <w:rFonts w:ascii="宋体" w:hAnsi="宋体" w:cs="宋体"/>
                <w:sz w:val="24"/>
                <w:szCs w:val="24"/>
              </w:rPr>
            </w:pPr>
          </w:p>
        </w:tc>
        <w:tc>
          <w:tcPr>
            <w:tcW w:w="2520" w:type="dxa"/>
            <w:vAlign w:val="center"/>
          </w:tcPr>
          <w:p>
            <w:pPr>
              <w:snapToGrid w:val="0"/>
              <w:spacing w:before="50" w:after="50"/>
              <w:jc w:val="center"/>
              <w:rPr>
                <w:rFonts w:ascii="宋体" w:hAnsi="宋体" w:cs="宋体"/>
                <w:sz w:val="24"/>
                <w:szCs w:val="24"/>
              </w:rPr>
            </w:pPr>
          </w:p>
        </w:tc>
        <w:tc>
          <w:tcPr>
            <w:tcW w:w="1953" w:type="dxa"/>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sz w:val="24"/>
                <w:szCs w:val="24"/>
              </w:rPr>
            </w:pPr>
          </w:p>
        </w:tc>
        <w:tc>
          <w:tcPr>
            <w:tcW w:w="1440" w:type="dxa"/>
            <w:vAlign w:val="center"/>
          </w:tcPr>
          <w:p>
            <w:pPr>
              <w:snapToGrid w:val="0"/>
              <w:spacing w:before="50" w:after="50"/>
              <w:jc w:val="center"/>
              <w:rPr>
                <w:rFonts w:ascii="宋体" w:hAnsi="宋体" w:cs="宋体"/>
                <w:sz w:val="24"/>
                <w:szCs w:val="24"/>
              </w:rPr>
            </w:pPr>
          </w:p>
        </w:tc>
        <w:tc>
          <w:tcPr>
            <w:tcW w:w="1980" w:type="dxa"/>
            <w:vAlign w:val="center"/>
          </w:tcPr>
          <w:p>
            <w:pPr>
              <w:snapToGrid w:val="0"/>
              <w:spacing w:before="50" w:after="50"/>
              <w:jc w:val="center"/>
              <w:rPr>
                <w:rFonts w:ascii="宋体" w:hAnsi="宋体" w:cs="宋体"/>
                <w:sz w:val="24"/>
                <w:szCs w:val="24"/>
              </w:rPr>
            </w:pPr>
          </w:p>
        </w:tc>
        <w:tc>
          <w:tcPr>
            <w:tcW w:w="2520" w:type="dxa"/>
            <w:vAlign w:val="center"/>
          </w:tcPr>
          <w:p>
            <w:pPr>
              <w:snapToGrid w:val="0"/>
              <w:spacing w:before="50" w:after="50"/>
              <w:jc w:val="center"/>
              <w:rPr>
                <w:rFonts w:ascii="宋体" w:hAnsi="宋体" w:cs="宋体"/>
                <w:sz w:val="24"/>
                <w:szCs w:val="24"/>
              </w:rPr>
            </w:pPr>
          </w:p>
        </w:tc>
        <w:tc>
          <w:tcPr>
            <w:tcW w:w="1953" w:type="dxa"/>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cs="宋体"/>
                <w:sz w:val="24"/>
                <w:szCs w:val="24"/>
              </w:rPr>
            </w:pPr>
            <w:r>
              <w:rPr>
                <w:rFonts w:hint="eastAsia" w:ascii="宋体" w:hAnsi="宋体" w:cs="宋体"/>
                <w:sz w:val="24"/>
                <w:szCs w:val="24"/>
              </w:rPr>
              <w:t>投标建议</w:t>
            </w:r>
          </w:p>
        </w:tc>
        <w:tc>
          <w:tcPr>
            <w:tcW w:w="6453" w:type="dxa"/>
            <w:gridSpan w:val="3"/>
            <w:vAlign w:val="center"/>
          </w:tcPr>
          <w:p>
            <w:pPr>
              <w:spacing w:line="360" w:lineRule="auto"/>
              <w:jc w:val="center"/>
              <w:rPr>
                <w:rFonts w:ascii="宋体" w:hAnsi="宋体" w:cs="宋体"/>
                <w:sz w:val="24"/>
                <w:szCs w:val="24"/>
              </w:rPr>
            </w:pPr>
          </w:p>
        </w:tc>
      </w:tr>
    </w:tbl>
    <w:p>
      <w:pPr>
        <w:snapToGrid w:val="0"/>
        <w:spacing w:line="360" w:lineRule="auto"/>
        <w:rPr>
          <w:rFonts w:ascii="宋体" w:hAnsi="宋体" w:cs="宋体"/>
          <w:sz w:val="24"/>
          <w:szCs w:val="24"/>
        </w:rPr>
      </w:pPr>
    </w:p>
    <w:p>
      <w:pPr>
        <w:pStyle w:val="11"/>
        <w:spacing w:line="360" w:lineRule="auto"/>
        <w:rPr>
          <w:rFonts w:hAnsi="宋体"/>
          <w:sz w:val="24"/>
          <w:szCs w:val="24"/>
        </w:rPr>
      </w:pPr>
      <w:r>
        <w:rPr>
          <w:rFonts w:hint="eastAsia" w:hAnsi="宋体"/>
          <w:sz w:val="24"/>
          <w:szCs w:val="24"/>
        </w:rPr>
        <w:t>注：名称可基于项目清单根据供应商实际情况调整。</w:t>
      </w:r>
    </w:p>
    <w:p>
      <w:pPr>
        <w:rPr>
          <w:rFonts w:ascii="宋体" w:hAnsi="宋体" w:cs="宋体"/>
          <w:sz w:val="24"/>
          <w:szCs w:val="24"/>
        </w:rPr>
      </w:pPr>
    </w:p>
    <w:p>
      <w:pPr>
        <w:pStyle w:val="9"/>
      </w:pPr>
    </w:p>
    <w:p>
      <w:pPr>
        <w:snapToGrid w:val="0"/>
        <w:spacing w:line="360" w:lineRule="auto"/>
        <w:rPr>
          <w:rFonts w:ascii="宋体" w:hAnsi="宋体" w:cs="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rPr>
          <w:rFonts w:ascii="宋体" w:hAnsi="宋体" w:cs="宋体"/>
          <w:sz w:val="24"/>
          <w:szCs w:val="24"/>
        </w:rPr>
      </w:pPr>
      <w:r>
        <w:rPr>
          <w:rFonts w:hint="eastAsia" w:ascii="宋体" w:hAnsi="宋体" w:cs="宋体"/>
          <w:sz w:val="24"/>
          <w:szCs w:val="24"/>
        </w:rPr>
        <w:br w:type="page"/>
      </w:r>
    </w:p>
    <w:p>
      <w:pPr>
        <w:rPr>
          <w:rFonts w:ascii="宋体" w:hAnsi="宋体" w:cs="宋体"/>
          <w:b/>
          <w:bCs/>
          <w:sz w:val="24"/>
          <w:szCs w:val="24"/>
        </w:rPr>
      </w:pPr>
      <w:r>
        <w:rPr>
          <w:rFonts w:hint="eastAsia" w:ascii="宋体" w:hAnsi="宋体" w:cs="宋体"/>
          <w:b/>
          <w:bCs/>
          <w:sz w:val="24"/>
          <w:szCs w:val="24"/>
        </w:rPr>
        <w:t>附件十：</w:t>
      </w:r>
    </w:p>
    <w:p>
      <w:pPr>
        <w:spacing w:line="360" w:lineRule="auto"/>
        <w:jc w:val="center"/>
        <w:rPr>
          <w:rFonts w:ascii="宋体" w:hAnsi="宋体" w:cs="宋体"/>
          <w:b/>
          <w:bCs/>
          <w:sz w:val="32"/>
          <w:szCs w:val="32"/>
        </w:rPr>
      </w:pPr>
      <w:r>
        <w:rPr>
          <w:rFonts w:hint="eastAsia" w:ascii="宋体" w:hAnsi="宋体" w:cs="宋体"/>
          <w:b/>
          <w:bCs/>
          <w:sz w:val="32"/>
          <w:szCs w:val="32"/>
        </w:rPr>
        <w:t>商务响应表</w:t>
      </w:r>
    </w:p>
    <w:p>
      <w:pPr>
        <w:snapToGrid w:val="0"/>
        <w:spacing w:before="50"/>
        <w:jc w:val="center"/>
        <w:rPr>
          <w:rFonts w:ascii="宋体" w:hAnsi="宋体" w:cs="宋体"/>
          <w:b/>
          <w:bCs/>
          <w:sz w:val="32"/>
          <w:szCs w:val="32"/>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是否</w:t>
            </w:r>
          </w:p>
          <w:p>
            <w:pPr>
              <w:snapToGrid w:val="0"/>
              <w:spacing w:before="50" w:after="50"/>
              <w:jc w:val="center"/>
              <w:rPr>
                <w:rFonts w:ascii="宋体" w:hAnsi="宋体" w:cs="宋体"/>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p>
        </w:tc>
        <w:tc>
          <w:tcPr>
            <w:tcW w:w="302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p>
        </w:tc>
      </w:tr>
    </w:tbl>
    <w:p>
      <w:pPr>
        <w:spacing w:line="360" w:lineRule="auto"/>
        <w:ind w:left="3780" w:leftChars="1800"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snapToGrid w:val="0"/>
        <w:spacing w:before="50" w:after="50"/>
        <w:rPr>
          <w:rFonts w:ascii="宋体" w:hAnsi="宋体" w:cs="宋体"/>
          <w:b/>
          <w:bCs/>
          <w:sz w:val="24"/>
          <w:szCs w:val="24"/>
          <w:lang w:val="zh-CN"/>
        </w:rPr>
      </w:pPr>
      <w:r>
        <w:rPr>
          <w:rFonts w:hint="eastAsia" w:ascii="宋体" w:hAnsi="宋体" w:cs="宋体"/>
          <w:sz w:val="24"/>
          <w:szCs w:val="24"/>
        </w:rPr>
        <w:br w:type="page"/>
      </w:r>
      <w:r>
        <w:rPr>
          <w:rFonts w:hint="eastAsia" w:ascii="宋体" w:hAnsi="宋体" w:cs="宋体"/>
          <w:b/>
          <w:bCs/>
          <w:sz w:val="24"/>
          <w:szCs w:val="24"/>
          <w:lang w:val="zh-CN"/>
        </w:rPr>
        <w:t>附件十一：</w:t>
      </w:r>
    </w:p>
    <w:p>
      <w:pPr>
        <w:spacing w:line="360" w:lineRule="auto"/>
        <w:jc w:val="center"/>
        <w:rPr>
          <w:rFonts w:ascii="宋体" w:hAnsi="宋体" w:cs="宋体"/>
          <w:b/>
          <w:bCs/>
          <w:sz w:val="32"/>
          <w:szCs w:val="32"/>
        </w:rPr>
      </w:pPr>
      <w:r>
        <w:rPr>
          <w:rFonts w:hint="eastAsia" w:ascii="宋体" w:hAnsi="宋体" w:cs="宋体"/>
          <w:b/>
          <w:bCs/>
          <w:sz w:val="32"/>
          <w:szCs w:val="32"/>
        </w:rPr>
        <w:t>项目组人员清单</w:t>
      </w:r>
    </w:p>
    <w:p>
      <w:pPr>
        <w:snapToGrid w:val="0"/>
        <w:spacing w:before="162" w:beforeLines="50" w:after="50"/>
        <w:jc w:val="center"/>
        <w:rPr>
          <w:rFonts w:ascii="宋体" w:hAnsi="宋体" w:cs="宋体"/>
          <w:b/>
          <w:bCs/>
          <w:sz w:val="30"/>
          <w:szCs w:val="30"/>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50" w:after="50"/>
              <w:jc w:val="center"/>
              <w:rPr>
                <w:rFonts w:ascii="宋体" w:hAnsi="宋体" w:cs="宋体"/>
                <w:sz w:val="24"/>
                <w:szCs w:val="24"/>
              </w:rPr>
            </w:pPr>
            <w:r>
              <w:rPr>
                <w:rFonts w:hint="eastAsia" w:ascii="宋体" w:hAnsi="宋体" w:cs="宋体"/>
                <w:sz w:val="24"/>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12"/>
              <w:snapToGrid w:val="0"/>
              <w:spacing w:before="162" w:beforeLines="50" w:after="50" w:line="460" w:lineRule="exact"/>
              <w:ind w:left="5250"/>
              <w:rPr>
                <w:color w:val="auto"/>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宋体" w:hAnsi="宋体" w:cs="宋体"/>
                <w:sz w:val="24"/>
                <w:szCs w:val="24"/>
              </w:rPr>
            </w:pPr>
          </w:p>
        </w:tc>
        <w:tc>
          <w:tcPr>
            <w:tcW w:w="1800" w:type="dxa"/>
            <w:tcBorders>
              <w:top w:val="single" w:color="auto" w:sz="4" w:space="0"/>
              <w:left w:val="single" w:color="auto" w:sz="4" w:space="0"/>
              <w:bottom w:val="single" w:color="auto" w:sz="4" w:space="0"/>
            </w:tcBorders>
          </w:tcPr>
          <w:p>
            <w:pPr>
              <w:snapToGrid w:val="0"/>
              <w:spacing w:before="162" w:beforeLines="50" w:after="50" w:line="460" w:lineRule="exact"/>
              <w:rPr>
                <w:rFonts w:ascii="宋体" w:hAnsi="宋体" w:cs="宋体"/>
                <w:sz w:val="24"/>
                <w:szCs w:val="24"/>
              </w:rPr>
            </w:pPr>
          </w:p>
        </w:tc>
      </w:tr>
    </w:tbl>
    <w:p>
      <w:pPr>
        <w:adjustRightInd w:val="0"/>
        <w:snapToGrid w:val="0"/>
        <w:spacing w:line="360" w:lineRule="auto"/>
        <w:jc w:val="left"/>
        <w:rPr>
          <w:rFonts w:ascii="宋体" w:hAnsi="宋体" w:cs="宋体"/>
          <w:sz w:val="24"/>
          <w:szCs w:val="24"/>
        </w:rPr>
      </w:pP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注：在填写时，如本表格不适合投标单位的实际情况，可根据本表格式自行划表填写。</w:t>
      </w:r>
    </w:p>
    <w:p>
      <w:pPr>
        <w:snapToGrid w:val="0"/>
        <w:spacing w:before="50" w:after="162" w:afterLines="50" w:line="460" w:lineRule="exact"/>
        <w:jc w:val="left"/>
        <w:rPr>
          <w:rFonts w:ascii="宋体" w:hAnsi="宋体" w:cs="宋体"/>
          <w:sz w:val="24"/>
          <w:szCs w:val="24"/>
        </w:rPr>
      </w:pPr>
    </w:p>
    <w:p>
      <w:pPr>
        <w:pStyle w:val="9"/>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spacing w:line="360" w:lineRule="auto"/>
        <w:jc w:val="center"/>
        <w:rPr>
          <w:rFonts w:ascii="宋体" w:hAnsi="宋体" w:cs="宋体"/>
          <w:b/>
          <w:bCs/>
          <w:kern w:val="0"/>
          <w:sz w:val="36"/>
          <w:szCs w:val="36"/>
        </w:rPr>
      </w:pPr>
      <w:r>
        <w:rPr>
          <w:rFonts w:hint="eastAsia" w:ascii="宋体" w:hAnsi="宋体" w:cs="宋体"/>
          <w:spacing w:val="20"/>
          <w:sz w:val="30"/>
          <w:szCs w:val="30"/>
        </w:rPr>
        <w:br w:type="page"/>
      </w:r>
      <w:r>
        <w:rPr>
          <w:rFonts w:hint="eastAsia" w:ascii="宋体" w:hAnsi="宋体" w:cs="宋体"/>
          <w:b/>
          <w:bCs/>
          <w:kern w:val="0"/>
          <w:sz w:val="36"/>
          <w:szCs w:val="36"/>
        </w:rPr>
        <w:t>报价文件</w:t>
      </w: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r>
        <w:rPr>
          <w:rFonts w:hint="eastAsia" w:ascii="宋体" w:hAnsi="宋体" w:cs="宋体"/>
          <w:b/>
          <w:bCs/>
          <w:kern w:val="0"/>
          <w:sz w:val="36"/>
          <w:szCs w:val="36"/>
        </w:rPr>
        <w:t>目录</w:t>
      </w:r>
    </w:p>
    <w:p>
      <w:pPr>
        <w:pStyle w:val="9"/>
        <w:ind w:firstLine="723"/>
        <w:rPr>
          <w:b/>
          <w:bCs/>
          <w:kern w:val="0"/>
          <w:sz w:val="36"/>
          <w:szCs w:val="36"/>
        </w:rPr>
      </w:pPr>
    </w:p>
    <w:p>
      <w:pPr>
        <w:spacing w:line="360" w:lineRule="auto"/>
        <w:rPr>
          <w:rFonts w:ascii="宋体" w:hAnsi="宋体" w:cs="宋体"/>
          <w:sz w:val="24"/>
          <w:szCs w:val="24"/>
        </w:rPr>
      </w:pPr>
      <w:r>
        <w:rPr>
          <w:rFonts w:hint="eastAsia" w:ascii="宋体" w:hAnsi="宋体" w:cs="宋体"/>
          <w:sz w:val="24"/>
          <w:szCs w:val="24"/>
        </w:rPr>
        <w:t>（1）磋商函（格式见附件）；</w:t>
      </w:r>
    </w:p>
    <w:p>
      <w:pPr>
        <w:spacing w:line="360" w:lineRule="auto"/>
        <w:rPr>
          <w:rFonts w:ascii="宋体" w:hAnsi="宋体" w:cs="宋体"/>
          <w:sz w:val="24"/>
          <w:szCs w:val="24"/>
        </w:rPr>
      </w:pPr>
      <w:r>
        <w:rPr>
          <w:rFonts w:hint="eastAsia" w:ascii="宋体" w:hAnsi="宋体" w:cs="宋体"/>
          <w:sz w:val="24"/>
          <w:szCs w:val="24"/>
        </w:rPr>
        <w:t>（2）报价一览表（格式见附件）；</w:t>
      </w:r>
    </w:p>
    <w:p>
      <w:pPr>
        <w:spacing w:line="360" w:lineRule="auto"/>
        <w:rPr>
          <w:rFonts w:ascii="宋体" w:hAnsi="宋体" w:cs="宋体"/>
          <w:sz w:val="24"/>
          <w:szCs w:val="24"/>
        </w:rPr>
      </w:pPr>
      <w:r>
        <w:rPr>
          <w:rFonts w:hint="eastAsia" w:ascii="宋体" w:hAnsi="宋体" w:cs="宋体"/>
          <w:sz w:val="24"/>
          <w:szCs w:val="24"/>
        </w:rPr>
        <w:t>（3）磋商报价明细表（格式见附件）。</w:t>
      </w:r>
    </w:p>
    <w:p>
      <w:pPr>
        <w:rPr>
          <w:rFonts w:ascii="宋体" w:hAnsi="宋体" w:cs="宋体"/>
        </w:rPr>
      </w:pPr>
    </w:p>
    <w:p>
      <w:pPr>
        <w:rPr>
          <w:rFonts w:ascii="宋体" w:hAnsi="宋体" w:cs="宋体"/>
        </w:rPr>
      </w:pPr>
      <w:r>
        <w:rPr>
          <w:rFonts w:hint="eastAsia" w:ascii="宋体" w:hAnsi="宋体" w:cs="宋体"/>
        </w:rPr>
        <w:br w:type="page"/>
      </w:r>
    </w:p>
    <w:p>
      <w:pPr>
        <w:rPr>
          <w:rFonts w:ascii="宋体" w:hAnsi="宋体" w:cs="宋体"/>
          <w:b/>
          <w:bCs/>
          <w:lang w:val="zh-CN"/>
        </w:rPr>
      </w:pPr>
      <w:bookmarkStart w:id="107" w:name="_Toc3094"/>
      <w:r>
        <w:rPr>
          <w:rFonts w:hint="eastAsia" w:ascii="宋体" w:hAnsi="宋体" w:cs="宋体"/>
          <w:b/>
          <w:bCs/>
          <w:sz w:val="24"/>
          <w:szCs w:val="24"/>
          <w:lang w:val="zh-CN"/>
        </w:rPr>
        <w:t>附件</w:t>
      </w:r>
      <w:bookmarkStart w:id="108" w:name="_Toc98731770"/>
      <w:bookmarkStart w:id="109" w:name="_Toc130094924"/>
      <w:r>
        <w:rPr>
          <w:rFonts w:hint="eastAsia" w:ascii="宋体" w:hAnsi="宋体" w:cs="宋体"/>
          <w:b/>
          <w:bCs/>
          <w:sz w:val="24"/>
          <w:szCs w:val="24"/>
        </w:rPr>
        <w:t>十二：</w:t>
      </w:r>
    </w:p>
    <w:p>
      <w:pPr>
        <w:spacing w:line="360" w:lineRule="auto"/>
        <w:jc w:val="center"/>
        <w:rPr>
          <w:rFonts w:ascii="宋体" w:hAnsi="宋体" w:cs="宋体"/>
          <w:b/>
          <w:bCs/>
          <w:sz w:val="32"/>
          <w:szCs w:val="32"/>
        </w:rPr>
      </w:pPr>
      <w:r>
        <w:rPr>
          <w:rFonts w:hint="eastAsia" w:ascii="宋体" w:hAnsi="宋体" w:cs="宋体"/>
          <w:b/>
          <w:bCs/>
          <w:sz w:val="32"/>
          <w:szCs w:val="32"/>
        </w:rPr>
        <w:t>磋商函</w:t>
      </w:r>
      <w:bookmarkEnd w:id="107"/>
      <w:bookmarkEnd w:id="108"/>
      <w:bookmarkEnd w:id="109"/>
    </w:p>
    <w:p>
      <w:pPr>
        <w:spacing w:line="360" w:lineRule="auto"/>
        <w:ind w:firstLine="480" w:firstLineChars="200"/>
        <w:rPr>
          <w:rFonts w:ascii="宋体" w:hAnsi="宋体" w:cs="宋体"/>
          <w:sz w:val="24"/>
          <w:szCs w:val="24"/>
          <w:u w:val="single"/>
        </w:rPr>
      </w:pPr>
    </w:p>
    <w:p>
      <w:pPr>
        <w:spacing w:line="360" w:lineRule="auto"/>
        <w:ind w:firstLine="480" w:firstLineChars="200"/>
        <w:rPr>
          <w:rFonts w:ascii="宋体" w:hAnsi="宋体" w:cs="宋体"/>
          <w:sz w:val="24"/>
          <w:szCs w:val="24"/>
        </w:rPr>
      </w:pPr>
      <w:r>
        <w:rPr>
          <w:rFonts w:hint="eastAsia" w:ascii="宋体" w:hAnsi="宋体" w:cs="宋体"/>
          <w:sz w:val="24"/>
          <w:szCs w:val="24"/>
        </w:rPr>
        <w:t>绍兴市生态环境局上虞分局：</w:t>
      </w:r>
    </w:p>
    <w:p>
      <w:pPr>
        <w:spacing w:line="360" w:lineRule="auto"/>
        <w:ind w:firstLine="480" w:firstLineChars="200"/>
        <w:rPr>
          <w:rFonts w:ascii="宋体" w:hAnsi="宋体" w:cs="宋体"/>
          <w:sz w:val="24"/>
          <w:szCs w:val="24"/>
        </w:rPr>
      </w:pPr>
      <w:r>
        <w:rPr>
          <w:rFonts w:hint="eastAsia" w:ascii="宋体" w:hAnsi="宋体" w:cs="宋体"/>
          <w:sz w:val="24"/>
          <w:szCs w:val="24"/>
        </w:rPr>
        <w:t>浙江宇康工程管理咨询有限公司：</w:t>
      </w:r>
    </w:p>
    <w:p>
      <w:pPr>
        <w:spacing w:line="360" w:lineRule="auto"/>
        <w:ind w:firstLine="480"/>
        <w:jc w:val="left"/>
        <w:rPr>
          <w:rFonts w:ascii="宋体" w:hAnsi="宋体" w:cs="宋体"/>
          <w:sz w:val="24"/>
          <w:szCs w:val="24"/>
        </w:rPr>
      </w:pPr>
      <w:r>
        <w:rPr>
          <w:rFonts w:hint="eastAsia" w:ascii="宋体" w:hAnsi="宋体" w:cs="宋体"/>
          <w:sz w:val="24"/>
          <w:szCs w:val="24"/>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pPr>
        <w:spacing w:line="360" w:lineRule="auto"/>
        <w:ind w:firstLine="504" w:firstLineChars="240"/>
        <w:rPr>
          <w:rFonts w:ascii="宋体" w:hAnsi="宋体" w:cs="宋体"/>
          <w:sz w:val="24"/>
          <w:szCs w:val="24"/>
        </w:rPr>
      </w:pPr>
      <w:r>
        <w:rPr>
          <w:rFonts w:hint="eastAsia"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cs="宋体"/>
          <w:sz w:val="24"/>
          <w:szCs w:val="24"/>
        </w:rPr>
        <w:t>1、一旦我单位中标，我单位愿意承接报价一览表中所列的技术服务，服务期为：天。</w:t>
      </w:r>
    </w:p>
    <w:p>
      <w:pPr>
        <w:spacing w:line="360" w:lineRule="auto"/>
        <w:ind w:firstLine="480" w:firstLineChars="200"/>
        <w:rPr>
          <w:rFonts w:ascii="宋体" w:hAnsi="宋体" w:cs="宋体"/>
          <w:sz w:val="24"/>
          <w:szCs w:val="24"/>
        </w:rPr>
      </w:pPr>
      <w:r>
        <w:rPr>
          <w:rFonts w:hint="eastAsia" w:ascii="宋体" w:hAnsi="宋体" w:cs="宋体"/>
          <w:sz w:val="24"/>
          <w:szCs w:val="24"/>
        </w:rPr>
        <w:t>2、我单位同意提供按照采购人的可能要求与其投标有关的一切数据和资料，完全理解采购人不一定要接受最低价者作为成交供应商。</w:t>
      </w:r>
    </w:p>
    <w:p>
      <w:pPr>
        <w:spacing w:line="360" w:lineRule="auto"/>
        <w:ind w:firstLine="480" w:firstLineChars="200"/>
        <w:rPr>
          <w:rFonts w:ascii="宋体" w:hAnsi="宋体" w:cs="宋体"/>
          <w:sz w:val="24"/>
          <w:szCs w:val="24"/>
        </w:rPr>
      </w:pPr>
      <w:r>
        <w:rPr>
          <w:rFonts w:hint="eastAsia" w:ascii="宋体" w:hAnsi="宋体" w:cs="宋体"/>
          <w:sz w:val="24"/>
          <w:szCs w:val="24"/>
        </w:rPr>
        <w:t>3、一旦我单位中标，我们保证按照磋商文件的要求，完成服务。</w:t>
      </w:r>
    </w:p>
    <w:p>
      <w:pPr>
        <w:spacing w:line="360" w:lineRule="auto"/>
        <w:ind w:firstLine="480" w:firstLineChars="200"/>
        <w:rPr>
          <w:rFonts w:ascii="宋体" w:hAnsi="宋体" w:cs="宋体"/>
          <w:sz w:val="24"/>
          <w:szCs w:val="24"/>
        </w:rPr>
      </w:pPr>
      <w:r>
        <w:rPr>
          <w:rFonts w:hint="eastAsia" w:ascii="宋体" w:hAnsi="宋体" w:cs="宋体"/>
          <w:sz w:val="24"/>
          <w:szCs w:val="24"/>
        </w:rPr>
        <w:t>4、如果我单位中标，我方将按照要求严格履行合同义务。</w:t>
      </w:r>
    </w:p>
    <w:p>
      <w:pPr>
        <w:spacing w:line="360" w:lineRule="auto"/>
        <w:ind w:firstLine="480" w:firstLineChars="200"/>
        <w:rPr>
          <w:rFonts w:ascii="宋体" w:hAnsi="宋体" w:cs="宋体"/>
          <w:sz w:val="24"/>
          <w:szCs w:val="24"/>
        </w:rPr>
      </w:pPr>
      <w:r>
        <w:rPr>
          <w:rFonts w:hint="eastAsia" w:ascii="宋体" w:hAnsi="宋体" w:cs="宋体"/>
          <w:sz w:val="24"/>
          <w:szCs w:val="24"/>
        </w:rPr>
        <w:t>5、除非另行达成协议并生效，你方的成交通知书和本磋商函将构成约束你我双方的合同。</w:t>
      </w:r>
    </w:p>
    <w:p>
      <w:pPr>
        <w:spacing w:line="360" w:lineRule="auto"/>
        <w:ind w:firstLine="480" w:firstLineChars="200"/>
        <w:rPr>
          <w:rFonts w:ascii="宋体" w:hAnsi="宋体" w:cs="宋体"/>
          <w:sz w:val="24"/>
          <w:szCs w:val="24"/>
        </w:rPr>
      </w:pPr>
      <w:r>
        <w:rPr>
          <w:rFonts w:hint="eastAsia" w:ascii="宋体" w:hAnsi="宋体" w:cs="宋体"/>
          <w:sz w:val="24"/>
          <w:szCs w:val="24"/>
        </w:rPr>
        <w:t>6、我单位承诺，一旦发生磋商文件第二部分第11条规定情形之一的，承担该条款约定的责任。</w:t>
      </w:r>
    </w:p>
    <w:p>
      <w:pPr>
        <w:pStyle w:val="11"/>
        <w:snapToGrid w:val="0"/>
        <w:spacing w:line="360" w:lineRule="auto"/>
        <w:ind w:left="480"/>
        <w:jc w:val="left"/>
        <w:rPr>
          <w:rFonts w:hAnsi="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地址：邮编：</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电话：传真：</w:t>
      </w:r>
    </w:p>
    <w:p>
      <w:pPr>
        <w:spacing w:line="360" w:lineRule="auto"/>
        <w:ind w:firstLine="480" w:firstLineChars="200"/>
        <w:rPr>
          <w:rFonts w:ascii="宋体" w:hAnsi="宋体" w:cs="宋体"/>
          <w:sz w:val="24"/>
          <w:szCs w:val="24"/>
        </w:rPr>
      </w:pPr>
      <w:r>
        <w:rPr>
          <w:rFonts w:hint="eastAsia" w:ascii="宋体" w:hAnsi="宋体" w:cs="宋体"/>
          <w:sz w:val="24"/>
          <w:szCs w:val="24"/>
        </w:rPr>
        <w:t>供应商代表姓名：职务：</w:t>
      </w: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w:t>
      </w:r>
    </w:p>
    <w:p>
      <w:pPr>
        <w:spacing w:line="360" w:lineRule="auto"/>
        <w:ind w:firstLine="480" w:firstLineChars="200"/>
        <w:rPr>
          <w:rFonts w:ascii="宋体" w:hAnsi="宋体" w:cs="宋体"/>
          <w:sz w:val="24"/>
          <w:szCs w:val="24"/>
        </w:rPr>
      </w:pPr>
      <w:r>
        <w:rPr>
          <w:rFonts w:hint="eastAsia" w:ascii="宋体" w:hAnsi="宋体" w:cs="宋体"/>
          <w:sz w:val="24"/>
          <w:szCs w:val="24"/>
        </w:rPr>
        <w:t>（公章）：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firstLine="5280" w:firstLineChars="2200"/>
        <w:rPr>
          <w:rFonts w:ascii="宋体" w:hAnsi="宋体" w:cs="宋体"/>
          <w:sz w:val="24"/>
          <w:szCs w:val="24"/>
        </w:rPr>
      </w:pPr>
    </w:p>
    <w:p>
      <w:pPr>
        <w:rPr>
          <w:rFonts w:ascii="宋体" w:hAnsi="宋体" w:cs="宋体"/>
          <w:sz w:val="24"/>
          <w:szCs w:val="24"/>
          <w:lang w:val="zh-CN"/>
        </w:rPr>
      </w:pPr>
      <w:bookmarkStart w:id="110" w:name="_Toc12011"/>
      <w:r>
        <w:rPr>
          <w:rFonts w:hint="eastAsia" w:ascii="宋体" w:hAnsi="宋体" w:cs="宋体"/>
          <w:sz w:val="24"/>
          <w:szCs w:val="24"/>
          <w:lang w:val="zh-CN"/>
        </w:rPr>
        <w:br w:type="page"/>
      </w:r>
    </w:p>
    <w:p>
      <w:pPr>
        <w:rPr>
          <w:rFonts w:ascii="宋体" w:hAnsi="宋体" w:cs="宋体"/>
          <w:b/>
          <w:bCs/>
          <w:sz w:val="24"/>
          <w:szCs w:val="24"/>
          <w:lang w:val="zh-CN"/>
        </w:rPr>
      </w:pPr>
      <w:r>
        <w:rPr>
          <w:rFonts w:hint="eastAsia" w:ascii="宋体" w:hAnsi="宋体" w:cs="宋体"/>
          <w:b/>
          <w:bCs/>
          <w:sz w:val="24"/>
          <w:szCs w:val="24"/>
          <w:lang w:val="zh-CN"/>
        </w:rPr>
        <w:t>附件</w:t>
      </w:r>
      <w:bookmarkStart w:id="111" w:name="_Toc98731771"/>
      <w:bookmarkStart w:id="112" w:name="_Toc130094925"/>
      <w:r>
        <w:rPr>
          <w:rFonts w:hint="eastAsia" w:ascii="宋体" w:hAnsi="宋体" w:cs="宋体"/>
          <w:b/>
          <w:bCs/>
          <w:sz w:val="24"/>
          <w:szCs w:val="24"/>
        </w:rPr>
        <w:t>十三：</w:t>
      </w:r>
    </w:p>
    <w:p>
      <w:pPr>
        <w:spacing w:line="360" w:lineRule="auto"/>
        <w:jc w:val="center"/>
        <w:rPr>
          <w:rFonts w:ascii="宋体" w:hAnsi="宋体" w:cs="宋体"/>
          <w:b/>
          <w:bCs/>
          <w:sz w:val="32"/>
          <w:szCs w:val="32"/>
        </w:rPr>
      </w:pPr>
      <w:r>
        <w:rPr>
          <w:rFonts w:hint="eastAsia" w:ascii="宋体" w:hAnsi="宋体" w:cs="宋体"/>
          <w:b/>
          <w:bCs/>
          <w:sz w:val="32"/>
          <w:szCs w:val="32"/>
        </w:rPr>
        <w:t>报价一览表</w:t>
      </w:r>
      <w:bookmarkEnd w:id="110"/>
      <w:bookmarkEnd w:id="111"/>
      <w:bookmarkEnd w:id="112"/>
    </w:p>
    <w:p>
      <w:pPr>
        <w:pStyle w:val="11"/>
        <w:spacing w:line="360" w:lineRule="auto"/>
        <w:rPr>
          <w:rFonts w:hAnsi="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pPr>
              <w:pStyle w:val="11"/>
              <w:spacing w:line="360" w:lineRule="auto"/>
              <w:jc w:val="center"/>
              <w:rPr>
                <w:rFonts w:hAnsi="宋体"/>
                <w:b/>
                <w:bCs/>
                <w:sz w:val="24"/>
                <w:szCs w:val="24"/>
              </w:rPr>
            </w:pPr>
            <w:r>
              <w:rPr>
                <w:rFonts w:hint="eastAsia" w:hAnsi="宋体"/>
                <w:b/>
                <w:bCs/>
                <w:sz w:val="24"/>
                <w:szCs w:val="24"/>
              </w:rPr>
              <w:t>投标总价</w:t>
            </w:r>
          </w:p>
        </w:tc>
        <w:tc>
          <w:tcPr>
            <w:tcW w:w="6707" w:type="dxa"/>
            <w:vAlign w:val="center"/>
          </w:tcPr>
          <w:p>
            <w:pPr>
              <w:pStyle w:val="11"/>
              <w:spacing w:line="360" w:lineRule="auto"/>
              <w:jc w:val="center"/>
              <w:rPr>
                <w:rFonts w:hAnsi="宋体"/>
                <w:b/>
                <w:bCs/>
                <w:sz w:val="24"/>
                <w:szCs w:val="24"/>
              </w:rPr>
            </w:pPr>
            <w:r>
              <w:rPr>
                <w:rFonts w:hint="eastAsia" w:hAnsi="宋体"/>
                <w:b/>
                <w:bCs/>
                <w:sz w:val="24"/>
                <w:szCs w:val="24"/>
              </w:rPr>
              <w:t>大写：</w:t>
            </w:r>
            <w:r>
              <w:rPr>
                <w:rFonts w:hint="eastAsia" w:hAnsi="宋体"/>
                <w:b/>
                <w:bCs/>
                <w:sz w:val="24"/>
                <w:szCs w:val="24"/>
                <w:u w:val="single"/>
              </w:rPr>
              <w:t>　　　　</w:t>
            </w:r>
            <w:r>
              <w:rPr>
                <w:rFonts w:hint="eastAsia" w:hAnsi="宋体"/>
                <w:b/>
                <w:bCs/>
                <w:sz w:val="24"/>
                <w:szCs w:val="24"/>
              </w:rPr>
              <w:t>元（小写：</w:t>
            </w:r>
            <w:r>
              <w:rPr>
                <w:rFonts w:hint="eastAsia" w:hAnsi="宋体"/>
                <w:b/>
                <w:bCs/>
                <w:sz w:val="24"/>
                <w:szCs w:val="24"/>
                <w:u w:val="single"/>
              </w:rPr>
              <w:t>　　　　</w:t>
            </w:r>
            <w:r>
              <w:rPr>
                <w:rFonts w:hint="eastAsia"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pPr>
              <w:pStyle w:val="11"/>
              <w:spacing w:line="360" w:lineRule="auto"/>
              <w:ind w:firstLine="482" w:firstLineChars="200"/>
              <w:rPr>
                <w:rFonts w:hAnsi="宋体"/>
                <w:b/>
                <w:bCs/>
                <w:sz w:val="24"/>
                <w:szCs w:val="24"/>
              </w:rPr>
            </w:pPr>
            <w:r>
              <w:rPr>
                <w:rFonts w:hint="eastAsia" w:hAnsi="宋体"/>
                <w:b/>
                <w:bCs/>
                <w:sz w:val="24"/>
                <w:szCs w:val="24"/>
              </w:rPr>
              <w:t>本次报价应包含项目所需全部服务，不得缺漏，是履行合同的最终价格（服务费、交通费、检测费、报告费、专家评审费、人工费、税金、招标代理费以及成交供应商认为有必要计入的其它费用等一切费用）。</w:t>
            </w:r>
          </w:p>
        </w:tc>
      </w:tr>
    </w:tbl>
    <w:p>
      <w:pPr>
        <w:pStyle w:val="11"/>
        <w:spacing w:line="360" w:lineRule="auto"/>
        <w:rPr>
          <w:rFonts w:hAnsi="宋体"/>
          <w:sz w:val="24"/>
          <w:szCs w:val="24"/>
        </w:rPr>
      </w:pPr>
    </w:p>
    <w:p>
      <w:pPr>
        <w:pStyle w:val="11"/>
        <w:spacing w:line="360" w:lineRule="auto"/>
        <w:rPr>
          <w:rFonts w:hAnsi="宋体"/>
          <w:sz w:val="24"/>
          <w:szCs w:val="24"/>
        </w:rPr>
      </w:pPr>
    </w:p>
    <w:p>
      <w:pPr>
        <w:pStyle w:val="11"/>
        <w:spacing w:line="360" w:lineRule="auto"/>
        <w:rPr>
          <w:rFonts w:hAnsi="宋体"/>
          <w:sz w:val="24"/>
          <w:szCs w:val="24"/>
        </w:rPr>
      </w:pP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snapToGrid w:val="0"/>
        <w:spacing w:line="360" w:lineRule="auto"/>
        <w:ind w:firstLine="435"/>
        <w:rPr>
          <w:rFonts w:ascii="宋体" w:hAnsi="宋体" w:cs="宋体"/>
        </w:rPr>
      </w:pPr>
    </w:p>
    <w:p>
      <w:pPr>
        <w:snapToGrid w:val="0"/>
        <w:spacing w:line="360" w:lineRule="auto"/>
        <w:ind w:firstLine="435"/>
        <w:rPr>
          <w:rFonts w:ascii="宋体" w:hAnsi="宋体" w:cs="宋体"/>
        </w:rPr>
      </w:pPr>
    </w:p>
    <w:p>
      <w:pPr>
        <w:snapToGrid w:val="0"/>
        <w:spacing w:line="360" w:lineRule="auto"/>
        <w:ind w:firstLine="435"/>
        <w:rPr>
          <w:rFonts w:ascii="宋体" w:hAnsi="宋体" w:cs="宋体"/>
        </w:rPr>
      </w:pPr>
    </w:p>
    <w:p>
      <w:pPr>
        <w:snapToGrid w:val="0"/>
        <w:spacing w:line="360" w:lineRule="auto"/>
        <w:ind w:firstLine="435"/>
        <w:rPr>
          <w:rFonts w:ascii="宋体" w:hAnsi="宋体" w:cs="宋体"/>
        </w:rPr>
      </w:pPr>
    </w:p>
    <w:p>
      <w:pPr>
        <w:snapToGrid w:val="0"/>
        <w:spacing w:line="360" w:lineRule="auto"/>
        <w:ind w:firstLine="435"/>
        <w:rPr>
          <w:rFonts w:ascii="宋体" w:hAnsi="宋体" w:cs="宋体"/>
        </w:rPr>
      </w:pPr>
    </w:p>
    <w:p>
      <w:pPr>
        <w:spacing w:line="360" w:lineRule="auto"/>
        <w:jc w:val="left"/>
        <w:rPr>
          <w:rFonts w:ascii="宋体" w:hAnsi="宋体" w:cs="宋体"/>
          <w:b/>
          <w:bCs/>
          <w:sz w:val="24"/>
          <w:szCs w:val="24"/>
          <w:lang w:val="zh-CN"/>
        </w:rPr>
      </w:pPr>
      <w:r>
        <w:rPr>
          <w:rFonts w:hint="eastAsia" w:ascii="宋体" w:hAnsi="宋体" w:cs="宋体"/>
        </w:rPr>
        <w:br w:type="page"/>
      </w:r>
      <w:bookmarkStart w:id="113" w:name="_Toc7196"/>
      <w:r>
        <w:rPr>
          <w:rFonts w:hint="eastAsia" w:ascii="宋体" w:hAnsi="宋体" w:cs="宋体"/>
          <w:b/>
          <w:bCs/>
          <w:sz w:val="24"/>
          <w:szCs w:val="24"/>
          <w:lang w:val="zh-CN"/>
        </w:rPr>
        <w:t>附件十四：</w:t>
      </w:r>
    </w:p>
    <w:p>
      <w:pPr>
        <w:spacing w:line="360" w:lineRule="auto"/>
        <w:jc w:val="center"/>
        <w:rPr>
          <w:rFonts w:ascii="宋体" w:hAnsi="宋体" w:cs="宋体"/>
          <w:b/>
          <w:bCs/>
          <w:sz w:val="32"/>
          <w:szCs w:val="32"/>
        </w:rPr>
      </w:pPr>
      <w:r>
        <w:rPr>
          <w:rFonts w:hint="eastAsia" w:ascii="宋体" w:hAnsi="宋体" w:cs="宋体"/>
          <w:b/>
          <w:bCs/>
          <w:sz w:val="32"/>
          <w:szCs w:val="32"/>
        </w:rPr>
        <w:t>磋商报价明细表</w:t>
      </w: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p>
    <w:p>
      <w:pPr>
        <w:spacing w:line="360" w:lineRule="auto"/>
        <w:ind w:firstLine="480" w:firstLineChars="200"/>
        <w:rPr>
          <w:rFonts w:ascii="宋体" w:hAnsi="宋体" w:cs="宋体"/>
          <w:sz w:val="24"/>
          <w:szCs w:val="24"/>
        </w:rPr>
      </w:pPr>
      <w:r>
        <w:rPr>
          <w:rFonts w:hint="eastAsia" w:ascii="宋体" w:hAnsi="宋体" w:cs="宋体"/>
          <w:sz w:val="24"/>
          <w:szCs w:val="24"/>
        </w:rPr>
        <w:t>采购编号：</w:t>
      </w:r>
    </w:p>
    <w:tbl>
      <w:tblPr>
        <w:tblStyle w:val="2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pPr>
              <w:pStyle w:val="11"/>
              <w:spacing w:line="360" w:lineRule="auto"/>
              <w:jc w:val="center"/>
              <w:rPr>
                <w:rFonts w:hAnsi="宋体"/>
                <w:sz w:val="22"/>
                <w:szCs w:val="22"/>
              </w:rPr>
            </w:pPr>
            <w:r>
              <w:rPr>
                <w:rFonts w:hint="eastAsia" w:hAnsi="宋体"/>
                <w:sz w:val="22"/>
                <w:szCs w:val="22"/>
              </w:rPr>
              <w:t>序</w:t>
            </w:r>
          </w:p>
          <w:p>
            <w:pPr>
              <w:pStyle w:val="11"/>
              <w:spacing w:line="360" w:lineRule="auto"/>
              <w:jc w:val="center"/>
              <w:rPr>
                <w:rFonts w:hAnsi="宋体"/>
                <w:sz w:val="22"/>
                <w:szCs w:val="22"/>
              </w:rPr>
            </w:pPr>
            <w:r>
              <w:rPr>
                <w:rFonts w:hint="eastAsia" w:hAnsi="宋体"/>
                <w:sz w:val="22"/>
                <w:szCs w:val="22"/>
              </w:rPr>
              <w:t>号</w:t>
            </w:r>
          </w:p>
        </w:tc>
        <w:tc>
          <w:tcPr>
            <w:tcW w:w="2492" w:type="dxa"/>
            <w:vMerge w:val="restart"/>
            <w:vAlign w:val="center"/>
          </w:tcPr>
          <w:p>
            <w:pPr>
              <w:pStyle w:val="11"/>
              <w:spacing w:line="360" w:lineRule="auto"/>
              <w:jc w:val="center"/>
              <w:rPr>
                <w:rFonts w:hAnsi="宋体"/>
                <w:sz w:val="22"/>
                <w:szCs w:val="22"/>
              </w:rPr>
            </w:pPr>
            <w:r>
              <w:rPr>
                <w:rFonts w:hint="eastAsia" w:hAnsi="宋体"/>
                <w:sz w:val="22"/>
                <w:szCs w:val="22"/>
              </w:rPr>
              <w:t>名称</w:t>
            </w:r>
          </w:p>
        </w:tc>
        <w:tc>
          <w:tcPr>
            <w:tcW w:w="915" w:type="dxa"/>
            <w:vMerge w:val="restart"/>
            <w:vAlign w:val="center"/>
          </w:tcPr>
          <w:p>
            <w:pPr>
              <w:pStyle w:val="11"/>
              <w:spacing w:line="360" w:lineRule="auto"/>
              <w:jc w:val="center"/>
              <w:rPr>
                <w:rFonts w:hAnsi="宋体"/>
                <w:sz w:val="22"/>
                <w:szCs w:val="22"/>
              </w:rPr>
            </w:pPr>
            <w:r>
              <w:rPr>
                <w:rFonts w:hint="eastAsia" w:hAnsi="宋体"/>
                <w:sz w:val="22"/>
                <w:szCs w:val="22"/>
              </w:rPr>
              <w:t>内容</w:t>
            </w:r>
          </w:p>
        </w:tc>
        <w:tc>
          <w:tcPr>
            <w:tcW w:w="1876" w:type="dxa"/>
            <w:vMerge w:val="restart"/>
            <w:vAlign w:val="center"/>
          </w:tcPr>
          <w:p>
            <w:pPr>
              <w:pStyle w:val="11"/>
              <w:spacing w:line="360" w:lineRule="auto"/>
              <w:jc w:val="center"/>
              <w:rPr>
                <w:rFonts w:hAnsi="宋体"/>
                <w:sz w:val="22"/>
                <w:szCs w:val="22"/>
              </w:rPr>
            </w:pPr>
            <w:r>
              <w:rPr>
                <w:rFonts w:hint="eastAsia" w:hAnsi="宋体"/>
                <w:sz w:val="22"/>
                <w:szCs w:val="22"/>
              </w:rPr>
              <w:t>其他</w:t>
            </w:r>
          </w:p>
        </w:tc>
        <w:tc>
          <w:tcPr>
            <w:tcW w:w="495" w:type="dxa"/>
            <w:vMerge w:val="restart"/>
            <w:vAlign w:val="center"/>
          </w:tcPr>
          <w:p>
            <w:pPr>
              <w:pStyle w:val="11"/>
              <w:spacing w:line="360" w:lineRule="auto"/>
              <w:jc w:val="center"/>
              <w:rPr>
                <w:rFonts w:hAnsi="宋体"/>
                <w:sz w:val="22"/>
                <w:szCs w:val="22"/>
              </w:rPr>
            </w:pPr>
            <w:r>
              <w:rPr>
                <w:rFonts w:hint="eastAsia" w:hAnsi="宋体"/>
                <w:sz w:val="22"/>
                <w:szCs w:val="22"/>
              </w:rPr>
              <w:t>单</w:t>
            </w:r>
          </w:p>
          <w:p>
            <w:pPr>
              <w:pStyle w:val="11"/>
              <w:spacing w:line="360" w:lineRule="auto"/>
              <w:jc w:val="center"/>
              <w:rPr>
                <w:rFonts w:hAnsi="宋体"/>
                <w:sz w:val="22"/>
                <w:szCs w:val="22"/>
              </w:rPr>
            </w:pPr>
            <w:r>
              <w:rPr>
                <w:rFonts w:hint="eastAsia" w:hAnsi="宋体"/>
                <w:sz w:val="22"/>
                <w:szCs w:val="22"/>
              </w:rPr>
              <w:t>位</w:t>
            </w:r>
          </w:p>
        </w:tc>
        <w:tc>
          <w:tcPr>
            <w:tcW w:w="498" w:type="dxa"/>
            <w:vMerge w:val="restart"/>
            <w:vAlign w:val="center"/>
          </w:tcPr>
          <w:p>
            <w:pPr>
              <w:pStyle w:val="11"/>
              <w:spacing w:line="360" w:lineRule="auto"/>
              <w:jc w:val="center"/>
              <w:rPr>
                <w:rFonts w:hAnsi="宋体"/>
                <w:sz w:val="22"/>
                <w:szCs w:val="22"/>
              </w:rPr>
            </w:pPr>
            <w:r>
              <w:rPr>
                <w:rFonts w:hint="eastAsia" w:hAnsi="宋体"/>
                <w:sz w:val="22"/>
                <w:szCs w:val="22"/>
              </w:rPr>
              <w:t>数量</w:t>
            </w:r>
          </w:p>
        </w:tc>
        <w:tc>
          <w:tcPr>
            <w:tcW w:w="2272" w:type="dxa"/>
            <w:gridSpan w:val="2"/>
            <w:vAlign w:val="center"/>
          </w:tcPr>
          <w:p>
            <w:pPr>
              <w:pStyle w:val="11"/>
              <w:spacing w:line="360" w:lineRule="auto"/>
              <w:jc w:val="center"/>
              <w:rPr>
                <w:rFonts w:hAnsi="宋体"/>
                <w:sz w:val="22"/>
                <w:szCs w:val="22"/>
              </w:rPr>
            </w:pPr>
            <w:r>
              <w:rPr>
                <w:rFonts w:hint="eastAsia" w:hAnsi="宋体"/>
                <w:sz w:val="22"/>
                <w:szCs w:val="22"/>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pPr>
              <w:pStyle w:val="11"/>
              <w:spacing w:line="360" w:lineRule="auto"/>
              <w:jc w:val="center"/>
              <w:rPr>
                <w:rFonts w:hAnsi="宋体"/>
                <w:sz w:val="22"/>
                <w:szCs w:val="22"/>
              </w:rPr>
            </w:pPr>
          </w:p>
        </w:tc>
        <w:tc>
          <w:tcPr>
            <w:tcW w:w="2492" w:type="dxa"/>
            <w:vMerge w:val="continue"/>
            <w:vAlign w:val="center"/>
          </w:tcPr>
          <w:p>
            <w:pPr>
              <w:pStyle w:val="11"/>
              <w:spacing w:line="360" w:lineRule="auto"/>
              <w:jc w:val="center"/>
              <w:rPr>
                <w:rFonts w:hAnsi="宋体"/>
                <w:sz w:val="22"/>
                <w:szCs w:val="22"/>
              </w:rPr>
            </w:pPr>
          </w:p>
        </w:tc>
        <w:tc>
          <w:tcPr>
            <w:tcW w:w="915" w:type="dxa"/>
            <w:vMerge w:val="continue"/>
            <w:vAlign w:val="center"/>
          </w:tcPr>
          <w:p>
            <w:pPr>
              <w:pStyle w:val="11"/>
              <w:spacing w:line="360" w:lineRule="auto"/>
              <w:jc w:val="center"/>
              <w:rPr>
                <w:rFonts w:hAnsi="宋体"/>
                <w:sz w:val="22"/>
                <w:szCs w:val="22"/>
              </w:rPr>
            </w:pPr>
          </w:p>
        </w:tc>
        <w:tc>
          <w:tcPr>
            <w:tcW w:w="1876" w:type="dxa"/>
            <w:vMerge w:val="continue"/>
            <w:vAlign w:val="center"/>
          </w:tcPr>
          <w:p>
            <w:pPr>
              <w:pStyle w:val="11"/>
              <w:spacing w:line="360" w:lineRule="auto"/>
              <w:jc w:val="center"/>
              <w:rPr>
                <w:rFonts w:hAnsi="宋体"/>
                <w:sz w:val="22"/>
                <w:szCs w:val="22"/>
              </w:rPr>
            </w:pPr>
          </w:p>
        </w:tc>
        <w:tc>
          <w:tcPr>
            <w:tcW w:w="495" w:type="dxa"/>
            <w:vMerge w:val="continue"/>
            <w:vAlign w:val="center"/>
          </w:tcPr>
          <w:p>
            <w:pPr>
              <w:pStyle w:val="11"/>
              <w:spacing w:line="360" w:lineRule="auto"/>
              <w:jc w:val="center"/>
              <w:rPr>
                <w:rFonts w:hAnsi="宋体"/>
                <w:sz w:val="22"/>
                <w:szCs w:val="22"/>
              </w:rPr>
            </w:pPr>
          </w:p>
        </w:tc>
        <w:tc>
          <w:tcPr>
            <w:tcW w:w="498" w:type="dxa"/>
            <w:vMerge w:val="continue"/>
            <w:vAlign w:val="center"/>
          </w:tcPr>
          <w:p>
            <w:pPr>
              <w:pStyle w:val="11"/>
              <w:spacing w:line="360" w:lineRule="auto"/>
              <w:jc w:val="center"/>
              <w:rPr>
                <w:rFonts w:hAnsi="宋体"/>
                <w:sz w:val="22"/>
                <w:szCs w:val="22"/>
              </w:rPr>
            </w:pPr>
          </w:p>
        </w:tc>
        <w:tc>
          <w:tcPr>
            <w:tcW w:w="1148" w:type="dxa"/>
            <w:vAlign w:val="center"/>
          </w:tcPr>
          <w:p>
            <w:pPr>
              <w:pStyle w:val="11"/>
              <w:spacing w:line="360" w:lineRule="auto"/>
              <w:jc w:val="center"/>
              <w:rPr>
                <w:rFonts w:hAnsi="宋体"/>
                <w:sz w:val="22"/>
                <w:szCs w:val="22"/>
              </w:rPr>
            </w:pPr>
            <w:r>
              <w:rPr>
                <w:rFonts w:hint="eastAsia" w:hAnsi="宋体"/>
                <w:sz w:val="22"/>
                <w:szCs w:val="22"/>
              </w:rPr>
              <w:t>单价</w:t>
            </w:r>
          </w:p>
        </w:tc>
        <w:tc>
          <w:tcPr>
            <w:tcW w:w="1124" w:type="dxa"/>
            <w:vAlign w:val="center"/>
          </w:tcPr>
          <w:p>
            <w:pPr>
              <w:pStyle w:val="11"/>
              <w:spacing w:line="360" w:lineRule="auto"/>
              <w:jc w:val="center"/>
              <w:rPr>
                <w:rFonts w:hAnsi="宋体"/>
                <w:sz w:val="22"/>
                <w:szCs w:val="22"/>
              </w:rPr>
            </w:pPr>
            <w:r>
              <w:rPr>
                <w:rFonts w:hint="eastAsia" w:hAnsi="宋体"/>
                <w:sz w:val="22"/>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1"/>
              <w:jc w:val="center"/>
              <w:rPr>
                <w:rFonts w:hAnsi="宋体"/>
                <w:sz w:val="22"/>
                <w:szCs w:val="22"/>
              </w:rPr>
            </w:pPr>
            <w:r>
              <w:rPr>
                <w:rFonts w:hint="eastAsia" w:hAnsi="宋体"/>
                <w:sz w:val="22"/>
                <w:szCs w:val="22"/>
              </w:rPr>
              <w:t>1</w:t>
            </w:r>
          </w:p>
        </w:tc>
        <w:tc>
          <w:tcPr>
            <w:tcW w:w="2492" w:type="dxa"/>
            <w:vAlign w:val="center"/>
          </w:tcPr>
          <w:p>
            <w:pPr>
              <w:pStyle w:val="11"/>
              <w:rPr>
                <w:rFonts w:hAnsi="宋体"/>
                <w:sz w:val="22"/>
                <w:szCs w:val="22"/>
              </w:rPr>
            </w:pPr>
          </w:p>
        </w:tc>
        <w:tc>
          <w:tcPr>
            <w:tcW w:w="915" w:type="dxa"/>
            <w:vAlign w:val="center"/>
          </w:tcPr>
          <w:p>
            <w:pPr>
              <w:pStyle w:val="11"/>
              <w:spacing w:line="360" w:lineRule="auto"/>
              <w:rPr>
                <w:rFonts w:hAnsi="宋体"/>
                <w:b/>
                <w:bCs/>
                <w:sz w:val="22"/>
                <w:szCs w:val="22"/>
              </w:rPr>
            </w:pPr>
          </w:p>
        </w:tc>
        <w:tc>
          <w:tcPr>
            <w:tcW w:w="1876" w:type="dxa"/>
            <w:vAlign w:val="center"/>
          </w:tcPr>
          <w:p>
            <w:pPr>
              <w:pStyle w:val="11"/>
              <w:spacing w:line="360" w:lineRule="auto"/>
              <w:rPr>
                <w:rFonts w:hAnsi="宋体"/>
                <w:b/>
                <w:bCs/>
                <w:sz w:val="22"/>
                <w:szCs w:val="22"/>
              </w:rPr>
            </w:pPr>
          </w:p>
        </w:tc>
        <w:tc>
          <w:tcPr>
            <w:tcW w:w="495" w:type="dxa"/>
            <w:vAlign w:val="center"/>
          </w:tcPr>
          <w:p>
            <w:pPr>
              <w:pStyle w:val="11"/>
              <w:spacing w:line="360" w:lineRule="auto"/>
              <w:rPr>
                <w:rFonts w:hAnsi="宋体"/>
                <w:b/>
                <w:bCs/>
                <w:sz w:val="22"/>
                <w:szCs w:val="22"/>
              </w:rPr>
            </w:pPr>
          </w:p>
        </w:tc>
        <w:tc>
          <w:tcPr>
            <w:tcW w:w="498" w:type="dxa"/>
            <w:vAlign w:val="center"/>
          </w:tcPr>
          <w:p>
            <w:pPr>
              <w:pStyle w:val="11"/>
              <w:spacing w:line="360" w:lineRule="auto"/>
              <w:rPr>
                <w:rFonts w:hAnsi="宋体"/>
                <w:b/>
                <w:bCs/>
                <w:sz w:val="22"/>
                <w:szCs w:val="22"/>
              </w:rPr>
            </w:pPr>
          </w:p>
        </w:tc>
        <w:tc>
          <w:tcPr>
            <w:tcW w:w="1148" w:type="dxa"/>
          </w:tcPr>
          <w:p>
            <w:pPr>
              <w:pStyle w:val="11"/>
              <w:spacing w:line="360" w:lineRule="auto"/>
              <w:rPr>
                <w:rFonts w:hAnsi="宋体"/>
                <w:sz w:val="22"/>
                <w:szCs w:val="22"/>
              </w:rPr>
            </w:pPr>
          </w:p>
        </w:tc>
        <w:tc>
          <w:tcPr>
            <w:tcW w:w="1124" w:type="dxa"/>
          </w:tcPr>
          <w:p>
            <w:pPr>
              <w:pStyle w:val="11"/>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1"/>
              <w:jc w:val="center"/>
              <w:rPr>
                <w:rFonts w:hAnsi="宋体"/>
                <w:sz w:val="22"/>
                <w:szCs w:val="22"/>
              </w:rPr>
            </w:pPr>
            <w:r>
              <w:rPr>
                <w:rFonts w:hint="eastAsia" w:hAnsi="宋体"/>
                <w:sz w:val="22"/>
                <w:szCs w:val="22"/>
              </w:rPr>
              <w:t>2</w:t>
            </w:r>
          </w:p>
        </w:tc>
        <w:tc>
          <w:tcPr>
            <w:tcW w:w="2492" w:type="dxa"/>
            <w:vAlign w:val="center"/>
          </w:tcPr>
          <w:p>
            <w:pPr>
              <w:pStyle w:val="11"/>
              <w:rPr>
                <w:rFonts w:hAnsi="宋体"/>
                <w:sz w:val="22"/>
                <w:szCs w:val="22"/>
              </w:rPr>
            </w:pPr>
          </w:p>
        </w:tc>
        <w:tc>
          <w:tcPr>
            <w:tcW w:w="915" w:type="dxa"/>
            <w:vAlign w:val="center"/>
          </w:tcPr>
          <w:p>
            <w:pPr>
              <w:pStyle w:val="11"/>
              <w:spacing w:line="360" w:lineRule="auto"/>
              <w:rPr>
                <w:rFonts w:hAnsi="宋体"/>
                <w:b/>
                <w:bCs/>
                <w:sz w:val="22"/>
                <w:szCs w:val="22"/>
              </w:rPr>
            </w:pPr>
          </w:p>
        </w:tc>
        <w:tc>
          <w:tcPr>
            <w:tcW w:w="1876" w:type="dxa"/>
            <w:vAlign w:val="center"/>
          </w:tcPr>
          <w:p>
            <w:pPr>
              <w:pStyle w:val="11"/>
              <w:spacing w:line="360" w:lineRule="auto"/>
              <w:rPr>
                <w:rFonts w:hAnsi="宋体"/>
                <w:b/>
                <w:bCs/>
                <w:sz w:val="22"/>
                <w:szCs w:val="22"/>
              </w:rPr>
            </w:pPr>
          </w:p>
        </w:tc>
        <w:tc>
          <w:tcPr>
            <w:tcW w:w="495" w:type="dxa"/>
            <w:vAlign w:val="center"/>
          </w:tcPr>
          <w:p>
            <w:pPr>
              <w:pStyle w:val="11"/>
              <w:spacing w:line="360" w:lineRule="auto"/>
              <w:rPr>
                <w:rFonts w:hAnsi="宋体"/>
                <w:b/>
                <w:bCs/>
                <w:sz w:val="22"/>
                <w:szCs w:val="22"/>
              </w:rPr>
            </w:pPr>
          </w:p>
        </w:tc>
        <w:tc>
          <w:tcPr>
            <w:tcW w:w="498" w:type="dxa"/>
            <w:vAlign w:val="center"/>
          </w:tcPr>
          <w:p>
            <w:pPr>
              <w:pStyle w:val="11"/>
              <w:spacing w:line="360" w:lineRule="auto"/>
              <w:rPr>
                <w:rFonts w:hAnsi="宋体"/>
                <w:b/>
                <w:bCs/>
                <w:sz w:val="22"/>
                <w:szCs w:val="22"/>
              </w:rPr>
            </w:pPr>
          </w:p>
        </w:tc>
        <w:tc>
          <w:tcPr>
            <w:tcW w:w="1148" w:type="dxa"/>
          </w:tcPr>
          <w:p>
            <w:pPr>
              <w:pStyle w:val="11"/>
              <w:spacing w:line="360" w:lineRule="auto"/>
              <w:rPr>
                <w:rFonts w:hAnsi="宋体"/>
                <w:sz w:val="22"/>
                <w:szCs w:val="22"/>
              </w:rPr>
            </w:pPr>
          </w:p>
        </w:tc>
        <w:tc>
          <w:tcPr>
            <w:tcW w:w="1124" w:type="dxa"/>
          </w:tcPr>
          <w:p>
            <w:pPr>
              <w:pStyle w:val="11"/>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pPr>
              <w:pStyle w:val="11"/>
              <w:jc w:val="center"/>
              <w:rPr>
                <w:rFonts w:hAnsi="宋体"/>
                <w:sz w:val="22"/>
                <w:szCs w:val="22"/>
              </w:rPr>
            </w:pPr>
            <w:r>
              <w:rPr>
                <w:rFonts w:hint="eastAsia" w:hAnsi="宋体"/>
                <w:sz w:val="22"/>
                <w:szCs w:val="22"/>
              </w:rPr>
              <w:t>3</w:t>
            </w:r>
          </w:p>
        </w:tc>
        <w:tc>
          <w:tcPr>
            <w:tcW w:w="2492" w:type="dxa"/>
            <w:vAlign w:val="center"/>
          </w:tcPr>
          <w:p>
            <w:pPr>
              <w:pStyle w:val="11"/>
              <w:rPr>
                <w:rFonts w:hAnsi="宋体"/>
                <w:sz w:val="22"/>
                <w:szCs w:val="22"/>
              </w:rPr>
            </w:pPr>
          </w:p>
        </w:tc>
        <w:tc>
          <w:tcPr>
            <w:tcW w:w="915" w:type="dxa"/>
            <w:vAlign w:val="center"/>
          </w:tcPr>
          <w:p>
            <w:pPr>
              <w:pStyle w:val="11"/>
              <w:spacing w:line="360" w:lineRule="auto"/>
              <w:rPr>
                <w:rFonts w:hAnsi="宋体"/>
                <w:b/>
                <w:bCs/>
                <w:sz w:val="22"/>
                <w:szCs w:val="22"/>
              </w:rPr>
            </w:pPr>
          </w:p>
        </w:tc>
        <w:tc>
          <w:tcPr>
            <w:tcW w:w="1876" w:type="dxa"/>
            <w:vAlign w:val="center"/>
          </w:tcPr>
          <w:p>
            <w:pPr>
              <w:pStyle w:val="11"/>
              <w:spacing w:line="360" w:lineRule="auto"/>
              <w:rPr>
                <w:rFonts w:hAnsi="宋体"/>
                <w:b/>
                <w:bCs/>
                <w:sz w:val="22"/>
                <w:szCs w:val="22"/>
              </w:rPr>
            </w:pPr>
          </w:p>
        </w:tc>
        <w:tc>
          <w:tcPr>
            <w:tcW w:w="495" w:type="dxa"/>
            <w:vAlign w:val="center"/>
          </w:tcPr>
          <w:p>
            <w:pPr>
              <w:pStyle w:val="11"/>
              <w:spacing w:line="360" w:lineRule="auto"/>
              <w:rPr>
                <w:rFonts w:hAnsi="宋体"/>
                <w:b/>
                <w:bCs/>
                <w:sz w:val="22"/>
                <w:szCs w:val="22"/>
              </w:rPr>
            </w:pPr>
          </w:p>
        </w:tc>
        <w:tc>
          <w:tcPr>
            <w:tcW w:w="498" w:type="dxa"/>
            <w:vAlign w:val="center"/>
          </w:tcPr>
          <w:p>
            <w:pPr>
              <w:pStyle w:val="11"/>
              <w:spacing w:line="360" w:lineRule="auto"/>
              <w:rPr>
                <w:rFonts w:hAnsi="宋体"/>
                <w:b/>
                <w:bCs/>
                <w:sz w:val="22"/>
                <w:szCs w:val="22"/>
              </w:rPr>
            </w:pPr>
          </w:p>
        </w:tc>
        <w:tc>
          <w:tcPr>
            <w:tcW w:w="1148" w:type="dxa"/>
          </w:tcPr>
          <w:p>
            <w:pPr>
              <w:pStyle w:val="11"/>
              <w:spacing w:line="360" w:lineRule="auto"/>
              <w:rPr>
                <w:rFonts w:hAnsi="宋体"/>
                <w:sz w:val="22"/>
                <w:szCs w:val="22"/>
              </w:rPr>
            </w:pPr>
          </w:p>
        </w:tc>
        <w:tc>
          <w:tcPr>
            <w:tcW w:w="1124" w:type="dxa"/>
          </w:tcPr>
          <w:p>
            <w:pPr>
              <w:pStyle w:val="11"/>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pPr>
              <w:pStyle w:val="11"/>
              <w:jc w:val="center"/>
              <w:rPr>
                <w:rFonts w:hAnsi="宋体"/>
                <w:sz w:val="22"/>
                <w:szCs w:val="22"/>
              </w:rPr>
            </w:pPr>
            <w:r>
              <w:rPr>
                <w:rFonts w:hint="eastAsia" w:hAnsi="宋体"/>
                <w:sz w:val="22"/>
                <w:szCs w:val="22"/>
              </w:rPr>
              <w:t>4</w:t>
            </w:r>
          </w:p>
        </w:tc>
        <w:tc>
          <w:tcPr>
            <w:tcW w:w="2492" w:type="dxa"/>
            <w:vAlign w:val="center"/>
          </w:tcPr>
          <w:p>
            <w:pPr>
              <w:pStyle w:val="11"/>
              <w:rPr>
                <w:rFonts w:hAnsi="宋体"/>
                <w:sz w:val="22"/>
                <w:szCs w:val="22"/>
              </w:rPr>
            </w:pPr>
          </w:p>
        </w:tc>
        <w:tc>
          <w:tcPr>
            <w:tcW w:w="915" w:type="dxa"/>
            <w:vAlign w:val="center"/>
          </w:tcPr>
          <w:p>
            <w:pPr>
              <w:pStyle w:val="11"/>
              <w:spacing w:line="360" w:lineRule="auto"/>
              <w:jc w:val="center"/>
              <w:rPr>
                <w:rFonts w:hAnsi="宋体"/>
                <w:sz w:val="22"/>
                <w:szCs w:val="22"/>
              </w:rPr>
            </w:pPr>
          </w:p>
        </w:tc>
        <w:tc>
          <w:tcPr>
            <w:tcW w:w="1876" w:type="dxa"/>
            <w:vAlign w:val="center"/>
          </w:tcPr>
          <w:p>
            <w:pPr>
              <w:pStyle w:val="11"/>
              <w:spacing w:line="360" w:lineRule="auto"/>
              <w:jc w:val="center"/>
              <w:rPr>
                <w:rFonts w:hAnsi="宋体"/>
                <w:sz w:val="22"/>
                <w:szCs w:val="22"/>
              </w:rPr>
            </w:pPr>
          </w:p>
        </w:tc>
        <w:tc>
          <w:tcPr>
            <w:tcW w:w="495" w:type="dxa"/>
            <w:vAlign w:val="center"/>
          </w:tcPr>
          <w:p>
            <w:pPr>
              <w:pStyle w:val="11"/>
              <w:spacing w:line="360" w:lineRule="auto"/>
              <w:jc w:val="center"/>
              <w:rPr>
                <w:rFonts w:hAnsi="宋体"/>
                <w:sz w:val="22"/>
                <w:szCs w:val="22"/>
              </w:rPr>
            </w:pPr>
          </w:p>
        </w:tc>
        <w:tc>
          <w:tcPr>
            <w:tcW w:w="498" w:type="dxa"/>
            <w:vAlign w:val="center"/>
          </w:tcPr>
          <w:p>
            <w:pPr>
              <w:pStyle w:val="11"/>
              <w:spacing w:line="360" w:lineRule="auto"/>
              <w:jc w:val="center"/>
              <w:rPr>
                <w:rFonts w:hAnsi="宋体"/>
                <w:sz w:val="22"/>
                <w:szCs w:val="22"/>
              </w:rPr>
            </w:pPr>
          </w:p>
        </w:tc>
        <w:tc>
          <w:tcPr>
            <w:tcW w:w="1148" w:type="dxa"/>
          </w:tcPr>
          <w:p>
            <w:pPr>
              <w:pStyle w:val="11"/>
              <w:spacing w:line="360" w:lineRule="auto"/>
              <w:rPr>
                <w:rFonts w:hAnsi="宋体"/>
                <w:sz w:val="22"/>
                <w:szCs w:val="22"/>
              </w:rPr>
            </w:pPr>
          </w:p>
        </w:tc>
        <w:tc>
          <w:tcPr>
            <w:tcW w:w="1124" w:type="dxa"/>
          </w:tcPr>
          <w:p>
            <w:pPr>
              <w:pStyle w:val="11"/>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pPr>
              <w:pStyle w:val="11"/>
              <w:spacing w:line="360" w:lineRule="auto"/>
              <w:jc w:val="center"/>
              <w:rPr>
                <w:rFonts w:hAnsi="宋体"/>
                <w:sz w:val="22"/>
                <w:szCs w:val="22"/>
              </w:rPr>
            </w:pPr>
            <w:r>
              <w:rPr>
                <w:rFonts w:hint="eastAsia" w:hAnsi="宋体"/>
                <w:sz w:val="22"/>
                <w:szCs w:val="22"/>
              </w:rPr>
              <w:t>5</w:t>
            </w:r>
          </w:p>
        </w:tc>
        <w:tc>
          <w:tcPr>
            <w:tcW w:w="2492" w:type="dxa"/>
            <w:vAlign w:val="center"/>
          </w:tcPr>
          <w:p>
            <w:pPr>
              <w:pStyle w:val="11"/>
              <w:spacing w:line="360" w:lineRule="auto"/>
              <w:jc w:val="center"/>
              <w:rPr>
                <w:rFonts w:hAnsi="宋体"/>
                <w:sz w:val="22"/>
                <w:szCs w:val="22"/>
              </w:rPr>
            </w:pPr>
          </w:p>
        </w:tc>
        <w:tc>
          <w:tcPr>
            <w:tcW w:w="915" w:type="dxa"/>
            <w:vAlign w:val="center"/>
          </w:tcPr>
          <w:p>
            <w:pPr>
              <w:jc w:val="center"/>
              <w:rPr>
                <w:rFonts w:ascii="宋体" w:hAnsi="宋体" w:cs="宋体"/>
                <w:b/>
                <w:bCs/>
                <w:sz w:val="22"/>
                <w:szCs w:val="22"/>
              </w:rPr>
            </w:pPr>
          </w:p>
        </w:tc>
        <w:tc>
          <w:tcPr>
            <w:tcW w:w="1876" w:type="dxa"/>
            <w:vAlign w:val="center"/>
          </w:tcPr>
          <w:p>
            <w:pPr>
              <w:jc w:val="center"/>
              <w:rPr>
                <w:rFonts w:ascii="宋体" w:hAnsi="宋体" w:cs="宋体"/>
                <w:b/>
                <w:bCs/>
                <w:sz w:val="22"/>
                <w:szCs w:val="22"/>
              </w:rPr>
            </w:pPr>
          </w:p>
        </w:tc>
        <w:tc>
          <w:tcPr>
            <w:tcW w:w="495" w:type="dxa"/>
            <w:vAlign w:val="center"/>
          </w:tcPr>
          <w:p>
            <w:pPr>
              <w:pStyle w:val="11"/>
              <w:spacing w:line="360" w:lineRule="auto"/>
              <w:jc w:val="center"/>
              <w:rPr>
                <w:rFonts w:hAnsi="宋体"/>
                <w:b/>
                <w:bCs/>
                <w:sz w:val="22"/>
                <w:szCs w:val="22"/>
              </w:rPr>
            </w:pPr>
          </w:p>
        </w:tc>
        <w:tc>
          <w:tcPr>
            <w:tcW w:w="498" w:type="dxa"/>
            <w:vAlign w:val="center"/>
          </w:tcPr>
          <w:p>
            <w:pPr>
              <w:pStyle w:val="11"/>
              <w:spacing w:line="360" w:lineRule="auto"/>
              <w:jc w:val="center"/>
              <w:rPr>
                <w:rFonts w:hAnsi="宋体"/>
                <w:b/>
                <w:bCs/>
                <w:sz w:val="22"/>
                <w:szCs w:val="22"/>
              </w:rPr>
            </w:pPr>
          </w:p>
        </w:tc>
        <w:tc>
          <w:tcPr>
            <w:tcW w:w="1148" w:type="dxa"/>
            <w:vAlign w:val="center"/>
          </w:tcPr>
          <w:p>
            <w:pPr>
              <w:pStyle w:val="11"/>
              <w:spacing w:line="360" w:lineRule="auto"/>
              <w:jc w:val="center"/>
              <w:rPr>
                <w:rFonts w:hAnsi="宋体"/>
                <w:b/>
                <w:bCs/>
                <w:sz w:val="22"/>
                <w:szCs w:val="22"/>
              </w:rPr>
            </w:pPr>
          </w:p>
        </w:tc>
        <w:tc>
          <w:tcPr>
            <w:tcW w:w="1124" w:type="dxa"/>
            <w:vAlign w:val="center"/>
          </w:tcPr>
          <w:p>
            <w:pPr>
              <w:pStyle w:val="11"/>
              <w:spacing w:line="360" w:lineRule="auto"/>
              <w:jc w:val="center"/>
              <w:rPr>
                <w:rFonts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pPr>
              <w:pStyle w:val="11"/>
              <w:spacing w:line="360" w:lineRule="auto"/>
              <w:rPr>
                <w:rFonts w:hAnsi="宋体"/>
                <w:sz w:val="22"/>
                <w:szCs w:val="22"/>
              </w:rPr>
            </w:pPr>
            <w:r>
              <w:rPr>
                <w:rFonts w:hint="eastAsia" w:hAnsi="宋体"/>
                <w:sz w:val="22"/>
                <w:szCs w:val="22"/>
              </w:rPr>
              <w:t>…</w:t>
            </w:r>
          </w:p>
        </w:tc>
        <w:tc>
          <w:tcPr>
            <w:tcW w:w="2492" w:type="dxa"/>
            <w:vAlign w:val="center"/>
          </w:tcPr>
          <w:p>
            <w:pPr>
              <w:pStyle w:val="11"/>
              <w:spacing w:line="360" w:lineRule="auto"/>
              <w:jc w:val="center"/>
              <w:rPr>
                <w:rFonts w:hAnsi="宋体"/>
                <w:sz w:val="22"/>
                <w:szCs w:val="22"/>
              </w:rPr>
            </w:pPr>
            <w:r>
              <w:rPr>
                <w:rFonts w:hint="eastAsia" w:hAnsi="宋体"/>
                <w:sz w:val="22"/>
                <w:szCs w:val="22"/>
              </w:rPr>
              <w:t>……</w:t>
            </w:r>
          </w:p>
        </w:tc>
        <w:tc>
          <w:tcPr>
            <w:tcW w:w="915" w:type="dxa"/>
            <w:vAlign w:val="center"/>
          </w:tcPr>
          <w:p>
            <w:pPr>
              <w:jc w:val="center"/>
              <w:rPr>
                <w:rFonts w:ascii="宋体" w:hAnsi="宋体" w:cs="宋体"/>
                <w:sz w:val="22"/>
                <w:szCs w:val="22"/>
              </w:rPr>
            </w:pPr>
          </w:p>
        </w:tc>
        <w:tc>
          <w:tcPr>
            <w:tcW w:w="1876" w:type="dxa"/>
            <w:vAlign w:val="center"/>
          </w:tcPr>
          <w:p>
            <w:pPr>
              <w:jc w:val="center"/>
              <w:rPr>
                <w:rFonts w:ascii="宋体" w:hAnsi="宋体" w:cs="宋体"/>
                <w:sz w:val="22"/>
                <w:szCs w:val="22"/>
              </w:rPr>
            </w:pPr>
          </w:p>
        </w:tc>
        <w:tc>
          <w:tcPr>
            <w:tcW w:w="495" w:type="dxa"/>
            <w:vAlign w:val="center"/>
          </w:tcPr>
          <w:p>
            <w:pPr>
              <w:pStyle w:val="11"/>
              <w:spacing w:line="360" w:lineRule="auto"/>
              <w:jc w:val="center"/>
              <w:rPr>
                <w:rFonts w:hAnsi="宋体"/>
                <w:sz w:val="22"/>
                <w:szCs w:val="22"/>
              </w:rPr>
            </w:pPr>
          </w:p>
        </w:tc>
        <w:tc>
          <w:tcPr>
            <w:tcW w:w="498" w:type="dxa"/>
            <w:vAlign w:val="center"/>
          </w:tcPr>
          <w:p>
            <w:pPr>
              <w:pStyle w:val="11"/>
              <w:spacing w:line="360" w:lineRule="auto"/>
              <w:jc w:val="center"/>
              <w:rPr>
                <w:rFonts w:hAnsi="宋体"/>
                <w:sz w:val="22"/>
                <w:szCs w:val="22"/>
              </w:rPr>
            </w:pPr>
          </w:p>
        </w:tc>
        <w:tc>
          <w:tcPr>
            <w:tcW w:w="1148" w:type="dxa"/>
          </w:tcPr>
          <w:p>
            <w:pPr>
              <w:pStyle w:val="11"/>
              <w:spacing w:line="360" w:lineRule="auto"/>
              <w:rPr>
                <w:rFonts w:hAnsi="宋体"/>
                <w:sz w:val="22"/>
                <w:szCs w:val="22"/>
              </w:rPr>
            </w:pPr>
          </w:p>
        </w:tc>
        <w:tc>
          <w:tcPr>
            <w:tcW w:w="1124" w:type="dxa"/>
          </w:tcPr>
          <w:p>
            <w:pPr>
              <w:pStyle w:val="11"/>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pPr>
              <w:pStyle w:val="11"/>
              <w:spacing w:line="360" w:lineRule="auto"/>
              <w:jc w:val="center"/>
              <w:rPr>
                <w:rFonts w:hAnsi="宋体"/>
                <w:sz w:val="22"/>
                <w:szCs w:val="22"/>
              </w:rPr>
            </w:pPr>
            <w:r>
              <w:rPr>
                <w:rFonts w:hint="eastAsia" w:hAnsi="宋体"/>
                <w:sz w:val="22"/>
                <w:szCs w:val="22"/>
              </w:rPr>
              <w:t>投标总价</w:t>
            </w:r>
          </w:p>
        </w:tc>
        <w:tc>
          <w:tcPr>
            <w:tcW w:w="6056" w:type="dxa"/>
            <w:gridSpan w:val="6"/>
            <w:vAlign w:val="center"/>
          </w:tcPr>
          <w:p>
            <w:pPr>
              <w:pStyle w:val="11"/>
              <w:spacing w:line="360" w:lineRule="auto"/>
              <w:jc w:val="center"/>
              <w:rPr>
                <w:rFonts w:hAnsi="宋体"/>
                <w:sz w:val="22"/>
                <w:szCs w:val="22"/>
              </w:rPr>
            </w:pPr>
            <w:r>
              <w:rPr>
                <w:rFonts w:hint="eastAsia" w:hAnsi="宋体"/>
                <w:sz w:val="22"/>
                <w:szCs w:val="22"/>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pPr>
              <w:pStyle w:val="11"/>
              <w:spacing w:line="360" w:lineRule="auto"/>
              <w:ind w:firstLine="480" w:firstLineChars="200"/>
              <w:jc w:val="left"/>
              <w:rPr>
                <w:rFonts w:hAnsi="宋体"/>
                <w:sz w:val="22"/>
                <w:szCs w:val="22"/>
              </w:rPr>
            </w:pPr>
            <w:r>
              <w:rPr>
                <w:rFonts w:hint="eastAsia" w:hAnsi="宋体"/>
                <w:sz w:val="24"/>
                <w:szCs w:val="24"/>
              </w:rPr>
              <w:t>本次报价应包含项目所需全部服务，不得缺漏，是履行合同的最终价格（服务费、交通费、检测费、报告费、专家评审费、人工费、税金、招标代理费以及成交供应商认为有必要计入的其它费用等一切费用）。</w:t>
            </w:r>
          </w:p>
        </w:tc>
      </w:tr>
    </w:tbl>
    <w:p>
      <w:pPr>
        <w:spacing w:line="360" w:lineRule="auto"/>
        <w:ind w:firstLine="480" w:firstLineChars="200"/>
        <w:rPr>
          <w:rFonts w:ascii="宋体" w:hAnsi="宋体" w:cs="宋体"/>
          <w:sz w:val="24"/>
          <w:szCs w:val="24"/>
        </w:rPr>
      </w:pPr>
    </w:p>
    <w:p>
      <w:pPr>
        <w:pStyle w:val="11"/>
        <w:spacing w:line="360" w:lineRule="auto"/>
        <w:ind w:firstLine="480" w:firstLineChars="200"/>
        <w:rPr>
          <w:rFonts w:hAnsi="宋体"/>
          <w:sz w:val="24"/>
          <w:szCs w:val="24"/>
        </w:rPr>
      </w:pPr>
    </w:p>
    <w:p>
      <w:pPr>
        <w:pStyle w:val="11"/>
        <w:spacing w:line="360" w:lineRule="auto"/>
        <w:ind w:firstLine="480" w:firstLineChars="200"/>
        <w:rPr>
          <w:rFonts w:hAnsi="宋体"/>
          <w:sz w:val="24"/>
          <w:szCs w:val="24"/>
        </w:rPr>
      </w:pPr>
      <w:r>
        <w:rPr>
          <w:rFonts w:hint="eastAsia" w:hAnsi="宋体"/>
          <w:sz w:val="24"/>
          <w:szCs w:val="24"/>
        </w:rPr>
        <w:t>注：内容可根据供应商实际情况自行调整。</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法定代表人签名（或签名章）：</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日期：</w:t>
      </w:r>
    </w:p>
    <w:p>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p>
      <w:pPr>
        <w:pStyle w:val="5"/>
        <w:rPr>
          <w:rFonts w:ascii="宋体" w:hAnsi="宋体" w:eastAsia="宋体" w:cs="宋体"/>
          <w:szCs w:val="24"/>
        </w:rPr>
      </w:pPr>
    </w:p>
    <w:p>
      <w:pPr>
        <w:rPr>
          <w:rFonts w:ascii="宋体" w:hAnsi="宋体" w:cs="宋体"/>
          <w:sz w:val="24"/>
          <w:szCs w:val="24"/>
        </w:rPr>
      </w:pPr>
    </w:p>
    <w:p>
      <w:pPr>
        <w:pStyle w:val="5"/>
        <w:rPr>
          <w:rFonts w:ascii="宋体" w:hAnsi="宋体" w:eastAsia="宋体" w:cs="宋体"/>
          <w:szCs w:val="24"/>
        </w:rPr>
      </w:pPr>
    </w:p>
    <w:bookmarkEnd w:id="113"/>
    <w:p>
      <w:pPr>
        <w:pStyle w:val="22"/>
        <w:ind w:firstLine="0" w:firstLineChars="0"/>
        <w:rPr>
          <w:rFonts w:ascii="宋体" w:hAnsi="宋体" w:cs="宋体"/>
        </w:rPr>
      </w:pPr>
    </w:p>
    <w:sectPr>
      <w:headerReference r:id="rId6" w:type="default"/>
      <w:footerReference r:id="rId7" w:type="default"/>
      <w:pgSz w:w="11906" w:h="16838"/>
      <w:pgMar w:top="1440" w:right="1803" w:bottom="1440" w:left="1803"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8"/>
        <w:szCs w:val="28"/>
      </w:rPr>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ascii="宋体"/>
        <w:sz w:val="28"/>
        <w:szCs w:val="28"/>
        <w:lang w:val="zh-CN"/>
      </w:rPr>
      <w:t>28</w:t>
    </w:r>
    <w:r>
      <w:rPr>
        <w:rFonts w:hint="eastAsia" w:ascii="宋体"/>
        <w:sz w:val="28"/>
        <w:szCs w:val="28"/>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pPr>
                            <w:pStyle w:val="14"/>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52</w:t>
                    </w:r>
                    <w:r>
                      <w:fldChar w:fldCharType="end"/>
                    </w:r>
                  </w:p>
                </w:txbxContent>
              </v:textbox>
            </v:shape>
          </w:pict>
        </mc:Fallback>
      </mc:AlternateContent>
    </w: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7C9F9"/>
    <w:multiLevelType w:val="singleLevel"/>
    <w:tmpl w:val="8F57C9F9"/>
    <w:lvl w:ilvl="0" w:tentative="0">
      <w:start w:val="2"/>
      <w:numFmt w:val="decimal"/>
      <w:suff w:val="nothing"/>
      <w:lvlText w:val="%1、"/>
      <w:lvlJc w:val="left"/>
    </w:lvl>
  </w:abstractNum>
  <w:abstractNum w:abstractNumId="1">
    <w:nsid w:val="91799C87"/>
    <w:multiLevelType w:val="singleLevel"/>
    <w:tmpl w:val="91799C87"/>
    <w:lvl w:ilvl="0" w:tentative="0">
      <w:start w:val="1"/>
      <w:numFmt w:val="decimal"/>
      <w:suff w:val="nothing"/>
      <w:lvlText w:val="（%1）"/>
      <w:lvlJc w:val="left"/>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5">
    <w:nsid w:val="E140FCDC"/>
    <w:multiLevelType w:val="singleLevel"/>
    <w:tmpl w:val="E140FCDC"/>
    <w:lvl w:ilvl="0" w:tentative="0">
      <w:start w:val="1"/>
      <w:numFmt w:val="decimal"/>
      <w:suff w:val="nothing"/>
      <w:lvlText w:val="%1、"/>
      <w:lvlJc w:val="left"/>
    </w:lvl>
  </w:abstractNum>
  <w:abstractNum w:abstractNumId="6">
    <w:nsid w:val="F4396F3A"/>
    <w:multiLevelType w:val="singleLevel"/>
    <w:tmpl w:val="F4396F3A"/>
    <w:lvl w:ilvl="0" w:tentative="0">
      <w:start w:val="2"/>
      <w:numFmt w:val="chineseCounting"/>
      <w:suff w:val="nothing"/>
      <w:lvlText w:val="%1、"/>
      <w:lvlJc w:val="left"/>
      <w:rPr>
        <w:rFonts w:hint="eastAsia"/>
      </w:rPr>
    </w:lvl>
  </w:abstractNum>
  <w:abstractNum w:abstractNumId="7">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83C6E98"/>
    <w:multiLevelType w:val="singleLevel"/>
    <w:tmpl w:val="483C6E98"/>
    <w:lvl w:ilvl="0" w:tentative="0">
      <w:start w:val="1"/>
      <w:numFmt w:val="decimal"/>
      <w:suff w:val="nothing"/>
      <w:lvlText w:val="%1、"/>
      <w:lvlJc w:val="left"/>
    </w:lvl>
  </w:abstractNum>
  <w:abstractNum w:abstractNumId="18">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9">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0">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5"/>
  </w:num>
  <w:num w:numId="2">
    <w:abstractNumId w:val="7"/>
  </w:num>
  <w:num w:numId="3">
    <w:abstractNumId w:val="18"/>
  </w:num>
  <w:num w:numId="4">
    <w:abstractNumId w:val="10"/>
  </w:num>
  <w:num w:numId="5">
    <w:abstractNumId w:val="20"/>
  </w:num>
  <w:num w:numId="6">
    <w:abstractNumId w:val="11"/>
  </w:num>
  <w:num w:numId="7">
    <w:abstractNumId w:val="19"/>
  </w:num>
  <w:num w:numId="8">
    <w:abstractNumId w:val="17"/>
  </w:num>
  <w:num w:numId="9">
    <w:abstractNumId w:val="8"/>
  </w:num>
  <w:num w:numId="10">
    <w:abstractNumId w:val="9"/>
  </w:num>
  <w:num w:numId="11">
    <w:abstractNumId w:val="16"/>
  </w:num>
  <w:num w:numId="12">
    <w:abstractNumId w:val="14"/>
  </w:num>
  <w:num w:numId="13">
    <w:abstractNumId w:val="4"/>
  </w:num>
  <w:num w:numId="14">
    <w:abstractNumId w:val="2"/>
  </w:num>
  <w:num w:numId="15">
    <w:abstractNumId w:val="12"/>
  </w:num>
  <w:num w:numId="16">
    <w:abstractNumId w:val="3"/>
  </w:num>
  <w:num w:numId="17">
    <w:abstractNumId w:val="13"/>
  </w:num>
  <w:num w:numId="18">
    <w:abstractNumId w:val="6"/>
  </w:num>
  <w:num w:numId="19">
    <w:abstractNumId w:val="5"/>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6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zU3MzYzMmZkNTMxYTZkOTY4ZTQ2YzA1MjFjMzMifQ=="/>
  </w:docVars>
  <w:rsids>
    <w:rsidRoot w:val="5AA412FE"/>
    <w:rsid w:val="00003EF7"/>
    <w:rsid w:val="000122B4"/>
    <w:rsid w:val="00027C5B"/>
    <w:rsid w:val="00032A9F"/>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35858"/>
    <w:rsid w:val="00255FD2"/>
    <w:rsid w:val="00264C08"/>
    <w:rsid w:val="00273F1A"/>
    <w:rsid w:val="0027526D"/>
    <w:rsid w:val="00284949"/>
    <w:rsid w:val="00297FF4"/>
    <w:rsid w:val="002C487B"/>
    <w:rsid w:val="002F6EC0"/>
    <w:rsid w:val="0030570F"/>
    <w:rsid w:val="003470DA"/>
    <w:rsid w:val="00351054"/>
    <w:rsid w:val="003914B1"/>
    <w:rsid w:val="00392B4C"/>
    <w:rsid w:val="00393C1C"/>
    <w:rsid w:val="003A0D36"/>
    <w:rsid w:val="003A2883"/>
    <w:rsid w:val="003D07BA"/>
    <w:rsid w:val="003E1BA3"/>
    <w:rsid w:val="0040061B"/>
    <w:rsid w:val="00402FF9"/>
    <w:rsid w:val="004047AC"/>
    <w:rsid w:val="00412C6B"/>
    <w:rsid w:val="004277E5"/>
    <w:rsid w:val="0043140B"/>
    <w:rsid w:val="00434E53"/>
    <w:rsid w:val="00463C96"/>
    <w:rsid w:val="00476057"/>
    <w:rsid w:val="0048104F"/>
    <w:rsid w:val="00485852"/>
    <w:rsid w:val="00486150"/>
    <w:rsid w:val="00497B50"/>
    <w:rsid w:val="004A2891"/>
    <w:rsid w:val="004B7912"/>
    <w:rsid w:val="004C152F"/>
    <w:rsid w:val="004E63AF"/>
    <w:rsid w:val="004E7DB7"/>
    <w:rsid w:val="00542925"/>
    <w:rsid w:val="005456AD"/>
    <w:rsid w:val="00550AE1"/>
    <w:rsid w:val="005617C4"/>
    <w:rsid w:val="005747A4"/>
    <w:rsid w:val="0057775B"/>
    <w:rsid w:val="00597E89"/>
    <w:rsid w:val="005F4C64"/>
    <w:rsid w:val="00603A33"/>
    <w:rsid w:val="0060407F"/>
    <w:rsid w:val="00624CA0"/>
    <w:rsid w:val="006545B6"/>
    <w:rsid w:val="006B56AA"/>
    <w:rsid w:val="006E3901"/>
    <w:rsid w:val="006E4D94"/>
    <w:rsid w:val="006E5F17"/>
    <w:rsid w:val="006E7DD6"/>
    <w:rsid w:val="007218FD"/>
    <w:rsid w:val="00726B0B"/>
    <w:rsid w:val="00741B88"/>
    <w:rsid w:val="0074647B"/>
    <w:rsid w:val="00761CC5"/>
    <w:rsid w:val="00766F7B"/>
    <w:rsid w:val="007675AE"/>
    <w:rsid w:val="007851F1"/>
    <w:rsid w:val="0079402B"/>
    <w:rsid w:val="007C1988"/>
    <w:rsid w:val="007C36F2"/>
    <w:rsid w:val="007D1674"/>
    <w:rsid w:val="007F23B1"/>
    <w:rsid w:val="00804A32"/>
    <w:rsid w:val="00816086"/>
    <w:rsid w:val="00846EE7"/>
    <w:rsid w:val="008651FF"/>
    <w:rsid w:val="008908BE"/>
    <w:rsid w:val="008A2209"/>
    <w:rsid w:val="008C2439"/>
    <w:rsid w:val="008E3963"/>
    <w:rsid w:val="00913BA9"/>
    <w:rsid w:val="00913DF5"/>
    <w:rsid w:val="00922646"/>
    <w:rsid w:val="009241BF"/>
    <w:rsid w:val="00937725"/>
    <w:rsid w:val="00945D04"/>
    <w:rsid w:val="0097456A"/>
    <w:rsid w:val="00992B51"/>
    <w:rsid w:val="0099356B"/>
    <w:rsid w:val="009B1710"/>
    <w:rsid w:val="009B5145"/>
    <w:rsid w:val="009B698E"/>
    <w:rsid w:val="009C14AC"/>
    <w:rsid w:val="009D7652"/>
    <w:rsid w:val="00A06FE3"/>
    <w:rsid w:val="00A5469A"/>
    <w:rsid w:val="00A60C7C"/>
    <w:rsid w:val="00A71B1F"/>
    <w:rsid w:val="00A832EF"/>
    <w:rsid w:val="00AB173E"/>
    <w:rsid w:val="00AC415C"/>
    <w:rsid w:val="00AD2BC8"/>
    <w:rsid w:val="00AE6D80"/>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94249"/>
    <w:rsid w:val="00BB11DC"/>
    <w:rsid w:val="00BC25F6"/>
    <w:rsid w:val="00BC554A"/>
    <w:rsid w:val="00C144DF"/>
    <w:rsid w:val="00C15659"/>
    <w:rsid w:val="00C32FC8"/>
    <w:rsid w:val="00C4588E"/>
    <w:rsid w:val="00C70180"/>
    <w:rsid w:val="00C755F3"/>
    <w:rsid w:val="00C93598"/>
    <w:rsid w:val="00C94384"/>
    <w:rsid w:val="00C97640"/>
    <w:rsid w:val="00CA29A3"/>
    <w:rsid w:val="00CA75C3"/>
    <w:rsid w:val="00CB2D61"/>
    <w:rsid w:val="00CB75F1"/>
    <w:rsid w:val="00CC3A61"/>
    <w:rsid w:val="00CD31BD"/>
    <w:rsid w:val="00CD62B6"/>
    <w:rsid w:val="00CE2482"/>
    <w:rsid w:val="00CF226E"/>
    <w:rsid w:val="00D208F6"/>
    <w:rsid w:val="00D33839"/>
    <w:rsid w:val="00D40761"/>
    <w:rsid w:val="00D46536"/>
    <w:rsid w:val="00D5715C"/>
    <w:rsid w:val="00D64C89"/>
    <w:rsid w:val="00D73BB8"/>
    <w:rsid w:val="00D84F46"/>
    <w:rsid w:val="00DB44DD"/>
    <w:rsid w:val="00DB66E9"/>
    <w:rsid w:val="00DD3B00"/>
    <w:rsid w:val="00DE0563"/>
    <w:rsid w:val="00DE7CF8"/>
    <w:rsid w:val="00E109DA"/>
    <w:rsid w:val="00E30080"/>
    <w:rsid w:val="00E53562"/>
    <w:rsid w:val="00E666D2"/>
    <w:rsid w:val="00E673E8"/>
    <w:rsid w:val="00EF2736"/>
    <w:rsid w:val="00F2643A"/>
    <w:rsid w:val="00F450B9"/>
    <w:rsid w:val="00F46423"/>
    <w:rsid w:val="00F47432"/>
    <w:rsid w:val="00F622A9"/>
    <w:rsid w:val="00F673E5"/>
    <w:rsid w:val="00F81D32"/>
    <w:rsid w:val="00FD3C5B"/>
    <w:rsid w:val="00FD77B5"/>
    <w:rsid w:val="0149271B"/>
    <w:rsid w:val="02710CE9"/>
    <w:rsid w:val="02FB0AA9"/>
    <w:rsid w:val="02FB1EF4"/>
    <w:rsid w:val="03EA3DB0"/>
    <w:rsid w:val="044134E4"/>
    <w:rsid w:val="05DC421B"/>
    <w:rsid w:val="06082700"/>
    <w:rsid w:val="06EE06AA"/>
    <w:rsid w:val="0803231A"/>
    <w:rsid w:val="099C43EE"/>
    <w:rsid w:val="09A27D61"/>
    <w:rsid w:val="0D1D75F3"/>
    <w:rsid w:val="0E2D1637"/>
    <w:rsid w:val="0F2C1D70"/>
    <w:rsid w:val="0F8830AB"/>
    <w:rsid w:val="0F9E5390"/>
    <w:rsid w:val="0FAC24A5"/>
    <w:rsid w:val="0FFD3D02"/>
    <w:rsid w:val="104145F9"/>
    <w:rsid w:val="10B64C1C"/>
    <w:rsid w:val="10BA6CED"/>
    <w:rsid w:val="11006136"/>
    <w:rsid w:val="113C27FB"/>
    <w:rsid w:val="11AF1066"/>
    <w:rsid w:val="11CF6577"/>
    <w:rsid w:val="122907E8"/>
    <w:rsid w:val="129F37E3"/>
    <w:rsid w:val="12C66037"/>
    <w:rsid w:val="12E30368"/>
    <w:rsid w:val="12FC45DD"/>
    <w:rsid w:val="13495BED"/>
    <w:rsid w:val="14112F5B"/>
    <w:rsid w:val="14286A2D"/>
    <w:rsid w:val="14C80527"/>
    <w:rsid w:val="155D552F"/>
    <w:rsid w:val="15703332"/>
    <w:rsid w:val="157D7686"/>
    <w:rsid w:val="15830AE2"/>
    <w:rsid w:val="15A07E8D"/>
    <w:rsid w:val="15BC6282"/>
    <w:rsid w:val="1648774C"/>
    <w:rsid w:val="16EB43B2"/>
    <w:rsid w:val="1830265D"/>
    <w:rsid w:val="19061AA7"/>
    <w:rsid w:val="19412ED4"/>
    <w:rsid w:val="1AFA3A66"/>
    <w:rsid w:val="1B046024"/>
    <w:rsid w:val="1B155261"/>
    <w:rsid w:val="1B4A7538"/>
    <w:rsid w:val="1BDB27A5"/>
    <w:rsid w:val="1C3404B6"/>
    <w:rsid w:val="1CD82521"/>
    <w:rsid w:val="1CFF0A9F"/>
    <w:rsid w:val="1DC74A1D"/>
    <w:rsid w:val="1E157011"/>
    <w:rsid w:val="1E8C459E"/>
    <w:rsid w:val="1E934307"/>
    <w:rsid w:val="1EAE454F"/>
    <w:rsid w:val="1EDA1EFB"/>
    <w:rsid w:val="1F2B0346"/>
    <w:rsid w:val="1F431821"/>
    <w:rsid w:val="1F890C4B"/>
    <w:rsid w:val="1FDA3069"/>
    <w:rsid w:val="205B73C3"/>
    <w:rsid w:val="20D34487"/>
    <w:rsid w:val="20EB4820"/>
    <w:rsid w:val="215A3622"/>
    <w:rsid w:val="219416B8"/>
    <w:rsid w:val="21FF3D3B"/>
    <w:rsid w:val="2231339B"/>
    <w:rsid w:val="22514430"/>
    <w:rsid w:val="22D7095E"/>
    <w:rsid w:val="22F80055"/>
    <w:rsid w:val="234B0952"/>
    <w:rsid w:val="23DA6752"/>
    <w:rsid w:val="23FF13A9"/>
    <w:rsid w:val="248E2E3A"/>
    <w:rsid w:val="25304581"/>
    <w:rsid w:val="254E15F0"/>
    <w:rsid w:val="25585215"/>
    <w:rsid w:val="26451EEA"/>
    <w:rsid w:val="26704F2E"/>
    <w:rsid w:val="27DC3878"/>
    <w:rsid w:val="28C62F56"/>
    <w:rsid w:val="28DA203A"/>
    <w:rsid w:val="28F0407A"/>
    <w:rsid w:val="291A7D32"/>
    <w:rsid w:val="29655706"/>
    <w:rsid w:val="296C128F"/>
    <w:rsid w:val="29837904"/>
    <w:rsid w:val="298E56A9"/>
    <w:rsid w:val="2A110088"/>
    <w:rsid w:val="2ACF46AA"/>
    <w:rsid w:val="2BF7A349"/>
    <w:rsid w:val="2D346E5C"/>
    <w:rsid w:val="2E5C5D76"/>
    <w:rsid w:val="2E664953"/>
    <w:rsid w:val="2EB0392B"/>
    <w:rsid w:val="2EC102CF"/>
    <w:rsid w:val="2EC35DF5"/>
    <w:rsid w:val="2ED07F7B"/>
    <w:rsid w:val="30D8545C"/>
    <w:rsid w:val="30FB7A19"/>
    <w:rsid w:val="310261A7"/>
    <w:rsid w:val="317638B6"/>
    <w:rsid w:val="318D0B53"/>
    <w:rsid w:val="31A11A5D"/>
    <w:rsid w:val="324A4137"/>
    <w:rsid w:val="32A75185"/>
    <w:rsid w:val="33340B4D"/>
    <w:rsid w:val="335F41BA"/>
    <w:rsid w:val="33BA34B0"/>
    <w:rsid w:val="34367DA9"/>
    <w:rsid w:val="3477488D"/>
    <w:rsid w:val="349413EA"/>
    <w:rsid w:val="34C54BE3"/>
    <w:rsid w:val="34E56399"/>
    <w:rsid w:val="34F860CC"/>
    <w:rsid w:val="35DE52C2"/>
    <w:rsid w:val="367C4935"/>
    <w:rsid w:val="36CE34E8"/>
    <w:rsid w:val="37020770"/>
    <w:rsid w:val="37B838EA"/>
    <w:rsid w:val="3904514B"/>
    <w:rsid w:val="39FC282B"/>
    <w:rsid w:val="3A164E28"/>
    <w:rsid w:val="3B1064BD"/>
    <w:rsid w:val="3B2C33D8"/>
    <w:rsid w:val="3B334302"/>
    <w:rsid w:val="3BE04637"/>
    <w:rsid w:val="3D390470"/>
    <w:rsid w:val="3D87623F"/>
    <w:rsid w:val="3D98669F"/>
    <w:rsid w:val="3DCE50EF"/>
    <w:rsid w:val="3E1918E3"/>
    <w:rsid w:val="3E3759DF"/>
    <w:rsid w:val="3E98229E"/>
    <w:rsid w:val="3F0538C0"/>
    <w:rsid w:val="3F671DD8"/>
    <w:rsid w:val="3F894898"/>
    <w:rsid w:val="3F9B2476"/>
    <w:rsid w:val="40306192"/>
    <w:rsid w:val="40E80A95"/>
    <w:rsid w:val="41131941"/>
    <w:rsid w:val="412D5350"/>
    <w:rsid w:val="41A82C28"/>
    <w:rsid w:val="41C50CBF"/>
    <w:rsid w:val="42234900"/>
    <w:rsid w:val="42310D45"/>
    <w:rsid w:val="42914373"/>
    <w:rsid w:val="4297507F"/>
    <w:rsid w:val="42A44E8B"/>
    <w:rsid w:val="43495ACF"/>
    <w:rsid w:val="436C497E"/>
    <w:rsid w:val="43F54CF5"/>
    <w:rsid w:val="448D6A38"/>
    <w:rsid w:val="46562959"/>
    <w:rsid w:val="467F690A"/>
    <w:rsid w:val="46B85F59"/>
    <w:rsid w:val="47EF50CB"/>
    <w:rsid w:val="48621071"/>
    <w:rsid w:val="492D7C31"/>
    <w:rsid w:val="498B48F2"/>
    <w:rsid w:val="499D0869"/>
    <w:rsid w:val="49A50688"/>
    <w:rsid w:val="49C134CC"/>
    <w:rsid w:val="4A396CAF"/>
    <w:rsid w:val="4A8747E2"/>
    <w:rsid w:val="4AA246B9"/>
    <w:rsid w:val="4AD245F0"/>
    <w:rsid w:val="4B2477C4"/>
    <w:rsid w:val="4B5C045F"/>
    <w:rsid w:val="4B693428"/>
    <w:rsid w:val="4B6B22F7"/>
    <w:rsid w:val="4BE44EED"/>
    <w:rsid w:val="4BF70A34"/>
    <w:rsid w:val="4C2A3D8B"/>
    <w:rsid w:val="4C347AA3"/>
    <w:rsid w:val="4D782815"/>
    <w:rsid w:val="4DBE4790"/>
    <w:rsid w:val="4EE97302"/>
    <w:rsid w:val="4EF549D4"/>
    <w:rsid w:val="4FFC17B4"/>
    <w:rsid w:val="50792360"/>
    <w:rsid w:val="508222DD"/>
    <w:rsid w:val="515D758B"/>
    <w:rsid w:val="51C6051B"/>
    <w:rsid w:val="520420FD"/>
    <w:rsid w:val="52F625A7"/>
    <w:rsid w:val="534B3427"/>
    <w:rsid w:val="53E87428"/>
    <w:rsid w:val="54355D62"/>
    <w:rsid w:val="5446541B"/>
    <w:rsid w:val="5447281C"/>
    <w:rsid w:val="548C2946"/>
    <w:rsid w:val="54A90D98"/>
    <w:rsid w:val="54F65EBA"/>
    <w:rsid w:val="55D27624"/>
    <w:rsid w:val="561D553B"/>
    <w:rsid w:val="567A6E51"/>
    <w:rsid w:val="56F203B4"/>
    <w:rsid w:val="57FC55AA"/>
    <w:rsid w:val="580928E7"/>
    <w:rsid w:val="58551F7D"/>
    <w:rsid w:val="589D0BB5"/>
    <w:rsid w:val="59183FE5"/>
    <w:rsid w:val="59BE71BC"/>
    <w:rsid w:val="5AA412FE"/>
    <w:rsid w:val="5ABA7A19"/>
    <w:rsid w:val="5AC72F10"/>
    <w:rsid w:val="5AEC24A7"/>
    <w:rsid w:val="5B136F0D"/>
    <w:rsid w:val="5B56778E"/>
    <w:rsid w:val="5B840C5F"/>
    <w:rsid w:val="5BC44F00"/>
    <w:rsid w:val="5C9B365E"/>
    <w:rsid w:val="5D014297"/>
    <w:rsid w:val="5D217374"/>
    <w:rsid w:val="5DE81AA6"/>
    <w:rsid w:val="5E2B51A2"/>
    <w:rsid w:val="5E47584B"/>
    <w:rsid w:val="5EB62375"/>
    <w:rsid w:val="5EF724E5"/>
    <w:rsid w:val="5F436DCC"/>
    <w:rsid w:val="5F5B667A"/>
    <w:rsid w:val="5F6067D6"/>
    <w:rsid w:val="5FC72811"/>
    <w:rsid w:val="5FD125EC"/>
    <w:rsid w:val="603D2D4A"/>
    <w:rsid w:val="60D51B08"/>
    <w:rsid w:val="610552EA"/>
    <w:rsid w:val="61095745"/>
    <w:rsid w:val="61162C50"/>
    <w:rsid w:val="61502C69"/>
    <w:rsid w:val="617203D0"/>
    <w:rsid w:val="62B62F9F"/>
    <w:rsid w:val="62F7205C"/>
    <w:rsid w:val="62FB4E56"/>
    <w:rsid w:val="634B16C2"/>
    <w:rsid w:val="63696A82"/>
    <w:rsid w:val="637C5F97"/>
    <w:rsid w:val="638717D9"/>
    <w:rsid w:val="64981C38"/>
    <w:rsid w:val="64A14715"/>
    <w:rsid w:val="64AC48DE"/>
    <w:rsid w:val="64AE2EEE"/>
    <w:rsid w:val="64F70EA9"/>
    <w:rsid w:val="6559389C"/>
    <w:rsid w:val="66475485"/>
    <w:rsid w:val="666B40A1"/>
    <w:rsid w:val="671B6AB8"/>
    <w:rsid w:val="67996221"/>
    <w:rsid w:val="681E7F53"/>
    <w:rsid w:val="689C6793"/>
    <w:rsid w:val="69610B03"/>
    <w:rsid w:val="69A14E77"/>
    <w:rsid w:val="6A154A4F"/>
    <w:rsid w:val="6AEA1A38"/>
    <w:rsid w:val="6B59453E"/>
    <w:rsid w:val="6BE66EA4"/>
    <w:rsid w:val="6D88336F"/>
    <w:rsid w:val="6E627A21"/>
    <w:rsid w:val="6E8F0E44"/>
    <w:rsid w:val="6E957640"/>
    <w:rsid w:val="6EE33674"/>
    <w:rsid w:val="6EE442D1"/>
    <w:rsid w:val="6F875DE5"/>
    <w:rsid w:val="706A7B8E"/>
    <w:rsid w:val="70BA3726"/>
    <w:rsid w:val="70C32FF5"/>
    <w:rsid w:val="71876BD0"/>
    <w:rsid w:val="72EA0AEA"/>
    <w:rsid w:val="73767D80"/>
    <w:rsid w:val="73EB3D22"/>
    <w:rsid w:val="74494FCF"/>
    <w:rsid w:val="747948CE"/>
    <w:rsid w:val="75126D7A"/>
    <w:rsid w:val="75BA5477"/>
    <w:rsid w:val="76760DB2"/>
    <w:rsid w:val="76BFAF13"/>
    <w:rsid w:val="77537603"/>
    <w:rsid w:val="78895E69"/>
    <w:rsid w:val="78937CF7"/>
    <w:rsid w:val="78FBF684"/>
    <w:rsid w:val="79206F6D"/>
    <w:rsid w:val="79ED6971"/>
    <w:rsid w:val="79FE2D83"/>
    <w:rsid w:val="7A263419"/>
    <w:rsid w:val="7AA33536"/>
    <w:rsid w:val="7AE8472F"/>
    <w:rsid w:val="7B7D91F1"/>
    <w:rsid w:val="7BD1454E"/>
    <w:rsid w:val="7BED0CD8"/>
    <w:rsid w:val="7BF88BF8"/>
    <w:rsid w:val="7BFE1E83"/>
    <w:rsid w:val="7C532D36"/>
    <w:rsid w:val="7CB7F70C"/>
    <w:rsid w:val="7D180687"/>
    <w:rsid w:val="7D673C72"/>
    <w:rsid w:val="7D6FFF83"/>
    <w:rsid w:val="7D71438E"/>
    <w:rsid w:val="7DBF21A5"/>
    <w:rsid w:val="7DE93C59"/>
    <w:rsid w:val="7DF34C50"/>
    <w:rsid w:val="7DF72F5A"/>
    <w:rsid w:val="7DFBF8B8"/>
    <w:rsid w:val="7E72183B"/>
    <w:rsid w:val="7F3F6140"/>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0"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spacing w:line="576" w:lineRule="auto"/>
      <w:outlineLvl w:val="0"/>
    </w:pPr>
    <w:rPr>
      <w:rFonts w:ascii="Calibri" w:hAnsi="Calibri" w:cs="Calibri"/>
      <w:b/>
      <w:bCs/>
      <w:kern w:val="44"/>
      <w:sz w:val="44"/>
      <w:szCs w:val="44"/>
    </w:rPr>
  </w:style>
  <w:style w:type="paragraph" w:styleId="2">
    <w:name w:val="heading 2"/>
    <w:basedOn w:val="1"/>
    <w:next w:val="1"/>
    <w:link w:val="36"/>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37"/>
    <w:qFormat/>
    <w:uiPriority w:val="99"/>
    <w:pPr>
      <w:keepNext/>
      <w:numPr>
        <w:ilvl w:val="0"/>
        <w:numId w:val="1"/>
      </w:numPr>
      <w:spacing w:line="216" w:lineRule="auto"/>
      <w:outlineLvl w:val="2"/>
    </w:pPr>
    <w:rPr>
      <w:rFonts w:ascii="宋体" w:hAnsi="Calibri" w:cs="宋体"/>
      <w:b/>
      <w:bCs/>
      <w:sz w:val="28"/>
      <w:szCs w:val="28"/>
    </w:rPr>
  </w:style>
  <w:style w:type="paragraph" w:styleId="5">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style>
  <w:style w:type="paragraph" w:styleId="7">
    <w:name w:val="toc 4"/>
    <w:basedOn w:val="1"/>
    <w:next w:val="1"/>
    <w:semiHidden/>
    <w:qFormat/>
    <w:uiPriority w:val="0"/>
    <w:pPr>
      <w:ind w:left="1260" w:leftChars="600"/>
    </w:pPr>
  </w:style>
  <w:style w:type="paragraph" w:styleId="8">
    <w:name w:val="Body Text"/>
    <w:basedOn w:val="1"/>
    <w:next w:val="5"/>
    <w:link w:val="38"/>
    <w:qFormat/>
    <w:uiPriority w:val="99"/>
  </w:style>
  <w:style w:type="paragraph" w:styleId="9">
    <w:name w:val="Body Text Indent"/>
    <w:basedOn w:val="1"/>
    <w:next w:val="1"/>
    <w:link w:val="44"/>
    <w:qFormat/>
    <w:uiPriority w:val="99"/>
    <w:pPr>
      <w:adjustRightInd w:val="0"/>
      <w:spacing w:line="360" w:lineRule="auto"/>
      <w:ind w:firstLine="490"/>
      <w:jc w:val="left"/>
    </w:pPr>
    <w:rPr>
      <w:rFonts w:ascii="宋体" w:hAnsi="宋体" w:cs="宋体"/>
      <w:sz w:val="24"/>
      <w:szCs w:val="24"/>
    </w:rPr>
  </w:style>
  <w:style w:type="paragraph" w:styleId="10">
    <w:name w:val="toc 3"/>
    <w:basedOn w:val="1"/>
    <w:next w:val="1"/>
    <w:semiHidden/>
    <w:qFormat/>
    <w:uiPriority w:val="99"/>
    <w:pPr>
      <w:ind w:left="840" w:leftChars="400"/>
    </w:pPr>
  </w:style>
  <w:style w:type="paragraph" w:styleId="11">
    <w:name w:val="Plain Text"/>
    <w:basedOn w:val="1"/>
    <w:next w:val="1"/>
    <w:link w:val="45"/>
    <w:qFormat/>
    <w:uiPriority w:val="99"/>
    <w:rPr>
      <w:rFonts w:ascii="宋体" w:hAnsi="Courier New" w:cs="宋体"/>
    </w:rPr>
  </w:style>
  <w:style w:type="paragraph" w:styleId="12">
    <w:name w:val="Date"/>
    <w:basedOn w:val="1"/>
    <w:next w:val="1"/>
    <w:link w:val="46"/>
    <w:qFormat/>
    <w:uiPriority w:val="99"/>
    <w:pPr>
      <w:ind w:left="100" w:leftChars="2500"/>
    </w:pPr>
    <w:rPr>
      <w:rFonts w:ascii="宋体" w:hAnsi="宋体" w:cs="宋体"/>
      <w:color w:val="000000"/>
      <w:sz w:val="24"/>
      <w:szCs w:val="24"/>
    </w:rPr>
  </w:style>
  <w:style w:type="paragraph" w:styleId="13">
    <w:name w:val="Balloon Text"/>
    <w:basedOn w:val="1"/>
    <w:link w:val="47"/>
    <w:semiHidden/>
    <w:qFormat/>
    <w:uiPriority w:val="99"/>
    <w:rPr>
      <w:sz w:val="18"/>
      <w:szCs w:val="18"/>
    </w:r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link w:val="49"/>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6">
    <w:name w:val="toc 1"/>
    <w:basedOn w:val="1"/>
    <w:next w:val="1"/>
    <w:semiHidden/>
    <w:qFormat/>
    <w:uiPriority w:val="99"/>
  </w:style>
  <w:style w:type="paragraph" w:styleId="17">
    <w:name w:val="toc 6"/>
    <w:basedOn w:val="1"/>
    <w:next w:val="1"/>
    <w:qFormat/>
    <w:uiPriority w:val="99"/>
    <w:pPr>
      <w:ind w:left="2100" w:leftChars="1000"/>
    </w:pPr>
    <w:rPr>
      <w:szCs w:val="22"/>
    </w:rPr>
  </w:style>
  <w:style w:type="paragraph" w:styleId="18">
    <w:name w:val="toc 2"/>
    <w:basedOn w:val="1"/>
    <w:next w:val="1"/>
    <w:semiHidden/>
    <w:qFormat/>
    <w:uiPriority w:val="99"/>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1">
    <w:name w:val="Title"/>
    <w:basedOn w:val="1"/>
    <w:next w:val="1"/>
    <w:qFormat/>
    <w:locked/>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Body Text First Indent"/>
    <w:basedOn w:val="8"/>
    <w:next w:val="17"/>
    <w:link w:val="50"/>
    <w:qFormat/>
    <w:uiPriority w:val="99"/>
    <w:pPr>
      <w:ind w:firstLine="420" w:firstLineChars="100"/>
    </w:pPr>
  </w:style>
  <w:style w:type="paragraph" w:styleId="23">
    <w:name w:val="Body Text First Indent 2"/>
    <w:basedOn w:val="9"/>
    <w:next w:val="1"/>
    <w:qFormat/>
    <w:uiPriority w:val="0"/>
    <w:pPr>
      <w:ind w:firstLine="420"/>
    </w:pPr>
  </w:style>
  <w:style w:type="table" w:styleId="25">
    <w:name w:val="Table Grid"/>
    <w:basedOn w:val="24"/>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Hyperlink"/>
    <w:basedOn w:val="26"/>
    <w:qFormat/>
    <w:uiPriority w:val="99"/>
    <w:rPr>
      <w:color w:val="0000FF"/>
      <w:u w:val="single"/>
    </w:rPr>
  </w:style>
  <w:style w:type="paragraph" w:customStyle="1" w:styleId="30">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1">
    <w:name w:val="Body Text First Indent1"/>
    <w:basedOn w:val="8"/>
    <w:qFormat/>
    <w:uiPriority w:val="0"/>
    <w:pPr>
      <w:tabs>
        <w:tab w:val="left" w:pos="1275"/>
      </w:tabs>
      <w:ind w:firstLine="420" w:firstLineChars="100"/>
    </w:pPr>
  </w:style>
  <w:style w:type="paragraph" w:customStyle="1" w:styleId="32">
    <w:name w:val="正文缩进1"/>
    <w:basedOn w:val="1"/>
    <w:qFormat/>
    <w:uiPriority w:val="0"/>
    <w:pPr>
      <w:ind w:firstLine="420" w:firstLineChars="200"/>
    </w:pPr>
  </w:style>
  <w:style w:type="paragraph" w:customStyle="1" w:styleId="33">
    <w:name w:val="正文（首行缩进2字符）"/>
    <w:basedOn w:val="1"/>
    <w:qFormat/>
    <w:uiPriority w:val="0"/>
    <w:pPr>
      <w:spacing w:line="360" w:lineRule="auto"/>
      <w:ind w:firstLine="480" w:firstLineChars="200"/>
    </w:pPr>
    <w:rPr>
      <w:sz w:val="24"/>
      <w:szCs w:val="20"/>
    </w:rPr>
  </w:style>
  <w:style w:type="paragraph" w:customStyle="1" w:styleId="34">
    <w:name w:val="表格文字"/>
    <w:basedOn w:val="1"/>
    <w:next w:val="8"/>
    <w:qFormat/>
    <w:uiPriority w:val="0"/>
    <w:pPr>
      <w:adjustRightInd w:val="0"/>
      <w:spacing w:line="420" w:lineRule="atLeast"/>
      <w:textAlignment w:val="baseline"/>
    </w:pPr>
  </w:style>
  <w:style w:type="character" w:customStyle="1" w:styleId="35">
    <w:name w:val="标题 1 字符"/>
    <w:basedOn w:val="26"/>
    <w:link w:val="3"/>
    <w:qFormat/>
    <w:locked/>
    <w:uiPriority w:val="99"/>
    <w:rPr>
      <w:b/>
      <w:bCs/>
      <w:kern w:val="44"/>
      <w:sz w:val="44"/>
      <w:szCs w:val="44"/>
    </w:rPr>
  </w:style>
  <w:style w:type="character" w:customStyle="1" w:styleId="36">
    <w:name w:val="标题 2 字符"/>
    <w:basedOn w:val="26"/>
    <w:link w:val="2"/>
    <w:qFormat/>
    <w:locked/>
    <w:uiPriority w:val="99"/>
    <w:rPr>
      <w:rFonts w:ascii="宋体" w:cs="宋体"/>
      <w:b/>
      <w:bCs/>
      <w:kern w:val="2"/>
      <w:sz w:val="28"/>
      <w:szCs w:val="28"/>
    </w:rPr>
  </w:style>
  <w:style w:type="character" w:customStyle="1" w:styleId="37">
    <w:name w:val="标题 3 字符"/>
    <w:basedOn w:val="26"/>
    <w:link w:val="4"/>
    <w:qFormat/>
    <w:locked/>
    <w:uiPriority w:val="99"/>
    <w:rPr>
      <w:rFonts w:ascii="宋体" w:cs="宋体"/>
      <w:b/>
      <w:bCs/>
      <w:kern w:val="2"/>
      <w:sz w:val="28"/>
      <w:szCs w:val="28"/>
    </w:rPr>
  </w:style>
  <w:style w:type="character" w:customStyle="1" w:styleId="38">
    <w:name w:val="正文文本 字符"/>
    <w:basedOn w:val="26"/>
    <w:link w:val="8"/>
    <w:semiHidden/>
    <w:qFormat/>
    <w:uiPriority w:val="99"/>
    <w:rPr>
      <w:rFonts w:ascii="Times New Roman" w:hAnsi="Times New Roman"/>
      <w:szCs w:val="21"/>
    </w:rPr>
  </w:style>
  <w:style w:type="paragraph" w:customStyle="1" w:styleId="39">
    <w:name w:val="样式 表格正文 + 两端对齐"/>
    <w:basedOn w:val="1"/>
    <w:next w:val="40"/>
    <w:qFormat/>
    <w:uiPriority w:val="99"/>
    <w:pPr>
      <w:spacing w:line="300" w:lineRule="auto"/>
    </w:pPr>
    <w:rPr>
      <w:sz w:val="24"/>
      <w:szCs w:val="24"/>
    </w:rPr>
  </w:style>
  <w:style w:type="paragraph" w:customStyle="1" w:styleId="40">
    <w:name w:val="正文1"/>
    <w:basedOn w:val="1"/>
    <w:next w:val="41"/>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1">
    <w:name w:val="自动更正"/>
    <w:next w:val="4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basedOn w:val="1"/>
    <w:next w:val="4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4">
    <w:name w:val="正文文本缩进 字符"/>
    <w:basedOn w:val="26"/>
    <w:link w:val="9"/>
    <w:semiHidden/>
    <w:qFormat/>
    <w:uiPriority w:val="99"/>
    <w:rPr>
      <w:rFonts w:ascii="Times New Roman" w:hAnsi="Times New Roman"/>
      <w:szCs w:val="21"/>
    </w:rPr>
  </w:style>
  <w:style w:type="character" w:customStyle="1" w:styleId="45">
    <w:name w:val="纯文本 字符"/>
    <w:basedOn w:val="26"/>
    <w:link w:val="11"/>
    <w:semiHidden/>
    <w:qFormat/>
    <w:uiPriority w:val="99"/>
    <w:rPr>
      <w:rFonts w:ascii="宋体" w:hAnsi="Courier New" w:cs="Courier New"/>
      <w:szCs w:val="21"/>
    </w:rPr>
  </w:style>
  <w:style w:type="character" w:customStyle="1" w:styleId="46">
    <w:name w:val="日期 字符"/>
    <w:basedOn w:val="26"/>
    <w:link w:val="12"/>
    <w:semiHidden/>
    <w:qFormat/>
    <w:uiPriority w:val="99"/>
    <w:rPr>
      <w:rFonts w:ascii="Times New Roman" w:hAnsi="Times New Roman"/>
      <w:szCs w:val="21"/>
    </w:rPr>
  </w:style>
  <w:style w:type="character" w:customStyle="1" w:styleId="47">
    <w:name w:val="批注框文本 字符"/>
    <w:basedOn w:val="26"/>
    <w:link w:val="13"/>
    <w:qFormat/>
    <w:locked/>
    <w:uiPriority w:val="99"/>
    <w:rPr>
      <w:kern w:val="2"/>
      <w:sz w:val="18"/>
      <w:szCs w:val="18"/>
    </w:rPr>
  </w:style>
  <w:style w:type="character" w:customStyle="1" w:styleId="48">
    <w:name w:val="页脚 字符"/>
    <w:basedOn w:val="26"/>
    <w:link w:val="14"/>
    <w:semiHidden/>
    <w:qFormat/>
    <w:uiPriority w:val="99"/>
    <w:rPr>
      <w:rFonts w:ascii="Times New Roman" w:hAnsi="Times New Roman"/>
      <w:sz w:val="18"/>
      <w:szCs w:val="18"/>
    </w:rPr>
  </w:style>
  <w:style w:type="character" w:customStyle="1" w:styleId="49">
    <w:name w:val="页眉 字符"/>
    <w:basedOn w:val="26"/>
    <w:link w:val="15"/>
    <w:semiHidden/>
    <w:qFormat/>
    <w:uiPriority w:val="99"/>
    <w:rPr>
      <w:rFonts w:ascii="Times New Roman" w:hAnsi="Times New Roman"/>
      <w:sz w:val="18"/>
      <w:szCs w:val="18"/>
    </w:rPr>
  </w:style>
  <w:style w:type="character" w:customStyle="1" w:styleId="50">
    <w:name w:val="正文文本首行缩进 字符"/>
    <w:basedOn w:val="38"/>
    <w:link w:val="22"/>
    <w:semiHidden/>
    <w:qFormat/>
    <w:uiPriority w:val="99"/>
    <w:rPr>
      <w:rFonts w:ascii="Times New Roman" w:hAnsi="Times New Roman"/>
      <w:szCs w:val="21"/>
    </w:rPr>
  </w:style>
  <w:style w:type="paragraph" w:customStyle="1" w:styleId="51">
    <w:name w:val="正文2"/>
    <w:basedOn w:val="1"/>
    <w:qFormat/>
    <w:uiPriority w:val="99"/>
    <w:pPr>
      <w:adjustRightInd w:val="0"/>
      <w:spacing w:before="156" w:line="360" w:lineRule="auto"/>
      <w:ind w:firstLine="510" w:firstLineChars="200"/>
    </w:pPr>
    <w:rPr>
      <w:sz w:val="24"/>
      <w:szCs w:val="24"/>
    </w:rPr>
  </w:style>
  <w:style w:type="paragraph" w:customStyle="1" w:styleId="52">
    <w:name w:val="List Paragraph1"/>
    <w:basedOn w:val="1"/>
    <w:qFormat/>
    <w:uiPriority w:val="99"/>
    <w:pPr>
      <w:widowControl/>
      <w:ind w:firstLine="420" w:firstLineChars="200"/>
      <w:jc w:val="left"/>
    </w:pPr>
    <w:rPr>
      <w:rFonts w:ascii="Calibri" w:hAnsi="Calibri" w:cs="Calibri"/>
    </w:rPr>
  </w:style>
  <w:style w:type="character" w:customStyle="1" w:styleId="53">
    <w:name w:val="style81"/>
    <w:qFormat/>
    <w:uiPriority w:val="99"/>
    <w:rPr>
      <w:sz w:val="20"/>
      <w:szCs w:val="20"/>
    </w:rPr>
  </w:style>
  <w:style w:type="paragraph" w:customStyle="1" w:styleId="54">
    <w:name w:val="列出段落1"/>
    <w:basedOn w:val="1"/>
    <w:qFormat/>
    <w:uiPriority w:val="99"/>
    <w:pPr>
      <w:ind w:firstLine="420"/>
      <w:jc w:val="left"/>
    </w:pPr>
  </w:style>
  <w:style w:type="paragraph" w:customStyle="1" w:styleId="55">
    <w:name w:val="表格"/>
    <w:basedOn w:val="1"/>
    <w:qFormat/>
    <w:uiPriority w:val="99"/>
    <w:pPr>
      <w:autoSpaceDE w:val="0"/>
      <w:autoSpaceDN w:val="0"/>
      <w:jc w:val="center"/>
      <w:textAlignment w:val="baseline"/>
    </w:pPr>
    <w:rPr>
      <w:color w:val="000000"/>
      <w:kern w:val="0"/>
    </w:rPr>
  </w:style>
  <w:style w:type="character" w:customStyle="1" w:styleId="56">
    <w:name w:val="02 Char"/>
    <w:link w:val="57"/>
    <w:qFormat/>
    <w:locked/>
    <w:uiPriority w:val="99"/>
    <w:rPr>
      <w:rFonts w:ascii="宋体" w:cs="宋体"/>
      <w:b/>
      <w:bCs/>
      <w:color w:val="FF0000"/>
      <w:kern w:val="2"/>
      <w:sz w:val="28"/>
      <w:szCs w:val="28"/>
    </w:rPr>
  </w:style>
  <w:style w:type="paragraph" w:customStyle="1" w:styleId="57">
    <w:name w:val="02"/>
    <w:basedOn w:val="2"/>
    <w:link w:val="56"/>
    <w:qFormat/>
    <w:uiPriority w:val="99"/>
    <w:pPr>
      <w:jc w:val="center"/>
    </w:pPr>
    <w:rPr>
      <w:color w:val="FF0000"/>
    </w:rPr>
  </w:style>
  <w:style w:type="character" w:customStyle="1" w:styleId="58">
    <w:name w:val="03 Char"/>
    <w:link w:val="59"/>
    <w:qFormat/>
    <w:locked/>
    <w:uiPriority w:val="99"/>
    <w:rPr>
      <w:rFonts w:ascii="宋体" w:cs="宋体"/>
      <w:b/>
      <w:bCs/>
      <w:kern w:val="2"/>
      <w:sz w:val="28"/>
      <w:szCs w:val="28"/>
    </w:rPr>
  </w:style>
  <w:style w:type="paragraph" w:customStyle="1" w:styleId="59">
    <w:name w:val="03"/>
    <w:basedOn w:val="4"/>
    <w:link w:val="58"/>
    <w:qFormat/>
    <w:uiPriority w:val="99"/>
    <w:pPr>
      <w:numPr>
        <w:ilvl w:val="0"/>
        <w:numId w:val="0"/>
      </w:numPr>
    </w:pPr>
  </w:style>
  <w:style w:type="character" w:customStyle="1" w:styleId="60">
    <w:name w:val="宋体小四 Char"/>
    <w:link w:val="61"/>
    <w:qFormat/>
    <w:locked/>
    <w:uiPriority w:val="99"/>
    <w:rPr>
      <w:rFonts w:ascii="宋体" w:eastAsia="宋体" w:cs="宋体"/>
      <w:kern w:val="2"/>
      <w:sz w:val="24"/>
      <w:szCs w:val="24"/>
    </w:rPr>
  </w:style>
  <w:style w:type="paragraph" w:customStyle="1" w:styleId="61">
    <w:name w:val="宋体小四"/>
    <w:basedOn w:val="1"/>
    <w:link w:val="60"/>
    <w:qFormat/>
    <w:uiPriority w:val="99"/>
    <w:pPr>
      <w:spacing w:line="360" w:lineRule="auto"/>
      <w:ind w:firstLine="480" w:firstLineChars="200"/>
    </w:pPr>
    <w:rPr>
      <w:rFonts w:ascii="宋体" w:hAnsi="宋体" w:cs="宋体"/>
      <w:sz w:val="24"/>
      <w:szCs w:val="24"/>
    </w:rPr>
  </w:style>
  <w:style w:type="character" w:customStyle="1" w:styleId="62">
    <w:name w:val="fontstyle01"/>
    <w:basedOn w:val="26"/>
    <w:qFormat/>
    <w:uiPriority w:val="99"/>
    <w:rPr>
      <w:rFonts w:ascii="宋体" w:eastAsia="宋体" w:cs="宋体"/>
      <w:color w:val="000000"/>
      <w:sz w:val="22"/>
      <w:szCs w:val="22"/>
    </w:rPr>
  </w:style>
  <w:style w:type="paragraph" w:customStyle="1" w:styleId="63">
    <w:name w:val="正文首行缩进2字符"/>
    <w:basedOn w:val="1"/>
    <w:qFormat/>
    <w:uiPriority w:val="99"/>
    <w:pPr>
      <w:spacing w:line="360" w:lineRule="auto"/>
      <w:ind w:firstLine="200" w:firstLineChars="200"/>
    </w:pPr>
  </w:style>
  <w:style w:type="paragraph" w:customStyle="1" w:styleId="64">
    <w:name w:val="居中表格内容标题"/>
    <w:basedOn w:val="65"/>
    <w:qFormat/>
    <w:uiPriority w:val="0"/>
    <w:pPr>
      <w:jc w:val="center"/>
    </w:pPr>
    <w:rPr>
      <w:b/>
    </w:rPr>
  </w:style>
  <w:style w:type="paragraph" w:customStyle="1" w:styleId="65">
    <w:name w:val="居中表格内容"/>
    <w:basedOn w:val="1"/>
    <w:next w:val="1"/>
    <w:qFormat/>
    <w:uiPriority w:val="0"/>
    <w:pPr>
      <w:jc w:val="left"/>
    </w:pPr>
    <w:rPr>
      <w:szCs w:val="28"/>
    </w:rPr>
  </w:style>
  <w:style w:type="paragraph" w:customStyle="1" w:styleId="66">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67">
    <w:name w:val="Body text|2"/>
    <w:basedOn w:val="1"/>
    <w:qFormat/>
    <w:uiPriority w:val="0"/>
    <w:pPr>
      <w:spacing w:line="360" w:lineRule="auto"/>
      <w:ind w:firstLine="660"/>
    </w:pPr>
    <w:rPr>
      <w:sz w:val="32"/>
      <w:szCs w:val="32"/>
      <w:lang w:val="zh-TW" w:eastAsia="zh-TW" w:bidi="zh-TW"/>
    </w:rPr>
  </w:style>
  <w:style w:type="character" w:customStyle="1" w:styleId="68">
    <w:name w:val="NormalCharacter"/>
    <w:semiHidden/>
    <w:qFormat/>
    <w:uiPriority w:val="0"/>
  </w:style>
  <w:style w:type="paragraph" w:customStyle="1" w:styleId="69">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0">
    <w:name w:val="xc正文"/>
    <w:basedOn w:val="1"/>
    <w:qFormat/>
    <w:uiPriority w:val="0"/>
    <w:pPr>
      <w:ind w:firstLine="200" w:firstLineChars="200"/>
    </w:pPr>
    <w:rPr>
      <w:szCs w:val="24"/>
    </w:rPr>
  </w:style>
  <w:style w:type="paragraph" w:styleId="71">
    <w:name w:val="List Paragraph"/>
    <w:basedOn w:val="1"/>
    <w:qFormat/>
    <w:uiPriority w:val="1"/>
    <w:pPr>
      <w:ind w:firstLine="420" w:firstLineChars="200"/>
    </w:pPr>
    <w:rPr>
      <w:szCs w:val="24"/>
    </w:rPr>
  </w:style>
  <w:style w:type="character" w:customStyle="1" w:styleId="72">
    <w:name w:val="fontstyle21"/>
    <w:qFormat/>
    <w:uiPriority w:val="0"/>
    <w:rPr>
      <w:rFonts w:hint="default" w:ascii="TimesNewRomanPSMT" w:hAnsi="TimesNewRomanPSMT"/>
      <w:color w:val="000000"/>
      <w:sz w:val="32"/>
      <w:szCs w:val="32"/>
    </w:rPr>
  </w:style>
  <w:style w:type="paragraph" w:customStyle="1" w:styleId="73">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4">
    <w:name w:val="_Style 76"/>
    <w:basedOn w:val="1"/>
    <w:next w:val="71"/>
    <w:qFormat/>
    <w:uiPriority w:val="34"/>
    <w:pPr>
      <w:ind w:firstLine="420" w:firstLineChars="200"/>
    </w:pPr>
    <w:rPr>
      <w:szCs w:val="24"/>
    </w:rPr>
  </w:style>
  <w:style w:type="paragraph" w:customStyle="1" w:styleId="75">
    <w:name w:val="纯文本1"/>
    <w:basedOn w:val="1"/>
    <w:qFormat/>
    <w:uiPriority w:val="0"/>
    <w:pPr>
      <w:ind w:firstLine="280" w:firstLineChars="100"/>
    </w:pPr>
    <w:rPr>
      <w:rFonts w:hAnsi="宋体" w:cs="Courier New"/>
    </w:rPr>
  </w:style>
  <w:style w:type="paragraph" w:customStyle="1" w:styleId="76">
    <w:name w:val="居中表名"/>
    <w:basedOn w:val="1"/>
    <w:next w:val="1"/>
    <w:qFormat/>
    <w:uiPriority w:val="0"/>
    <w:pPr>
      <w:jc w:val="center"/>
    </w:pPr>
    <w:rPr>
      <w:rFonts w:eastAsia="黑体"/>
      <w:b/>
      <w:szCs w:val="28"/>
    </w:rPr>
  </w:style>
  <w:style w:type="paragraph" w:customStyle="1" w:styleId="77">
    <w:name w:val="列表段落1"/>
    <w:basedOn w:val="1"/>
    <w:qFormat/>
    <w:uiPriority w:val="0"/>
    <w:pPr>
      <w:ind w:firstLine="420"/>
    </w:pPr>
  </w:style>
  <w:style w:type="paragraph" w:customStyle="1" w:styleId="78">
    <w:name w:val="[Normal]"/>
    <w:qFormat/>
    <w:uiPriority w:val="0"/>
    <w:rPr>
      <w:rFonts w:ascii="宋体" w:hAnsi="宋体" w:eastAsia="宋体" w:cs="Times New Roman"/>
      <w:sz w:val="24"/>
      <w:szCs w:val="22"/>
      <w:lang w:val="zh-CN" w:eastAsia="zh-CN" w:bidi="ar-SA"/>
    </w:rPr>
  </w:style>
  <w:style w:type="paragraph" w:customStyle="1" w:styleId="79">
    <w:name w:val="列出段落2"/>
    <w:basedOn w:val="1"/>
    <w:qFormat/>
    <w:uiPriority w:val="1"/>
    <w:pPr>
      <w:ind w:firstLine="420" w:firstLineChars="200"/>
    </w:pPr>
    <w:rPr>
      <w:szCs w:val="24"/>
    </w:rPr>
  </w:style>
  <w:style w:type="character" w:customStyle="1" w:styleId="80">
    <w:name w:val="font21"/>
    <w:qFormat/>
    <w:uiPriority w:val="0"/>
    <w:rPr>
      <w:rFonts w:hint="eastAsia" w:ascii="宋体" w:hAnsi="宋体" w:eastAsia="宋体" w:cs="宋体"/>
      <w:b/>
      <w:color w:val="FF0000"/>
      <w:sz w:val="24"/>
      <w:szCs w:val="24"/>
      <w:u w:val="none"/>
    </w:rPr>
  </w:style>
  <w:style w:type="paragraph" w:customStyle="1" w:styleId="81">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paragraph" w:customStyle="1" w:styleId="82">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4417</Words>
  <Characters>25179</Characters>
  <Lines>209</Lines>
  <Paragraphs>59</Paragraphs>
  <TotalTime>13</TotalTime>
  <ScaleCrop>false</ScaleCrop>
  <LinksUpToDate>false</LinksUpToDate>
  <CharactersWithSpaces>29537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2022-05-12T09:01:00Z</dcterms:created>
  <dc:creator>陈圣楠</dc:creator>
  <cp:lastModifiedBy>奔跑的五花肉</cp:lastModifiedBy>
  <cp:lastPrinted>2022-12-10T07:45:00Z</cp:lastPrinted>
  <dcterms:modified xsi:type="dcterms:W3CDTF">2023-03-06T03:00:15Z</dcterms:modified>
  <dc:title>上虞区自然资源变更监测项目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AD0B492D72B844A38CE5AB512170A69E</vt:lpwstr>
  </property>
  <property fmtid="{D5CDD505-2E9C-101B-9397-08002B2CF9AE}" pid="4" name="commondata">
    <vt:lpwstr>eyJoZGlkIjoiMGMxOTZmYmYwNmE3NDdkMjFjOTU2NTAxZjdmNTVhZjgifQ==</vt:lpwstr>
  </property>
</Properties>
</file>