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
          <w:b/>
          <w:sz w:val="44"/>
          <w:szCs w:val="44"/>
        </w:rPr>
      </w:pPr>
    </w:p>
    <w:p>
      <w:pPr>
        <w:spacing w:line="360" w:lineRule="auto"/>
        <w:jc w:val="center"/>
        <w:rPr>
          <w:rFonts w:cs="仿宋"/>
          <w:b/>
          <w:sz w:val="44"/>
          <w:szCs w:val="44"/>
        </w:rPr>
      </w:pPr>
      <w:r>
        <w:rPr>
          <w:rFonts w:hint="eastAsia" w:cs="仿宋"/>
          <w:b/>
          <w:sz w:val="44"/>
          <w:szCs w:val="44"/>
        </w:rPr>
        <w:t>杭州市萧山区第一人民医院医共体总院</w:t>
      </w:r>
    </w:p>
    <w:p>
      <w:pPr>
        <w:spacing w:line="360" w:lineRule="auto"/>
        <w:jc w:val="center"/>
        <w:rPr>
          <w:rFonts w:cs="仿宋"/>
          <w:b/>
          <w:sz w:val="48"/>
          <w:szCs w:val="48"/>
        </w:rPr>
      </w:pPr>
      <w:r>
        <w:rPr>
          <w:rFonts w:hint="eastAsia" w:cs="仿宋"/>
          <w:b/>
          <w:sz w:val="44"/>
          <w:szCs w:val="44"/>
        </w:rPr>
        <w:t>各分院检验外送政府采购项目</w:t>
      </w:r>
    </w:p>
    <w:p>
      <w:pPr>
        <w:jc w:val="center"/>
        <w:rPr>
          <w:b/>
          <w:bCs/>
          <w:sz w:val="48"/>
          <w:szCs w:val="48"/>
        </w:rPr>
      </w:pPr>
      <w:r>
        <w:rPr>
          <w:rFonts w:hint="eastAsia"/>
          <w:b/>
          <w:bCs/>
          <w:sz w:val="48"/>
          <w:szCs w:val="48"/>
        </w:rPr>
        <w:t xml:space="preserve"> </w:t>
      </w:r>
      <w:r>
        <w:rPr>
          <w:b/>
          <w:bCs/>
          <w:sz w:val="48"/>
          <w:szCs w:val="48"/>
        </w:rPr>
        <w:t xml:space="preserve">   </w:t>
      </w:r>
    </w:p>
    <w:p>
      <w:pPr>
        <w:pStyle w:val="2"/>
      </w:pPr>
    </w:p>
    <w:p/>
    <w:p>
      <w:pPr>
        <w:jc w:val="center"/>
        <w:rPr>
          <w:b/>
          <w:bCs/>
          <w:sz w:val="48"/>
          <w:szCs w:val="48"/>
        </w:rPr>
      </w:pPr>
      <w:r>
        <w:rPr>
          <w:rFonts w:hint="eastAsia"/>
          <w:b/>
          <w:bCs/>
          <w:sz w:val="48"/>
          <w:szCs w:val="48"/>
        </w:rPr>
        <w:t>招标文件</w:t>
      </w:r>
    </w:p>
    <w:p>
      <w:pPr>
        <w:jc w:val="center"/>
        <w:rPr>
          <w:b/>
          <w:bCs/>
          <w:sz w:val="48"/>
          <w:szCs w:val="48"/>
        </w:rPr>
      </w:pPr>
      <w:r>
        <w:rPr>
          <w:rFonts w:hint="eastAsia"/>
          <w:b/>
          <w:bCs/>
          <w:sz w:val="48"/>
          <w:szCs w:val="48"/>
        </w:rPr>
        <w:t>（电子招投标）</w:t>
      </w:r>
    </w:p>
    <w:p>
      <w:pPr>
        <w:snapToGrid w:val="0"/>
        <w:spacing w:line="360" w:lineRule="auto"/>
        <w:jc w:val="center"/>
        <w:rPr>
          <w:rFonts w:cs="仿宋"/>
          <w:sz w:val="30"/>
          <w:szCs w:val="30"/>
        </w:rPr>
      </w:pPr>
      <w:r>
        <w:rPr>
          <w:rFonts w:hint="eastAsia" w:cs="仿宋"/>
          <w:sz w:val="30"/>
          <w:szCs w:val="30"/>
        </w:rPr>
        <w:t xml:space="preserve">编号: </w:t>
      </w:r>
      <w:r>
        <w:rPr>
          <w:rFonts w:cs="仿宋"/>
          <w:sz w:val="30"/>
          <w:szCs w:val="30"/>
        </w:rPr>
        <w:t xml:space="preserve">XSYYYGTZY2023-GK-002 </w:t>
      </w:r>
    </w:p>
    <w:p>
      <w:pPr>
        <w:jc w:val="center"/>
        <w:rPr>
          <w:sz w:val="36"/>
        </w:rPr>
      </w:pPr>
    </w:p>
    <w:p>
      <w:pPr>
        <w:jc w:val="center"/>
        <w:rPr>
          <w:sz w:val="36"/>
        </w:rPr>
      </w:pPr>
    </w:p>
    <w:p/>
    <w:p>
      <w:pPr>
        <w:jc w:val="center"/>
      </w:pPr>
    </w:p>
    <w:p>
      <w:pPr>
        <w:snapToGrid w:val="0"/>
        <w:jc w:val="center"/>
        <w:rPr>
          <w:rFonts w:cs="仿宋_GB2312"/>
          <w:bCs/>
          <w:sz w:val="32"/>
          <w:szCs w:val="32"/>
        </w:rPr>
      </w:pPr>
      <w:r>
        <w:rPr>
          <w:rFonts w:hint="eastAsia" w:cs="仿宋_GB2312"/>
          <w:bCs/>
          <w:sz w:val="32"/>
          <w:szCs w:val="32"/>
        </w:rPr>
        <w:t>杭州市萧山区第一人民医院医共体总院</w:t>
      </w:r>
    </w:p>
    <w:p>
      <w:pPr>
        <w:snapToGrid w:val="0"/>
        <w:ind w:firstLine="640"/>
        <w:jc w:val="center"/>
        <w:rPr>
          <w:rFonts w:cs="仿宋_GB2312"/>
          <w:bCs/>
          <w:sz w:val="32"/>
          <w:szCs w:val="32"/>
        </w:rPr>
      </w:pPr>
      <w:r>
        <w:rPr>
          <w:rFonts w:hint="eastAsia" w:cs="仿宋_GB2312"/>
          <w:bCs/>
          <w:sz w:val="32"/>
          <w:szCs w:val="32"/>
        </w:rPr>
        <w:t>（杭州市萧山区第一人民医院）</w:t>
      </w:r>
    </w:p>
    <w:p>
      <w:pPr>
        <w:snapToGrid w:val="0"/>
        <w:ind w:firstLine="640"/>
        <w:jc w:val="center"/>
        <w:rPr>
          <w:rFonts w:cs="仿宋_GB2312"/>
          <w:bCs/>
          <w:sz w:val="32"/>
          <w:szCs w:val="32"/>
        </w:rPr>
      </w:pPr>
      <w:r>
        <w:rPr>
          <w:rFonts w:hint="eastAsia" w:cs="仿宋_GB2312"/>
          <w:bCs/>
          <w:sz w:val="32"/>
          <w:szCs w:val="32"/>
        </w:rPr>
        <w:t>浙江翔实建设项目管理有限公司</w:t>
      </w:r>
    </w:p>
    <w:p>
      <w:pPr>
        <w:jc w:val="center"/>
        <w:rPr>
          <w:sz w:val="36"/>
        </w:rPr>
      </w:pPr>
      <w:r>
        <w:rPr>
          <w:rFonts w:hint="eastAsia"/>
          <w:sz w:val="36"/>
        </w:rPr>
        <w:t>二</w:t>
      </w:r>
      <w:r>
        <w:rPr>
          <w:rFonts w:hint="eastAsia" w:ascii="宋体" w:hAnsi="宋体" w:cs="宋体"/>
          <w:bCs/>
          <w:sz w:val="32"/>
          <w:szCs w:val="32"/>
        </w:rPr>
        <w:t>〇</w:t>
      </w:r>
      <w:r>
        <w:rPr>
          <w:rFonts w:hint="eastAsia"/>
          <w:sz w:val="36"/>
        </w:rPr>
        <w:t>二三年二月</w:t>
      </w:r>
      <w:r>
        <w:rPr>
          <w:rFonts w:hint="eastAsia"/>
          <w:sz w:val="36"/>
          <w:lang w:eastAsia="zh-CN"/>
        </w:rPr>
        <w:t>十六</w:t>
      </w:r>
      <w:r>
        <w:rPr>
          <w:rFonts w:hint="eastAsia"/>
          <w:sz w:val="36"/>
        </w:rPr>
        <w:t>日</w:t>
      </w:r>
    </w:p>
    <w:p>
      <w:pPr>
        <w:jc w:val="center"/>
        <w:rPr>
          <w:rFonts w:ascii="宋体" w:hAnsi="宋体" w:eastAsia="宋体"/>
        </w:rPr>
      </w:pPr>
      <w:r>
        <w:rPr>
          <w:rFonts w:hint="eastAsia"/>
        </w:rPr>
        <w:t>本招标文件为</w:t>
      </w:r>
      <w:r>
        <w:t>2022</w:t>
      </w:r>
      <w:r>
        <w:rPr>
          <w:rFonts w:hint="eastAsia"/>
        </w:rPr>
        <w:t>年</w:t>
      </w:r>
      <w:r>
        <w:t>7</w:t>
      </w:r>
      <w:r>
        <w:rPr>
          <w:rFonts w:hint="eastAsia"/>
        </w:rPr>
        <w:t>月</w:t>
      </w:r>
      <w:r>
        <w:t>1</w:t>
      </w:r>
      <w:r>
        <w:rPr>
          <w:rFonts w:hint="eastAsia"/>
        </w:rPr>
        <w:t>日稿，请各位投标人详细阅读各项条款</w:t>
      </w:r>
    </w:p>
    <w:p>
      <w:pPr>
        <w:pStyle w:val="3"/>
        <w:rPr>
          <w:rFonts w:ascii="宋体" w:hAnsi="宋体" w:eastAsia="宋体"/>
        </w:rPr>
      </w:pPr>
    </w:p>
    <w:p/>
    <w:p>
      <w:pPr>
        <w:pStyle w:val="3"/>
        <w:rPr>
          <w:rFonts w:ascii="宋体" w:hAnsi="宋体" w:eastAsia="宋体"/>
        </w:rPr>
      </w:pPr>
      <w:r>
        <w:rPr>
          <w:rFonts w:hint="eastAsia" w:ascii="宋体" w:hAnsi="宋体" w:eastAsia="宋体"/>
        </w:rPr>
        <w:t>目</w:t>
      </w:r>
      <w:r>
        <w:rPr>
          <w:rFonts w:ascii="宋体" w:hAnsi="宋体" w:eastAsia="宋体"/>
        </w:rPr>
        <w:t xml:space="preserve">  </w:t>
      </w:r>
      <w:r>
        <w:rPr>
          <w:rFonts w:hint="eastAsia" w:ascii="宋体" w:hAnsi="宋体" w:eastAsia="宋体"/>
        </w:rPr>
        <w:t>录</w:t>
      </w:r>
    </w:p>
    <w:p>
      <w:pPr>
        <w:rPr>
          <w:rFonts w:ascii="宋体" w:hAnsi="宋体" w:eastAsia="宋体"/>
        </w:rPr>
      </w:pPr>
    </w:p>
    <w:p>
      <w:pPr>
        <w:rPr>
          <w:rFonts w:ascii="宋体" w:hAnsi="宋体" w:eastAsia="宋体"/>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p>
    <w:p>
      <w:pPr>
        <w:pStyle w:val="12"/>
        <w:ind w:firstLine="743"/>
        <w:rPr>
          <w:rFonts w:ascii="仿宋_GB2312" w:eastAsia="仿宋_GB2312"/>
          <w:b/>
          <w:smallCaps/>
          <w:spacing w:val="5"/>
          <w:sz w:val="36"/>
          <w:szCs w:val="36"/>
        </w:rPr>
      </w:pPr>
    </w:p>
    <w:p>
      <w:pPr>
        <w:pStyle w:val="11"/>
        <w:rPr>
          <w:rFonts w:ascii="仿宋_GB2312" w:eastAsia="仿宋_GB2312"/>
          <w:b/>
          <w:smallCaps/>
          <w:color w:val="auto"/>
          <w:spacing w:val="5"/>
          <w:sz w:val="36"/>
          <w:szCs w:val="36"/>
        </w:rPr>
      </w:pPr>
    </w:p>
    <w:p>
      <w:pPr>
        <w:rPr>
          <w:rFonts w:ascii="仿宋_GB2312" w:eastAsia="仿宋_GB2312"/>
          <w:b/>
          <w:smallCaps/>
          <w:spacing w:val="5"/>
          <w:sz w:val="36"/>
          <w:szCs w:val="36"/>
        </w:rPr>
      </w:pPr>
    </w:p>
    <w:p>
      <w:pPr>
        <w:pStyle w:val="12"/>
        <w:ind w:firstLine="743"/>
        <w:rPr>
          <w:rFonts w:ascii="仿宋_GB2312" w:eastAsia="仿宋_GB2312"/>
          <w:b/>
          <w:smallCaps/>
          <w:spacing w:val="5"/>
          <w:sz w:val="36"/>
          <w:szCs w:val="36"/>
        </w:rPr>
      </w:pPr>
    </w:p>
    <w:p>
      <w:pPr>
        <w:pStyle w:val="11"/>
        <w:rPr>
          <w:rFonts w:ascii="仿宋_GB2312" w:eastAsia="仿宋_GB2312"/>
          <w:b/>
          <w:smallCaps/>
          <w:color w:val="auto"/>
          <w:spacing w:val="5"/>
          <w:sz w:val="36"/>
          <w:szCs w:val="36"/>
        </w:rPr>
      </w:pPr>
    </w:p>
    <w:p>
      <w:pPr>
        <w:rPr>
          <w:rFonts w:ascii="仿宋_GB2312" w:eastAsia="仿宋_GB2312"/>
          <w:b/>
          <w:smallCaps/>
          <w:spacing w:val="5"/>
          <w:sz w:val="36"/>
          <w:szCs w:val="36"/>
        </w:rPr>
      </w:pPr>
    </w:p>
    <w:p>
      <w:pPr>
        <w:pStyle w:val="12"/>
        <w:ind w:firstLine="743"/>
        <w:rPr>
          <w:rFonts w:ascii="仿宋_GB2312" w:eastAsia="仿宋_GB2312"/>
          <w:b/>
          <w:smallCaps/>
          <w:spacing w:val="5"/>
          <w:sz w:val="36"/>
          <w:szCs w:val="36"/>
        </w:rPr>
      </w:pPr>
    </w:p>
    <w:p>
      <w:pPr>
        <w:pStyle w:val="11"/>
        <w:rPr>
          <w:rFonts w:ascii="仿宋_GB2312" w:eastAsia="仿宋_GB2312"/>
          <w:b/>
          <w:smallCaps/>
          <w:color w:val="auto"/>
          <w:spacing w:val="5"/>
          <w:sz w:val="36"/>
          <w:szCs w:val="36"/>
        </w:rPr>
      </w:pPr>
    </w:p>
    <w:p>
      <w:pPr>
        <w:rPr>
          <w:rFonts w:ascii="仿宋_GB2312" w:eastAsia="仿宋_GB2312"/>
          <w:b/>
          <w:smallCaps/>
          <w:spacing w:val="5"/>
          <w:sz w:val="36"/>
          <w:szCs w:val="36"/>
        </w:rPr>
      </w:pPr>
    </w:p>
    <w:p/>
    <w:p>
      <w:pPr>
        <w:pStyle w:val="3"/>
      </w:pPr>
      <w:r>
        <w:rPr>
          <w:rFonts w:hint="eastAsia"/>
        </w:rPr>
        <w:t>第一部分</w:t>
      </w:r>
      <w:r>
        <w:t xml:space="preserve"> </w:t>
      </w:r>
      <w:r>
        <w:rPr>
          <w:rFonts w:hint="eastAsia"/>
        </w:rPr>
        <w:t>招标公告</w:t>
      </w:r>
    </w:p>
    <w:tbl>
      <w:tblPr>
        <w:tblStyle w:val="30"/>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9081" w:type="dxa"/>
          </w:tcPr>
          <w:p>
            <w:pPr>
              <w:spacing w:after="0"/>
            </w:pPr>
          </w:p>
          <w:p>
            <w:pPr>
              <w:spacing w:after="0" w:line="360" w:lineRule="auto"/>
            </w:pPr>
            <w:r>
              <w:rPr>
                <w:rFonts w:hint="eastAsia"/>
              </w:rPr>
              <w:t>项目概况</w:t>
            </w:r>
          </w:p>
          <w:p>
            <w:pPr>
              <w:spacing w:after="0" w:line="360" w:lineRule="auto"/>
              <w:ind w:firstLine="480" w:firstLineChars="200"/>
            </w:pPr>
            <w:r>
              <w:rPr>
                <w:rFonts w:hint="eastAsia" w:ascii="仿宋" w:hAnsi="仿宋" w:eastAsia="仿宋" w:cs="仿宋"/>
                <w:u w:val="single"/>
              </w:rPr>
              <w:t>杭州市萧山区第一人民医院医共体总院各分院检验外送政府采购项目</w:t>
            </w:r>
            <w:r>
              <w:rPr>
                <w:rFonts w:hint="eastAsia" w:ascii="仿宋" w:hAnsi="仿宋" w:eastAsia="仿宋" w:cs="仿宋"/>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"https://www.zcygov.cn/）获取（下载）招标文件，并于2023年3月%20%20%20%20日9点00分00秒" </w:instrText>
            </w:r>
            <w:r>
              <w:rPr>
                <w:rFonts w:hint="eastAsia" w:ascii="仿宋" w:hAnsi="仿宋" w:eastAsia="仿宋" w:cs="仿宋"/>
              </w:rPr>
              <w:fldChar w:fldCharType="separate"/>
            </w:r>
            <w:r>
              <w:rPr>
                <w:rStyle w:val="35"/>
                <w:rFonts w:hint="eastAsia" w:ascii="仿宋" w:hAnsi="仿宋" w:eastAsia="仿宋" w:cs="仿宋"/>
                <w:kern w:val="2"/>
                <w:sz w:val="24"/>
              </w:rPr>
              <w:t>https://www.zcygov.cn/）获取（下载）招标文件，并于</w:t>
            </w:r>
            <w:r>
              <w:rPr>
                <w:rStyle w:val="35"/>
                <w:rFonts w:hint="eastAsia" w:ascii="仿宋" w:hAnsi="仿宋" w:eastAsia="仿宋" w:cs="仿宋"/>
                <w:snapToGrid/>
                <w:sz w:val="24"/>
              </w:rPr>
              <w:t>2023</w:t>
            </w:r>
            <w:r>
              <w:rPr>
                <w:rStyle w:val="35"/>
                <w:rFonts w:hint="eastAsia" w:ascii="仿宋" w:hAnsi="仿宋" w:eastAsia="仿宋" w:cs="仿宋"/>
                <w:snapToGrid/>
                <w:sz w:val="24"/>
              </w:rPr>
              <w:t>年3</w:t>
            </w:r>
            <w:r>
              <w:rPr>
                <w:rStyle w:val="35"/>
                <w:rFonts w:hint="eastAsia" w:ascii="仿宋" w:hAnsi="仿宋" w:eastAsia="仿宋" w:cs="仿宋"/>
                <w:snapToGrid/>
                <w:sz w:val="24"/>
              </w:rPr>
              <w:t xml:space="preserve">月 </w:t>
            </w:r>
            <w:r>
              <w:rPr>
                <w:rStyle w:val="35"/>
                <w:rFonts w:hint="eastAsia" w:ascii="仿宋" w:hAnsi="仿宋" w:eastAsia="仿宋" w:cs="仿宋"/>
                <w:sz w:val="24"/>
                <w:lang w:val="en-US" w:eastAsia="zh-CN"/>
              </w:rPr>
              <w:t>8</w:t>
            </w:r>
            <w:r>
              <w:rPr>
                <w:rStyle w:val="35"/>
                <w:rFonts w:hint="eastAsia" w:ascii="仿宋" w:hAnsi="仿宋" w:eastAsia="仿宋" w:cs="仿宋"/>
                <w:sz w:val="24"/>
              </w:rPr>
              <w:t xml:space="preserve"> </w:t>
            </w:r>
            <w:r>
              <w:rPr>
                <w:rStyle w:val="35"/>
                <w:rFonts w:hint="eastAsia" w:ascii="仿宋" w:hAnsi="仿宋" w:eastAsia="仿宋" w:cs="仿宋"/>
                <w:snapToGrid/>
                <w:sz w:val="24"/>
              </w:rPr>
              <w:t>日9点</w:t>
            </w:r>
            <w:r>
              <w:rPr>
                <w:rStyle w:val="35"/>
                <w:rFonts w:hint="eastAsia" w:ascii="仿宋" w:hAnsi="仿宋" w:eastAsia="仿宋" w:cs="仿宋"/>
                <w:snapToGrid/>
                <w:sz w:val="24"/>
                <w:lang w:val="en-US" w:eastAsia="zh-CN"/>
              </w:rPr>
              <w:t>3</w:t>
            </w:r>
            <w:r>
              <w:rPr>
                <w:rStyle w:val="35"/>
                <w:rFonts w:hint="eastAsia" w:ascii="仿宋" w:hAnsi="仿宋" w:eastAsia="仿宋" w:cs="仿宋"/>
                <w:snapToGrid/>
                <w:sz w:val="24"/>
              </w:rPr>
              <w:t>0分</w:t>
            </w:r>
            <w:r>
              <w:rPr>
                <w:rStyle w:val="35"/>
                <w:rFonts w:hint="eastAsia" w:ascii="仿宋" w:hAnsi="仿宋" w:eastAsia="仿宋" w:cs="仿宋"/>
                <w:bCs/>
                <w:snapToGrid/>
                <w:sz w:val="24"/>
              </w:rPr>
              <w:t>00秒</w:t>
            </w:r>
            <w:r>
              <w:rPr>
                <w:rStyle w:val="35"/>
                <w:rFonts w:hint="eastAsia" w:ascii="仿宋" w:hAnsi="仿宋" w:eastAsia="仿宋" w:cs="仿宋"/>
                <w:bCs/>
                <w:snapToGrid/>
                <w:sz w:val="24"/>
              </w:rPr>
              <w:fldChar w:fldCharType="end"/>
            </w:r>
            <w:r>
              <w:rPr>
                <w:rFonts w:hint="eastAsia" w:ascii="仿宋" w:hAnsi="仿宋" w:eastAsia="仿宋" w:cs="仿宋"/>
                <w:bCs/>
              </w:rPr>
              <w:t>（北京时间）前</w:t>
            </w:r>
            <w:r>
              <w:rPr>
                <w:rFonts w:hint="eastAsia" w:ascii="仿宋" w:hAnsi="仿宋" w:eastAsia="仿宋" w:cs="仿宋"/>
              </w:rPr>
              <w:t>递交（上传）投标文件</w:t>
            </w:r>
            <w:r>
              <w:rPr>
                <w:rFonts w:hint="eastAsia" w:cs="仿宋"/>
              </w:rPr>
              <w:t>。</w:t>
            </w:r>
          </w:p>
        </w:tc>
      </w:tr>
    </w:tbl>
    <w:p>
      <w:pPr>
        <w:spacing w:line="300" w:lineRule="exact"/>
        <w:rPr>
          <w:b/>
        </w:rPr>
      </w:pPr>
      <w:r>
        <w:rPr>
          <w:rFonts w:hint="eastAsia"/>
          <w:b/>
        </w:rPr>
        <w:t>一、项目基本情况</w:t>
      </w:r>
      <w:r>
        <w:rPr>
          <w:b/>
        </w:rPr>
        <w:t xml:space="preserve">                                            </w:t>
      </w:r>
    </w:p>
    <w:p>
      <w:pPr>
        <w:spacing w:line="300" w:lineRule="exact"/>
      </w:pPr>
      <w:r>
        <w:rPr>
          <w:rFonts w:hint="eastAsia"/>
          <w:b/>
        </w:rPr>
        <w:t>项目编号：</w:t>
      </w:r>
      <w:r>
        <w:t xml:space="preserve"> XSYYYGTZY2023-GK-002</w:t>
      </w:r>
    </w:p>
    <w:p>
      <w:pPr>
        <w:spacing w:line="300" w:lineRule="exact"/>
      </w:pPr>
      <w:r>
        <w:rPr>
          <w:rFonts w:hint="eastAsia"/>
          <w:b/>
        </w:rPr>
        <w:t>项目名称：</w:t>
      </w:r>
      <w:r>
        <w:rPr>
          <w:rFonts w:hint="eastAsia"/>
        </w:rPr>
        <w:t>杭州市萧山区第一人民医院医共体总院各分院检验外送政府采购项目</w:t>
      </w:r>
    </w:p>
    <w:p>
      <w:pPr>
        <w:spacing w:line="300" w:lineRule="exact"/>
      </w:pPr>
      <w:r>
        <w:rPr>
          <w:rFonts w:hint="eastAsia"/>
          <w:b/>
        </w:rPr>
        <w:t>预算金额（元）：</w:t>
      </w:r>
      <w:r>
        <w:t xml:space="preserve"> </w:t>
      </w:r>
      <w:r>
        <w:rPr>
          <w:b/>
        </w:rPr>
        <w:t>8800000</w:t>
      </w:r>
      <w:r>
        <w:t xml:space="preserve"> </w:t>
      </w:r>
    </w:p>
    <w:p>
      <w:pPr>
        <w:spacing w:line="300" w:lineRule="exact"/>
      </w:pPr>
      <w:r>
        <w:rPr>
          <w:rFonts w:hint="eastAsia"/>
          <w:b/>
        </w:rPr>
        <w:t>最高限价（元）：</w:t>
      </w:r>
      <w:r>
        <w:t xml:space="preserve"> </w:t>
      </w:r>
      <w:r>
        <w:rPr>
          <w:b/>
        </w:rPr>
        <w:t>8800000</w:t>
      </w:r>
      <w:r>
        <w:t xml:space="preserve"> </w:t>
      </w:r>
      <w:r>
        <w:rPr>
          <w:rFonts w:ascii="宋体" w:hAnsi="宋体"/>
        </w:rPr>
        <w:t xml:space="preserve"> </w:t>
      </w:r>
    </w:p>
    <w:p>
      <w:pPr>
        <w:spacing w:line="300" w:lineRule="exact"/>
      </w:pPr>
      <w:r>
        <w:rPr>
          <w:rFonts w:hint="eastAsia"/>
          <w:b/>
        </w:rPr>
        <w:t>采购需求：</w:t>
      </w:r>
      <w:r>
        <w:rPr>
          <w:rFonts w:hint="eastAsia"/>
        </w:rPr>
        <w:t>杭州市萧山区第一人民医院医共体总院各分院</w:t>
      </w:r>
      <w:r>
        <w:t>检验外送政府采购项目</w:t>
      </w:r>
      <w:r>
        <w:rPr>
          <w:rFonts w:hint="eastAsia"/>
        </w:rPr>
        <w:t>，主要内容：详见招标文件第三部分采购需求。</w:t>
      </w:r>
    </w:p>
    <w:p>
      <w:pPr>
        <w:pStyle w:val="2"/>
      </w:pPr>
      <w:r>
        <w:rPr>
          <w:rFonts w:hint="eastAsia"/>
        </w:rPr>
        <w:t>备注：</w:t>
      </w:r>
      <w:r>
        <w:t>本项目设有最高限价，</w:t>
      </w:r>
      <w:r>
        <w:rPr>
          <w:rFonts w:hint="eastAsia"/>
        </w:rPr>
        <w:t>普检类最高折扣为</w:t>
      </w:r>
      <w:r>
        <w:t>37%</w:t>
      </w:r>
      <w:r>
        <w:rPr>
          <w:rFonts w:hint="eastAsia"/>
        </w:rPr>
        <w:t>，特检类最高折扣为</w:t>
      </w:r>
      <w:r>
        <w:t>65%</w:t>
      </w:r>
      <w:r>
        <w:rPr>
          <w:rFonts w:hint="eastAsia"/>
        </w:rPr>
        <w:t>，体检类最高折扣为</w:t>
      </w:r>
      <w:r>
        <w:t>24%</w:t>
      </w:r>
      <w:r>
        <w:rPr>
          <w:rFonts w:hint="eastAsia"/>
        </w:rPr>
        <w:t>。</w:t>
      </w:r>
      <w:r>
        <w:t xml:space="preserve"> </w:t>
      </w:r>
    </w:p>
    <w:p>
      <w:pPr>
        <w:spacing w:line="300" w:lineRule="exact"/>
      </w:pPr>
      <w:r>
        <w:rPr>
          <w:rFonts w:hint="eastAsia"/>
          <w:b/>
        </w:rPr>
        <w:t>合同履约期限：</w:t>
      </w:r>
      <w:r>
        <w:rPr>
          <w:rFonts w:hint="eastAsia"/>
        </w:rPr>
        <w:t>服务期</w:t>
      </w:r>
      <w:r>
        <w:t>1</w:t>
      </w:r>
      <w:r>
        <w:rPr>
          <w:rFonts w:hint="eastAsia"/>
        </w:rPr>
        <w:t>年。</w:t>
      </w:r>
    </w:p>
    <w:p>
      <w:pPr>
        <w:spacing w:line="300" w:lineRule="exact"/>
      </w:pPr>
      <w:r>
        <w:rPr>
          <w:rFonts w:hint="eastAsia"/>
          <w:b/>
        </w:rPr>
        <w:t>本项目接受联合体投标：</w:t>
      </w:r>
      <w:r>
        <w:rPr>
          <w:rFonts w:hint="eastAsia"/>
        </w:rPr>
        <w:t>（√）是</w:t>
      </w:r>
      <w:r>
        <w:t xml:space="preserve"> </w:t>
      </w:r>
      <w:r>
        <w:rPr>
          <w:rFonts w:hint="eastAsia"/>
        </w:rPr>
        <w:t>。</w:t>
      </w:r>
    </w:p>
    <w:p>
      <w:r>
        <w:rPr>
          <w:rFonts w:hint="eastAsia"/>
          <w:b/>
        </w:rPr>
        <w:t>二、申请人的资格要求</w:t>
      </w:r>
      <w:r>
        <w:rPr>
          <w:rFonts w:hint="eastAsia"/>
        </w:rPr>
        <w:t>：</w:t>
      </w:r>
    </w:p>
    <w:p>
      <w:r>
        <w:t>1. 满足《中华人民共和国政府采购法》第二十二条规定；未被“信用中国”（www.creditchina.gov.cn)、中国政府采购网（www.ccgp.gov.cn）列入失信被执行人、重大税收违法案件当事人名单、政府采购严重违法失信行为记录名单；</w:t>
      </w:r>
    </w:p>
    <w:p>
      <w:r>
        <w:t>2.</w:t>
      </w:r>
      <w:r>
        <w:rPr>
          <w:rFonts w:hint="eastAsia"/>
        </w:rPr>
        <w:t>落实政府采购政策需满足的资格要求：</w:t>
      </w:r>
      <w:r>
        <w:t xml:space="preserve"> </w:t>
      </w:r>
    </w:p>
    <w:p>
      <w:pPr>
        <w:ind w:firstLine="240" w:firstLineChars="100"/>
      </w:pPr>
      <w:r>
        <w:rPr>
          <w:rFonts w:hint="eastAsia"/>
        </w:rPr>
        <w:t>（√）专门面向中小企业</w:t>
      </w:r>
    </w:p>
    <w:p>
      <w:pPr>
        <w:ind w:firstLine="240" w:firstLineChars="100"/>
      </w:pPr>
      <w:r>
        <w:rPr>
          <w:rFonts w:hint="eastAsia"/>
        </w:rPr>
        <w:t>（√</w:t>
      </w:r>
      <w:r>
        <w:t xml:space="preserve"> </w:t>
      </w:r>
      <w:r>
        <w:rPr>
          <w:rFonts w:hint="eastAsia"/>
        </w:rPr>
        <w:t>）服务全部由符合政策要求的中小企业承接，提供中小企业声明函；</w:t>
      </w:r>
    </w:p>
    <w:p>
      <w:r>
        <w:t>3.本项目的特定资格要求：</w:t>
      </w:r>
      <w:r>
        <w:rPr>
          <w:rFonts w:hint="eastAsia"/>
        </w:rPr>
        <w:t>投标人具有《医疗机构执业许可证》；</w:t>
      </w:r>
    </w:p>
    <w:p>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rPr>
          <w:b/>
        </w:rPr>
      </w:pPr>
      <w:r>
        <w:rPr>
          <w:rFonts w:hint="eastAsia"/>
          <w:b/>
        </w:rPr>
        <w:t>三、获取招标文件</w:t>
      </w:r>
      <w:r>
        <w:rPr>
          <w:b/>
        </w:rPr>
        <w:t xml:space="preserve"> </w:t>
      </w:r>
    </w:p>
    <w:p>
      <w:r>
        <w:rPr>
          <w:rFonts w:hint="eastAsia"/>
        </w:rPr>
        <w:t>时间：</w:t>
      </w:r>
      <w:r>
        <w:t xml:space="preserve">/至2023年3月 </w:t>
      </w:r>
      <w:r>
        <w:rPr>
          <w:rFonts w:hint="eastAsia"/>
          <w:lang w:val="en-US" w:eastAsia="zh-CN"/>
        </w:rPr>
        <w:t>8</w:t>
      </w:r>
      <w:r>
        <w:t xml:space="preserve"> 日</w:t>
      </w:r>
      <w:r>
        <w:rPr>
          <w:rFonts w:hint="eastAsia"/>
        </w:rPr>
        <w:t>，每天上午</w:t>
      </w:r>
      <w:r>
        <w:t xml:space="preserve">00:00至12:00 </w:t>
      </w:r>
      <w:r>
        <w:rPr>
          <w:rFonts w:hint="eastAsia"/>
        </w:rPr>
        <w:t>，下午</w:t>
      </w:r>
      <w:r>
        <w:t>12:00至23:59（北京时间，线上获取法定节假日均可，线下获取文件法定节假日除外）</w:t>
      </w:r>
    </w:p>
    <w:p>
      <w:r>
        <w:rPr>
          <w:rFonts w:hint="eastAsia"/>
        </w:rPr>
        <w:t>地点（网址）：政采云平台（</w:t>
      </w:r>
      <w:r>
        <w:t xml:space="preserve">https://www.zcygov.cn/） </w:t>
      </w:r>
    </w:p>
    <w:p>
      <w:r>
        <w:rPr>
          <w:rFonts w:hint="eastAsia"/>
        </w:rPr>
        <w:t>方式：供应商登录政采云平台</w:t>
      </w:r>
      <w:r>
        <w:t xml:space="preserve">https://www.zcygov.cn/在线申请获取采购文件（进入“项目采购”应用，在获取采购文件菜单中选择项目，申请获取采购文件）。 </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2023年3</w:t>
      </w:r>
      <w:r>
        <w:rPr>
          <w:rFonts w:hint="eastAsia"/>
        </w:rPr>
        <w:t>月</w:t>
      </w:r>
      <w:r>
        <w:t xml:space="preserve"> </w:t>
      </w:r>
      <w:r>
        <w:rPr>
          <w:rFonts w:hint="eastAsia"/>
          <w:lang w:val="en-US" w:eastAsia="zh-CN"/>
        </w:rPr>
        <w:t>8</w:t>
      </w:r>
      <w:r>
        <w:rPr>
          <w:rFonts w:hint="eastAsia"/>
        </w:rPr>
        <w:t>日</w:t>
      </w:r>
      <w:r>
        <w:t>9点</w:t>
      </w:r>
      <w:r>
        <w:rPr>
          <w:rFonts w:hint="eastAsia"/>
          <w:lang w:val="en-US" w:eastAsia="zh-CN"/>
        </w:rPr>
        <w:t>3</w:t>
      </w:r>
      <w:r>
        <w:t xml:space="preserve">0分 </w:t>
      </w:r>
      <w:r>
        <w:rPr>
          <w:rFonts w:hint="eastAsia"/>
        </w:rPr>
        <w:t>（北京时间）</w:t>
      </w:r>
    </w:p>
    <w:p>
      <w:r>
        <w:rPr>
          <w:rFonts w:hint="eastAsia"/>
        </w:rPr>
        <w:t>投标地点（网址）：政采云平台（</w:t>
      </w:r>
      <w:r>
        <w:t xml:space="preserve">https://www.zcygov.cn/） </w:t>
      </w:r>
    </w:p>
    <w:p>
      <w:r>
        <w:rPr>
          <w:rFonts w:hint="eastAsia"/>
        </w:rPr>
        <w:t>开标时间：</w:t>
      </w:r>
      <w:r>
        <w:t>2023年3</w:t>
      </w:r>
      <w:r>
        <w:rPr>
          <w:rFonts w:hint="eastAsia"/>
        </w:rPr>
        <w:t>月</w:t>
      </w:r>
      <w:r>
        <w:rPr>
          <w:rFonts w:hint="eastAsia"/>
          <w:lang w:val="en-US" w:eastAsia="zh-CN"/>
        </w:rPr>
        <w:t>8</w:t>
      </w:r>
      <w:r>
        <w:t xml:space="preserve"> </w:t>
      </w:r>
      <w:r>
        <w:rPr>
          <w:rFonts w:hint="eastAsia"/>
        </w:rPr>
        <w:t>日</w:t>
      </w:r>
      <w:r>
        <w:t>9点</w:t>
      </w:r>
      <w:r>
        <w:rPr>
          <w:rFonts w:hint="eastAsia"/>
          <w:lang w:val="en-US" w:eastAsia="zh-CN"/>
        </w:rPr>
        <w:t>3</w:t>
      </w:r>
      <w:r>
        <w:t xml:space="preserve">0分 </w:t>
      </w:r>
    </w:p>
    <w:p>
      <w:r>
        <w:rPr>
          <w:rFonts w:hint="eastAsia"/>
        </w:rPr>
        <w:t>开标地点（网址）：</w:t>
      </w:r>
      <w:r>
        <w:t>政</w:t>
      </w:r>
      <w:r>
        <w:rPr>
          <w:rFonts w:hint="eastAsia"/>
        </w:rPr>
        <w:t>采云平台（</w:t>
      </w:r>
      <w:r>
        <w:t>https://www.zcygov.cn/）[</w:t>
      </w:r>
      <w:r>
        <w:rPr>
          <w:rFonts w:hint="eastAsia"/>
        </w:rPr>
        <w:t>杭州市萧山区北干街道金惠路</w:t>
      </w:r>
      <w:r>
        <w:t>358号汇通大厦4幢6楼]。</w:t>
      </w:r>
    </w:p>
    <w:p>
      <w:pPr>
        <w:rPr>
          <w:b/>
        </w:rPr>
      </w:pPr>
      <w:r>
        <w:rPr>
          <w:rFonts w:hint="eastAsia"/>
          <w:b/>
        </w:rPr>
        <w:t>五、公告期限</w:t>
      </w:r>
      <w:r>
        <w:rPr>
          <w:b/>
        </w:rPr>
        <w:t xml:space="preserve"> </w:t>
      </w:r>
    </w:p>
    <w:p>
      <w:r>
        <w:rPr>
          <w:rFonts w:hint="eastAsia"/>
        </w:rPr>
        <w:t>自本公告发布之日起</w:t>
      </w:r>
      <w:r>
        <w:t>5个工作日。</w:t>
      </w:r>
    </w:p>
    <w:p>
      <w:pPr>
        <w:rPr>
          <w:b/>
        </w:rPr>
      </w:pPr>
      <w:r>
        <w:rPr>
          <w:rFonts w:hint="eastAsia"/>
          <w:b/>
        </w:rPr>
        <w:t>六、其他补充事宜</w:t>
      </w:r>
    </w:p>
    <w:p>
      <w:pPr>
        <w:spacing w:line="440" w:lineRule="exact"/>
        <w:ind w:firstLine="480" w:firstLineChars="200"/>
      </w:pPr>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pPr>
        <w:spacing w:line="440" w:lineRule="exact"/>
        <w:ind w:firstLine="480" w:firstLineChars="200"/>
      </w:pPr>
      <w:r>
        <w:t>2.其他事项：（1）需要落实的政府采购政策：包括节约资源、保护环境、支持创新、促进中小企业发展等。详见招标文件的第二部分总则。（2）电子招投标的说明：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rPr>
          <w:b/>
        </w:rPr>
      </w:pPr>
      <w:r>
        <w:rPr>
          <w:rFonts w:hint="eastAsia"/>
          <w:b/>
        </w:rPr>
        <w:t>七、对本次采购提出询问、质疑、投诉，请按以下方式联系</w:t>
      </w:r>
    </w:p>
    <w:p>
      <w:pPr>
        <w:spacing w:line="300" w:lineRule="exact"/>
        <w:ind w:firstLine="240" w:firstLineChars="100"/>
      </w:pPr>
      <w:r>
        <w:t>1.</w:t>
      </w:r>
      <w:bookmarkStart w:id="0" w:name="_Toc28359009"/>
      <w:bookmarkStart w:id="1" w:name="_Toc28359086"/>
      <w:r>
        <w:rPr>
          <w:rFonts w:hint="eastAsia"/>
        </w:rPr>
        <w:t>采购人信息</w:t>
      </w:r>
    </w:p>
    <w:p>
      <w:pPr>
        <w:spacing w:line="300" w:lineRule="exact"/>
        <w:ind w:firstLine="240" w:firstLineChars="100"/>
      </w:pPr>
      <w:r>
        <w:rPr>
          <w:rFonts w:hint="eastAsia"/>
        </w:rPr>
        <w:t>名</w:t>
      </w:r>
      <w:r>
        <w:t xml:space="preserve"> </w:t>
      </w:r>
      <w:r>
        <w:rPr>
          <w:rFonts w:hint="eastAsia"/>
        </w:rPr>
        <w:t>称：杭州市萧山区第一人民医院医共体总院（杭州市萧山区第一人民医院）</w:t>
      </w:r>
    </w:p>
    <w:p>
      <w:pPr>
        <w:spacing w:line="300" w:lineRule="exact"/>
        <w:ind w:firstLine="240" w:firstLineChars="100"/>
      </w:pPr>
      <w:r>
        <w:rPr>
          <w:rFonts w:hint="eastAsia"/>
        </w:rPr>
        <w:t>地址：杭州市萧山区市心南路</w:t>
      </w:r>
      <w:r>
        <w:t>199号</w:t>
      </w:r>
    </w:p>
    <w:p>
      <w:pPr>
        <w:spacing w:line="300" w:lineRule="exact"/>
        <w:ind w:firstLine="240" w:firstLineChars="100"/>
      </w:pPr>
      <w:r>
        <w:rPr>
          <w:rFonts w:hint="eastAsia"/>
        </w:rPr>
        <w:t>传真：</w:t>
      </w:r>
      <w:r>
        <w:t>0571-83807019</w:t>
      </w:r>
    </w:p>
    <w:p>
      <w:pPr>
        <w:spacing w:line="300" w:lineRule="exact"/>
        <w:ind w:firstLine="240" w:firstLineChars="100"/>
      </w:pPr>
      <w:r>
        <w:rPr>
          <w:rFonts w:hint="eastAsia"/>
        </w:rPr>
        <w:t>项目联系人（询问）：贺超奇</w:t>
      </w:r>
      <w:r>
        <w:t xml:space="preserve"> </w:t>
      </w:r>
    </w:p>
    <w:p>
      <w:pPr>
        <w:spacing w:line="300" w:lineRule="exact"/>
        <w:ind w:firstLine="240" w:firstLineChars="100"/>
      </w:pPr>
      <w:r>
        <w:rPr>
          <w:rFonts w:hint="eastAsia"/>
        </w:rPr>
        <w:t>项目联系方式（询问）：</w:t>
      </w:r>
      <w:r>
        <w:t xml:space="preserve">18969957851       </w:t>
      </w:r>
    </w:p>
    <w:p>
      <w:pPr>
        <w:spacing w:line="300" w:lineRule="exact"/>
        <w:ind w:firstLine="240" w:firstLineChars="100"/>
      </w:pPr>
      <w:r>
        <w:rPr>
          <w:rFonts w:hint="eastAsia"/>
        </w:rPr>
        <w:t>质疑联系人：孔国飞</w:t>
      </w:r>
    </w:p>
    <w:p>
      <w:pPr>
        <w:spacing w:line="300" w:lineRule="exact"/>
        <w:ind w:firstLine="240" w:firstLineChars="100"/>
      </w:pPr>
      <w:r>
        <w:rPr>
          <w:rFonts w:hint="eastAsia"/>
        </w:rPr>
        <w:t>质疑联系方式：</w:t>
      </w:r>
      <w:r>
        <w:t>0571-83807076</w:t>
      </w:r>
    </w:p>
    <w:bookmarkEnd w:id="0"/>
    <w:bookmarkEnd w:id="1"/>
    <w:p>
      <w:pPr>
        <w:spacing w:line="300" w:lineRule="exact"/>
        <w:ind w:firstLine="240" w:firstLineChars="100"/>
      </w:pPr>
      <w:r>
        <w:t>2.采购代理机构信息</w:t>
      </w:r>
    </w:p>
    <w:p>
      <w:pPr>
        <w:spacing w:line="300" w:lineRule="exact"/>
        <w:ind w:firstLine="240" w:firstLineChars="100"/>
      </w:pPr>
      <w:r>
        <w:rPr>
          <w:rFonts w:hint="eastAsia"/>
        </w:rPr>
        <w:t>名</w:t>
      </w:r>
      <w:r>
        <w:t xml:space="preserve"> </w:t>
      </w:r>
      <w:r>
        <w:rPr>
          <w:rFonts w:hint="eastAsia"/>
        </w:rPr>
        <w:t>称：浙江翔实建设项目管理有限公司</w:t>
      </w:r>
    </w:p>
    <w:p>
      <w:pPr>
        <w:spacing w:line="300" w:lineRule="exact"/>
        <w:ind w:firstLine="240" w:firstLineChars="100"/>
      </w:pPr>
      <w:r>
        <w:rPr>
          <w:rFonts w:hint="eastAsia"/>
        </w:rPr>
        <w:t>地址：杭州市萧山区北干街道金惠路</w:t>
      </w:r>
      <w:r>
        <w:t>358号汇通大厦4幢6楼</w:t>
      </w:r>
    </w:p>
    <w:p>
      <w:pPr>
        <w:spacing w:line="300" w:lineRule="exact"/>
        <w:ind w:firstLine="240" w:firstLineChars="100"/>
      </w:pPr>
      <w:r>
        <w:rPr>
          <w:rFonts w:hint="eastAsia"/>
        </w:rPr>
        <w:t>项目联系人（询问）：韩超超</w:t>
      </w:r>
    </w:p>
    <w:p>
      <w:pPr>
        <w:spacing w:line="300" w:lineRule="exact"/>
        <w:ind w:firstLine="240" w:firstLineChars="100"/>
      </w:pPr>
      <w:r>
        <w:rPr>
          <w:rFonts w:hint="eastAsia"/>
        </w:rPr>
        <w:t>项目联系方式（询问）：</w:t>
      </w:r>
      <w:r>
        <w:t>0571-82858325</w:t>
      </w:r>
    </w:p>
    <w:p>
      <w:pPr>
        <w:spacing w:line="300" w:lineRule="exact"/>
        <w:ind w:firstLine="240" w:firstLineChars="100"/>
      </w:pPr>
      <w:r>
        <w:rPr>
          <w:rFonts w:hint="eastAsia"/>
        </w:rPr>
        <w:t>质疑联系人：郭翔</w:t>
      </w:r>
    </w:p>
    <w:p>
      <w:pPr>
        <w:spacing w:line="300" w:lineRule="exact"/>
        <w:ind w:firstLine="240" w:firstLineChars="100"/>
      </w:pPr>
      <w:r>
        <w:rPr>
          <w:rFonts w:hint="eastAsia"/>
        </w:rPr>
        <w:t>质疑联系方式：</w:t>
      </w:r>
      <w:r>
        <w:t>0571-82858903</w:t>
      </w:r>
    </w:p>
    <w:p>
      <w:pPr>
        <w:spacing w:line="300" w:lineRule="exact"/>
        <w:ind w:firstLine="240" w:firstLineChars="100"/>
      </w:pPr>
      <w:r>
        <w:t>3.同级政府采购监督管理部门</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spacing w:line="300" w:lineRule="exact"/>
        <w:ind w:firstLine="240" w:firstLineChars="100"/>
      </w:pPr>
      <w:r>
        <w:t>名</w:t>
      </w:r>
      <w:r>
        <w:rPr>
          <w:rFonts w:ascii="Calibri" w:hAnsi="Calibri" w:cs="Calibri"/>
        </w:rPr>
        <w:t>   </w:t>
      </w:r>
      <w:r>
        <w:t xml:space="preserve"> 称：萧山区财政局</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spacing w:line="300" w:lineRule="exact"/>
        <w:ind w:firstLine="240" w:firstLineChars="100"/>
      </w:pPr>
      <w:r>
        <w:t>地</w:t>
      </w:r>
      <w:r>
        <w:rPr>
          <w:rFonts w:ascii="Calibri" w:hAnsi="Calibri" w:cs="Calibri"/>
        </w:rPr>
        <w:t>   </w:t>
      </w:r>
      <w:r>
        <w:t xml:space="preserve"> 址：萧山区人民路318号</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spacing w:line="300" w:lineRule="exact"/>
        <w:ind w:firstLine="240" w:firstLineChars="100"/>
      </w:pPr>
      <w:r>
        <w:t>传</w:t>
      </w:r>
      <w:r>
        <w:rPr>
          <w:rFonts w:ascii="Calibri" w:hAnsi="Calibri" w:cs="Calibri"/>
        </w:rPr>
        <w:t> </w:t>
      </w:r>
      <w:r>
        <w:t xml:space="preserve"> </w:t>
      </w:r>
      <w:r>
        <w:rPr>
          <w:rFonts w:ascii="Calibri" w:hAnsi="Calibri" w:cs="Calibri"/>
        </w:rPr>
        <w:t> </w:t>
      </w:r>
      <w:r>
        <w:t xml:space="preserve">真：0571-82756122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spacing w:line="300" w:lineRule="exact"/>
        <w:ind w:firstLine="240" w:firstLineChars="100"/>
      </w:pPr>
      <w:r>
        <w:t>联系人 ：</w:t>
      </w:r>
      <w:r>
        <w:rPr>
          <w:rFonts w:hint="eastAsia"/>
        </w:rPr>
        <w:t>汤先生</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p>
    <w:p>
      <w:pPr>
        <w:spacing w:line="300" w:lineRule="exact"/>
        <w:ind w:firstLine="240" w:firstLineChars="100"/>
      </w:pPr>
      <w:r>
        <w:t>监督投诉电话：0571-82756122</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jc w:val="center"/>
        <w:rPr>
          <w:b/>
          <w:sz w:val="28"/>
          <w:szCs w:val="28"/>
        </w:rPr>
      </w:pPr>
      <w:r>
        <w:br w:type="page"/>
      </w:r>
      <w:r>
        <w:rPr>
          <w:rFonts w:hint="eastAsia"/>
          <w:b/>
          <w:sz w:val="28"/>
          <w:szCs w:val="28"/>
        </w:rPr>
        <w:t>第二部分</w:t>
      </w:r>
      <w:r>
        <w:rPr>
          <w:b/>
          <w:sz w:val="28"/>
          <w:szCs w:val="28"/>
        </w:rPr>
        <w:t xml:space="preserve"> 投标人须知</w:t>
      </w:r>
    </w:p>
    <w:p>
      <w:pPr>
        <w:pStyle w:val="4"/>
      </w:pPr>
      <w:r>
        <w:rPr>
          <w:rFonts w:hint="eastAsia"/>
        </w:rPr>
        <w:t>前附表</w:t>
      </w:r>
    </w:p>
    <w:tbl>
      <w:tblPr>
        <w:tblStyle w:val="30"/>
        <w:tblW w:w="5407"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65"/>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序号</w:t>
            </w:r>
          </w:p>
        </w:tc>
        <w:tc>
          <w:tcPr>
            <w:tcW w:w="1000" w:type="pct"/>
            <w:vAlign w:val="center"/>
          </w:tcPr>
          <w:p>
            <w:pPr>
              <w:spacing w:after="0"/>
              <w:jc w:val="center"/>
            </w:pPr>
            <w:r>
              <w:t>事项</w:t>
            </w:r>
          </w:p>
        </w:tc>
        <w:tc>
          <w:tcPr>
            <w:tcW w:w="3614"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t>1</w:t>
            </w:r>
          </w:p>
        </w:tc>
        <w:tc>
          <w:tcPr>
            <w:tcW w:w="1000" w:type="pct"/>
            <w:vAlign w:val="center"/>
          </w:tcPr>
          <w:p>
            <w:pPr>
              <w:spacing w:after="0"/>
            </w:pPr>
            <w:r>
              <w:rPr>
                <w:rFonts w:hint="eastAsia" w:cs="仿宋"/>
                <w:b/>
              </w:rPr>
              <w:t>项目属性与核心产品</w:t>
            </w:r>
          </w:p>
        </w:tc>
        <w:tc>
          <w:tcPr>
            <w:tcW w:w="3614" w:type="pct"/>
            <w:vAlign w:val="center"/>
          </w:tcPr>
          <w:p>
            <w:pPr>
              <w:spacing w:after="0"/>
              <w:rPr>
                <w:rFonts w:cs="仿宋"/>
              </w:rPr>
            </w:pPr>
            <w:r>
              <w:rPr>
                <w:rFonts w:cs="仿宋"/>
              </w:rPr>
              <w:t>(</w:t>
            </w:r>
            <w:r>
              <w:rPr>
                <w:rFonts w:ascii="仿宋_GB2312" w:eastAsia="仿宋_GB2312"/>
                <w:b/>
              </w:rPr>
              <w:t xml:space="preserve">  </w:t>
            </w:r>
            <w:r>
              <w:rPr>
                <w:rFonts w:cs="仿宋"/>
              </w:rPr>
              <w:t xml:space="preserve"> )A货物类，单一产品或核心产品为：</w:t>
            </w:r>
            <w:r>
              <w:rPr>
                <w:rFonts w:cs="仿宋"/>
                <w:u w:val="single"/>
              </w:rPr>
              <w:t xml:space="preserve"> /   </w:t>
            </w:r>
            <w:r>
              <w:rPr>
                <w:rFonts w:hint="eastAsia" w:cs="仿宋"/>
              </w:rPr>
              <w:t>。</w:t>
            </w:r>
          </w:p>
          <w:p>
            <w:pPr>
              <w:spacing w:after="0"/>
            </w:pPr>
            <w:r>
              <w:rPr>
                <w:rFonts w:cs="仿宋"/>
              </w:rPr>
              <w:t>(</w:t>
            </w:r>
            <w:r>
              <w:rPr>
                <w:rFonts w:hint="eastAsia" w:ascii="仿宋_GB2312" w:eastAsia="仿宋_GB2312"/>
                <w:b/>
              </w:rPr>
              <w:t>√</w:t>
            </w:r>
            <w:r>
              <w:rPr>
                <w:rFonts w:cs="仿宋"/>
              </w:rPr>
              <w:t xml:space="preserve">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2</w:t>
            </w:r>
          </w:p>
        </w:tc>
        <w:tc>
          <w:tcPr>
            <w:tcW w:w="1000" w:type="pct"/>
            <w:vAlign w:val="center"/>
          </w:tcPr>
          <w:p>
            <w:pPr>
              <w:spacing w:after="0"/>
            </w:pPr>
            <w:r>
              <w:rPr>
                <w:rFonts w:hint="eastAsia" w:cs="仿宋"/>
                <w:b/>
              </w:rPr>
              <w:t>采购标的对应的中小企业划分标准所属行业</w:t>
            </w:r>
          </w:p>
        </w:tc>
        <w:tc>
          <w:tcPr>
            <w:tcW w:w="3614" w:type="pct"/>
            <w:vAlign w:val="center"/>
          </w:tcPr>
          <w:p>
            <w:pPr>
              <w:spacing w:after="0"/>
              <w:rPr>
                <w:rFonts w:cs="仿宋"/>
              </w:rPr>
            </w:pPr>
            <w:r>
              <w:rPr>
                <w:rFonts w:hint="eastAsia" w:cs="仿宋"/>
              </w:rPr>
              <w:t>（</w:t>
            </w:r>
            <w:r>
              <w:rPr>
                <w:rFonts w:cs="仿宋"/>
              </w:rPr>
              <w:t>1）标的：</w:t>
            </w:r>
            <w:r>
              <w:rPr>
                <w:rFonts w:hint="eastAsia" w:cs="仿宋"/>
                <w:u w:val="single"/>
              </w:rPr>
              <w:t>杭州市萧山区第一人民医院医共体总院各分院检验外送政府采购项目</w:t>
            </w:r>
            <w:r>
              <w:rPr>
                <w:rFonts w:hint="eastAsia" w:cs="仿宋"/>
              </w:rPr>
              <w:t>，</w:t>
            </w:r>
            <w:r>
              <w:rPr>
                <w:rFonts w:hint="eastAsia" w:cs="仿宋"/>
                <w:sz w:val="22"/>
                <w:u w:val="single"/>
              </w:rPr>
              <w:t>属于其他未列明行业</w:t>
            </w:r>
            <w:r>
              <w:rPr>
                <w:rFonts w:hint="eastAsia" w:cs="仿宋"/>
              </w:rPr>
              <w:t>；</w:t>
            </w:r>
            <w:r>
              <w:rPr>
                <w:rFonts w:cs="仿宋"/>
              </w:rPr>
              <w:t xml:space="preserve"> </w:t>
            </w:r>
          </w:p>
          <w:p>
            <w:pPr>
              <w:spacing w:after="0"/>
              <w:rPr>
                <w:rFonts w:cs="仿宋"/>
              </w:rPr>
            </w:pPr>
            <w:r>
              <w:rPr>
                <w:rFonts w:hint="eastAsia" w:cs="仿宋"/>
              </w:rPr>
              <w:t>行业划分标准：</w:t>
            </w:r>
          </w:p>
          <w:p>
            <w:pPr>
              <w:spacing w:after="0"/>
            </w:pPr>
            <w:r>
              <w:rPr>
                <w:rFonts w:hint="eastAsia" w:cs="仿宋"/>
              </w:rPr>
              <w:t>《关于印发中小企业划型标准规定的通知》工信部联企业〔</w:t>
            </w:r>
            <w:r>
              <w:rPr>
                <w:rFonts w:cs="仿宋"/>
              </w:rPr>
              <w:t>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3</w:t>
            </w:r>
          </w:p>
        </w:tc>
        <w:tc>
          <w:tcPr>
            <w:tcW w:w="1000" w:type="pct"/>
            <w:vAlign w:val="center"/>
          </w:tcPr>
          <w:p>
            <w:pPr>
              <w:spacing w:after="0"/>
            </w:pPr>
            <w:r>
              <w:rPr>
                <w:rFonts w:hint="eastAsia" w:cs="仿宋"/>
                <w:b/>
              </w:rPr>
              <w:t>是否允许采购进口产品</w:t>
            </w:r>
          </w:p>
        </w:tc>
        <w:tc>
          <w:tcPr>
            <w:tcW w:w="3614" w:type="pct"/>
            <w:vAlign w:val="center"/>
          </w:tcPr>
          <w:p>
            <w:pPr>
              <w:spacing w:after="0"/>
              <w:rPr>
                <w:rFonts w:cs="仿宋"/>
              </w:rPr>
            </w:pPr>
            <w:r>
              <w:rPr>
                <w:rFonts w:cs="仿宋"/>
              </w:rPr>
              <w:t>(</w:t>
            </w:r>
            <w:r>
              <w:rPr>
                <w:rFonts w:hint="eastAsia" w:ascii="仿宋_GB2312" w:eastAsia="仿宋_GB2312"/>
                <w:b/>
              </w:rPr>
              <w:t>√</w:t>
            </w:r>
            <w:r>
              <w:rPr>
                <w:rFonts w:hint="eastAsia" w:ascii="仿宋_GB2312" w:eastAsia="仿宋_GB2312"/>
                <w:b/>
                <w:lang w:val="en-US" w:eastAsia="zh-CN"/>
              </w:rPr>
              <w:t xml:space="preserve"> </w:t>
            </w:r>
            <w:r>
              <w:rPr>
                <w:rFonts w:cs="仿宋"/>
              </w:rPr>
              <w:t>)本项目不允许采购进口产品。</w:t>
            </w:r>
          </w:p>
          <w:p>
            <w:pPr>
              <w:spacing w:after="0"/>
              <w:rPr>
                <w:rFonts w:cs="仿宋"/>
              </w:rPr>
            </w:pPr>
            <w:r>
              <w:rPr>
                <w:rFonts w:cs="仿宋"/>
              </w:rPr>
              <w:t xml:space="preserve">(   )可以就    </w:t>
            </w:r>
            <w:r>
              <w:rPr>
                <w:rFonts w:hint="eastAsia" w:cs="仿宋"/>
              </w:rPr>
              <w:t>采购进口产品。</w:t>
            </w:r>
          </w:p>
          <w:p>
            <w:pPr>
              <w:spacing w:after="0"/>
            </w:pPr>
            <w:r>
              <w:rPr>
                <w:rFonts w:hint="eastAsia" w:cs="仿宋"/>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4</w:t>
            </w:r>
          </w:p>
        </w:tc>
        <w:tc>
          <w:tcPr>
            <w:tcW w:w="1000" w:type="pct"/>
            <w:vAlign w:val="center"/>
          </w:tcPr>
          <w:p>
            <w:pPr>
              <w:spacing w:after="0"/>
            </w:pPr>
            <w:r>
              <w:rPr>
                <w:rFonts w:hint="eastAsia" w:cs="仿宋"/>
                <w:b/>
              </w:rPr>
              <w:t>联合体和分包</w:t>
            </w:r>
          </w:p>
        </w:tc>
        <w:tc>
          <w:tcPr>
            <w:tcW w:w="3614" w:type="pct"/>
            <w:vAlign w:val="center"/>
          </w:tcPr>
          <w:p>
            <w:pPr>
              <w:snapToGrid w:val="0"/>
              <w:spacing w:after="0"/>
              <w:rPr>
                <w:rFonts w:ascii="仿宋_GB2312" w:eastAsia="仿宋_GB2312"/>
              </w:rPr>
            </w:pPr>
            <w:r>
              <w:rPr>
                <w:rFonts w:hint="eastAsia" w:ascii="仿宋_GB2312" w:eastAsia="仿宋_GB2312"/>
                <w:b/>
              </w:rPr>
              <w:t>（√</w:t>
            </w:r>
            <w:r>
              <w:rPr>
                <w:rFonts w:ascii="仿宋_GB2312" w:eastAsia="仿宋_GB2312"/>
                <w:b/>
              </w:rPr>
              <w:t xml:space="preserve">  </w:t>
            </w:r>
            <w:r>
              <w:rPr>
                <w:rFonts w:hint="eastAsia" w:ascii="仿宋_GB2312" w:eastAsia="仿宋_GB2312"/>
                <w:b/>
              </w:rPr>
              <w:t>）</w:t>
            </w:r>
            <w:r>
              <w:rPr>
                <w:rFonts w:ascii="仿宋_GB2312" w:eastAsia="仿宋_GB2312" w:cs="Arial"/>
              </w:rPr>
              <w:t>A</w:t>
            </w:r>
            <w:r>
              <w:rPr>
                <w:rFonts w:hint="eastAsia" w:ascii="仿宋_GB2312" w:eastAsia="仿宋_GB2312"/>
              </w:rPr>
              <w:t>同意将非主体、非关键性的工作分包。</w:t>
            </w:r>
          </w:p>
          <w:p>
            <w:pPr>
              <w:spacing w:after="0"/>
              <w:rPr>
                <w:rFonts w:ascii="仿宋_GB2312" w:eastAsia="仿宋_GB2312"/>
              </w:rPr>
            </w:pPr>
            <w:r>
              <w:rPr>
                <w:rFonts w:hint="eastAsia" w:ascii="仿宋_GB2312" w:eastAsia="仿宋_GB2312"/>
                <w:b/>
              </w:rPr>
              <w:t>（</w:t>
            </w:r>
            <w:r>
              <w:rPr>
                <w:rFonts w:ascii="仿宋_GB2312" w:eastAsia="仿宋_GB2312"/>
                <w:b/>
              </w:rPr>
              <w:t xml:space="preserve">    </w:t>
            </w:r>
            <w:r>
              <w:rPr>
                <w:rFonts w:hint="eastAsia" w:ascii="仿宋_GB2312" w:eastAsia="仿宋_GB2312"/>
                <w:b/>
              </w:rPr>
              <w:t>）</w:t>
            </w:r>
            <w:r>
              <w:rPr>
                <w:rFonts w:ascii="仿宋_GB2312" w:eastAsia="仿宋_GB2312" w:cs="Arial"/>
              </w:rPr>
              <w:t>B</w:t>
            </w:r>
            <w:r>
              <w:rPr>
                <w:rFonts w:hint="eastAsia" w:ascii="仿宋_GB2312" w:eastAsia="仿宋_GB231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t>5</w:t>
            </w:r>
          </w:p>
        </w:tc>
        <w:tc>
          <w:tcPr>
            <w:tcW w:w="1000" w:type="pct"/>
            <w:vAlign w:val="center"/>
          </w:tcPr>
          <w:p>
            <w:pPr>
              <w:spacing w:after="0"/>
            </w:pPr>
            <w:r>
              <w:rPr>
                <w:rFonts w:hint="eastAsia" w:cs="仿宋"/>
                <w:b/>
              </w:rPr>
              <w:t>开标前答疑会或现场考察</w:t>
            </w:r>
          </w:p>
        </w:tc>
        <w:tc>
          <w:tcPr>
            <w:tcW w:w="3614" w:type="pct"/>
            <w:vAlign w:val="center"/>
          </w:tcPr>
          <w:p>
            <w:pPr>
              <w:spacing w:after="0"/>
              <w:rPr>
                <w:rFonts w:ascii="仿宋_GB2312" w:eastAsia="仿宋_GB2312"/>
              </w:rPr>
            </w:pPr>
            <w:r>
              <w:rPr>
                <w:rFonts w:hint="eastAsia" w:ascii="仿宋_GB2312" w:eastAsia="仿宋_GB2312"/>
                <w:b/>
              </w:rPr>
              <w:t>（√）</w:t>
            </w:r>
            <w:r>
              <w:rPr>
                <w:rFonts w:ascii="仿宋_GB2312" w:eastAsia="仿宋_GB2312" w:cs="Arial"/>
              </w:rPr>
              <w:t>A</w:t>
            </w:r>
            <w:r>
              <w:rPr>
                <w:rFonts w:hint="eastAsia" w:ascii="仿宋_GB2312" w:eastAsia="仿宋_GB2312"/>
              </w:rPr>
              <w:t>不组织。</w:t>
            </w:r>
          </w:p>
          <w:p>
            <w:pPr>
              <w:spacing w:after="0"/>
              <w:rPr>
                <w:rFonts w:ascii="仿宋_GB2312" w:eastAsia="仿宋_GB2312"/>
              </w:rPr>
            </w:pPr>
            <w:r>
              <w:rPr>
                <w:rFonts w:hint="eastAsia" w:ascii="仿宋_GB2312" w:eastAsia="仿宋_GB2312"/>
                <w:b/>
              </w:rPr>
              <w:t>（</w:t>
            </w:r>
            <w:r>
              <w:rPr>
                <w:rFonts w:ascii="仿宋_GB2312" w:eastAsia="仿宋_GB2312"/>
                <w:b/>
              </w:rPr>
              <w:t xml:space="preserve">  </w:t>
            </w:r>
            <w:r>
              <w:rPr>
                <w:rFonts w:hint="eastAsia" w:ascii="仿宋_GB2312" w:eastAsia="仿宋_GB2312"/>
                <w:b/>
              </w:rPr>
              <w:t>）</w:t>
            </w:r>
            <w:r>
              <w:rPr>
                <w:rFonts w:ascii="仿宋_GB2312" w:eastAsia="仿宋_GB2312"/>
              </w:rPr>
              <w:t>B组织，时间：</w:t>
            </w:r>
            <w:r>
              <w:rPr>
                <w:rFonts w:ascii="仿宋_GB2312" w:eastAsia="仿宋_GB2312"/>
                <w:u w:val="single"/>
              </w:rPr>
              <w:t xml:space="preserve">      </w:t>
            </w:r>
            <w:r>
              <w:rPr>
                <w:rFonts w:ascii="仿宋_GB2312" w:eastAsia="仿宋_GB2312"/>
              </w:rPr>
              <w:t>,地点：</w:t>
            </w:r>
            <w:r>
              <w:rPr>
                <w:rFonts w:ascii="仿宋_GB2312" w:eastAsia="仿宋_GB2312"/>
                <w:u w:val="single"/>
              </w:rPr>
              <w:t xml:space="preserve">      </w:t>
            </w:r>
            <w:r>
              <w:rPr>
                <w:rFonts w:hint="eastAsia" w:ascii="仿宋_GB2312" w:eastAsia="仿宋_GB2312"/>
              </w:rPr>
              <w:t>，</w:t>
            </w:r>
          </w:p>
          <w:p>
            <w:pPr>
              <w:spacing w:after="0"/>
              <w:ind w:firstLine="960" w:firstLineChars="400"/>
            </w:pPr>
            <w:r>
              <w:rPr>
                <w:rFonts w:hint="eastAsia" w:ascii="仿宋_GB2312" w:eastAsia="仿宋_GB2312"/>
              </w:rPr>
              <w:t>联系人：</w:t>
            </w:r>
            <w:r>
              <w:rPr>
                <w:rFonts w:ascii="仿宋_GB2312" w:eastAsia="仿宋_GB2312"/>
                <w:u w:val="single"/>
              </w:rPr>
              <w:t xml:space="preserve">      </w:t>
            </w:r>
            <w:r>
              <w:rPr>
                <w:rFonts w:hint="eastAsia" w:ascii="仿宋_GB2312" w:eastAsia="仿宋_GB231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6</w:t>
            </w:r>
          </w:p>
        </w:tc>
        <w:tc>
          <w:tcPr>
            <w:tcW w:w="1000" w:type="pct"/>
            <w:vAlign w:val="center"/>
          </w:tcPr>
          <w:p>
            <w:pPr>
              <w:spacing w:after="0"/>
            </w:pPr>
            <w:r>
              <w:rPr>
                <w:rFonts w:hint="eastAsia" w:cs="仿宋"/>
                <w:b/>
              </w:rPr>
              <w:t>样品提供</w:t>
            </w:r>
          </w:p>
        </w:tc>
        <w:tc>
          <w:tcPr>
            <w:tcW w:w="3614" w:type="pct"/>
            <w:vAlign w:val="center"/>
          </w:tcPr>
          <w:p>
            <w:pPr>
              <w:spacing w:after="0"/>
            </w:pPr>
            <w:r>
              <w:rPr>
                <w:rFonts w:hint="eastAsia"/>
                <w:bCs/>
              </w:rPr>
              <w:t>（√）</w:t>
            </w:r>
            <w:r>
              <w:rPr>
                <w:bCs/>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7</w:t>
            </w:r>
          </w:p>
        </w:tc>
        <w:tc>
          <w:tcPr>
            <w:tcW w:w="1000" w:type="pct"/>
            <w:vAlign w:val="center"/>
          </w:tcPr>
          <w:p>
            <w:pPr>
              <w:spacing w:after="0"/>
            </w:pPr>
            <w:r>
              <w:rPr>
                <w:rFonts w:hint="eastAsia" w:cs="仿宋"/>
                <w:b/>
              </w:rPr>
              <w:t>方案讲解演示</w:t>
            </w:r>
          </w:p>
        </w:tc>
        <w:tc>
          <w:tcPr>
            <w:tcW w:w="3614" w:type="pct"/>
            <w:vAlign w:val="center"/>
          </w:tcPr>
          <w:p>
            <w:pPr>
              <w:spacing w:after="0"/>
            </w:pPr>
            <w:r>
              <w:rPr>
                <w:rFonts w:hint="eastAsia"/>
                <w:bCs/>
              </w:rPr>
              <w:t>（</w:t>
            </w:r>
            <w:r>
              <w:rPr>
                <w:bCs/>
              </w:rPr>
              <w:t xml:space="preserve"> </w:t>
            </w:r>
            <w:r>
              <w:rPr>
                <w:rFonts w:hint="eastAsia" w:ascii="仿宋_GB2312" w:eastAsia="仿宋_GB2312"/>
                <w:b/>
              </w:rPr>
              <w:t>√</w:t>
            </w:r>
            <w:r>
              <w:rPr>
                <w:bCs/>
              </w:rPr>
              <w:t xml:space="preserve"> ）A不要求。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t>8</w:t>
            </w:r>
          </w:p>
        </w:tc>
        <w:tc>
          <w:tcPr>
            <w:tcW w:w="1000" w:type="pct"/>
            <w:vAlign w:val="center"/>
          </w:tcPr>
          <w:p>
            <w:pPr>
              <w:spacing w:after="0"/>
            </w:pPr>
            <w:r>
              <w:rPr>
                <w:rFonts w:hint="eastAsia" w:cs="仿宋"/>
                <w:b/>
              </w:rPr>
              <w:t>投标人应当提供的资格、资信证明文件</w:t>
            </w:r>
          </w:p>
        </w:tc>
        <w:tc>
          <w:tcPr>
            <w:tcW w:w="3614" w:type="pct"/>
            <w:vAlign w:val="center"/>
          </w:tcPr>
          <w:p>
            <w:pPr>
              <w:spacing w:after="0"/>
              <w:rPr>
                <w:rFonts w:cs="仿宋"/>
              </w:rPr>
            </w:pPr>
            <w:r>
              <w:rPr>
                <w:rFonts w:hint="eastAsia" w:cs="仿宋"/>
              </w:rPr>
              <w:t>（</w:t>
            </w:r>
            <w:r>
              <w:rPr>
                <w:rFonts w:cs="仿宋"/>
              </w:rPr>
              <w:t>1）资格证明文件：见招标文件第二部分11.1。</w:t>
            </w:r>
          </w:p>
          <w:p>
            <w:pPr>
              <w:spacing w:after="0"/>
              <w:rPr>
                <w:rFonts w:cs="仿宋"/>
                <w:lang w:val="zh-CN"/>
              </w:rPr>
            </w:pPr>
            <w:r>
              <w:rPr>
                <w:rFonts w:hint="eastAsia" w:cs="仿宋"/>
                <w:lang w:val="zh-CN"/>
              </w:rPr>
              <w:t>投标人未提供有效的资格证明文件的，视为投标人不具备招标文件中规定的资格要求，投标无效。</w:t>
            </w:r>
          </w:p>
          <w:p>
            <w:pPr>
              <w:spacing w:after="0"/>
            </w:pPr>
            <w:r>
              <w:rPr>
                <w:rFonts w:hint="eastAsia" w:cs="仿宋"/>
              </w:rPr>
              <w:t>（</w:t>
            </w:r>
            <w:r>
              <w:rPr>
                <w:rFonts w:cs="仿宋"/>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9</w:t>
            </w:r>
          </w:p>
        </w:tc>
        <w:tc>
          <w:tcPr>
            <w:tcW w:w="1000" w:type="pct"/>
            <w:vAlign w:val="center"/>
          </w:tcPr>
          <w:p>
            <w:pPr>
              <w:spacing w:after="0"/>
            </w:pPr>
            <w:r>
              <w:rPr>
                <w:rFonts w:hint="eastAsia" w:cs="仿宋"/>
                <w:b/>
              </w:rPr>
              <w:t>节能产品、环境标志产品</w:t>
            </w:r>
          </w:p>
        </w:tc>
        <w:tc>
          <w:tcPr>
            <w:tcW w:w="3614" w:type="pct"/>
            <w:vAlign w:val="center"/>
          </w:tcPr>
          <w:p>
            <w:pPr>
              <w:spacing w:after="0"/>
            </w:pPr>
            <w:r>
              <w:rPr>
                <w:rFonts w:hint="eastAsia"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10</w:t>
            </w:r>
          </w:p>
        </w:tc>
        <w:tc>
          <w:tcPr>
            <w:tcW w:w="1000" w:type="pct"/>
            <w:vAlign w:val="center"/>
          </w:tcPr>
          <w:p>
            <w:pPr>
              <w:spacing w:after="0"/>
            </w:pPr>
            <w:r>
              <w:rPr>
                <w:rFonts w:hint="eastAsia" w:cs="仿宋"/>
                <w:b/>
              </w:rPr>
              <w:t>报价要求</w:t>
            </w:r>
          </w:p>
        </w:tc>
        <w:tc>
          <w:tcPr>
            <w:tcW w:w="3614" w:type="pct"/>
            <w:vAlign w:val="center"/>
          </w:tcPr>
          <w:p>
            <w:pPr>
              <w:spacing w:after="0"/>
              <w:ind w:firstLine="480" w:firstLineChars="200"/>
              <w:rPr>
                <w:rFonts w:cs="Arial"/>
                <w:bCs/>
                <w:lang w:val="zh-CN"/>
              </w:rPr>
            </w:pPr>
            <w:r>
              <w:rPr>
                <w:rFonts w:hint="eastAsia" w:cs="Arial"/>
                <w:bCs/>
                <w:lang w:val="zh-CN"/>
              </w:rPr>
              <w:t>有关本项目实施所需的所有费用（含税费）均计入报价。</w:t>
            </w:r>
            <w:r>
              <w:rPr>
                <w:rFonts w:hint="eastAsia" w:cs="Arial"/>
                <w:bCs/>
              </w:rPr>
              <w:t>开标一览表（报价表）是报价的唯一载体</w:t>
            </w:r>
            <w:r>
              <w:rPr>
                <w:rFonts w:hint="eastAsia" w:cs="Arial"/>
                <w:bCs/>
                <w:lang w:val="zh-CN"/>
              </w:rPr>
              <w:t>。投标文件中价格全部采用人民币报价。招标文件未列明，而投标人认为必需的费用也需列入报价。提醒：验收时检测费用由采购人承担，不包含在投标总价中。</w:t>
            </w:r>
          </w:p>
          <w:p>
            <w:pPr>
              <w:spacing w:after="0"/>
              <w:rPr>
                <w:rFonts w:cs="Arial"/>
                <w:bCs/>
                <w:lang w:val="zh-CN"/>
              </w:rPr>
            </w:pPr>
            <w:r>
              <w:rPr>
                <w:rFonts w:hint="eastAsia" w:cs="Arial"/>
                <w:bCs/>
                <w:lang w:val="zh-CN"/>
              </w:rPr>
              <w:t>投标报价出现下列情形的，投标无效：</w:t>
            </w:r>
          </w:p>
          <w:p>
            <w:pPr>
              <w:spacing w:after="0"/>
              <w:ind w:firstLine="480" w:firstLineChars="200"/>
              <w:rPr>
                <w:rFonts w:cs="Arial"/>
                <w:bCs/>
                <w:lang w:val="zh-CN"/>
              </w:rPr>
            </w:pPr>
            <w:r>
              <w:rPr>
                <w:rFonts w:hint="eastAsia" w:cs="Arial"/>
                <w:bCs/>
                <w:lang w:val="zh-CN"/>
              </w:rPr>
              <w:t>投标文件出现不是唯一的、有选择性投标报价的；</w:t>
            </w:r>
          </w:p>
          <w:p>
            <w:pPr>
              <w:spacing w:after="0"/>
              <w:ind w:firstLine="480" w:firstLineChars="200"/>
              <w:rPr>
                <w:rFonts w:cs="Arial"/>
                <w:bCs/>
                <w:lang w:val="zh-CN"/>
              </w:rPr>
            </w:pPr>
            <w:r>
              <w:rPr>
                <w:rFonts w:hint="eastAsia" w:cs="Arial"/>
                <w:bCs/>
                <w:lang w:val="zh-CN"/>
              </w:rPr>
              <w:t>投标报价超过招标文件中规定的预算金额或者最高限价的</w:t>
            </w:r>
            <w:r>
              <w:rPr>
                <w:rFonts w:cs="Arial"/>
                <w:bCs/>
                <w:lang w:val="zh-CN"/>
              </w:rPr>
              <w:t>;</w:t>
            </w:r>
          </w:p>
          <w:p>
            <w:pPr>
              <w:spacing w:after="0"/>
              <w:ind w:firstLine="480" w:firstLineChars="200"/>
              <w:rPr>
                <w:rFonts w:cs="Arial"/>
                <w:bCs/>
              </w:rPr>
            </w:pPr>
            <w:r>
              <w:rPr>
                <w:rFonts w:hint="eastAsia" w:cs="Arial"/>
                <w:bCs/>
              </w:rPr>
              <w:t>报价明显低于其他通过符合性审查投标人的报价，有可能影响产品质量或者不能诚信履约的，未能按要求提供书面说明或者提交相关证明材料证明其报价合理性的</w:t>
            </w:r>
            <w:r>
              <w:rPr>
                <w:rFonts w:cs="Arial"/>
                <w:bCs/>
              </w:rPr>
              <w:t>;</w:t>
            </w:r>
          </w:p>
          <w:p>
            <w:pPr>
              <w:spacing w:after="0"/>
              <w:ind w:firstLine="480" w:firstLineChars="200"/>
              <w:rPr>
                <w:rFonts w:cs="Arial"/>
                <w:bCs/>
              </w:rPr>
            </w:pPr>
            <w:r>
              <w:rPr>
                <w:rFonts w:hint="eastAsia" w:cs="Arial"/>
                <w:bCs/>
              </w:rPr>
              <w:t>投标人对根据修正原则修正后的报价不确认的。</w:t>
            </w:r>
          </w:p>
          <w:p>
            <w:pPr>
              <w:spacing w:after="0"/>
              <w:ind w:firstLine="480" w:firstLineChars="200"/>
            </w:pPr>
            <w:r>
              <w:rPr>
                <w:rFonts w:hint="eastAsia" w:cs="Arial"/>
                <w:bCs/>
              </w:rPr>
              <w:t>资格文件、商务技术文件与报价文件未分开制作</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11</w:t>
            </w:r>
          </w:p>
        </w:tc>
        <w:tc>
          <w:tcPr>
            <w:tcW w:w="1000" w:type="pct"/>
            <w:vAlign w:val="center"/>
          </w:tcPr>
          <w:p>
            <w:pPr>
              <w:spacing w:after="0"/>
            </w:pPr>
            <w:r>
              <w:rPr>
                <w:rFonts w:hint="eastAsia" w:cs="仿宋"/>
                <w:b/>
              </w:rPr>
              <w:t>中小企业信用融资</w:t>
            </w:r>
          </w:p>
        </w:tc>
        <w:tc>
          <w:tcPr>
            <w:tcW w:w="3614" w:type="pct"/>
            <w:vAlign w:val="center"/>
          </w:tcPr>
          <w:p>
            <w:pPr>
              <w:snapToGrid w:val="0"/>
              <w:spacing w:after="0"/>
            </w:pPr>
            <w:r>
              <w:rPr>
                <w:rFonts w:hint="eastAsia"/>
              </w:rPr>
              <w:t>本项目</w:t>
            </w:r>
            <w:r>
              <w:t>支持</w:t>
            </w:r>
            <w:r>
              <w:rPr>
                <w:rFonts w:hint="eastAsia"/>
              </w:rPr>
              <w:t>《杭州市萧山区政府采购支持中小企业信用融资暂行办法》。</w:t>
            </w:r>
          </w:p>
          <w:p>
            <w:pPr>
              <w:spacing w:after="0"/>
            </w:pPr>
            <w:r>
              <w:rPr>
                <w:rFonts w:hint="eastAsia"/>
              </w:rPr>
              <w:t>有</w:t>
            </w:r>
            <w:r>
              <w:t>融资需求的中标供应商可参照相关规定及银行方案</w:t>
            </w:r>
            <w:r>
              <w:rPr>
                <w:rFonts w:hint="eastAsia"/>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35"/>
                <w:rFonts w:cstheme="majorBidi"/>
                <w:color w:val="auto"/>
              </w:rPr>
              <w:t>http://www.xiaoshan.gov.cn/art/2018/12/20/art_1229293109_1559514.html</w:t>
            </w:r>
            <w:r>
              <w:rPr>
                <w:rStyle w:val="35"/>
                <w:rFonts w:cstheme="majorBidi"/>
                <w:color w:val="auto"/>
              </w:rPr>
              <w:fldChar w:fldCharType="end"/>
            </w:r>
          </w:p>
          <w:p>
            <w:pPr>
              <w:spacing w:after="0"/>
            </w:pPr>
          </w:p>
          <w:p>
            <w:pPr>
              <w:spacing w:after="0"/>
            </w:pPr>
            <w:r>
              <w:rPr>
                <w:rFonts w:hint="eastAsia" w:cs="仿宋"/>
                <w:snapToGrid w:val="0"/>
                <w:kern w:val="28"/>
              </w:rPr>
              <w:t>供应商中标后也可在“政采云”平台申请政采贷：操作路径：登录政采云平台</w:t>
            </w:r>
            <w:r>
              <w:rPr>
                <w:rFonts w:cs="仿宋"/>
                <w:snapToGrid w:val="0"/>
                <w:kern w:val="28"/>
              </w:rPr>
              <w:t xml:space="preserve"> - </w:t>
            </w:r>
            <w:r>
              <w:rPr>
                <w:rFonts w:hint="eastAsia" w:cs="仿宋"/>
                <w:snapToGrid w:val="0"/>
                <w:kern w:val="28"/>
              </w:rPr>
              <w:t>金融服务中心</w:t>
            </w:r>
            <w:r>
              <w:rPr>
                <w:rFonts w:cs="仿宋"/>
                <w:snapToGrid w:val="0"/>
                <w:kern w:val="28"/>
              </w:rPr>
              <w:t xml:space="preserve">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t>12</w:t>
            </w:r>
          </w:p>
        </w:tc>
        <w:tc>
          <w:tcPr>
            <w:tcW w:w="1000" w:type="pct"/>
            <w:vAlign w:val="center"/>
          </w:tcPr>
          <w:p>
            <w:pPr>
              <w:spacing w:after="0"/>
            </w:pPr>
            <w:r>
              <w:rPr>
                <w:rFonts w:hint="eastAsia" w:cs="仿宋"/>
                <w:b/>
              </w:rPr>
              <w:t>备份投标文件</w:t>
            </w:r>
          </w:p>
        </w:tc>
        <w:tc>
          <w:tcPr>
            <w:tcW w:w="3614" w:type="pct"/>
            <w:vAlign w:val="center"/>
          </w:tcPr>
          <w:p>
            <w:pPr>
              <w:pStyle w:val="18"/>
              <w:rPr>
                <w:rFonts w:ascii="仿宋" w:hAnsi="仿宋" w:eastAsia="仿宋" w:cs="仿宋"/>
                <w:kern w:val="28"/>
                <w:sz w:val="24"/>
                <w:szCs w:val="24"/>
              </w:rPr>
            </w:pPr>
            <w:r>
              <w:rPr>
                <w:rFonts w:hint="eastAsia" w:ascii="仿宋" w:hAnsi="仿宋" w:eastAsia="仿宋" w:cs="仿宋"/>
                <w:kern w:val="28"/>
                <w:sz w:val="24"/>
                <w:szCs w:val="24"/>
              </w:rPr>
              <w:t>备份文件是否收取：不收取</w:t>
            </w:r>
            <w:r>
              <w:rPr>
                <w:rFonts w:ascii="仿宋" w:hAnsi="仿宋" w:eastAsia="仿宋" w:cs="仿宋"/>
                <w:kern w:val="28"/>
                <w:sz w:val="24"/>
                <w:szCs w:val="24"/>
              </w:rPr>
              <w:t>/可提交备份</w:t>
            </w:r>
          </w:p>
          <w:p>
            <w:pPr>
              <w:pStyle w:val="18"/>
              <w:ind w:left="960" w:hanging="960" w:hangingChars="400"/>
              <w:rPr>
                <w:rFonts w:ascii="仿宋" w:hAnsi="仿宋" w:eastAsia="仿宋" w:cs="仿宋"/>
                <w:kern w:val="28"/>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rPr>
              <w:t>杭州市萧山区北干街道金惠路</w:t>
            </w:r>
            <w:r>
              <w:rPr>
                <w:rFonts w:ascii="仿宋" w:hAnsi="仿宋" w:eastAsia="仿宋" w:cs="仿宋"/>
                <w:sz w:val="24"/>
                <w:szCs w:val="24"/>
                <w:u w:val="single"/>
              </w:rPr>
              <w:t xml:space="preserve">358号汇通大厦4幢6楼  </w:t>
            </w:r>
            <w:r>
              <w:rPr>
                <w:rFonts w:hint="eastAsia" w:ascii="仿宋" w:hAnsi="仿宋" w:eastAsia="仿宋" w:cs="仿宋"/>
                <w:kern w:val="28"/>
                <w:sz w:val="24"/>
                <w:szCs w:val="24"/>
              </w:rPr>
              <w:t>；</w:t>
            </w:r>
          </w:p>
          <w:p>
            <w:pPr>
              <w:pStyle w:val="18"/>
              <w:ind w:left="960" w:hanging="960" w:hangingChars="400"/>
              <w:rPr>
                <w:rFonts w:ascii="仿宋" w:hAnsi="仿宋" w:eastAsia="仿宋" w:cs="仿宋"/>
                <w:sz w:val="24"/>
                <w:szCs w:val="24"/>
              </w:rPr>
            </w:pPr>
            <w:r>
              <w:rPr>
                <w:rFonts w:hint="eastAsia" w:ascii="仿宋" w:hAnsi="仿宋" w:eastAsia="仿宋" w:cs="仿宋"/>
                <w:kern w:val="28"/>
                <w:sz w:val="24"/>
                <w:szCs w:val="24"/>
              </w:rPr>
              <w:t>备份投标文件签收人员联系电话：</w:t>
            </w:r>
            <w:r>
              <w:rPr>
                <w:rFonts w:ascii="仿宋" w:hAnsi="仿宋" w:eastAsia="仿宋" w:cs="仿宋"/>
                <w:sz w:val="24"/>
                <w:szCs w:val="24"/>
                <w:u w:val="single"/>
              </w:rPr>
              <w:t xml:space="preserve">  0571-82858325   </w:t>
            </w:r>
            <w:r>
              <w:rPr>
                <w:rFonts w:hint="eastAsia" w:ascii="仿宋" w:hAnsi="仿宋" w:eastAsia="仿宋" w:cs="仿宋"/>
                <w:sz w:val="24"/>
                <w:szCs w:val="24"/>
              </w:rPr>
              <w:t>。</w:t>
            </w:r>
          </w:p>
          <w:p>
            <w:pPr>
              <w:spacing w:after="0"/>
            </w:pPr>
            <w:r>
              <w:rPr>
                <w:rFonts w:hint="eastAsia" w:cs="仿宋"/>
                <w:b/>
              </w:rPr>
              <w:t>采购人、采购机构不强制或变相强制投标人提交备份文件。提交的备份文件格式无效（</w:t>
            </w:r>
            <w:r>
              <w:rPr>
                <w:rFonts w:cs="仿宋"/>
                <w:b/>
              </w:rPr>
              <w:t>.bfbs格式）或其他因投标人自身制作不当导致的无法使用的情况由投标人自行负责。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13</w:t>
            </w:r>
          </w:p>
        </w:tc>
        <w:tc>
          <w:tcPr>
            <w:tcW w:w="1000" w:type="pct"/>
            <w:vAlign w:val="center"/>
          </w:tcPr>
          <w:p>
            <w:pPr>
              <w:spacing w:after="0"/>
            </w:pPr>
            <w:r>
              <w:rPr>
                <w:rFonts w:hint="eastAsia"/>
                <w:b/>
              </w:rPr>
              <w:t>采购机构代理费用</w:t>
            </w:r>
          </w:p>
        </w:tc>
        <w:tc>
          <w:tcPr>
            <w:tcW w:w="3614" w:type="pct"/>
            <w:vAlign w:val="center"/>
          </w:tcPr>
          <w:p>
            <w:pPr>
              <w:widowControl w:val="0"/>
              <w:adjustRightInd w:val="0"/>
              <w:snapToGrid w:val="0"/>
              <w:spacing w:after="0" w:line="320" w:lineRule="exact"/>
              <w:jc w:val="both"/>
            </w:pPr>
            <w:r>
              <w:rPr>
                <w:rFonts w:hint="eastAsia" w:cs="仿宋"/>
                <w:snapToGrid w:val="0"/>
                <w:kern w:val="28"/>
              </w:rPr>
              <w:t>本项目的采购代理费由中标供应商支付：费用为人民币</w:t>
            </w:r>
            <w:r>
              <w:rPr>
                <w:rFonts w:cs="仿宋"/>
                <w:snapToGrid w:val="0"/>
                <w:kern w:val="28"/>
              </w:rPr>
              <w:t>15000</w:t>
            </w:r>
            <w:r>
              <w:rPr>
                <w:rFonts w:hint="eastAsia"/>
              </w:rPr>
              <w:t>元，由中标人在领取中标通知书时一次性向采购代理机构付清</w:t>
            </w:r>
            <w:r>
              <w:rPr>
                <w:rFonts w:hint="eastAsia" w:cs="仿宋"/>
                <w:snapToGrid w:val="0"/>
                <w:kern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14</w:t>
            </w:r>
          </w:p>
        </w:tc>
        <w:tc>
          <w:tcPr>
            <w:tcW w:w="1000" w:type="pct"/>
            <w:vAlign w:val="center"/>
          </w:tcPr>
          <w:p>
            <w:pPr>
              <w:spacing w:after="0"/>
            </w:pPr>
            <w:r>
              <w:rPr>
                <w:rFonts w:hint="eastAsia" w:cs="仿宋"/>
                <w:b/>
              </w:rPr>
              <w:t>履约保证金</w:t>
            </w:r>
          </w:p>
        </w:tc>
        <w:tc>
          <w:tcPr>
            <w:tcW w:w="3614" w:type="pct"/>
            <w:vAlign w:val="center"/>
          </w:tcPr>
          <w:p>
            <w:pPr>
              <w:pStyle w:val="18"/>
              <w:ind w:hanging="4"/>
              <w:rPr>
                <w:rFonts w:ascii="仿宋" w:hAnsi="仿宋" w:eastAsia="仿宋"/>
                <w:sz w:val="24"/>
                <w:szCs w:val="24"/>
              </w:rPr>
            </w:pPr>
            <w:r>
              <w:rPr>
                <w:rFonts w:hint="eastAsia" w:ascii="仿宋" w:hAnsi="仿宋" w:eastAsia="仿宋"/>
                <w:sz w:val="24"/>
                <w:szCs w:val="24"/>
              </w:rPr>
              <w:t>履约保证金：</w:t>
            </w:r>
            <w:r>
              <w:rPr>
                <w:rFonts w:ascii="仿宋" w:hAnsi="仿宋" w:eastAsia="仿宋"/>
                <w:sz w:val="24"/>
                <w:szCs w:val="24"/>
              </w:rPr>
              <w:t>不收取</w:t>
            </w:r>
            <w:r>
              <w:rPr>
                <w:rFonts w:hint="eastAsia" w:ascii="仿宋" w:hAnsi="仿宋" w:eastAsia="仿宋"/>
                <w:sz w:val="24"/>
                <w:szCs w:val="24"/>
              </w:rPr>
              <w:t>。</w:t>
            </w:r>
          </w:p>
          <w:p>
            <w:pPr>
              <w:spacing w:after="0"/>
            </w:pPr>
            <w:r>
              <w:rPr>
                <w:rFonts w:hint="eastAsia" w:cs="仿宋_GB231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6" w:type="pct"/>
            <w:vAlign w:val="center"/>
          </w:tcPr>
          <w:p>
            <w:pPr>
              <w:spacing w:after="0"/>
              <w:jc w:val="center"/>
            </w:pPr>
            <w:r>
              <w:t>15</w:t>
            </w:r>
          </w:p>
        </w:tc>
        <w:tc>
          <w:tcPr>
            <w:tcW w:w="1000" w:type="pct"/>
            <w:vAlign w:val="center"/>
          </w:tcPr>
          <w:p>
            <w:pPr>
              <w:spacing w:after="0"/>
            </w:pPr>
            <w:r>
              <w:rPr>
                <w:rFonts w:hint="eastAsia" w:cs="仿宋"/>
                <w:b/>
              </w:rPr>
              <w:t>资格审查和信用信息审查</w:t>
            </w:r>
          </w:p>
        </w:tc>
        <w:tc>
          <w:tcPr>
            <w:tcW w:w="3614" w:type="pct"/>
            <w:vAlign w:val="center"/>
          </w:tcPr>
          <w:p>
            <w:pPr>
              <w:spacing w:after="0"/>
            </w:pPr>
            <w:r>
              <w:rPr>
                <w:rFonts w:hint="eastAsia" w:cs="仿宋_GB2312"/>
              </w:rPr>
              <w:t>本项目</w:t>
            </w:r>
            <w:r>
              <w:rPr>
                <w:rFonts w:cs="仿宋_GB2312"/>
              </w:rPr>
              <w:t>由采购人/</w:t>
            </w:r>
            <w:r>
              <w:rPr>
                <w:rFonts w:hint="eastAsia" w:cs="仿宋_GB2312"/>
              </w:rPr>
              <w:t>采购机构进行</w:t>
            </w:r>
            <w:r>
              <w:rPr>
                <w:rFonts w:cs="仿宋_GB2312"/>
              </w:rPr>
              <w:t>资格文件</w:t>
            </w:r>
            <w:r>
              <w:rPr>
                <w:rFonts w:hint="eastAsia" w:cs="仿宋_GB2312"/>
              </w:rPr>
              <w:t>及</w:t>
            </w:r>
            <w:r>
              <w:rPr>
                <w:rFonts w:cs="仿宋_GB2312"/>
              </w:rPr>
              <w:t>信用信息</w:t>
            </w:r>
            <w:r>
              <w:rPr>
                <w:rFonts w:hint="eastAsia" w:cs="仿宋_GB2312"/>
              </w:rPr>
              <w:t>查询</w:t>
            </w:r>
            <w:r>
              <w:rPr>
                <w:rFonts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6" w:type="pct"/>
            <w:vAlign w:val="center"/>
          </w:tcPr>
          <w:p>
            <w:pPr>
              <w:spacing w:after="0"/>
              <w:jc w:val="center"/>
            </w:pPr>
            <w:r>
              <w:t>16</w:t>
            </w:r>
          </w:p>
        </w:tc>
        <w:tc>
          <w:tcPr>
            <w:tcW w:w="1000" w:type="pct"/>
            <w:vAlign w:val="center"/>
          </w:tcPr>
          <w:p>
            <w:pPr>
              <w:spacing w:after="0"/>
            </w:pPr>
            <w:r>
              <w:rPr>
                <w:rFonts w:hint="eastAsia" w:cs="仿宋"/>
                <w:b/>
              </w:rPr>
              <w:t>质疑接收人及答复</w:t>
            </w:r>
          </w:p>
        </w:tc>
        <w:tc>
          <w:tcPr>
            <w:tcW w:w="3614" w:type="pct"/>
            <w:vAlign w:val="center"/>
          </w:tcPr>
          <w:p>
            <w:pPr>
              <w:snapToGrid w:val="0"/>
              <w:spacing w:after="0"/>
              <w:rPr>
                <w:u w:val="single"/>
              </w:rPr>
            </w:pPr>
            <w:r>
              <w:rPr>
                <w:rFonts w:hint="eastAsia"/>
              </w:rPr>
              <w:t>采购</w:t>
            </w:r>
            <w:r>
              <w:t>人、</w:t>
            </w:r>
            <w:r>
              <w:rPr>
                <w:rFonts w:hint="eastAsia"/>
              </w:rPr>
              <w:t>采购</w:t>
            </w:r>
            <w:r>
              <w:t>机构质疑接收人</w:t>
            </w:r>
            <w:r>
              <w:rPr>
                <w:rFonts w:hint="eastAsia"/>
              </w:rPr>
              <w:t>、联系方式</w:t>
            </w:r>
            <w:r>
              <w:t>：</w:t>
            </w:r>
            <w:r>
              <w:rPr>
                <w:rFonts w:hint="eastAsia"/>
              </w:rPr>
              <w:t>详见公告</w:t>
            </w:r>
          </w:p>
          <w:p>
            <w:pPr>
              <w:snapToGrid w:val="0"/>
              <w:spacing w:after="0"/>
              <w:rPr>
                <w:b/>
              </w:rPr>
            </w:pPr>
            <w:r>
              <w:rPr>
                <w:rFonts w:hint="eastAsia"/>
                <w:b/>
              </w:rPr>
              <w:t>线上提交质疑方式：政采云线上质疑路径：项目采购</w:t>
            </w:r>
            <w:r>
              <w:rPr>
                <w:b/>
              </w:rPr>
              <w:t>-询问质疑投诉-质疑列表。请使用ca签章在每一页质疑文件中加盖电子公章，上传完整附件。</w:t>
            </w:r>
          </w:p>
          <w:p>
            <w:pPr>
              <w:snapToGrid w:val="0"/>
              <w:spacing w:after="0"/>
            </w:pPr>
            <w:r>
              <w:rPr>
                <w:rFonts w:hint="eastAsia"/>
              </w:rPr>
              <w:t>本项目涉及资格条件、采购需求、评分办法及采购过程中有关现场考察或开标前答疑会等事项由</w:t>
            </w:r>
            <w:r>
              <w:t>采购人进行答复。</w:t>
            </w:r>
          </w:p>
          <w:p>
            <w:pPr>
              <w:spacing w:after="0"/>
            </w:pPr>
            <w:r>
              <w:rPr>
                <w:rFonts w:hint="eastAsia"/>
              </w:rPr>
              <w:t>涉及</w:t>
            </w:r>
            <w:r>
              <w:t>流程规范性、组织程序等</w:t>
            </w:r>
            <w:r>
              <w:rPr>
                <w:rFonts w:hint="eastAsia"/>
              </w:rPr>
              <w:t>相关</w:t>
            </w:r>
            <w:r>
              <w:t>事项，由</w:t>
            </w:r>
            <w:r>
              <w:rPr>
                <w:rFonts w:hint="eastAsia"/>
              </w:rPr>
              <w:t>采购</w:t>
            </w:r>
            <w: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86" w:type="pct"/>
            <w:vAlign w:val="center"/>
          </w:tcPr>
          <w:p>
            <w:pPr>
              <w:spacing w:after="0"/>
              <w:jc w:val="center"/>
            </w:pPr>
            <w:r>
              <w:t>17</w:t>
            </w:r>
          </w:p>
        </w:tc>
        <w:tc>
          <w:tcPr>
            <w:tcW w:w="1000" w:type="pct"/>
            <w:vAlign w:val="center"/>
          </w:tcPr>
          <w:p>
            <w:pPr>
              <w:spacing w:after="0"/>
            </w:pPr>
            <w:r>
              <w:rPr>
                <w:rFonts w:hint="eastAsia" w:cs="仿宋"/>
                <w:b/>
              </w:rPr>
              <w:t>特别说明</w:t>
            </w:r>
          </w:p>
        </w:tc>
        <w:tc>
          <w:tcPr>
            <w:tcW w:w="3614" w:type="pct"/>
            <w:vAlign w:val="center"/>
          </w:tcPr>
          <w:p>
            <w:pPr>
              <w:spacing w:after="0"/>
              <w:rPr>
                <w:b/>
              </w:rPr>
            </w:pPr>
            <w:r>
              <w:rPr>
                <w:rFonts w:hint="eastAsia"/>
                <w:b/>
              </w:rPr>
              <w:t>严格执行预算限价，项目如涉及办公用房装修、通用办公设备家具的不得超限额标准。</w:t>
            </w:r>
          </w:p>
          <w:p>
            <w:pPr>
              <w:spacing w:after="0"/>
            </w:pPr>
            <w:r>
              <w:rPr>
                <w:rFonts w:hint="eastAsia"/>
                <w:b/>
              </w:rPr>
              <w:t>本项目</w:t>
            </w:r>
            <w:r>
              <w:rPr>
                <w:b/>
              </w:rPr>
              <w:t>通用</w:t>
            </w:r>
            <w:r>
              <w:rPr>
                <w:rFonts w:hint="eastAsia"/>
                <w:b/>
              </w:rPr>
              <w:t>总则</w:t>
            </w:r>
            <w:r>
              <w:rPr>
                <w:b/>
              </w:rPr>
              <w:t>条款与前附表等专</w:t>
            </w:r>
            <w:r>
              <w:rPr>
                <w:rFonts w:hint="eastAsia"/>
                <w:b/>
              </w:rPr>
              <w:t>用</w:t>
            </w:r>
            <w:r>
              <w:rPr>
                <w:b/>
              </w:rPr>
              <w:t>特别规定有冲突之处，以专用条款（</w:t>
            </w:r>
            <w:r>
              <w:rPr>
                <w:rFonts w:hint="eastAsia"/>
                <w:b/>
              </w:rPr>
              <w:t>特别规定</w:t>
            </w:r>
            <w:r>
              <w:rPr>
                <w:b/>
              </w:rPr>
              <w:t>）</w:t>
            </w:r>
            <w:r>
              <w:rPr>
                <w:rFonts w:hint="eastAsia"/>
                <w:b/>
              </w:rPr>
              <w:t>为准</w:t>
            </w:r>
          </w:p>
        </w:tc>
      </w:tr>
    </w:tbl>
    <w:p>
      <w:pPr>
        <w:pStyle w:val="4"/>
      </w:pPr>
    </w:p>
    <w:p>
      <w:pPr>
        <w:pStyle w:val="3"/>
        <w:rPr>
          <w:sz w:val="28"/>
          <w:szCs w:val="28"/>
        </w:rPr>
      </w:pPr>
      <w:r>
        <w:br w:type="page"/>
      </w:r>
    </w:p>
    <w:p>
      <w:pPr>
        <w:pStyle w:val="4"/>
      </w:pPr>
      <w:r>
        <w:rPr>
          <w:rFonts w:hint="eastAsia"/>
        </w:rPr>
        <w:t>一、总则</w:t>
      </w:r>
    </w:p>
    <w:p>
      <w:pPr>
        <w:pStyle w:val="2"/>
      </w:pPr>
      <w:r>
        <w:t>1. 适用范围</w:t>
      </w:r>
    </w:p>
    <w:p>
      <w:r>
        <w:rPr>
          <w:rFonts w:hint="eastAsia"/>
        </w:rPr>
        <w:t>本招标文件适用于该项目的招标、投标、开标、资格审查及信用信息查询、评标、定标、合同、验收等行为（法律、法规另有规定的，从其规定）。</w:t>
      </w:r>
    </w:p>
    <w:p>
      <w:pPr>
        <w:pStyle w:val="2"/>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2"/>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2"/>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4.3.4 以联合体形式参加政府采购活动的，其投诉应当由组成联合体的所有供应商共同提出。</w:t>
      </w:r>
    </w:p>
    <w:p>
      <w:r>
        <w:rPr>
          <w:rFonts w:hint="eastAsia"/>
        </w:rPr>
        <w:t>投诉书范本及制作说明详见附件</w:t>
      </w:r>
      <w:r>
        <w:t>3。</w:t>
      </w:r>
    </w:p>
    <w:p>
      <w:pPr>
        <w:pStyle w:val="4"/>
      </w:pPr>
      <w:r>
        <w:t>二、招标文件的构成、澄清、修改</w:t>
      </w:r>
    </w:p>
    <w:p>
      <w:pPr>
        <w:pStyle w:val="2"/>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2"/>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pPr>
      <w:r>
        <w:rPr>
          <w:rFonts w:hint="eastAsia"/>
        </w:rPr>
        <w:t>三、投标</w:t>
      </w:r>
    </w:p>
    <w:p>
      <w:pPr>
        <w:pStyle w:val="2"/>
      </w:pPr>
      <w:r>
        <w:t>7. 招标文件的获取</w:t>
      </w:r>
    </w:p>
    <w:p>
      <w:r>
        <w:rPr>
          <w:rFonts w:hint="eastAsia"/>
        </w:rPr>
        <w:t>详见招标公告中获取招标文件的时间期限、地点、方式及招标文件售价。</w:t>
      </w:r>
    </w:p>
    <w:p>
      <w:pPr>
        <w:pStyle w:val="2"/>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2"/>
      </w:pPr>
      <w:r>
        <w:t>9.投标保证金</w:t>
      </w:r>
    </w:p>
    <w:p>
      <w:r>
        <w:rPr>
          <w:rFonts w:hint="eastAsia"/>
        </w:rPr>
        <w:t>本项目不需缴纳投标保证金。</w:t>
      </w:r>
    </w:p>
    <w:p>
      <w:pPr>
        <w:pStyle w:val="2"/>
      </w:pPr>
      <w:r>
        <w:t>10. 投标文件的语言</w:t>
      </w:r>
    </w:p>
    <w:p>
      <w:r>
        <w:rPr>
          <w:rFonts w:hint="eastAsia"/>
        </w:rPr>
        <w:t>投标文件及投标人与采购有关的来往通知、函件和文件均应使用中文。</w:t>
      </w:r>
    </w:p>
    <w:p>
      <w:pPr>
        <w:pStyle w:val="2"/>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2"/>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2"/>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2"/>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2"/>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4"/>
      </w:pPr>
      <w:r>
        <w:rPr>
          <w:rFonts w:hint="eastAsia"/>
        </w:rPr>
        <w:t>四、开标、资格审查与信用信息查询</w:t>
      </w:r>
    </w:p>
    <w:p>
      <w:pPr>
        <w:pStyle w:val="2"/>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2"/>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2"/>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Pr>
      <w:r>
        <w:rPr>
          <w:rFonts w:hint="eastAsia"/>
        </w:rPr>
        <w:t>五、评标</w:t>
      </w:r>
    </w:p>
    <w:p>
      <w:pPr>
        <w:pStyle w:val="2"/>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pPr>
      <w:r>
        <w:rPr>
          <w:rFonts w:hint="eastAsia"/>
        </w:rPr>
        <w:t>六、定</w:t>
      </w:r>
      <w:r>
        <w:t xml:space="preserve"> 标</w:t>
      </w:r>
    </w:p>
    <w:p>
      <w:pPr>
        <w:pStyle w:val="2"/>
      </w:pPr>
      <w:r>
        <w:t>22. 确定中标供应商</w:t>
      </w:r>
    </w:p>
    <w:p>
      <w:r>
        <w:rPr>
          <w:rFonts w:hint="eastAsia"/>
        </w:rPr>
        <w:t>采购人将自收到评审报告之日起</w:t>
      </w:r>
      <w:r>
        <w:t>5个工作日内通过电子交易平台在评审报告推荐的中标候选人中按顺序确定中标供应商。</w:t>
      </w:r>
    </w:p>
    <w:p>
      <w:pPr>
        <w:pStyle w:val="2"/>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4"/>
      </w:pPr>
      <w:r>
        <w:rPr>
          <w:rFonts w:hint="eastAsia"/>
        </w:rPr>
        <w:t>七、合同授予</w:t>
      </w:r>
    </w:p>
    <w:p>
      <w:pPr>
        <w:pStyle w:val="2"/>
      </w:pPr>
      <w:r>
        <w:t>24. 合同主要条款详见第五部分拟签订的合同文本。</w:t>
      </w:r>
    </w:p>
    <w:p>
      <w:pPr>
        <w:pStyle w:val="2"/>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2"/>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w:t>
      </w:r>
      <w:r>
        <w:t>1%。鼓励和支持供应商以银行、保险公司出具的保函形式提供履约保证金。采购人不得拒收履约保函，项目验收结束后应及时退还。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pacing w:line="276" w:lineRule="auto"/>
        <w:rPr>
          <w:b/>
          <w:smallCaps/>
          <w:sz w:val="28"/>
          <w:szCs w:val="28"/>
        </w:rPr>
      </w:pPr>
      <w:r>
        <w:br w:type="page"/>
      </w:r>
    </w:p>
    <w:p>
      <w:pPr>
        <w:pStyle w:val="4"/>
      </w:pPr>
      <w:r>
        <w:rPr>
          <w:rFonts w:hint="eastAsia"/>
        </w:rPr>
        <w:t>八、电子交易活动的中止</w:t>
      </w:r>
    </w:p>
    <w:p>
      <w:pPr>
        <w:pStyle w:val="2"/>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pPr>
      <w:r>
        <w:rPr>
          <w:rFonts w:hint="eastAsia"/>
        </w:rPr>
        <w:t>九、验收</w:t>
      </w:r>
    </w:p>
    <w:p>
      <w:pPr>
        <w:pStyle w:val="2"/>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3"/>
      </w:pPr>
      <w:r>
        <w:rPr>
          <w:rFonts w:hint="eastAsia"/>
        </w:rPr>
        <w:t>第三部分</w:t>
      </w:r>
      <w:r>
        <w:t xml:space="preserve">   </w:t>
      </w:r>
      <w:r>
        <w:rPr>
          <w:rFonts w:hint="eastAsia"/>
        </w:rPr>
        <w:t>采购需求</w:t>
      </w:r>
    </w:p>
    <w:p>
      <w:pPr>
        <w:snapToGrid w:val="0"/>
        <w:rPr>
          <w:rStyle w:val="64"/>
        </w:rPr>
      </w:pPr>
      <w:r>
        <w:rPr>
          <w:rStyle w:val="64"/>
          <w:rFonts w:hint="eastAsia"/>
        </w:rPr>
        <w:t>属于实质性要求条款的，请用符号“▲”标明，否则属于非实质性要求。</w:t>
      </w:r>
    </w:p>
    <w:p>
      <w:pPr>
        <w:snapToGrid w:val="0"/>
        <w:rPr>
          <w:rStyle w:val="64"/>
        </w:rPr>
      </w:pPr>
      <w:r>
        <w:rPr>
          <w:rStyle w:val="64"/>
          <w:rFonts w:hint="eastAsia"/>
        </w:rPr>
        <w:t>“★”系产品采购项目中单一产品或核心产品。</w:t>
      </w:r>
    </w:p>
    <w:p>
      <w:pPr>
        <w:pStyle w:val="4"/>
        <w:numPr>
          <w:ilvl w:val="0"/>
          <w:numId w:val="1"/>
        </w:numPr>
      </w:pPr>
      <w:r>
        <w:t>招标一览表</w:t>
      </w:r>
    </w:p>
    <w:tbl>
      <w:tblPr>
        <w:tblStyle w:val="3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5386"/>
        <w:gridCol w:w="1727"/>
        <w:gridCol w:w="1013"/>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579" w:type="dxa"/>
            <w:tcMar>
              <w:top w:w="15" w:type="dxa"/>
              <w:left w:w="15" w:type="dxa"/>
              <w:bottom w:w="0" w:type="dxa"/>
              <w:right w:w="15" w:type="dxa"/>
            </w:tcMar>
            <w:vAlign w:val="center"/>
          </w:tcPr>
          <w:p>
            <w:pPr>
              <w:jc w:val="center"/>
              <w:rPr>
                <w:rFonts w:cs="仿宋"/>
              </w:rPr>
            </w:pPr>
            <w:r>
              <w:rPr>
                <w:rFonts w:hint="eastAsia" w:cs="仿宋"/>
              </w:rPr>
              <w:t>序号</w:t>
            </w:r>
          </w:p>
        </w:tc>
        <w:tc>
          <w:tcPr>
            <w:tcW w:w="5386" w:type="dxa"/>
            <w:tcMar>
              <w:top w:w="15" w:type="dxa"/>
              <w:left w:w="15" w:type="dxa"/>
              <w:bottom w:w="0" w:type="dxa"/>
              <w:right w:w="15" w:type="dxa"/>
            </w:tcMar>
            <w:vAlign w:val="center"/>
          </w:tcPr>
          <w:p>
            <w:pPr>
              <w:jc w:val="center"/>
              <w:rPr>
                <w:rFonts w:cs="仿宋"/>
              </w:rPr>
            </w:pPr>
            <w:r>
              <w:rPr>
                <w:rFonts w:hint="eastAsia" w:cs="仿宋"/>
              </w:rPr>
              <w:t>名称</w:t>
            </w:r>
          </w:p>
        </w:tc>
        <w:tc>
          <w:tcPr>
            <w:tcW w:w="1727" w:type="dxa"/>
            <w:tcMar>
              <w:top w:w="15" w:type="dxa"/>
              <w:left w:w="15" w:type="dxa"/>
              <w:bottom w:w="0" w:type="dxa"/>
              <w:right w:w="15" w:type="dxa"/>
            </w:tcMar>
            <w:vAlign w:val="center"/>
          </w:tcPr>
          <w:p>
            <w:pPr>
              <w:jc w:val="center"/>
              <w:rPr>
                <w:rFonts w:cs="仿宋"/>
              </w:rPr>
            </w:pPr>
            <w:r>
              <w:rPr>
                <w:rFonts w:hint="eastAsia" w:cs="仿宋"/>
              </w:rPr>
              <w:t>规格型号与参数</w:t>
            </w:r>
          </w:p>
        </w:tc>
        <w:tc>
          <w:tcPr>
            <w:tcW w:w="1013" w:type="dxa"/>
            <w:tcMar>
              <w:top w:w="15" w:type="dxa"/>
              <w:left w:w="15" w:type="dxa"/>
              <w:bottom w:w="0" w:type="dxa"/>
              <w:right w:w="15" w:type="dxa"/>
            </w:tcMar>
            <w:vAlign w:val="center"/>
          </w:tcPr>
          <w:p>
            <w:pPr>
              <w:jc w:val="center"/>
              <w:rPr>
                <w:rFonts w:cs="仿宋"/>
              </w:rPr>
            </w:pPr>
            <w:r>
              <w:rPr>
                <w:rFonts w:hint="eastAsia" w:cs="仿宋"/>
              </w:rPr>
              <w:t>单位</w:t>
            </w:r>
          </w:p>
        </w:tc>
        <w:tc>
          <w:tcPr>
            <w:tcW w:w="1015" w:type="dxa"/>
            <w:tcMar>
              <w:top w:w="15" w:type="dxa"/>
              <w:left w:w="15" w:type="dxa"/>
              <w:bottom w:w="0" w:type="dxa"/>
              <w:right w:w="15" w:type="dxa"/>
            </w:tcMar>
            <w:vAlign w:val="center"/>
          </w:tcPr>
          <w:p>
            <w:pPr>
              <w:jc w:val="center"/>
              <w:rPr>
                <w:rFonts w:cs="仿宋"/>
              </w:rPr>
            </w:pPr>
            <w:r>
              <w:rPr>
                <w:rFonts w:hint="eastAsia" w:cs="仿宋"/>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6" w:hRule="atLeast"/>
          <w:jc w:val="center"/>
        </w:trPr>
        <w:tc>
          <w:tcPr>
            <w:tcW w:w="579" w:type="dxa"/>
            <w:tcMar>
              <w:top w:w="15" w:type="dxa"/>
              <w:left w:w="15" w:type="dxa"/>
              <w:bottom w:w="0" w:type="dxa"/>
              <w:right w:w="15" w:type="dxa"/>
            </w:tcMar>
            <w:vAlign w:val="center"/>
          </w:tcPr>
          <w:p>
            <w:pPr>
              <w:jc w:val="center"/>
              <w:rPr>
                <w:rFonts w:cs="仿宋"/>
              </w:rPr>
            </w:pPr>
            <w:r>
              <w:rPr>
                <w:rFonts w:cs="仿宋"/>
              </w:rPr>
              <w:t>1</w:t>
            </w:r>
          </w:p>
        </w:tc>
        <w:tc>
          <w:tcPr>
            <w:tcW w:w="5386" w:type="dxa"/>
            <w:tcMar>
              <w:top w:w="15" w:type="dxa"/>
              <w:left w:w="15" w:type="dxa"/>
              <w:bottom w:w="0" w:type="dxa"/>
              <w:right w:w="15" w:type="dxa"/>
            </w:tcMar>
            <w:vAlign w:val="center"/>
          </w:tcPr>
          <w:p>
            <w:pPr>
              <w:jc w:val="center"/>
              <w:rPr>
                <w:rFonts w:cs="仿宋"/>
              </w:rPr>
            </w:pPr>
            <w:r>
              <w:rPr>
                <w:rFonts w:hint="eastAsia" w:cs="仿宋"/>
                <w:snapToGrid w:val="0"/>
                <w:kern w:val="28"/>
              </w:rPr>
              <w:t>杭州市萧山区第一人民医院医共体总院各分院检验外送政府采购项目</w:t>
            </w:r>
          </w:p>
        </w:tc>
        <w:tc>
          <w:tcPr>
            <w:tcW w:w="1727" w:type="dxa"/>
            <w:tcMar>
              <w:top w:w="15" w:type="dxa"/>
              <w:left w:w="15" w:type="dxa"/>
              <w:bottom w:w="0" w:type="dxa"/>
              <w:right w:w="15" w:type="dxa"/>
            </w:tcMar>
            <w:vAlign w:val="center"/>
          </w:tcPr>
          <w:p>
            <w:pPr>
              <w:jc w:val="center"/>
              <w:rPr>
                <w:rFonts w:cs="仿宋"/>
              </w:rPr>
            </w:pPr>
            <w:r>
              <w:rPr>
                <w:rFonts w:hint="eastAsia" w:cs="仿宋"/>
              </w:rPr>
              <w:t>详见招标需求</w:t>
            </w:r>
          </w:p>
        </w:tc>
        <w:tc>
          <w:tcPr>
            <w:tcW w:w="1013" w:type="dxa"/>
            <w:tcMar>
              <w:top w:w="15" w:type="dxa"/>
              <w:left w:w="15" w:type="dxa"/>
              <w:bottom w:w="0" w:type="dxa"/>
              <w:right w:w="15" w:type="dxa"/>
            </w:tcMar>
            <w:vAlign w:val="center"/>
          </w:tcPr>
          <w:p>
            <w:pPr>
              <w:jc w:val="center"/>
              <w:rPr>
                <w:rFonts w:cs="仿宋"/>
              </w:rPr>
            </w:pPr>
            <w:r>
              <w:rPr>
                <w:rFonts w:hint="eastAsia" w:cs="仿宋"/>
              </w:rPr>
              <w:t>年</w:t>
            </w:r>
          </w:p>
        </w:tc>
        <w:tc>
          <w:tcPr>
            <w:tcW w:w="1015" w:type="dxa"/>
            <w:tcMar>
              <w:top w:w="15" w:type="dxa"/>
              <w:left w:w="15" w:type="dxa"/>
              <w:bottom w:w="0" w:type="dxa"/>
              <w:right w:w="15" w:type="dxa"/>
            </w:tcMar>
            <w:vAlign w:val="center"/>
          </w:tcPr>
          <w:p>
            <w:pPr>
              <w:jc w:val="center"/>
              <w:rPr>
                <w:rFonts w:cs="仿宋"/>
              </w:rPr>
            </w:pPr>
            <w:r>
              <w:rPr>
                <w:rFonts w:cs="仿宋"/>
              </w:rPr>
              <w:t>1</w:t>
            </w:r>
          </w:p>
        </w:tc>
      </w:tr>
    </w:tbl>
    <w:p>
      <w:pPr>
        <w:pStyle w:val="4"/>
        <w:numPr>
          <w:ilvl w:val="0"/>
          <w:numId w:val="1"/>
        </w:numPr>
      </w:pPr>
      <w:r>
        <w:rPr>
          <w:rFonts w:hint="eastAsia"/>
        </w:rPr>
        <w:t>采购</w:t>
      </w:r>
      <w:r>
        <w:t>需求</w:t>
      </w:r>
    </w:p>
    <w:p>
      <w:pPr>
        <w:rPr>
          <w:b/>
        </w:rPr>
      </w:pPr>
      <w:r>
        <w:rPr>
          <w:rFonts w:hint="eastAsia"/>
          <w:b/>
        </w:rPr>
        <w:t>一、招标内容</w:t>
      </w:r>
    </w:p>
    <w:p>
      <w:pPr>
        <w:ind w:firstLine="240" w:firstLineChars="100"/>
      </w:pPr>
      <w:r>
        <w:t>1、杭州市萧山区第一人民医院总院分院的检验外送服务，为方便基层社区服务中心病人就诊，需要将部分检测标本送第三方临床实验检测中心检测。包括但不限于提供运输服务、配套车辆设备、配备服务人员、设备维护保养、外送标本检测等全部工作。</w:t>
      </w:r>
    </w:p>
    <w:p>
      <w:pPr>
        <w:ind w:firstLine="240" w:firstLineChars="100"/>
      </w:pPr>
      <w:r>
        <w:t>2、服务期：具体起止时间在签订合同时由招标人确定。</w:t>
      </w:r>
    </w:p>
    <w:p>
      <w:pPr>
        <w:ind w:firstLine="240" w:firstLineChars="100"/>
      </w:pPr>
      <w:r>
        <w:t>3、本次招标检验项目分3类，特检类业务占比约10%；普检类业务占比约75%；体检类业务占比约15%。全年预算金额约880万。</w:t>
      </w:r>
    </w:p>
    <w:p>
      <w:pPr>
        <w:rPr>
          <w:b/>
        </w:rPr>
      </w:pPr>
      <w:r>
        <w:rPr>
          <w:rFonts w:hint="eastAsia"/>
          <w:b/>
        </w:rPr>
        <w:t>二、检验外送服务要求</w:t>
      </w:r>
    </w:p>
    <w:p>
      <w:pPr>
        <w:ind w:firstLine="240" w:firstLineChars="100"/>
      </w:pPr>
      <w:r>
        <w:t>1、检验报告出具时间：按院方要求时间发放检验报告；常规生化及免疫类（A类）项目需在标本接后</w:t>
      </w:r>
      <w:r>
        <w:rPr>
          <w:color w:val="auto"/>
        </w:rPr>
        <w:t>18</w:t>
      </w:r>
      <w:r>
        <w:t>小时内报告，其它项目报告单对接萧山区第一人民医院总院及各分院的LIS系统，可在系统上查询结果，投标人承担相关接口费用；</w:t>
      </w:r>
    </w:p>
    <w:p>
      <w:pPr>
        <w:ind w:firstLine="240" w:firstLineChars="100"/>
      </w:pPr>
      <w:r>
        <w:t>2、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pPr>
        <w:ind w:firstLine="240" w:firstLineChars="100"/>
        <w:rPr>
          <w:color w:val="FF0000"/>
        </w:rPr>
      </w:pPr>
      <w:r>
        <w:t>3、所有样本的运送必须符合样本温度的管理要求，有专业的标本冷链物流配送，温度控制在全程2-8℃，数据记录保存≥2年，方便招标人备查，特殊样本运输过程中需干冰冻存；</w:t>
      </w:r>
    </w:p>
    <w:p>
      <w:pPr>
        <w:ind w:firstLine="240" w:firstLineChars="100"/>
      </w:pPr>
      <w:r>
        <w:t>4、突发情况：招标人自己开展项目仪器发生故障时，提供标本紧急检验服务，按照同类外送项目标本折扣收取费用，所涉及费用包含在投标报价中；</w:t>
      </w:r>
    </w:p>
    <w:p>
      <w:pPr>
        <w:ind w:firstLine="240" w:firstLineChars="100"/>
      </w:pPr>
      <w:r>
        <w:t>5、特殊标本：提供临时加急服务，需提供具体方案及报告出具时限等；</w:t>
      </w:r>
    </w:p>
    <w:p>
      <w:pPr>
        <w:ind w:firstLine="240" w:firstLineChars="100"/>
      </w:pPr>
      <w:r>
        <w:t>6、提供</w:t>
      </w:r>
      <w:r>
        <w:rPr>
          <w:rFonts w:hint="eastAsia"/>
        </w:rPr>
        <w:t>专职客服</w:t>
      </w:r>
      <w:r>
        <w:t>，</w:t>
      </w:r>
      <w:r>
        <w:rPr>
          <w:rFonts w:hint="eastAsia"/>
        </w:rPr>
        <w:t>提供</w:t>
      </w:r>
      <w:r>
        <w:t>24</w:t>
      </w:r>
      <w:r>
        <w:rPr>
          <w:rFonts w:hint="eastAsia"/>
        </w:rPr>
        <w:t>小时响应</w:t>
      </w:r>
      <w:r>
        <w:t>电话</w:t>
      </w:r>
      <w:r>
        <w:rPr>
          <w:rFonts w:hint="eastAsia"/>
        </w:rPr>
        <w:t>，</w:t>
      </w:r>
      <w:r>
        <w:t>及时应答</w:t>
      </w:r>
      <w:r>
        <w:rPr>
          <w:rFonts w:hint="eastAsia"/>
        </w:rPr>
        <w:t>；</w:t>
      </w:r>
    </w:p>
    <w:p>
      <w:pPr>
        <w:ind w:firstLine="240" w:firstLineChars="100"/>
        <w:rPr>
          <w:b/>
          <w:bCs/>
          <w:color w:val="auto"/>
        </w:rPr>
      </w:pPr>
      <w:r>
        <w:t>7、投标人具有完善的质控系统按照检验质控要求，定期提供所有外送项目的室内质控、室间质控报告</w:t>
      </w:r>
      <w:r>
        <w:rPr>
          <w:color w:val="auto"/>
        </w:rPr>
        <w:t>；</w:t>
      </w:r>
      <w:r>
        <w:rPr>
          <w:rFonts w:hint="eastAsia"/>
          <w:b/>
          <w:bCs/>
          <w:color w:val="auto"/>
        </w:rPr>
        <w:t>对外送标本中浙江省临床检验结果互认项目应达到互认标准。</w:t>
      </w:r>
    </w:p>
    <w:p>
      <w:pPr>
        <w:ind w:firstLine="240" w:firstLineChars="100"/>
      </w:pPr>
      <w:r>
        <w:t>8、投标人具有完善的质控系统按照检验质控要求，定期提供检验仪器设备性能验证报告；</w:t>
      </w:r>
    </w:p>
    <w:p>
      <w:pPr>
        <w:ind w:firstLine="240" w:firstLineChars="100"/>
      </w:pPr>
      <w:r>
        <w:t>9、根据招标人需求，提供招标人用于相关标本存放用品、耗材</w:t>
      </w:r>
      <w:r>
        <w:rPr>
          <w:rFonts w:hint="eastAsia"/>
        </w:rPr>
        <w:t>（可收费耗材除外）</w:t>
      </w:r>
      <w:r>
        <w:t>等，提供每次到货清单、随货联、合格证、医疗器械注册证等（所涉及费用包含在投标报价中）；</w:t>
      </w:r>
    </w:p>
    <w:p>
      <w:pPr>
        <w:ind w:firstLine="240" w:firstLineChars="100"/>
      </w:pPr>
      <w:r>
        <w:t>10、检验报告中出现危急值，在检验报告打出后按照拟定的应急要求向招标人报备并说明情况，在投标文件提供遇到危急值的反馈及处理预案；</w:t>
      </w:r>
    </w:p>
    <w:p>
      <w:pPr>
        <w:ind w:firstLine="240" w:firstLineChars="100"/>
      </w:pPr>
      <w:r>
        <w:t>11、本项目允许部分检验项目分包，分包的检验项目投标人在投标文件中明确分包项目及分包。如果中标后在合同履行过程中分包项目有需要调整的，必须经过招标人同意。</w:t>
      </w:r>
    </w:p>
    <w:p>
      <w:pPr>
        <w:ind w:firstLine="240" w:firstLineChars="100"/>
      </w:pPr>
      <w:r>
        <w:t>12、要求投标人具有实验室质量控制体系情况（提供标本收集、储存、运送、接送等相关环节的质量控制相关文件），在投标文件中提供相关材料。</w:t>
      </w:r>
    </w:p>
    <w:p>
      <w:pPr>
        <w:ind w:firstLine="240" w:firstLineChars="100"/>
      </w:pPr>
      <w:r>
        <w:t>13、投标人在投标文件中提供检验（含分包）的仪器设备品牌型号，所使用的试剂的资质材料、品牌、产地清单等。</w:t>
      </w:r>
    </w:p>
    <w:p>
      <w:pPr>
        <w:rPr>
          <w:b/>
        </w:rPr>
      </w:pPr>
      <w:r>
        <w:rPr>
          <w:rFonts w:hint="eastAsia"/>
          <w:b/>
        </w:rPr>
        <w:t>三、检验外送时效要求</w:t>
      </w:r>
    </w:p>
    <w:p>
      <w:pPr>
        <w:ind w:firstLine="240" w:firstLineChars="100"/>
      </w:pPr>
      <w:r>
        <w:t>1、送检标本收取次数：每天一次，特殊情况根据临床需求及时增加；</w:t>
      </w:r>
    </w:p>
    <w:p>
      <w:pPr>
        <w:ind w:firstLine="240" w:firstLineChars="100"/>
      </w:pPr>
      <w:r>
        <w:t>2、全年服务：全年全天候上门收取标本</w:t>
      </w:r>
      <w:r>
        <w:rPr>
          <w:rFonts w:hint="eastAsia"/>
        </w:rPr>
        <w:t>。</w:t>
      </w:r>
    </w:p>
    <w:p>
      <w:pPr>
        <w:rPr>
          <w:b/>
        </w:rPr>
      </w:pPr>
      <w:r>
        <w:rPr>
          <w:rFonts w:hint="eastAsia"/>
          <w:b/>
        </w:rPr>
        <w:t>四、检验外送人员要求</w:t>
      </w:r>
    </w:p>
    <w:p>
      <w:pPr>
        <w:ind w:firstLine="240" w:firstLineChars="100"/>
      </w:pPr>
      <w:r>
        <w:t>1、要求投标人拟派的项目负责人具有与本项目实施有关的执业资格证书或职称证书。</w:t>
      </w:r>
    </w:p>
    <w:p>
      <w:pPr>
        <w:ind w:firstLine="240" w:firstLineChars="100"/>
      </w:pPr>
      <w:r>
        <w:t>2、拟派的服务团队人员资历及人数能保障本次检验外送的服务要求。</w:t>
      </w:r>
    </w:p>
    <w:p>
      <w:pPr>
        <w:ind w:firstLine="240" w:firstLineChars="100"/>
      </w:pPr>
      <w:r>
        <w:t>3、按招标人要求设置专人负责标本收集，并在投标文件中提供人员信息。</w:t>
      </w:r>
    </w:p>
    <w:p>
      <w:pPr>
        <w:rPr>
          <w:b/>
        </w:rPr>
      </w:pPr>
      <w:r>
        <w:rPr>
          <w:rFonts w:hint="eastAsia"/>
          <w:b/>
        </w:rPr>
        <w:t>五、标本运输要求</w:t>
      </w:r>
    </w:p>
    <w:p>
      <w:pPr>
        <w:ind w:firstLine="240" w:firstLineChars="100"/>
      </w:pPr>
      <w:r>
        <w:t>1、根据各不同标项的检验内容制定完善的物流运输方案；</w:t>
      </w:r>
    </w:p>
    <w:p>
      <w:pPr>
        <w:ind w:firstLine="240" w:firstLineChars="100"/>
      </w:pPr>
      <w:r>
        <w:t>2、拟定各类标本转运物流流程规章制度（包括标本运输紧急预案）及工作各环节操作说明书；</w:t>
      </w:r>
    </w:p>
    <w:p>
      <w:pPr>
        <w:ind w:firstLine="240" w:firstLineChars="100"/>
      </w:pPr>
      <w:r>
        <w:rPr>
          <w:rFonts w:hint="eastAsia" w:cs="仿宋"/>
          <w:color w:val="000000"/>
        </w:rPr>
        <w:t>▲</w:t>
      </w:r>
      <w:r>
        <w:t>3、在投标中明确冷链物流配送单位，提供符合经营要求资质文件复印；</w:t>
      </w:r>
    </w:p>
    <w:p>
      <w:pPr>
        <w:ind w:firstLine="240" w:firstLineChars="100"/>
      </w:pPr>
      <w:r>
        <w:t>4、</w:t>
      </w:r>
      <w:r>
        <w:rPr>
          <w:rFonts w:hint="eastAsia"/>
        </w:rPr>
        <w:t>检测内容满足各分院要求，</w:t>
      </w:r>
      <w:r>
        <w:t>根据检测内容需求提供配置车辆的数量、性能、冷链设施，车辆上配有专业设备情况，每天物流运送的路线安排；</w:t>
      </w:r>
    </w:p>
    <w:p>
      <w:pPr>
        <w:ind w:firstLine="240" w:firstLineChars="100"/>
      </w:pPr>
      <w:r>
        <w:t>5、提供保障样本每天的及时送达的方案，并制定相关安全措施；</w:t>
      </w:r>
    </w:p>
    <w:p>
      <w:pPr>
        <w:ind w:firstLine="240" w:firstLineChars="100"/>
      </w:pPr>
      <w:r>
        <w:t>6、针对招标人院区以及各类不同种类检验外送的内容制定样本运输的应急预案，保障紧急情况下的送检服务。</w:t>
      </w:r>
    </w:p>
    <w:p>
      <w:pPr>
        <w:rPr>
          <w:b/>
        </w:rPr>
      </w:pPr>
      <w:r>
        <w:rPr>
          <w:rFonts w:hint="eastAsia"/>
          <w:b/>
        </w:rPr>
        <w:t>六、检验内容</w:t>
      </w:r>
    </w:p>
    <w:p>
      <w:pPr>
        <w:ind w:firstLine="240" w:firstLineChars="100"/>
      </w:pPr>
      <w:r>
        <w:rPr>
          <w:rFonts w:hint="eastAsia"/>
        </w:rPr>
        <w:t>所有标项的检验内容均为招标人院内拟实施的检验内容，服务期内根据招标人内部管理要求检验内容有增减或调整的，中标人必须无条件接受，新增项目，在合同总金额范围（</w:t>
      </w:r>
      <w:r>
        <w:t>880万元以内）内按收费基准价结合中标折扣进行结算。检验清单评见采购需求附件。</w:t>
      </w:r>
    </w:p>
    <w:p>
      <w:pPr>
        <w:rPr>
          <w:b/>
        </w:rPr>
      </w:pPr>
      <w:r>
        <w:rPr>
          <w:rFonts w:hint="eastAsia"/>
          <w:b/>
        </w:rPr>
        <w:t>七、</w:t>
      </w:r>
      <w:r>
        <w:rPr>
          <w:rFonts w:hint="eastAsia" w:cs="仿宋"/>
          <w:b/>
          <w:color w:val="000000"/>
        </w:rPr>
        <w:t>▲</w:t>
      </w:r>
      <w:r>
        <w:rPr>
          <w:rFonts w:hint="eastAsia"/>
          <w:b/>
        </w:rPr>
        <w:t>信息要求</w:t>
      </w:r>
    </w:p>
    <w:p>
      <w:pPr>
        <w:pStyle w:val="2"/>
        <w:ind w:firstLine="241" w:firstLineChars="100"/>
      </w:pPr>
      <w:r>
        <w:t>1、所有检验信息</w:t>
      </w:r>
      <w:r>
        <w:rPr>
          <w:rFonts w:hint="eastAsia"/>
        </w:rPr>
        <w:t>要求通过医共体一体化平台进行对接，把检验申请单、报告结果通过平台推送，具体接口由医共体一体化平台项目组定义标准。</w:t>
      </w:r>
    </w:p>
    <w:p>
      <w:pPr>
        <w:ind w:firstLine="240" w:firstLineChars="100"/>
      </w:pPr>
      <w:r>
        <w:t>2、</w:t>
      </w:r>
      <w:r>
        <w:rPr>
          <w:rFonts w:hint="eastAsia"/>
        </w:rPr>
        <w:t>要对检验单人员信息进行医共体一体化平台系统查询建档情况，未建档要先进行建档。建档包括身份证、姓名、地址、电话等符合基本档案规范的信息。</w:t>
      </w:r>
    </w:p>
    <w:p>
      <w:pPr>
        <w:rPr>
          <w:b/>
        </w:rPr>
      </w:pPr>
      <w:r>
        <w:rPr>
          <w:rFonts w:hint="eastAsia"/>
          <w:b/>
        </w:rPr>
        <w:t>八、其他要求</w:t>
      </w:r>
    </w:p>
    <w:p>
      <w:pPr>
        <w:ind w:firstLine="240" w:firstLineChars="100"/>
      </w:pPr>
      <w:r>
        <w:t>1、报告时间延迟半天扣检测费的50%，延迟一天检测费减免，如造成投诉纠纷需承担相应责任。五次以上延迟报告的，招标人有权提前解除合同。</w:t>
      </w:r>
    </w:p>
    <w:p>
      <w:pPr>
        <w:ind w:firstLine="240" w:firstLineChars="100"/>
      </w:pPr>
      <w:r>
        <w:t>2、检测结果的准确性：对结果明显有差异的，中标人应无条件免费复查。</w:t>
      </w:r>
    </w:p>
    <w:p>
      <w:r>
        <w:t>3、中标人对检验结果负责，因检验结果问题引起的医疗纠纷，对患方的所有赔（补）偿费用完全由中标人支付，同时中标人应对医院进行相应赔偿。</w:t>
      </w:r>
      <w:r>
        <w:rPr>
          <w:rFonts w:hint="eastAsia"/>
        </w:rPr>
        <w:t>（</w:t>
      </w:r>
      <w:r>
        <w:rPr>
          <w:rFonts w:cs="仿宋"/>
          <w:color w:val="000000"/>
          <w:lang w:bidi="ar"/>
        </w:rPr>
        <w:t>因</w:t>
      </w:r>
      <w:r>
        <w:rPr>
          <w:rFonts w:hint="eastAsia" w:cs="仿宋"/>
          <w:color w:val="000000"/>
          <w:lang w:bidi="ar"/>
        </w:rPr>
        <w:t>中标人的</w:t>
      </w:r>
      <w:r>
        <w:rPr>
          <w:rFonts w:cs="仿宋"/>
          <w:color w:val="000000"/>
          <w:lang w:bidi="ar"/>
        </w:rPr>
        <w:t>原因影响医院声誉，每投诉或纠纷一次扣500元，媒体爆光一次扣5000元</w:t>
      </w:r>
      <w:r>
        <w:rPr>
          <w:rFonts w:hint="eastAsia" w:cs="仿宋"/>
          <w:color w:val="000000"/>
          <w:lang w:bidi="ar"/>
        </w:rPr>
        <w:t>）。</w:t>
      </w:r>
    </w:p>
    <w:p>
      <w:pPr>
        <w:ind w:firstLine="240" w:firstLineChars="100"/>
      </w:pPr>
      <w:r>
        <w:t>4、中标人应根据招标人的要求，为招标人提供分析前样本的质量控制等相关内容的培训服务，按照医院的要求维护所有必需的质量控制项目，每季度提交质量控制数据记录。</w:t>
      </w:r>
    </w:p>
    <w:p>
      <w:pPr>
        <w:ind w:firstLine="240" w:firstLineChars="100"/>
      </w:pPr>
      <w:r>
        <w:t>5、合同期内，检测项目</w:t>
      </w:r>
      <w:r>
        <w:rPr>
          <w:rFonts w:hint="eastAsia"/>
        </w:rPr>
        <w:t>医共体</w:t>
      </w:r>
      <w:r>
        <w:t>总院有能力自行开展的，分院或总院可自行检测，不再委托中标人进行检测，中标折扣不予以调整。</w:t>
      </w:r>
    </w:p>
    <w:p>
      <w:pPr>
        <w:ind w:firstLine="240" w:firstLineChars="100"/>
      </w:pPr>
      <w:r>
        <w:t>6、招标人将不定期组织专家至中标人现场检查、督导并查看试剂、设备等采购相关台账，如发现中标人存在提供虚假信息或未经院方同意私自更改使用试剂的品牌和检验项目的方法学等现象，招标人有权立即终止合同，中标人需按已做项目的收费金额赔偿招标人，并承担所有相关违约责任。</w:t>
      </w:r>
    </w:p>
    <w:p>
      <w:pPr>
        <w:ind w:firstLine="240" w:firstLineChars="100"/>
        <w:rPr>
          <w:color w:val="auto"/>
        </w:rPr>
      </w:pPr>
      <w:r>
        <w:rPr>
          <w:color w:val="auto"/>
        </w:rPr>
        <w:t>7、</w:t>
      </w:r>
      <w:r>
        <w:rPr>
          <w:rFonts w:hint="eastAsia"/>
          <w:b/>
          <w:bCs/>
          <w:color w:val="auto"/>
        </w:rPr>
        <w:t>对于项目组套、特检项目等收费由乙方向甲方提供具体收费方案，特检项目总价不得超过项目清单要求。并保证收费方案的合规性，若有因此引起医保物价扣罚款由乙方负责。</w:t>
      </w:r>
    </w:p>
    <w:p>
      <w:pPr>
        <w:ind w:firstLine="240" w:firstLineChars="100"/>
      </w:pPr>
      <w:r>
        <w:t>8、在投标文件中提供疫情防控措施，确保防控措施落实到位。</w:t>
      </w:r>
    </w:p>
    <w:p>
      <w:pPr>
        <w:rPr>
          <w:rFonts w:cs="仿宋"/>
        </w:rPr>
      </w:pPr>
      <w:r>
        <w:br w:type="page"/>
      </w:r>
      <w:r>
        <w:rPr>
          <w:b/>
        </w:rPr>
        <w:t xml:space="preserve"> </w:t>
      </w:r>
      <w:r>
        <w:rPr>
          <w:rFonts w:hint="eastAsia" w:cs="仿宋"/>
          <w:b/>
        </w:rPr>
        <w:t>二、商务需求</w:t>
      </w:r>
    </w:p>
    <w:p>
      <w:pPr>
        <w:spacing w:after="0" w:line="360" w:lineRule="auto"/>
        <w:ind w:firstLine="480" w:firstLineChars="200"/>
        <w:rPr>
          <w:rFonts w:cs="仿宋"/>
          <w:color w:val="000000"/>
        </w:rPr>
      </w:pPr>
      <w:r>
        <w:rPr>
          <w:rFonts w:cs="仿宋"/>
          <w:color w:val="000000"/>
        </w:rPr>
        <w:t>1、投标价为：本次招标的检测项目占浙江省医疗服务价格收费标准的医疗物价收费价格百分比（如有小数点保留两位，如：60.00%）。所有检测项目的报价均须一致。如：投标人投标报价为60.00%，即中标后按检测项目浙江省医疗服务价格收费标准×60.00%的价格执行。</w:t>
      </w:r>
    </w:p>
    <w:p>
      <w:pPr>
        <w:spacing w:after="0" w:line="360" w:lineRule="auto"/>
        <w:ind w:firstLine="480" w:firstLineChars="200"/>
        <w:rPr>
          <w:rFonts w:cs="仿宋"/>
          <w:color w:val="000000"/>
        </w:rPr>
      </w:pPr>
      <w:r>
        <w:rPr>
          <w:rFonts w:hint="eastAsia" w:cs="仿宋"/>
          <w:color w:val="000000"/>
        </w:rPr>
        <w:t>核算的唯一标准是浙江省医疗服务行业物价收费标准。</w:t>
      </w:r>
    </w:p>
    <w:p>
      <w:pPr>
        <w:spacing w:after="0" w:line="360" w:lineRule="auto"/>
        <w:ind w:firstLine="480" w:firstLineChars="200"/>
        <w:rPr>
          <w:rFonts w:cs="仿宋"/>
          <w:color w:val="000000"/>
        </w:rPr>
      </w:pPr>
      <w:r>
        <w:rPr>
          <w:rFonts w:hint="eastAsia" w:cs="仿宋"/>
          <w:color w:val="000000"/>
        </w:rPr>
        <w:t>检测服务费包括但不限于样本采集、运输服务、配套车辆设备、信息化建设费、配备服务人员、售后服务、质量监控信息、外送标本检测成本、保险、税金等完成本项目所产生的一切费用，医院除标本外送检测服务费，不再另外支付任何其他费用。</w:t>
      </w:r>
    </w:p>
    <w:p>
      <w:pPr>
        <w:spacing w:after="0" w:line="360" w:lineRule="auto"/>
        <w:ind w:firstLine="480" w:firstLineChars="200"/>
        <w:rPr>
          <w:rFonts w:cs="仿宋"/>
          <w:color w:val="000000"/>
        </w:rPr>
      </w:pPr>
      <w:r>
        <w:rPr>
          <w:rFonts w:hint="eastAsia" w:cs="仿宋"/>
          <w:color w:val="000000"/>
        </w:rPr>
        <w:t>本项目包括医共体一体化平台及相关系统对接，涉及平台厂商、</w:t>
      </w:r>
      <w:r>
        <w:rPr>
          <w:rFonts w:cs="仿宋"/>
          <w:color w:val="000000"/>
        </w:rPr>
        <w:t>EMR厂商、LIS厂商，具体项目费用与各厂商自行对接。(</w:t>
      </w:r>
      <w:r>
        <w:rPr>
          <w:rFonts w:hint="eastAsia" w:cs="仿宋"/>
          <w:color w:val="000000"/>
        </w:rPr>
        <w:t>费用包含在项目内</w:t>
      </w:r>
      <w:r>
        <w:rPr>
          <w:rFonts w:cs="仿宋"/>
          <w:color w:val="000000"/>
        </w:rPr>
        <w:t>)</w:t>
      </w:r>
    </w:p>
    <w:p>
      <w:pPr>
        <w:spacing w:after="0" w:line="360" w:lineRule="auto"/>
        <w:ind w:firstLine="480" w:firstLineChars="200"/>
        <w:rPr>
          <w:rFonts w:cs="仿宋"/>
          <w:color w:val="000000"/>
        </w:rPr>
      </w:pPr>
      <w:r>
        <w:rPr>
          <w:rFonts w:hint="eastAsia" w:cs="仿宋"/>
          <w:color w:val="000000"/>
        </w:rPr>
        <w:t>标本外送检测服务费的收取具体为：标本外送检测服务费</w:t>
      </w:r>
      <w:r>
        <w:rPr>
          <w:rFonts w:cs="仿宋"/>
          <w:color w:val="000000"/>
        </w:rPr>
        <w:t>=外送检验项目医院收入×中标价。</w:t>
      </w:r>
    </w:p>
    <w:p>
      <w:pPr>
        <w:spacing w:after="0" w:line="360" w:lineRule="auto"/>
        <w:ind w:firstLine="480" w:firstLineChars="200"/>
        <w:rPr>
          <w:rFonts w:cs="仿宋"/>
          <w:color w:val="000000"/>
        </w:rPr>
      </w:pPr>
      <w:r>
        <w:rPr>
          <w:rFonts w:hint="eastAsia"/>
        </w:rPr>
        <w:t>2、最高</w:t>
      </w:r>
      <w:r>
        <w:rPr>
          <w:rFonts w:hint="eastAsia" w:cs="仿宋"/>
          <w:color w:val="000000"/>
        </w:rPr>
        <w:t>限价</w:t>
      </w:r>
    </w:p>
    <w:p>
      <w:pPr>
        <w:spacing w:after="0" w:line="360" w:lineRule="auto"/>
        <w:ind w:firstLine="480" w:firstLineChars="200"/>
        <w:rPr>
          <w:rFonts w:cs="仿宋"/>
          <w:color w:val="000000"/>
        </w:rPr>
      </w:pPr>
      <w:r>
        <w:rPr>
          <w:rFonts w:hint="eastAsia" w:cs="仿宋"/>
          <w:color w:val="000000"/>
        </w:rPr>
        <w:t>本项目设有最高限价，普检类最高折扣为</w:t>
      </w:r>
      <w:r>
        <w:rPr>
          <w:rFonts w:cs="仿宋"/>
          <w:color w:val="000000"/>
        </w:rPr>
        <w:t>37%，特检类最高折扣为65%，体检类最高折扣为24%</w:t>
      </w:r>
      <w:r>
        <w:rPr>
          <w:rFonts w:hint="eastAsia" w:cs="仿宋"/>
          <w:color w:val="000000"/>
        </w:rPr>
        <w:t>。</w:t>
      </w:r>
      <w:r>
        <w:rPr>
          <w:rFonts w:cs="仿宋"/>
          <w:color w:val="000000"/>
        </w:rPr>
        <w:t>普检类业务</w:t>
      </w:r>
      <w:r>
        <w:rPr>
          <w:rFonts w:hint="eastAsia" w:cs="仿宋"/>
          <w:color w:val="000000"/>
        </w:rPr>
        <w:t>约占全年预算的</w:t>
      </w:r>
      <w:r>
        <w:rPr>
          <w:rFonts w:cs="仿宋"/>
          <w:color w:val="000000"/>
        </w:rPr>
        <w:t>75%；特检类业务</w:t>
      </w:r>
      <w:r>
        <w:rPr>
          <w:rFonts w:hint="eastAsia" w:cs="仿宋"/>
          <w:color w:val="000000"/>
        </w:rPr>
        <w:t>约占全年预算的</w:t>
      </w:r>
      <w:r>
        <w:rPr>
          <w:rFonts w:cs="仿宋"/>
          <w:color w:val="000000"/>
        </w:rPr>
        <w:t>10%；体检类业务</w:t>
      </w:r>
      <w:r>
        <w:rPr>
          <w:rFonts w:hint="eastAsia" w:cs="仿宋"/>
          <w:color w:val="000000"/>
        </w:rPr>
        <w:t>约占全年预算的</w:t>
      </w:r>
      <w:r>
        <w:rPr>
          <w:rFonts w:cs="仿宋"/>
          <w:color w:val="000000"/>
        </w:rPr>
        <w:t>15%</w:t>
      </w:r>
      <w:r>
        <w:rPr>
          <w:rFonts w:hint="eastAsia" w:cs="仿宋"/>
          <w:color w:val="000000"/>
        </w:rPr>
        <w:t>，</w:t>
      </w:r>
      <w:r>
        <w:rPr>
          <w:rFonts w:cs="仿宋"/>
          <w:color w:val="000000"/>
        </w:rPr>
        <w:t>全年预算金额约880万。</w:t>
      </w:r>
    </w:p>
    <w:p>
      <w:pPr>
        <w:spacing w:after="0" w:line="360" w:lineRule="auto"/>
        <w:ind w:firstLine="480" w:firstLineChars="200"/>
        <w:rPr>
          <w:rFonts w:cs="仿宋"/>
          <w:color w:val="000000"/>
        </w:rPr>
      </w:pPr>
      <w:r>
        <w:rPr>
          <w:rFonts w:hint="eastAsia" w:cs="仿宋"/>
          <w:color w:val="000000"/>
        </w:rPr>
        <w:t>▲</w:t>
      </w:r>
      <w:r>
        <w:rPr>
          <w:rFonts w:cs="仿宋"/>
          <w:color w:val="000000"/>
        </w:rPr>
        <w:t>3、付款方式</w:t>
      </w:r>
    </w:p>
    <w:p>
      <w:pPr>
        <w:spacing w:after="0" w:line="360" w:lineRule="auto"/>
        <w:ind w:firstLine="480" w:firstLineChars="200"/>
        <w:rPr>
          <w:rFonts w:cs="仿宋"/>
          <w:color w:val="000000"/>
        </w:rPr>
      </w:pPr>
      <w:r>
        <w:rPr>
          <w:rFonts w:hint="eastAsia" w:cs="仿宋"/>
          <w:color w:val="000000"/>
        </w:rPr>
        <w:t>合同只签订单价，不定数量，数量由各医院根据需求临时通知中标人。在合同期中所执行的价格必须与中标价格一致，在合同期执行期内不得随意变更。合同期内，如遇政策性收费价格下调，外送检验价格按下调后实际价格与原比例的乘积计算；如遇政策性收费价格上调，合同价不予调整；如遇上级政策变动与本合同冲突，以上级政策为准，本合同自行终止。</w:t>
      </w:r>
    </w:p>
    <w:p>
      <w:pPr>
        <w:spacing w:after="0" w:line="360" w:lineRule="auto"/>
        <w:ind w:firstLine="480" w:firstLineChars="200"/>
        <w:rPr>
          <w:rFonts w:cs="仿宋"/>
          <w:color w:val="000000"/>
        </w:rPr>
      </w:pPr>
      <w:r>
        <w:rPr>
          <w:rFonts w:hint="eastAsia" w:cs="仿宋"/>
          <w:color w:val="000000"/>
        </w:rPr>
        <w:t>外包工作量确认：以中标人</w:t>
      </w:r>
      <w:r>
        <w:rPr>
          <w:rFonts w:cs="仿宋"/>
          <w:color w:val="000000"/>
        </w:rPr>
        <w:t>LIS系统项目检测清单和外送标本登记的签收记录为准，结算前应与医院确认。</w:t>
      </w:r>
    </w:p>
    <w:p>
      <w:pPr>
        <w:spacing w:after="0" w:line="360" w:lineRule="auto"/>
        <w:ind w:firstLine="480" w:firstLineChars="200"/>
        <w:rPr>
          <w:rFonts w:cs="仿宋"/>
          <w:color w:val="000000"/>
        </w:rPr>
      </w:pPr>
      <w:r>
        <w:rPr>
          <w:rFonts w:hint="eastAsia" w:cs="仿宋"/>
          <w:color w:val="000000"/>
        </w:rPr>
        <w:t>付款方式：次月</w:t>
      </w:r>
      <w:r>
        <w:rPr>
          <w:rFonts w:cs="仿宋"/>
          <w:color w:val="000000"/>
        </w:rPr>
        <w:t>30日为费用结算日。（账期60天）全额付款。</w:t>
      </w:r>
    </w:p>
    <w:p>
      <w:pPr>
        <w:spacing w:after="0" w:line="360" w:lineRule="auto"/>
        <w:ind w:firstLine="480" w:firstLineChars="200"/>
        <w:rPr>
          <w:rFonts w:cs="仿宋"/>
          <w:color w:val="000000"/>
        </w:rPr>
      </w:pPr>
      <w:r>
        <w:rPr>
          <w:rFonts w:hint="eastAsia" w:cs="仿宋"/>
          <w:color w:val="000000"/>
        </w:rPr>
        <w:t>▲</w:t>
      </w:r>
      <w:r>
        <w:rPr>
          <w:rFonts w:cs="仿宋"/>
          <w:color w:val="000000"/>
        </w:rPr>
        <w:t>4、服务期限</w:t>
      </w:r>
    </w:p>
    <w:p>
      <w:pPr>
        <w:spacing w:after="0" w:line="360" w:lineRule="auto"/>
        <w:ind w:firstLine="480" w:firstLineChars="200"/>
        <w:rPr>
          <w:rFonts w:cs="仿宋"/>
          <w:color w:val="000000"/>
        </w:rPr>
      </w:pPr>
      <w:r>
        <w:rPr>
          <w:rFonts w:cs="仿宋"/>
          <w:color w:val="000000"/>
        </w:rPr>
        <w:t xml:space="preserve">4.1 </w:t>
      </w:r>
      <w:r>
        <w:rPr>
          <w:rFonts w:hint="eastAsia" w:cs="仿宋"/>
          <w:color w:val="000000"/>
          <w:lang w:val="zh-CN"/>
        </w:rPr>
        <w:t>合同期</w:t>
      </w:r>
      <w:r>
        <w:rPr>
          <w:rFonts w:hint="eastAsia" w:cs="仿宋"/>
          <w:color w:val="000000"/>
        </w:rPr>
        <w:t>：合同签订生效起</w:t>
      </w:r>
      <w:r>
        <w:rPr>
          <w:rFonts w:cs="仿宋"/>
          <w:color w:val="000000"/>
        </w:rPr>
        <w:t>1</w:t>
      </w:r>
      <w:r>
        <w:rPr>
          <w:rFonts w:hint="eastAsia" w:cs="仿宋"/>
          <w:color w:val="000000"/>
          <w:lang w:val="zh-CN"/>
        </w:rPr>
        <w:t>年</w:t>
      </w:r>
      <w:r>
        <w:rPr>
          <w:rFonts w:hint="eastAsia" w:cs="仿宋"/>
          <w:color w:val="000000"/>
        </w:rPr>
        <w:t>（</w:t>
      </w:r>
      <w:r>
        <w:rPr>
          <w:rFonts w:cs="仿宋"/>
          <w:color w:val="000000"/>
        </w:rPr>
        <w:t xml:space="preserve"> </w:t>
      </w:r>
      <w:r>
        <w:rPr>
          <w:rFonts w:hint="eastAsia" w:cs="仿宋"/>
          <w:color w:val="000000"/>
          <w:lang w:val="zh-CN"/>
        </w:rPr>
        <w:t>年</w:t>
      </w:r>
      <w:r>
        <w:rPr>
          <w:rFonts w:cs="仿宋"/>
          <w:color w:val="000000"/>
        </w:rPr>
        <w:t xml:space="preserve"> </w:t>
      </w:r>
      <w:r>
        <w:rPr>
          <w:rFonts w:hint="eastAsia" w:cs="仿宋"/>
          <w:color w:val="000000"/>
          <w:lang w:val="zh-CN"/>
        </w:rPr>
        <w:t>月</w:t>
      </w:r>
      <w:r>
        <w:rPr>
          <w:rFonts w:cs="仿宋"/>
          <w:color w:val="000000"/>
        </w:rPr>
        <w:t xml:space="preserve"> </w:t>
      </w:r>
      <w:r>
        <w:rPr>
          <w:rFonts w:hint="eastAsia" w:cs="仿宋"/>
          <w:color w:val="000000"/>
          <w:lang w:val="zh-CN"/>
        </w:rPr>
        <w:t>日起至</w:t>
      </w:r>
      <w:r>
        <w:rPr>
          <w:rFonts w:cs="仿宋"/>
          <w:color w:val="000000"/>
        </w:rPr>
        <w:t xml:space="preserve"> </w:t>
      </w:r>
      <w:r>
        <w:rPr>
          <w:rFonts w:hint="eastAsia" w:cs="仿宋"/>
          <w:color w:val="000000"/>
          <w:lang w:val="zh-CN"/>
        </w:rPr>
        <w:t>年</w:t>
      </w:r>
      <w:r>
        <w:rPr>
          <w:rFonts w:cs="仿宋"/>
          <w:color w:val="000000"/>
        </w:rPr>
        <w:t xml:space="preserve"> </w:t>
      </w:r>
      <w:r>
        <w:rPr>
          <w:rFonts w:hint="eastAsia" w:cs="仿宋"/>
          <w:color w:val="000000"/>
          <w:lang w:val="zh-CN"/>
        </w:rPr>
        <w:t>月</w:t>
      </w:r>
      <w:r>
        <w:rPr>
          <w:rFonts w:cs="仿宋"/>
          <w:color w:val="000000"/>
        </w:rPr>
        <w:t xml:space="preserve"> </w:t>
      </w:r>
      <w:r>
        <w:rPr>
          <w:rFonts w:hint="eastAsia" w:cs="仿宋"/>
          <w:color w:val="000000"/>
          <w:lang w:val="zh-CN"/>
        </w:rPr>
        <w:t>日止</w:t>
      </w:r>
      <w:r>
        <w:rPr>
          <w:rFonts w:hint="eastAsia" w:cs="仿宋"/>
          <w:color w:val="000000"/>
        </w:rPr>
        <w:t>），</w:t>
      </w:r>
    </w:p>
    <w:p>
      <w:pPr>
        <w:spacing w:after="0" w:line="360" w:lineRule="auto"/>
        <w:ind w:firstLine="480" w:firstLineChars="200"/>
        <w:rPr>
          <w:rFonts w:cs="仿宋"/>
          <w:color w:val="000000"/>
        </w:rPr>
      </w:pPr>
      <w:r>
        <w:rPr>
          <w:rFonts w:hint="eastAsia" w:cs="仿宋"/>
          <w:color w:val="000000"/>
        </w:rPr>
        <w:t>注：</w:t>
      </w:r>
    </w:p>
    <w:p>
      <w:pPr>
        <w:spacing w:after="0" w:line="360" w:lineRule="auto"/>
        <w:ind w:firstLine="480" w:firstLineChars="200"/>
        <w:rPr>
          <w:rFonts w:cs="仿宋"/>
          <w:color w:val="000000"/>
        </w:rPr>
      </w:pPr>
      <w:r>
        <w:rPr>
          <w:rFonts w:cs="仿宋"/>
          <w:color w:val="000000"/>
        </w:rPr>
        <w:t>1.招标文件中打▲内容为实质性要求，不允许有负偏离，否则将以涉及无效投标条款作无效投标。</w:t>
      </w:r>
    </w:p>
    <w:p>
      <w:pPr>
        <w:spacing w:after="0" w:line="360" w:lineRule="auto"/>
        <w:ind w:firstLine="480" w:firstLineChars="200"/>
        <w:rPr>
          <w:rFonts w:cs="仿宋"/>
          <w:color w:val="000000"/>
        </w:rPr>
      </w:pPr>
      <w:r>
        <w:rPr>
          <w:rFonts w:cs="仿宋"/>
          <w:color w:val="000000"/>
        </w:rPr>
        <w:t>2、中标供应商所提供的货物、服务须与投标承诺一致，不得以次充好、偷工减料，若在项目验收中发现有上述情况，将向有关部门举报，根据相关规定进行处理。</w:t>
      </w:r>
    </w:p>
    <w:p>
      <w:pPr>
        <w:spacing w:after="0" w:line="360" w:lineRule="auto"/>
        <w:ind w:firstLine="360" w:firstLineChars="150"/>
      </w:pPr>
      <w:r>
        <w:rPr>
          <w:rFonts w:cs="仿宋"/>
          <w:color w:val="000000"/>
        </w:rPr>
        <w:t>3、质疑</w:t>
      </w:r>
      <w:r>
        <w:rPr>
          <w:rFonts w:hint="eastAsia"/>
        </w:rPr>
        <w:t>受理电话：</w:t>
      </w:r>
      <w:r>
        <w:t xml:space="preserve">0571-82858903   </w:t>
      </w:r>
      <w:r>
        <w:rPr>
          <w:rFonts w:hint="eastAsia"/>
        </w:rPr>
        <w:t>投诉受理电话：</w:t>
      </w:r>
      <w:r>
        <w:t>0571-83807076</w:t>
      </w:r>
      <w:r>
        <w:rPr>
          <w:rFonts w:ascii="Calibri" w:hAnsi="Calibri" w:cs="Calibri"/>
        </w:rPr>
        <w:t> </w:t>
      </w:r>
    </w:p>
    <w:p>
      <w:pPr>
        <w:spacing w:after="0"/>
        <w:rPr>
          <w:rFonts w:cs="仿宋"/>
        </w:rPr>
      </w:pPr>
    </w:p>
    <w:p>
      <w:pPr>
        <w:spacing w:after="0"/>
        <w:rPr>
          <w:b/>
          <w:sz w:val="28"/>
          <w:szCs w:val="28"/>
        </w:rPr>
      </w:pPr>
      <w:r>
        <w:rPr>
          <w:sz w:val="28"/>
          <w:szCs w:val="28"/>
        </w:rPr>
        <w:br w:type="page"/>
      </w:r>
    </w:p>
    <w:p>
      <w:pPr>
        <w:pStyle w:val="2"/>
        <w:rPr>
          <w:sz w:val="28"/>
          <w:szCs w:val="28"/>
        </w:rPr>
      </w:pPr>
      <w:r>
        <w:rPr>
          <w:rFonts w:hint="eastAsia"/>
          <w:sz w:val="28"/>
          <w:szCs w:val="28"/>
        </w:rPr>
        <w:t>附件</w:t>
      </w:r>
      <w:r>
        <w:rPr>
          <w:sz w:val="28"/>
          <w:szCs w:val="28"/>
        </w:rPr>
        <w:t xml:space="preserve">1 </w:t>
      </w:r>
    </w:p>
    <w:p>
      <w:pPr>
        <w:pStyle w:val="2"/>
        <w:jc w:val="center"/>
      </w:pPr>
      <w:r>
        <w:rPr>
          <w:rFonts w:hint="eastAsia"/>
        </w:rPr>
        <w:t>萧山区第一人民医院医共体分院外送项目清单</w:t>
      </w:r>
    </w:p>
    <w:p>
      <w:r>
        <w:rPr>
          <w:rFonts w:hint="eastAsia"/>
        </w:rPr>
        <w:t>一：普检类项目</w:t>
      </w:r>
    </w:p>
    <w:tbl>
      <w:tblPr>
        <w:tblStyle w:val="30"/>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25"/>
        <w:gridCol w:w="2269"/>
        <w:gridCol w:w="1275"/>
        <w:gridCol w:w="3686"/>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rFonts w:hint="eastAsia"/>
                <w:sz w:val="21"/>
                <w:szCs w:val="21"/>
              </w:rPr>
              <w:t>类别</w:t>
            </w:r>
          </w:p>
        </w:tc>
        <w:tc>
          <w:tcPr>
            <w:tcW w:w="2269" w:type="dxa"/>
            <w:shd w:val="clear" w:color="auto" w:fill="FFFFFF" w:themeFill="background1"/>
            <w:noWrap/>
            <w:vAlign w:val="center"/>
          </w:tcPr>
          <w:p>
            <w:pPr>
              <w:spacing w:line="240" w:lineRule="exact"/>
              <w:rPr>
                <w:sz w:val="21"/>
                <w:szCs w:val="21"/>
              </w:rPr>
            </w:pPr>
            <w:r>
              <w:rPr>
                <w:rFonts w:hint="eastAsia"/>
                <w:sz w:val="21"/>
                <w:szCs w:val="21"/>
              </w:rPr>
              <w:t>普检项目名称</w:t>
            </w:r>
          </w:p>
        </w:tc>
        <w:tc>
          <w:tcPr>
            <w:tcW w:w="1275" w:type="dxa"/>
            <w:shd w:val="clear" w:color="auto" w:fill="FFFFFF" w:themeFill="background1"/>
            <w:noWrap/>
            <w:vAlign w:val="center"/>
          </w:tcPr>
          <w:p>
            <w:pPr>
              <w:spacing w:line="240" w:lineRule="exact"/>
              <w:rPr>
                <w:sz w:val="21"/>
                <w:szCs w:val="21"/>
              </w:rPr>
            </w:pPr>
            <w:r>
              <w:rPr>
                <w:rFonts w:hint="eastAsia"/>
                <w:sz w:val="21"/>
                <w:szCs w:val="21"/>
              </w:rPr>
              <w:t>报告单时间</w:t>
            </w:r>
          </w:p>
        </w:tc>
        <w:tc>
          <w:tcPr>
            <w:tcW w:w="3686" w:type="dxa"/>
            <w:shd w:val="clear" w:color="auto" w:fill="FFFFFF" w:themeFill="background1"/>
            <w:vAlign w:val="center"/>
          </w:tcPr>
          <w:p>
            <w:pPr>
              <w:spacing w:line="240" w:lineRule="exact"/>
              <w:rPr>
                <w:sz w:val="21"/>
                <w:szCs w:val="21"/>
              </w:rPr>
            </w:pPr>
            <w:r>
              <w:rPr>
                <w:rFonts w:hint="eastAsia"/>
                <w:sz w:val="21"/>
                <w:szCs w:val="21"/>
              </w:rPr>
              <w:t>参考值</w:t>
            </w:r>
          </w:p>
        </w:tc>
        <w:tc>
          <w:tcPr>
            <w:tcW w:w="992" w:type="dxa"/>
            <w:shd w:val="clear" w:color="auto" w:fill="FFFFFF" w:themeFill="background1"/>
            <w:noWrap/>
            <w:vAlign w:val="center"/>
          </w:tcPr>
          <w:p>
            <w:pPr>
              <w:spacing w:line="240" w:lineRule="exact"/>
              <w:rPr>
                <w:sz w:val="21"/>
                <w:szCs w:val="21"/>
              </w:rPr>
            </w:pPr>
            <w:r>
              <w:rPr>
                <w:rFonts w:hint="eastAsia"/>
                <w:sz w:val="21"/>
                <w:szCs w:val="21"/>
              </w:rPr>
              <w:t>来源</w:t>
            </w:r>
          </w:p>
        </w:tc>
        <w:tc>
          <w:tcPr>
            <w:tcW w:w="1134" w:type="dxa"/>
            <w:shd w:val="clear" w:color="auto" w:fill="FFFFFF" w:themeFill="background1"/>
            <w:noWrap/>
            <w:vAlign w:val="center"/>
          </w:tcPr>
          <w:p>
            <w:pPr>
              <w:spacing w:line="240" w:lineRule="exact"/>
              <w:rPr>
                <w:sz w:val="21"/>
                <w:szCs w:val="21"/>
              </w:rPr>
            </w:pPr>
            <w:r>
              <w:rPr>
                <w:rFonts w:hint="eastAsia"/>
                <w:sz w:val="21"/>
                <w:szCs w:val="21"/>
              </w:rPr>
              <w:t>检测体系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sz w:val="21"/>
                <w:szCs w:val="21"/>
              </w:rPr>
              <w:t>C反应蛋白(CRP)</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0-6</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sz w:val="21"/>
                <w:szCs w:val="21"/>
              </w:rPr>
              <w:t>C-肽</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0.78-5.19</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9"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sz w:val="21"/>
                <w:szCs w:val="21"/>
              </w:rPr>
              <w:t>N-端脑钠肽前体</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 xml:space="preserve">300-450为诊断灰区，请结合临床； </w:t>
            </w:r>
            <w:r>
              <w:rPr>
                <w:sz w:val="21"/>
                <w:szCs w:val="21"/>
              </w:rPr>
              <w:br w:type="textWrapping"/>
            </w:r>
            <w:r>
              <w:rPr>
                <w:sz w:val="21"/>
                <w:szCs w:val="21"/>
              </w:rPr>
              <w:t xml:space="preserve">&lt;50岁人群：  450为最佳心衰截点； </w:t>
            </w:r>
            <w:r>
              <w:rPr>
                <w:sz w:val="21"/>
                <w:szCs w:val="21"/>
              </w:rPr>
              <w:br w:type="textWrapping"/>
            </w:r>
            <w:r>
              <w:rPr>
                <w:sz w:val="21"/>
                <w:szCs w:val="21"/>
              </w:rPr>
              <w:t xml:space="preserve">50-75岁人群：900为最佳心衰截点； </w:t>
            </w:r>
            <w:r>
              <w:rPr>
                <w:sz w:val="21"/>
                <w:szCs w:val="21"/>
              </w:rPr>
              <w:br w:type="textWrapping"/>
            </w:r>
            <w:r>
              <w:rPr>
                <w:sz w:val="21"/>
                <w:szCs w:val="21"/>
              </w:rPr>
              <w:t>&gt;75岁人群：  1800为最佳心衰截点。</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罗氏发光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α</w:t>
            </w:r>
            <w:r>
              <w:rPr>
                <w:sz w:val="21"/>
                <w:szCs w:val="21"/>
              </w:rPr>
              <w:t>-L-岩藻糖苷酶活性(AFU)</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10-35</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β</w:t>
            </w:r>
            <w:r>
              <w:rPr>
                <w:sz w:val="21"/>
                <w:szCs w:val="21"/>
              </w:rPr>
              <w:t>2微球蛋白(β2-MG)</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1.00-2.30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γ</w:t>
            </w:r>
            <w:r>
              <w:rPr>
                <w:sz w:val="21"/>
                <w:szCs w:val="21"/>
              </w:rPr>
              <w:t>-谷氨酰转移酶(R-GT)</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10-60女7-45</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癌胚抗原</w:t>
            </w:r>
            <w:r>
              <w:rPr>
                <w:sz w:val="21"/>
                <w:szCs w:val="21"/>
              </w:rPr>
              <w:t>(CEA)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0-10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白蛋白</w:t>
            </w:r>
            <w:r>
              <w:rPr>
                <w:sz w:val="21"/>
                <w:szCs w:val="21"/>
              </w:rPr>
              <w:t>(ALB)</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40.0-55.0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丙氨酸氨基转移酶</w:t>
            </w:r>
            <w:r>
              <w:rPr>
                <w:sz w:val="21"/>
                <w:szCs w:val="21"/>
              </w:rPr>
              <w:t>(ALT)</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9-50女7-40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补体</w:t>
            </w:r>
            <w:r>
              <w:rPr>
                <w:sz w:val="21"/>
                <w:szCs w:val="21"/>
              </w:rPr>
              <w:t>C3</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0.90-1.80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补体</w:t>
            </w:r>
            <w:r>
              <w:rPr>
                <w:sz w:val="21"/>
                <w:szCs w:val="21"/>
              </w:rPr>
              <w:t>C4</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0.10-0.40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超敏</w:t>
            </w:r>
            <w:r>
              <w:rPr>
                <w:sz w:val="21"/>
                <w:szCs w:val="21"/>
              </w:rPr>
              <w:t>C反应蛋白</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&lt;8</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雌二醇</w:t>
            </w:r>
            <w:r>
              <w:rPr>
                <w:sz w:val="21"/>
                <w:szCs w:val="21"/>
              </w:rPr>
              <w:t>(E2)</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11.00-44.00女：卵泡期21.00-251.00循环中期38.00-649.00黄体期21.00-312.00绝经后在HRT&lt;10.00-28.00绝经后未HRT&lt;10.00-144.00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13"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促黄体生成素</w:t>
            </w:r>
            <w:r>
              <w:rPr>
                <w:sz w:val="21"/>
                <w:szCs w:val="21"/>
              </w:rPr>
              <w:t>(LH)</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0.570-12.070女：卵泡期1.800-11.780循环中期7.590-89.080黄体期0.560-14.000绝经期5.160-61.990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促甲状腺激素</w:t>
            </w:r>
            <w:r>
              <w:rPr>
                <w:sz w:val="21"/>
                <w:szCs w:val="21"/>
              </w:rPr>
              <w:t>(TSH)</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0.350-4.940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促肾上腺皮质激素</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7.00-65.00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胆碱脂酶</w:t>
            </w:r>
            <w:r>
              <w:rPr>
                <w:sz w:val="21"/>
                <w:szCs w:val="21"/>
              </w:rPr>
              <w:t>(CHE)</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4500-13000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低密度脂蛋白胆固醇</w:t>
            </w:r>
            <w:r>
              <w:rPr>
                <w:sz w:val="21"/>
                <w:szCs w:val="21"/>
              </w:rPr>
              <w:t>(LDL-C)</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0.00-3.12</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淀粉酶</w:t>
            </w:r>
            <w:r>
              <w:rPr>
                <w:sz w:val="21"/>
                <w:szCs w:val="21"/>
              </w:rPr>
              <w:t>(AMY)</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35-135</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钙</w:t>
            </w:r>
            <w:r>
              <w:rPr>
                <w:sz w:val="21"/>
                <w:szCs w:val="21"/>
              </w:rPr>
              <w:t>(CA)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2.11-2.52</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甘油三酯</w:t>
            </w:r>
            <w:r>
              <w:rPr>
                <w:sz w:val="21"/>
                <w:szCs w:val="21"/>
              </w:rPr>
              <w:t>(TG)</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&lt;1.70</w:t>
            </w:r>
          </w:p>
        </w:tc>
        <w:tc>
          <w:tcPr>
            <w:tcW w:w="992" w:type="dxa"/>
            <w:shd w:val="clear" w:color="auto" w:fill="FFFFFF" w:themeFill="background1"/>
            <w:noWrap/>
            <w:vAlign w:val="center"/>
          </w:tcPr>
          <w:p>
            <w:pPr>
              <w:spacing w:line="240" w:lineRule="exact"/>
              <w:rPr>
                <w:sz w:val="21"/>
                <w:szCs w:val="21"/>
              </w:rPr>
            </w:pPr>
            <w:r>
              <w:rPr>
                <w:rFonts w:hint="eastAsia"/>
                <w:sz w:val="21"/>
                <w:szCs w:val="21"/>
              </w:rPr>
              <w:t>第四版</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高密度脂蛋白胆固醇</w:t>
            </w:r>
            <w:r>
              <w:rPr>
                <w:sz w:val="21"/>
                <w:szCs w:val="21"/>
              </w:rPr>
              <w:t>(HDL-C)</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1.04-1.66女1.10-1.74</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睾酮</w:t>
            </w:r>
            <w:r>
              <w:rPr>
                <w:sz w:val="21"/>
                <w:szCs w:val="21"/>
              </w:rPr>
              <w:t>(TE)</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1.420-9.230女0.110-0.570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肌酐</w:t>
            </w:r>
            <w:r>
              <w:rPr>
                <w:sz w:val="21"/>
                <w:szCs w:val="21"/>
              </w:rPr>
              <w:t>(CR)</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58.3-106.0女40.0-79.6</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肌红蛋白</w:t>
            </w:r>
            <w:r>
              <w:rPr>
                <w:sz w:val="21"/>
                <w:szCs w:val="21"/>
              </w:rPr>
              <w:t>(MB)</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0.00-70.00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肌酸激酶</w:t>
            </w:r>
            <w:r>
              <w:rPr>
                <w:sz w:val="21"/>
                <w:szCs w:val="21"/>
              </w:rPr>
              <w:t>(CK)</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50-310女40-200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甲胎蛋白</w:t>
            </w:r>
            <w:r>
              <w:rPr>
                <w:sz w:val="21"/>
                <w:szCs w:val="21"/>
              </w:rPr>
              <w:t>(AFP)</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0.89-8.78</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甲状腺球蛋白</w:t>
            </w:r>
            <w:r>
              <w:rPr>
                <w:sz w:val="21"/>
                <w:szCs w:val="21"/>
              </w:rPr>
              <w:t>(TG)</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3.50-77.00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甲状腺素</w:t>
            </w:r>
            <w:r>
              <w:rPr>
                <w:sz w:val="21"/>
                <w:szCs w:val="21"/>
              </w:rPr>
              <w:t>(T4)</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62.68-150.84</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钾</w:t>
            </w:r>
            <w:r>
              <w:rPr>
                <w:sz w:val="21"/>
                <w:szCs w:val="21"/>
              </w:rPr>
              <w:t>(K)</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3.50-5.30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间接胆红素</w:t>
            </w:r>
            <w:r>
              <w:rPr>
                <w:sz w:val="21"/>
                <w:szCs w:val="21"/>
              </w:rPr>
              <w:t>(IBIL)</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0.0-19.0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碱性磷酸酶</w:t>
            </w:r>
            <w:r>
              <w:rPr>
                <w:sz w:val="21"/>
                <w:szCs w:val="21"/>
              </w:rPr>
              <w:t>(ALP)</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45-125女35-100，≥50女50-135</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降钙素</w:t>
            </w:r>
            <w:r>
              <w:rPr>
                <w:sz w:val="21"/>
                <w:szCs w:val="21"/>
              </w:rPr>
              <w:t>(CT)</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0.00-9.52女0.00-6.40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抗链球菌溶血素</w:t>
            </w:r>
            <w:r>
              <w:rPr>
                <w:sz w:val="21"/>
                <w:szCs w:val="21"/>
              </w:rPr>
              <w:t>O(ASO)</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&lt;200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抗缪勒氏管激素</w:t>
            </w:r>
            <w:r>
              <w:rPr>
                <w:sz w:val="21"/>
                <w:szCs w:val="21"/>
              </w:rPr>
              <w:t>(AMH)</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女性</w:t>
            </w:r>
            <w:r>
              <w:rPr>
                <w:sz w:val="21"/>
                <w:szCs w:val="21"/>
              </w:rPr>
              <w:t>&lt;11岁：&lt;10.7911-20岁：1.00-12.04(中值5.01）21-30岁：0.45-11.51(中值5.47）31-40岁：0.18-11.17(中值3.69）41-50岁：&lt;3.95&gt;50岁：&lt;0.33</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类风湿因子</w:t>
            </w:r>
            <w:r>
              <w:rPr>
                <w:sz w:val="21"/>
                <w:szCs w:val="21"/>
              </w:rPr>
              <w:t>(RF)</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&lt;14</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鳞状细胞癌相关抗原</w:t>
            </w:r>
            <w:r>
              <w:rPr>
                <w:sz w:val="21"/>
                <w:szCs w:val="21"/>
              </w:rPr>
              <w:t>(SCC)</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&lt;1.50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卵泡刺激素</w:t>
            </w:r>
            <w:r>
              <w:rPr>
                <w:sz w:val="21"/>
                <w:szCs w:val="21"/>
              </w:rPr>
              <w:t>(FSH)</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 xml:space="preserve">0.95-11.95女卵泡期3.03-8.08 </w:t>
            </w:r>
            <w:r>
              <w:rPr>
                <w:rFonts w:hint="eastAsia"/>
                <w:sz w:val="21"/>
                <w:szCs w:val="21"/>
              </w:rPr>
              <w:t>循环中期</w:t>
            </w:r>
            <w:r>
              <w:rPr>
                <w:sz w:val="21"/>
                <w:szCs w:val="21"/>
              </w:rPr>
              <w:t>2.55-16.69黄体期1.38-5.47绝经期26.72-133.41</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氯</w:t>
            </w:r>
            <w:r>
              <w:rPr>
                <w:sz w:val="21"/>
                <w:szCs w:val="21"/>
              </w:rPr>
              <w:t>(CL)</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99.0-110.0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镁</w:t>
            </w:r>
            <w:r>
              <w:rPr>
                <w:sz w:val="21"/>
                <w:szCs w:val="21"/>
              </w:rPr>
              <w:t>(MG)</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0.75-1.02</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泌乳素</w:t>
            </w:r>
            <w:r>
              <w:rPr>
                <w:sz w:val="21"/>
                <w:szCs w:val="21"/>
              </w:rPr>
              <w:t>(PRL)</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3.46-19.40女5.18-26.53</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免疫球蛋白</w:t>
            </w:r>
            <w:r>
              <w:rPr>
                <w:sz w:val="21"/>
                <w:szCs w:val="21"/>
              </w:rPr>
              <w:t>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0.70-4.00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免疫球蛋白</w:t>
            </w:r>
            <w:r>
              <w:rPr>
                <w:sz w:val="21"/>
                <w:szCs w:val="21"/>
              </w:rPr>
              <w:t>G</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7.00-16.00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免疫球蛋白</w:t>
            </w:r>
            <w:r>
              <w:rPr>
                <w:sz w:val="21"/>
                <w:szCs w:val="21"/>
              </w:rPr>
              <w:t>M</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0.40-2.30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钠</w:t>
            </w:r>
            <w:r>
              <w:rPr>
                <w:sz w:val="21"/>
                <w:szCs w:val="21"/>
              </w:rPr>
              <w:t>(Na)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137-147</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尿α</w:t>
            </w:r>
            <w:r>
              <w:rPr>
                <w:sz w:val="21"/>
                <w:szCs w:val="21"/>
              </w:rPr>
              <w:t>1球蛋白</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0.0-12.0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尿β</w:t>
            </w:r>
            <w:r>
              <w:rPr>
                <w:sz w:val="21"/>
                <w:szCs w:val="21"/>
              </w:rPr>
              <w:t>2微球蛋白</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0-0.30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尿免疫球蛋白</w:t>
            </w:r>
            <w:r>
              <w:rPr>
                <w:sz w:val="21"/>
                <w:szCs w:val="21"/>
              </w:rPr>
              <w:t>IgG</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0.0-20.0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尿视黄醇结合蛋白</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0.0-0.70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尿素</w:t>
            </w:r>
            <w:r>
              <w:rPr>
                <w:sz w:val="21"/>
                <w:szCs w:val="21"/>
              </w:rPr>
              <w:t>(urea)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3.10-8.00女2.60-7.50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尿酸</w:t>
            </w:r>
            <w:r>
              <w:rPr>
                <w:sz w:val="21"/>
                <w:szCs w:val="21"/>
              </w:rPr>
              <w:t>(UA)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149-416女89-357</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尿微量白蛋白</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0.0-20.0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尿转铁蛋白</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0-2.0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葡萄糖</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3.90-6.10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球蛋白</w:t>
            </w:r>
            <w:r>
              <w:rPr>
                <w:sz w:val="21"/>
                <w:szCs w:val="21"/>
              </w:rPr>
              <w:t>(GLB)</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20.0-40.0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乳酸脱氢酶</w:t>
            </w:r>
            <w:r>
              <w:rPr>
                <w:sz w:val="21"/>
                <w:szCs w:val="21"/>
              </w:rPr>
              <w:t>(LDH)</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120-250</w:t>
            </w:r>
          </w:p>
        </w:tc>
        <w:tc>
          <w:tcPr>
            <w:tcW w:w="992" w:type="dxa"/>
            <w:shd w:val="clear" w:color="auto" w:fill="FFFFFF" w:themeFill="background1"/>
            <w:noWrap/>
            <w:vAlign w:val="center"/>
          </w:tcPr>
          <w:p>
            <w:pPr>
              <w:spacing w:line="240" w:lineRule="exact"/>
              <w:rPr>
                <w:sz w:val="21"/>
                <w:szCs w:val="21"/>
              </w:rPr>
            </w:pPr>
            <w:r>
              <w:rPr>
                <w:rFonts w:hint="eastAsia"/>
                <w:sz w:val="21"/>
                <w:szCs w:val="21"/>
              </w:rPr>
              <w:t>第四版</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三碘甲状腺原氨酸</w:t>
            </w:r>
            <w:r>
              <w:rPr>
                <w:sz w:val="21"/>
                <w:szCs w:val="21"/>
              </w:rPr>
              <w:t>(T3)</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0.88-2.44</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糖化血红蛋白</w:t>
            </w:r>
            <w:r>
              <w:rPr>
                <w:sz w:val="21"/>
                <w:szCs w:val="21"/>
              </w:rPr>
              <w:t>(HBAlC)</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4.8-6.0</w:t>
            </w:r>
          </w:p>
        </w:tc>
        <w:tc>
          <w:tcPr>
            <w:tcW w:w="992" w:type="dxa"/>
            <w:shd w:val="clear" w:color="auto" w:fill="FFFFFF" w:themeFill="background1"/>
            <w:noWrap/>
            <w:vAlign w:val="center"/>
          </w:tcPr>
          <w:p>
            <w:pPr>
              <w:spacing w:line="240" w:lineRule="exact"/>
              <w:rPr>
                <w:sz w:val="21"/>
                <w:szCs w:val="21"/>
              </w:rPr>
            </w:pPr>
            <w:r>
              <w:rPr>
                <w:rFonts w:hint="eastAsia"/>
                <w:sz w:val="21"/>
                <w:szCs w:val="21"/>
              </w:rPr>
              <w:t>第四版</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糖类抗原</w:t>
            </w:r>
            <w:r>
              <w:rPr>
                <w:sz w:val="21"/>
                <w:szCs w:val="21"/>
              </w:rPr>
              <w:t>15-3(CA153)</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w:t>
            </w:r>
            <w:r>
              <w:rPr>
                <w:sz w:val="21"/>
                <w:szCs w:val="21"/>
              </w:rPr>
              <w:t>35.00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糖链抗原</w:t>
            </w:r>
            <w:r>
              <w:rPr>
                <w:sz w:val="21"/>
                <w:szCs w:val="21"/>
              </w:rPr>
              <w:t>125(CA125)</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w:t>
            </w:r>
            <w:r>
              <w:rPr>
                <w:sz w:val="21"/>
                <w:szCs w:val="21"/>
              </w:rPr>
              <w:t>35.00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糖链抗原</w:t>
            </w:r>
            <w:r>
              <w:rPr>
                <w:sz w:val="21"/>
                <w:szCs w:val="21"/>
              </w:rPr>
              <w:t>19-9(CA199)</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&lt;37.00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糖链抗原</w:t>
            </w:r>
            <w:r>
              <w:rPr>
                <w:sz w:val="21"/>
                <w:szCs w:val="21"/>
              </w:rPr>
              <w:t>24-2(CA242)</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&lt;20.000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迈瑞发光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糖链抗原</w:t>
            </w:r>
            <w:r>
              <w:rPr>
                <w:sz w:val="21"/>
                <w:szCs w:val="21"/>
              </w:rPr>
              <w:t>72-4(CA724)</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0.00-6.90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迈瑞发光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特异性β人绒毛促性腺激素</w:t>
            </w:r>
            <w:r>
              <w:rPr>
                <w:sz w:val="21"/>
                <w:szCs w:val="21"/>
              </w:rPr>
              <w:t>(β-HCG)</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非怀孕妇女：</w:t>
            </w:r>
            <w:r>
              <w:rPr>
                <w:sz w:val="21"/>
                <w:szCs w:val="21"/>
              </w:rPr>
              <w:t>&lt;5</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天门冬氨酸氨基转移酶</w:t>
            </w:r>
            <w:r>
              <w:rPr>
                <w:sz w:val="21"/>
                <w:szCs w:val="21"/>
              </w:rPr>
              <w:t>(AST)</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15-40女13-35</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铁蛋白</w:t>
            </w:r>
            <w:r>
              <w:rPr>
                <w:sz w:val="21"/>
                <w:szCs w:val="21"/>
              </w:rPr>
              <w:t>(FER)</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10-300或（男22.00-322.00女10.00-219.00）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同型半胱氨酸</w:t>
            </w:r>
            <w:r>
              <w:rPr>
                <w:sz w:val="21"/>
                <w:szCs w:val="21"/>
              </w:rPr>
              <w:t>(HCY)</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5.0-15.0大于60岁5.0-20.0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无机磷</w:t>
            </w:r>
            <w:r>
              <w:rPr>
                <w:sz w:val="21"/>
                <w:szCs w:val="21"/>
              </w:rPr>
              <w:t>(P)</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0.85-1.51</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细胞角蛋白</w:t>
            </w:r>
            <w:r>
              <w:rPr>
                <w:sz w:val="21"/>
                <w:szCs w:val="21"/>
              </w:rPr>
              <w:t>19片段(CY211)</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&lt;3.30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腺苷脱氨酶</w:t>
            </w:r>
            <w:r>
              <w:rPr>
                <w:sz w:val="21"/>
                <w:szCs w:val="21"/>
              </w:rPr>
              <w:t>(ADA)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4-22</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血常规</w:t>
            </w:r>
            <w:r>
              <w:rPr>
                <w:sz w:val="21"/>
                <w:szCs w:val="21"/>
              </w:rPr>
              <w:t>(五分类）</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r>
              <w:rPr>
                <w:rFonts w:hint="eastAsia"/>
                <w:sz w:val="21"/>
                <w:szCs w:val="21"/>
              </w:rPr>
              <w:t>国家标准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血清肌钙蛋白</w:t>
            </w:r>
            <w:r>
              <w:rPr>
                <w:sz w:val="21"/>
                <w:szCs w:val="21"/>
              </w:rPr>
              <w:t>T测定</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0.000-0.014</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罗氏发光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胰岛素</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1.8-11.8</w:t>
            </w:r>
          </w:p>
        </w:tc>
        <w:tc>
          <w:tcPr>
            <w:tcW w:w="992" w:type="dxa"/>
            <w:shd w:val="clear" w:color="auto" w:fill="FFFFFF" w:themeFill="background1"/>
            <w:noWrap/>
            <w:vAlign w:val="center"/>
          </w:tcPr>
          <w:p>
            <w:pPr>
              <w:spacing w:line="240" w:lineRule="exact"/>
              <w:rPr>
                <w:sz w:val="21"/>
                <w:szCs w:val="21"/>
              </w:rPr>
            </w:pPr>
            <w:r>
              <w:rPr>
                <w:rFonts w:hint="eastAsia"/>
                <w:sz w:val="21"/>
                <w:szCs w:val="21"/>
              </w:rPr>
              <w:t>文献</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游离甲状腺素</w:t>
            </w:r>
            <w:r>
              <w:rPr>
                <w:sz w:val="21"/>
                <w:szCs w:val="21"/>
              </w:rPr>
              <w:t>(FT4)</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9.01-19.05</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游离前列腺特异性抗原</w:t>
            </w:r>
            <w:r>
              <w:rPr>
                <w:sz w:val="21"/>
                <w:szCs w:val="21"/>
              </w:rPr>
              <w:t>(FPSA)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w:t>
            </w:r>
            <w:r>
              <w:rPr>
                <w:sz w:val="21"/>
                <w:szCs w:val="21"/>
              </w:rPr>
              <w:t>0.93</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游离三碘甲状腺原氨酸</w:t>
            </w:r>
            <w:r>
              <w:rPr>
                <w:sz w:val="21"/>
                <w:szCs w:val="21"/>
              </w:rPr>
              <w:t>(FT3)</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2.43-6.01</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22"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孕酮</w:t>
            </w:r>
            <w:r>
              <w:rPr>
                <w:sz w:val="21"/>
                <w:szCs w:val="21"/>
              </w:rPr>
              <w:t>(PGN)</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&lt;0.200女卵泡期&lt;0.300黄体期1.200-15.900绝经期&lt;0.200早期妊娠2.800-147.300中期妊娠22.500-95.300晚期妊娠27.900-242.500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r>
              <w:rPr>
                <w:rFonts w:hint="eastAsia"/>
                <w:sz w:val="21"/>
                <w:szCs w:val="21"/>
              </w:rPr>
              <w:t>雅培发光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载脂蛋白</w:t>
            </w:r>
            <w:r>
              <w:rPr>
                <w:sz w:val="21"/>
                <w:szCs w:val="21"/>
              </w:rPr>
              <w:t>A(APO-A)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1.20-1.60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载脂蛋白</w:t>
            </w:r>
            <w:r>
              <w:rPr>
                <w:sz w:val="21"/>
                <w:szCs w:val="21"/>
              </w:rPr>
              <w:t>B(APO-B)</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0.45-1.19</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脂蛋白</w:t>
            </w:r>
            <w:r>
              <w:rPr>
                <w:sz w:val="21"/>
                <w:szCs w:val="21"/>
              </w:rPr>
              <w:t xml:space="preserve"> a(LPa)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0-300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脂肪酶</w:t>
            </w:r>
            <w:r>
              <w:rPr>
                <w:sz w:val="21"/>
                <w:szCs w:val="21"/>
              </w:rPr>
              <w:t>(LIP)</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1-60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直接胆红素</w:t>
            </w:r>
            <w:r>
              <w:rPr>
                <w:sz w:val="21"/>
                <w:szCs w:val="21"/>
              </w:rPr>
              <w:t>(DBL)</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0.0-4.0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转铁蛋白</w:t>
            </w:r>
            <w:r>
              <w:rPr>
                <w:sz w:val="21"/>
                <w:szCs w:val="21"/>
              </w:rPr>
              <w:t>(TRF)</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1.70-3.40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总胆固醇</w:t>
            </w:r>
            <w:r>
              <w:rPr>
                <w:sz w:val="21"/>
                <w:szCs w:val="21"/>
              </w:rPr>
              <w:t>(T-CH)</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3.00-5.70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总胆红素</w:t>
            </w:r>
            <w:r>
              <w:rPr>
                <w:sz w:val="21"/>
                <w:szCs w:val="21"/>
              </w:rPr>
              <w:t>(TBL)</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rFonts w:hint="eastAsia"/>
                <w:sz w:val="21"/>
                <w:szCs w:val="21"/>
              </w:rPr>
              <w:t>男</w:t>
            </w:r>
            <w:r>
              <w:rPr>
                <w:sz w:val="21"/>
                <w:szCs w:val="21"/>
              </w:rPr>
              <w:t>0.0-26.0女0.0-21.0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总胆汁酸</w:t>
            </w:r>
            <w:r>
              <w:rPr>
                <w:sz w:val="21"/>
                <w:szCs w:val="21"/>
              </w:rPr>
              <w:t>(TBA)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0.00-9.67</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总蛋白</w:t>
            </w:r>
            <w:r>
              <w:rPr>
                <w:sz w:val="21"/>
                <w:szCs w:val="21"/>
              </w:rPr>
              <w:t>(TP)</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65.0-85.0</w:t>
            </w:r>
          </w:p>
        </w:tc>
        <w:tc>
          <w:tcPr>
            <w:tcW w:w="992" w:type="dxa"/>
            <w:shd w:val="clear" w:color="auto" w:fill="FFFFFF" w:themeFill="background1"/>
            <w:noWrap/>
            <w:vAlign w:val="center"/>
          </w:tcPr>
          <w:p>
            <w:pPr>
              <w:spacing w:line="240" w:lineRule="exact"/>
              <w:rPr>
                <w:sz w:val="21"/>
                <w:szCs w:val="21"/>
              </w:rPr>
            </w:pPr>
            <w:r>
              <w:rPr>
                <w:rFonts w:hint="eastAsia"/>
                <w:sz w:val="21"/>
                <w:szCs w:val="21"/>
              </w:rPr>
              <w:t>行业推荐标准</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r>
              <w:rPr>
                <w:sz w:val="21"/>
                <w:szCs w:val="21"/>
              </w:rPr>
              <w:t>A</w:t>
            </w:r>
          </w:p>
        </w:tc>
        <w:tc>
          <w:tcPr>
            <w:tcW w:w="2269" w:type="dxa"/>
            <w:shd w:val="clear" w:color="auto" w:fill="FFFFFF" w:themeFill="background1"/>
            <w:noWrap/>
            <w:vAlign w:val="center"/>
          </w:tcPr>
          <w:p>
            <w:pPr>
              <w:spacing w:line="240" w:lineRule="exact"/>
              <w:rPr>
                <w:sz w:val="21"/>
                <w:szCs w:val="21"/>
              </w:rPr>
            </w:pPr>
            <w:r>
              <w:rPr>
                <w:rFonts w:hint="eastAsia"/>
                <w:sz w:val="21"/>
                <w:szCs w:val="21"/>
              </w:rPr>
              <w:t>总前列腺特异性抗原</w:t>
            </w:r>
            <w:r>
              <w:rPr>
                <w:sz w:val="21"/>
                <w:szCs w:val="21"/>
              </w:rPr>
              <w:t>(TPSA)</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12</w:t>
            </w:r>
            <w:r>
              <w:rPr>
                <w:rFonts w:hint="eastAsia"/>
                <w:sz w:val="21"/>
                <w:szCs w:val="21"/>
              </w:rPr>
              <w:t>小时</w:t>
            </w:r>
          </w:p>
        </w:tc>
        <w:tc>
          <w:tcPr>
            <w:tcW w:w="3686" w:type="dxa"/>
            <w:shd w:val="clear" w:color="auto" w:fill="FFFFFF" w:themeFill="background1"/>
            <w:vAlign w:val="center"/>
          </w:tcPr>
          <w:p>
            <w:pPr>
              <w:spacing w:line="240" w:lineRule="exact"/>
              <w:rPr>
                <w:sz w:val="21"/>
                <w:szCs w:val="21"/>
              </w:rPr>
            </w:pPr>
            <w:r>
              <w:rPr>
                <w:sz w:val="21"/>
                <w:szCs w:val="21"/>
              </w:rPr>
              <w:t>0.000-4.000</w:t>
            </w:r>
          </w:p>
        </w:tc>
        <w:tc>
          <w:tcPr>
            <w:tcW w:w="992" w:type="dxa"/>
            <w:shd w:val="clear" w:color="auto" w:fill="FFFFFF" w:themeFill="background1"/>
            <w:noWrap/>
            <w:vAlign w:val="center"/>
          </w:tcPr>
          <w:p>
            <w:pPr>
              <w:spacing w:line="240" w:lineRule="exact"/>
              <w:rPr>
                <w:sz w:val="21"/>
                <w:szCs w:val="21"/>
              </w:rPr>
            </w:pPr>
            <w:r>
              <w:rPr>
                <w:rFonts w:hint="eastAsia"/>
                <w:sz w:val="21"/>
                <w:szCs w:val="21"/>
              </w:rPr>
              <w:t>试剂说明书</w:t>
            </w: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17α-羟孕酮</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18小时尿蛋白</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18小时尿量(L）</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25-羟基维生素D</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25-羟基维生素D2</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25-羟基维生素D3</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Ⅲ型前胶原肽</w:t>
            </w:r>
            <w:r>
              <w:rPr>
                <w:sz w:val="21"/>
                <w:szCs w:val="21"/>
              </w:rPr>
              <w:t>(PCIII)</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ABO血型</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D-二聚体(D-D)</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EB病毒衣壳抗原IgG抗体(EB-CA-IGG)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EB病毒衣壳抗原IgM抗体(EB-CA-IGM)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HIV定性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HPV23分型</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IgG抗A抗体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IgG抗B抗体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IV型胶原(CIV)</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sz w:val="21"/>
                <w:szCs w:val="21"/>
              </w:rPr>
              <w:t>Rh(抗D)血型</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α</w:t>
            </w:r>
            <w:r>
              <w:rPr>
                <w:sz w:val="21"/>
                <w:szCs w:val="21"/>
              </w:rPr>
              <w:t xml:space="preserve"> -羟丁酸脱氢酶(HBDH)</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白介素</w:t>
            </w:r>
            <w:r>
              <w:rPr>
                <w:sz w:val="21"/>
                <w:szCs w:val="21"/>
              </w:rPr>
              <w:t>2受体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丙型肝炎病毒</w:t>
            </w:r>
            <w:r>
              <w:rPr>
                <w:sz w:val="21"/>
                <w:szCs w:val="21"/>
              </w:rPr>
              <w:t>(HCV)核心抗原</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丙型肝炎病毒核酸</w:t>
            </w:r>
            <w:r>
              <w:rPr>
                <w:sz w:val="21"/>
                <w:szCs w:val="21"/>
              </w:rPr>
              <w:t>(HCV RNA)测定</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丙型肝炎病毒抗体</w:t>
            </w:r>
            <w:r>
              <w:rPr>
                <w:sz w:val="21"/>
                <w:szCs w:val="21"/>
              </w:rPr>
              <w:t>(HCVAB)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丙型肝炎病毒抗体</w:t>
            </w:r>
            <w:r>
              <w:rPr>
                <w:sz w:val="21"/>
                <w:szCs w:val="21"/>
              </w:rPr>
              <w:t>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丙型肝炎病毒抗体</w:t>
            </w:r>
            <w:r>
              <w:rPr>
                <w:sz w:val="21"/>
                <w:szCs w:val="21"/>
              </w:rPr>
              <w:t>IgM(HCV-IGM)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层粘连蛋白</w:t>
            </w:r>
            <w:r>
              <w:rPr>
                <w:sz w:val="21"/>
                <w:szCs w:val="21"/>
              </w:rPr>
              <w:t>(LN)</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促甲状腺素受体抗体</w:t>
            </w:r>
            <w:r>
              <w:rPr>
                <w:sz w:val="21"/>
                <w:szCs w:val="21"/>
              </w:rPr>
              <w:t>(TRAb)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w:t>
            </w:r>
            <w:r>
              <w:rPr>
                <w:sz w:val="21"/>
                <w:szCs w:val="21"/>
              </w:rPr>
              <w:t>1型抗体IgG(定量)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w:t>
            </w:r>
            <w:r>
              <w:rPr>
                <w:sz w:val="21"/>
                <w:szCs w:val="21"/>
              </w:rPr>
              <w:t>1型抗体IgM(定量)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w:t>
            </w:r>
            <w:r>
              <w:rPr>
                <w:sz w:val="21"/>
                <w:szCs w:val="21"/>
              </w:rPr>
              <w:t>2型抗体IgG(定量)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w:t>
            </w:r>
            <w:r>
              <w:rPr>
                <w:sz w:val="21"/>
                <w:szCs w:val="21"/>
              </w:rPr>
              <w:t>2型抗体IgM(定量)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单纯疱疹病毒Ⅰ型抗体</w:t>
            </w:r>
            <w:r>
              <w:rPr>
                <w:sz w:val="21"/>
                <w:szCs w:val="21"/>
              </w:rPr>
              <w:t>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单纯疱疹病毒Ⅰ型抗体</w:t>
            </w:r>
            <w:r>
              <w:rPr>
                <w:sz w:val="21"/>
                <w:szCs w:val="21"/>
              </w:rPr>
              <w:t>IgG(定性)(HSV1-IGG)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单纯疱疹病毒Ⅰ型抗体</w:t>
            </w:r>
            <w:r>
              <w:rPr>
                <w:sz w:val="21"/>
                <w:szCs w:val="21"/>
              </w:rPr>
              <w:t>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单纯疱疹病毒Ⅰ型抗体</w:t>
            </w:r>
            <w:r>
              <w:rPr>
                <w:sz w:val="21"/>
                <w:szCs w:val="21"/>
              </w:rPr>
              <w:t>IgM(定性)(HSV1-IGM)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单纯疱疹病毒Ⅱ型抗体</w:t>
            </w:r>
            <w:r>
              <w:rPr>
                <w:sz w:val="21"/>
                <w:szCs w:val="21"/>
              </w:rPr>
              <w:t>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单纯疱疹病毒Ⅱ型抗体</w:t>
            </w:r>
            <w:r>
              <w:rPr>
                <w:sz w:val="21"/>
                <w:szCs w:val="21"/>
              </w:rPr>
              <w:t>IgG(定性)(HSV2-IGG)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单纯疱疹病毒Ⅱ型抗体</w:t>
            </w:r>
            <w:r>
              <w:rPr>
                <w:sz w:val="21"/>
                <w:szCs w:val="21"/>
              </w:rPr>
              <w:t>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单纯疱疹病毒Ⅱ型抗体</w:t>
            </w:r>
            <w:r>
              <w:rPr>
                <w:sz w:val="21"/>
                <w:szCs w:val="21"/>
              </w:rPr>
              <w:t>IgM(定性)(HSV2-IGM)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丁型肝炎病毒抗体</w:t>
            </w:r>
            <w:r>
              <w:rPr>
                <w:sz w:val="21"/>
                <w:szCs w:val="21"/>
              </w:rPr>
              <w:t>IgG(HDVABIGG)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丁型肝炎病毒抗体</w:t>
            </w:r>
            <w:r>
              <w:rPr>
                <w:sz w:val="21"/>
                <w:szCs w:val="21"/>
              </w:rPr>
              <w:t>IgM(HDVABIGM)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丁型肝炎病毒抗原</w:t>
            </w:r>
            <w:r>
              <w:rPr>
                <w:sz w:val="21"/>
                <w:szCs w:val="21"/>
              </w:rPr>
              <w:t>(HDVAG)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多巴胺</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反三碘甲状腺原氨酸</w:t>
            </w:r>
            <w:r>
              <w:rPr>
                <w:sz w:val="21"/>
                <w:szCs w:val="21"/>
              </w:rPr>
              <w:t>(RT3)</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肺炎支原体抗体</w:t>
            </w:r>
            <w:r>
              <w:rPr>
                <w:sz w:val="21"/>
                <w:szCs w:val="21"/>
              </w:rPr>
              <w:t>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粪便常规</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粪便隐血试验</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风疹病毒抗体</w:t>
            </w:r>
            <w:r>
              <w:rPr>
                <w:sz w:val="21"/>
                <w:szCs w:val="21"/>
              </w:rPr>
              <w:t>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风疹病毒抗体</w:t>
            </w:r>
            <w:r>
              <w:rPr>
                <w:sz w:val="21"/>
                <w:szCs w:val="21"/>
              </w:rPr>
              <w:t>IgG(定量)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风疹病毒抗体</w:t>
            </w:r>
            <w:r>
              <w:rPr>
                <w:sz w:val="21"/>
                <w:szCs w:val="21"/>
              </w:rPr>
              <w:t>IgG(定</w:t>
            </w:r>
            <w:r>
              <w:rPr>
                <w:rFonts w:hint="eastAsia"/>
                <w:sz w:val="21"/>
                <w:szCs w:val="21"/>
              </w:rPr>
              <w:t>性</w:t>
            </w:r>
            <w:r>
              <w:rPr>
                <w:sz w:val="21"/>
                <w:szCs w:val="21"/>
              </w:rPr>
              <w:t>)</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风疹病毒抗体</w:t>
            </w:r>
            <w:r>
              <w:rPr>
                <w:sz w:val="21"/>
                <w:szCs w:val="21"/>
              </w:rPr>
              <w:t>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风疹病毒抗体</w:t>
            </w:r>
            <w:r>
              <w:rPr>
                <w:sz w:val="21"/>
                <w:szCs w:val="21"/>
              </w:rPr>
              <w:t>IgM(定量)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风疹病毒抗体</w:t>
            </w:r>
            <w:r>
              <w:rPr>
                <w:sz w:val="21"/>
                <w:szCs w:val="21"/>
              </w:rPr>
              <w:t>IgM(定性)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甘胺酰脯氨酸二肽氨基肽酶</w:t>
            </w:r>
            <w:r>
              <w:rPr>
                <w:sz w:val="21"/>
                <w:szCs w:val="21"/>
              </w:rPr>
              <w:t>(GPDA)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高香草酸</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庚型肝炎病毒抗体</w:t>
            </w:r>
            <w:r>
              <w:rPr>
                <w:sz w:val="21"/>
                <w:szCs w:val="21"/>
              </w:rPr>
              <w:t>IgG(HGVABIGG)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弓形虫抗体</w:t>
            </w:r>
            <w:r>
              <w:rPr>
                <w:sz w:val="21"/>
                <w:szCs w:val="21"/>
              </w:rPr>
              <w:t>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弓形虫抗体</w:t>
            </w:r>
            <w:r>
              <w:rPr>
                <w:sz w:val="21"/>
                <w:szCs w:val="21"/>
              </w:rPr>
              <w:t>IgG(定量)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弓形虫抗体</w:t>
            </w:r>
            <w:r>
              <w:rPr>
                <w:sz w:val="21"/>
                <w:szCs w:val="21"/>
              </w:rPr>
              <w:t>IgG(定性)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弓形虫抗体</w:t>
            </w:r>
            <w:r>
              <w:rPr>
                <w:sz w:val="21"/>
                <w:szCs w:val="21"/>
              </w:rPr>
              <w:t>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弓形虫抗体</w:t>
            </w:r>
            <w:r>
              <w:rPr>
                <w:sz w:val="21"/>
                <w:szCs w:val="21"/>
              </w:rPr>
              <w:t>IgM(定量)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弓形虫抗体</w:t>
            </w:r>
            <w:r>
              <w:rPr>
                <w:sz w:val="21"/>
                <w:szCs w:val="21"/>
              </w:rPr>
              <w:t>IgM(定性)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宫颈分泌物</w:t>
            </w:r>
            <w:r>
              <w:rPr>
                <w:sz w:val="21"/>
                <w:szCs w:val="21"/>
              </w:rPr>
              <w:t>TCT检查与诊断</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肌酸激酶</w:t>
            </w:r>
            <w:r>
              <w:rPr>
                <w:sz w:val="21"/>
                <w:szCs w:val="21"/>
              </w:rPr>
              <w:t>-同工酶(CK-MB)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甲胎蛋白</w:t>
            </w:r>
            <w:r>
              <w:rPr>
                <w:sz w:val="21"/>
                <w:szCs w:val="21"/>
              </w:rPr>
              <w:t>(AFP)定性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甲型肝炎病毒抗体</w:t>
            </w:r>
            <w:r>
              <w:rPr>
                <w:sz w:val="21"/>
                <w:szCs w:val="21"/>
              </w:rPr>
              <w:t>IgM(HAVABIGM)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甲型肝炎病毒抗体</w:t>
            </w:r>
            <w:r>
              <w:rPr>
                <w:sz w:val="21"/>
                <w:szCs w:val="21"/>
              </w:rPr>
              <w:t>IgM(HAV-IgM)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甲氧基去甲肾上腺素</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甲氧基肾上腺素</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甲状旁腺激素</w:t>
            </w:r>
            <w:r>
              <w:rPr>
                <w:sz w:val="21"/>
                <w:szCs w:val="21"/>
              </w:rPr>
              <w:t>(PTH)</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结核分枝杆菌抗体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解脲脲原体核酸测定</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局部切取组织活检检查与诊断</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巨细胞病毒抗体</w:t>
            </w:r>
            <w:r>
              <w:rPr>
                <w:sz w:val="21"/>
                <w:szCs w:val="21"/>
              </w:rPr>
              <w:t>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巨细胞病毒抗体</w:t>
            </w:r>
            <w:r>
              <w:rPr>
                <w:sz w:val="21"/>
                <w:szCs w:val="21"/>
              </w:rPr>
              <w:t>IgG(定量)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巨细胞病毒抗体</w:t>
            </w:r>
            <w:r>
              <w:rPr>
                <w:sz w:val="21"/>
                <w:szCs w:val="21"/>
              </w:rPr>
              <w:t>IgG(定性)(CMV-IGG)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巨细胞病毒抗体</w:t>
            </w:r>
            <w:r>
              <w:rPr>
                <w:sz w:val="21"/>
                <w:szCs w:val="21"/>
              </w:rPr>
              <w:t>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巨细胞病毒抗体</w:t>
            </w:r>
            <w:r>
              <w:rPr>
                <w:sz w:val="21"/>
                <w:szCs w:val="21"/>
              </w:rPr>
              <w:t>IgM(定量)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巨细胞病毒抗体</w:t>
            </w:r>
            <w:r>
              <w:rPr>
                <w:sz w:val="21"/>
                <w:szCs w:val="21"/>
              </w:rPr>
              <w:t>IgM(定性)(CMV-IGM)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w:t>
            </w:r>
            <w:r>
              <w:rPr>
                <w:sz w:val="21"/>
                <w:szCs w:val="21"/>
              </w:rPr>
              <w:t>J0-1抗体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w:t>
            </w:r>
            <w:r>
              <w:rPr>
                <w:sz w:val="21"/>
                <w:szCs w:val="21"/>
              </w:rPr>
              <w:t>PM-SCL抗体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w:t>
            </w:r>
            <w:r>
              <w:rPr>
                <w:sz w:val="21"/>
                <w:szCs w:val="21"/>
              </w:rPr>
              <w:t>SCL-70抗体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w:t>
            </w:r>
            <w:r>
              <w:rPr>
                <w:sz w:val="21"/>
                <w:szCs w:val="21"/>
              </w:rPr>
              <w:t>SM抗体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w:t>
            </w:r>
            <w:r>
              <w:rPr>
                <w:sz w:val="21"/>
                <w:szCs w:val="21"/>
              </w:rPr>
              <w:t>SSA抗体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w:t>
            </w:r>
            <w:r>
              <w:rPr>
                <w:sz w:val="21"/>
                <w:szCs w:val="21"/>
              </w:rPr>
              <w:t>SSB抗体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w:t>
            </w:r>
            <w:r>
              <w:rPr>
                <w:sz w:val="21"/>
                <w:szCs w:val="21"/>
              </w:rPr>
              <w:t>U1nRNP抗体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抗波形蛋白抗体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抗纺锤体抗体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抗肺炎衣原体抗体</w:t>
            </w:r>
            <w:r>
              <w:rPr>
                <w:sz w:val="21"/>
                <w:szCs w:val="21"/>
              </w:rPr>
              <w:t>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抗肝肾微粒体抗体</w:t>
            </w:r>
            <w:r>
              <w:rPr>
                <w:sz w:val="21"/>
                <w:szCs w:val="21"/>
              </w:rPr>
              <w:t>-1型抗体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抗肝细胞溶质抗原</w:t>
            </w:r>
            <w:r>
              <w:rPr>
                <w:sz w:val="21"/>
                <w:szCs w:val="21"/>
              </w:rPr>
              <w:t>1型抗体(LC-1)</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抗高尔基体抗体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抗谷氨酸脱羧酶抗体</w:t>
            </w:r>
            <w:r>
              <w:rPr>
                <w:sz w:val="21"/>
                <w:szCs w:val="21"/>
              </w:rPr>
              <w:t>(GAD-AB)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抗核抗体检测</w:t>
            </w:r>
            <w:r>
              <w:rPr>
                <w:sz w:val="21"/>
                <w:szCs w:val="21"/>
              </w:rPr>
              <w:t>(ANA)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抗核糖体</w:t>
            </w:r>
            <w:r>
              <w:rPr>
                <w:sz w:val="21"/>
                <w:szCs w:val="21"/>
              </w:rPr>
              <w:t>P蛋白抗体(ARPA)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抗核小体抗体</w:t>
            </w:r>
            <w:r>
              <w:rPr>
                <w:sz w:val="21"/>
                <w:szCs w:val="21"/>
              </w:rPr>
              <w:t>(HXT)</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抗环瓜氨酸肽抗体（定量）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抗肌动蛋白抗体</w:t>
            </w:r>
            <w:r>
              <w:rPr>
                <w:sz w:val="21"/>
                <w:szCs w:val="21"/>
              </w:rPr>
              <w:t>(ACTION)</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抗甲状腺过氧化物酶抗体</w:t>
            </w:r>
            <w:r>
              <w:rPr>
                <w:sz w:val="21"/>
                <w:szCs w:val="21"/>
              </w:rPr>
              <w:t>(TPOAB)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抗甲状腺球蛋白抗体</w:t>
            </w:r>
            <w:r>
              <w:rPr>
                <w:sz w:val="21"/>
                <w:szCs w:val="21"/>
              </w:rPr>
              <w:t>(TGAB)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抗甲状腺微粒抗体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抗角蛋白抗体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抗精子抗体</w:t>
            </w:r>
            <w:r>
              <w:rPr>
                <w:sz w:val="21"/>
                <w:szCs w:val="21"/>
              </w:rPr>
              <w:t>IgG(AS-AB)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抗可溶性肝抗原</w:t>
            </w:r>
            <w:r>
              <w:rPr>
                <w:sz w:val="21"/>
                <w:szCs w:val="21"/>
              </w:rPr>
              <w:t>/肝胰抗原抗体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抗卵巢抗体</w:t>
            </w:r>
            <w:r>
              <w:rPr>
                <w:sz w:val="21"/>
                <w:szCs w:val="21"/>
              </w:rPr>
              <w:t>IgG(AOAB)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抗梅毒螺旋体抗体</w:t>
            </w:r>
            <w:r>
              <w:rPr>
                <w:sz w:val="21"/>
                <w:szCs w:val="21"/>
              </w:rPr>
              <w:t>(TPPA)TPPA法测定</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抗平滑肌抗体</w:t>
            </w:r>
            <w:r>
              <w:rPr>
                <w:sz w:val="21"/>
                <w:szCs w:val="21"/>
              </w:rPr>
              <w:t>(ASMA)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抗人类免疫缺陷病毒抗体</w:t>
            </w:r>
            <w:r>
              <w:rPr>
                <w:sz w:val="21"/>
                <w:szCs w:val="21"/>
              </w:rPr>
              <w:t>(定性）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抗嗜中性粒细胞胞质抗体</w:t>
            </w:r>
            <w:r>
              <w:rPr>
                <w:sz w:val="21"/>
                <w:szCs w:val="21"/>
              </w:rPr>
              <w:t>-核周型(CANCA)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抗嗜中性粒细胞胞质抗体</w:t>
            </w:r>
            <w:r>
              <w:rPr>
                <w:sz w:val="21"/>
                <w:szCs w:val="21"/>
              </w:rPr>
              <w:t>-细胞质型(CANCA)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抗双链</w:t>
            </w:r>
            <w:r>
              <w:rPr>
                <w:sz w:val="21"/>
                <w:szCs w:val="21"/>
              </w:rPr>
              <w:t>DNA抗体(DSDNA)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抗线粒体抗体</w:t>
            </w:r>
            <w:r>
              <w:rPr>
                <w:sz w:val="21"/>
                <w:szCs w:val="21"/>
              </w:rPr>
              <w:t>2型(AMA-M2)</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抗心磷脂抗体</w:t>
            </w:r>
            <w:r>
              <w:rPr>
                <w:sz w:val="21"/>
                <w:szCs w:val="21"/>
              </w:rPr>
              <w:t>(ACL)</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抗心磷脂抗体</w:t>
            </w:r>
            <w:r>
              <w:rPr>
                <w:sz w:val="21"/>
                <w:szCs w:val="21"/>
              </w:rPr>
              <w:t>IgG(ACA)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抗胰岛细胞抗体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抗增殖性细胞核抗原抗体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抗着丝点抗体</w:t>
            </w:r>
            <w:r>
              <w:rPr>
                <w:sz w:val="21"/>
                <w:szCs w:val="21"/>
              </w:rPr>
              <w:t>-B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抗子宫内膜抗体</w:t>
            </w:r>
            <w:r>
              <w:rPr>
                <w:sz w:val="21"/>
                <w:szCs w:val="21"/>
              </w:rPr>
              <w:t>(Em-Ab)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抗组蛋白抗体</w:t>
            </w:r>
            <w:r>
              <w:rPr>
                <w:sz w:val="21"/>
                <w:szCs w:val="21"/>
              </w:rPr>
              <w:t>(HISTONE)</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空气培养</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快速沙眼衣原体抗原检测</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类胰岛素样生长因子</w:t>
            </w:r>
            <w:r>
              <w:rPr>
                <w:sz w:val="21"/>
                <w:szCs w:val="21"/>
              </w:rPr>
              <w:t>-1(IGF-1)</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类胰岛素样生长因子结合蛋白</w:t>
            </w:r>
            <w:r>
              <w:rPr>
                <w:sz w:val="21"/>
                <w:szCs w:val="21"/>
              </w:rPr>
              <w:t>-3(IGFBP-3)</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亮氨酰氨基肽酶</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淋球菌核酸</w:t>
            </w:r>
            <w:r>
              <w:rPr>
                <w:sz w:val="21"/>
                <w:szCs w:val="21"/>
              </w:rPr>
              <w:t>[NG-DNA]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淋球菌培养及药敏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梅毒初筛试验</w:t>
            </w:r>
            <w:r>
              <w:rPr>
                <w:sz w:val="21"/>
                <w:szCs w:val="21"/>
              </w:rPr>
              <w:t>(TRUST)（RPR）</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梅毒螺旋体抗体</w:t>
            </w:r>
            <w:r>
              <w:rPr>
                <w:sz w:val="21"/>
                <w:szCs w:val="21"/>
              </w:rPr>
              <w:t>(TPPA)定性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尿</w:t>
            </w:r>
            <w:r>
              <w:rPr>
                <w:sz w:val="21"/>
                <w:szCs w:val="21"/>
              </w:rPr>
              <w:t>NAG/尿肌酐</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尿</w:t>
            </w:r>
            <w:r>
              <w:rPr>
                <w:sz w:val="21"/>
                <w:szCs w:val="21"/>
              </w:rPr>
              <w:t>N-乙酰-β-D-氨基葡萄糖苷酶</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尿常规</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尿肌酐</w:t>
            </w:r>
          </w:p>
        </w:tc>
        <w:tc>
          <w:tcPr>
            <w:tcW w:w="1275" w:type="dxa"/>
            <w:shd w:val="clear" w:color="auto" w:fill="FFFFFF" w:themeFill="background1"/>
            <w:noWrap/>
            <w:vAlign w:val="center"/>
          </w:tcPr>
          <w:p>
            <w:pPr>
              <w:spacing w:line="240" w:lineRule="exact"/>
              <w:rPr>
                <w:sz w:val="21"/>
                <w:szCs w:val="21"/>
              </w:rPr>
            </w:pPr>
            <w:r>
              <w:rPr>
                <w:rFonts w:hint="eastAsia"/>
                <w:sz w:val="21"/>
                <w:szCs w:val="21"/>
              </w:rPr>
              <w:t>接收后</w:t>
            </w:r>
            <w:r>
              <w:rPr>
                <w:sz w:val="21"/>
                <w:szCs w:val="21"/>
              </w:rPr>
              <w:t>18小时</w:t>
            </w: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尿总蛋白定量</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皮质醇</w:t>
            </w:r>
            <w:r>
              <w:rPr>
                <w:sz w:val="21"/>
                <w:szCs w:val="21"/>
              </w:rPr>
              <w:t>(F)</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前白蛋白</w:t>
            </w:r>
            <w:r>
              <w:rPr>
                <w:sz w:val="21"/>
                <w:szCs w:val="21"/>
              </w:rPr>
              <w:t>(PAB)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去甲肾上腺素</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全血钙</w:t>
            </w:r>
            <w:r>
              <w:rPr>
                <w:sz w:val="21"/>
                <w:szCs w:val="21"/>
              </w:rPr>
              <w:t xml:space="preserve"> CA(S)</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全血镁</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全血铅</w:t>
            </w:r>
            <w:r>
              <w:rPr>
                <w:sz w:val="21"/>
                <w:szCs w:val="21"/>
              </w:rPr>
              <w:t>(微量元素)</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全血铁</w:t>
            </w:r>
            <w:r>
              <w:rPr>
                <w:sz w:val="21"/>
                <w:szCs w:val="21"/>
              </w:rPr>
              <w:t>FE(S)</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全血铜</w:t>
            </w:r>
            <w:r>
              <w:rPr>
                <w:sz w:val="21"/>
                <w:szCs w:val="21"/>
              </w:rPr>
              <w:t xml:space="preserve"> CU(S)</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全血锌</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人类白细胞抗原</w:t>
            </w:r>
            <w:r>
              <w:rPr>
                <w:sz w:val="21"/>
                <w:szCs w:val="21"/>
              </w:rPr>
              <w:t>B27(HLA-B27)</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沙眼衣原体核酸测定</w:t>
            </w:r>
            <w:r>
              <w:rPr>
                <w:sz w:val="21"/>
                <w:szCs w:val="21"/>
              </w:rPr>
              <w:t>(CT_DNA)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神经元特异性烯醇化酶</w:t>
            </w:r>
            <w:r>
              <w:rPr>
                <w:sz w:val="21"/>
                <w:szCs w:val="21"/>
              </w:rPr>
              <w:t>(NSE)</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肾上腺素</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肾素活性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肾小球滤过率</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生长激素</w:t>
            </w:r>
            <w:r>
              <w:rPr>
                <w:sz w:val="21"/>
                <w:szCs w:val="21"/>
              </w:rPr>
              <w:t>(GH)</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水痘</w:t>
            </w:r>
            <w:r>
              <w:rPr>
                <w:sz w:val="21"/>
                <w:szCs w:val="21"/>
              </w:rPr>
              <w:t>-带状疱疹IgG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水痘</w:t>
            </w:r>
            <w:r>
              <w:rPr>
                <w:sz w:val="21"/>
                <w:szCs w:val="21"/>
              </w:rPr>
              <w:t>-带状疱疹IgM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糖链抗原</w:t>
            </w:r>
            <w:r>
              <w:rPr>
                <w:sz w:val="21"/>
                <w:szCs w:val="21"/>
              </w:rPr>
              <w:t>50(CA50)</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铜蓝蛋白</w:t>
            </w:r>
            <w:r>
              <w:rPr>
                <w:sz w:val="21"/>
                <w:szCs w:val="21"/>
              </w:rPr>
              <w:t>(CER)</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透明质酸</w:t>
            </w:r>
            <w:r>
              <w:rPr>
                <w:sz w:val="21"/>
                <w:szCs w:val="21"/>
              </w:rPr>
              <w:t>(HA)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网织红细胞计数</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维生素</w:t>
            </w:r>
            <w:r>
              <w:rPr>
                <w:sz w:val="21"/>
                <w:szCs w:val="21"/>
              </w:rPr>
              <w:t>B12(VB12)</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胃泌素释放肽前体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胃幽门螺旋杆菌抗体</w:t>
            </w:r>
            <w:r>
              <w:rPr>
                <w:sz w:val="21"/>
                <w:szCs w:val="21"/>
              </w:rPr>
              <w:t>(HP-AB)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污水三线培养</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戊型肝炎病毒抗体</w:t>
            </w:r>
            <w:r>
              <w:rPr>
                <w:sz w:val="21"/>
                <w:szCs w:val="21"/>
              </w:rPr>
              <w:t>IgG(HEVABIGG)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戊型肝炎病毒抗体</w:t>
            </w:r>
            <w:r>
              <w:rPr>
                <w:sz w:val="21"/>
                <w:szCs w:val="21"/>
              </w:rPr>
              <w:t>IgM(HEV-IgM)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物体表面菌落总数</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香草扁桃酸</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消毒液监测</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血管紧张素</w:t>
            </w:r>
            <w:r>
              <w:rPr>
                <w:sz w:val="21"/>
                <w:szCs w:val="21"/>
              </w:rPr>
              <w:t>I(AI)</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血管紧张素</w:t>
            </w:r>
            <w:r>
              <w:rPr>
                <w:sz w:val="21"/>
                <w:szCs w:val="21"/>
              </w:rPr>
              <w:t>II(AII)</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血清果糖胺</w:t>
            </w:r>
            <w:r>
              <w:rPr>
                <w:sz w:val="21"/>
                <w:szCs w:val="21"/>
              </w:rPr>
              <w:t>(GSP)</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血醛固酮</w:t>
            </w:r>
            <w:r>
              <w:rPr>
                <w:sz w:val="21"/>
                <w:szCs w:val="21"/>
              </w:rPr>
              <w:t>(ALD)</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血粘度</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叶酸</w:t>
            </w:r>
            <w:r>
              <w:rPr>
                <w:sz w:val="21"/>
                <w:szCs w:val="21"/>
              </w:rPr>
              <w:t>(FOL)</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衣原体检查</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医护人员手菌落总数</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医疗用品菌落计数</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胰岛素抗体</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w:t>
            </w:r>
            <w:r>
              <w:rPr>
                <w:sz w:val="21"/>
                <w:szCs w:val="21"/>
              </w:rPr>
              <w:t>e抗体（定量）(HBEAB)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w:t>
            </w:r>
            <w:r>
              <w:rPr>
                <w:sz w:val="21"/>
                <w:szCs w:val="21"/>
              </w:rPr>
              <w:t>e抗原（定量）(HBEAG)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乙型肝炎表面抗体（定量）</w:t>
            </w:r>
            <w:r>
              <w:rPr>
                <w:sz w:val="21"/>
                <w:szCs w:val="21"/>
              </w:rPr>
              <w:t>(HBSAB)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乙型肝炎表面抗原（定量）</w:t>
            </w:r>
            <w:r>
              <w:rPr>
                <w:sz w:val="21"/>
                <w:szCs w:val="21"/>
              </w:rPr>
              <w:t>(HBSAG)</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乙型肝炎病毒【</w:t>
            </w:r>
            <w:r>
              <w:rPr>
                <w:sz w:val="21"/>
                <w:szCs w:val="21"/>
              </w:rPr>
              <w:t>HBV】DNA</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乙型肝炎病毒</w:t>
            </w:r>
            <w:r>
              <w:rPr>
                <w:sz w:val="21"/>
                <w:szCs w:val="21"/>
              </w:rPr>
              <w:t>e抗体(HBEAB)（定性）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乙型肝炎病毒</w:t>
            </w:r>
            <w:r>
              <w:rPr>
                <w:sz w:val="21"/>
                <w:szCs w:val="21"/>
              </w:rPr>
              <w:t>e抗原(HBEAG)（定性）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乙型肝炎病毒表面抗体</w:t>
            </w:r>
            <w:r>
              <w:rPr>
                <w:sz w:val="21"/>
                <w:szCs w:val="21"/>
              </w:rPr>
              <w:t>(HBSAB)（定性）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乙型肝炎病毒表面抗原</w:t>
            </w:r>
            <w:r>
              <w:rPr>
                <w:sz w:val="21"/>
                <w:szCs w:val="21"/>
              </w:rPr>
              <w:t>(HBSAG)（定性）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乙型肝炎病毒核心抗体</w:t>
            </w:r>
            <w:r>
              <w:rPr>
                <w:sz w:val="21"/>
                <w:szCs w:val="21"/>
              </w:rPr>
              <w:t>(HBCABIGG)（定性）</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乙型肝炎病毒核心抗体</w:t>
            </w:r>
            <w:r>
              <w:rPr>
                <w:sz w:val="21"/>
                <w:szCs w:val="21"/>
              </w:rPr>
              <w:t>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乙型肝炎病毒核心抗体</w:t>
            </w:r>
            <w:r>
              <w:rPr>
                <w:sz w:val="21"/>
                <w:szCs w:val="21"/>
              </w:rPr>
              <w:t>IgM(HBCABIGM)</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乙型肝炎核心抗体（定量）</w:t>
            </w:r>
            <w:r>
              <w:rPr>
                <w:sz w:val="21"/>
                <w:szCs w:val="21"/>
              </w:rPr>
              <w:t>(HBCAB)</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院感液体类的微生物监测</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肿瘤特异性生长因子</w:t>
            </w:r>
            <w:r>
              <w:rPr>
                <w:sz w:val="21"/>
                <w:szCs w:val="21"/>
              </w:rPr>
              <w:t>[TSGF]</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总</w:t>
            </w:r>
            <w:r>
              <w:rPr>
                <w:sz w:val="21"/>
                <w:szCs w:val="21"/>
              </w:rPr>
              <w:t>IgE</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noWrap/>
            <w:vAlign w:val="center"/>
          </w:tcPr>
          <w:p>
            <w:pPr>
              <w:spacing w:line="240" w:lineRule="exact"/>
              <w:rPr>
                <w:sz w:val="21"/>
                <w:szCs w:val="21"/>
              </w:rPr>
            </w:pPr>
            <w:r>
              <w:rPr>
                <w:rFonts w:hint="eastAsia"/>
                <w:sz w:val="21"/>
                <w:szCs w:val="21"/>
              </w:rPr>
              <w:t>食入物变应原筛查</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vAlign w:val="center"/>
          </w:tcPr>
          <w:p>
            <w:pPr>
              <w:spacing w:line="240" w:lineRule="exact"/>
              <w:rPr>
                <w:sz w:val="21"/>
                <w:szCs w:val="21"/>
              </w:rPr>
            </w:pPr>
            <w:r>
              <w:rPr>
                <w:rFonts w:hint="eastAsia"/>
                <w:sz w:val="21"/>
                <w:szCs w:val="21"/>
              </w:rPr>
              <w:t>特殊变应原</w:t>
            </w:r>
            <w:r>
              <w:rPr>
                <w:sz w:val="21"/>
                <w:szCs w:val="21"/>
              </w:rPr>
              <w:t>(多价变应原)筛查</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vAlign w:val="center"/>
          </w:tcPr>
          <w:p>
            <w:pPr>
              <w:spacing w:line="240" w:lineRule="exact"/>
              <w:rPr>
                <w:sz w:val="21"/>
                <w:szCs w:val="21"/>
              </w:rPr>
            </w:pPr>
            <w:r>
              <w:rPr>
                <w:rFonts w:hint="eastAsia"/>
                <w:sz w:val="21"/>
                <w:szCs w:val="21"/>
              </w:rPr>
              <w:t>吸入物变应原筛查</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dxa"/>
            <w:shd w:val="clear" w:color="auto" w:fill="FFFFFF" w:themeFill="background1"/>
            <w:noWrap/>
            <w:vAlign w:val="center"/>
          </w:tcPr>
          <w:p>
            <w:pPr>
              <w:spacing w:line="240" w:lineRule="exact"/>
              <w:rPr>
                <w:sz w:val="21"/>
                <w:szCs w:val="21"/>
              </w:rPr>
            </w:pPr>
          </w:p>
        </w:tc>
        <w:tc>
          <w:tcPr>
            <w:tcW w:w="2269" w:type="dxa"/>
            <w:shd w:val="clear" w:color="auto" w:fill="FFFFFF" w:themeFill="background1"/>
            <w:vAlign w:val="center"/>
          </w:tcPr>
          <w:p>
            <w:pPr>
              <w:spacing w:line="240" w:lineRule="exact"/>
              <w:rPr>
                <w:sz w:val="21"/>
                <w:szCs w:val="21"/>
              </w:rPr>
            </w:pPr>
            <w:r>
              <w:rPr>
                <w:rFonts w:hint="eastAsia"/>
                <w:sz w:val="21"/>
                <w:szCs w:val="21"/>
              </w:rPr>
              <w:t>专项变应原</w:t>
            </w:r>
            <w:r>
              <w:rPr>
                <w:sz w:val="21"/>
                <w:szCs w:val="21"/>
              </w:rPr>
              <w:t>(单价变应原)筛查</w:t>
            </w:r>
          </w:p>
        </w:tc>
        <w:tc>
          <w:tcPr>
            <w:tcW w:w="1275" w:type="dxa"/>
            <w:shd w:val="clear" w:color="auto" w:fill="FFFFFF" w:themeFill="background1"/>
            <w:noWrap/>
            <w:vAlign w:val="center"/>
          </w:tcPr>
          <w:p>
            <w:pPr>
              <w:spacing w:line="240" w:lineRule="exact"/>
              <w:rPr>
                <w:sz w:val="21"/>
                <w:szCs w:val="21"/>
              </w:rPr>
            </w:pPr>
          </w:p>
        </w:tc>
        <w:tc>
          <w:tcPr>
            <w:tcW w:w="3686" w:type="dxa"/>
            <w:shd w:val="clear" w:color="auto" w:fill="FFFFFF" w:themeFill="background1"/>
            <w:vAlign w:val="center"/>
          </w:tcPr>
          <w:p>
            <w:pPr>
              <w:spacing w:line="240" w:lineRule="exact"/>
              <w:rPr>
                <w:sz w:val="21"/>
                <w:szCs w:val="21"/>
              </w:rPr>
            </w:pPr>
          </w:p>
        </w:tc>
        <w:tc>
          <w:tcPr>
            <w:tcW w:w="992" w:type="dxa"/>
            <w:shd w:val="clear" w:color="auto" w:fill="FFFFFF" w:themeFill="background1"/>
            <w:noWrap/>
            <w:vAlign w:val="center"/>
          </w:tcPr>
          <w:p>
            <w:pPr>
              <w:spacing w:line="240" w:lineRule="exact"/>
              <w:rPr>
                <w:sz w:val="21"/>
                <w:szCs w:val="21"/>
              </w:rPr>
            </w:pPr>
          </w:p>
        </w:tc>
        <w:tc>
          <w:tcPr>
            <w:tcW w:w="1134" w:type="dxa"/>
            <w:shd w:val="clear" w:color="auto" w:fill="FFFFFF" w:themeFill="background1"/>
            <w:noWrap/>
            <w:vAlign w:val="center"/>
          </w:tcPr>
          <w:p>
            <w:pPr>
              <w:spacing w:line="240" w:lineRule="exact"/>
              <w:rPr>
                <w:sz w:val="21"/>
                <w:szCs w:val="21"/>
              </w:rPr>
            </w:pPr>
          </w:p>
        </w:tc>
      </w:tr>
    </w:tbl>
    <w:p/>
    <w:p>
      <w:pPr>
        <w:pStyle w:val="2"/>
        <w:jc w:val="center"/>
      </w:pPr>
      <w:r>
        <w:br w:type="page"/>
      </w:r>
      <w:r>
        <w:rPr>
          <w:rFonts w:hint="eastAsia"/>
        </w:rPr>
        <w:t>二</w:t>
      </w:r>
      <w:r>
        <w:t xml:space="preserve"> </w:t>
      </w:r>
      <w:r>
        <w:rPr>
          <w:rFonts w:hint="eastAsia"/>
        </w:rPr>
        <w:t>体检类项目</w:t>
      </w:r>
    </w:p>
    <w:tbl>
      <w:tblPr>
        <w:tblStyle w:val="30"/>
        <w:tblW w:w="89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835"/>
        <w:gridCol w:w="2147"/>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jc w:val="center"/>
              <w:rPr>
                <w:sz w:val="21"/>
                <w:szCs w:val="21"/>
              </w:rPr>
            </w:pPr>
            <w:r>
              <w:rPr>
                <w:rFonts w:hint="eastAsia"/>
                <w:sz w:val="21"/>
                <w:szCs w:val="21"/>
              </w:rPr>
              <w:t>类别</w:t>
            </w:r>
          </w:p>
        </w:tc>
        <w:tc>
          <w:tcPr>
            <w:tcW w:w="2835" w:type="dxa"/>
            <w:shd w:val="clear" w:color="auto" w:fill="auto"/>
            <w:noWrap/>
            <w:vAlign w:val="center"/>
          </w:tcPr>
          <w:p>
            <w:pPr>
              <w:spacing w:line="200" w:lineRule="exact"/>
              <w:jc w:val="center"/>
              <w:rPr>
                <w:sz w:val="21"/>
                <w:szCs w:val="21"/>
              </w:rPr>
            </w:pPr>
            <w:r>
              <w:rPr>
                <w:rFonts w:hint="eastAsia"/>
                <w:sz w:val="21"/>
                <w:szCs w:val="21"/>
              </w:rPr>
              <w:t>体检外送项目名称</w:t>
            </w:r>
          </w:p>
        </w:tc>
        <w:tc>
          <w:tcPr>
            <w:tcW w:w="2147" w:type="dxa"/>
            <w:shd w:val="clear" w:color="auto" w:fill="auto"/>
            <w:noWrap/>
            <w:vAlign w:val="center"/>
          </w:tcPr>
          <w:p>
            <w:pPr>
              <w:spacing w:line="200" w:lineRule="exact"/>
              <w:jc w:val="center"/>
              <w:rPr>
                <w:sz w:val="21"/>
                <w:szCs w:val="21"/>
              </w:rPr>
            </w:pPr>
            <w:r>
              <w:rPr>
                <w:rFonts w:hint="eastAsia"/>
                <w:sz w:val="21"/>
                <w:szCs w:val="21"/>
              </w:rPr>
              <w:t>报告时间</w:t>
            </w:r>
          </w:p>
        </w:tc>
        <w:tc>
          <w:tcPr>
            <w:tcW w:w="1701" w:type="dxa"/>
            <w:shd w:val="clear" w:color="auto" w:fill="auto"/>
            <w:noWrap/>
            <w:vAlign w:val="center"/>
          </w:tcPr>
          <w:p>
            <w:pPr>
              <w:spacing w:line="200" w:lineRule="exact"/>
              <w:jc w:val="center"/>
              <w:rPr>
                <w:sz w:val="21"/>
                <w:szCs w:val="21"/>
              </w:rPr>
            </w:pPr>
            <w:r>
              <w:rPr>
                <w:rFonts w:hint="eastAsia"/>
                <w:sz w:val="21"/>
                <w:szCs w:val="21"/>
              </w:rPr>
              <w:t>参考值</w:t>
            </w:r>
          </w:p>
        </w:tc>
        <w:tc>
          <w:tcPr>
            <w:tcW w:w="1559" w:type="dxa"/>
            <w:shd w:val="clear" w:color="auto" w:fill="auto"/>
            <w:noWrap/>
            <w:vAlign w:val="center"/>
          </w:tcPr>
          <w:p>
            <w:pPr>
              <w:jc w:val="center"/>
              <w:textAlignment w:val="center"/>
              <w:rPr>
                <w:rFonts w:cs="宋体"/>
                <w:color w:val="000000"/>
                <w:sz w:val="21"/>
                <w:szCs w:val="21"/>
                <w:lang w:bidi="ar"/>
              </w:rPr>
            </w:pPr>
            <w:r>
              <w:rPr>
                <w:rFonts w:hint="eastAsia" w:cs="宋体"/>
                <w:color w:val="000000"/>
                <w:sz w:val="21"/>
                <w:szCs w:val="21"/>
                <w:lang w:bidi="ar"/>
              </w:rPr>
              <w:t>检测体系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sz w:val="21"/>
                <w:szCs w:val="21"/>
              </w:rPr>
              <w:t>SCC</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r>
              <w:rPr>
                <w:rFonts w:hint="eastAsia" w:cs="宋体"/>
                <w:color w:val="000000"/>
                <w:sz w:val="21"/>
                <w:szCs w:val="21"/>
                <w:lang w:bidi="ar"/>
              </w:rPr>
              <w:t>可用国产发光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p>
        </w:tc>
        <w:tc>
          <w:tcPr>
            <w:tcW w:w="2835" w:type="dxa"/>
            <w:shd w:val="clear" w:color="auto" w:fill="auto"/>
            <w:noWrap/>
            <w:vAlign w:val="center"/>
          </w:tcPr>
          <w:p>
            <w:pPr>
              <w:spacing w:line="200" w:lineRule="exact"/>
              <w:rPr>
                <w:sz w:val="21"/>
                <w:szCs w:val="21"/>
              </w:rPr>
            </w:pPr>
            <w:r>
              <w:rPr>
                <w:rFonts w:hint="eastAsia"/>
                <w:sz w:val="21"/>
                <w:szCs w:val="21"/>
              </w:rPr>
              <w:t>癌胚抗原定性</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癌胚抗原</w:t>
            </w:r>
            <w:r>
              <w:rPr>
                <w:sz w:val="21"/>
                <w:szCs w:val="21"/>
              </w:rPr>
              <w:t>(定量)</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r>
              <w:rPr>
                <w:rFonts w:hint="eastAsia" w:cs="宋体"/>
                <w:color w:val="000000"/>
                <w:sz w:val="21"/>
                <w:szCs w:val="21"/>
                <w:lang w:bidi="ar"/>
              </w:rPr>
              <w:t>可用国产发光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葡萄糖</w:t>
            </w:r>
            <w:r>
              <w:rPr>
                <w:sz w:val="21"/>
                <w:szCs w:val="21"/>
              </w:rPr>
              <w:t>(GLU)</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高密度脂蛋白胆固醇</w:t>
            </w:r>
            <w:r>
              <w:rPr>
                <w:sz w:val="21"/>
                <w:szCs w:val="21"/>
              </w:rPr>
              <w:t>(HDL-C)</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低密度脂蛋白胆固醇</w:t>
            </w:r>
            <w:r>
              <w:rPr>
                <w:sz w:val="21"/>
                <w:szCs w:val="21"/>
              </w:rPr>
              <w:t>(LDL-C)</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肌酐</w:t>
            </w:r>
            <w:r>
              <w:rPr>
                <w:sz w:val="21"/>
                <w:szCs w:val="21"/>
              </w:rPr>
              <w:t>(CR)</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甲胎蛋白（定量）</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r>
              <w:rPr>
                <w:rFonts w:hint="eastAsia" w:cs="宋体"/>
                <w:color w:val="000000"/>
                <w:sz w:val="21"/>
                <w:szCs w:val="21"/>
                <w:lang w:bidi="ar"/>
              </w:rPr>
              <w:t>可用国产发光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甲胎蛋白定性</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静脉血糖</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空腹葡萄糖</w:t>
            </w:r>
            <w:r>
              <w:rPr>
                <w:sz w:val="21"/>
                <w:szCs w:val="21"/>
              </w:rPr>
              <w:t>(GLU)</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空腹血糖</w:t>
            </w:r>
            <w:r>
              <w:rPr>
                <w:sz w:val="21"/>
                <w:szCs w:val="21"/>
              </w:rPr>
              <w:t>(静脉)</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尿素</w:t>
            </w:r>
            <w:r>
              <w:rPr>
                <w:sz w:val="21"/>
                <w:szCs w:val="21"/>
              </w:rPr>
              <w:t>(尿素氮)(UREA)</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尿酸</w:t>
            </w:r>
            <w:r>
              <w:rPr>
                <w:sz w:val="21"/>
                <w:szCs w:val="21"/>
              </w:rPr>
              <w:t>(UA)</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糖链抗原</w:t>
            </w:r>
            <w:r>
              <w:rPr>
                <w:sz w:val="21"/>
                <w:szCs w:val="21"/>
              </w:rPr>
              <w:t>19-9(CA199)</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r>
              <w:rPr>
                <w:rFonts w:hint="eastAsia" w:cs="宋体"/>
                <w:color w:val="000000"/>
                <w:sz w:val="21"/>
                <w:szCs w:val="21"/>
                <w:lang w:bidi="ar"/>
              </w:rPr>
              <w:t>可用国产发光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天门冬氨酸氨基转移酶</w:t>
            </w:r>
            <w:r>
              <w:rPr>
                <w:sz w:val="21"/>
                <w:szCs w:val="21"/>
              </w:rPr>
              <w:t>(AST)</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丙氨酸氨基转移酶</w:t>
            </w:r>
            <w:r>
              <w:rPr>
                <w:sz w:val="21"/>
                <w:szCs w:val="21"/>
              </w:rPr>
              <w:t>(ALT)</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甘油三酯</w:t>
            </w:r>
            <w:r>
              <w:rPr>
                <w:sz w:val="21"/>
                <w:szCs w:val="21"/>
              </w:rPr>
              <w:t>(TG)</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总胆固醇</w:t>
            </w:r>
            <w:r>
              <w:rPr>
                <w:sz w:val="21"/>
                <w:szCs w:val="21"/>
              </w:rPr>
              <w:t>(T-CH)</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p>
        </w:tc>
        <w:tc>
          <w:tcPr>
            <w:tcW w:w="2835" w:type="dxa"/>
            <w:shd w:val="clear" w:color="auto" w:fill="auto"/>
            <w:noWrap/>
            <w:vAlign w:val="center"/>
          </w:tcPr>
          <w:p>
            <w:pPr>
              <w:spacing w:line="200" w:lineRule="exact"/>
              <w:rPr>
                <w:sz w:val="21"/>
                <w:szCs w:val="21"/>
              </w:rPr>
            </w:pPr>
            <w:r>
              <w:rPr>
                <w:rFonts w:hint="eastAsia"/>
                <w:sz w:val="21"/>
                <w:szCs w:val="21"/>
              </w:rPr>
              <w:t>乙型肝炎表面抗原</w:t>
            </w:r>
            <w:r>
              <w:rPr>
                <w:sz w:val="21"/>
                <w:szCs w:val="21"/>
              </w:rPr>
              <w:t>(定量)</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总胆红素</w:t>
            </w:r>
            <w:r>
              <w:rPr>
                <w:sz w:val="21"/>
                <w:szCs w:val="21"/>
              </w:rPr>
              <w:t>(TBL)</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总蛋白</w:t>
            </w:r>
            <w:r>
              <w:rPr>
                <w:sz w:val="21"/>
                <w:szCs w:val="21"/>
              </w:rPr>
              <w:t>(TP)</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r>
              <w:rPr>
                <w:rFonts w:hint="eastAsia"/>
                <w:sz w:val="21"/>
                <w:szCs w:val="21"/>
              </w:rPr>
              <w:t>同普检要求</w:t>
            </w: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白蛋白</w:t>
            </w:r>
            <w:r>
              <w:rPr>
                <w:sz w:val="21"/>
                <w:szCs w:val="21"/>
              </w:rPr>
              <w:t>(ALB)</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钾</w:t>
            </w:r>
            <w:r>
              <w:rPr>
                <w:sz w:val="21"/>
                <w:szCs w:val="21"/>
              </w:rPr>
              <w:t>(K)</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钠</w:t>
            </w:r>
            <w:r>
              <w:rPr>
                <w:sz w:val="21"/>
                <w:szCs w:val="21"/>
              </w:rPr>
              <w:t>(Na)</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氯</w:t>
            </w:r>
            <w:r>
              <w:rPr>
                <w:sz w:val="21"/>
                <w:szCs w:val="21"/>
              </w:rPr>
              <w:t>(CL)</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γ</w:t>
            </w:r>
            <w:r>
              <w:rPr>
                <w:sz w:val="21"/>
                <w:szCs w:val="21"/>
              </w:rPr>
              <w:t>-谷氨酰转移酶(R-GT)</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碱性磷酸酶</w:t>
            </w:r>
            <w:r>
              <w:rPr>
                <w:sz w:val="21"/>
                <w:szCs w:val="21"/>
              </w:rPr>
              <w:t>(ALP)</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直接胆红素</w:t>
            </w:r>
            <w:r>
              <w:rPr>
                <w:sz w:val="21"/>
                <w:szCs w:val="21"/>
              </w:rPr>
              <w:t>(DBL)</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p>
        </w:tc>
        <w:tc>
          <w:tcPr>
            <w:tcW w:w="1559" w:type="dxa"/>
            <w:shd w:val="clear" w:color="auto" w:fill="auto"/>
            <w:noWrap/>
            <w:vAlign w:val="center"/>
          </w:tcPr>
          <w:p>
            <w:pPr>
              <w:textAlignment w:val="center"/>
              <w:rPr>
                <w:rFonts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spacing w:line="200" w:lineRule="exact"/>
              <w:rPr>
                <w:sz w:val="21"/>
                <w:szCs w:val="21"/>
              </w:rPr>
            </w:pPr>
            <w:r>
              <w:rPr>
                <w:sz w:val="21"/>
                <w:szCs w:val="21"/>
              </w:rPr>
              <w:t>A</w:t>
            </w:r>
          </w:p>
        </w:tc>
        <w:tc>
          <w:tcPr>
            <w:tcW w:w="2835" w:type="dxa"/>
            <w:shd w:val="clear" w:color="auto" w:fill="auto"/>
            <w:noWrap/>
            <w:vAlign w:val="center"/>
          </w:tcPr>
          <w:p>
            <w:pPr>
              <w:spacing w:line="200" w:lineRule="exact"/>
              <w:rPr>
                <w:sz w:val="21"/>
                <w:szCs w:val="21"/>
              </w:rPr>
            </w:pPr>
            <w:r>
              <w:rPr>
                <w:rFonts w:hint="eastAsia"/>
                <w:sz w:val="21"/>
                <w:szCs w:val="21"/>
              </w:rPr>
              <w:t>间接胆红素</w:t>
            </w:r>
            <w:r>
              <w:rPr>
                <w:sz w:val="21"/>
                <w:szCs w:val="21"/>
              </w:rPr>
              <w:t>(IBIL)</w:t>
            </w:r>
          </w:p>
        </w:tc>
        <w:tc>
          <w:tcPr>
            <w:tcW w:w="2147" w:type="dxa"/>
            <w:shd w:val="clear" w:color="auto" w:fill="auto"/>
            <w:noWrap/>
            <w:vAlign w:val="center"/>
          </w:tcPr>
          <w:p>
            <w:pPr>
              <w:spacing w:line="200" w:lineRule="exact"/>
              <w:rPr>
                <w:sz w:val="21"/>
                <w:szCs w:val="21"/>
              </w:rPr>
            </w:pPr>
            <w:r>
              <w:rPr>
                <w:rFonts w:hint="eastAsia"/>
                <w:sz w:val="21"/>
                <w:szCs w:val="21"/>
              </w:rPr>
              <w:t>接收后</w:t>
            </w:r>
            <w:r>
              <w:rPr>
                <w:sz w:val="21"/>
                <w:szCs w:val="21"/>
              </w:rPr>
              <w:t>18小时</w:t>
            </w:r>
          </w:p>
        </w:tc>
        <w:tc>
          <w:tcPr>
            <w:tcW w:w="1701" w:type="dxa"/>
            <w:shd w:val="clear" w:color="auto" w:fill="auto"/>
            <w:noWrap/>
            <w:vAlign w:val="center"/>
          </w:tcPr>
          <w:p>
            <w:pPr>
              <w:spacing w:line="200" w:lineRule="exact"/>
              <w:rPr>
                <w:sz w:val="21"/>
                <w:szCs w:val="21"/>
              </w:rPr>
            </w:pPr>
          </w:p>
        </w:tc>
        <w:tc>
          <w:tcPr>
            <w:tcW w:w="1559" w:type="dxa"/>
            <w:shd w:val="clear" w:color="auto" w:fill="auto"/>
            <w:noWrap/>
            <w:vAlign w:val="center"/>
          </w:tcPr>
          <w:p>
            <w:pPr>
              <w:textAlignment w:val="center"/>
              <w:rPr>
                <w:rFonts w:cs="宋体"/>
                <w:color w:val="000000"/>
                <w:sz w:val="21"/>
                <w:szCs w:val="21"/>
                <w:lang w:bidi="ar"/>
              </w:rPr>
            </w:pPr>
          </w:p>
        </w:tc>
      </w:tr>
    </w:tbl>
    <w:p>
      <w:r>
        <w:br w:type="page"/>
      </w:r>
    </w:p>
    <w:p>
      <w:pPr>
        <w:rPr>
          <w:b/>
        </w:rPr>
      </w:pPr>
      <w:r>
        <w:rPr>
          <w:rFonts w:hint="eastAsia"/>
          <w:b/>
        </w:rPr>
        <w:t>三</w:t>
      </w:r>
      <w:r>
        <w:rPr>
          <w:b/>
        </w:rPr>
        <w:t xml:space="preserve"> </w:t>
      </w:r>
      <w:r>
        <w:rPr>
          <w:rFonts w:hint="eastAsia"/>
          <w:b/>
        </w:rPr>
        <w:t>特检项目清单</w:t>
      </w:r>
    </w:p>
    <w:tbl>
      <w:tblPr>
        <w:tblStyle w:val="30"/>
        <w:tblW w:w="9668" w:type="dxa"/>
        <w:tblInd w:w="-459" w:type="dxa"/>
        <w:tblLayout w:type="fixed"/>
        <w:tblCellMar>
          <w:top w:w="0" w:type="dxa"/>
          <w:left w:w="108" w:type="dxa"/>
          <w:bottom w:w="0" w:type="dxa"/>
          <w:right w:w="108" w:type="dxa"/>
        </w:tblCellMar>
      </w:tblPr>
      <w:tblGrid>
        <w:gridCol w:w="567"/>
        <w:gridCol w:w="1276"/>
        <w:gridCol w:w="1418"/>
        <w:gridCol w:w="2268"/>
        <w:gridCol w:w="1417"/>
        <w:gridCol w:w="1843"/>
        <w:gridCol w:w="879"/>
      </w:tblGrid>
      <w:tr>
        <w:tblPrEx>
          <w:tblCellMar>
            <w:top w:w="0" w:type="dxa"/>
            <w:left w:w="108" w:type="dxa"/>
            <w:bottom w:w="0" w:type="dxa"/>
            <w:right w:w="108" w:type="dxa"/>
          </w:tblCellMar>
        </w:tblPrEx>
        <w:trPr>
          <w:trHeight w:val="5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b/>
                <w:bCs/>
                <w:color w:val="000000"/>
                <w:sz w:val="21"/>
                <w:szCs w:val="21"/>
              </w:rPr>
            </w:pPr>
            <w:r>
              <w:rPr>
                <w:rFonts w:hint="eastAsia"/>
                <w:b/>
                <w:bCs/>
                <w:color w:val="000000"/>
                <w:sz w:val="21"/>
                <w:szCs w:val="21"/>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jc w:val="center"/>
              <w:rPr>
                <w:b/>
                <w:bCs/>
                <w:color w:val="000000"/>
                <w:sz w:val="21"/>
                <w:szCs w:val="21"/>
              </w:rPr>
            </w:pPr>
            <w:r>
              <w:rPr>
                <w:rFonts w:hint="eastAsia"/>
                <w:b/>
                <w:bCs/>
                <w:color w:val="000000"/>
                <w:sz w:val="21"/>
                <w:szCs w:val="21"/>
              </w:rPr>
              <w:t>特检项目名称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after="0"/>
              <w:jc w:val="center"/>
              <w:rPr>
                <w:b/>
                <w:bCs/>
                <w:color w:val="000000"/>
                <w:sz w:val="21"/>
                <w:szCs w:val="21"/>
              </w:rPr>
            </w:pPr>
            <w:r>
              <w:rPr>
                <w:rFonts w:hint="eastAsia"/>
                <w:b/>
                <w:bCs/>
                <w:color w:val="000000"/>
                <w:sz w:val="21"/>
                <w:szCs w:val="21"/>
              </w:rPr>
              <w:t>方法学要求</w:t>
            </w:r>
          </w:p>
        </w:tc>
        <w:tc>
          <w:tcPr>
            <w:tcW w:w="2268" w:type="dxa"/>
            <w:tcBorders>
              <w:top w:val="single" w:color="auto" w:sz="4" w:space="0"/>
              <w:left w:val="nil"/>
              <w:bottom w:val="single" w:color="auto" w:sz="4" w:space="0"/>
              <w:right w:val="single" w:color="auto" w:sz="4" w:space="0"/>
            </w:tcBorders>
            <w:shd w:val="clear" w:color="auto" w:fill="auto"/>
            <w:vAlign w:val="center"/>
          </w:tcPr>
          <w:p>
            <w:pPr>
              <w:spacing w:after="0"/>
              <w:jc w:val="center"/>
              <w:rPr>
                <w:b/>
                <w:bCs/>
                <w:color w:val="000000"/>
                <w:sz w:val="21"/>
                <w:szCs w:val="21"/>
              </w:rPr>
            </w:pPr>
            <w:r>
              <w:rPr>
                <w:rFonts w:hint="eastAsia"/>
                <w:b/>
                <w:bCs/>
                <w:color w:val="000000"/>
                <w:sz w:val="21"/>
                <w:szCs w:val="21"/>
              </w:rPr>
              <w:t>检测内容要求</w:t>
            </w: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jc w:val="center"/>
              <w:rPr>
                <w:b/>
                <w:bCs/>
                <w:color w:val="000000"/>
                <w:sz w:val="21"/>
                <w:szCs w:val="21"/>
              </w:rPr>
            </w:pPr>
            <w:r>
              <w:rPr>
                <w:rFonts w:hint="eastAsia"/>
                <w:b/>
                <w:bCs/>
                <w:color w:val="000000"/>
                <w:sz w:val="21"/>
                <w:szCs w:val="21"/>
              </w:rPr>
              <w:t>收费名称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after="0"/>
              <w:jc w:val="center"/>
              <w:rPr>
                <w:b/>
                <w:bCs/>
                <w:color w:val="000000"/>
                <w:sz w:val="21"/>
                <w:szCs w:val="21"/>
              </w:rPr>
            </w:pPr>
            <w:r>
              <w:rPr>
                <w:rFonts w:hint="eastAsia"/>
                <w:b/>
                <w:bCs/>
                <w:color w:val="000000"/>
                <w:sz w:val="21"/>
                <w:szCs w:val="21"/>
              </w:rPr>
              <w:t>收费编码</w:t>
            </w:r>
          </w:p>
        </w:tc>
        <w:tc>
          <w:tcPr>
            <w:tcW w:w="879" w:type="dxa"/>
            <w:tcBorders>
              <w:top w:val="single" w:color="auto" w:sz="4" w:space="0"/>
              <w:left w:val="nil"/>
              <w:bottom w:val="single" w:color="auto" w:sz="4" w:space="0"/>
              <w:right w:val="single" w:color="auto" w:sz="4" w:space="0"/>
            </w:tcBorders>
            <w:shd w:val="clear" w:color="auto" w:fill="auto"/>
            <w:vAlign w:val="center"/>
          </w:tcPr>
          <w:p>
            <w:pPr>
              <w:spacing w:after="0"/>
              <w:jc w:val="center"/>
              <w:rPr>
                <w:b/>
                <w:bCs/>
                <w:color w:val="000000"/>
                <w:sz w:val="21"/>
                <w:szCs w:val="21"/>
              </w:rPr>
            </w:pPr>
            <w:r>
              <w:rPr>
                <w:rFonts w:hint="eastAsia"/>
                <w:b/>
                <w:bCs/>
                <w:color w:val="000000"/>
                <w:sz w:val="21"/>
                <w:szCs w:val="21"/>
              </w:rPr>
              <w:t>收费（元）</w:t>
            </w:r>
          </w:p>
        </w:tc>
      </w:tr>
      <w:tr>
        <w:tblPrEx>
          <w:tblCellMar>
            <w:top w:w="0" w:type="dxa"/>
            <w:left w:w="108" w:type="dxa"/>
            <w:bottom w:w="0" w:type="dxa"/>
            <w:right w:w="108" w:type="dxa"/>
          </w:tblCellMar>
        </w:tblPrEx>
        <w:trPr>
          <w:trHeight w:val="11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生殖道病原体核酸检测（</w:t>
            </w:r>
            <w:r>
              <w:rPr>
                <w:color w:val="000000"/>
                <w:sz w:val="21"/>
                <w:szCs w:val="21"/>
              </w:rPr>
              <w:t>12</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PCR-</w:t>
            </w:r>
            <w:r>
              <w:rPr>
                <w:rFonts w:hint="eastAsia"/>
                <w:color w:val="000000"/>
                <w:sz w:val="21"/>
                <w:szCs w:val="21"/>
              </w:rPr>
              <w:t>量子点荧光法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相同技术方法下，一次性、同时对样本中阴道加德纳菌、白色念珠菌、光滑念珠菌、克柔念珠菌、热带念珠菌、阴道毛滴虫、粪肠球菌、</w:t>
            </w:r>
            <w:r>
              <w:rPr>
                <w:color w:val="000000"/>
                <w:sz w:val="21"/>
                <w:szCs w:val="21"/>
              </w:rPr>
              <w:t>B</w:t>
            </w:r>
            <w:r>
              <w:rPr>
                <w:rFonts w:hint="eastAsia"/>
                <w:color w:val="000000"/>
                <w:sz w:val="21"/>
                <w:szCs w:val="21"/>
              </w:rPr>
              <w:t>族链球菌、金黄色葡萄球菌、淋球菌，检测结果出具在同一张报告单上</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其他各类病原体</w:t>
            </w:r>
            <w:r>
              <w:rPr>
                <w:color w:val="000000"/>
                <w:sz w:val="21"/>
                <w:szCs w:val="21"/>
              </w:rPr>
              <w:t>DNA</w:t>
            </w:r>
            <w:r>
              <w:rPr>
                <w:rFonts w:hint="eastAsia"/>
                <w:color w:val="000000"/>
                <w:sz w:val="21"/>
                <w:szCs w:val="21"/>
              </w:rPr>
              <w:t>测定</w:t>
            </w:r>
            <w:r>
              <w:rPr>
                <w:color w:val="000000"/>
                <w:sz w:val="21"/>
                <w:szCs w:val="21"/>
              </w:rPr>
              <w:t>*5</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25040306500*5</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w:t>
            </w:r>
          </w:p>
        </w:tc>
      </w:tr>
      <w:tr>
        <w:tblPrEx>
          <w:tblCellMar>
            <w:top w:w="0" w:type="dxa"/>
            <w:left w:w="108" w:type="dxa"/>
            <w:bottom w:w="0" w:type="dxa"/>
            <w:right w:w="108" w:type="dxa"/>
          </w:tblCellMar>
        </w:tblPrEx>
        <w:trPr>
          <w:trHeight w:val="19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生殖道病原体核酸检测（</w:t>
            </w:r>
            <w:r>
              <w:rPr>
                <w:color w:val="000000"/>
                <w:sz w:val="21"/>
                <w:szCs w:val="21"/>
              </w:rPr>
              <w:t>35</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PCR-</w:t>
            </w:r>
            <w:r>
              <w:rPr>
                <w:rFonts w:hint="eastAsia"/>
                <w:color w:val="000000"/>
                <w:sz w:val="21"/>
                <w:szCs w:val="21"/>
              </w:rPr>
              <w:t>量子点荧光法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相同技术方法下，一次性、同时对样本中阴道加德纳菌、白色念珠菌、光滑念珠菌、克柔念珠菌、热带念珠菌、阴道毛滴虫、粪肠球菌、</w:t>
            </w:r>
            <w:r>
              <w:rPr>
                <w:color w:val="000000"/>
                <w:sz w:val="21"/>
                <w:szCs w:val="21"/>
              </w:rPr>
              <w:t>B</w:t>
            </w:r>
            <w:r>
              <w:rPr>
                <w:rFonts w:hint="eastAsia"/>
                <w:color w:val="000000"/>
                <w:sz w:val="21"/>
                <w:szCs w:val="21"/>
              </w:rPr>
              <w:t>族链球菌、金黄色葡萄球菌、淋球菌、</w:t>
            </w:r>
            <w:r>
              <w:rPr>
                <w:color w:val="000000"/>
                <w:sz w:val="21"/>
                <w:szCs w:val="21"/>
              </w:rPr>
              <w:t>HPV16,18,31,33,35,39,45,51,52,56,58,59,68,26,53,66,73,82,6,11,42,43,81</w:t>
            </w:r>
            <w:r>
              <w:rPr>
                <w:rFonts w:hint="eastAsia"/>
                <w:color w:val="000000"/>
                <w:sz w:val="21"/>
                <w:szCs w:val="21"/>
              </w:rPr>
              <w:t>的定性检测，检测结果出具在同一张报告单上</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其他各类病原体</w:t>
            </w:r>
            <w:r>
              <w:rPr>
                <w:color w:val="000000"/>
                <w:sz w:val="21"/>
                <w:szCs w:val="21"/>
              </w:rPr>
              <w:t>DNA</w:t>
            </w:r>
            <w:r>
              <w:rPr>
                <w:rFonts w:hint="eastAsia"/>
                <w:color w:val="000000"/>
                <w:sz w:val="21"/>
                <w:szCs w:val="21"/>
              </w:rPr>
              <w:t>测定</w:t>
            </w:r>
            <w:r>
              <w:rPr>
                <w:color w:val="000000"/>
                <w:sz w:val="21"/>
                <w:szCs w:val="21"/>
              </w:rPr>
              <w:t>*7</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25040306500*7</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350</w:t>
            </w:r>
          </w:p>
        </w:tc>
      </w:tr>
      <w:tr>
        <w:tblPrEx>
          <w:tblCellMar>
            <w:top w:w="0" w:type="dxa"/>
            <w:left w:w="108" w:type="dxa"/>
            <w:bottom w:w="0" w:type="dxa"/>
            <w:right w:w="108" w:type="dxa"/>
          </w:tblCellMar>
        </w:tblPrEx>
        <w:trPr>
          <w:trHeight w:val="15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3</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遗传性耳聋基因检测</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微阵列芯片法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检测位点：≥</w:t>
            </w:r>
            <w:r>
              <w:rPr>
                <w:color w:val="000000"/>
                <w:sz w:val="21"/>
                <w:szCs w:val="21"/>
              </w:rPr>
              <w:t>15个位点，包括GJB2</w:t>
            </w:r>
            <w:r>
              <w:rPr>
                <w:rFonts w:hint="eastAsia"/>
                <w:color w:val="000000"/>
                <w:sz w:val="21"/>
                <w:szCs w:val="21"/>
              </w:rPr>
              <w:t>上的</w:t>
            </w:r>
            <w:r>
              <w:rPr>
                <w:color w:val="000000"/>
                <w:sz w:val="21"/>
                <w:szCs w:val="21"/>
              </w:rPr>
              <w:t>35del G</w:t>
            </w:r>
            <w:r>
              <w:rPr>
                <w:rFonts w:hint="eastAsia"/>
                <w:color w:val="000000"/>
                <w:sz w:val="21"/>
                <w:szCs w:val="21"/>
              </w:rPr>
              <w:t>、</w:t>
            </w:r>
            <w:r>
              <w:rPr>
                <w:color w:val="000000"/>
                <w:sz w:val="21"/>
                <w:szCs w:val="21"/>
              </w:rPr>
              <w:t>235del C</w:t>
            </w:r>
            <w:r>
              <w:rPr>
                <w:rFonts w:hint="eastAsia"/>
                <w:color w:val="000000"/>
                <w:sz w:val="21"/>
                <w:szCs w:val="21"/>
              </w:rPr>
              <w:t>、</w:t>
            </w:r>
            <w:r>
              <w:rPr>
                <w:color w:val="000000"/>
                <w:sz w:val="21"/>
                <w:szCs w:val="21"/>
              </w:rPr>
              <w:t>176-191del 16</w:t>
            </w:r>
            <w:r>
              <w:rPr>
                <w:rFonts w:hint="eastAsia"/>
                <w:color w:val="000000"/>
                <w:sz w:val="21"/>
                <w:szCs w:val="21"/>
              </w:rPr>
              <w:t>、</w:t>
            </w:r>
            <w:r>
              <w:rPr>
                <w:color w:val="000000"/>
                <w:sz w:val="21"/>
                <w:szCs w:val="21"/>
              </w:rPr>
              <w:t>299-300del AT; GJB3</w:t>
            </w:r>
            <w:r>
              <w:rPr>
                <w:rFonts w:hint="eastAsia"/>
                <w:color w:val="000000"/>
                <w:sz w:val="21"/>
                <w:szCs w:val="21"/>
              </w:rPr>
              <w:t>上的</w:t>
            </w:r>
            <w:r>
              <w:rPr>
                <w:color w:val="000000"/>
                <w:sz w:val="21"/>
                <w:szCs w:val="21"/>
              </w:rPr>
              <w:t>538C&gt;T; SLC26A4</w:t>
            </w:r>
            <w:r>
              <w:rPr>
                <w:rFonts w:hint="eastAsia"/>
                <w:color w:val="000000"/>
                <w:sz w:val="21"/>
                <w:szCs w:val="21"/>
              </w:rPr>
              <w:t>上的</w:t>
            </w:r>
            <w:r>
              <w:rPr>
                <w:color w:val="000000"/>
                <w:sz w:val="21"/>
                <w:szCs w:val="21"/>
              </w:rPr>
              <w:t>IVS7-2A&gt;G</w:t>
            </w:r>
            <w:r>
              <w:rPr>
                <w:rFonts w:hint="eastAsia"/>
                <w:color w:val="000000"/>
                <w:sz w:val="21"/>
                <w:szCs w:val="21"/>
              </w:rPr>
              <w:t>、</w:t>
            </w:r>
            <w:r>
              <w:rPr>
                <w:color w:val="000000"/>
                <w:sz w:val="21"/>
                <w:szCs w:val="21"/>
              </w:rPr>
              <w:t>1229C&gt;T</w:t>
            </w:r>
            <w:r>
              <w:rPr>
                <w:rFonts w:hint="eastAsia"/>
                <w:color w:val="000000"/>
                <w:sz w:val="21"/>
                <w:szCs w:val="21"/>
              </w:rPr>
              <w:t>、</w:t>
            </w:r>
            <w:r>
              <w:rPr>
                <w:color w:val="000000"/>
                <w:sz w:val="21"/>
                <w:szCs w:val="21"/>
              </w:rPr>
              <w:t>2168A&gt;G</w:t>
            </w:r>
            <w:r>
              <w:rPr>
                <w:rFonts w:hint="eastAsia"/>
                <w:color w:val="000000"/>
                <w:sz w:val="21"/>
                <w:szCs w:val="21"/>
              </w:rPr>
              <w:t>、</w:t>
            </w:r>
            <w:r>
              <w:rPr>
                <w:color w:val="000000"/>
                <w:sz w:val="21"/>
                <w:szCs w:val="21"/>
              </w:rPr>
              <w:t>IVS15+5G&gt;A</w:t>
            </w:r>
            <w:r>
              <w:rPr>
                <w:rFonts w:hint="eastAsia"/>
                <w:color w:val="000000"/>
                <w:sz w:val="21"/>
                <w:szCs w:val="21"/>
              </w:rPr>
              <w:t>、</w:t>
            </w:r>
            <w:r>
              <w:rPr>
                <w:color w:val="000000"/>
                <w:sz w:val="21"/>
                <w:szCs w:val="21"/>
              </w:rPr>
              <w:t>1174A&gt;T</w:t>
            </w:r>
            <w:r>
              <w:rPr>
                <w:rFonts w:hint="eastAsia"/>
                <w:color w:val="000000"/>
                <w:sz w:val="21"/>
                <w:szCs w:val="21"/>
              </w:rPr>
              <w:t>、</w:t>
            </w:r>
            <w:r>
              <w:rPr>
                <w:color w:val="000000"/>
                <w:sz w:val="21"/>
                <w:szCs w:val="21"/>
              </w:rPr>
              <w:t>1975G&gt;C</w:t>
            </w:r>
            <w:r>
              <w:rPr>
                <w:rFonts w:hint="eastAsia"/>
                <w:color w:val="000000"/>
                <w:sz w:val="21"/>
                <w:szCs w:val="21"/>
              </w:rPr>
              <w:t>、</w:t>
            </w:r>
            <w:r>
              <w:rPr>
                <w:color w:val="000000"/>
                <w:sz w:val="21"/>
                <w:szCs w:val="21"/>
              </w:rPr>
              <w:t>1226G&gt;A</w:t>
            </w:r>
            <w:r>
              <w:rPr>
                <w:rFonts w:hint="eastAsia"/>
                <w:color w:val="000000"/>
                <w:sz w:val="21"/>
                <w:szCs w:val="21"/>
              </w:rPr>
              <w:t>、</w:t>
            </w:r>
            <w:r>
              <w:rPr>
                <w:color w:val="000000"/>
                <w:sz w:val="21"/>
                <w:szCs w:val="21"/>
              </w:rPr>
              <w:t>2027T&gt;A;12SrRNA</w:t>
            </w:r>
            <w:r>
              <w:rPr>
                <w:rFonts w:hint="eastAsia"/>
                <w:color w:val="000000"/>
                <w:sz w:val="21"/>
                <w:szCs w:val="21"/>
              </w:rPr>
              <w:t>上的</w:t>
            </w:r>
            <w:r>
              <w:rPr>
                <w:color w:val="000000"/>
                <w:sz w:val="21"/>
                <w:szCs w:val="21"/>
              </w:rPr>
              <w:t>1494C&gt;T</w:t>
            </w:r>
            <w:r>
              <w:rPr>
                <w:rFonts w:hint="eastAsia"/>
                <w:color w:val="000000"/>
                <w:sz w:val="21"/>
                <w:szCs w:val="21"/>
              </w:rPr>
              <w:t>、</w:t>
            </w:r>
            <w:r>
              <w:rPr>
                <w:color w:val="000000"/>
                <w:sz w:val="21"/>
                <w:szCs w:val="21"/>
              </w:rPr>
              <w:t>1555A&gt;G</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遗传性耳聋基因检测</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25070000300</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600</w:t>
            </w:r>
          </w:p>
        </w:tc>
      </w:tr>
      <w:tr>
        <w:tblPrEx>
          <w:tblCellMar>
            <w:top w:w="0" w:type="dxa"/>
            <w:left w:w="108" w:type="dxa"/>
            <w:bottom w:w="0" w:type="dxa"/>
            <w:right w:w="108" w:type="dxa"/>
          </w:tblCellMar>
        </w:tblPrEx>
        <w:trPr>
          <w:trHeight w:val="18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4</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尿路感染病原体核酸检测（</w:t>
            </w:r>
            <w:r>
              <w:rPr>
                <w:color w:val="000000"/>
                <w:sz w:val="21"/>
                <w:szCs w:val="21"/>
              </w:rPr>
              <w:t>19</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PCR-</w:t>
            </w:r>
            <w:r>
              <w:rPr>
                <w:rFonts w:hint="eastAsia"/>
                <w:color w:val="000000"/>
                <w:sz w:val="21"/>
                <w:szCs w:val="21"/>
              </w:rPr>
              <w:t>量子点荧光法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相同技术方法下，一次性、同时对尿液中金黄色葡萄球菌、屎肠球菌、粪肠球菌、铜绿假单胞菌、鲍曼不动杆菌、化脓链球菌、无乳链球菌、腐生葡萄球菌、表皮葡萄球菌、阴沟肠杆菌、肺炎克雷伯菌、弗氏柠檬酸杆菌、奇异变形杆菌、白色念珠菌、大肠杆菌、解脲脲原体、沙眼衣原体、奈瑟淋球菌、生殖衣原体的定性检测，检测结果出具在同一张报告单上</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其他各类病原体</w:t>
            </w:r>
            <w:r>
              <w:rPr>
                <w:color w:val="000000"/>
                <w:sz w:val="21"/>
                <w:szCs w:val="21"/>
              </w:rPr>
              <w:t>DNA</w:t>
            </w:r>
            <w:r>
              <w:rPr>
                <w:rFonts w:hint="eastAsia"/>
                <w:color w:val="000000"/>
                <w:sz w:val="21"/>
                <w:szCs w:val="21"/>
              </w:rPr>
              <w:t>测定</w:t>
            </w:r>
            <w:r>
              <w:rPr>
                <w:color w:val="000000"/>
                <w:sz w:val="21"/>
                <w:szCs w:val="21"/>
              </w:rPr>
              <w:t>*8</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25040306500*8</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400</w:t>
            </w:r>
          </w:p>
        </w:tc>
      </w:tr>
      <w:tr>
        <w:tblPrEx>
          <w:tblCellMar>
            <w:top w:w="0" w:type="dxa"/>
            <w:left w:w="108" w:type="dxa"/>
            <w:bottom w:w="0" w:type="dxa"/>
            <w:right w:w="108" w:type="dxa"/>
          </w:tblCellMar>
        </w:tblPrEx>
        <w:trPr>
          <w:trHeight w:val="67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5</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叶酸个体化用药基因检测项目</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PCR</w:t>
            </w:r>
            <w:r>
              <w:rPr>
                <w:rFonts w:hint="eastAsia"/>
                <w:color w:val="000000"/>
                <w:sz w:val="21"/>
                <w:szCs w:val="21"/>
              </w:rPr>
              <w:t>荧光探针法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体外定性检测人全血样本中</w:t>
            </w:r>
            <w:r>
              <w:rPr>
                <w:color w:val="000000"/>
                <w:sz w:val="21"/>
                <w:szCs w:val="21"/>
              </w:rPr>
              <w:t>MTHFR</w:t>
            </w:r>
            <w:r>
              <w:rPr>
                <w:rFonts w:hint="eastAsia"/>
                <w:color w:val="000000"/>
                <w:sz w:val="21"/>
                <w:szCs w:val="21"/>
              </w:rPr>
              <w:t>基因</w:t>
            </w:r>
            <w:r>
              <w:rPr>
                <w:color w:val="000000"/>
                <w:sz w:val="21"/>
                <w:szCs w:val="21"/>
              </w:rPr>
              <w:t>677C/T</w:t>
            </w:r>
            <w:r>
              <w:rPr>
                <w:rFonts w:hint="eastAsia"/>
                <w:color w:val="000000"/>
                <w:sz w:val="21"/>
                <w:szCs w:val="21"/>
              </w:rPr>
              <w:t>多态性位点基因型</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化学药物用药指导的基因检测</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25070300100</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365</w:t>
            </w:r>
          </w:p>
        </w:tc>
      </w:tr>
      <w:tr>
        <w:tblPrEx>
          <w:tblCellMar>
            <w:top w:w="0" w:type="dxa"/>
            <w:left w:w="108" w:type="dxa"/>
            <w:bottom w:w="0" w:type="dxa"/>
            <w:right w:w="108" w:type="dxa"/>
          </w:tblCellMar>
        </w:tblPrEx>
        <w:trPr>
          <w:trHeight w:val="15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6</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微量元素</w:t>
            </w:r>
            <w:r>
              <w:rPr>
                <w:color w:val="000000"/>
                <w:sz w:val="21"/>
                <w:szCs w:val="21"/>
              </w:rPr>
              <w:t>10</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 xml:space="preserve">ICP-MS </w:t>
            </w:r>
            <w:r>
              <w:rPr>
                <w:rFonts w:hint="eastAsia"/>
                <w:color w:val="000000"/>
                <w:sz w:val="21"/>
                <w:szCs w:val="21"/>
              </w:rPr>
              <w:t>电感耦合等离子体质谱技术</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钙、镁、铁、锌、铜、锰、铬、钼、硒、铅</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钙测定，镁测定，铁测定，铜测定，硒测定，锌测定，全血铅测定，微量元素测定，锰测定，钼测定</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25030400401</w:t>
            </w:r>
            <w:r>
              <w:rPr>
                <w:rFonts w:hint="eastAsia"/>
                <w:color w:val="000000"/>
                <w:sz w:val="21"/>
                <w:szCs w:val="21"/>
              </w:rPr>
              <w:t>，</w:t>
            </w:r>
            <w:r>
              <w:rPr>
                <w:color w:val="000000"/>
                <w:sz w:val="21"/>
                <w:szCs w:val="21"/>
              </w:rPr>
              <w:t>25030400600</w:t>
            </w:r>
            <w:r>
              <w:rPr>
                <w:rFonts w:hint="eastAsia"/>
                <w:color w:val="000000"/>
                <w:sz w:val="21"/>
                <w:szCs w:val="21"/>
              </w:rPr>
              <w:t>，</w:t>
            </w:r>
            <w:r>
              <w:rPr>
                <w:color w:val="000000"/>
                <w:sz w:val="21"/>
                <w:szCs w:val="21"/>
              </w:rPr>
              <w:t>25030400700</w:t>
            </w:r>
            <w:r>
              <w:rPr>
                <w:rFonts w:hint="eastAsia"/>
                <w:color w:val="000000"/>
                <w:sz w:val="21"/>
                <w:szCs w:val="21"/>
              </w:rPr>
              <w:t>，</w:t>
            </w:r>
            <w:r>
              <w:rPr>
                <w:color w:val="000000"/>
                <w:sz w:val="21"/>
                <w:szCs w:val="21"/>
              </w:rPr>
              <w:t>25030401301</w:t>
            </w:r>
            <w:r>
              <w:rPr>
                <w:rFonts w:hint="eastAsia"/>
                <w:color w:val="000000"/>
                <w:sz w:val="21"/>
                <w:szCs w:val="21"/>
              </w:rPr>
              <w:t>，</w:t>
            </w:r>
            <w:r>
              <w:rPr>
                <w:color w:val="000000"/>
                <w:sz w:val="21"/>
                <w:szCs w:val="21"/>
              </w:rPr>
              <w:t>25030401302</w:t>
            </w:r>
            <w:r>
              <w:rPr>
                <w:rFonts w:hint="eastAsia"/>
                <w:color w:val="000000"/>
                <w:sz w:val="21"/>
                <w:szCs w:val="21"/>
              </w:rPr>
              <w:t>，</w:t>
            </w:r>
            <w:r>
              <w:rPr>
                <w:color w:val="000000"/>
                <w:sz w:val="21"/>
                <w:szCs w:val="21"/>
              </w:rPr>
              <w:t>25030401303</w:t>
            </w:r>
            <w:r>
              <w:rPr>
                <w:rFonts w:hint="eastAsia"/>
                <w:color w:val="000000"/>
                <w:sz w:val="21"/>
                <w:szCs w:val="21"/>
              </w:rPr>
              <w:t>，</w:t>
            </w:r>
            <w:r>
              <w:rPr>
                <w:color w:val="000000"/>
                <w:sz w:val="21"/>
                <w:szCs w:val="21"/>
              </w:rPr>
              <w:t>25030400900</w:t>
            </w:r>
            <w:r>
              <w:rPr>
                <w:rFonts w:hint="eastAsia"/>
                <w:color w:val="000000"/>
                <w:sz w:val="21"/>
                <w:szCs w:val="21"/>
              </w:rPr>
              <w:t>，</w:t>
            </w:r>
            <w:r>
              <w:rPr>
                <w:color w:val="000000"/>
                <w:sz w:val="21"/>
                <w:szCs w:val="21"/>
              </w:rPr>
              <w:t>25030401300</w:t>
            </w:r>
            <w:r>
              <w:rPr>
                <w:rFonts w:hint="eastAsia"/>
                <w:color w:val="000000"/>
                <w:sz w:val="21"/>
                <w:szCs w:val="21"/>
              </w:rPr>
              <w:t>，</w:t>
            </w:r>
            <w:r>
              <w:rPr>
                <w:color w:val="000000"/>
                <w:sz w:val="21"/>
                <w:szCs w:val="21"/>
              </w:rPr>
              <w:t>25030401308</w:t>
            </w:r>
            <w:r>
              <w:rPr>
                <w:rFonts w:hint="eastAsia"/>
                <w:color w:val="000000"/>
                <w:sz w:val="21"/>
                <w:szCs w:val="21"/>
              </w:rPr>
              <w:t>，</w:t>
            </w:r>
            <w:r>
              <w:rPr>
                <w:color w:val="000000"/>
                <w:sz w:val="21"/>
                <w:szCs w:val="21"/>
              </w:rPr>
              <w:t>25030401309</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114</w:t>
            </w:r>
          </w:p>
        </w:tc>
      </w:tr>
      <w:tr>
        <w:tblPrEx>
          <w:tblCellMar>
            <w:top w:w="0" w:type="dxa"/>
            <w:left w:w="108" w:type="dxa"/>
            <w:bottom w:w="0" w:type="dxa"/>
            <w:right w:w="108" w:type="dxa"/>
          </w:tblCellMar>
        </w:tblPrEx>
        <w:trPr>
          <w:trHeight w:val="21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7</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微量元素</w:t>
            </w:r>
            <w:r>
              <w:rPr>
                <w:color w:val="000000"/>
                <w:sz w:val="21"/>
                <w:szCs w:val="21"/>
              </w:rPr>
              <w:t>19</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 xml:space="preserve">ICP-MS </w:t>
            </w:r>
            <w:r>
              <w:rPr>
                <w:rFonts w:hint="eastAsia"/>
                <w:color w:val="000000"/>
                <w:sz w:val="21"/>
                <w:szCs w:val="21"/>
              </w:rPr>
              <w:t>电感耦合等离子体质谱技术</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钙、镁、铁、锌、铜、锰、铬、钼、钴、硒、镍、钒、锡、砷、铅、镉、汞、铊、锑</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钙测定，镁测定，铁测定，铜测定，硒测定，锌测定，全血铅测定，锰测定，钼测定，砷测定，镉测定，汞测定，微量元素测定</w:t>
            </w:r>
            <w:r>
              <w:rPr>
                <w:color w:val="000000"/>
                <w:sz w:val="21"/>
                <w:szCs w:val="21"/>
              </w:rPr>
              <w:t>*7</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25030400401</w:t>
            </w:r>
            <w:r>
              <w:rPr>
                <w:rFonts w:hint="eastAsia"/>
                <w:color w:val="000000"/>
                <w:sz w:val="21"/>
                <w:szCs w:val="21"/>
              </w:rPr>
              <w:t>，</w:t>
            </w:r>
            <w:r>
              <w:rPr>
                <w:color w:val="000000"/>
                <w:sz w:val="21"/>
                <w:szCs w:val="21"/>
              </w:rPr>
              <w:t>25030400600</w:t>
            </w:r>
            <w:r>
              <w:rPr>
                <w:rFonts w:hint="eastAsia"/>
                <w:color w:val="000000"/>
                <w:sz w:val="21"/>
                <w:szCs w:val="21"/>
              </w:rPr>
              <w:t>，</w:t>
            </w:r>
            <w:r>
              <w:rPr>
                <w:color w:val="000000"/>
                <w:sz w:val="21"/>
                <w:szCs w:val="21"/>
              </w:rPr>
              <w:t>25030400700</w:t>
            </w:r>
            <w:r>
              <w:rPr>
                <w:rFonts w:hint="eastAsia"/>
                <w:color w:val="000000"/>
                <w:sz w:val="21"/>
                <w:szCs w:val="21"/>
              </w:rPr>
              <w:t>，</w:t>
            </w:r>
            <w:r>
              <w:rPr>
                <w:color w:val="000000"/>
                <w:sz w:val="21"/>
                <w:szCs w:val="21"/>
              </w:rPr>
              <w:t>25030401301</w:t>
            </w:r>
            <w:r>
              <w:rPr>
                <w:rFonts w:hint="eastAsia"/>
                <w:color w:val="000000"/>
                <w:sz w:val="21"/>
                <w:szCs w:val="21"/>
              </w:rPr>
              <w:t>，</w:t>
            </w:r>
            <w:r>
              <w:rPr>
                <w:color w:val="000000"/>
                <w:sz w:val="21"/>
                <w:szCs w:val="21"/>
              </w:rPr>
              <w:t>25030401302</w:t>
            </w:r>
            <w:r>
              <w:rPr>
                <w:rFonts w:hint="eastAsia"/>
                <w:color w:val="000000"/>
                <w:sz w:val="21"/>
                <w:szCs w:val="21"/>
              </w:rPr>
              <w:t>，</w:t>
            </w:r>
            <w:r>
              <w:rPr>
                <w:color w:val="000000"/>
                <w:sz w:val="21"/>
                <w:szCs w:val="21"/>
              </w:rPr>
              <w:t xml:space="preserve"> 25030401303</w:t>
            </w:r>
            <w:r>
              <w:rPr>
                <w:rFonts w:hint="eastAsia"/>
                <w:color w:val="000000"/>
                <w:sz w:val="21"/>
                <w:szCs w:val="21"/>
              </w:rPr>
              <w:t>，</w:t>
            </w:r>
            <w:r>
              <w:rPr>
                <w:color w:val="000000"/>
                <w:sz w:val="21"/>
                <w:szCs w:val="21"/>
              </w:rPr>
              <w:t>25030400900</w:t>
            </w:r>
            <w:r>
              <w:rPr>
                <w:rFonts w:hint="eastAsia"/>
                <w:color w:val="000000"/>
                <w:sz w:val="21"/>
                <w:szCs w:val="21"/>
              </w:rPr>
              <w:t>，</w:t>
            </w:r>
            <w:r>
              <w:rPr>
                <w:color w:val="000000"/>
                <w:sz w:val="21"/>
                <w:szCs w:val="21"/>
              </w:rPr>
              <w:t>25030401308</w:t>
            </w:r>
            <w:r>
              <w:rPr>
                <w:rFonts w:hint="eastAsia"/>
                <w:color w:val="000000"/>
                <w:sz w:val="21"/>
                <w:szCs w:val="21"/>
              </w:rPr>
              <w:t>，</w:t>
            </w:r>
            <w:r>
              <w:rPr>
                <w:color w:val="000000"/>
                <w:sz w:val="21"/>
                <w:szCs w:val="21"/>
              </w:rPr>
              <w:t xml:space="preserve"> 25030401309</w:t>
            </w:r>
            <w:r>
              <w:rPr>
                <w:rFonts w:hint="eastAsia"/>
                <w:color w:val="000000"/>
                <w:sz w:val="21"/>
                <w:szCs w:val="21"/>
              </w:rPr>
              <w:t>，</w:t>
            </w:r>
            <w:r>
              <w:rPr>
                <w:color w:val="000000"/>
                <w:sz w:val="21"/>
                <w:szCs w:val="21"/>
              </w:rPr>
              <w:t>25030401311</w:t>
            </w:r>
            <w:r>
              <w:rPr>
                <w:rFonts w:hint="eastAsia"/>
                <w:color w:val="000000"/>
                <w:sz w:val="21"/>
                <w:szCs w:val="21"/>
              </w:rPr>
              <w:t>，</w:t>
            </w:r>
            <w:r>
              <w:rPr>
                <w:color w:val="000000"/>
                <w:sz w:val="21"/>
                <w:szCs w:val="21"/>
              </w:rPr>
              <w:t>25030401305</w:t>
            </w:r>
            <w:r>
              <w:rPr>
                <w:rFonts w:hint="eastAsia"/>
                <w:color w:val="000000"/>
                <w:sz w:val="21"/>
                <w:szCs w:val="21"/>
              </w:rPr>
              <w:t>，</w:t>
            </w:r>
            <w:r>
              <w:rPr>
                <w:color w:val="000000"/>
                <w:sz w:val="21"/>
                <w:szCs w:val="21"/>
              </w:rPr>
              <w:br w:type="textWrapping"/>
            </w:r>
            <w:r>
              <w:rPr>
                <w:color w:val="000000"/>
                <w:sz w:val="21"/>
                <w:szCs w:val="21"/>
              </w:rPr>
              <w:t>25030401306</w:t>
            </w:r>
            <w:r>
              <w:rPr>
                <w:rFonts w:hint="eastAsia"/>
                <w:color w:val="000000"/>
                <w:sz w:val="21"/>
                <w:szCs w:val="21"/>
              </w:rPr>
              <w:t>，</w:t>
            </w:r>
            <w:r>
              <w:rPr>
                <w:color w:val="000000"/>
                <w:sz w:val="21"/>
                <w:szCs w:val="21"/>
              </w:rPr>
              <w:t>25030401300*7</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240</w:t>
            </w:r>
          </w:p>
        </w:tc>
      </w:tr>
      <w:tr>
        <w:tblPrEx>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8</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维生素</w:t>
            </w:r>
            <w:r>
              <w:rPr>
                <w:color w:val="000000"/>
                <w:sz w:val="21"/>
                <w:szCs w:val="21"/>
              </w:rPr>
              <w:t>3</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高效液相色谱</w:t>
            </w:r>
            <w:r>
              <w:rPr>
                <w:color w:val="000000"/>
                <w:sz w:val="21"/>
                <w:szCs w:val="21"/>
              </w:rPr>
              <w:t>-</w:t>
            </w:r>
            <w:r>
              <w:rPr>
                <w:rFonts w:hint="eastAsia"/>
                <w:color w:val="000000"/>
                <w:sz w:val="21"/>
                <w:szCs w:val="21"/>
              </w:rPr>
              <w:t>串联质谱法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总维生素</w:t>
            </w:r>
            <w:r>
              <w:rPr>
                <w:color w:val="000000"/>
                <w:sz w:val="21"/>
                <w:szCs w:val="21"/>
              </w:rPr>
              <w:t>D</w:t>
            </w:r>
            <w:r>
              <w:rPr>
                <w:rFonts w:hint="eastAsia"/>
                <w:color w:val="000000"/>
                <w:sz w:val="21"/>
                <w:szCs w:val="21"/>
              </w:rPr>
              <w:t>、</w:t>
            </w:r>
            <w:r>
              <w:rPr>
                <w:color w:val="000000"/>
                <w:sz w:val="21"/>
                <w:szCs w:val="21"/>
              </w:rPr>
              <w:t>25</w:t>
            </w:r>
            <w:r>
              <w:rPr>
                <w:rFonts w:hint="eastAsia"/>
                <w:color w:val="000000"/>
                <w:sz w:val="21"/>
                <w:szCs w:val="21"/>
              </w:rPr>
              <w:t>羟维生素</w:t>
            </w:r>
            <w:r>
              <w:rPr>
                <w:color w:val="000000"/>
                <w:sz w:val="21"/>
                <w:szCs w:val="21"/>
              </w:rPr>
              <w:t>D2</w:t>
            </w:r>
            <w:r>
              <w:rPr>
                <w:rFonts w:hint="eastAsia"/>
                <w:color w:val="000000"/>
                <w:sz w:val="21"/>
                <w:szCs w:val="21"/>
              </w:rPr>
              <w:t>、</w:t>
            </w:r>
            <w:r>
              <w:rPr>
                <w:color w:val="000000"/>
                <w:sz w:val="21"/>
                <w:szCs w:val="21"/>
              </w:rPr>
              <w:t>25</w:t>
            </w:r>
            <w:r>
              <w:rPr>
                <w:rFonts w:hint="eastAsia"/>
                <w:color w:val="000000"/>
                <w:sz w:val="21"/>
                <w:szCs w:val="21"/>
              </w:rPr>
              <w:t>羟维生素</w:t>
            </w:r>
            <w:r>
              <w:rPr>
                <w:color w:val="000000"/>
                <w:sz w:val="21"/>
                <w:szCs w:val="21"/>
              </w:rPr>
              <w:t>D3</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w:t>
            </w:r>
            <w:r>
              <w:rPr>
                <w:rFonts w:hint="eastAsia"/>
                <w:color w:val="000000"/>
                <w:sz w:val="21"/>
                <w:szCs w:val="21"/>
              </w:rPr>
              <w:t>羟维生素</w:t>
            </w:r>
            <w:r>
              <w:rPr>
                <w:color w:val="000000"/>
                <w:sz w:val="21"/>
                <w:szCs w:val="21"/>
              </w:rPr>
              <w:t>D</w:t>
            </w:r>
            <w:r>
              <w:rPr>
                <w:rFonts w:hint="eastAsia"/>
                <w:color w:val="000000"/>
                <w:sz w:val="21"/>
                <w:szCs w:val="21"/>
              </w:rPr>
              <w:t>测定</w:t>
            </w:r>
            <w:r>
              <w:rPr>
                <w:color w:val="000000"/>
                <w:sz w:val="21"/>
                <w:szCs w:val="21"/>
              </w:rPr>
              <w:t>*3</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25030900100*3</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114</w:t>
            </w:r>
          </w:p>
        </w:tc>
      </w:tr>
      <w:tr>
        <w:tblPrEx>
          <w:tblCellMar>
            <w:top w:w="0" w:type="dxa"/>
            <w:left w:w="108" w:type="dxa"/>
            <w:bottom w:w="0" w:type="dxa"/>
            <w:right w:w="108" w:type="dxa"/>
          </w:tblCellMar>
        </w:tblPrEx>
        <w:trPr>
          <w:trHeight w:val="8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9</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维生素</w:t>
            </w:r>
            <w:r>
              <w:rPr>
                <w:color w:val="000000"/>
                <w:sz w:val="21"/>
                <w:szCs w:val="21"/>
              </w:rPr>
              <w:t>5</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高效液相色谱</w:t>
            </w:r>
            <w:r>
              <w:rPr>
                <w:color w:val="000000"/>
                <w:sz w:val="21"/>
                <w:szCs w:val="21"/>
              </w:rPr>
              <w:t>-</w:t>
            </w:r>
            <w:r>
              <w:rPr>
                <w:rFonts w:hint="eastAsia"/>
                <w:color w:val="000000"/>
                <w:sz w:val="21"/>
                <w:szCs w:val="21"/>
              </w:rPr>
              <w:t>串联质谱法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维生素</w:t>
            </w:r>
            <w:r>
              <w:rPr>
                <w:color w:val="000000"/>
                <w:sz w:val="21"/>
                <w:szCs w:val="21"/>
              </w:rPr>
              <w:t>A</w:t>
            </w:r>
            <w:r>
              <w:rPr>
                <w:rFonts w:hint="eastAsia"/>
                <w:color w:val="000000"/>
                <w:sz w:val="21"/>
                <w:szCs w:val="21"/>
              </w:rPr>
              <w:t>、总维生素</w:t>
            </w:r>
            <w:r>
              <w:rPr>
                <w:color w:val="000000"/>
                <w:sz w:val="21"/>
                <w:szCs w:val="21"/>
              </w:rPr>
              <w:t>D</w:t>
            </w:r>
            <w:r>
              <w:rPr>
                <w:rFonts w:hint="eastAsia"/>
                <w:color w:val="000000"/>
                <w:sz w:val="21"/>
                <w:szCs w:val="21"/>
              </w:rPr>
              <w:t>、</w:t>
            </w:r>
            <w:r>
              <w:rPr>
                <w:color w:val="000000"/>
                <w:sz w:val="21"/>
                <w:szCs w:val="21"/>
              </w:rPr>
              <w:t>25</w:t>
            </w:r>
            <w:r>
              <w:rPr>
                <w:rFonts w:hint="eastAsia"/>
                <w:color w:val="000000"/>
                <w:sz w:val="21"/>
                <w:szCs w:val="21"/>
              </w:rPr>
              <w:t>羟维生素</w:t>
            </w:r>
            <w:r>
              <w:rPr>
                <w:color w:val="000000"/>
                <w:sz w:val="21"/>
                <w:szCs w:val="21"/>
              </w:rPr>
              <w:t>D2</w:t>
            </w:r>
            <w:r>
              <w:rPr>
                <w:rFonts w:hint="eastAsia"/>
                <w:color w:val="000000"/>
                <w:sz w:val="21"/>
                <w:szCs w:val="21"/>
              </w:rPr>
              <w:t>、</w:t>
            </w:r>
            <w:r>
              <w:rPr>
                <w:color w:val="000000"/>
                <w:sz w:val="21"/>
                <w:szCs w:val="21"/>
              </w:rPr>
              <w:t>25</w:t>
            </w:r>
            <w:r>
              <w:rPr>
                <w:rFonts w:hint="eastAsia"/>
                <w:color w:val="000000"/>
                <w:sz w:val="21"/>
                <w:szCs w:val="21"/>
              </w:rPr>
              <w:t>羟维生素</w:t>
            </w:r>
            <w:r>
              <w:rPr>
                <w:color w:val="000000"/>
                <w:sz w:val="21"/>
                <w:szCs w:val="21"/>
              </w:rPr>
              <w:t>D3</w:t>
            </w:r>
            <w:r>
              <w:rPr>
                <w:rFonts w:hint="eastAsia"/>
                <w:color w:val="000000"/>
                <w:sz w:val="21"/>
                <w:szCs w:val="21"/>
              </w:rPr>
              <w:t>、维生素</w:t>
            </w:r>
            <w:r>
              <w:rPr>
                <w:color w:val="000000"/>
                <w:sz w:val="21"/>
                <w:szCs w:val="21"/>
              </w:rPr>
              <w:t>E</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w:t>
            </w:r>
            <w:r>
              <w:rPr>
                <w:rFonts w:hint="eastAsia"/>
                <w:color w:val="000000"/>
                <w:sz w:val="21"/>
                <w:szCs w:val="21"/>
              </w:rPr>
              <w:t>羟维生素</w:t>
            </w:r>
            <w:r>
              <w:rPr>
                <w:color w:val="000000"/>
                <w:sz w:val="21"/>
                <w:szCs w:val="21"/>
              </w:rPr>
              <w:t>D</w:t>
            </w:r>
            <w:r>
              <w:rPr>
                <w:rFonts w:hint="eastAsia"/>
                <w:color w:val="000000"/>
                <w:sz w:val="21"/>
                <w:szCs w:val="21"/>
              </w:rPr>
              <w:t>测定</w:t>
            </w:r>
            <w:r>
              <w:rPr>
                <w:color w:val="000000"/>
                <w:sz w:val="21"/>
                <w:szCs w:val="21"/>
              </w:rPr>
              <w:t>*3</w:t>
            </w:r>
            <w:r>
              <w:rPr>
                <w:rFonts w:hint="eastAsia"/>
                <w:color w:val="000000"/>
                <w:sz w:val="21"/>
                <w:szCs w:val="21"/>
              </w:rPr>
              <w:t>，血清维生素测定（每种维生素）</w:t>
            </w:r>
            <w:r>
              <w:rPr>
                <w:color w:val="000000"/>
                <w:sz w:val="21"/>
                <w:szCs w:val="21"/>
              </w:rPr>
              <w:t>*2</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25030900100*3</w:t>
            </w:r>
            <w:r>
              <w:rPr>
                <w:rFonts w:hint="eastAsia"/>
                <w:color w:val="000000"/>
                <w:sz w:val="21"/>
                <w:szCs w:val="21"/>
              </w:rPr>
              <w:t>，</w:t>
            </w:r>
            <w:r>
              <w:rPr>
                <w:color w:val="000000"/>
                <w:sz w:val="21"/>
                <w:szCs w:val="21"/>
              </w:rPr>
              <w:t>25030900400*2</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190</w:t>
            </w:r>
          </w:p>
        </w:tc>
      </w:tr>
      <w:tr>
        <w:tblPrEx>
          <w:tblCellMar>
            <w:top w:w="0" w:type="dxa"/>
            <w:left w:w="108" w:type="dxa"/>
            <w:bottom w:w="0" w:type="dxa"/>
            <w:right w:w="108" w:type="dxa"/>
          </w:tblCellMar>
        </w:tblPrEx>
        <w:trPr>
          <w:trHeight w:val="8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10</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维生素</w:t>
            </w:r>
            <w:r>
              <w:rPr>
                <w:color w:val="000000"/>
                <w:sz w:val="21"/>
                <w:szCs w:val="21"/>
              </w:rPr>
              <w:t>6</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高效液相色谱</w:t>
            </w:r>
            <w:r>
              <w:rPr>
                <w:color w:val="000000"/>
                <w:sz w:val="21"/>
                <w:szCs w:val="21"/>
              </w:rPr>
              <w:t>-</w:t>
            </w:r>
            <w:r>
              <w:rPr>
                <w:rFonts w:hint="eastAsia"/>
                <w:color w:val="000000"/>
                <w:sz w:val="21"/>
                <w:szCs w:val="21"/>
              </w:rPr>
              <w:t>串联质谱法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维生素</w:t>
            </w:r>
            <w:r>
              <w:rPr>
                <w:color w:val="000000"/>
                <w:sz w:val="21"/>
                <w:szCs w:val="21"/>
              </w:rPr>
              <w:t>A</w:t>
            </w:r>
            <w:r>
              <w:rPr>
                <w:rFonts w:hint="eastAsia"/>
                <w:color w:val="000000"/>
                <w:sz w:val="21"/>
                <w:szCs w:val="21"/>
              </w:rPr>
              <w:t>、总维生素</w:t>
            </w:r>
            <w:r>
              <w:rPr>
                <w:color w:val="000000"/>
                <w:sz w:val="21"/>
                <w:szCs w:val="21"/>
              </w:rPr>
              <w:t>D</w:t>
            </w:r>
            <w:r>
              <w:rPr>
                <w:rFonts w:hint="eastAsia"/>
                <w:color w:val="000000"/>
                <w:sz w:val="21"/>
                <w:szCs w:val="21"/>
              </w:rPr>
              <w:t>、</w:t>
            </w:r>
            <w:r>
              <w:rPr>
                <w:color w:val="000000"/>
                <w:sz w:val="21"/>
                <w:szCs w:val="21"/>
              </w:rPr>
              <w:t>25</w:t>
            </w:r>
            <w:r>
              <w:rPr>
                <w:rFonts w:hint="eastAsia"/>
                <w:color w:val="000000"/>
                <w:sz w:val="21"/>
                <w:szCs w:val="21"/>
              </w:rPr>
              <w:t>羟维生素</w:t>
            </w:r>
            <w:r>
              <w:rPr>
                <w:color w:val="000000"/>
                <w:sz w:val="21"/>
                <w:szCs w:val="21"/>
              </w:rPr>
              <w:t>D2</w:t>
            </w:r>
            <w:r>
              <w:rPr>
                <w:rFonts w:hint="eastAsia"/>
                <w:color w:val="000000"/>
                <w:sz w:val="21"/>
                <w:szCs w:val="21"/>
              </w:rPr>
              <w:t>、</w:t>
            </w:r>
            <w:r>
              <w:rPr>
                <w:color w:val="000000"/>
                <w:sz w:val="21"/>
                <w:szCs w:val="21"/>
              </w:rPr>
              <w:t>25</w:t>
            </w:r>
            <w:r>
              <w:rPr>
                <w:rFonts w:hint="eastAsia"/>
                <w:color w:val="000000"/>
                <w:sz w:val="21"/>
                <w:szCs w:val="21"/>
              </w:rPr>
              <w:t>羟维生素</w:t>
            </w:r>
            <w:r>
              <w:rPr>
                <w:color w:val="000000"/>
                <w:sz w:val="21"/>
                <w:szCs w:val="21"/>
              </w:rPr>
              <w:t>D3</w:t>
            </w:r>
            <w:r>
              <w:rPr>
                <w:rFonts w:hint="eastAsia"/>
                <w:color w:val="000000"/>
                <w:sz w:val="21"/>
                <w:szCs w:val="21"/>
              </w:rPr>
              <w:t>、维生素</w:t>
            </w:r>
            <w:r>
              <w:rPr>
                <w:color w:val="000000"/>
                <w:sz w:val="21"/>
                <w:szCs w:val="21"/>
              </w:rPr>
              <w:t>E</w:t>
            </w:r>
            <w:r>
              <w:rPr>
                <w:rFonts w:hint="eastAsia"/>
                <w:color w:val="000000"/>
                <w:sz w:val="21"/>
                <w:szCs w:val="21"/>
              </w:rPr>
              <w:t>、维生素</w:t>
            </w:r>
            <w:r>
              <w:rPr>
                <w:color w:val="000000"/>
                <w:sz w:val="21"/>
                <w:szCs w:val="21"/>
              </w:rPr>
              <w:t>K1</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w:t>
            </w:r>
            <w:r>
              <w:rPr>
                <w:rFonts w:hint="eastAsia"/>
                <w:color w:val="000000"/>
                <w:sz w:val="21"/>
                <w:szCs w:val="21"/>
              </w:rPr>
              <w:t>羟维生素</w:t>
            </w:r>
            <w:r>
              <w:rPr>
                <w:color w:val="000000"/>
                <w:sz w:val="21"/>
                <w:szCs w:val="21"/>
              </w:rPr>
              <w:t>D</w:t>
            </w:r>
            <w:r>
              <w:rPr>
                <w:rFonts w:hint="eastAsia"/>
                <w:color w:val="000000"/>
                <w:sz w:val="21"/>
                <w:szCs w:val="21"/>
              </w:rPr>
              <w:t>测定</w:t>
            </w:r>
            <w:r>
              <w:rPr>
                <w:color w:val="000000"/>
                <w:sz w:val="21"/>
                <w:szCs w:val="21"/>
              </w:rPr>
              <w:t>*3</w:t>
            </w:r>
            <w:r>
              <w:rPr>
                <w:rFonts w:hint="eastAsia"/>
                <w:color w:val="000000"/>
                <w:sz w:val="21"/>
                <w:szCs w:val="21"/>
              </w:rPr>
              <w:t>，血清维生素测定（每种维生素）</w:t>
            </w:r>
            <w:r>
              <w:rPr>
                <w:color w:val="000000"/>
                <w:sz w:val="21"/>
                <w:szCs w:val="21"/>
              </w:rPr>
              <w:t>*3</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25030900400*3</w:t>
            </w:r>
            <w:r>
              <w:rPr>
                <w:rFonts w:hint="eastAsia"/>
                <w:color w:val="000000"/>
                <w:sz w:val="21"/>
                <w:szCs w:val="21"/>
              </w:rPr>
              <w:t>，</w:t>
            </w:r>
            <w:r>
              <w:rPr>
                <w:color w:val="000000"/>
                <w:sz w:val="21"/>
                <w:szCs w:val="21"/>
              </w:rPr>
              <w:t>25030900100*3</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228</w:t>
            </w:r>
          </w:p>
        </w:tc>
      </w:tr>
      <w:tr>
        <w:tblPrEx>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11</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维生素</w:t>
            </w:r>
            <w:r>
              <w:rPr>
                <w:color w:val="000000"/>
                <w:sz w:val="21"/>
                <w:szCs w:val="21"/>
              </w:rPr>
              <w:t>9</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高效液相色谱</w:t>
            </w:r>
            <w:r>
              <w:rPr>
                <w:color w:val="000000"/>
                <w:sz w:val="21"/>
                <w:szCs w:val="21"/>
              </w:rPr>
              <w:t>-</w:t>
            </w:r>
            <w:r>
              <w:rPr>
                <w:rFonts w:hint="eastAsia"/>
                <w:color w:val="000000"/>
                <w:sz w:val="21"/>
                <w:szCs w:val="21"/>
              </w:rPr>
              <w:t>串联质谱法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维生素</w:t>
            </w:r>
            <w:r>
              <w:rPr>
                <w:color w:val="000000"/>
                <w:sz w:val="21"/>
                <w:szCs w:val="21"/>
              </w:rPr>
              <w:t>B1</w:t>
            </w:r>
            <w:r>
              <w:rPr>
                <w:rFonts w:hint="eastAsia"/>
                <w:color w:val="000000"/>
                <w:sz w:val="21"/>
                <w:szCs w:val="21"/>
              </w:rPr>
              <w:t>、维生素</w:t>
            </w:r>
            <w:r>
              <w:rPr>
                <w:color w:val="000000"/>
                <w:sz w:val="21"/>
                <w:szCs w:val="21"/>
              </w:rPr>
              <w:t>B2</w:t>
            </w:r>
            <w:r>
              <w:rPr>
                <w:rFonts w:hint="eastAsia"/>
                <w:color w:val="000000"/>
                <w:sz w:val="21"/>
                <w:szCs w:val="21"/>
              </w:rPr>
              <w:t>、维生素</w:t>
            </w:r>
            <w:r>
              <w:rPr>
                <w:color w:val="000000"/>
                <w:sz w:val="21"/>
                <w:szCs w:val="21"/>
              </w:rPr>
              <w:t>B3</w:t>
            </w:r>
            <w:r>
              <w:rPr>
                <w:rFonts w:hint="eastAsia"/>
                <w:color w:val="000000"/>
                <w:sz w:val="21"/>
                <w:szCs w:val="21"/>
              </w:rPr>
              <w:t>（烟酸）、维生素</w:t>
            </w:r>
            <w:r>
              <w:rPr>
                <w:color w:val="000000"/>
                <w:sz w:val="21"/>
                <w:szCs w:val="21"/>
              </w:rPr>
              <w:t>B3</w:t>
            </w:r>
            <w:r>
              <w:rPr>
                <w:rFonts w:hint="eastAsia"/>
                <w:color w:val="000000"/>
                <w:sz w:val="21"/>
                <w:szCs w:val="21"/>
              </w:rPr>
              <w:t>（烟酰胺）、维生素</w:t>
            </w:r>
            <w:r>
              <w:rPr>
                <w:color w:val="000000"/>
                <w:sz w:val="21"/>
                <w:szCs w:val="21"/>
              </w:rPr>
              <w:t>B5</w:t>
            </w:r>
            <w:r>
              <w:rPr>
                <w:rFonts w:hint="eastAsia"/>
                <w:color w:val="000000"/>
                <w:sz w:val="21"/>
                <w:szCs w:val="21"/>
              </w:rPr>
              <w:t>、维生素</w:t>
            </w:r>
            <w:r>
              <w:rPr>
                <w:color w:val="000000"/>
                <w:sz w:val="21"/>
                <w:szCs w:val="21"/>
              </w:rPr>
              <w:t>B6</w:t>
            </w:r>
            <w:r>
              <w:rPr>
                <w:rFonts w:hint="eastAsia"/>
                <w:color w:val="000000"/>
                <w:sz w:val="21"/>
                <w:szCs w:val="21"/>
              </w:rPr>
              <w:t>、维生素</w:t>
            </w:r>
            <w:r>
              <w:rPr>
                <w:color w:val="000000"/>
                <w:sz w:val="21"/>
                <w:szCs w:val="21"/>
              </w:rPr>
              <w:t>B7</w:t>
            </w:r>
            <w:r>
              <w:rPr>
                <w:rFonts w:hint="eastAsia"/>
                <w:color w:val="000000"/>
                <w:sz w:val="21"/>
                <w:szCs w:val="21"/>
              </w:rPr>
              <w:t>、维生素</w:t>
            </w:r>
            <w:r>
              <w:rPr>
                <w:color w:val="000000"/>
                <w:sz w:val="21"/>
                <w:szCs w:val="21"/>
              </w:rPr>
              <w:t>B9</w:t>
            </w:r>
            <w:r>
              <w:rPr>
                <w:rFonts w:hint="eastAsia"/>
                <w:color w:val="000000"/>
                <w:sz w:val="21"/>
                <w:szCs w:val="21"/>
              </w:rPr>
              <w:t>、维生素</w:t>
            </w:r>
            <w:r>
              <w:rPr>
                <w:color w:val="000000"/>
                <w:sz w:val="21"/>
                <w:szCs w:val="21"/>
              </w:rPr>
              <w:t>B12</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血清维生素测定（每种维生素）</w:t>
            </w:r>
            <w:r>
              <w:rPr>
                <w:color w:val="000000"/>
                <w:sz w:val="21"/>
                <w:szCs w:val="21"/>
              </w:rPr>
              <w:t>*8</w:t>
            </w:r>
            <w:r>
              <w:rPr>
                <w:rFonts w:hint="eastAsia"/>
                <w:color w:val="000000"/>
                <w:sz w:val="21"/>
                <w:szCs w:val="21"/>
              </w:rPr>
              <w:t>，叶酸测定</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25030900400*8</w:t>
            </w:r>
            <w:r>
              <w:rPr>
                <w:rFonts w:hint="eastAsia"/>
                <w:color w:val="000000"/>
                <w:sz w:val="21"/>
                <w:szCs w:val="21"/>
              </w:rPr>
              <w:t>，</w:t>
            </w:r>
            <w:r>
              <w:rPr>
                <w:color w:val="000000"/>
                <w:sz w:val="21"/>
                <w:szCs w:val="21"/>
              </w:rPr>
              <w:t>25030900300</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266</w:t>
            </w:r>
          </w:p>
        </w:tc>
      </w:tr>
      <w:tr>
        <w:tblPrEx>
          <w:tblCellMar>
            <w:top w:w="0" w:type="dxa"/>
            <w:left w:w="108" w:type="dxa"/>
            <w:bottom w:w="0" w:type="dxa"/>
            <w:right w:w="108" w:type="dxa"/>
          </w:tblCellMar>
        </w:tblPrEx>
        <w:trPr>
          <w:trHeight w:val="20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12</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全谱维生素</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高效液相色谱</w:t>
            </w:r>
            <w:r>
              <w:rPr>
                <w:color w:val="000000"/>
                <w:sz w:val="21"/>
                <w:szCs w:val="21"/>
              </w:rPr>
              <w:t>-</w:t>
            </w:r>
            <w:r>
              <w:rPr>
                <w:rFonts w:hint="eastAsia"/>
                <w:color w:val="000000"/>
                <w:sz w:val="21"/>
                <w:szCs w:val="21"/>
              </w:rPr>
              <w:t>串联质谱法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维生素</w:t>
            </w:r>
            <w:r>
              <w:rPr>
                <w:color w:val="000000"/>
                <w:sz w:val="21"/>
                <w:szCs w:val="21"/>
              </w:rPr>
              <w:t>A</w:t>
            </w:r>
            <w:r>
              <w:rPr>
                <w:rFonts w:hint="eastAsia"/>
                <w:color w:val="000000"/>
                <w:sz w:val="21"/>
                <w:szCs w:val="21"/>
              </w:rPr>
              <w:t>（视黄醇</w:t>
            </w:r>
            <w:r>
              <w:rPr>
                <w:color w:val="000000"/>
                <w:sz w:val="21"/>
                <w:szCs w:val="21"/>
              </w:rPr>
              <w:t>/</w:t>
            </w:r>
            <w:r>
              <w:rPr>
                <w:rFonts w:hint="eastAsia"/>
                <w:color w:val="000000"/>
                <w:sz w:val="21"/>
                <w:szCs w:val="21"/>
              </w:rPr>
              <w:t>醛、类胡萝卜素）、维生素</w:t>
            </w:r>
            <w:r>
              <w:rPr>
                <w:color w:val="000000"/>
                <w:sz w:val="21"/>
                <w:szCs w:val="21"/>
              </w:rPr>
              <w:t>B2</w:t>
            </w:r>
            <w:r>
              <w:rPr>
                <w:rFonts w:hint="eastAsia"/>
                <w:color w:val="000000"/>
                <w:sz w:val="21"/>
                <w:szCs w:val="21"/>
              </w:rPr>
              <w:t>（核黄素）、维生素</w:t>
            </w:r>
            <w:r>
              <w:rPr>
                <w:color w:val="000000"/>
                <w:sz w:val="21"/>
                <w:szCs w:val="21"/>
              </w:rPr>
              <w:t>B9</w:t>
            </w:r>
            <w:r>
              <w:rPr>
                <w:rFonts w:hint="eastAsia"/>
                <w:color w:val="000000"/>
                <w:sz w:val="21"/>
                <w:szCs w:val="21"/>
              </w:rPr>
              <w:t>（叶酸）、维生素</w:t>
            </w:r>
            <w:r>
              <w:rPr>
                <w:color w:val="000000"/>
                <w:sz w:val="21"/>
                <w:szCs w:val="21"/>
              </w:rPr>
              <w:t>D</w:t>
            </w:r>
            <w:r>
              <w:rPr>
                <w:rFonts w:hint="eastAsia"/>
                <w:color w:val="000000"/>
                <w:sz w:val="21"/>
                <w:szCs w:val="21"/>
              </w:rPr>
              <w:t>（钙化醇）、维生素</w:t>
            </w:r>
            <w:r>
              <w:rPr>
                <w:color w:val="000000"/>
                <w:sz w:val="21"/>
                <w:szCs w:val="21"/>
              </w:rPr>
              <w:t>K</w:t>
            </w:r>
            <w:r>
              <w:rPr>
                <w:rFonts w:hint="eastAsia"/>
                <w:color w:val="000000"/>
                <w:sz w:val="21"/>
                <w:szCs w:val="21"/>
              </w:rPr>
              <w:t>（叶绿醌）、维生素</w:t>
            </w:r>
            <w:r>
              <w:rPr>
                <w:color w:val="000000"/>
                <w:sz w:val="21"/>
                <w:szCs w:val="21"/>
              </w:rPr>
              <w:t>E</w:t>
            </w:r>
            <w:r>
              <w:rPr>
                <w:rFonts w:hint="eastAsia"/>
                <w:color w:val="000000"/>
                <w:sz w:val="21"/>
                <w:szCs w:val="21"/>
              </w:rPr>
              <w:t>（生育酚）</w:t>
            </w:r>
            <w:r>
              <w:rPr>
                <w:color w:val="000000"/>
                <w:sz w:val="21"/>
                <w:szCs w:val="21"/>
              </w:rPr>
              <w:br w:type="textWrapping"/>
            </w:r>
            <w:r>
              <w:rPr>
                <w:rFonts w:hint="eastAsia"/>
                <w:color w:val="000000"/>
                <w:sz w:val="21"/>
                <w:szCs w:val="21"/>
              </w:rPr>
              <w:t>、维生素</w:t>
            </w:r>
            <w:r>
              <w:rPr>
                <w:color w:val="000000"/>
                <w:sz w:val="21"/>
                <w:szCs w:val="21"/>
              </w:rPr>
              <w:t>B12</w:t>
            </w:r>
            <w:r>
              <w:rPr>
                <w:rFonts w:hint="eastAsia"/>
                <w:color w:val="000000"/>
                <w:sz w:val="21"/>
                <w:szCs w:val="21"/>
              </w:rPr>
              <w:t>（钴胺素）、维生素</w:t>
            </w:r>
            <w:r>
              <w:rPr>
                <w:color w:val="000000"/>
                <w:sz w:val="21"/>
                <w:szCs w:val="21"/>
              </w:rPr>
              <w:t>B1</w:t>
            </w:r>
            <w:r>
              <w:rPr>
                <w:rFonts w:hint="eastAsia"/>
                <w:color w:val="000000"/>
                <w:sz w:val="21"/>
                <w:szCs w:val="21"/>
              </w:rPr>
              <w:t>（硫胺素）、维生素</w:t>
            </w:r>
            <w:r>
              <w:rPr>
                <w:color w:val="000000"/>
                <w:sz w:val="21"/>
                <w:szCs w:val="21"/>
              </w:rPr>
              <w:t>B3</w:t>
            </w:r>
            <w:r>
              <w:rPr>
                <w:rFonts w:hint="eastAsia"/>
                <w:color w:val="000000"/>
                <w:sz w:val="21"/>
                <w:szCs w:val="21"/>
              </w:rPr>
              <w:t>（烟酸）、维生素</w:t>
            </w:r>
            <w:r>
              <w:rPr>
                <w:color w:val="000000"/>
                <w:sz w:val="21"/>
                <w:szCs w:val="21"/>
              </w:rPr>
              <w:t>B5</w:t>
            </w:r>
            <w:r>
              <w:rPr>
                <w:rFonts w:hint="eastAsia"/>
                <w:color w:val="000000"/>
                <w:sz w:val="21"/>
                <w:szCs w:val="21"/>
              </w:rPr>
              <w:t>（泛酸）、维生素</w:t>
            </w:r>
            <w:r>
              <w:rPr>
                <w:color w:val="000000"/>
                <w:sz w:val="21"/>
                <w:szCs w:val="21"/>
              </w:rPr>
              <w:t>B6</w:t>
            </w:r>
            <w:r>
              <w:rPr>
                <w:rFonts w:hint="eastAsia"/>
                <w:color w:val="000000"/>
                <w:sz w:val="21"/>
                <w:szCs w:val="21"/>
              </w:rPr>
              <w:t>（吡哆醇）、维生素</w:t>
            </w:r>
            <w:r>
              <w:rPr>
                <w:color w:val="000000"/>
                <w:sz w:val="21"/>
                <w:szCs w:val="21"/>
              </w:rPr>
              <w:t>B7</w:t>
            </w:r>
            <w:r>
              <w:rPr>
                <w:rFonts w:hint="eastAsia"/>
                <w:color w:val="000000"/>
                <w:sz w:val="21"/>
                <w:szCs w:val="21"/>
              </w:rPr>
              <w:t>（生物素）、维生素</w:t>
            </w:r>
            <w:r>
              <w:rPr>
                <w:color w:val="000000"/>
                <w:sz w:val="21"/>
                <w:szCs w:val="21"/>
              </w:rPr>
              <w:t>C</w:t>
            </w:r>
            <w:r>
              <w:rPr>
                <w:rFonts w:hint="eastAsia"/>
                <w:color w:val="000000"/>
                <w:sz w:val="21"/>
                <w:szCs w:val="21"/>
              </w:rPr>
              <w:t>（抗坏血酸）</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w:t>
            </w:r>
            <w:r>
              <w:rPr>
                <w:rFonts w:hint="eastAsia"/>
                <w:color w:val="000000"/>
                <w:sz w:val="21"/>
                <w:szCs w:val="21"/>
              </w:rPr>
              <w:t>羟维生素</w:t>
            </w:r>
            <w:r>
              <w:rPr>
                <w:color w:val="000000"/>
                <w:sz w:val="21"/>
                <w:szCs w:val="21"/>
              </w:rPr>
              <w:t>D</w:t>
            </w:r>
            <w:r>
              <w:rPr>
                <w:rFonts w:hint="eastAsia"/>
                <w:color w:val="000000"/>
                <w:sz w:val="21"/>
                <w:szCs w:val="21"/>
              </w:rPr>
              <w:t>测定</w:t>
            </w:r>
            <w:r>
              <w:rPr>
                <w:color w:val="000000"/>
                <w:sz w:val="21"/>
                <w:szCs w:val="21"/>
              </w:rPr>
              <w:t>*3</w:t>
            </w:r>
            <w:r>
              <w:rPr>
                <w:rFonts w:hint="eastAsia"/>
                <w:color w:val="000000"/>
                <w:sz w:val="21"/>
                <w:szCs w:val="21"/>
              </w:rPr>
              <w:t>，血清维生素测定（每种维生素）</w:t>
            </w:r>
            <w:r>
              <w:rPr>
                <w:color w:val="000000"/>
                <w:sz w:val="21"/>
                <w:szCs w:val="21"/>
              </w:rPr>
              <w:t>*11</w:t>
            </w:r>
            <w:r>
              <w:rPr>
                <w:rFonts w:hint="eastAsia"/>
                <w:color w:val="000000"/>
                <w:sz w:val="21"/>
                <w:szCs w:val="21"/>
              </w:rPr>
              <w:t>，叶酸测定</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25030900100*3</w:t>
            </w:r>
            <w:r>
              <w:rPr>
                <w:rFonts w:hint="eastAsia"/>
                <w:color w:val="000000"/>
                <w:sz w:val="21"/>
                <w:szCs w:val="21"/>
              </w:rPr>
              <w:t>，</w:t>
            </w:r>
            <w:r>
              <w:rPr>
                <w:color w:val="000000"/>
                <w:sz w:val="21"/>
                <w:szCs w:val="21"/>
              </w:rPr>
              <w:t>25030900400*11</w:t>
            </w:r>
            <w:r>
              <w:rPr>
                <w:rFonts w:hint="eastAsia"/>
                <w:color w:val="000000"/>
                <w:sz w:val="21"/>
                <w:szCs w:val="21"/>
              </w:rPr>
              <w:t>，</w:t>
            </w:r>
            <w:r>
              <w:rPr>
                <w:color w:val="000000"/>
                <w:sz w:val="21"/>
                <w:szCs w:val="21"/>
              </w:rPr>
              <w:t>25030900300</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570</w:t>
            </w:r>
          </w:p>
        </w:tc>
      </w:tr>
      <w:tr>
        <w:tblPrEx>
          <w:tblCellMar>
            <w:top w:w="0" w:type="dxa"/>
            <w:left w:w="108" w:type="dxa"/>
            <w:bottom w:w="0" w:type="dxa"/>
            <w:right w:w="108" w:type="dxa"/>
          </w:tblCellMar>
        </w:tblPrEx>
        <w:trPr>
          <w:trHeight w:val="135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13</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呼吸道病原体核酸检测项目（</w:t>
            </w:r>
            <w:r>
              <w:rPr>
                <w:color w:val="000000"/>
                <w:sz w:val="21"/>
                <w:szCs w:val="21"/>
              </w:rPr>
              <w:t>11</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PCR-</w:t>
            </w:r>
            <w:r>
              <w:rPr>
                <w:rFonts w:hint="eastAsia"/>
                <w:color w:val="000000"/>
                <w:sz w:val="21"/>
                <w:szCs w:val="21"/>
              </w:rPr>
              <w:t>量子点荧光法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相同技术方法下，一次性、同时对痰液中金黄色葡萄球菌、铜绿假单胞菌、鲍曼不动杆菌、大肠杆菌、流感嗜血杆菌、嗜麦芽窄食单胞菌、肺炎链球菌、化脓链球菌、阴沟肠杆菌、肺炎克雷伯菌、卡他莫拉菌的定性检测，检测结果出具在同一张报告单上</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其他各类病原体</w:t>
            </w:r>
            <w:r>
              <w:rPr>
                <w:color w:val="000000"/>
                <w:sz w:val="21"/>
                <w:szCs w:val="21"/>
              </w:rPr>
              <w:t>DNA</w:t>
            </w:r>
            <w:r>
              <w:rPr>
                <w:rFonts w:hint="eastAsia"/>
                <w:color w:val="000000"/>
                <w:sz w:val="21"/>
                <w:szCs w:val="21"/>
              </w:rPr>
              <w:t>测定</w:t>
            </w:r>
            <w:r>
              <w:rPr>
                <w:color w:val="000000"/>
                <w:sz w:val="21"/>
                <w:szCs w:val="21"/>
              </w:rPr>
              <w:t>*7</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25040306500*7</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350</w:t>
            </w:r>
          </w:p>
        </w:tc>
      </w:tr>
      <w:tr>
        <w:tblPrEx>
          <w:tblCellMar>
            <w:top w:w="0" w:type="dxa"/>
            <w:left w:w="108" w:type="dxa"/>
            <w:bottom w:w="0" w:type="dxa"/>
            <w:right w:w="108" w:type="dxa"/>
          </w:tblCellMar>
        </w:tblPrEx>
        <w:trPr>
          <w:trHeight w:val="23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14</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呼吸道病原体核酸检测项目（</w:t>
            </w:r>
            <w:r>
              <w:rPr>
                <w:color w:val="000000"/>
                <w:sz w:val="21"/>
                <w:szCs w:val="21"/>
              </w:rPr>
              <w:t>23</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PCR-</w:t>
            </w:r>
            <w:r>
              <w:rPr>
                <w:rFonts w:hint="eastAsia"/>
                <w:color w:val="000000"/>
                <w:sz w:val="21"/>
                <w:szCs w:val="21"/>
              </w:rPr>
              <w:t>量子点荧光法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相同技术方法下，一次性、同时对咽拭子中甲型流感病毒、甲流</w:t>
            </w:r>
            <w:r>
              <w:rPr>
                <w:color w:val="000000"/>
                <w:sz w:val="21"/>
                <w:szCs w:val="21"/>
              </w:rPr>
              <w:t>H1N1(2009)</w:t>
            </w:r>
            <w:r>
              <w:rPr>
                <w:rFonts w:hint="eastAsia"/>
                <w:color w:val="000000"/>
                <w:sz w:val="21"/>
                <w:szCs w:val="21"/>
              </w:rPr>
              <w:t>、甲流</w:t>
            </w:r>
            <w:r>
              <w:rPr>
                <w:color w:val="000000"/>
                <w:sz w:val="21"/>
                <w:szCs w:val="21"/>
              </w:rPr>
              <w:t>H3N2</w:t>
            </w:r>
            <w:r>
              <w:rPr>
                <w:rFonts w:hint="eastAsia"/>
                <w:color w:val="000000"/>
                <w:sz w:val="21"/>
                <w:szCs w:val="21"/>
              </w:rPr>
              <w:t>、乙型流感病毒、副流感病毒（</w:t>
            </w:r>
            <w:r>
              <w:rPr>
                <w:color w:val="000000"/>
                <w:sz w:val="21"/>
                <w:szCs w:val="21"/>
              </w:rPr>
              <w:t>1,2,3,</w:t>
            </w:r>
            <w:r>
              <w:rPr>
                <w:rFonts w:hint="eastAsia"/>
                <w:color w:val="000000"/>
                <w:sz w:val="21"/>
                <w:szCs w:val="21"/>
              </w:rPr>
              <w:t>亚型）、人偏肺病毒、呼吸道合胞病毒（</w:t>
            </w:r>
            <w:r>
              <w:rPr>
                <w:color w:val="000000"/>
                <w:sz w:val="21"/>
                <w:szCs w:val="21"/>
              </w:rPr>
              <w:t>A</w:t>
            </w:r>
            <w:r>
              <w:rPr>
                <w:rFonts w:hint="eastAsia"/>
                <w:color w:val="000000"/>
                <w:sz w:val="21"/>
                <w:szCs w:val="21"/>
              </w:rPr>
              <w:t>、</w:t>
            </w:r>
            <w:r>
              <w:rPr>
                <w:color w:val="000000"/>
                <w:sz w:val="21"/>
                <w:szCs w:val="21"/>
              </w:rPr>
              <w:t>B</w:t>
            </w:r>
            <w:r>
              <w:rPr>
                <w:rFonts w:hint="eastAsia"/>
                <w:color w:val="000000"/>
                <w:sz w:val="21"/>
                <w:szCs w:val="21"/>
              </w:rPr>
              <w:t>型）、冠状病毒（</w:t>
            </w:r>
            <w:r>
              <w:rPr>
                <w:color w:val="000000"/>
                <w:sz w:val="21"/>
                <w:szCs w:val="21"/>
              </w:rPr>
              <w:t>229E</w:t>
            </w:r>
            <w:r>
              <w:rPr>
                <w:rFonts w:hint="eastAsia"/>
                <w:color w:val="000000"/>
                <w:sz w:val="21"/>
                <w:szCs w:val="21"/>
              </w:rPr>
              <w:t>、</w:t>
            </w:r>
            <w:r>
              <w:rPr>
                <w:color w:val="000000"/>
                <w:sz w:val="21"/>
                <w:szCs w:val="21"/>
              </w:rPr>
              <w:t>NL63</w:t>
            </w:r>
            <w:r>
              <w:rPr>
                <w:rFonts w:hint="eastAsia"/>
                <w:color w:val="000000"/>
                <w:sz w:val="21"/>
                <w:szCs w:val="21"/>
              </w:rPr>
              <w:t>、</w:t>
            </w:r>
            <w:r>
              <w:rPr>
                <w:color w:val="000000"/>
                <w:sz w:val="21"/>
                <w:szCs w:val="21"/>
              </w:rPr>
              <w:t>HKU1</w:t>
            </w:r>
            <w:r>
              <w:rPr>
                <w:rFonts w:hint="eastAsia"/>
                <w:color w:val="000000"/>
                <w:sz w:val="21"/>
                <w:szCs w:val="21"/>
              </w:rPr>
              <w:t>、</w:t>
            </w:r>
            <w:r>
              <w:rPr>
                <w:color w:val="000000"/>
                <w:sz w:val="21"/>
                <w:szCs w:val="21"/>
              </w:rPr>
              <w:t>OC43</w:t>
            </w:r>
            <w:r>
              <w:rPr>
                <w:rFonts w:hint="eastAsia"/>
                <w:color w:val="000000"/>
                <w:sz w:val="21"/>
                <w:szCs w:val="21"/>
              </w:rPr>
              <w:t>）、鼻病毒、博卡病毒、腺病毒（</w:t>
            </w:r>
            <w:r>
              <w:rPr>
                <w:color w:val="000000"/>
                <w:sz w:val="21"/>
                <w:szCs w:val="21"/>
              </w:rPr>
              <w:t>B</w:t>
            </w:r>
            <w:r>
              <w:rPr>
                <w:rFonts w:hint="eastAsia"/>
                <w:color w:val="000000"/>
                <w:sz w:val="21"/>
                <w:szCs w:val="21"/>
              </w:rPr>
              <w:t>、</w:t>
            </w:r>
            <w:r>
              <w:rPr>
                <w:color w:val="000000"/>
                <w:sz w:val="21"/>
                <w:szCs w:val="21"/>
              </w:rPr>
              <w:t>C</w:t>
            </w:r>
            <w:r>
              <w:rPr>
                <w:rFonts w:hint="eastAsia"/>
                <w:color w:val="000000"/>
                <w:sz w:val="21"/>
                <w:szCs w:val="21"/>
              </w:rPr>
              <w:t>、</w:t>
            </w:r>
            <w:r>
              <w:rPr>
                <w:color w:val="000000"/>
                <w:sz w:val="21"/>
                <w:szCs w:val="21"/>
              </w:rPr>
              <w:t>E</w:t>
            </w:r>
            <w:r>
              <w:rPr>
                <w:rFonts w:hint="eastAsia"/>
                <w:color w:val="000000"/>
                <w:sz w:val="21"/>
                <w:szCs w:val="21"/>
              </w:rPr>
              <w:t>型）、肺炎支原体、肺炎衣原体、嗜肺军团菌、百日咳博德特氏菌、新型冠状病毒（</w:t>
            </w:r>
            <w:r>
              <w:rPr>
                <w:color w:val="000000"/>
                <w:sz w:val="21"/>
                <w:szCs w:val="21"/>
              </w:rPr>
              <w:t>SARS-COV-2</w:t>
            </w:r>
            <w:r>
              <w:rPr>
                <w:rFonts w:hint="eastAsia"/>
                <w:color w:val="000000"/>
                <w:sz w:val="21"/>
                <w:szCs w:val="21"/>
              </w:rPr>
              <w:t>）的定性检测，检测结果出具在同一张报告单上</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其他各类病原体</w:t>
            </w:r>
            <w:r>
              <w:rPr>
                <w:color w:val="000000"/>
                <w:sz w:val="21"/>
                <w:szCs w:val="21"/>
              </w:rPr>
              <w:t>DNA</w:t>
            </w:r>
            <w:r>
              <w:rPr>
                <w:rFonts w:hint="eastAsia"/>
                <w:color w:val="000000"/>
                <w:sz w:val="21"/>
                <w:szCs w:val="21"/>
              </w:rPr>
              <w:t>测定</w:t>
            </w:r>
            <w:r>
              <w:rPr>
                <w:color w:val="000000"/>
                <w:sz w:val="21"/>
                <w:szCs w:val="21"/>
              </w:rPr>
              <w:t>*7</w:t>
            </w:r>
            <w:r>
              <w:rPr>
                <w:rFonts w:hint="eastAsia"/>
                <w:color w:val="000000"/>
                <w:sz w:val="21"/>
                <w:szCs w:val="21"/>
              </w:rPr>
              <w:t>，各类病原体核糖核酸</w:t>
            </w:r>
            <w:r>
              <w:rPr>
                <w:color w:val="000000"/>
                <w:sz w:val="21"/>
                <w:szCs w:val="21"/>
              </w:rPr>
              <w:t>(RNA)</w:t>
            </w:r>
            <w:r>
              <w:rPr>
                <w:rFonts w:hint="eastAsia"/>
                <w:color w:val="000000"/>
                <w:sz w:val="21"/>
                <w:szCs w:val="21"/>
              </w:rPr>
              <w:t>检测</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25040306500*7</w:t>
            </w:r>
            <w:r>
              <w:rPr>
                <w:rFonts w:hint="eastAsia"/>
                <w:color w:val="000000"/>
                <w:sz w:val="21"/>
                <w:szCs w:val="21"/>
              </w:rPr>
              <w:t>，</w:t>
            </w:r>
            <w:r>
              <w:rPr>
                <w:color w:val="000000"/>
                <w:sz w:val="21"/>
                <w:szCs w:val="21"/>
              </w:rPr>
              <w:t>25070001201</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461</w:t>
            </w:r>
          </w:p>
        </w:tc>
      </w:tr>
      <w:tr>
        <w:tblPrEx>
          <w:tblCellMar>
            <w:top w:w="0" w:type="dxa"/>
            <w:left w:w="108" w:type="dxa"/>
            <w:bottom w:w="0" w:type="dxa"/>
            <w:right w:w="108" w:type="dxa"/>
          </w:tblCellMar>
        </w:tblPrEx>
        <w:trPr>
          <w:trHeight w:val="8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15</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肺炎支原体核酸及耐药突变位点检测</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PCR</w:t>
            </w:r>
            <w:r>
              <w:rPr>
                <w:rFonts w:hint="eastAsia"/>
                <w:color w:val="000000"/>
                <w:sz w:val="21"/>
                <w:szCs w:val="21"/>
              </w:rPr>
              <w:t>荧光探针法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咽拭子、痰液及肺泡灌洗液等样本中肺炎支原体及其抗大环内酯类抗生素耐药突变位点</w:t>
            </w:r>
            <w:r>
              <w:rPr>
                <w:color w:val="000000"/>
                <w:sz w:val="21"/>
                <w:szCs w:val="21"/>
              </w:rPr>
              <w:t>23S rRNA 2063(A:G)</w:t>
            </w:r>
            <w:r>
              <w:rPr>
                <w:rFonts w:hint="eastAsia"/>
                <w:color w:val="000000"/>
                <w:sz w:val="21"/>
                <w:szCs w:val="21"/>
              </w:rPr>
              <w:t>和</w:t>
            </w:r>
            <w:r>
              <w:rPr>
                <w:color w:val="000000"/>
                <w:sz w:val="21"/>
                <w:szCs w:val="21"/>
              </w:rPr>
              <w:t>2064(A:G)</w:t>
            </w:r>
            <w:r>
              <w:rPr>
                <w:rFonts w:hint="eastAsia"/>
                <w:color w:val="000000"/>
                <w:sz w:val="21"/>
                <w:szCs w:val="21"/>
              </w:rPr>
              <w:t>突变位点的定性检测</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其他各类病原体</w:t>
            </w:r>
            <w:r>
              <w:rPr>
                <w:color w:val="000000"/>
                <w:sz w:val="21"/>
                <w:szCs w:val="21"/>
              </w:rPr>
              <w:t>DNA</w:t>
            </w:r>
            <w:r>
              <w:rPr>
                <w:rFonts w:hint="eastAsia"/>
                <w:color w:val="000000"/>
                <w:sz w:val="21"/>
                <w:szCs w:val="21"/>
              </w:rPr>
              <w:t>测定</w:t>
            </w:r>
            <w:r>
              <w:rPr>
                <w:color w:val="000000"/>
                <w:sz w:val="21"/>
                <w:szCs w:val="21"/>
              </w:rPr>
              <w:t>*3</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25040306500*3</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150</w:t>
            </w:r>
          </w:p>
        </w:tc>
      </w:tr>
      <w:tr>
        <w:tblPrEx>
          <w:tblCellMar>
            <w:top w:w="0" w:type="dxa"/>
            <w:left w:w="108" w:type="dxa"/>
            <w:bottom w:w="0" w:type="dxa"/>
            <w:right w:w="108" w:type="dxa"/>
          </w:tblCellMar>
        </w:tblPrEx>
        <w:trPr>
          <w:trHeight w:val="20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16</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肠道致病菌核酸检测项目（</w:t>
            </w:r>
            <w:r>
              <w:rPr>
                <w:color w:val="000000"/>
                <w:sz w:val="21"/>
                <w:szCs w:val="21"/>
              </w:rPr>
              <w:t>14</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PCR-</w:t>
            </w:r>
            <w:r>
              <w:rPr>
                <w:rFonts w:hint="eastAsia"/>
                <w:color w:val="000000"/>
                <w:sz w:val="21"/>
                <w:szCs w:val="21"/>
              </w:rPr>
              <w:t>量子点荧光法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相同技术方法下，一次性、同时对人粪便中弧菌（副溶血弧菌</w:t>
            </w:r>
            <w:r>
              <w:rPr>
                <w:color w:val="000000"/>
                <w:sz w:val="21"/>
                <w:szCs w:val="21"/>
              </w:rPr>
              <w:t>/</w:t>
            </w:r>
            <w:r>
              <w:rPr>
                <w:rFonts w:hint="eastAsia"/>
                <w:color w:val="000000"/>
                <w:sz w:val="21"/>
                <w:szCs w:val="21"/>
              </w:rPr>
              <w:t>霍乱弧菌）、沙门氏菌、艰难梭菌、小肠结肠炎耶尔森菌、志贺氏菌</w:t>
            </w:r>
            <w:r>
              <w:rPr>
                <w:color w:val="000000"/>
                <w:sz w:val="21"/>
                <w:szCs w:val="21"/>
              </w:rPr>
              <w:t>/</w:t>
            </w:r>
            <w:r>
              <w:rPr>
                <w:rFonts w:hint="eastAsia"/>
                <w:color w:val="000000"/>
                <w:sz w:val="21"/>
                <w:szCs w:val="21"/>
              </w:rPr>
              <w:t>肠侵袭性大肠杆菌、金黄色葡萄球菌、空肠弯曲菌、嗜水气单胞菌、致泻性大肠杆菌（肠聚集性大肠杆菌</w:t>
            </w:r>
            <w:r>
              <w:rPr>
                <w:color w:val="000000"/>
                <w:sz w:val="21"/>
                <w:szCs w:val="21"/>
              </w:rPr>
              <w:t>/</w:t>
            </w:r>
            <w:r>
              <w:rPr>
                <w:rFonts w:hint="eastAsia"/>
                <w:color w:val="000000"/>
                <w:sz w:val="21"/>
                <w:szCs w:val="21"/>
              </w:rPr>
              <w:t>肠致病性大肠杆菌</w:t>
            </w:r>
            <w:r>
              <w:rPr>
                <w:color w:val="000000"/>
                <w:sz w:val="21"/>
                <w:szCs w:val="21"/>
              </w:rPr>
              <w:t>/</w:t>
            </w:r>
            <w:r>
              <w:rPr>
                <w:rFonts w:hint="eastAsia"/>
                <w:color w:val="000000"/>
                <w:sz w:val="21"/>
                <w:szCs w:val="21"/>
              </w:rPr>
              <w:t>肠产毒性大肠杆菌</w:t>
            </w:r>
            <w:r>
              <w:rPr>
                <w:color w:val="000000"/>
                <w:sz w:val="21"/>
                <w:szCs w:val="21"/>
              </w:rPr>
              <w:t>/</w:t>
            </w:r>
            <w:r>
              <w:rPr>
                <w:rFonts w:hint="eastAsia"/>
                <w:color w:val="000000"/>
                <w:sz w:val="21"/>
                <w:szCs w:val="21"/>
              </w:rPr>
              <w:t>产志贺毒素大肠杆菌</w:t>
            </w:r>
            <w:r>
              <w:rPr>
                <w:color w:val="000000"/>
                <w:sz w:val="21"/>
                <w:szCs w:val="21"/>
              </w:rPr>
              <w:t>/</w:t>
            </w:r>
            <w:r>
              <w:rPr>
                <w:rFonts w:hint="eastAsia"/>
                <w:color w:val="000000"/>
                <w:sz w:val="21"/>
                <w:szCs w:val="21"/>
              </w:rPr>
              <w:t>肠出血性大肠杆菌）的定性检测，检测结果出具在同一张报告单上</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其他各类病原体</w:t>
            </w:r>
            <w:r>
              <w:rPr>
                <w:color w:val="000000"/>
                <w:sz w:val="21"/>
                <w:szCs w:val="21"/>
              </w:rPr>
              <w:t>DNA</w:t>
            </w:r>
            <w:r>
              <w:rPr>
                <w:rFonts w:hint="eastAsia"/>
                <w:color w:val="000000"/>
                <w:sz w:val="21"/>
                <w:szCs w:val="21"/>
              </w:rPr>
              <w:t>测定</w:t>
            </w:r>
            <w:r>
              <w:rPr>
                <w:color w:val="000000"/>
                <w:sz w:val="21"/>
                <w:szCs w:val="21"/>
              </w:rPr>
              <w:t>*7</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25040306500*7</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350</w:t>
            </w:r>
          </w:p>
        </w:tc>
      </w:tr>
      <w:tr>
        <w:tblPrEx>
          <w:tblCellMar>
            <w:top w:w="0" w:type="dxa"/>
            <w:left w:w="108" w:type="dxa"/>
            <w:bottom w:w="0" w:type="dxa"/>
            <w:right w:w="108" w:type="dxa"/>
          </w:tblCellMar>
        </w:tblPrEx>
        <w:trPr>
          <w:trHeight w:val="6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17</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幽门螺旋杆菌抗体谱检测项目</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蛋白芯片</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体外定性检测人血清中的幽门螺杆菌</w:t>
            </w:r>
            <w:r>
              <w:rPr>
                <w:color w:val="000000"/>
                <w:sz w:val="21"/>
                <w:szCs w:val="21"/>
              </w:rPr>
              <w:t>IgG</w:t>
            </w:r>
            <w:r>
              <w:rPr>
                <w:rFonts w:hint="eastAsia"/>
                <w:color w:val="000000"/>
                <w:sz w:val="21"/>
                <w:szCs w:val="21"/>
              </w:rPr>
              <w:t>抗体（</w:t>
            </w:r>
            <w:r>
              <w:rPr>
                <w:color w:val="000000"/>
                <w:sz w:val="21"/>
                <w:szCs w:val="21"/>
              </w:rPr>
              <w:t>CagA</w:t>
            </w:r>
            <w:r>
              <w:rPr>
                <w:rFonts w:hint="eastAsia"/>
                <w:color w:val="000000"/>
                <w:sz w:val="21"/>
                <w:szCs w:val="21"/>
              </w:rPr>
              <w:t>、</w:t>
            </w:r>
            <w:r>
              <w:rPr>
                <w:color w:val="000000"/>
                <w:sz w:val="21"/>
                <w:szCs w:val="21"/>
              </w:rPr>
              <w:t>VacA</w:t>
            </w:r>
            <w:r>
              <w:rPr>
                <w:rFonts w:hint="eastAsia"/>
                <w:color w:val="000000"/>
                <w:sz w:val="21"/>
                <w:szCs w:val="21"/>
              </w:rPr>
              <w:t>、</w:t>
            </w:r>
            <w:r>
              <w:rPr>
                <w:color w:val="000000"/>
                <w:sz w:val="21"/>
                <w:szCs w:val="21"/>
              </w:rPr>
              <w:t>Ure</w:t>
            </w:r>
            <w:r>
              <w:rPr>
                <w:rFonts w:hint="eastAsia"/>
                <w:color w:val="000000"/>
                <w:sz w:val="21"/>
                <w:szCs w:val="21"/>
              </w:rPr>
              <w:t>）</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幽门螺杆菌抗体测定</w:t>
            </w:r>
            <w:r>
              <w:rPr>
                <w:color w:val="000000"/>
                <w:sz w:val="21"/>
                <w:szCs w:val="21"/>
              </w:rPr>
              <w:t>+</w:t>
            </w:r>
            <w:r>
              <w:rPr>
                <w:rFonts w:hint="eastAsia"/>
                <w:color w:val="000000"/>
                <w:sz w:val="21"/>
                <w:szCs w:val="21"/>
              </w:rPr>
              <w:t>抗体分型</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25040304206</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80</w:t>
            </w:r>
          </w:p>
        </w:tc>
      </w:tr>
      <w:tr>
        <w:tblPrEx>
          <w:tblCellMar>
            <w:top w:w="0" w:type="dxa"/>
            <w:left w:w="108" w:type="dxa"/>
            <w:bottom w:w="0" w:type="dxa"/>
            <w:right w:w="108" w:type="dxa"/>
          </w:tblCellMar>
        </w:tblPrEx>
        <w:trPr>
          <w:trHeight w:val="143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18</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儿茶酚胺</w:t>
            </w:r>
            <w:r>
              <w:rPr>
                <w:color w:val="000000"/>
                <w:sz w:val="21"/>
                <w:szCs w:val="21"/>
              </w:rPr>
              <w:br w:type="textWrapping"/>
            </w:r>
            <w:r>
              <w:rPr>
                <w:color w:val="000000"/>
                <w:sz w:val="21"/>
                <w:szCs w:val="21"/>
              </w:rPr>
              <w:t>5</w:t>
            </w:r>
            <w:r>
              <w:rPr>
                <w:rFonts w:hint="eastAsia"/>
                <w:color w:val="000000"/>
                <w:sz w:val="21"/>
                <w:szCs w:val="21"/>
              </w:rPr>
              <w:t>项</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高效液相色谱</w:t>
            </w:r>
            <w:r>
              <w:rPr>
                <w:color w:val="000000"/>
                <w:sz w:val="21"/>
                <w:szCs w:val="21"/>
              </w:rPr>
              <w:t>-</w:t>
            </w:r>
            <w:r>
              <w:rPr>
                <w:rFonts w:hint="eastAsia"/>
                <w:color w:val="000000"/>
                <w:sz w:val="21"/>
                <w:szCs w:val="21"/>
              </w:rPr>
              <w:t>串联质谱法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rFonts w:hint="eastAsia"/>
                <w:color w:val="000000"/>
                <w:sz w:val="21"/>
                <w:szCs w:val="21"/>
              </w:rPr>
              <w:t>肾上腺素、去甲肾上腺素、</w:t>
            </w:r>
            <w:r>
              <w:rPr>
                <w:color w:val="000000"/>
                <w:sz w:val="21"/>
                <w:szCs w:val="21"/>
              </w:rPr>
              <w:t>3-</w:t>
            </w:r>
            <w:r>
              <w:rPr>
                <w:rFonts w:hint="eastAsia"/>
                <w:color w:val="000000"/>
                <w:sz w:val="21"/>
                <w:szCs w:val="21"/>
              </w:rPr>
              <w:t>甲基肾上腺素、</w:t>
            </w:r>
            <w:r>
              <w:rPr>
                <w:color w:val="000000"/>
                <w:sz w:val="21"/>
                <w:szCs w:val="21"/>
              </w:rPr>
              <w:t>3-</w:t>
            </w:r>
            <w:r>
              <w:rPr>
                <w:rFonts w:hint="eastAsia"/>
                <w:color w:val="000000"/>
                <w:sz w:val="21"/>
                <w:szCs w:val="21"/>
              </w:rPr>
              <w:t>甲基去甲肾上腺素、多巴胺</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肾上腺素测定</w:t>
            </w:r>
            <w:r>
              <w:rPr>
                <w:color w:val="000000"/>
                <w:sz w:val="21"/>
                <w:szCs w:val="21"/>
              </w:rPr>
              <w:t>*2</w:t>
            </w:r>
            <w:r>
              <w:rPr>
                <w:color w:val="000000"/>
                <w:sz w:val="21"/>
                <w:szCs w:val="21"/>
              </w:rPr>
              <w:br w:type="textWrapping"/>
            </w:r>
            <w:r>
              <w:rPr>
                <w:rFonts w:hint="eastAsia"/>
                <w:color w:val="000000"/>
                <w:sz w:val="21"/>
                <w:szCs w:val="21"/>
              </w:rPr>
              <w:t>去甲肾上腺素测定</w:t>
            </w:r>
            <w:r>
              <w:rPr>
                <w:color w:val="000000"/>
                <w:sz w:val="21"/>
                <w:szCs w:val="21"/>
              </w:rPr>
              <w:t>*2</w:t>
            </w:r>
            <w:r>
              <w:rPr>
                <w:color w:val="000000"/>
                <w:sz w:val="21"/>
                <w:szCs w:val="21"/>
              </w:rPr>
              <w:br w:type="textWrapping"/>
            </w:r>
            <w:r>
              <w:rPr>
                <w:rFonts w:hint="eastAsia"/>
                <w:color w:val="000000"/>
                <w:sz w:val="21"/>
                <w:szCs w:val="21"/>
              </w:rPr>
              <w:t>尿儿茶酚胺测定</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25031004700*2</w:t>
            </w:r>
            <w:r>
              <w:rPr>
                <w:rFonts w:hint="eastAsia"/>
                <w:color w:val="000000"/>
                <w:sz w:val="21"/>
                <w:szCs w:val="21"/>
              </w:rPr>
              <w:t>，</w:t>
            </w:r>
            <w:r>
              <w:rPr>
                <w:color w:val="000000"/>
                <w:sz w:val="21"/>
                <w:szCs w:val="21"/>
              </w:rPr>
              <w:br w:type="textWrapping"/>
            </w:r>
            <w:r>
              <w:rPr>
                <w:color w:val="000000"/>
                <w:sz w:val="21"/>
                <w:szCs w:val="21"/>
              </w:rPr>
              <w:t>25031004800*2</w:t>
            </w:r>
            <w:r>
              <w:rPr>
                <w:rFonts w:hint="eastAsia"/>
                <w:color w:val="000000"/>
                <w:sz w:val="21"/>
                <w:szCs w:val="21"/>
              </w:rPr>
              <w:t>，</w:t>
            </w:r>
            <w:r>
              <w:rPr>
                <w:color w:val="000000"/>
                <w:sz w:val="21"/>
                <w:szCs w:val="21"/>
              </w:rPr>
              <w:br w:type="textWrapping"/>
            </w:r>
            <w:r>
              <w:rPr>
                <w:color w:val="000000"/>
                <w:sz w:val="21"/>
                <w:szCs w:val="21"/>
              </w:rPr>
              <w:t>25031002400</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192</w:t>
            </w:r>
          </w:p>
        </w:tc>
      </w:tr>
      <w:tr>
        <w:tblPrEx>
          <w:tblCellMar>
            <w:top w:w="0" w:type="dxa"/>
            <w:left w:w="108" w:type="dxa"/>
            <w:bottom w:w="0" w:type="dxa"/>
            <w:right w:w="108" w:type="dxa"/>
          </w:tblCellMar>
        </w:tblPrEx>
        <w:trPr>
          <w:trHeight w:val="24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19</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T</w:t>
            </w:r>
            <w:r>
              <w:rPr>
                <w:rFonts w:hint="eastAsia"/>
                <w:color w:val="000000"/>
                <w:sz w:val="21"/>
                <w:szCs w:val="21"/>
              </w:rPr>
              <w:t>细胞亚群线粒体损伤检测</w:t>
            </w:r>
          </w:p>
        </w:tc>
        <w:tc>
          <w:tcPr>
            <w:tcW w:w="1418"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流式细胞术</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color w:val="000000"/>
                <w:sz w:val="21"/>
                <w:szCs w:val="21"/>
              </w:rPr>
              <w:t>Mito+CD45+</w:t>
            </w:r>
            <w:r>
              <w:rPr>
                <w:rFonts w:hint="eastAsia"/>
                <w:color w:val="000000"/>
                <w:sz w:val="21"/>
                <w:szCs w:val="21"/>
              </w:rPr>
              <w:t>淋巴细胞占白细胞百分比、</w:t>
            </w:r>
            <w:r>
              <w:rPr>
                <w:color w:val="000000"/>
                <w:sz w:val="21"/>
                <w:szCs w:val="21"/>
              </w:rPr>
              <w:t>Mito+CD3+</w:t>
            </w:r>
            <w:r>
              <w:rPr>
                <w:rFonts w:hint="eastAsia"/>
                <w:color w:val="000000"/>
                <w:sz w:val="21"/>
                <w:szCs w:val="21"/>
              </w:rPr>
              <w:t>细胞占淋巴细胞百分比、</w:t>
            </w:r>
            <w:r>
              <w:rPr>
                <w:color w:val="000000"/>
                <w:sz w:val="21"/>
                <w:szCs w:val="21"/>
              </w:rPr>
              <w:t>Mito+CD3+CD4+</w:t>
            </w:r>
            <w:r>
              <w:rPr>
                <w:rFonts w:hint="eastAsia"/>
                <w:color w:val="000000"/>
                <w:sz w:val="21"/>
                <w:szCs w:val="21"/>
              </w:rPr>
              <w:t>细胞占淋巴细胞百分比、</w:t>
            </w:r>
            <w:r>
              <w:rPr>
                <w:color w:val="000000"/>
                <w:sz w:val="21"/>
                <w:szCs w:val="21"/>
              </w:rPr>
              <w:t>Mito+CD3+CD8+</w:t>
            </w:r>
            <w:r>
              <w:rPr>
                <w:rFonts w:hint="eastAsia"/>
                <w:color w:val="000000"/>
                <w:sz w:val="21"/>
                <w:szCs w:val="21"/>
              </w:rPr>
              <w:t>细胞占淋巴细胞百分比、</w:t>
            </w:r>
            <w:r>
              <w:rPr>
                <w:color w:val="000000"/>
                <w:sz w:val="21"/>
                <w:szCs w:val="21"/>
              </w:rPr>
              <w:t>Mito+CD4+/Mito+CD8+</w:t>
            </w:r>
            <w:r>
              <w:rPr>
                <w:rFonts w:hint="eastAsia"/>
                <w:color w:val="000000"/>
                <w:sz w:val="21"/>
                <w:szCs w:val="21"/>
              </w:rPr>
              <w:t>比值、</w:t>
            </w:r>
            <w:r>
              <w:rPr>
                <w:color w:val="000000"/>
                <w:sz w:val="21"/>
                <w:szCs w:val="21"/>
              </w:rPr>
              <w:t>Mito+CD3+</w:t>
            </w:r>
            <w:r>
              <w:rPr>
                <w:rFonts w:hint="eastAsia"/>
                <w:color w:val="000000"/>
                <w:sz w:val="21"/>
                <w:szCs w:val="21"/>
              </w:rPr>
              <w:t>细胞绝对计数、</w:t>
            </w:r>
            <w:r>
              <w:rPr>
                <w:color w:val="000000"/>
                <w:sz w:val="21"/>
                <w:szCs w:val="21"/>
              </w:rPr>
              <w:t>Mito+CD3+CD4+</w:t>
            </w:r>
            <w:r>
              <w:rPr>
                <w:rFonts w:hint="eastAsia"/>
                <w:color w:val="000000"/>
                <w:sz w:val="21"/>
                <w:szCs w:val="21"/>
              </w:rPr>
              <w:t>细胞绝对计数、</w:t>
            </w:r>
            <w:r>
              <w:rPr>
                <w:color w:val="000000"/>
                <w:sz w:val="21"/>
                <w:szCs w:val="21"/>
              </w:rPr>
              <w:t>Mito+CD3+CD8+</w:t>
            </w:r>
            <w:r>
              <w:rPr>
                <w:rFonts w:hint="eastAsia"/>
                <w:color w:val="000000"/>
                <w:sz w:val="21"/>
                <w:szCs w:val="21"/>
              </w:rPr>
              <w:t>细胞绝对计数、</w:t>
            </w:r>
            <w:r>
              <w:rPr>
                <w:color w:val="000000"/>
                <w:sz w:val="21"/>
                <w:szCs w:val="21"/>
              </w:rPr>
              <w:t>CD3+</w:t>
            </w:r>
            <w:r>
              <w:rPr>
                <w:rFonts w:hint="eastAsia"/>
                <w:color w:val="000000"/>
                <w:sz w:val="21"/>
                <w:szCs w:val="21"/>
              </w:rPr>
              <w:t>细胞（</w:t>
            </w:r>
            <w:r>
              <w:rPr>
                <w:color w:val="000000"/>
                <w:sz w:val="21"/>
                <w:szCs w:val="21"/>
              </w:rPr>
              <w:t>TC</w:t>
            </w:r>
            <w:r>
              <w:rPr>
                <w:rFonts w:hint="eastAsia"/>
                <w:color w:val="000000"/>
                <w:sz w:val="21"/>
                <w:szCs w:val="21"/>
              </w:rPr>
              <w:t>）线粒体损伤指数、</w:t>
            </w:r>
            <w:r>
              <w:rPr>
                <w:color w:val="000000"/>
                <w:sz w:val="21"/>
                <w:szCs w:val="21"/>
              </w:rPr>
              <w:t>CD3+CD4+</w:t>
            </w:r>
            <w:r>
              <w:rPr>
                <w:rFonts w:hint="eastAsia"/>
                <w:color w:val="000000"/>
                <w:sz w:val="21"/>
                <w:szCs w:val="21"/>
              </w:rPr>
              <w:t>细胞（</w:t>
            </w:r>
            <w:r>
              <w:rPr>
                <w:color w:val="000000"/>
                <w:sz w:val="21"/>
                <w:szCs w:val="21"/>
              </w:rPr>
              <w:t>TH</w:t>
            </w:r>
            <w:r>
              <w:rPr>
                <w:rFonts w:hint="eastAsia"/>
                <w:color w:val="000000"/>
                <w:sz w:val="21"/>
                <w:szCs w:val="21"/>
              </w:rPr>
              <w:t>）线粒体损伤指数、</w:t>
            </w:r>
            <w:r>
              <w:rPr>
                <w:color w:val="000000"/>
                <w:sz w:val="21"/>
                <w:szCs w:val="21"/>
              </w:rPr>
              <w:t>CD3+CD8+</w:t>
            </w:r>
            <w:r>
              <w:rPr>
                <w:rFonts w:hint="eastAsia"/>
                <w:color w:val="000000"/>
                <w:sz w:val="21"/>
                <w:szCs w:val="21"/>
              </w:rPr>
              <w:t>细胞（</w:t>
            </w:r>
            <w:r>
              <w:rPr>
                <w:color w:val="000000"/>
                <w:sz w:val="21"/>
                <w:szCs w:val="21"/>
              </w:rPr>
              <w:t>TS</w:t>
            </w:r>
            <w:r>
              <w:rPr>
                <w:rFonts w:hint="eastAsia"/>
                <w:color w:val="000000"/>
                <w:sz w:val="21"/>
                <w:szCs w:val="21"/>
              </w:rPr>
              <w:t>）线粒体损伤指数</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各类血细胞簇分化抗原</w:t>
            </w:r>
            <w:r>
              <w:rPr>
                <w:color w:val="000000"/>
                <w:sz w:val="21"/>
                <w:szCs w:val="21"/>
              </w:rPr>
              <w:t>(CD)</w:t>
            </w:r>
            <w:r>
              <w:rPr>
                <w:rFonts w:hint="eastAsia"/>
                <w:color w:val="000000"/>
                <w:sz w:val="21"/>
                <w:szCs w:val="21"/>
              </w:rPr>
              <w:t>检测</w:t>
            </w:r>
            <w:r>
              <w:rPr>
                <w:color w:val="000000"/>
                <w:sz w:val="21"/>
                <w:szCs w:val="21"/>
              </w:rPr>
              <w:t>*4</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25040103100*4</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200</w:t>
            </w:r>
          </w:p>
        </w:tc>
      </w:tr>
      <w:tr>
        <w:tblPrEx>
          <w:tblCellMar>
            <w:top w:w="0" w:type="dxa"/>
            <w:left w:w="108" w:type="dxa"/>
            <w:bottom w:w="0" w:type="dxa"/>
            <w:right w:w="108" w:type="dxa"/>
          </w:tblCellMar>
        </w:tblPrEx>
        <w:trPr>
          <w:trHeight w:val="6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20</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抗阿兹海默症药物代谢基因</w:t>
            </w:r>
          </w:p>
        </w:tc>
        <w:tc>
          <w:tcPr>
            <w:tcW w:w="1418" w:type="dxa"/>
            <w:tcBorders>
              <w:top w:val="nil"/>
              <w:left w:val="nil"/>
              <w:bottom w:val="single" w:color="auto" w:sz="4" w:space="0"/>
              <w:right w:val="single" w:color="auto" w:sz="4" w:space="0"/>
            </w:tcBorders>
            <w:shd w:val="clear" w:color="auto" w:fill="auto"/>
            <w:noWrap/>
            <w:vAlign w:val="center"/>
          </w:tcPr>
          <w:p>
            <w:pPr>
              <w:spacing w:after="0"/>
              <w:rPr>
                <w:rFonts w:cs="宋体"/>
                <w:color w:val="000000"/>
                <w:sz w:val="21"/>
                <w:szCs w:val="21"/>
              </w:rPr>
            </w:pPr>
            <w:r>
              <w:rPr>
                <w:rFonts w:hint="eastAsia" w:cs="宋体"/>
                <w:color w:val="000000"/>
                <w:sz w:val="21"/>
                <w:szCs w:val="21"/>
              </w:rPr>
              <w:t>核酸质谱</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color w:val="000000"/>
                <w:sz w:val="21"/>
                <w:szCs w:val="21"/>
              </w:rPr>
              <w:t>5</w:t>
            </w:r>
            <w:r>
              <w:rPr>
                <w:rFonts w:hint="eastAsia"/>
                <w:color w:val="000000"/>
                <w:sz w:val="21"/>
                <w:szCs w:val="21"/>
              </w:rPr>
              <w:t>基因</w:t>
            </w:r>
            <w:r>
              <w:rPr>
                <w:color w:val="000000"/>
                <w:sz w:val="21"/>
                <w:szCs w:val="21"/>
              </w:rPr>
              <w:t>4</w:t>
            </w:r>
            <w:r>
              <w:rPr>
                <w:rFonts w:hint="eastAsia"/>
                <w:color w:val="000000"/>
                <w:sz w:val="21"/>
                <w:szCs w:val="21"/>
              </w:rPr>
              <w:t>种药物：多奈哌齐</w:t>
            </w:r>
            <w:r>
              <w:rPr>
                <w:color w:val="000000"/>
                <w:sz w:val="21"/>
                <w:szCs w:val="21"/>
              </w:rPr>
              <w:t>/</w:t>
            </w:r>
            <w:r>
              <w:rPr>
                <w:rFonts w:hint="eastAsia"/>
                <w:color w:val="000000"/>
                <w:sz w:val="21"/>
                <w:szCs w:val="21"/>
              </w:rPr>
              <w:t>卡巴拉汀</w:t>
            </w:r>
            <w:r>
              <w:rPr>
                <w:color w:val="000000"/>
                <w:sz w:val="21"/>
                <w:szCs w:val="21"/>
              </w:rPr>
              <w:t>/</w:t>
            </w:r>
            <w:r>
              <w:rPr>
                <w:rFonts w:hint="eastAsia"/>
                <w:color w:val="000000"/>
                <w:sz w:val="21"/>
                <w:szCs w:val="21"/>
              </w:rPr>
              <w:t>加兰他敏</w:t>
            </w:r>
            <w:r>
              <w:rPr>
                <w:color w:val="000000"/>
                <w:sz w:val="21"/>
                <w:szCs w:val="21"/>
              </w:rPr>
              <w:t xml:space="preserve"> /</w:t>
            </w:r>
            <w:r>
              <w:rPr>
                <w:rFonts w:hint="eastAsia"/>
                <w:color w:val="000000"/>
                <w:sz w:val="21"/>
                <w:szCs w:val="21"/>
              </w:rPr>
              <w:t>美金刚</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化学药物用药指导的基因检测</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25070300100*7</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1463</w:t>
            </w:r>
          </w:p>
        </w:tc>
      </w:tr>
      <w:tr>
        <w:tblPrEx>
          <w:tblCellMar>
            <w:top w:w="0" w:type="dxa"/>
            <w:left w:w="108" w:type="dxa"/>
            <w:bottom w:w="0" w:type="dxa"/>
            <w:right w:w="108" w:type="dxa"/>
          </w:tblCellMar>
        </w:tblPrEx>
        <w:trPr>
          <w:trHeight w:val="6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21</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抗帕金森药物代谢基因</w:t>
            </w:r>
          </w:p>
        </w:tc>
        <w:tc>
          <w:tcPr>
            <w:tcW w:w="1418" w:type="dxa"/>
            <w:tcBorders>
              <w:top w:val="nil"/>
              <w:left w:val="nil"/>
              <w:bottom w:val="single" w:color="auto" w:sz="4" w:space="0"/>
              <w:right w:val="single" w:color="auto" w:sz="4" w:space="0"/>
            </w:tcBorders>
            <w:shd w:val="clear" w:color="auto" w:fill="auto"/>
            <w:noWrap/>
            <w:vAlign w:val="center"/>
          </w:tcPr>
          <w:p>
            <w:pPr>
              <w:spacing w:after="0"/>
              <w:rPr>
                <w:rFonts w:cs="宋体"/>
                <w:color w:val="000000"/>
                <w:sz w:val="21"/>
                <w:szCs w:val="21"/>
              </w:rPr>
            </w:pPr>
            <w:r>
              <w:rPr>
                <w:rFonts w:hint="eastAsia" w:cs="宋体"/>
                <w:color w:val="000000"/>
                <w:sz w:val="21"/>
                <w:szCs w:val="21"/>
              </w:rPr>
              <w:t>核酸质谱</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color w:val="000000"/>
                <w:sz w:val="21"/>
                <w:szCs w:val="21"/>
              </w:rPr>
              <w:t>7</w:t>
            </w:r>
            <w:r>
              <w:rPr>
                <w:rFonts w:hint="eastAsia"/>
                <w:color w:val="000000"/>
                <w:sz w:val="21"/>
                <w:szCs w:val="21"/>
              </w:rPr>
              <w:t>基因</w:t>
            </w:r>
            <w:r>
              <w:rPr>
                <w:color w:val="000000"/>
                <w:sz w:val="21"/>
                <w:szCs w:val="21"/>
              </w:rPr>
              <w:t>8</w:t>
            </w:r>
            <w:r>
              <w:rPr>
                <w:rFonts w:hint="eastAsia"/>
                <w:color w:val="000000"/>
                <w:sz w:val="21"/>
                <w:szCs w:val="21"/>
              </w:rPr>
              <w:t>种药物：左旋多巴</w:t>
            </w:r>
            <w:r>
              <w:rPr>
                <w:color w:val="000000"/>
                <w:sz w:val="21"/>
                <w:szCs w:val="21"/>
              </w:rPr>
              <w:t>/</w:t>
            </w:r>
            <w:r>
              <w:rPr>
                <w:rFonts w:hint="eastAsia"/>
                <w:color w:val="000000"/>
                <w:sz w:val="21"/>
                <w:szCs w:val="21"/>
              </w:rPr>
              <w:t>普拉克索</w:t>
            </w:r>
            <w:r>
              <w:rPr>
                <w:color w:val="000000"/>
                <w:sz w:val="21"/>
                <w:szCs w:val="21"/>
              </w:rPr>
              <w:t>/</w:t>
            </w:r>
            <w:r>
              <w:rPr>
                <w:rFonts w:hint="eastAsia"/>
                <w:color w:val="000000"/>
                <w:sz w:val="21"/>
                <w:szCs w:val="21"/>
              </w:rPr>
              <w:t>司来吉兰</w:t>
            </w:r>
            <w:r>
              <w:rPr>
                <w:color w:val="000000"/>
                <w:sz w:val="21"/>
                <w:szCs w:val="21"/>
              </w:rPr>
              <w:t>/</w:t>
            </w:r>
            <w:r>
              <w:rPr>
                <w:rFonts w:hint="eastAsia"/>
                <w:color w:val="000000"/>
                <w:sz w:val="21"/>
                <w:szCs w:val="21"/>
              </w:rPr>
              <w:t>雷沙吉兰</w:t>
            </w:r>
            <w:r>
              <w:rPr>
                <w:color w:val="000000"/>
                <w:sz w:val="21"/>
                <w:szCs w:val="21"/>
              </w:rPr>
              <w:t>/</w:t>
            </w:r>
            <w:r>
              <w:rPr>
                <w:rFonts w:hint="eastAsia"/>
                <w:color w:val="000000"/>
                <w:sz w:val="21"/>
                <w:szCs w:val="21"/>
              </w:rPr>
              <w:t>恩他卡朋</w:t>
            </w:r>
            <w:r>
              <w:rPr>
                <w:color w:val="000000"/>
                <w:sz w:val="21"/>
                <w:szCs w:val="21"/>
              </w:rPr>
              <w:t>/</w:t>
            </w:r>
            <w:r>
              <w:rPr>
                <w:rFonts w:hint="eastAsia"/>
                <w:color w:val="000000"/>
                <w:sz w:val="21"/>
                <w:szCs w:val="21"/>
              </w:rPr>
              <w:t>金刚烷胺</w:t>
            </w:r>
            <w:r>
              <w:rPr>
                <w:color w:val="000000"/>
                <w:sz w:val="21"/>
                <w:szCs w:val="21"/>
              </w:rPr>
              <w:t>/</w:t>
            </w:r>
            <w:r>
              <w:rPr>
                <w:rFonts w:hint="eastAsia"/>
                <w:color w:val="000000"/>
                <w:sz w:val="21"/>
                <w:szCs w:val="21"/>
              </w:rPr>
              <w:t>美金刚</w:t>
            </w:r>
          </w:p>
        </w:tc>
        <w:tc>
          <w:tcPr>
            <w:tcW w:w="1417"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化学药物用药指导的基因检测</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25070300100*7</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1463</w:t>
            </w:r>
          </w:p>
        </w:tc>
      </w:tr>
      <w:tr>
        <w:tblPrEx>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22</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肿瘤相关物质组合</w:t>
            </w:r>
            <w:r>
              <w:rPr>
                <w:color w:val="000000"/>
                <w:sz w:val="21"/>
                <w:szCs w:val="21"/>
              </w:rPr>
              <w:t>6</w:t>
            </w:r>
            <w:r>
              <w:rPr>
                <w:rFonts w:hint="eastAsia"/>
                <w:color w:val="000000"/>
                <w:sz w:val="21"/>
                <w:szCs w:val="21"/>
              </w:rPr>
              <w:t>项</w:t>
            </w:r>
            <w:r>
              <w:rPr>
                <w:color w:val="000000"/>
                <w:sz w:val="21"/>
                <w:szCs w:val="21"/>
              </w:rPr>
              <w:t>BXTM</w:t>
            </w:r>
          </w:p>
        </w:tc>
        <w:tc>
          <w:tcPr>
            <w:tcW w:w="1418" w:type="dxa"/>
            <w:tcBorders>
              <w:top w:val="nil"/>
              <w:left w:val="nil"/>
              <w:bottom w:val="single" w:color="auto" w:sz="4" w:space="0"/>
              <w:right w:val="single" w:color="auto" w:sz="4" w:space="0"/>
            </w:tcBorders>
            <w:shd w:val="clear" w:color="auto" w:fill="auto"/>
            <w:noWrap/>
            <w:vAlign w:val="center"/>
          </w:tcPr>
          <w:p>
            <w:pPr>
              <w:spacing w:after="0"/>
              <w:rPr>
                <w:rFonts w:cs="宋体"/>
                <w:color w:val="000000"/>
                <w:sz w:val="21"/>
                <w:szCs w:val="21"/>
              </w:rPr>
            </w:pPr>
            <w:r>
              <w:rPr>
                <w:rFonts w:hint="eastAsia" w:cs="宋体"/>
                <w:color w:val="000000"/>
                <w:sz w:val="21"/>
                <w:szCs w:val="21"/>
              </w:rPr>
              <w:t>酶免法</w:t>
            </w:r>
          </w:p>
        </w:tc>
        <w:tc>
          <w:tcPr>
            <w:tcW w:w="2268" w:type="dxa"/>
            <w:tcBorders>
              <w:top w:val="nil"/>
              <w:left w:val="nil"/>
              <w:bottom w:val="single" w:color="auto" w:sz="4" w:space="0"/>
              <w:right w:val="single" w:color="auto" w:sz="4" w:space="0"/>
            </w:tcBorders>
            <w:shd w:val="clear" w:color="auto" w:fill="auto"/>
            <w:vAlign w:val="center"/>
          </w:tcPr>
          <w:p>
            <w:pPr>
              <w:spacing w:after="0"/>
              <w:rPr>
                <w:rFonts w:cs="宋体"/>
                <w:color w:val="000000"/>
                <w:sz w:val="21"/>
                <w:szCs w:val="21"/>
              </w:rPr>
            </w:pPr>
            <w:r>
              <w:rPr>
                <w:rFonts w:hint="eastAsia" w:cs="宋体"/>
                <w:color w:val="000000"/>
                <w:sz w:val="21"/>
                <w:szCs w:val="21"/>
              </w:rPr>
              <w:t>基因类肿瘤相关物质</w:t>
            </w:r>
            <w:r>
              <w:rPr>
                <w:color w:val="000000"/>
                <w:sz w:val="21"/>
                <w:szCs w:val="21"/>
              </w:rPr>
              <w:t xml:space="preserve"> / </w:t>
            </w:r>
            <w:r>
              <w:rPr>
                <w:rFonts w:hint="eastAsia" w:cs="宋体"/>
                <w:color w:val="000000"/>
                <w:sz w:val="21"/>
                <w:szCs w:val="21"/>
              </w:rPr>
              <w:t>肿瘤胚胎性相关物质</w:t>
            </w:r>
            <w:r>
              <w:rPr>
                <w:color w:val="000000"/>
                <w:sz w:val="21"/>
                <w:szCs w:val="21"/>
              </w:rPr>
              <w:t>/</w:t>
            </w:r>
            <w:r>
              <w:rPr>
                <w:rFonts w:hint="eastAsia" w:cs="宋体"/>
                <w:color w:val="000000"/>
                <w:sz w:val="21"/>
                <w:szCs w:val="21"/>
              </w:rPr>
              <w:t>蛋白质类肿瘤相关物质</w:t>
            </w:r>
            <w:r>
              <w:rPr>
                <w:color w:val="000000"/>
                <w:sz w:val="21"/>
                <w:szCs w:val="21"/>
              </w:rPr>
              <w:t>/</w:t>
            </w:r>
            <w:r>
              <w:rPr>
                <w:rFonts w:hint="eastAsia" w:cs="宋体"/>
                <w:color w:val="000000"/>
                <w:sz w:val="21"/>
                <w:szCs w:val="21"/>
              </w:rPr>
              <w:t>糖类肿瘤相关物质</w:t>
            </w:r>
            <w:r>
              <w:rPr>
                <w:color w:val="000000"/>
                <w:sz w:val="21"/>
                <w:szCs w:val="21"/>
              </w:rPr>
              <w:t>/</w:t>
            </w:r>
            <w:r>
              <w:rPr>
                <w:rFonts w:hint="eastAsia" w:cs="宋体"/>
                <w:color w:val="000000"/>
                <w:sz w:val="21"/>
                <w:szCs w:val="21"/>
              </w:rPr>
              <w:t>酶类肿瘤相关物质</w:t>
            </w:r>
            <w:r>
              <w:rPr>
                <w:color w:val="000000"/>
                <w:sz w:val="21"/>
                <w:szCs w:val="21"/>
              </w:rPr>
              <w:t>/</w:t>
            </w:r>
            <w:r>
              <w:rPr>
                <w:rFonts w:hint="eastAsia" w:cs="宋体"/>
                <w:color w:val="000000"/>
                <w:sz w:val="21"/>
                <w:szCs w:val="21"/>
              </w:rPr>
              <w:t>激素类肿瘤相关物质</w:t>
            </w:r>
          </w:p>
        </w:tc>
        <w:tc>
          <w:tcPr>
            <w:tcW w:w="1417" w:type="dxa"/>
            <w:tcBorders>
              <w:top w:val="nil"/>
              <w:left w:val="nil"/>
              <w:bottom w:val="nil"/>
              <w:right w:val="nil"/>
            </w:tcBorders>
            <w:shd w:val="clear" w:color="auto" w:fill="auto"/>
            <w:noWrap/>
            <w:vAlign w:val="center"/>
          </w:tcPr>
          <w:p>
            <w:pPr>
              <w:spacing w:after="0"/>
              <w:rPr>
                <w:rFonts w:cs="宋体"/>
                <w:color w:val="000000"/>
                <w:sz w:val="21"/>
                <w:szCs w:val="21"/>
              </w:rPr>
            </w:pPr>
            <w:r>
              <w:rPr>
                <w:rFonts w:hint="eastAsia" w:cs="宋体"/>
                <w:color w:val="000000"/>
                <w:sz w:val="21"/>
                <w:szCs w:val="21"/>
              </w:rPr>
              <w:t>基因类肿瘤相关物质</w:t>
            </w:r>
            <w:r>
              <w:rPr>
                <w:rFonts w:cs="宋体"/>
                <w:color w:val="000000"/>
                <w:sz w:val="21"/>
                <w:szCs w:val="21"/>
              </w:rPr>
              <w:t xml:space="preserve"> / </w:t>
            </w:r>
            <w:r>
              <w:rPr>
                <w:rFonts w:hint="eastAsia" w:cs="宋体"/>
                <w:color w:val="000000"/>
                <w:sz w:val="21"/>
                <w:szCs w:val="21"/>
              </w:rPr>
              <w:t>肿瘤胚胎性相关物质</w:t>
            </w:r>
            <w:r>
              <w:rPr>
                <w:rFonts w:cs="宋体"/>
                <w:color w:val="000000"/>
                <w:sz w:val="21"/>
                <w:szCs w:val="21"/>
              </w:rPr>
              <w:t>/蛋白质类肿瘤相关物质/糖类肿瘤相关物质/酶类肿瘤相关物质/激素类肿瘤相关物质</w:t>
            </w:r>
          </w:p>
        </w:tc>
        <w:tc>
          <w:tcPr>
            <w:tcW w:w="1843"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 xml:space="preserve">25040401403 25040401404 </w:t>
            </w:r>
            <w:r>
              <w:rPr>
                <w:color w:val="000000"/>
                <w:sz w:val="21"/>
                <w:szCs w:val="21"/>
              </w:rPr>
              <w:br w:type="textWrapping"/>
            </w:r>
            <w:r>
              <w:rPr>
                <w:color w:val="000000"/>
                <w:sz w:val="21"/>
                <w:szCs w:val="21"/>
              </w:rPr>
              <w:t>25040401405 25040401406 25040401407 25040401408</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240</w:t>
            </w:r>
          </w:p>
        </w:tc>
      </w:tr>
      <w:tr>
        <w:tblPrEx>
          <w:tblCellMar>
            <w:top w:w="0" w:type="dxa"/>
            <w:left w:w="108" w:type="dxa"/>
            <w:bottom w:w="0" w:type="dxa"/>
            <w:right w:w="108" w:type="dxa"/>
          </w:tblCellMar>
        </w:tblPrEx>
        <w:trPr>
          <w:trHeight w:val="6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23</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异常糖链糖蛋白检测</w:t>
            </w:r>
            <w:r>
              <w:rPr>
                <w:color w:val="000000"/>
                <w:sz w:val="21"/>
                <w:szCs w:val="21"/>
              </w:rPr>
              <w:t>TAP</w:t>
            </w:r>
          </w:p>
        </w:tc>
        <w:tc>
          <w:tcPr>
            <w:tcW w:w="1418" w:type="dxa"/>
            <w:tcBorders>
              <w:top w:val="nil"/>
              <w:left w:val="nil"/>
              <w:bottom w:val="single" w:color="auto" w:sz="4" w:space="0"/>
              <w:right w:val="single" w:color="auto" w:sz="4" w:space="0"/>
            </w:tcBorders>
            <w:shd w:val="clear" w:color="auto" w:fill="auto"/>
            <w:noWrap/>
            <w:vAlign w:val="center"/>
          </w:tcPr>
          <w:p>
            <w:pPr>
              <w:spacing w:after="0"/>
              <w:rPr>
                <w:rFonts w:cs="宋体"/>
                <w:color w:val="000000"/>
                <w:sz w:val="21"/>
                <w:szCs w:val="21"/>
              </w:rPr>
            </w:pPr>
            <w:r>
              <w:rPr>
                <w:rFonts w:hint="eastAsia" w:cs="宋体"/>
                <w:color w:val="000000"/>
                <w:sz w:val="21"/>
                <w:szCs w:val="21"/>
              </w:rPr>
              <w:t>凝集法</w:t>
            </w:r>
          </w:p>
        </w:tc>
        <w:tc>
          <w:tcPr>
            <w:tcW w:w="2268" w:type="dxa"/>
            <w:tcBorders>
              <w:top w:val="nil"/>
              <w:left w:val="nil"/>
              <w:bottom w:val="single" w:color="auto" w:sz="4" w:space="0"/>
              <w:right w:val="single" w:color="auto" w:sz="4" w:space="0"/>
            </w:tcBorders>
            <w:shd w:val="clear" w:color="auto" w:fill="auto"/>
            <w:vAlign w:val="center"/>
          </w:tcPr>
          <w:p>
            <w:pPr>
              <w:spacing w:after="0"/>
              <w:rPr>
                <w:rFonts w:cs="宋体"/>
                <w:color w:val="000000"/>
                <w:sz w:val="21"/>
                <w:szCs w:val="21"/>
              </w:rPr>
            </w:pPr>
            <w:r>
              <w:rPr>
                <w:rFonts w:hint="eastAsia" w:cs="宋体"/>
                <w:color w:val="000000"/>
                <w:sz w:val="21"/>
                <w:szCs w:val="21"/>
              </w:rPr>
              <w:t>异常糖链糖蛋白检测</w:t>
            </w:r>
            <w:r>
              <w:rPr>
                <w:color w:val="000000"/>
                <w:sz w:val="21"/>
                <w:szCs w:val="21"/>
              </w:rPr>
              <w:t>TAP</w:t>
            </w:r>
          </w:p>
        </w:tc>
        <w:tc>
          <w:tcPr>
            <w:tcW w:w="1417" w:type="dxa"/>
            <w:tcBorders>
              <w:top w:val="nil"/>
              <w:left w:val="nil"/>
              <w:bottom w:val="nil"/>
              <w:right w:val="nil"/>
            </w:tcBorders>
            <w:shd w:val="clear" w:color="auto" w:fill="auto"/>
            <w:noWrap/>
            <w:vAlign w:val="center"/>
          </w:tcPr>
          <w:p>
            <w:pPr>
              <w:spacing w:after="0"/>
              <w:rPr>
                <w:rFonts w:cs="宋体"/>
                <w:color w:val="000000"/>
                <w:sz w:val="21"/>
                <w:szCs w:val="21"/>
              </w:rPr>
            </w:pPr>
            <w:r>
              <w:rPr>
                <w:rFonts w:hint="eastAsia" w:cs="宋体"/>
                <w:color w:val="000000"/>
                <w:sz w:val="21"/>
                <w:szCs w:val="21"/>
              </w:rPr>
              <w:t>异常糖链糖蛋白检测</w:t>
            </w:r>
          </w:p>
        </w:tc>
        <w:tc>
          <w:tcPr>
            <w:tcW w:w="1843"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25040490400</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191</w:t>
            </w:r>
          </w:p>
        </w:tc>
      </w:tr>
      <w:tr>
        <w:tblPrEx>
          <w:tblCellMar>
            <w:top w:w="0" w:type="dxa"/>
            <w:left w:w="108" w:type="dxa"/>
            <w:bottom w:w="0" w:type="dxa"/>
            <w:right w:w="108" w:type="dxa"/>
          </w:tblCellMar>
        </w:tblPrEx>
        <w:trPr>
          <w:trHeight w:val="6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24</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DNA</w:t>
            </w:r>
            <w:r>
              <w:rPr>
                <w:rFonts w:hint="eastAsia"/>
                <w:color w:val="000000"/>
                <w:sz w:val="21"/>
                <w:szCs w:val="21"/>
              </w:rPr>
              <w:t>甲基化胃癌早筛项目</w:t>
            </w:r>
          </w:p>
        </w:tc>
        <w:tc>
          <w:tcPr>
            <w:tcW w:w="1418" w:type="dxa"/>
            <w:tcBorders>
              <w:top w:val="nil"/>
              <w:left w:val="nil"/>
              <w:bottom w:val="single" w:color="auto" w:sz="4" w:space="0"/>
              <w:right w:val="single" w:color="auto" w:sz="4" w:space="0"/>
            </w:tcBorders>
            <w:shd w:val="clear" w:color="auto" w:fill="auto"/>
            <w:noWrap/>
            <w:vAlign w:val="center"/>
          </w:tcPr>
          <w:p>
            <w:pPr>
              <w:spacing w:after="0"/>
              <w:rPr>
                <w:rFonts w:cs="宋体"/>
                <w:color w:val="000000"/>
                <w:sz w:val="21"/>
                <w:szCs w:val="21"/>
              </w:rPr>
            </w:pPr>
            <w:r>
              <w:rPr>
                <w:rFonts w:cs="宋体"/>
                <w:color w:val="000000"/>
                <w:sz w:val="21"/>
                <w:szCs w:val="21"/>
              </w:rPr>
              <w:t>MS-PCR</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color w:val="000000"/>
                <w:sz w:val="21"/>
                <w:szCs w:val="21"/>
              </w:rPr>
              <w:t>Septin9</w:t>
            </w:r>
            <w:r>
              <w:rPr>
                <w:rFonts w:hint="eastAsia"/>
                <w:color w:val="000000"/>
                <w:sz w:val="21"/>
                <w:szCs w:val="21"/>
              </w:rPr>
              <w:t>，</w:t>
            </w:r>
            <w:r>
              <w:rPr>
                <w:color w:val="000000"/>
                <w:sz w:val="21"/>
                <w:szCs w:val="21"/>
              </w:rPr>
              <w:t>RNF180</w:t>
            </w:r>
            <w:r>
              <w:rPr>
                <w:rFonts w:hint="eastAsia"/>
                <w:color w:val="000000"/>
                <w:sz w:val="21"/>
                <w:szCs w:val="21"/>
              </w:rPr>
              <w:t>等</w:t>
            </w:r>
            <w:r>
              <w:rPr>
                <w:color w:val="000000"/>
                <w:sz w:val="21"/>
                <w:szCs w:val="21"/>
              </w:rPr>
              <w:t>6</w:t>
            </w:r>
            <w:r>
              <w:rPr>
                <w:rFonts w:hint="eastAsia"/>
                <w:color w:val="000000"/>
                <w:sz w:val="21"/>
                <w:szCs w:val="21"/>
              </w:rPr>
              <w:t>个基因</w:t>
            </w: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化学药物用药指导的基因检测</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25070300100*6</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1280</w:t>
            </w:r>
          </w:p>
        </w:tc>
      </w:tr>
      <w:tr>
        <w:tblPrEx>
          <w:tblCellMar>
            <w:top w:w="0" w:type="dxa"/>
            <w:left w:w="108" w:type="dxa"/>
            <w:bottom w:w="0" w:type="dxa"/>
            <w:right w:w="108" w:type="dxa"/>
          </w:tblCellMar>
        </w:tblPrEx>
        <w:trPr>
          <w:trHeight w:val="6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rFonts w:hint="eastAsia"/>
                <w:color w:val="000000"/>
                <w:sz w:val="21"/>
                <w:szCs w:val="21"/>
              </w:rPr>
              <w:t>糖缺失性转铁蛋白（</w:t>
            </w:r>
            <w:r>
              <w:rPr>
                <w:color w:val="000000"/>
                <w:sz w:val="21"/>
                <w:szCs w:val="21"/>
              </w:rPr>
              <w:t>CDT</w:t>
            </w:r>
            <w:r>
              <w:rPr>
                <w:rFonts w:hint="eastAsia"/>
                <w:color w:val="000000"/>
                <w:sz w:val="21"/>
                <w:szCs w:val="21"/>
              </w:rPr>
              <w:t>）</w:t>
            </w:r>
          </w:p>
        </w:tc>
        <w:tc>
          <w:tcPr>
            <w:tcW w:w="1418" w:type="dxa"/>
            <w:tcBorders>
              <w:top w:val="nil"/>
              <w:left w:val="nil"/>
              <w:bottom w:val="single" w:color="auto" w:sz="4" w:space="0"/>
              <w:right w:val="single" w:color="auto" w:sz="4" w:space="0"/>
            </w:tcBorders>
            <w:shd w:val="clear" w:color="auto" w:fill="auto"/>
            <w:noWrap/>
            <w:vAlign w:val="center"/>
          </w:tcPr>
          <w:p>
            <w:pPr>
              <w:spacing w:after="0"/>
              <w:rPr>
                <w:rFonts w:cs="宋体"/>
                <w:color w:val="000000"/>
                <w:sz w:val="21"/>
                <w:szCs w:val="21"/>
              </w:rPr>
            </w:pPr>
            <w:r>
              <w:rPr>
                <w:rFonts w:hint="eastAsia" w:cs="宋体"/>
                <w:color w:val="000000"/>
                <w:sz w:val="21"/>
                <w:szCs w:val="21"/>
              </w:rPr>
              <w:t>提速液法</w:t>
            </w:r>
          </w:p>
        </w:tc>
        <w:tc>
          <w:tcPr>
            <w:tcW w:w="2268" w:type="dxa"/>
            <w:tcBorders>
              <w:top w:val="nil"/>
              <w:left w:val="nil"/>
              <w:bottom w:val="single" w:color="auto" w:sz="4" w:space="0"/>
              <w:right w:val="single" w:color="auto" w:sz="4" w:space="0"/>
            </w:tcBorders>
            <w:shd w:val="clear" w:color="auto" w:fill="auto"/>
            <w:vAlign w:val="center"/>
          </w:tcPr>
          <w:p>
            <w:pPr>
              <w:spacing w:after="0"/>
              <w:rPr>
                <w:rFonts w:cs="宋体"/>
                <w:color w:val="000000"/>
                <w:sz w:val="21"/>
                <w:szCs w:val="21"/>
              </w:rPr>
            </w:pPr>
            <w:r>
              <w:rPr>
                <w:rFonts w:hint="eastAsia" w:cs="宋体"/>
                <w:color w:val="000000"/>
                <w:sz w:val="21"/>
                <w:szCs w:val="21"/>
              </w:rPr>
              <w:t>糖缺失性转铁蛋白（</w:t>
            </w:r>
            <w:r>
              <w:rPr>
                <w:color w:val="000000"/>
                <w:sz w:val="21"/>
                <w:szCs w:val="21"/>
              </w:rPr>
              <w:t>CDT</w:t>
            </w:r>
            <w:r>
              <w:rPr>
                <w:rFonts w:hint="eastAsia" w:cs="宋体"/>
                <w:color w:val="000000"/>
                <w:sz w:val="21"/>
                <w:szCs w:val="21"/>
              </w:rPr>
              <w:t>）</w:t>
            </w:r>
          </w:p>
        </w:tc>
        <w:tc>
          <w:tcPr>
            <w:tcW w:w="1417" w:type="dxa"/>
            <w:tcBorders>
              <w:top w:val="nil"/>
              <w:left w:val="nil"/>
              <w:bottom w:val="nil"/>
              <w:right w:val="nil"/>
            </w:tcBorders>
            <w:shd w:val="clear" w:color="auto" w:fill="auto"/>
            <w:noWrap/>
            <w:vAlign w:val="center"/>
          </w:tcPr>
          <w:p>
            <w:pPr>
              <w:spacing w:after="0"/>
              <w:rPr>
                <w:rFonts w:cs="宋体"/>
                <w:color w:val="000000"/>
                <w:sz w:val="21"/>
                <w:szCs w:val="21"/>
              </w:rPr>
            </w:pPr>
            <w:r>
              <w:rPr>
                <w:rFonts w:hint="eastAsia" w:cs="宋体"/>
                <w:color w:val="000000"/>
                <w:sz w:val="21"/>
                <w:szCs w:val="21"/>
              </w:rPr>
              <w:t>糖缺失性转铁蛋白</w:t>
            </w:r>
          </w:p>
        </w:tc>
        <w:tc>
          <w:tcPr>
            <w:tcW w:w="1843"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25030503000</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95</w:t>
            </w:r>
          </w:p>
        </w:tc>
      </w:tr>
      <w:tr>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26</w:t>
            </w:r>
          </w:p>
        </w:tc>
        <w:tc>
          <w:tcPr>
            <w:tcW w:w="1276"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EB</w:t>
            </w:r>
            <w:r>
              <w:rPr>
                <w:rFonts w:hint="eastAsia"/>
                <w:color w:val="000000"/>
                <w:sz w:val="21"/>
                <w:szCs w:val="21"/>
              </w:rPr>
              <w:t>病毒</w:t>
            </w:r>
            <w:r>
              <w:rPr>
                <w:color w:val="000000"/>
                <w:sz w:val="21"/>
                <w:szCs w:val="21"/>
              </w:rPr>
              <w:t>Rta</w:t>
            </w:r>
            <w:r>
              <w:rPr>
                <w:rFonts w:hint="eastAsia"/>
                <w:color w:val="000000"/>
                <w:sz w:val="21"/>
                <w:szCs w:val="21"/>
              </w:rPr>
              <w:t>蛋白抗体</w:t>
            </w:r>
          </w:p>
        </w:tc>
        <w:tc>
          <w:tcPr>
            <w:tcW w:w="1418" w:type="dxa"/>
            <w:tcBorders>
              <w:top w:val="nil"/>
              <w:left w:val="nil"/>
              <w:bottom w:val="single" w:color="auto" w:sz="4" w:space="0"/>
              <w:right w:val="single" w:color="auto" w:sz="4" w:space="0"/>
            </w:tcBorders>
            <w:shd w:val="clear" w:color="auto" w:fill="auto"/>
            <w:noWrap/>
            <w:vAlign w:val="center"/>
          </w:tcPr>
          <w:p>
            <w:pPr>
              <w:spacing w:after="0"/>
              <w:rPr>
                <w:rFonts w:cs="宋体"/>
                <w:color w:val="000000"/>
                <w:sz w:val="21"/>
                <w:szCs w:val="21"/>
              </w:rPr>
            </w:pPr>
            <w:r>
              <w:rPr>
                <w:rFonts w:hint="eastAsia" w:cs="宋体"/>
                <w:color w:val="000000"/>
                <w:sz w:val="21"/>
                <w:szCs w:val="21"/>
              </w:rPr>
              <w:t>酶免法</w:t>
            </w:r>
          </w:p>
        </w:tc>
        <w:tc>
          <w:tcPr>
            <w:tcW w:w="2268" w:type="dxa"/>
            <w:tcBorders>
              <w:top w:val="nil"/>
              <w:left w:val="nil"/>
              <w:bottom w:val="single" w:color="auto" w:sz="4" w:space="0"/>
              <w:right w:val="single" w:color="auto" w:sz="4" w:space="0"/>
            </w:tcBorders>
            <w:shd w:val="clear" w:color="auto" w:fill="auto"/>
            <w:vAlign w:val="center"/>
          </w:tcPr>
          <w:p>
            <w:pPr>
              <w:spacing w:after="0"/>
              <w:rPr>
                <w:color w:val="000000"/>
                <w:sz w:val="21"/>
                <w:szCs w:val="21"/>
              </w:rPr>
            </w:pPr>
            <w:r>
              <w:rPr>
                <w:color w:val="000000"/>
                <w:sz w:val="21"/>
                <w:szCs w:val="21"/>
              </w:rPr>
              <w:t>EB</w:t>
            </w:r>
            <w:r>
              <w:rPr>
                <w:rFonts w:hint="eastAsia"/>
                <w:color w:val="000000"/>
                <w:sz w:val="21"/>
                <w:szCs w:val="21"/>
              </w:rPr>
              <w:t>病毒</w:t>
            </w:r>
            <w:r>
              <w:rPr>
                <w:color w:val="000000"/>
                <w:sz w:val="21"/>
                <w:szCs w:val="21"/>
              </w:rPr>
              <w:t>Rta</w:t>
            </w:r>
            <w:r>
              <w:rPr>
                <w:rFonts w:hint="eastAsia"/>
                <w:color w:val="000000"/>
                <w:sz w:val="21"/>
                <w:szCs w:val="21"/>
              </w:rPr>
              <w:t>蛋白抗体</w:t>
            </w: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after="0"/>
              <w:rPr>
                <w:color w:val="000000"/>
                <w:sz w:val="21"/>
                <w:szCs w:val="21"/>
              </w:rPr>
            </w:pPr>
            <w:r>
              <w:rPr>
                <w:color w:val="000000"/>
                <w:sz w:val="21"/>
                <w:szCs w:val="21"/>
              </w:rPr>
              <w:t>EB</w:t>
            </w:r>
            <w:r>
              <w:rPr>
                <w:rFonts w:hint="eastAsia"/>
                <w:color w:val="000000"/>
                <w:sz w:val="21"/>
                <w:szCs w:val="21"/>
              </w:rPr>
              <w:t>病毒</w:t>
            </w:r>
            <w:r>
              <w:rPr>
                <w:color w:val="000000"/>
                <w:sz w:val="21"/>
                <w:szCs w:val="21"/>
              </w:rPr>
              <w:t>Rta</w:t>
            </w:r>
            <w:r>
              <w:rPr>
                <w:rFonts w:hint="eastAsia"/>
                <w:color w:val="000000"/>
                <w:sz w:val="21"/>
                <w:szCs w:val="21"/>
              </w:rPr>
              <w:t>蛋白抗体</w:t>
            </w:r>
          </w:p>
        </w:tc>
        <w:tc>
          <w:tcPr>
            <w:tcW w:w="1843" w:type="dxa"/>
            <w:tcBorders>
              <w:top w:val="nil"/>
              <w:left w:val="nil"/>
              <w:bottom w:val="single" w:color="auto" w:sz="4" w:space="0"/>
              <w:right w:val="single" w:color="auto" w:sz="4" w:space="0"/>
            </w:tcBorders>
            <w:shd w:val="clear" w:color="auto" w:fill="auto"/>
            <w:vAlign w:val="center"/>
          </w:tcPr>
          <w:p>
            <w:pPr>
              <w:spacing w:after="0"/>
              <w:jc w:val="center"/>
              <w:rPr>
                <w:rFonts w:cs="宋体"/>
                <w:color w:val="000000"/>
                <w:sz w:val="21"/>
                <w:szCs w:val="21"/>
              </w:rPr>
            </w:pPr>
            <w:r>
              <w:rPr>
                <w:rFonts w:hint="eastAsia" w:cs="宋体"/>
                <w:color w:val="000000"/>
                <w:sz w:val="21"/>
                <w:szCs w:val="21"/>
              </w:rPr>
              <w:t>自主定价（需公示）</w:t>
            </w:r>
          </w:p>
        </w:tc>
        <w:tc>
          <w:tcPr>
            <w:tcW w:w="879" w:type="dxa"/>
            <w:tcBorders>
              <w:top w:val="nil"/>
              <w:left w:val="nil"/>
              <w:bottom w:val="single" w:color="auto" w:sz="4" w:space="0"/>
              <w:right w:val="single" w:color="auto" w:sz="4" w:space="0"/>
            </w:tcBorders>
            <w:shd w:val="clear" w:color="auto" w:fill="auto"/>
            <w:vAlign w:val="center"/>
          </w:tcPr>
          <w:p>
            <w:pPr>
              <w:spacing w:after="0"/>
              <w:jc w:val="center"/>
              <w:rPr>
                <w:color w:val="000000"/>
                <w:sz w:val="21"/>
                <w:szCs w:val="21"/>
              </w:rPr>
            </w:pPr>
            <w:r>
              <w:rPr>
                <w:color w:val="000000"/>
                <w:sz w:val="21"/>
                <w:szCs w:val="21"/>
              </w:rPr>
              <w:t>100</w:t>
            </w:r>
          </w:p>
        </w:tc>
      </w:tr>
    </w:tbl>
    <w:p>
      <w:pPr>
        <w:rPr>
          <w:sz w:val="21"/>
          <w:szCs w:val="21"/>
        </w:rPr>
      </w:pPr>
    </w:p>
    <w:p>
      <w:pPr>
        <w:pStyle w:val="2"/>
      </w:pPr>
      <w:r>
        <w:br w:type="page"/>
      </w:r>
    </w:p>
    <w:p>
      <w:pPr>
        <w:rPr>
          <w:bCs/>
          <w:sz w:val="21"/>
          <w:szCs w:val="21"/>
        </w:rPr>
      </w:pPr>
      <w:r>
        <w:rPr>
          <w:bCs/>
          <w:sz w:val="21"/>
          <w:szCs w:val="21"/>
        </w:rPr>
        <w:t>附件2</w:t>
      </w:r>
    </w:p>
    <w:p>
      <w:pPr>
        <w:jc w:val="center"/>
        <w:rPr>
          <w:b/>
          <w:bCs/>
          <w:sz w:val="21"/>
          <w:szCs w:val="21"/>
        </w:rPr>
      </w:pPr>
      <w:r>
        <w:rPr>
          <w:b/>
          <w:bCs/>
          <w:sz w:val="21"/>
          <w:szCs w:val="21"/>
        </w:rPr>
        <w:t>浙江省临床检验结果互认项目清单</w:t>
      </w:r>
    </w:p>
    <w:tbl>
      <w:tblPr>
        <w:tblStyle w:val="30"/>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72"/>
        <w:gridCol w:w="2724"/>
        <w:gridCol w:w="4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649" w:type="dxa"/>
            <w:vAlign w:val="center"/>
          </w:tcPr>
          <w:p>
            <w:pPr>
              <w:jc w:val="center"/>
              <w:textAlignment w:val="center"/>
              <w:rPr>
                <w:rFonts w:cs="黑体"/>
                <w:color w:val="000000"/>
                <w:sz w:val="21"/>
                <w:szCs w:val="21"/>
                <w:lang w:bidi="ar"/>
              </w:rPr>
            </w:pPr>
            <w:r>
              <w:rPr>
                <w:rFonts w:hint="eastAsia" w:cs="黑体"/>
                <w:color w:val="000000"/>
                <w:sz w:val="21"/>
                <w:szCs w:val="21"/>
                <w:lang w:bidi="ar"/>
              </w:rPr>
              <w:t>序号</w:t>
            </w:r>
          </w:p>
        </w:tc>
        <w:tc>
          <w:tcPr>
            <w:tcW w:w="1872" w:type="dxa"/>
            <w:vAlign w:val="center"/>
          </w:tcPr>
          <w:p>
            <w:pPr>
              <w:jc w:val="center"/>
              <w:textAlignment w:val="center"/>
              <w:rPr>
                <w:rFonts w:cs="黑体"/>
                <w:color w:val="000000"/>
                <w:sz w:val="21"/>
                <w:szCs w:val="21"/>
                <w:lang w:bidi="ar"/>
              </w:rPr>
            </w:pPr>
            <w:r>
              <w:rPr>
                <w:rFonts w:hint="eastAsia" w:cs="黑体"/>
                <w:color w:val="000000"/>
                <w:sz w:val="21"/>
                <w:szCs w:val="21"/>
                <w:lang w:bidi="ar"/>
              </w:rPr>
              <w:t>唯一编码</w:t>
            </w:r>
          </w:p>
        </w:tc>
        <w:tc>
          <w:tcPr>
            <w:tcW w:w="2724" w:type="dxa"/>
            <w:vAlign w:val="center"/>
          </w:tcPr>
          <w:p>
            <w:pPr>
              <w:jc w:val="center"/>
              <w:textAlignment w:val="center"/>
              <w:rPr>
                <w:rFonts w:cs="黑体"/>
                <w:color w:val="000000"/>
                <w:sz w:val="21"/>
                <w:szCs w:val="21"/>
                <w:lang w:bidi="ar"/>
              </w:rPr>
            </w:pPr>
            <w:r>
              <w:rPr>
                <w:rFonts w:hint="eastAsia" w:cs="黑体"/>
                <w:color w:val="000000"/>
                <w:sz w:val="21"/>
                <w:szCs w:val="21"/>
                <w:lang w:bidi="ar"/>
              </w:rPr>
              <w:t>项目规范中文名称</w:t>
            </w:r>
          </w:p>
        </w:tc>
        <w:tc>
          <w:tcPr>
            <w:tcW w:w="4807" w:type="dxa"/>
            <w:vAlign w:val="center"/>
          </w:tcPr>
          <w:p>
            <w:pPr>
              <w:jc w:val="center"/>
              <w:textAlignment w:val="center"/>
              <w:rPr>
                <w:rFonts w:cs="黑体"/>
                <w:color w:val="000000"/>
                <w:sz w:val="21"/>
                <w:szCs w:val="21"/>
                <w:lang w:bidi="ar"/>
              </w:rPr>
            </w:pPr>
            <w:r>
              <w:rPr>
                <w:rFonts w:hint="eastAsia" w:cs="黑体"/>
                <w:color w:val="000000"/>
                <w:sz w:val="21"/>
                <w:szCs w:val="21"/>
                <w:lang w:bidi="ar"/>
              </w:rPr>
              <w:t>套餐组合内包含项目及备注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1</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25010101500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血常规</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至少含白细胞及分类、红细胞、血红蛋白、血小板、红细胞压积、平均红细胞体积、平均血红蛋白量、平均血红蛋白浓度（8项）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2</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25010200100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尿常规</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至少含酸碱度、比重、胆红素、酮体、蛋白质、亚硝酸盐、葡萄糖、白细胞、尿胆原、潜血及各项镜检（10项）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3</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25010300100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粪便常规</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4</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25010300200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粪便隐血试验</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5</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25020302000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凝血酶原时间</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6</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25020302500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活化部分凝血活酶时间</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7</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25020303000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纤维蛋白原</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8</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25020303500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凝血酶时间</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9</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25020390100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凝血功能常规检查</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含血浆凝血酶原时间、活化部分凝血活酶时间、血浆纤维蛋白原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10</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25030100100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总蛋白</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11</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25030100200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白蛋白</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12</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25030100600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前白蛋白</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13</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25030190200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生化筛查常规检查</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至少含总蛋白、白蛋白、丙氨酸氨基转移酶、总胆红素、直接胆红素、尿素、肌酐、尿酸、钾、钠、氯、总胆固醇、甘油三酯、高密度脂蛋白胆固醇、葡萄糖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14</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25030200100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葡萄糖</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15</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25030200300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糖化血红蛋白（A1c）</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16</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25030300100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总胆固醇</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17</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25030300200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甘油三酯</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18</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25030300400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高密度脂蛋白胆固醇</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19</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25030300500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低密度脂蛋白胆固醇</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20</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25030300700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载脂蛋白AI</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21</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25030300900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载脂蛋白B</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22</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25030301300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脂蛋白(a)</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23</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25030390100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血脂常规检查</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含总胆固醇、甘油三酯、高密度脂蛋白胆固醇、低密度脂蛋白胆固醇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24</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25030400101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钾</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25</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25030400201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钠</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26</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25030400301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氯</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27</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25030400401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钙</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28</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25030400500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无机磷</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29</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25030400600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镁</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30</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25030400700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铁</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31</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25030500100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总胆红素</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32</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25030500200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直接胆红素</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33</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25030500700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丙氨酸氨基转移酶</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34</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25030500800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天门冬氨酸氨基转移酶</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35</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25030500900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γ-谷氨酰基转移酶</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36</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25030501100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碱性磷酸酶</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37</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25030501400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胆碱酯酶</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38</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25030590100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肝功能常规检查</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至少含总蛋白、白蛋白、天门冬氨酸氨基转移酶、丙氨酸氨基转移酶、碱性磷酸酶、γ-谷氨酰基转移酶、总胆红素、直接胆红素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39</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25030600100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肌酸激酶</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40</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25030600500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乳酸脱氢酶</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41</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25030601100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同型半胱氨酸</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42</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25030700100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尿素</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43</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25030700200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肌酐</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44</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25030700500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尿酸</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45</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25030790100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肾功能常规检查</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含尿素、肌酐、尿酸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46</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25030800400-1</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血淀粉酶</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47</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25030800400-2</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尿淀粉酶</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48</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25031000100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促甲状腺激素(TSH)</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49</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25031001000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甲状腺素(T4)</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50</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25031001100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三碘甲状原氨酸(T3)</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51</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25031001300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游离甲状腺素(FT4)</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52</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25031001400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游离三碘甲状原氨酸(FT3)</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53</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25031003800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人绒毛膜促性腺激素</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54</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25031003900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胰岛素</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55</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25031004100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C-肽</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56</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25031090100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甲状腺功能常规检查</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含促甲状腺激素、甲状腺素、三碘甲状原氨酸、游离甲状腺素、游离三碘甲状原氨酸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57</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25040102004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补体C3</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58</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25040102005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补体C4</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59</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25040102300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免疫球蛋白A(IgA)</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60</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25040102301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免疫球蛋白G(IgG)</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61</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25040102302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免疫球蛋白M(IgM)</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62</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25040102304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免疫球蛋白E(IgE)</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63</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25040102500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C反应蛋白</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64</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25040301300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丙型肝炎病毒核酸检测</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65</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25040306500-1</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巨细胞病毒核酸检测</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66</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25040306500-2</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EB病毒核酸检测</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67</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25040306500-3</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沙眼衣原体核酸检测</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68</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25040306500-4</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淋球菌核酸检测</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69</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25040306600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人乳头瘤病毒核酸检测</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70</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癌胚抗原（CEA）</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须标注检测系统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71</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25040400200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甲胎蛋白（AFP）</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须标注检测系统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72</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25040400500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总前列腺特异性抗原（t-PSA）</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须标注检测系统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73</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25040400600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游离前列腺特异性抗原（f-PSA）</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须标注检测系统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74</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25040400900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神经元特异性烯醇化酶(NSE)</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须标注检测系统，原则上在相同检测系统条件下互认，不同检测系统酌情互认。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75</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25040401000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细胞角蛋白19片段测定(CYFRA21-1)</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须标注检测系统，原则上在相同检测系统条件下互认，不同检测系统酌情互认。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76</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25040401103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糖类抗原CA15-3</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须标注检测系统，原则上在相同检测系统条件下互认，不同检测系统酌情互认。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77</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25040401105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糖类抗原CA19-9</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须标注检测系统，原则上在相同检测系统条件下互认，不同检测系统酌情互认。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78</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25040401107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糖类抗原CA125</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须标注检测系统，原则上在相同检测系统条件下互认，不同检测系统酌情互认。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79</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25040401108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糖类抗原CA72-4</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须标注检测系统，原则上在相同检测系统条件下互认，不同检测系统酌情互认。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80</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25040401200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鳞状细胞癌相关抗原(SCC)</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须标注检测系统，原则上在相同检测系统条件下互认，不同检测系统酌情互认。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81</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25040401500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铁蛋白</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82</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25040490100</w:t>
            </w:r>
          </w:p>
          <w:p>
            <w:pPr>
              <w:textAlignment w:val="center"/>
              <w:rPr>
                <w:rFonts w:eastAsia="仿宋_GB2312"/>
                <w:color w:val="000000"/>
                <w:sz w:val="21"/>
                <w:szCs w:val="21"/>
                <w:lang w:bidi="ar"/>
              </w:rPr>
            </w:pP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肿瘤标志物检测</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含癌胚抗原测定(CEA)、甲胎蛋白测定（AFP）、糖类抗原测定CA19-9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83</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25050100100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细菌涂片检查</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84</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25050100200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结核分枝杆菌涂片检查</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85</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25050100800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耐甲氧西林葡萄球菌检测（MRSA、MRS）</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86</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25050100900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一般细菌培养及鉴定</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87</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25050101000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尿培养加菌落计数</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88</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25050101800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霍乱弧菌培养及鉴定</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89</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25050102400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O—157大肠埃希菌培养及鉴定</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90</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25050102600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真菌涂片检查</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91</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25070001202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新型冠状病毒核酸检测</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92</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25070100100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乙型肝炎病毒核酸检测</w:t>
            </w:r>
          </w:p>
        </w:tc>
        <w:tc>
          <w:tcPr>
            <w:tcW w:w="4807" w:type="dxa"/>
            <w:vAlign w:val="center"/>
          </w:tcPr>
          <w:p>
            <w:pPr>
              <w:textAlignment w:val="center"/>
              <w:rPr>
                <w:rFonts w:eastAsia="仿宋_GB2312"/>
                <w:color w:val="000000"/>
                <w:sz w:val="21"/>
                <w:szCs w:val="21"/>
                <w:lang w:bidi="ar"/>
              </w:rPr>
            </w:pPr>
            <w:r>
              <w:rPr>
                <w:rFonts w:eastAsia="仿宋_GB2312"/>
                <w:color w:val="00000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9" w:type="dxa"/>
            <w:vAlign w:val="center"/>
          </w:tcPr>
          <w:p>
            <w:pPr>
              <w:jc w:val="center"/>
              <w:textAlignment w:val="center"/>
              <w:rPr>
                <w:rFonts w:eastAsia="仿宋_GB2312"/>
                <w:color w:val="000000"/>
                <w:sz w:val="21"/>
                <w:szCs w:val="21"/>
                <w:lang w:bidi="ar"/>
              </w:rPr>
            </w:pPr>
            <w:r>
              <w:rPr>
                <w:rFonts w:eastAsia="仿宋_GB2312"/>
                <w:color w:val="000000"/>
                <w:sz w:val="21"/>
                <w:szCs w:val="21"/>
                <w:lang w:bidi="ar"/>
              </w:rPr>
              <w:t>93</w:t>
            </w:r>
          </w:p>
        </w:tc>
        <w:tc>
          <w:tcPr>
            <w:tcW w:w="1872" w:type="dxa"/>
            <w:vAlign w:val="center"/>
          </w:tcPr>
          <w:p>
            <w:pPr>
              <w:textAlignment w:val="center"/>
              <w:rPr>
                <w:rFonts w:eastAsia="仿宋_GB2312"/>
                <w:color w:val="000000"/>
                <w:sz w:val="21"/>
                <w:szCs w:val="21"/>
                <w:lang w:bidi="ar"/>
              </w:rPr>
            </w:pPr>
            <w:r>
              <w:rPr>
                <w:rFonts w:eastAsia="仿宋_GB2312"/>
                <w:color w:val="000000"/>
                <w:sz w:val="21"/>
                <w:szCs w:val="21"/>
                <w:lang w:bidi="ar"/>
              </w:rPr>
              <w:t xml:space="preserve">25070100500 </w:t>
            </w:r>
          </w:p>
        </w:tc>
        <w:tc>
          <w:tcPr>
            <w:tcW w:w="2724" w:type="dxa"/>
            <w:vAlign w:val="center"/>
          </w:tcPr>
          <w:p>
            <w:pPr>
              <w:textAlignment w:val="center"/>
              <w:rPr>
                <w:rFonts w:eastAsia="仿宋_GB2312"/>
                <w:color w:val="000000"/>
                <w:sz w:val="21"/>
                <w:szCs w:val="21"/>
                <w:lang w:bidi="ar"/>
              </w:rPr>
            </w:pPr>
            <w:r>
              <w:rPr>
                <w:rFonts w:eastAsia="仿宋_GB2312"/>
                <w:color w:val="000000"/>
                <w:sz w:val="21"/>
                <w:szCs w:val="21"/>
                <w:lang w:bidi="ar"/>
              </w:rPr>
              <w:t>结核分枝杆菌核酸检测</w:t>
            </w:r>
          </w:p>
        </w:tc>
        <w:tc>
          <w:tcPr>
            <w:tcW w:w="4807" w:type="dxa"/>
            <w:vAlign w:val="center"/>
          </w:tcPr>
          <w:p>
            <w:pPr>
              <w:textAlignment w:val="center"/>
              <w:rPr>
                <w:rFonts w:eastAsia="仿宋_GB2312"/>
                <w:color w:val="000000"/>
                <w:sz w:val="21"/>
                <w:szCs w:val="21"/>
                <w:lang w:bidi="ar"/>
              </w:rPr>
            </w:pPr>
          </w:p>
        </w:tc>
      </w:tr>
    </w:tbl>
    <w:p>
      <w:pPr>
        <w:pStyle w:val="16"/>
        <w:rPr>
          <w:rFonts w:eastAsia="仿宋_GB2312"/>
          <w:sz w:val="32"/>
          <w:szCs w:val="32"/>
        </w:rPr>
      </w:pPr>
    </w:p>
    <w:p/>
    <w:p>
      <w:pPr>
        <w:spacing w:after="0"/>
      </w:pPr>
      <w:r>
        <w:br w:type="page"/>
      </w:r>
    </w:p>
    <w:p>
      <w:pPr>
        <w:spacing w:after="0"/>
        <w:jc w:val="center"/>
        <w:rPr>
          <w:b/>
          <w:bCs/>
          <w:sz w:val="36"/>
          <w:szCs w:val="36"/>
        </w:rPr>
      </w:pPr>
      <w:r>
        <w:rPr>
          <w:rFonts w:hint="eastAsia"/>
          <w:b/>
          <w:bCs/>
          <w:sz w:val="36"/>
          <w:szCs w:val="36"/>
        </w:rPr>
        <w:t>第四部分</w:t>
      </w:r>
      <w:r>
        <w:rPr>
          <w:b/>
          <w:bCs/>
          <w:sz w:val="36"/>
          <w:szCs w:val="36"/>
        </w:rPr>
        <w:t xml:space="preserve">   </w:t>
      </w:r>
      <w:bookmarkStart w:id="2" w:name="_Toc184312108"/>
      <w:bookmarkEnd w:id="2"/>
      <w:bookmarkStart w:id="3" w:name="_Toc184312106"/>
      <w:bookmarkEnd w:id="3"/>
      <w:bookmarkStart w:id="4" w:name="_Toc184312079"/>
      <w:bookmarkEnd w:id="4"/>
      <w:bookmarkStart w:id="5" w:name="_Toc184312122"/>
      <w:bookmarkEnd w:id="5"/>
      <w:bookmarkStart w:id="6" w:name="_Toc184310310"/>
      <w:bookmarkEnd w:id="6"/>
      <w:bookmarkStart w:id="7" w:name="_Toc184312137"/>
      <w:bookmarkEnd w:id="7"/>
      <w:bookmarkStart w:id="8" w:name="_Toc184310322"/>
      <w:bookmarkEnd w:id="8"/>
      <w:bookmarkStart w:id="9" w:name="_Toc184314431"/>
      <w:bookmarkEnd w:id="9"/>
      <w:bookmarkStart w:id="10" w:name="_Toc184308055"/>
      <w:bookmarkEnd w:id="10"/>
      <w:bookmarkStart w:id="11" w:name="_Toc184308044"/>
      <w:bookmarkEnd w:id="11"/>
      <w:bookmarkStart w:id="12" w:name="_Toc184314427"/>
      <w:bookmarkEnd w:id="12"/>
      <w:bookmarkStart w:id="13" w:name="_Toc184310319"/>
      <w:bookmarkEnd w:id="13"/>
      <w:bookmarkStart w:id="14" w:name="_Toc184313263"/>
      <w:bookmarkEnd w:id="14"/>
      <w:bookmarkStart w:id="15" w:name="_Toc184308102"/>
      <w:bookmarkEnd w:id="15"/>
      <w:bookmarkStart w:id="16" w:name="_Toc184314445"/>
      <w:bookmarkEnd w:id="16"/>
      <w:bookmarkStart w:id="17" w:name="_Toc184312117"/>
      <w:bookmarkEnd w:id="17"/>
      <w:bookmarkStart w:id="18" w:name="_Toc184313293"/>
      <w:bookmarkEnd w:id="18"/>
      <w:bookmarkStart w:id="19" w:name="_Toc184310272"/>
      <w:bookmarkEnd w:id="19"/>
      <w:bookmarkStart w:id="20" w:name="_Toc184310321"/>
      <w:bookmarkEnd w:id="20"/>
      <w:bookmarkStart w:id="21" w:name="_Toc184313294"/>
      <w:bookmarkEnd w:id="21"/>
      <w:bookmarkStart w:id="22" w:name="_Toc184313298"/>
      <w:bookmarkEnd w:id="22"/>
      <w:bookmarkStart w:id="23" w:name="_Toc184308075"/>
      <w:bookmarkEnd w:id="23"/>
      <w:bookmarkStart w:id="24" w:name="_Toc184308042"/>
      <w:bookmarkEnd w:id="24"/>
      <w:bookmarkStart w:id="25" w:name="_Toc184310283"/>
      <w:bookmarkEnd w:id="25"/>
      <w:bookmarkStart w:id="26" w:name="_Toc184308104"/>
      <w:bookmarkEnd w:id="26"/>
      <w:bookmarkStart w:id="27" w:name="_Toc184310306"/>
      <w:bookmarkEnd w:id="27"/>
      <w:bookmarkStart w:id="28" w:name="_Toc184312086"/>
      <w:bookmarkEnd w:id="28"/>
      <w:bookmarkStart w:id="29" w:name="_Toc184314420"/>
      <w:bookmarkEnd w:id="29"/>
      <w:bookmarkStart w:id="30" w:name="_Toc184308062"/>
      <w:bookmarkEnd w:id="30"/>
      <w:bookmarkStart w:id="31" w:name="_Toc184312112"/>
      <w:bookmarkEnd w:id="31"/>
      <w:bookmarkStart w:id="32" w:name="_Toc184313273"/>
      <w:bookmarkEnd w:id="32"/>
      <w:bookmarkStart w:id="33" w:name="_Toc184312073"/>
      <w:bookmarkEnd w:id="33"/>
      <w:bookmarkStart w:id="34" w:name="_Toc184312085"/>
      <w:bookmarkEnd w:id="34"/>
      <w:bookmarkStart w:id="35" w:name="_Toc184308058"/>
      <w:bookmarkEnd w:id="35"/>
      <w:bookmarkStart w:id="36" w:name="_Toc184314443"/>
      <w:bookmarkEnd w:id="36"/>
      <w:bookmarkStart w:id="37" w:name="_Toc184313308"/>
      <w:bookmarkEnd w:id="37"/>
      <w:bookmarkStart w:id="38" w:name="_Toc184312072"/>
      <w:bookmarkEnd w:id="38"/>
      <w:bookmarkStart w:id="39" w:name="_Toc184313239"/>
      <w:bookmarkEnd w:id="39"/>
      <w:bookmarkStart w:id="40" w:name="_Toc184310304"/>
      <w:bookmarkEnd w:id="40"/>
      <w:bookmarkStart w:id="41" w:name="_Toc184312092"/>
      <w:bookmarkEnd w:id="41"/>
      <w:bookmarkStart w:id="42" w:name="_Toc184313285"/>
      <w:bookmarkEnd w:id="42"/>
      <w:bookmarkStart w:id="43" w:name="_Toc184310315"/>
      <w:bookmarkEnd w:id="43"/>
      <w:bookmarkStart w:id="44" w:name="_Toc184313259"/>
      <w:bookmarkEnd w:id="44"/>
      <w:bookmarkStart w:id="45" w:name="_Toc184314423"/>
      <w:bookmarkEnd w:id="45"/>
      <w:bookmarkStart w:id="46" w:name="_Toc184308045"/>
      <w:bookmarkEnd w:id="46"/>
      <w:bookmarkStart w:id="47" w:name="_Toc184312100"/>
      <w:bookmarkEnd w:id="47"/>
      <w:bookmarkStart w:id="48" w:name="_Toc184314449"/>
      <w:bookmarkEnd w:id="48"/>
      <w:bookmarkStart w:id="49" w:name="_Toc184314440"/>
      <w:bookmarkEnd w:id="49"/>
      <w:bookmarkStart w:id="50" w:name="_Toc184312091"/>
      <w:bookmarkEnd w:id="50"/>
      <w:bookmarkStart w:id="51" w:name="_Toc184310339"/>
      <w:bookmarkEnd w:id="51"/>
      <w:bookmarkStart w:id="52" w:name="_Toc184313278"/>
      <w:bookmarkEnd w:id="52"/>
      <w:bookmarkStart w:id="53" w:name="_Toc184308094"/>
      <w:bookmarkEnd w:id="53"/>
      <w:bookmarkStart w:id="54" w:name="_Toc184314473"/>
      <w:bookmarkEnd w:id="54"/>
      <w:bookmarkStart w:id="55" w:name="_Toc184314459"/>
      <w:bookmarkEnd w:id="55"/>
      <w:bookmarkStart w:id="56" w:name="_Toc184312103"/>
      <w:bookmarkEnd w:id="56"/>
      <w:bookmarkStart w:id="57" w:name="_Toc184310314"/>
      <w:bookmarkEnd w:id="57"/>
      <w:bookmarkStart w:id="58" w:name="_Toc184308103"/>
      <w:bookmarkEnd w:id="58"/>
      <w:bookmarkStart w:id="59" w:name="_Toc184308079"/>
      <w:bookmarkEnd w:id="59"/>
      <w:bookmarkStart w:id="60" w:name="_Toc184312120"/>
      <w:bookmarkEnd w:id="60"/>
      <w:bookmarkStart w:id="61" w:name="_Toc184308077"/>
      <w:bookmarkEnd w:id="61"/>
      <w:bookmarkStart w:id="62" w:name="_Toc184314456"/>
      <w:bookmarkEnd w:id="62"/>
      <w:bookmarkStart w:id="63" w:name="_Toc184314472"/>
      <w:bookmarkEnd w:id="63"/>
      <w:bookmarkStart w:id="64" w:name="_Toc184314417"/>
      <w:bookmarkEnd w:id="64"/>
      <w:bookmarkStart w:id="65" w:name="_Toc184313241"/>
      <w:bookmarkEnd w:id="65"/>
      <w:bookmarkStart w:id="66" w:name="_Toc184312121"/>
      <w:bookmarkEnd w:id="66"/>
      <w:bookmarkStart w:id="67" w:name="_Toc184313260"/>
      <w:bookmarkEnd w:id="67"/>
      <w:bookmarkStart w:id="68" w:name="_Toc184314415"/>
      <w:bookmarkEnd w:id="68"/>
      <w:bookmarkStart w:id="69" w:name="_Toc184313262"/>
      <w:bookmarkEnd w:id="69"/>
      <w:bookmarkStart w:id="70" w:name="_Toc184314425"/>
      <w:bookmarkEnd w:id="70"/>
      <w:bookmarkStart w:id="71" w:name="_Toc184312087"/>
      <w:bookmarkEnd w:id="71"/>
      <w:bookmarkStart w:id="72" w:name="_Toc184310289"/>
      <w:bookmarkEnd w:id="72"/>
      <w:bookmarkStart w:id="73" w:name="_Toc184308040"/>
      <w:bookmarkEnd w:id="73"/>
      <w:bookmarkStart w:id="74" w:name="_Toc184310316"/>
      <w:bookmarkEnd w:id="74"/>
      <w:bookmarkStart w:id="75" w:name="_Toc184310320"/>
      <w:bookmarkEnd w:id="75"/>
      <w:bookmarkStart w:id="76" w:name="_Toc184312123"/>
      <w:bookmarkEnd w:id="76"/>
      <w:bookmarkStart w:id="77" w:name="_Toc184310308"/>
      <w:bookmarkEnd w:id="77"/>
      <w:bookmarkStart w:id="78" w:name="_Toc184310290"/>
      <w:bookmarkEnd w:id="78"/>
      <w:bookmarkStart w:id="79" w:name="_Toc184313297"/>
      <w:bookmarkEnd w:id="79"/>
      <w:bookmarkStart w:id="80" w:name="_Toc184310287"/>
      <w:bookmarkEnd w:id="80"/>
      <w:bookmarkStart w:id="81" w:name="_Toc184308091"/>
      <w:bookmarkEnd w:id="81"/>
      <w:bookmarkStart w:id="82" w:name="_Toc184314447"/>
      <w:bookmarkEnd w:id="82"/>
      <w:bookmarkStart w:id="83" w:name="_Toc184312074"/>
      <w:bookmarkEnd w:id="83"/>
      <w:bookmarkStart w:id="84" w:name="_Toc184314434"/>
      <w:bookmarkEnd w:id="84"/>
      <w:bookmarkStart w:id="85" w:name="_Toc184313304"/>
      <w:bookmarkEnd w:id="85"/>
      <w:bookmarkStart w:id="86" w:name="_Toc184308081"/>
      <w:bookmarkEnd w:id="86"/>
      <w:bookmarkStart w:id="87" w:name="_Toc184314446"/>
      <w:bookmarkEnd w:id="87"/>
      <w:bookmarkStart w:id="88" w:name="_Toc184312077"/>
      <w:bookmarkEnd w:id="88"/>
      <w:bookmarkStart w:id="89" w:name="_Toc184312102"/>
      <w:bookmarkEnd w:id="89"/>
      <w:bookmarkStart w:id="90" w:name="_Toc184314424"/>
      <w:bookmarkEnd w:id="90"/>
      <w:bookmarkStart w:id="91" w:name="_Toc184312097"/>
      <w:bookmarkEnd w:id="91"/>
      <w:bookmarkStart w:id="92" w:name="_Toc184313252"/>
      <w:bookmarkEnd w:id="92"/>
      <w:bookmarkStart w:id="93" w:name="_Toc184308084"/>
      <w:bookmarkEnd w:id="93"/>
      <w:bookmarkStart w:id="94" w:name="_Toc184314467"/>
      <w:bookmarkEnd w:id="94"/>
      <w:bookmarkStart w:id="95" w:name="_Toc184313244"/>
      <w:bookmarkEnd w:id="95"/>
      <w:bookmarkStart w:id="96" w:name="_Toc184314432"/>
      <w:bookmarkEnd w:id="96"/>
      <w:bookmarkStart w:id="97" w:name="_Toc184314468"/>
      <w:bookmarkEnd w:id="97"/>
      <w:bookmarkStart w:id="98" w:name="_Toc184310300"/>
      <w:bookmarkEnd w:id="98"/>
      <w:bookmarkStart w:id="99" w:name="_Toc184308054"/>
      <w:bookmarkEnd w:id="99"/>
      <w:bookmarkStart w:id="100" w:name="_Toc184314442"/>
      <w:bookmarkEnd w:id="100"/>
      <w:bookmarkStart w:id="101" w:name="_Toc184313256"/>
      <w:bookmarkEnd w:id="101"/>
      <w:bookmarkStart w:id="102" w:name="_Toc184314421"/>
      <w:bookmarkEnd w:id="102"/>
      <w:bookmarkStart w:id="103" w:name="_Toc184308065"/>
      <w:bookmarkEnd w:id="103"/>
      <w:bookmarkStart w:id="104" w:name="_Toc184308071"/>
      <w:bookmarkEnd w:id="104"/>
      <w:bookmarkStart w:id="105" w:name="_Toc184312113"/>
      <w:bookmarkEnd w:id="105"/>
      <w:bookmarkStart w:id="106" w:name="_Toc184310301"/>
      <w:bookmarkEnd w:id="106"/>
      <w:bookmarkStart w:id="107" w:name="_Toc184314439"/>
      <w:bookmarkEnd w:id="107"/>
      <w:bookmarkStart w:id="108" w:name="_Toc184314481"/>
      <w:bookmarkEnd w:id="108"/>
      <w:bookmarkStart w:id="109" w:name="_Toc184308089"/>
      <w:bookmarkEnd w:id="109"/>
      <w:bookmarkStart w:id="110" w:name="_Toc184313250"/>
      <w:bookmarkEnd w:id="110"/>
      <w:bookmarkStart w:id="111" w:name="_Toc184310280"/>
      <w:bookmarkEnd w:id="111"/>
      <w:bookmarkStart w:id="112" w:name="_Toc184314413"/>
      <w:bookmarkEnd w:id="112"/>
      <w:bookmarkStart w:id="113" w:name="_Toc184308088"/>
      <w:bookmarkEnd w:id="113"/>
      <w:bookmarkStart w:id="114" w:name="_Toc184312109"/>
      <w:bookmarkEnd w:id="114"/>
      <w:bookmarkStart w:id="115" w:name="_Toc184312116"/>
      <w:bookmarkEnd w:id="115"/>
      <w:bookmarkStart w:id="116" w:name="_Toc184313249"/>
      <w:bookmarkEnd w:id="116"/>
      <w:bookmarkStart w:id="117" w:name="_Toc184308085"/>
      <w:bookmarkEnd w:id="117"/>
      <w:bookmarkStart w:id="118" w:name="_Toc184314419"/>
      <w:bookmarkEnd w:id="118"/>
      <w:bookmarkStart w:id="119" w:name="_Toc184312068"/>
      <w:bookmarkEnd w:id="119"/>
      <w:bookmarkStart w:id="120" w:name="_Toc184308039"/>
      <w:bookmarkEnd w:id="120"/>
      <w:bookmarkStart w:id="121" w:name="_Toc184313310"/>
      <w:bookmarkEnd w:id="121"/>
      <w:bookmarkStart w:id="122" w:name="_Toc184313287"/>
      <w:bookmarkEnd w:id="122"/>
      <w:bookmarkStart w:id="123" w:name="_Toc184310294"/>
      <w:bookmarkEnd w:id="123"/>
      <w:bookmarkStart w:id="124" w:name="_Toc184308093"/>
      <w:bookmarkEnd w:id="124"/>
      <w:bookmarkStart w:id="125" w:name="_Toc184310333"/>
      <w:bookmarkEnd w:id="125"/>
      <w:bookmarkStart w:id="126" w:name="_Toc184310299"/>
      <w:bookmarkEnd w:id="126"/>
      <w:bookmarkStart w:id="127" w:name="_Toc184312067"/>
      <w:bookmarkEnd w:id="127"/>
      <w:bookmarkStart w:id="128" w:name="_Toc184314475"/>
      <w:bookmarkEnd w:id="128"/>
      <w:bookmarkStart w:id="129" w:name="_Toc184308066"/>
      <w:bookmarkEnd w:id="129"/>
      <w:bookmarkStart w:id="130" w:name="_Toc184313277"/>
      <w:bookmarkEnd w:id="130"/>
      <w:bookmarkStart w:id="131" w:name="_Toc184308096"/>
      <w:bookmarkEnd w:id="131"/>
      <w:bookmarkStart w:id="132" w:name="_Toc184314480"/>
      <w:bookmarkEnd w:id="132"/>
      <w:bookmarkStart w:id="133" w:name="_Toc184312096"/>
      <w:bookmarkEnd w:id="133"/>
      <w:bookmarkStart w:id="134" w:name="_Toc184314460"/>
      <w:bookmarkEnd w:id="134"/>
      <w:bookmarkStart w:id="135" w:name="_Toc184313265"/>
      <w:bookmarkEnd w:id="135"/>
      <w:bookmarkStart w:id="136" w:name="_Toc184313306"/>
      <w:bookmarkEnd w:id="136"/>
      <w:bookmarkStart w:id="137" w:name="_Toc184310305"/>
      <w:bookmarkEnd w:id="137"/>
      <w:bookmarkStart w:id="138" w:name="_Toc184313295"/>
      <w:bookmarkEnd w:id="138"/>
      <w:bookmarkStart w:id="139" w:name="_Toc184312125"/>
      <w:bookmarkEnd w:id="139"/>
      <w:bookmarkStart w:id="140" w:name="_Toc184313309"/>
      <w:bookmarkEnd w:id="140"/>
      <w:bookmarkStart w:id="141" w:name="_Toc184313284"/>
      <w:bookmarkEnd w:id="141"/>
      <w:bookmarkStart w:id="142" w:name="_Toc184310273"/>
      <w:bookmarkEnd w:id="142"/>
      <w:bookmarkStart w:id="143" w:name="_Toc184313305"/>
      <w:bookmarkEnd w:id="143"/>
      <w:bookmarkStart w:id="144" w:name="_Toc184314426"/>
      <w:bookmarkEnd w:id="144"/>
      <w:bookmarkStart w:id="145" w:name="_Toc184308082"/>
      <w:bookmarkEnd w:id="145"/>
      <w:bookmarkStart w:id="146" w:name="_Toc184310323"/>
      <w:bookmarkEnd w:id="146"/>
      <w:bookmarkStart w:id="147" w:name="_Toc184313238"/>
      <w:bookmarkEnd w:id="147"/>
      <w:bookmarkStart w:id="148" w:name="_Toc184313274"/>
      <w:bookmarkEnd w:id="148"/>
      <w:bookmarkStart w:id="149" w:name="_Toc184310285"/>
      <w:bookmarkEnd w:id="149"/>
      <w:bookmarkStart w:id="150" w:name="_Toc184314414"/>
      <w:bookmarkEnd w:id="150"/>
      <w:bookmarkStart w:id="151" w:name="_Toc184308108"/>
      <w:bookmarkEnd w:id="151"/>
      <w:bookmarkStart w:id="152" w:name="_Toc184308064"/>
      <w:bookmarkEnd w:id="152"/>
      <w:bookmarkStart w:id="153" w:name="_Toc184308047"/>
      <w:bookmarkEnd w:id="153"/>
      <w:bookmarkStart w:id="154" w:name="_Toc184312104"/>
      <w:bookmarkEnd w:id="154"/>
      <w:bookmarkStart w:id="155" w:name="_Toc184314428"/>
      <w:bookmarkEnd w:id="155"/>
      <w:bookmarkStart w:id="156" w:name="_Toc184310328"/>
      <w:bookmarkEnd w:id="156"/>
      <w:bookmarkStart w:id="157" w:name="_Toc184310338"/>
      <w:bookmarkEnd w:id="157"/>
      <w:bookmarkStart w:id="158" w:name="_Toc184310291"/>
      <w:bookmarkEnd w:id="158"/>
      <w:bookmarkStart w:id="159" w:name="_Toc184310278"/>
      <w:bookmarkEnd w:id="159"/>
      <w:bookmarkStart w:id="160" w:name="_Toc184314411"/>
      <w:bookmarkEnd w:id="160"/>
      <w:bookmarkStart w:id="161" w:name="_Toc184312110"/>
      <w:bookmarkEnd w:id="161"/>
      <w:bookmarkStart w:id="162" w:name="_Toc184314458"/>
      <w:bookmarkEnd w:id="162"/>
      <w:bookmarkStart w:id="163" w:name="_Toc184313264"/>
      <w:bookmarkEnd w:id="163"/>
      <w:bookmarkStart w:id="164" w:name="_Toc184308100"/>
      <w:bookmarkEnd w:id="164"/>
      <w:bookmarkStart w:id="165" w:name="_Toc184312139"/>
      <w:bookmarkEnd w:id="165"/>
      <w:bookmarkStart w:id="166" w:name="_Toc184314457"/>
      <w:bookmarkEnd w:id="166"/>
      <w:bookmarkStart w:id="167" w:name="_Toc184313286"/>
      <w:bookmarkEnd w:id="167"/>
      <w:bookmarkStart w:id="168" w:name="_Toc184310279"/>
      <w:bookmarkEnd w:id="168"/>
      <w:bookmarkStart w:id="169" w:name="_Toc184310312"/>
      <w:bookmarkEnd w:id="169"/>
      <w:bookmarkStart w:id="170" w:name="_Toc184313267"/>
      <w:bookmarkEnd w:id="170"/>
      <w:bookmarkStart w:id="171" w:name="_Toc184308041"/>
      <w:bookmarkEnd w:id="171"/>
      <w:bookmarkStart w:id="172" w:name="_Toc184314477"/>
      <w:bookmarkEnd w:id="172"/>
      <w:bookmarkStart w:id="173" w:name="_Toc184312078"/>
      <w:bookmarkEnd w:id="173"/>
      <w:bookmarkStart w:id="174" w:name="_Toc184313254"/>
      <w:bookmarkEnd w:id="174"/>
      <w:bookmarkStart w:id="175" w:name="_Toc184308072"/>
      <w:bookmarkEnd w:id="175"/>
      <w:bookmarkStart w:id="176" w:name="_Toc184308038"/>
      <w:bookmarkEnd w:id="176"/>
      <w:bookmarkStart w:id="177" w:name="_Toc184312138"/>
      <w:bookmarkEnd w:id="177"/>
      <w:bookmarkStart w:id="178" w:name="_Toc184313251"/>
      <w:bookmarkEnd w:id="178"/>
      <w:bookmarkStart w:id="179" w:name="_Toc184308090"/>
      <w:bookmarkEnd w:id="179"/>
      <w:bookmarkStart w:id="180" w:name="_Toc184314478"/>
      <w:bookmarkEnd w:id="180"/>
      <w:bookmarkStart w:id="181" w:name="_Toc184308059"/>
      <w:bookmarkEnd w:id="181"/>
      <w:bookmarkStart w:id="182" w:name="_Toc184313282"/>
      <w:bookmarkEnd w:id="182"/>
      <w:bookmarkStart w:id="183" w:name="_Toc184312075"/>
      <w:bookmarkEnd w:id="183"/>
      <w:bookmarkStart w:id="184" w:name="_Toc184310274"/>
      <w:bookmarkEnd w:id="184"/>
      <w:bookmarkStart w:id="185" w:name="_Toc184313290"/>
      <w:bookmarkEnd w:id="185"/>
      <w:bookmarkStart w:id="186" w:name="_Toc184314465"/>
      <w:bookmarkEnd w:id="186"/>
      <w:bookmarkStart w:id="187" w:name="_Toc184314444"/>
      <w:bookmarkEnd w:id="187"/>
      <w:bookmarkStart w:id="188" w:name="_Toc184312111"/>
      <w:bookmarkEnd w:id="188"/>
      <w:bookmarkStart w:id="189" w:name="_Toc184310286"/>
      <w:bookmarkEnd w:id="189"/>
      <w:bookmarkStart w:id="190" w:name="_Toc184312136"/>
      <w:bookmarkEnd w:id="190"/>
      <w:bookmarkStart w:id="191" w:name="_Toc184308074"/>
      <w:bookmarkEnd w:id="191"/>
      <w:bookmarkStart w:id="192" w:name="_Toc184314418"/>
      <w:bookmarkEnd w:id="192"/>
      <w:bookmarkStart w:id="193" w:name="_Toc184314429"/>
      <w:bookmarkEnd w:id="193"/>
      <w:bookmarkStart w:id="194" w:name="_Toc184312105"/>
      <w:bookmarkEnd w:id="194"/>
      <w:bookmarkStart w:id="195" w:name="_Toc184308106"/>
      <w:bookmarkEnd w:id="195"/>
      <w:bookmarkStart w:id="196" w:name="_Toc184313291"/>
      <w:bookmarkEnd w:id="196"/>
      <w:bookmarkStart w:id="197" w:name="_Toc184313269"/>
      <w:bookmarkEnd w:id="197"/>
      <w:bookmarkStart w:id="198" w:name="_Toc184310311"/>
      <w:bookmarkEnd w:id="198"/>
      <w:bookmarkStart w:id="199" w:name="_Toc184314435"/>
      <w:bookmarkEnd w:id="199"/>
      <w:bookmarkStart w:id="200" w:name="_Toc184312101"/>
      <w:bookmarkEnd w:id="200"/>
      <w:bookmarkStart w:id="201" w:name="_Toc184310302"/>
      <w:bookmarkEnd w:id="201"/>
      <w:bookmarkStart w:id="202" w:name="_Toc184314410"/>
      <w:bookmarkEnd w:id="202"/>
      <w:bookmarkStart w:id="203" w:name="_Toc184308069"/>
      <w:bookmarkEnd w:id="203"/>
      <w:bookmarkStart w:id="204" w:name="_Toc184312107"/>
      <w:bookmarkEnd w:id="204"/>
      <w:bookmarkStart w:id="205" w:name="_Toc184308056"/>
      <w:bookmarkEnd w:id="205"/>
      <w:bookmarkStart w:id="206" w:name="_Toc184310336"/>
      <w:bookmarkEnd w:id="206"/>
      <w:bookmarkStart w:id="207" w:name="_Toc184308095"/>
      <w:bookmarkEnd w:id="207"/>
      <w:bookmarkStart w:id="208" w:name="_Toc184313261"/>
      <w:bookmarkEnd w:id="208"/>
      <w:bookmarkStart w:id="209" w:name="_Toc184312093"/>
      <w:bookmarkEnd w:id="209"/>
      <w:bookmarkStart w:id="210" w:name="_Toc184313248"/>
      <w:bookmarkEnd w:id="210"/>
      <w:bookmarkStart w:id="211" w:name="_Toc184308070"/>
      <w:bookmarkEnd w:id="211"/>
      <w:bookmarkStart w:id="212" w:name="_Toc184310307"/>
      <w:bookmarkEnd w:id="212"/>
      <w:bookmarkStart w:id="213" w:name="_Toc184313275"/>
      <w:bookmarkEnd w:id="213"/>
      <w:bookmarkStart w:id="214" w:name="_Toc184313258"/>
      <w:bookmarkEnd w:id="214"/>
      <w:bookmarkStart w:id="215" w:name="_Toc184308043"/>
      <w:bookmarkEnd w:id="215"/>
      <w:bookmarkStart w:id="216" w:name="_Toc184308060"/>
      <w:bookmarkEnd w:id="216"/>
      <w:bookmarkStart w:id="217" w:name="_Toc184312080"/>
      <w:bookmarkEnd w:id="217"/>
      <w:bookmarkStart w:id="218" w:name="_Toc184310343"/>
      <w:bookmarkEnd w:id="218"/>
      <w:bookmarkStart w:id="219" w:name="_Toc184313301"/>
      <w:bookmarkEnd w:id="219"/>
      <w:bookmarkStart w:id="220" w:name="_Toc184313266"/>
      <w:bookmarkEnd w:id="220"/>
      <w:bookmarkStart w:id="221" w:name="_Toc184308053"/>
      <w:bookmarkEnd w:id="221"/>
      <w:bookmarkStart w:id="222" w:name="_Toc184314437"/>
      <w:bookmarkEnd w:id="222"/>
      <w:bookmarkStart w:id="223" w:name="_Toc184308063"/>
      <w:bookmarkEnd w:id="223"/>
      <w:bookmarkStart w:id="224" w:name="_Toc184312070"/>
      <w:bookmarkEnd w:id="224"/>
      <w:bookmarkStart w:id="225" w:name="_Toc184314479"/>
      <w:bookmarkEnd w:id="225"/>
      <w:bookmarkStart w:id="226" w:name="_Toc184313307"/>
      <w:bookmarkEnd w:id="226"/>
      <w:bookmarkStart w:id="227" w:name="_Toc184310282"/>
      <w:bookmarkEnd w:id="227"/>
      <w:bookmarkStart w:id="228" w:name="_Toc184310324"/>
      <w:bookmarkEnd w:id="228"/>
      <w:bookmarkStart w:id="229" w:name="_Toc184310330"/>
      <w:bookmarkEnd w:id="229"/>
      <w:bookmarkStart w:id="230" w:name="_Toc184312115"/>
      <w:bookmarkEnd w:id="230"/>
      <w:bookmarkStart w:id="231" w:name="_Toc184308050"/>
      <w:bookmarkEnd w:id="231"/>
      <w:bookmarkStart w:id="232" w:name="_Toc184314450"/>
      <w:bookmarkEnd w:id="232"/>
      <w:bookmarkStart w:id="233" w:name="_Toc184314464"/>
      <w:bookmarkEnd w:id="233"/>
      <w:bookmarkStart w:id="234" w:name="_Toc184313245"/>
      <w:bookmarkEnd w:id="234"/>
      <w:bookmarkStart w:id="235" w:name="_Toc184308057"/>
      <w:bookmarkEnd w:id="235"/>
      <w:bookmarkStart w:id="236" w:name="_Toc184308097"/>
      <w:bookmarkEnd w:id="236"/>
      <w:bookmarkStart w:id="237" w:name="_Toc184313289"/>
      <w:bookmarkEnd w:id="237"/>
      <w:bookmarkStart w:id="238" w:name="_Toc184308048"/>
      <w:bookmarkEnd w:id="238"/>
      <w:bookmarkStart w:id="239" w:name="_Toc184312119"/>
      <w:bookmarkEnd w:id="239"/>
      <w:bookmarkStart w:id="240" w:name="_Toc184314451"/>
      <w:bookmarkEnd w:id="240"/>
      <w:bookmarkStart w:id="241" w:name="_Toc184310295"/>
      <w:bookmarkEnd w:id="241"/>
      <w:bookmarkStart w:id="242" w:name="_Toc184312135"/>
      <w:bookmarkEnd w:id="242"/>
      <w:bookmarkStart w:id="243" w:name="_Toc184308080"/>
      <w:bookmarkEnd w:id="243"/>
      <w:bookmarkStart w:id="244" w:name="_Toc184312082"/>
      <w:bookmarkEnd w:id="244"/>
      <w:bookmarkStart w:id="245" w:name="_Toc184314463"/>
      <w:bookmarkEnd w:id="245"/>
      <w:bookmarkStart w:id="246" w:name="_Toc184308052"/>
      <w:bookmarkEnd w:id="246"/>
      <w:bookmarkStart w:id="247" w:name="_Toc184308087"/>
      <w:bookmarkEnd w:id="247"/>
      <w:bookmarkStart w:id="248" w:name="_Toc184312083"/>
      <w:bookmarkEnd w:id="248"/>
      <w:bookmarkStart w:id="249" w:name="_Toc184312090"/>
      <w:bookmarkEnd w:id="249"/>
      <w:bookmarkStart w:id="250" w:name="_Toc184310342"/>
      <w:bookmarkEnd w:id="250"/>
      <w:bookmarkStart w:id="251" w:name="_Toc184312095"/>
      <w:bookmarkEnd w:id="251"/>
      <w:bookmarkStart w:id="252" w:name="_Toc184310332"/>
      <w:bookmarkEnd w:id="252"/>
      <w:bookmarkStart w:id="253" w:name="_Toc184314455"/>
      <w:bookmarkEnd w:id="253"/>
      <w:bookmarkStart w:id="254" w:name="_Toc184314462"/>
      <w:bookmarkEnd w:id="254"/>
      <w:bookmarkStart w:id="255" w:name="_Toc184310327"/>
      <w:bookmarkEnd w:id="255"/>
      <w:bookmarkStart w:id="256" w:name="_Toc184313283"/>
      <w:bookmarkEnd w:id="256"/>
      <w:bookmarkStart w:id="257" w:name="_Toc184314430"/>
      <w:bookmarkEnd w:id="257"/>
      <w:bookmarkStart w:id="258" w:name="_Toc184313302"/>
      <w:bookmarkEnd w:id="258"/>
      <w:bookmarkStart w:id="259" w:name="_Toc184310313"/>
      <w:bookmarkEnd w:id="259"/>
      <w:bookmarkStart w:id="260" w:name="_Toc184308037"/>
      <w:bookmarkEnd w:id="260"/>
      <w:bookmarkStart w:id="261" w:name="_Toc184313281"/>
      <w:bookmarkEnd w:id="261"/>
      <w:bookmarkStart w:id="262" w:name="_Toc184313268"/>
      <w:bookmarkEnd w:id="262"/>
      <w:bookmarkStart w:id="263" w:name="_Toc184312118"/>
      <w:bookmarkEnd w:id="263"/>
      <w:bookmarkStart w:id="264" w:name="_Toc184310344"/>
      <w:bookmarkEnd w:id="264"/>
      <w:bookmarkStart w:id="265" w:name="_Toc184308101"/>
      <w:bookmarkEnd w:id="265"/>
      <w:bookmarkStart w:id="266" w:name="_Toc184312081"/>
      <w:bookmarkEnd w:id="266"/>
      <w:bookmarkStart w:id="267" w:name="_Toc184310281"/>
      <w:bookmarkEnd w:id="267"/>
      <w:bookmarkStart w:id="268" w:name="_Toc184314471"/>
      <w:bookmarkEnd w:id="268"/>
      <w:bookmarkStart w:id="269" w:name="_Toc184313280"/>
      <w:bookmarkEnd w:id="269"/>
      <w:bookmarkStart w:id="270" w:name="_Toc184312133"/>
      <w:bookmarkEnd w:id="270"/>
      <w:bookmarkStart w:id="271" w:name="_Toc184310298"/>
      <w:bookmarkEnd w:id="271"/>
      <w:bookmarkStart w:id="272" w:name="_Toc184314470"/>
      <w:bookmarkEnd w:id="272"/>
      <w:bookmarkStart w:id="273" w:name="_Toc184310331"/>
      <w:bookmarkEnd w:id="273"/>
      <w:bookmarkStart w:id="274" w:name="_Toc184310297"/>
      <w:bookmarkEnd w:id="274"/>
      <w:bookmarkStart w:id="275" w:name="_Toc184308036"/>
      <w:bookmarkEnd w:id="275"/>
      <w:bookmarkStart w:id="276" w:name="_Toc184308083"/>
      <w:bookmarkEnd w:id="276"/>
      <w:bookmarkStart w:id="277" w:name="_Toc184313255"/>
      <w:bookmarkEnd w:id="277"/>
      <w:bookmarkStart w:id="278" w:name="_Toc184308099"/>
      <w:bookmarkEnd w:id="278"/>
      <w:bookmarkStart w:id="279" w:name="_Toc184313296"/>
      <w:bookmarkEnd w:id="279"/>
      <w:bookmarkStart w:id="280" w:name="_Toc184308078"/>
      <w:bookmarkEnd w:id="280"/>
      <w:bookmarkStart w:id="281" w:name="_Toc184312089"/>
      <w:bookmarkEnd w:id="281"/>
      <w:bookmarkStart w:id="282" w:name="_Toc184308051"/>
      <w:bookmarkEnd w:id="282"/>
      <w:bookmarkStart w:id="283" w:name="_Toc184313253"/>
      <w:bookmarkEnd w:id="283"/>
      <w:bookmarkStart w:id="284" w:name="_Toc184314461"/>
      <w:bookmarkEnd w:id="284"/>
      <w:bookmarkStart w:id="285" w:name="_Toc184308086"/>
      <w:bookmarkEnd w:id="285"/>
      <w:bookmarkStart w:id="286" w:name="_Toc184310325"/>
      <w:bookmarkEnd w:id="286"/>
      <w:bookmarkStart w:id="287" w:name="_Toc184313300"/>
      <w:bookmarkEnd w:id="287"/>
      <w:bookmarkStart w:id="288" w:name="_Toc184312130"/>
      <w:bookmarkEnd w:id="288"/>
      <w:bookmarkStart w:id="289" w:name="_Toc184312126"/>
      <w:bookmarkEnd w:id="289"/>
      <w:bookmarkStart w:id="290" w:name="_Toc184313292"/>
      <w:bookmarkEnd w:id="290"/>
      <w:bookmarkStart w:id="291" w:name="_Toc184314454"/>
      <w:bookmarkEnd w:id="291"/>
      <w:bookmarkStart w:id="292" w:name="_Toc184314452"/>
      <w:bookmarkEnd w:id="292"/>
      <w:bookmarkStart w:id="293" w:name="_Toc184310296"/>
      <w:bookmarkEnd w:id="293"/>
      <w:bookmarkStart w:id="294" w:name="_Toc184313243"/>
      <w:bookmarkEnd w:id="294"/>
      <w:bookmarkStart w:id="295" w:name="_Toc184310293"/>
      <w:bookmarkEnd w:id="295"/>
      <w:bookmarkStart w:id="296" w:name="_Toc184310326"/>
      <w:bookmarkEnd w:id="296"/>
      <w:bookmarkStart w:id="297" w:name="_Toc184313303"/>
      <w:bookmarkEnd w:id="297"/>
      <w:bookmarkStart w:id="298" w:name="_Toc184312084"/>
      <w:bookmarkEnd w:id="298"/>
      <w:bookmarkStart w:id="299" w:name="_Toc184313240"/>
      <w:bookmarkEnd w:id="299"/>
      <w:bookmarkStart w:id="300" w:name="_Toc184310318"/>
      <w:bookmarkEnd w:id="300"/>
      <w:bookmarkStart w:id="301" w:name="_Toc184313242"/>
      <w:bookmarkEnd w:id="301"/>
      <w:bookmarkStart w:id="302" w:name="_Toc184310340"/>
      <w:bookmarkEnd w:id="302"/>
      <w:bookmarkStart w:id="303" w:name="_Toc184310337"/>
      <w:bookmarkEnd w:id="303"/>
      <w:bookmarkStart w:id="304" w:name="_Toc184310335"/>
      <w:bookmarkEnd w:id="304"/>
      <w:bookmarkStart w:id="305" w:name="_Toc184313272"/>
      <w:bookmarkEnd w:id="305"/>
      <w:bookmarkStart w:id="306" w:name="_Toc184314482"/>
      <w:bookmarkEnd w:id="306"/>
      <w:bookmarkStart w:id="307" w:name="_Toc184313276"/>
      <w:bookmarkEnd w:id="307"/>
      <w:bookmarkStart w:id="308" w:name="_Toc184312131"/>
      <w:bookmarkEnd w:id="308"/>
      <w:bookmarkStart w:id="309" w:name="_Toc184312099"/>
      <w:bookmarkEnd w:id="309"/>
      <w:bookmarkStart w:id="310" w:name="_Toc184313271"/>
      <w:bookmarkEnd w:id="310"/>
      <w:bookmarkStart w:id="311" w:name="_Toc184310275"/>
      <w:bookmarkEnd w:id="311"/>
      <w:bookmarkStart w:id="312" w:name="_Toc184312114"/>
      <w:bookmarkEnd w:id="312"/>
      <w:bookmarkStart w:id="313" w:name="_Toc184314448"/>
      <w:bookmarkEnd w:id="313"/>
      <w:bookmarkStart w:id="314" w:name="_Toc184312132"/>
      <w:bookmarkEnd w:id="314"/>
      <w:bookmarkStart w:id="315" w:name="_Toc184312069"/>
      <w:bookmarkEnd w:id="315"/>
      <w:bookmarkStart w:id="316" w:name="_Toc184310292"/>
      <w:bookmarkEnd w:id="316"/>
      <w:bookmarkStart w:id="317" w:name="_Toc184310309"/>
      <w:bookmarkEnd w:id="317"/>
      <w:bookmarkStart w:id="318" w:name="_Toc184308068"/>
      <w:bookmarkEnd w:id="318"/>
      <w:bookmarkStart w:id="319" w:name="_Toc184308076"/>
      <w:bookmarkEnd w:id="319"/>
      <w:bookmarkStart w:id="320" w:name="_Toc184308061"/>
      <w:bookmarkEnd w:id="320"/>
      <w:bookmarkStart w:id="321" w:name="_Toc184310277"/>
      <w:bookmarkEnd w:id="321"/>
      <w:bookmarkStart w:id="322" w:name="_Toc184314433"/>
      <w:bookmarkEnd w:id="322"/>
      <w:bookmarkStart w:id="323" w:name="_Toc184314438"/>
      <w:bookmarkEnd w:id="323"/>
      <w:bookmarkStart w:id="324" w:name="_Toc184310317"/>
      <w:bookmarkEnd w:id="324"/>
      <w:bookmarkStart w:id="325" w:name="_Toc184312088"/>
      <w:bookmarkEnd w:id="325"/>
      <w:bookmarkStart w:id="326" w:name="_Toc184313270"/>
      <w:bookmarkEnd w:id="326"/>
      <w:bookmarkStart w:id="327" w:name="_Toc184314466"/>
      <w:bookmarkEnd w:id="327"/>
      <w:bookmarkStart w:id="328" w:name="_Toc184308067"/>
      <w:bookmarkEnd w:id="328"/>
      <w:bookmarkStart w:id="329" w:name="_Toc184312134"/>
      <w:bookmarkEnd w:id="329"/>
      <w:bookmarkStart w:id="330" w:name="_Toc184310334"/>
      <w:bookmarkEnd w:id="330"/>
      <w:bookmarkStart w:id="331" w:name="_Toc184310284"/>
      <w:bookmarkEnd w:id="331"/>
      <w:bookmarkStart w:id="332" w:name="_Toc184310276"/>
      <w:bookmarkEnd w:id="332"/>
      <w:bookmarkStart w:id="333" w:name="_Toc184310341"/>
      <w:bookmarkEnd w:id="333"/>
      <w:bookmarkStart w:id="334" w:name="_Toc184312076"/>
      <w:bookmarkEnd w:id="334"/>
      <w:bookmarkStart w:id="335" w:name="_Toc184313288"/>
      <w:bookmarkEnd w:id="335"/>
      <w:bookmarkStart w:id="336" w:name="_Toc184313247"/>
      <w:bookmarkEnd w:id="336"/>
      <w:bookmarkStart w:id="337" w:name="_Toc184312071"/>
      <w:bookmarkEnd w:id="337"/>
      <w:bookmarkStart w:id="338" w:name="_Toc184308107"/>
      <w:bookmarkEnd w:id="338"/>
      <w:bookmarkStart w:id="339" w:name="_Toc184312124"/>
      <w:bookmarkEnd w:id="339"/>
      <w:bookmarkStart w:id="340" w:name="_Toc184308049"/>
      <w:bookmarkEnd w:id="340"/>
      <w:bookmarkStart w:id="341" w:name="_Toc184312129"/>
      <w:bookmarkEnd w:id="341"/>
      <w:bookmarkStart w:id="342" w:name="_Toc184314436"/>
      <w:bookmarkEnd w:id="342"/>
      <w:bookmarkStart w:id="343" w:name="_Toc184313279"/>
      <w:bookmarkEnd w:id="343"/>
      <w:bookmarkStart w:id="344" w:name="_Toc184313257"/>
      <w:bookmarkEnd w:id="344"/>
      <w:bookmarkStart w:id="345" w:name="_Toc184308073"/>
      <w:bookmarkEnd w:id="345"/>
      <w:bookmarkStart w:id="346" w:name="_Toc184313246"/>
      <w:bookmarkEnd w:id="346"/>
      <w:bookmarkStart w:id="347" w:name="_Toc184308098"/>
      <w:bookmarkEnd w:id="347"/>
      <w:bookmarkStart w:id="348" w:name="_Toc184312127"/>
      <w:bookmarkEnd w:id="348"/>
      <w:bookmarkStart w:id="349" w:name="_Toc184310303"/>
      <w:bookmarkEnd w:id="349"/>
      <w:bookmarkStart w:id="350" w:name="_Toc184310329"/>
      <w:bookmarkEnd w:id="350"/>
      <w:bookmarkStart w:id="351" w:name="_Toc184312098"/>
      <w:bookmarkEnd w:id="351"/>
      <w:bookmarkStart w:id="352" w:name="_Toc184314422"/>
      <w:bookmarkEnd w:id="352"/>
      <w:bookmarkStart w:id="353" w:name="_Toc184314474"/>
      <w:bookmarkEnd w:id="353"/>
      <w:bookmarkStart w:id="354" w:name="_Toc184308046"/>
      <w:bookmarkEnd w:id="354"/>
      <w:bookmarkStart w:id="355" w:name="_Toc184310288"/>
      <w:bookmarkEnd w:id="355"/>
      <w:bookmarkStart w:id="356" w:name="_Toc184314469"/>
      <w:bookmarkEnd w:id="356"/>
      <w:bookmarkStart w:id="357" w:name="_Toc184314441"/>
      <w:bookmarkEnd w:id="357"/>
      <w:bookmarkStart w:id="358" w:name="_Toc184308092"/>
      <w:bookmarkEnd w:id="358"/>
      <w:bookmarkStart w:id="359" w:name="_Toc184308105"/>
      <w:bookmarkEnd w:id="359"/>
      <w:bookmarkStart w:id="360" w:name="_Toc184312094"/>
      <w:bookmarkEnd w:id="360"/>
      <w:bookmarkStart w:id="361" w:name="_Toc184314416"/>
      <w:bookmarkEnd w:id="361"/>
      <w:bookmarkStart w:id="362" w:name="_Toc184312128"/>
      <w:bookmarkEnd w:id="362"/>
      <w:bookmarkStart w:id="363" w:name="_Toc184314412"/>
      <w:bookmarkEnd w:id="363"/>
      <w:bookmarkStart w:id="364" w:name="_Toc184313299"/>
      <w:bookmarkEnd w:id="364"/>
      <w:bookmarkStart w:id="365" w:name="_Toc184314476"/>
      <w:bookmarkEnd w:id="365"/>
      <w:bookmarkStart w:id="366" w:name="_Toc184314453"/>
      <w:bookmarkEnd w:id="366"/>
      <w:r>
        <w:rPr>
          <w:rFonts w:hint="eastAsia"/>
          <w:b/>
          <w:bCs/>
          <w:sz w:val="36"/>
          <w:szCs w:val="36"/>
        </w:rPr>
        <w:t>评标办法</w:t>
      </w:r>
    </w:p>
    <w:p>
      <w:pPr>
        <w:pStyle w:val="4"/>
      </w:pPr>
      <w:r>
        <w:rPr>
          <w:rFonts w:hint="eastAsia"/>
        </w:rPr>
        <w:t>评标办法前附表</w:t>
      </w:r>
    </w:p>
    <w:p>
      <w:pPr>
        <w:pStyle w:val="59"/>
        <w:numPr>
          <w:ilvl w:val="0"/>
          <w:numId w:val="2"/>
        </w:numPr>
        <w:rPr>
          <w:rFonts w:cs="仿宋"/>
          <w:b/>
          <w:bCs/>
        </w:rPr>
      </w:pPr>
      <w:r>
        <w:rPr>
          <w:rFonts w:hint="eastAsia" w:cs="仿宋"/>
          <w:b/>
          <w:bCs/>
        </w:rPr>
        <w:t>商务资信（</w:t>
      </w:r>
      <w:r>
        <w:rPr>
          <w:rFonts w:cs="仿宋"/>
          <w:b/>
          <w:bCs/>
        </w:rPr>
        <w:t>9</w:t>
      </w:r>
      <w:r>
        <w:rPr>
          <w:rFonts w:hint="eastAsia" w:cs="仿宋"/>
          <w:b/>
          <w:bCs/>
        </w:rPr>
        <w:t>分）</w:t>
      </w:r>
    </w:p>
    <w:tbl>
      <w:tblPr>
        <w:tblStyle w:val="30"/>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991"/>
        <w:gridCol w:w="709"/>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Align w:val="center"/>
          </w:tcPr>
          <w:p>
            <w:pPr>
              <w:spacing w:line="280" w:lineRule="exact"/>
              <w:jc w:val="center"/>
              <w:rPr>
                <w:rFonts w:cs="仿宋"/>
                <w:sz w:val="21"/>
                <w:szCs w:val="21"/>
              </w:rPr>
            </w:pPr>
            <w:r>
              <w:rPr>
                <w:rFonts w:hint="eastAsia" w:cs="仿宋"/>
                <w:sz w:val="21"/>
                <w:szCs w:val="21"/>
              </w:rPr>
              <w:t>序号</w:t>
            </w:r>
          </w:p>
        </w:tc>
        <w:tc>
          <w:tcPr>
            <w:tcW w:w="6991" w:type="dxa"/>
            <w:vAlign w:val="center"/>
          </w:tcPr>
          <w:p>
            <w:pPr>
              <w:spacing w:line="280" w:lineRule="exact"/>
              <w:jc w:val="center"/>
              <w:rPr>
                <w:rFonts w:cs="仿宋"/>
                <w:sz w:val="21"/>
                <w:szCs w:val="21"/>
              </w:rPr>
            </w:pPr>
            <w:r>
              <w:rPr>
                <w:rFonts w:hint="eastAsia" w:cs="仿宋"/>
                <w:sz w:val="21"/>
                <w:szCs w:val="21"/>
              </w:rPr>
              <w:t>评分内容和标准</w:t>
            </w:r>
          </w:p>
        </w:tc>
        <w:tc>
          <w:tcPr>
            <w:tcW w:w="709" w:type="dxa"/>
            <w:vAlign w:val="center"/>
          </w:tcPr>
          <w:p>
            <w:pPr>
              <w:spacing w:line="280" w:lineRule="exact"/>
              <w:jc w:val="center"/>
              <w:rPr>
                <w:rFonts w:cs="仿宋"/>
                <w:sz w:val="21"/>
                <w:szCs w:val="21"/>
              </w:rPr>
            </w:pPr>
            <w:r>
              <w:rPr>
                <w:rFonts w:hint="eastAsia" w:cs="仿宋"/>
                <w:sz w:val="21"/>
                <w:szCs w:val="21"/>
              </w:rPr>
              <w:t>权重</w:t>
            </w:r>
          </w:p>
        </w:tc>
        <w:tc>
          <w:tcPr>
            <w:tcW w:w="751" w:type="dxa"/>
            <w:vAlign w:val="center"/>
          </w:tcPr>
          <w:p>
            <w:pPr>
              <w:spacing w:line="280" w:lineRule="exact"/>
              <w:jc w:val="center"/>
              <w:rPr>
                <w:rFonts w:cs="仿宋"/>
                <w:sz w:val="21"/>
                <w:szCs w:val="21"/>
              </w:rPr>
            </w:pPr>
            <w:r>
              <w:rPr>
                <w:rFonts w:hint="eastAsia" w:cs="仿宋"/>
                <w:sz w:val="21"/>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089" w:type="dxa"/>
            <w:vMerge w:val="restart"/>
            <w:vAlign w:val="center"/>
          </w:tcPr>
          <w:p>
            <w:pPr>
              <w:ind w:firstLine="240" w:firstLineChars="100"/>
              <w:rPr>
                <w:rFonts w:cs="仿宋"/>
                <w:sz w:val="21"/>
                <w:szCs w:val="21"/>
              </w:rPr>
            </w:pPr>
            <w:r>
              <w:rPr>
                <w:rFonts w:hint="eastAsia"/>
              </w:rPr>
              <w:t>商务资信（</w:t>
            </w:r>
            <w:r>
              <w:t>9</w:t>
            </w:r>
            <w:r>
              <w:rPr>
                <w:rFonts w:hint="eastAsia"/>
              </w:rPr>
              <w:t>分）</w:t>
            </w:r>
          </w:p>
        </w:tc>
        <w:tc>
          <w:tcPr>
            <w:tcW w:w="6991" w:type="dxa"/>
          </w:tcPr>
          <w:p>
            <w:pPr>
              <w:ind w:firstLine="240" w:firstLineChars="100"/>
            </w:pPr>
            <w:r>
              <w:rPr>
                <w:rFonts w:hint="eastAsia"/>
              </w:rPr>
              <w:t>根据供应商</w:t>
            </w:r>
            <w:r>
              <w:t>2019年1月1日（以合同签订日期为准）至今，检验外送同类项目（金额不限）业绩合同扫描件，每提供一份得1分，最高得2分。</w:t>
            </w:r>
          </w:p>
          <w:p>
            <w:pPr>
              <w:pStyle w:val="25"/>
              <w:shd w:val="clear" w:color="auto" w:fill="FFFFFF"/>
              <w:spacing w:before="225" w:after="0"/>
              <w:ind w:firstLine="480"/>
            </w:pPr>
            <w:r>
              <w:rPr>
                <w:rFonts w:hint="eastAsia"/>
              </w:rPr>
              <w:t>证明材料内容能同时反映其服务内容的以下要素：</w:t>
            </w:r>
          </w:p>
          <w:p>
            <w:pPr>
              <w:pStyle w:val="25"/>
              <w:shd w:val="clear" w:color="auto" w:fill="FFFFFF"/>
              <w:spacing w:before="225" w:after="0"/>
              <w:ind w:firstLine="480"/>
            </w:pPr>
            <w:r>
              <w:rPr>
                <w:rFonts w:hint="eastAsia"/>
              </w:rPr>
              <w:t>（</w:t>
            </w:r>
            <w:r>
              <w:t>1）服务内容为医疗外送检验服务；</w:t>
            </w:r>
          </w:p>
          <w:p>
            <w:pPr>
              <w:pStyle w:val="25"/>
              <w:shd w:val="clear" w:color="auto" w:fill="FFFFFF"/>
              <w:spacing w:before="225" w:after="0"/>
              <w:ind w:firstLine="480"/>
            </w:pPr>
            <w:r>
              <w:rPr>
                <w:rFonts w:hint="eastAsia"/>
              </w:rPr>
              <w:t>（</w:t>
            </w:r>
            <w:r>
              <w:t>2）年度服务（服务期12个月及以上）</w:t>
            </w:r>
          </w:p>
        </w:tc>
        <w:tc>
          <w:tcPr>
            <w:tcW w:w="709" w:type="dxa"/>
            <w:vAlign w:val="center"/>
          </w:tcPr>
          <w:p>
            <w:pPr>
              <w:spacing w:line="280" w:lineRule="exact"/>
              <w:jc w:val="center"/>
              <w:rPr>
                <w:rFonts w:cs="仿宋"/>
                <w:sz w:val="21"/>
                <w:szCs w:val="21"/>
              </w:rPr>
            </w:pPr>
            <w:r>
              <w:rPr>
                <w:rFonts w:cs="仿宋"/>
              </w:rPr>
              <w:t>2</w:t>
            </w:r>
          </w:p>
        </w:tc>
        <w:tc>
          <w:tcPr>
            <w:tcW w:w="751" w:type="dxa"/>
            <w:vAlign w:val="center"/>
          </w:tcPr>
          <w:p>
            <w:pPr>
              <w:spacing w:line="280" w:lineRule="exact"/>
              <w:jc w:val="center"/>
              <w:rPr>
                <w:rFonts w:cs="仿宋"/>
                <w:sz w:val="21"/>
                <w:szCs w:val="21"/>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89" w:type="dxa"/>
            <w:vMerge w:val="continue"/>
            <w:vAlign w:val="center"/>
          </w:tcPr>
          <w:p>
            <w:pPr>
              <w:spacing w:line="280" w:lineRule="exact"/>
              <w:jc w:val="center"/>
              <w:rPr>
                <w:rFonts w:cs="仿宋"/>
                <w:sz w:val="21"/>
                <w:szCs w:val="21"/>
              </w:rPr>
            </w:pPr>
          </w:p>
        </w:tc>
        <w:tc>
          <w:tcPr>
            <w:tcW w:w="6991" w:type="dxa"/>
            <w:vAlign w:val="center"/>
          </w:tcPr>
          <w:p>
            <w:pPr>
              <w:pStyle w:val="25"/>
              <w:shd w:val="clear" w:color="auto" w:fill="FFFFFF"/>
              <w:spacing w:before="225" w:after="0"/>
              <w:ind w:firstLine="480"/>
            </w:pPr>
            <w:r>
              <w:t>投标单位</w:t>
            </w:r>
            <w:r>
              <w:rPr>
                <w:rFonts w:hint="eastAsia"/>
              </w:rPr>
              <w:t>《医疗机构</w:t>
            </w:r>
            <w:r>
              <w:t>执业许可</w:t>
            </w:r>
            <w:r>
              <w:rPr>
                <w:rFonts w:hint="eastAsia"/>
              </w:rPr>
              <w:t>证》诊疗</w:t>
            </w:r>
            <w:r>
              <w:t>科目每</w:t>
            </w:r>
            <w:r>
              <w:rPr>
                <w:rFonts w:hint="eastAsia"/>
              </w:rPr>
              <w:t>具备</w:t>
            </w:r>
            <w:r>
              <w:t>一</w:t>
            </w:r>
            <w:r>
              <w:rPr>
                <w:rFonts w:hint="eastAsia"/>
              </w:rPr>
              <w:t>个</w:t>
            </w:r>
            <w:r>
              <w:t>子项</w:t>
            </w:r>
            <w:r>
              <w:rPr>
                <w:rFonts w:hint="eastAsia"/>
              </w:rPr>
              <w:t>的</w:t>
            </w:r>
            <w:r>
              <w:t>得0.5分（子项内容包括：病理科</w:t>
            </w:r>
            <w:r>
              <w:rPr>
                <w:rFonts w:hint="eastAsia"/>
              </w:rPr>
              <w:t>；</w:t>
            </w:r>
            <w:r>
              <w:t>临床体液、血液专业</w:t>
            </w:r>
            <w:r>
              <w:rPr>
                <w:rFonts w:hint="eastAsia"/>
              </w:rPr>
              <w:t>；临床微生物学专业；临床化学检验专业；临床免疫、血清学专业；临床细胞分子遗传学专业</w:t>
            </w:r>
            <w:r>
              <w:t>）</w:t>
            </w:r>
            <w:r>
              <w:rPr>
                <w:rFonts w:hint="eastAsia"/>
              </w:rPr>
              <w:t>，最高得</w:t>
            </w:r>
            <w:r>
              <w:t>3分；提供证书复印件及加盖公章，不提供的不得分。</w:t>
            </w:r>
          </w:p>
        </w:tc>
        <w:tc>
          <w:tcPr>
            <w:tcW w:w="709" w:type="dxa"/>
            <w:vAlign w:val="center"/>
          </w:tcPr>
          <w:p>
            <w:pPr>
              <w:spacing w:line="280" w:lineRule="exact"/>
              <w:jc w:val="center"/>
              <w:rPr>
                <w:rFonts w:cs="仿宋"/>
                <w:sz w:val="21"/>
                <w:szCs w:val="21"/>
              </w:rPr>
            </w:pPr>
            <w:r>
              <w:rPr>
                <w:rFonts w:cs="仿宋"/>
              </w:rPr>
              <w:t>3</w:t>
            </w:r>
          </w:p>
        </w:tc>
        <w:tc>
          <w:tcPr>
            <w:tcW w:w="751" w:type="dxa"/>
            <w:vAlign w:val="center"/>
          </w:tcPr>
          <w:p>
            <w:pPr>
              <w:spacing w:line="280" w:lineRule="exact"/>
              <w:jc w:val="center"/>
              <w:rPr>
                <w:rFonts w:cs="仿宋"/>
                <w:sz w:val="21"/>
                <w:szCs w:val="21"/>
              </w:rPr>
            </w:pPr>
            <w:r>
              <w:rPr>
                <w:rFonts w:hint="eastAsia" w:cs="仿宋_GB231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89" w:type="dxa"/>
            <w:vMerge w:val="continue"/>
            <w:vAlign w:val="center"/>
          </w:tcPr>
          <w:p>
            <w:pPr>
              <w:spacing w:line="280" w:lineRule="exact"/>
              <w:jc w:val="center"/>
              <w:rPr>
                <w:rFonts w:cs="仿宋"/>
                <w:sz w:val="21"/>
                <w:szCs w:val="21"/>
              </w:rPr>
            </w:pPr>
          </w:p>
        </w:tc>
        <w:tc>
          <w:tcPr>
            <w:tcW w:w="6991" w:type="dxa"/>
            <w:vAlign w:val="center"/>
          </w:tcPr>
          <w:p>
            <w:pPr>
              <w:ind w:firstLine="240" w:firstLineChars="100"/>
            </w:pPr>
            <w:r>
              <w:rPr>
                <w:rFonts w:hint="eastAsia"/>
              </w:rPr>
              <w:t>投标单位通过</w:t>
            </w:r>
            <w:r>
              <w:t>ISO15189医学实验室认</w:t>
            </w:r>
            <w:r>
              <w:rPr>
                <w:rFonts w:hint="eastAsia"/>
              </w:rPr>
              <w:t>证</w:t>
            </w:r>
            <w:r>
              <w:t>得0.5分</w:t>
            </w:r>
            <w:r>
              <w:rPr>
                <w:rFonts w:hint="eastAsia"/>
              </w:rPr>
              <w:t>，提供证书复印件，否则不得分。</w:t>
            </w:r>
          </w:p>
        </w:tc>
        <w:tc>
          <w:tcPr>
            <w:tcW w:w="709" w:type="dxa"/>
            <w:vAlign w:val="center"/>
          </w:tcPr>
          <w:p>
            <w:pPr>
              <w:spacing w:line="280" w:lineRule="exact"/>
              <w:jc w:val="center"/>
              <w:rPr>
                <w:rFonts w:cs="仿宋"/>
              </w:rPr>
            </w:pPr>
            <w:r>
              <w:rPr>
                <w:rFonts w:cs="仿宋"/>
              </w:rPr>
              <w:t>0.5</w:t>
            </w:r>
          </w:p>
        </w:tc>
        <w:tc>
          <w:tcPr>
            <w:tcW w:w="751" w:type="dxa"/>
            <w:vAlign w:val="center"/>
          </w:tcPr>
          <w:p>
            <w:pPr>
              <w:spacing w:line="280" w:lineRule="exact"/>
              <w:jc w:val="center"/>
              <w:rPr>
                <w:rFonts w:cs="仿宋_GB2312"/>
              </w:rPr>
            </w:pPr>
            <w:r>
              <w:rPr>
                <w:rFonts w:hint="eastAsia" w:cs="仿宋_GB231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89" w:type="dxa"/>
            <w:vMerge w:val="continue"/>
            <w:vAlign w:val="center"/>
          </w:tcPr>
          <w:p>
            <w:pPr>
              <w:spacing w:line="280" w:lineRule="exact"/>
              <w:jc w:val="center"/>
              <w:rPr>
                <w:rFonts w:cs="仿宋"/>
                <w:sz w:val="21"/>
                <w:szCs w:val="21"/>
              </w:rPr>
            </w:pPr>
          </w:p>
        </w:tc>
        <w:tc>
          <w:tcPr>
            <w:tcW w:w="6991" w:type="dxa"/>
            <w:vAlign w:val="center"/>
          </w:tcPr>
          <w:p>
            <w:pPr>
              <w:ind w:firstLine="240" w:firstLineChars="100"/>
            </w:pPr>
            <w:r>
              <w:rPr>
                <w:rFonts w:hint="eastAsia"/>
              </w:rPr>
              <w:t>投标单位获得</w:t>
            </w:r>
            <w:r>
              <w:t>PCR实验室资质得0.5分</w:t>
            </w:r>
            <w:r>
              <w:rPr>
                <w:rFonts w:hint="eastAsia"/>
              </w:rPr>
              <w:t>，提供资质证书复印件，否则不得分。</w:t>
            </w:r>
          </w:p>
        </w:tc>
        <w:tc>
          <w:tcPr>
            <w:tcW w:w="709" w:type="dxa"/>
            <w:vAlign w:val="center"/>
          </w:tcPr>
          <w:p>
            <w:pPr>
              <w:spacing w:line="280" w:lineRule="exact"/>
              <w:jc w:val="center"/>
              <w:rPr>
                <w:rFonts w:cs="仿宋"/>
              </w:rPr>
            </w:pPr>
            <w:r>
              <w:rPr>
                <w:rFonts w:cs="仿宋"/>
              </w:rPr>
              <w:t>0.5</w:t>
            </w:r>
          </w:p>
        </w:tc>
        <w:tc>
          <w:tcPr>
            <w:tcW w:w="751" w:type="dxa"/>
            <w:vAlign w:val="center"/>
          </w:tcPr>
          <w:p>
            <w:pPr>
              <w:spacing w:line="280" w:lineRule="exact"/>
              <w:jc w:val="center"/>
              <w:rPr>
                <w:rFonts w:cs="仿宋_GB2312"/>
              </w:rPr>
            </w:pPr>
            <w:r>
              <w:rPr>
                <w:rFonts w:hint="eastAsia" w:cs="仿宋_GB231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089" w:type="dxa"/>
            <w:vMerge w:val="continue"/>
            <w:vAlign w:val="center"/>
          </w:tcPr>
          <w:p>
            <w:pPr>
              <w:spacing w:line="280" w:lineRule="exact"/>
              <w:jc w:val="center"/>
              <w:rPr>
                <w:rFonts w:cs="仿宋"/>
                <w:sz w:val="21"/>
                <w:szCs w:val="21"/>
              </w:rPr>
            </w:pPr>
          </w:p>
        </w:tc>
        <w:tc>
          <w:tcPr>
            <w:tcW w:w="6991" w:type="dxa"/>
            <w:vAlign w:val="center"/>
          </w:tcPr>
          <w:p>
            <w:pPr>
              <w:ind w:firstLine="240" w:firstLineChars="100"/>
            </w:pPr>
            <w:r>
              <w:t>1</w:t>
            </w:r>
            <w:r>
              <w:rPr>
                <w:rFonts w:hint="eastAsia"/>
              </w:rPr>
              <w:t>、</w:t>
            </w:r>
            <w:r>
              <w:t>国家卫健委室</w:t>
            </w:r>
            <w:r>
              <w:rPr>
                <w:rFonts w:hint="eastAsia"/>
              </w:rPr>
              <w:t>间</w:t>
            </w:r>
            <w:r>
              <w:t>质评参加率及合格率 1.投标单位提供2021年至今国家卫健委室间质评证书(不限标项内项目)，证书数量(以大类计)&gt;15份者得1分，提供数量≤15份，得0.5分。未参加不得分。</w:t>
            </w:r>
          </w:p>
          <w:p>
            <w:pPr>
              <w:ind w:firstLine="240" w:firstLineChars="100"/>
            </w:pPr>
            <w:r>
              <w:t>2</w:t>
            </w:r>
            <w:r>
              <w:rPr>
                <w:rFonts w:hint="eastAsia"/>
              </w:rPr>
              <w:t>、</w:t>
            </w:r>
            <w:r>
              <w:t>投标单位提供2021年至今国家卫健委室间质评证书(不限标项内项目)，项目小计大于70项得1分，小于70项得0.5分。未参加不得分。</w:t>
            </w:r>
          </w:p>
          <w:p>
            <w:pPr>
              <w:ind w:firstLine="240" w:firstLineChars="100"/>
            </w:pPr>
            <w:r>
              <w:t>3</w:t>
            </w:r>
            <w:r>
              <w:rPr>
                <w:rFonts w:hint="eastAsia"/>
              </w:rPr>
              <w:t>、</w:t>
            </w:r>
            <w:r>
              <w:t>投标单位参与2021年至今国家卫健委室间质评合格率(以项目计) ≥95%者，得1分;95%&gt;合格率</w:t>
            </w:r>
            <w:r>
              <w:rPr>
                <w:rFonts w:hint="eastAsia"/>
              </w:rPr>
              <w:t>≥</w:t>
            </w:r>
            <w:r>
              <w:t>90%者，得0.5分，合格率&lt;90%者，不得分。</w:t>
            </w:r>
          </w:p>
          <w:p>
            <w:pPr>
              <w:pStyle w:val="2"/>
              <w:rPr>
                <w:b w:val="0"/>
              </w:rPr>
            </w:pPr>
            <w:r>
              <w:rPr>
                <w:b w:val="0"/>
              </w:rPr>
              <w:t>提供证书复印件及加盖公章，不提供的不得分。</w:t>
            </w:r>
          </w:p>
        </w:tc>
        <w:tc>
          <w:tcPr>
            <w:tcW w:w="709" w:type="dxa"/>
            <w:vAlign w:val="center"/>
          </w:tcPr>
          <w:p>
            <w:pPr>
              <w:spacing w:line="280" w:lineRule="exact"/>
              <w:jc w:val="center"/>
              <w:rPr>
                <w:rFonts w:cs="仿宋"/>
                <w:sz w:val="21"/>
                <w:szCs w:val="21"/>
              </w:rPr>
            </w:pPr>
            <w:r>
              <w:rPr>
                <w:rFonts w:ascii="Times New Roman" w:hAnsi="Times New Roman" w:eastAsia="宋体"/>
                <w:sz w:val="22"/>
                <w:szCs w:val="22"/>
              </w:rPr>
              <w:t>3</w:t>
            </w:r>
          </w:p>
        </w:tc>
        <w:tc>
          <w:tcPr>
            <w:tcW w:w="751" w:type="dxa"/>
            <w:vAlign w:val="center"/>
          </w:tcPr>
          <w:p>
            <w:pPr>
              <w:spacing w:line="280" w:lineRule="exact"/>
              <w:jc w:val="center"/>
              <w:rPr>
                <w:rFonts w:cs="仿宋"/>
                <w:sz w:val="21"/>
                <w:szCs w:val="21"/>
              </w:rPr>
            </w:pPr>
            <w:r>
              <w:rPr>
                <w:rFonts w:hint="eastAsia" w:cs="仿宋_GB2312"/>
              </w:rPr>
              <w:t>客观分</w:t>
            </w:r>
          </w:p>
        </w:tc>
      </w:tr>
    </w:tbl>
    <w:p>
      <w:pPr>
        <w:pStyle w:val="2"/>
      </w:pPr>
    </w:p>
    <w:p>
      <w:pPr>
        <w:rPr>
          <w:rFonts w:cs="仿宋"/>
          <w:b/>
          <w:bCs/>
        </w:rPr>
      </w:pPr>
      <w:r>
        <w:rPr>
          <w:rFonts w:cs="仿宋"/>
          <w:b/>
          <w:bCs/>
        </w:rPr>
        <w:t>2.技术部分（71</w:t>
      </w:r>
      <w:r>
        <w:rPr>
          <w:rFonts w:hint="eastAsia" w:cs="仿宋"/>
          <w:b/>
          <w:bCs/>
        </w:rPr>
        <w:t>分）：</w:t>
      </w:r>
    </w:p>
    <w:tbl>
      <w:tblPr>
        <w:tblStyle w:val="30"/>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18"/>
        <w:gridCol w:w="6229"/>
        <w:gridCol w:w="57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51" w:type="dxa"/>
            <w:shd w:val="clear" w:color="auto" w:fill="auto"/>
            <w:vAlign w:val="center"/>
          </w:tcPr>
          <w:p>
            <w:pPr>
              <w:jc w:val="cente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序号</w:t>
            </w:r>
          </w:p>
        </w:tc>
        <w:tc>
          <w:tcPr>
            <w:tcW w:w="1418" w:type="dxa"/>
            <w:shd w:val="clear" w:color="auto" w:fill="auto"/>
            <w:vAlign w:val="center"/>
          </w:tcPr>
          <w:p>
            <w:pPr>
              <w:jc w:val="cente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评分内容和标准</w:t>
            </w:r>
          </w:p>
        </w:tc>
        <w:tc>
          <w:tcPr>
            <w:tcW w:w="6229" w:type="dxa"/>
            <w:shd w:val="clear" w:color="auto" w:fill="auto"/>
            <w:vAlign w:val="center"/>
          </w:tcPr>
          <w:p>
            <w:pPr>
              <w:jc w:val="cente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具体描述</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权重</w:t>
            </w:r>
          </w:p>
        </w:tc>
        <w:tc>
          <w:tcPr>
            <w:tcW w:w="708" w:type="dxa"/>
            <w:shd w:val="clear" w:color="auto" w:fill="auto"/>
            <w:vAlign w:val="center"/>
          </w:tcPr>
          <w:p>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主客</w:t>
            </w:r>
          </w:p>
          <w:p>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51" w:type="dxa"/>
            <w:vMerge w:val="restart"/>
            <w:shd w:val="clear" w:color="auto" w:fill="auto"/>
            <w:vAlign w:val="center"/>
          </w:tcPr>
          <w:p>
            <w:pPr>
              <w:jc w:val="center"/>
              <w:rPr>
                <w:rFonts w:cs="仿宋_GB2312"/>
                <w:color w:val="000000" w:themeColor="text1"/>
                <w14:textFill>
                  <w14:solidFill>
                    <w14:schemeClr w14:val="tx1"/>
                  </w14:solidFill>
                </w14:textFill>
              </w:rPr>
            </w:pPr>
          </w:p>
          <w:p>
            <w:pPr>
              <w:jc w:val="center"/>
              <w:rPr>
                <w:rFonts w:cs="仿宋_GB2312"/>
                <w:color w:val="000000" w:themeColor="text1"/>
                <w14:textFill>
                  <w14:solidFill>
                    <w14:schemeClr w14:val="tx1"/>
                  </w14:solidFill>
                </w14:textFill>
              </w:rPr>
            </w:pPr>
          </w:p>
          <w:p>
            <w:pPr>
              <w:jc w:val="center"/>
              <w:rPr>
                <w:rFonts w:cs="仿宋_GB2312"/>
                <w:color w:val="000000" w:themeColor="text1"/>
                <w14:textFill>
                  <w14:solidFill>
                    <w14:schemeClr w14:val="tx1"/>
                  </w14:solidFill>
                </w14:textFill>
              </w:rPr>
            </w:pPr>
          </w:p>
          <w:p>
            <w:pPr>
              <w:jc w:val="center"/>
              <w:rPr>
                <w:rFonts w:cs="仿宋_GB2312"/>
                <w:color w:val="000000" w:themeColor="text1"/>
                <w14:textFill>
                  <w14:solidFill>
                    <w14:schemeClr w14:val="tx1"/>
                  </w14:solidFill>
                </w14:textFill>
              </w:rPr>
            </w:pPr>
          </w:p>
          <w:p>
            <w:pPr>
              <w:jc w:val="center"/>
              <w:rPr>
                <w:rFonts w:cs="仿宋_GB2312"/>
                <w:color w:val="000000" w:themeColor="text1"/>
                <w14:textFill>
                  <w14:solidFill>
                    <w14:schemeClr w14:val="tx1"/>
                  </w14:solidFill>
                </w14:textFill>
              </w:rPr>
            </w:pPr>
          </w:p>
          <w:p>
            <w:pPr>
              <w:jc w:val="center"/>
              <w:rPr>
                <w:rFonts w:cs="仿宋_GB2312"/>
                <w:color w:val="000000" w:themeColor="text1"/>
                <w14:textFill>
                  <w14:solidFill>
                    <w14:schemeClr w14:val="tx1"/>
                  </w14:solidFill>
                </w14:textFill>
              </w:rPr>
            </w:pPr>
          </w:p>
          <w:p>
            <w:pPr>
              <w:jc w:val="center"/>
              <w:rPr>
                <w:rFonts w:cs="仿宋_GB2312"/>
                <w:color w:val="000000" w:themeColor="text1"/>
                <w14:textFill>
                  <w14:solidFill>
                    <w14:schemeClr w14:val="tx1"/>
                  </w14:solidFill>
                </w14:textFill>
              </w:rPr>
            </w:pPr>
          </w:p>
          <w:p>
            <w:pPr>
              <w:jc w:val="center"/>
              <w:rPr>
                <w:rFonts w:cs="仿宋_GB2312"/>
                <w:color w:val="000000" w:themeColor="text1"/>
                <w14:textFill>
                  <w14:solidFill>
                    <w14:schemeClr w14:val="tx1"/>
                  </w14:solidFill>
                </w14:textFill>
              </w:rPr>
            </w:pPr>
          </w:p>
          <w:p>
            <w:pPr>
              <w:jc w:val="center"/>
              <w:rPr>
                <w:rFonts w:cs="仿宋_GB2312"/>
                <w:color w:val="000000" w:themeColor="text1"/>
                <w14:textFill>
                  <w14:solidFill>
                    <w14:schemeClr w14:val="tx1"/>
                  </w14:solidFill>
                </w14:textFill>
              </w:rPr>
            </w:pPr>
          </w:p>
          <w:p>
            <w:pPr>
              <w:jc w:val="center"/>
              <w:rPr>
                <w:rFonts w:cs="仿宋_GB2312"/>
                <w:color w:val="000000" w:themeColor="text1"/>
                <w14:textFill>
                  <w14:solidFill>
                    <w14:schemeClr w14:val="tx1"/>
                  </w14:solidFill>
                </w14:textFill>
              </w:rPr>
            </w:pPr>
          </w:p>
          <w:p>
            <w:pPr>
              <w:jc w:val="cente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技术分（</w:t>
            </w:r>
            <w:r>
              <w:rPr>
                <w:rFonts w:cs="仿宋_GB2312"/>
                <w:color w:val="000000" w:themeColor="text1"/>
                <w14:textFill>
                  <w14:solidFill>
                    <w14:schemeClr w14:val="tx1"/>
                  </w14:solidFill>
                </w14:textFill>
              </w:rPr>
              <w:t>7</w:t>
            </w:r>
            <w:r>
              <w:rPr>
                <w:rFonts w:hint="eastAsia" w:cs="仿宋_GB2312"/>
                <w:color w:val="000000" w:themeColor="text1"/>
                <w:lang w:val="en-US" w:eastAsia="zh-CN"/>
                <w14:textFill>
                  <w14:solidFill>
                    <w14:schemeClr w14:val="tx1"/>
                  </w14:solidFill>
                </w14:textFill>
              </w:rPr>
              <w:t>1</w:t>
            </w:r>
            <w:r>
              <w:rPr>
                <w:rFonts w:hint="eastAsia" w:cs="仿宋_GB2312"/>
                <w:color w:val="000000" w:themeColor="text1"/>
                <w14:textFill>
                  <w14:solidFill>
                    <w14:schemeClr w14:val="tx1"/>
                  </w14:solidFill>
                </w14:textFill>
              </w:rPr>
              <w:t>分）</w:t>
            </w:r>
          </w:p>
        </w:tc>
        <w:tc>
          <w:tcPr>
            <w:tcW w:w="1418" w:type="dxa"/>
            <w:vMerge w:val="restart"/>
            <w:shd w:val="clear" w:color="auto" w:fill="auto"/>
            <w:vAlign w:val="center"/>
          </w:tcPr>
          <w:p>
            <w:pPr>
              <w:rPr>
                <w:rFonts w:cs="仿宋_GB2312"/>
                <w:color w:val="000000" w:themeColor="text1"/>
                <w14:textFill>
                  <w14:solidFill>
                    <w14:schemeClr w14:val="tx1"/>
                  </w14:solidFill>
                </w14:textFill>
              </w:rPr>
            </w:pPr>
            <w:r>
              <w:rPr>
                <w:rFonts w:hint="eastAsia" w:cs="仿宋"/>
                <w:color w:val="000000" w:themeColor="text1"/>
                <w14:textFill>
                  <w14:solidFill>
                    <w14:schemeClr w14:val="tx1"/>
                  </w14:solidFill>
                </w14:textFill>
              </w:rPr>
              <w:t>满足</w:t>
            </w:r>
            <w:r>
              <w:rPr>
                <w:rFonts w:cs="仿宋"/>
                <w:color w:val="000000" w:themeColor="text1"/>
                <w14:textFill>
                  <w14:solidFill>
                    <w14:schemeClr w14:val="tx1"/>
                  </w14:solidFill>
                </w14:textFill>
              </w:rPr>
              <w:t>A类项目、</w:t>
            </w:r>
            <w:r>
              <w:rPr>
                <w:rFonts w:hint="eastAsia" w:cs="仿宋"/>
                <w:color w:val="000000" w:themeColor="text1"/>
                <w14:textFill>
                  <w14:solidFill>
                    <w14:schemeClr w14:val="tx1"/>
                  </w14:solidFill>
                </w14:textFill>
              </w:rPr>
              <w:t>特检项目技术要求程度</w:t>
            </w:r>
          </w:p>
        </w:tc>
        <w:tc>
          <w:tcPr>
            <w:tcW w:w="6229" w:type="dxa"/>
            <w:shd w:val="clear" w:color="auto" w:fill="auto"/>
            <w:vAlign w:val="center"/>
          </w:tcPr>
          <w:p>
            <w:pP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投标单位满足招标文件第三部分“六、检验内容”</w:t>
            </w:r>
            <w:r>
              <w:rPr>
                <w:rFonts w:cs="仿宋"/>
                <w:color w:val="000000" w:themeColor="text1"/>
                <w14:textFill>
                  <w14:solidFill>
                    <w14:schemeClr w14:val="tx1"/>
                  </w14:solidFill>
                </w14:textFill>
              </w:rPr>
              <w:t>A类项目的检测</w:t>
            </w:r>
            <w:r>
              <w:rPr>
                <w:rFonts w:hint="eastAsia" w:cs="仿宋"/>
                <w:color w:val="000000" w:themeColor="text1"/>
                <w14:textFill>
                  <w14:solidFill>
                    <w14:schemeClr w14:val="tx1"/>
                  </w14:solidFill>
                </w14:textFill>
              </w:rPr>
              <w:t>体系、</w:t>
            </w:r>
            <w:r>
              <w:rPr>
                <w:rFonts w:cs="仿宋"/>
                <w:color w:val="000000" w:themeColor="text1"/>
                <w14:textFill>
                  <w14:solidFill>
                    <w14:schemeClr w14:val="tx1"/>
                  </w14:solidFill>
                </w14:textFill>
              </w:rPr>
              <w:t>报告参考范围和项目清单一致</w:t>
            </w:r>
            <w:r>
              <w:rPr>
                <w:rFonts w:hint="eastAsia" w:cs="仿宋"/>
                <w:color w:val="000000" w:themeColor="text1"/>
                <w14:textFill>
                  <w14:solidFill>
                    <w14:schemeClr w14:val="tx1"/>
                  </w14:solidFill>
                </w14:textFill>
              </w:rPr>
              <w:t>的</w:t>
            </w:r>
            <w:r>
              <w:rPr>
                <w:rFonts w:cs="仿宋"/>
                <w:color w:val="000000" w:themeColor="text1"/>
                <w14:textFill>
                  <w14:solidFill>
                    <w14:schemeClr w14:val="tx1"/>
                  </w14:solidFill>
                </w14:textFill>
              </w:rPr>
              <w:t>，</w:t>
            </w:r>
            <w:r>
              <w:rPr>
                <w:rFonts w:hint="eastAsia" w:cs="仿宋"/>
                <w:color w:val="000000" w:themeColor="text1"/>
                <w14:textFill>
                  <w14:solidFill>
                    <w14:schemeClr w14:val="tx1"/>
                  </w14:solidFill>
                </w14:textFill>
              </w:rPr>
              <w:t>得</w:t>
            </w:r>
            <w:r>
              <w:rPr>
                <w:rFonts w:cs="仿宋"/>
                <w:color w:val="000000" w:themeColor="text1"/>
                <w14:textFill>
                  <w14:solidFill>
                    <w14:schemeClr w14:val="tx1"/>
                  </w14:solidFill>
                </w14:textFill>
              </w:rPr>
              <w:t>3分，存在负偏离或未响应的，每项扣</w:t>
            </w:r>
            <w:r>
              <w:rPr>
                <w:rFonts w:cs="仿宋"/>
                <w:b w:val="0"/>
                <w:bCs w:val="0"/>
                <w:color w:val="000000" w:themeColor="text1"/>
                <w14:textFill>
                  <w14:solidFill>
                    <w14:schemeClr w14:val="tx1"/>
                  </w14:solidFill>
                </w14:textFill>
              </w:rPr>
              <w:t>0.2</w:t>
            </w:r>
            <w:r>
              <w:rPr>
                <w:rFonts w:hint="eastAsia" w:cs="仿宋"/>
                <w:color w:val="000000" w:themeColor="text1"/>
                <w14:textFill>
                  <w14:solidFill>
                    <w14:schemeClr w14:val="tx1"/>
                  </w14:solidFill>
                </w14:textFill>
              </w:rPr>
              <w:t>分，扣完为止</w:t>
            </w:r>
            <w:r>
              <w:rPr>
                <w:rFonts w:cs="仿宋"/>
                <w:color w:val="000000" w:themeColor="text1"/>
                <w14:textFill>
                  <w14:solidFill>
                    <w14:schemeClr w14:val="tx1"/>
                  </w14:solidFill>
                </w14:textFill>
              </w:rPr>
              <w:t>。</w:t>
            </w:r>
            <w:r>
              <w:rPr>
                <w:rFonts w:hint="eastAsia" w:cs="仿宋"/>
                <w:color w:val="000000" w:themeColor="text1"/>
                <w14:textFill>
                  <w14:solidFill>
                    <w14:schemeClr w14:val="tx1"/>
                  </w14:solidFill>
                </w14:textFill>
              </w:rPr>
              <w:t>投标文件提供相关证明文件或承诺书</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3</w:t>
            </w:r>
          </w:p>
        </w:tc>
        <w:tc>
          <w:tcPr>
            <w:tcW w:w="708" w:type="dxa"/>
            <w:shd w:val="clear" w:color="auto" w:fill="auto"/>
            <w:vAlign w:val="center"/>
          </w:tcPr>
          <w:p>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Merge w:val="continue"/>
            <w:shd w:val="clear" w:color="auto" w:fill="auto"/>
            <w:vAlign w:val="center"/>
          </w:tcPr>
          <w:p>
            <w:pPr>
              <w:jc w:val="center"/>
              <w:rPr>
                <w:rFonts w:cs="仿宋_GB2312"/>
                <w:color w:val="000000" w:themeColor="text1"/>
                <w14:textFill>
                  <w14:solidFill>
                    <w14:schemeClr w14:val="tx1"/>
                  </w14:solidFill>
                </w14:textFill>
              </w:rPr>
            </w:pPr>
          </w:p>
        </w:tc>
        <w:tc>
          <w:tcPr>
            <w:tcW w:w="1418" w:type="dxa"/>
            <w:vMerge w:val="continue"/>
            <w:shd w:val="clear" w:color="auto" w:fill="auto"/>
            <w:vAlign w:val="center"/>
          </w:tcPr>
          <w:p>
            <w:pPr>
              <w:rPr>
                <w:rFonts w:cs="仿宋_GB2312"/>
                <w:color w:val="000000" w:themeColor="text1"/>
                <w14:textFill>
                  <w14:solidFill>
                    <w14:schemeClr w14:val="tx1"/>
                  </w14:solidFill>
                </w14:textFill>
              </w:rPr>
            </w:pPr>
          </w:p>
        </w:tc>
        <w:tc>
          <w:tcPr>
            <w:tcW w:w="6229" w:type="dxa"/>
            <w:shd w:val="clear" w:color="auto" w:fill="auto"/>
          </w:tcPr>
          <w:p>
            <w:pP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满足特检项目中方法学要求、报告项目明细要求的得</w:t>
            </w:r>
            <w:r>
              <w:rPr>
                <w:rFonts w:cs="仿宋"/>
                <w:color w:val="000000" w:themeColor="text1"/>
                <w14:textFill>
                  <w14:solidFill>
                    <w14:schemeClr w14:val="tx1"/>
                  </w14:solidFill>
                </w14:textFill>
              </w:rPr>
              <w:t>8分，每负偏离一条扣1分，本项目总分8分扣完为止。</w:t>
            </w:r>
          </w:p>
          <w:p>
            <w:pPr>
              <w:rPr>
                <w:color w:val="000000" w:themeColor="text1"/>
                <w14:textFill>
                  <w14:solidFill>
                    <w14:schemeClr w14:val="tx1"/>
                  </w14:solidFill>
                </w14:textFill>
              </w:rPr>
            </w:pPr>
            <w:r>
              <w:rPr>
                <w:rFonts w:hint="eastAsia" w:cs="仿宋"/>
                <w:color w:val="000000" w:themeColor="text1"/>
                <w14:textFill>
                  <w14:solidFill>
                    <w14:schemeClr w14:val="tx1"/>
                  </w14:solidFill>
                </w14:textFill>
              </w:rPr>
              <w:t>提供证明文件：</w:t>
            </w:r>
            <w:r>
              <w:rPr>
                <w:rFonts w:cs="仿宋"/>
                <w:color w:val="000000" w:themeColor="text1"/>
                <w14:textFill>
                  <w14:solidFill>
                    <w14:schemeClr w14:val="tx1"/>
                  </w14:solidFill>
                </w14:textFill>
              </w:rPr>
              <w:t>1、特检项目清单中所有项目试剂说明书；2、报告单：要求检测结果出具在同一张报告单上，需提供投标单位的报告单抬头，隐去患者信息；以及与该院合作的合同复印件</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8</w:t>
            </w:r>
          </w:p>
        </w:tc>
        <w:tc>
          <w:tcPr>
            <w:tcW w:w="708" w:type="dxa"/>
            <w:shd w:val="clear" w:color="auto" w:fill="auto"/>
            <w:vAlign w:val="center"/>
          </w:tcPr>
          <w:p>
            <w:pPr>
              <w:jc w:val="cente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851" w:type="dxa"/>
            <w:vMerge w:val="continue"/>
            <w:shd w:val="clear" w:color="auto" w:fill="auto"/>
            <w:vAlign w:val="center"/>
          </w:tcPr>
          <w:p>
            <w:pPr>
              <w:jc w:val="center"/>
              <w:rPr>
                <w:rFonts w:cs="仿宋_GB2312"/>
                <w:color w:val="000000" w:themeColor="text1"/>
                <w14:textFill>
                  <w14:solidFill>
                    <w14:schemeClr w14:val="tx1"/>
                  </w14:solidFill>
                </w14:textFill>
              </w:rPr>
            </w:pPr>
          </w:p>
        </w:tc>
        <w:tc>
          <w:tcPr>
            <w:tcW w:w="1418" w:type="dxa"/>
            <w:shd w:val="clear" w:color="auto" w:fill="auto"/>
            <w:vAlign w:val="center"/>
          </w:tcPr>
          <w:p>
            <w:pPr>
              <w:rPr>
                <w:rFonts w:cs="仿宋_GB2312"/>
                <w:color w:val="000000" w:themeColor="text1"/>
                <w14:textFill>
                  <w14:solidFill>
                    <w14:schemeClr w14:val="tx1"/>
                  </w14:solidFill>
                </w14:textFill>
              </w:rPr>
            </w:pPr>
            <w:r>
              <w:rPr>
                <w:rFonts w:hint="eastAsia" w:cs="仿宋"/>
                <w:color w:val="000000" w:themeColor="text1"/>
                <w14:textFill>
                  <w14:solidFill>
                    <w14:schemeClr w14:val="tx1"/>
                  </w14:solidFill>
                </w14:textFill>
              </w:rPr>
              <w:t>报告单互认</w:t>
            </w:r>
          </w:p>
        </w:tc>
        <w:tc>
          <w:tcPr>
            <w:tcW w:w="6229" w:type="dxa"/>
            <w:shd w:val="clear" w:color="auto" w:fill="auto"/>
            <w:vAlign w:val="center"/>
          </w:tcPr>
          <w:p>
            <w:pP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浙江省临床检验结果互认项目清单内的项目，需提供投标单位</w:t>
            </w:r>
            <w:r>
              <w:rPr>
                <w:rFonts w:cs="仿宋"/>
                <w:color w:val="000000" w:themeColor="text1"/>
                <w14:textFill>
                  <w14:solidFill>
                    <w14:schemeClr w14:val="tx1"/>
                  </w14:solidFill>
                </w14:textFill>
              </w:rPr>
              <w:t>2021年及以后参加浙江省及以上临床检验中心的室间质评合格证书，全部合格得5分，一项不合格扣0.5分，扣完为止。</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5</w:t>
            </w:r>
          </w:p>
        </w:tc>
        <w:tc>
          <w:tcPr>
            <w:tcW w:w="708" w:type="dxa"/>
            <w:shd w:val="clear" w:color="auto" w:fill="auto"/>
            <w:vAlign w:val="center"/>
          </w:tcPr>
          <w:p>
            <w:pPr>
              <w:jc w:val="cente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851" w:type="dxa"/>
            <w:vMerge w:val="continue"/>
            <w:shd w:val="clear" w:color="auto" w:fill="auto"/>
            <w:vAlign w:val="center"/>
          </w:tcPr>
          <w:p>
            <w:pPr>
              <w:rPr>
                <w:rFonts w:cs="仿宋_GB2312"/>
                <w:color w:val="000000" w:themeColor="text1"/>
                <w14:textFill>
                  <w14:solidFill>
                    <w14:schemeClr w14:val="tx1"/>
                  </w14:solidFill>
                </w14:textFill>
              </w:rPr>
            </w:pPr>
          </w:p>
        </w:tc>
        <w:tc>
          <w:tcPr>
            <w:tcW w:w="1418" w:type="dxa"/>
            <w:vMerge w:val="restart"/>
            <w:shd w:val="clear" w:color="auto" w:fill="auto"/>
            <w:vAlign w:val="center"/>
          </w:tcPr>
          <w:p>
            <w:pPr>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信息化服务方案</w:t>
            </w:r>
          </w:p>
        </w:tc>
        <w:tc>
          <w:tcPr>
            <w:tcW w:w="6229" w:type="dxa"/>
            <w:shd w:val="clear" w:color="auto" w:fill="auto"/>
            <w:vAlign w:val="center"/>
          </w:tcPr>
          <w:p>
            <w:pP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投标单位能</w:t>
            </w:r>
            <w:r>
              <w:rPr>
                <w:rFonts w:cs="仿宋"/>
                <w:color w:val="000000" w:themeColor="text1"/>
                <w14:textFill>
                  <w14:solidFill>
                    <w14:schemeClr w14:val="tx1"/>
                  </w14:solidFill>
                </w14:textFill>
              </w:rPr>
              <w:t>提供全套的信息化解决技术方案并负责实施费用，标本及结果信息需</w:t>
            </w:r>
            <w:r>
              <w:rPr>
                <w:rFonts w:hint="eastAsia" w:cs="仿宋"/>
                <w:color w:val="000000" w:themeColor="text1"/>
                <w14:textFill>
                  <w14:solidFill>
                    <w14:schemeClr w14:val="tx1"/>
                  </w14:solidFill>
                </w14:textFill>
              </w:rPr>
              <w:t>实时</w:t>
            </w:r>
            <w:r>
              <w:rPr>
                <w:rFonts w:cs="仿宋"/>
                <w:color w:val="000000" w:themeColor="text1"/>
                <w14:textFill>
                  <w14:solidFill>
                    <w14:schemeClr w14:val="tx1"/>
                  </w14:solidFill>
                </w14:textFill>
              </w:rPr>
              <w:t>同步到萧山区第一人民医院总院信息系统内，可做到人员归并后的实时查询、医共体内历史结果比对统计、危急值或特定结果预警等功能。</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1）实施方案先进、合理、完整，完全满足招标人实际需求的得7分</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2）实施方案较先进、较合理、较完整，基本满足招标人实际需求的得</w:t>
            </w:r>
            <w:r>
              <w:rPr>
                <w:rFonts w:hint="eastAsia" w:cs="仿宋"/>
                <w:color w:val="000000" w:themeColor="text1"/>
                <w:lang w:val="en-US" w:eastAsia="zh-CN"/>
                <w14:textFill>
                  <w14:solidFill>
                    <w14:schemeClr w14:val="tx1"/>
                  </w14:solidFill>
                </w14:textFill>
              </w:rPr>
              <w:t>5</w:t>
            </w:r>
            <w:r>
              <w:rPr>
                <w:rFonts w:cs="仿宋"/>
                <w:color w:val="000000" w:themeColor="text1"/>
                <w14:textFill>
                  <w14:solidFill>
                    <w14:schemeClr w14:val="tx1"/>
                  </w14:solidFill>
                </w14:textFill>
              </w:rPr>
              <w:t>分</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3）实施方案与实际需求有</w:t>
            </w:r>
            <w:r>
              <w:rPr>
                <w:rFonts w:hint="eastAsia" w:cs="仿宋"/>
                <w:color w:val="000000" w:themeColor="text1"/>
                <w14:textFill>
                  <w14:solidFill>
                    <w14:schemeClr w14:val="tx1"/>
                  </w14:solidFill>
                </w14:textFill>
              </w:rPr>
              <w:t>较大</w:t>
            </w:r>
            <w:r>
              <w:rPr>
                <w:rFonts w:cs="仿宋"/>
                <w:color w:val="000000" w:themeColor="text1"/>
                <w14:textFill>
                  <w14:solidFill>
                    <w14:schemeClr w14:val="tx1"/>
                  </w14:solidFill>
                </w14:textFill>
              </w:rPr>
              <w:t>差距得</w:t>
            </w:r>
            <w:r>
              <w:rPr>
                <w:rFonts w:hint="eastAsia" w:cs="仿宋"/>
                <w:color w:val="000000" w:themeColor="text1"/>
                <w:lang w:val="en-US" w:eastAsia="zh-CN"/>
                <w14:textFill>
                  <w14:solidFill>
                    <w14:schemeClr w14:val="tx1"/>
                  </w14:solidFill>
                </w14:textFill>
              </w:rPr>
              <w:t>3</w:t>
            </w:r>
            <w:r>
              <w:rPr>
                <w:rFonts w:cs="仿宋"/>
                <w:color w:val="000000" w:themeColor="text1"/>
                <w14:textFill>
                  <w14:solidFill>
                    <w14:schemeClr w14:val="tx1"/>
                  </w14:solidFill>
                </w14:textFill>
              </w:rPr>
              <w:t>分</w:t>
            </w:r>
          </w:p>
          <w:p>
            <w:pPr>
              <w:rPr>
                <w:color w:val="000000" w:themeColor="text1"/>
                <w14:textFill>
                  <w14:solidFill>
                    <w14:schemeClr w14:val="tx1"/>
                  </w14:solidFill>
                </w14:textFill>
              </w:rPr>
            </w:pPr>
            <w:r>
              <w:rPr>
                <w:rFonts w:cs="仿宋"/>
                <w:color w:val="000000" w:themeColor="text1"/>
                <w14:textFill>
                  <w14:solidFill>
                    <w14:schemeClr w14:val="tx1"/>
                  </w14:solidFill>
                </w14:textFill>
              </w:rPr>
              <w:t>4）未提供得0分</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7</w:t>
            </w:r>
          </w:p>
        </w:tc>
        <w:tc>
          <w:tcPr>
            <w:tcW w:w="708" w:type="dxa"/>
            <w:vMerge w:val="restart"/>
            <w:shd w:val="clear" w:color="auto" w:fill="auto"/>
            <w:vAlign w:val="center"/>
          </w:tcPr>
          <w:p>
            <w:pPr>
              <w:jc w:val="center"/>
              <w:rPr>
                <w:rFonts w:cs="仿宋_GB2312"/>
                <w:color w:val="000000" w:themeColor="text1"/>
                <w14:textFill>
                  <w14:solidFill>
                    <w14:schemeClr w14:val="tx1"/>
                  </w14:solidFill>
                </w14:textFill>
              </w:rPr>
            </w:pPr>
            <w:r>
              <w:rPr>
                <w:rFonts w:hint="eastAsia" w:cs="仿宋"/>
                <w:color w:val="000000" w:themeColor="text1"/>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vMerge w:val="continue"/>
            <w:shd w:val="clear" w:color="auto" w:fill="auto"/>
            <w:vAlign w:val="center"/>
          </w:tcPr>
          <w:p>
            <w:pPr>
              <w:rPr>
                <w:rFonts w:cs="仿宋_GB2312"/>
                <w:color w:val="000000" w:themeColor="text1"/>
                <w14:textFill>
                  <w14:solidFill>
                    <w14:schemeClr w14:val="tx1"/>
                  </w14:solidFill>
                </w14:textFill>
              </w:rPr>
            </w:pPr>
          </w:p>
        </w:tc>
        <w:tc>
          <w:tcPr>
            <w:tcW w:w="1418" w:type="dxa"/>
            <w:vMerge w:val="continue"/>
            <w:shd w:val="clear" w:color="auto" w:fill="auto"/>
            <w:vAlign w:val="center"/>
          </w:tcPr>
          <w:p>
            <w:pPr>
              <w:jc w:val="center"/>
              <w:rPr>
                <w:rFonts w:cs="仿宋"/>
                <w:color w:val="000000" w:themeColor="text1"/>
                <w14:textFill>
                  <w14:solidFill>
                    <w14:schemeClr w14:val="tx1"/>
                  </w14:solidFill>
                </w14:textFill>
              </w:rPr>
            </w:pPr>
          </w:p>
        </w:tc>
        <w:tc>
          <w:tcPr>
            <w:tcW w:w="6229" w:type="dxa"/>
            <w:shd w:val="clear" w:color="auto" w:fill="auto"/>
            <w:vAlign w:val="center"/>
          </w:tcPr>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能提供和医院信息系统对接并能实现数字化智慧医疗服务，服务内容包括智慧医疗、数字健康管理、智慧公卫，以及多个跨场景应用功能。</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1）实施方案先进、合理、完整，完全满足招标人实际需求的得8分</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2）实施方案较先进、较合理、较完整，基本满足招标人实际需求的得5分</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3）实施方案与实际需求有</w:t>
            </w:r>
            <w:r>
              <w:rPr>
                <w:rFonts w:hint="eastAsia" w:cs="仿宋"/>
                <w:color w:val="000000" w:themeColor="text1"/>
                <w14:textFill>
                  <w14:solidFill>
                    <w14:schemeClr w14:val="tx1"/>
                  </w14:solidFill>
                </w14:textFill>
              </w:rPr>
              <w:t>较大</w:t>
            </w:r>
            <w:r>
              <w:rPr>
                <w:rFonts w:cs="仿宋"/>
                <w:color w:val="000000" w:themeColor="text1"/>
                <w14:textFill>
                  <w14:solidFill>
                    <w14:schemeClr w14:val="tx1"/>
                  </w14:solidFill>
                </w14:textFill>
              </w:rPr>
              <w:t>差距得</w:t>
            </w:r>
            <w:r>
              <w:rPr>
                <w:rFonts w:hint="eastAsia" w:cs="仿宋"/>
                <w:color w:val="000000" w:themeColor="text1"/>
                <w:lang w:val="en-US" w:eastAsia="zh-CN"/>
                <w14:textFill>
                  <w14:solidFill>
                    <w14:schemeClr w14:val="tx1"/>
                  </w14:solidFill>
                </w14:textFill>
              </w:rPr>
              <w:t>3</w:t>
            </w:r>
            <w:r>
              <w:rPr>
                <w:rFonts w:cs="仿宋"/>
                <w:color w:val="000000" w:themeColor="text1"/>
                <w14:textFill>
                  <w14:solidFill>
                    <w14:schemeClr w14:val="tx1"/>
                  </w14:solidFill>
                </w14:textFill>
              </w:rPr>
              <w:t>分</w:t>
            </w:r>
          </w:p>
          <w:p>
            <w:pPr>
              <w:pStyle w:val="2"/>
              <w:rPr>
                <w:rFonts w:cs="仿宋"/>
                <w:color w:val="000000" w:themeColor="text1"/>
                <w14:textFill>
                  <w14:solidFill>
                    <w14:schemeClr w14:val="tx1"/>
                  </w14:solidFill>
                </w14:textFill>
              </w:rPr>
            </w:pPr>
            <w:bookmarkStart w:id="370" w:name="_GoBack"/>
            <w:r>
              <w:rPr>
                <w:rFonts w:cs="仿宋"/>
                <w:b w:val="0"/>
                <w:bCs/>
                <w:color w:val="000000" w:themeColor="text1"/>
                <w14:textFill>
                  <w14:solidFill>
                    <w14:schemeClr w14:val="tx1"/>
                  </w14:solidFill>
                </w14:textFill>
              </w:rPr>
              <w:t>4）未提供得0分</w:t>
            </w:r>
            <w:bookmarkEnd w:id="370"/>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8</w:t>
            </w:r>
          </w:p>
        </w:tc>
        <w:tc>
          <w:tcPr>
            <w:tcW w:w="708" w:type="dxa"/>
            <w:vMerge w:val="continue"/>
            <w:shd w:val="clear" w:color="auto" w:fill="auto"/>
            <w:vAlign w:val="center"/>
          </w:tcPr>
          <w:p>
            <w:pPr>
              <w:jc w:val="center"/>
              <w:rPr>
                <w:rFonts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Merge w:val="continue"/>
            <w:shd w:val="clear" w:color="auto" w:fill="auto"/>
            <w:vAlign w:val="center"/>
          </w:tcPr>
          <w:p>
            <w:pPr>
              <w:ind w:firstLine="480" w:firstLineChars="200"/>
              <w:rPr>
                <w:color w:val="000000" w:themeColor="text1"/>
                <w14:textFill>
                  <w14:solidFill>
                    <w14:schemeClr w14:val="tx1"/>
                  </w14:solidFill>
                </w14:textFill>
              </w:rPr>
            </w:pPr>
          </w:p>
        </w:tc>
        <w:tc>
          <w:tcPr>
            <w:tcW w:w="1418" w:type="dxa"/>
            <w:shd w:val="clear" w:color="auto" w:fill="auto"/>
            <w:vAlign w:val="center"/>
          </w:tcPr>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检验及报告实施方案</w:t>
            </w:r>
          </w:p>
        </w:tc>
        <w:tc>
          <w:tcPr>
            <w:tcW w:w="6229" w:type="dxa"/>
            <w:shd w:val="clear" w:color="auto" w:fill="auto"/>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提供针对本项目的按投标单位提供的所有检验标本全流程实施。</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）实施方案先进、合理、完整，完全满足招标人实际需求的得</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分</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）实施方案较先进、较合理、较完整，基本满足招标人实际需求的得</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分</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）实施方案与实际需求有一定差距得</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分</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）未提供得</w:t>
            </w:r>
            <w:r>
              <w:rPr>
                <w:rFonts w:ascii="Times New Roman" w:hAnsi="Times New Roman"/>
                <w:color w:val="000000" w:themeColor="text1"/>
                <w14:textFill>
                  <w14:solidFill>
                    <w14:schemeClr w14:val="tx1"/>
                  </w14:solidFill>
                </w14:textFill>
              </w:rPr>
              <w:t>0</w:t>
            </w:r>
            <w:r>
              <w:rPr>
                <w:rFonts w:hint="eastAsia" w:ascii="Times New Roman" w:hAnsi="Times New Roman"/>
                <w:color w:val="000000" w:themeColor="text1"/>
                <w14:textFill>
                  <w14:solidFill>
                    <w14:schemeClr w14:val="tx1"/>
                  </w14:solidFill>
                </w14:textFill>
              </w:rPr>
              <w:t>分</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5</w:t>
            </w:r>
          </w:p>
        </w:tc>
        <w:tc>
          <w:tcPr>
            <w:tcW w:w="708" w:type="dxa"/>
            <w:shd w:val="clear" w:color="auto" w:fill="auto"/>
            <w:vAlign w:val="center"/>
          </w:tcPr>
          <w:p>
            <w:pPr>
              <w:jc w:val="center"/>
              <w:rPr>
                <w:rFonts w:cs="仿宋_GB2312"/>
                <w:color w:val="000000" w:themeColor="text1"/>
                <w14:textFill>
                  <w14:solidFill>
                    <w14:schemeClr w14:val="tx1"/>
                  </w14:solidFill>
                </w14:textFill>
              </w:rPr>
            </w:pPr>
            <w:r>
              <w:rPr>
                <w:rFonts w:hint="eastAsia" w:cs="仿宋"/>
                <w:color w:val="000000" w:themeColor="text1"/>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51" w:type="dxa"/>
            <w:vMerge w:val="continue"/>
            <w:shd w:val="clear" w:color="auto" w:fill="auto"/>
            <w:vAlign w:val="center"/>
          </w:tcPr>
          <w:p>
            <w:pPr>
              <w:ind w:firstLine="480" w:firstLineChars="200"/>
              <w:rPr>
                <w:rFonts w:cs="仿宋_GB2312"/>
                <w:color w:val="000000" w:themeColor="text1"/>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仿宋_GB2312"/>
                <w:color w:val="000000" w:themeColor="text1"/>
                <w14:textFill>
                  <w14:solidFill>
                    <w14:schemeClr w14:val="tx1"/>
                  </w14:solidFill>
                </w14:textFill>
              </w:rPr>
            </w:pPr>
            <w:r>
              <w:rPr>
                <w:rFonts w:cs="仿宋"/>
                <w:color w:val="000000" w:themeColor="text1"/>
                <w14:textFill>
                  <w14:solidFill>
                    <w14:schemeClr w14:val="tx1"/>
                  </w14:solidFill>
                </w14:textFill>
              </w:rPr>
              <w:t>检测仪器清单</w:t>
            </w:r>
          </w:p>
        </w:tc>
        <w:tc>
          <w:tcPr>
            <w:tcW w:w="6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根据实验室具备检测本项目的相关仪器设备，提供设备的品牌，型号，具体性能参数。</w:t>
            </w:r>
          </w:p>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根据主要设备数量、性能：完全满足项目需求的得</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分；基本满足项目需求的得</w:t>
            </w:r>
            <w:r>
              <w:rPr>
                <w:rFonts w:ascii="Times New Roman" w:hAnsi="Times New Roman"/>
                <w:color w:val="000000" w:themeColor="text1"/>
                <w14:textFill>
                  <w14:solidFill>
                    <w14:schemeClr w14:val="tx1"/>
                  </w14:solidFill>
                </w14:textFill>
              </w:rPr>
              <w:t>1.5</w:t>
            </w:r>
            <w:r>
              <w:rPr>
                <w:rFonts w:hint="eastAsia" w:ascii="Times New Roman" w:hAnsi="Times New Roman"/>
                <w:color w:val="000000" w:themeColor="text1"/>
                <w14:textFill>
                  <w14:solidFill>
                    <w14:schemeClr w14:val="tx1"/>
                  </w14:solidFill>
                </w14:textFill>
              </w:rPr>
              <w:t>分；不能满足项目需求的得</w:t>
            </w:r>
            <w:r>
              <w:rPr>
                <w:rFonts w:ascii="Times New Roman" w:hAnsi="Times New Roman"/>
                <w:color w:val="000000" w:themeColor="text1"/>
                <w14:textFill>
                  <w14:solidFill>
                    <w14:schemeClr w14:val="tx1"/>
                  </w14:solidFill>
                </w14:textFill>
              </w:rPr>
              <w:t>0</w:t>
            </w:r>
            <w:r>
              <w:rPr>
                <w:rFonts w:hint="eastAsia" w:ascii="Times New Roman" w:hAnsi="Times New Roman"/>
                <w:color w:val="000000" w:themeColor="text1"/>
                <w14:textFill>
                  <w14:solidFill>
                    <w14:schemeClr w14:val="tx1"/>
                  </w14:solidFill>
                </w14:textFill>
              </w:rPr>
              <w:t>分。</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3</w:t>
            </w:r>
          </w:p>
        </w:tc>
        <w:tc>
          <w:tcPr>
            <w:tcW w:w="708" w:type="dxa"/>
            <w:shd w:val="clear" w:color="auto" w:fill="auto"/>
            <w:vAlign w:val="center"/>
          </w:tcPr>
          <w:p>
            <w:pPr>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Merge w:val="continue"/>
            <w:shd w:val="clear" w:color="auto" w:fill="auto"/>
            <w:vAlign w:val="center"/>
          </w:tcPr>
          <w:p>
            <w:pPr>
              <w:ind w:firstLine="480" w:firstLineChars="200"/>
              <w:rPr>
                <w:rFonts w:cs="仿宋_GB2312"/>
                <w:color w:val="000000" w:themeColor="text1"/>
                <w14:textFill>
                  <w14:solidFill>
                    <w14:schemeClr w14:val="tx1"/>
                  </w14:solidFill>
                </w14:textFill>
              </w:rPr>
            </w:pPr>
          </w:p>
        </w:tc>
        <w:tc>
          <w:tcPr>
            <w:tcW w:w="1418" w:type="dxa"/>
            <w:shd w:val="clear" w:color="auto" w:fill="auto"/>
            <w:vAlign w:val="center"/>
          </w:tcPr>
          <w:p>
            <w:pPr>
              <w:rPr>
                <w:rFonts w:cs="仿宋_GB2312"/>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拟采用的试剂耗材</w:t>
            </w:r>
          </w:p>
        </w:tc>
        <w:tc>
          <w:tcPr>
            <w:tcW w:w="6229" w:type="dxa"/>
            <w:shd w:val="clear" w:color="auto" w:fill="auto"/>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试剂耗材性能等情况</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完全满足项目需求的得</w:t>
            </w:r>
            <w:r>
              <w:rPr>
                <w:rFonts w:hint="eastAsia" w:ascii="Times New Roman" w:hAnsi="Times New Roman"/>
                <w:color w:val="000000" w:themeColor="text1"/>
                <w:lang w:val="en-US" w:eastAsia="zh-CN"/>
                <w14:textFill>
                  <w14:solidFill>
                    <w14:schemeClr w14:val="tx1"/>
                  </w14:solidFill>
                </w14:textFill>
              </w:rPr>
              <w:t>3</w:t>
            </w:r>
            <w:r>
              <w:rPr>
                <w:rFonts w:hint="eastAsia" w:ascii="Times New Roman" w:hAnsi="Times New Roman"/>
                <w:color w:val="000000" w:themeColor="text1"/>
                <w14:textFill>
                  <w14:solidFill>
                    <w14:schemeClr w14:val="tx1"/>
                  </w14:solidFill>
                </w14:textFill>
              </w:rPr>
              <w:t>分；基本满足项目需求的得</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.5</w:t>
            </w:r>
            <w:r>
              <w:rPr>
                <w:rFonts w:hint="eastAsia" w:ascii="Times New Roman" w:hAnsi="Times New Roman"/>
                <w:color w:val="000000" w:themeColor="text1"/>
                <w14:textFill>
                  <w14:solidFill>
                    <w14:schemeClr w14:val="tx1"/>
                  </w14:solidFill>
                </w14:textFill>
              </w:rPr>
              <w:t>分；不能满足项目需求的得</w:t>
            </w:r>
            <w:r>
              <w:rPr>
                <w:rFonts w:ascii="Times New Roman" w:hAnsi="Times New Roman"/>
                <w:color w:val="000000" w:themeColor="text1"/>
                <w14:textFill>
                  <w14:solidFill>
                    <w14:schemeClr w14:val="tx1"/>
                  </w14:solidFill>
                </w14:textFill>
              </w:rPr>
              <w:t>0</w:t>
            </w:r>
            <w:r>
              <w:rPr>
                <w:rFonts w:hint="eastAsia" w:ascii="Times New Roman" w:hAnsi="Times New Roman"/>
                <w:color w:val="000000" w:themeColor="text1"/>
                <w14:textFill>
                  <w14:solidFill>
                    <w14:schemeClr w14:val="tx1"/>
                  </w14:solidFill>
                </w14:textFill>
              </w:rPr>
              <w:t>分。</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3</w:t>
            </w:r>
          </w:p>
        </w:tc>
        <w:tc>
          <w:tcPr>
            <w:tcW w:w="708" w:type="dxa"/>
            <w:shd w:val="clear" w:color="auto" w:fill="auto"/>
            <w:vAlign w:val="center"/>
          </w:tcPr>
          <w:p>
            <w:pPr>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Merge w:val="continue"/>
            <w:shd w:val="clear" w:color="auto" w:fill="auto"/>
            <w:vAlign w:val="center"/>
          </w:tcPr>
          <w:p>
            <w:pPr>
              <w:ind w:firstLine="480" w:firstLineChars="200"/>
              <w:rPr>
                <w:rFonts w:cs="仿宋_GB2312"/>
                <w:color w:val="000000" w:themeColor="text1"/>
                <w14:textFill>
                  <w14:solidFill>
                    <w14:schemeClr w14:val="tx1"/>
                  </w14:solidFill>
                </w14:textFill>
              </w:rPr>
            </w:pPr>
          </w:p>
        </w:tc>
        <w:tc>
          <w:tcPr>
            <w:tcW w:w="1418" w:type="dxa"/>
            <w:shd w:val="clear" w:color="auto" w:fill="auto"/>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质控落实及</w:t>
            </w:r>
            <w:r>
              <w:rPr>
                <w:rFonts w:cs="仿宋"/>
                <w:color w:val="000000" w:themeColor="text1"/>
                <w14:textFill>
                  <w14:solidFill>
                    <w14:schemeClr w14:val="tx1"/>
                  </w14:solidFill>
                </w14:textFill>
              </w:rPr>
              <w:t>管理</w:t>
            </w:r>
            <w:r>
              <w:rPr>
                <w:rFonts w:hint="eastAsia" w:ascii="Times New Roman" w:hAnsi="Times New Roman"/>
                <w:color w:val="000000" w:themeColor="text1"/>
                <w14:textFill>
                  <w14:solidFill>
                    <w14:schemeClr w14:val="tx1"/>
                  </w14:solidFill>
                </w14:textFill>
              </w:rPr>
              <w:t>方案</w:t>
            </w:r>
          </w:p>
        </w:tc>
        <w:tc>
          <w:tcPr>
            <w:tcW w:w="6229" w:type="dxa"/>
            <w:shd w:val="clear" w:color="auto" w:fill="auto"/>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投标单位</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人</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质控制度、质控落实及管理方案。</w:t>
            </w:r>
          </w:p>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方案详尽合理、能够完全针对本项目实际情况的得</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分；方案详尽、部分具有针对性的得</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分；方案内容与实际需求有一定差距得</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分，未提供的得</w:t>
            </w:r>
            <w:r>
              <w:rPr>
                <w:rFonts w:ascii="Times New Roman" w:hAnsi="Times New Roman"/>
                <w:color w:val="000000" w:themeColor="text1"/>
                <w14:textFill>
                  <w14:solidFill>
                    <w14:schemeClr w14:val="tx1"/>
                  </w14:solidFill>
                </w14:textFill>
              </w:rPr>
              <w:t>0</w:t>
            </w:r>
            <w:r>
              <w:rPr>
                <w:rFonts w:hint="eastAsia" w:ascii="Times New Roman" w:hAnsi="Times New Roman"/>
                <w:color w:val="000000" w:themeColor="text1"/>
                <w14:textFill>
                  <w14:solidFill>
                    <w14:schemeClr w14:val="tx1"/>
                  </w14:solidFill>
                </w14:textFill>
              </w:rPr>
              <w:t>分。</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3</w:t>
            </w:r>
          </w:p>
        </w:tc>
        <w:tc>
          <w:tcPr>
            <w:tcW w:w="708" w:type="dxa"/>
            <w:shd w:val="clear" w:color="auto" w:fill="auto"/>
            <w:vAlign w:val="center"/>
          </w:tcPr>
          <w:p>
            <w:pPr>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Merge w:val="continue"/>
            <w:shd w:val="clear" w:color="auto" w:fill="auto"/>
            <w:vAlign w:val="center"/>
          </w:tcPr>
          <w:p>
            <w:pPr>
              <w:ind w:firstLine="480" w:firstLineChars="200"/>
              <w:rPr>
                <w:rFonts w:cs="仿宋_GB2312"/>
                <w:color w:val="000000" w:themeColor="text1"/>
                <w14:textFill>
                  <w14:solidFill>
                    <w14:schemeClr w14:val="tx1"/>
                  </w14:solidFill>
                </w14:textFill>
              </w:rPr>
            </w:pPr>
          </w:p>
        </w:tc>
        <w:tc>
          <w:tcPr>
            <w:tcW w:w="1418" w:type="dxa"/>
            <w:shd w:val="clear" w:color="auto" w:fill="auto"/>
            <w:vAlign w:val="center"/>
          </w:tcPr>
          <w:p>
            <w:pP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危急值</w:t>
            </w:r>
            <w:r>
              <w:rPr>
                <w:rFonts w:cs="仿宋"/>
                <w:color w:val="000000" w:themeColor="text1"/>
                <w14:textFill>
                  <w14:solidFill>
                    <w14:schemeClr w14:val="tx1"/>
                  </w14:solidFill>
                </w14:textFill>
              </w:rPr>
              <w:t>解决方案</w:t>
            </w:r>
          </w:p>
        </w:tc>
        <w:tc>
          <w:tcPr>
            <w:tcW w:w="6229" w:type="dxa"/>
            <w:shd w:val="clear" w:color="auto" w:fill="auto"/>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针对检测报告的检测数据中出现危急值解决方案，如何及时反馈、方式、时间及相关处理措施。</w:t>
            </w:r>
          </w:p>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方案详尽合理、能够完全针对本项目实际情况的得</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分；方案详尽、部分具有针对性的得</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分；方案内容与实际需求有一定差距得</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分，未提供的得</w:t>
            </w:r>
            <w:r>
              <w:rPr>
                <w:rFonts w:ascii="Times New Roman" w:hAnsi="Times New Roman"/>
                <w:color w:val="000000" w:themeColor="text1"/>
                <w14:textFill>
                  <w14:solidFill>
                    <w14:schemeClr w14:val="tx1"/>
                  </w14:solidFill>
                </w14:textFill>
              </w:rPr>
              <w:t>0</w:t>
            </w:r>
            <w:r>
              <w:rPr>
                <w:rFonts w:hint="eastAsia" w:ascii="Times New Roman" w:hAnsi="Times New Roman"/>
                <w:color w:val="000000" w:themeColor="text1"/>
                <w14:textFill>
                  <w14:solidFill>
                    <w14:schemeClr w14:val="tx1"/>
                  </w14:solidFill>
                </w14:textFill>
              </w:rPr>
              <w:t>分。</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3</w:t>
            </w:r>
          </w:p>
        </w:tc>
        <w:tc>
          <w:tcPr>
            <w:tcW w:w="708" w:type="dxa"/>
            <w:shd w:val="clear" w:color="auto" w:fill="auto"/>
            <w:vAlign w:val="center"/>
          </w:tcPr>
          <w:p>
            <w:pPr>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Merge w:val="continue"/>
            <w:shd w:val="clear" w:color="auto" w:fill="auto"/>
            <w:vAlign w:val="center"/>
          </w:tcPr>
          <w:p>
            <w:pPr>
              <w:ind w:firstLine="480" w:firstLineChars="200"/>
              <w:rPr>
                <w:rFonts w:cs="仿宋_GB2312"/>
                <w:color w:val="000000" w:themeColor="text1"/>
                <w14:textFill>
                  <w14:solidFill>
                    <w14:schemeClr w14:val="tx1"/>
                  </w14:solidFill>
                </w14:textFill>
              </w:rPr>
            </w:pPr>
          </w:p>
        </w:tc>
        <w:tc>
          <w:tcPr>
            <w:tcW w:w="1418" w:type="dxa"/>
            <w:shd w:val="clear" w:color="auto" w:fill="auto"/>
            <w:vAlign w:val="center"/>
          </w:tcPr>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物流运输方案</w:t>
            </w:r>
          </w:p>
        </w:tc>
        <w:tc>
          <w:tcPr>
            <w:tcW w:w="6229" w:type="dxa"/>
            <w:shd w:val="clear" w:color="auto" w:fill="auto"/>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物流运输方案：根据投标单位的总体规划方案。</w:t>
            </w:r>
          </w:p>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方案设计清晰、完整，完全吻合项目需求的得</w:t>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分；方案内容简单明确，基本满足项目需求的得</w:t>
            </w: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分；方案内容不清晰，内容缺失的得</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分；方案内容混乱，内容缺失严重的得</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分；未提供的得</w:t>
            </w:r>
            <w:r>
              <w:rPr>
                <w:rFonts w:ascii="Times New Roman" w:hAnsi="Times New Roman"/>
                <w:color w:val="000000" w:themeColor="text1"/>
                <w14:textFill>
                  <w14:solidFill>
                    <w14:schemeClr w14:val="tx1"/>
                  </w14:solidFill>
                </w14:textFill>
              </w:rPr>
              <w:t>0</w:t>
            </w:r>
            <w:r>
              <w:rPr>
                <w:rFonts w:hint="eastAsia" w:ascii="Times New Roman" w:hAnsi="Times New Roman"/>
                <w:color w:val="000000" w:themeColor="text1"/>
                <w14:textFill>
                  <w14:solidFill>
                    <w14:schemeClr w14:val="tx1"/>
                  </w14:solidFill>
                </w14:textFill>
              </w:rPr>
              <w:t>分。</w:t>
            </w:r>
            <w:r>
              <w:rPr>
                <w:rFonts w:ascii="Times New Roman" w:hAnsi="Times New Roman"/>
                <w:color w:val="000000" w:themeColor="text1"/>
                <w14:textFill>
                  <w14:solidFill>
                    <w14:schemeClr w14:val="tx1"/>
                  </w14:solidFill>
                </w14:textFill>
              </w:rPr>
              <w:t xml:space="preserve"> </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4</w:t>
            </w:r>
          </w:p>
        </w:tc>
        <w:tc>
          <w:tcPr>
            <w:tcW w:w="708" w:type="dxa"/>
            <w:shd w:val="clear" w:color="auto" w:fill="auto"/>
            <w:vAlign w:val="center"/>
          </w:tcPr>
          <w:p>
            <w:pPr>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Merge w:val="continue"/>
            <w:shd w:val="clear" w:color="auto" w:fill="auto"/>
            <w:vAlign w:val="center"/>
          </w:tcPr>
          <w:p>
            <w:pPr>
              <w:ind w:firstLine="480" w:firstLineChars="200"/>
              <w:rPr>
                <w:rFonts w:cs="仿宋_GB2312"/>
                <w:color w:val="000000" w:themeColor="text1"/>
                <w14:textFill>
                  <w14:solidFill>
                    <w14:schemeClr w14:val="tx1"/>
                  </w14:solidFill>
                </w14:textFill>
              </w:rPr>
            </w:pPr>
          </w:p>
        </w:tc>
        <w:tc>
          <w:tcPr>
            <w:tcW w:w="1418" w:type="dxa"/>
            <w:shd w:val="clear" w:color="auto" w:fill="auto"/>
            <w:vAlign w:val="center"/>
          </w:tcPr>
          <w:p>
            <w:pPr>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标本转运物流流程规章制度</w:t>
            </w:r>
          </w:p>
        </w:tc>
        <w:tc>
          <w:tcPr>
            <w:tcW w:w="6229" w:type="dxa"/>
            <w:shd w:val="clear" w:color="auto" w:fill="auto"/>
            <w:vAlign w:val="center"/>
          </w:tcPr>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标本转运物流流程规章制度（包括标本运输紧急预案）及工作各环节操作说明书。</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方案</w:t>
            </w:r>
            <w:r>
              <w:rPr>
                <w:rFonts w:hint="eastAsia" w:cs="仿宋"/>
                <w:color w:val="000000" w:themeColor="text1"/>
                <w14:textFill>
                  <w14:solidFill>
                    <w14:schemeClr w14:val="tx1"/>
                  </w14:solidFill>
                </w14:textFill>
              </w:rPr>
              <w:t>内容</w:t>
            </w:r>
            <w:r>
              <w:rPr>
                <w:rFonts w:cs="仿宋"/>
                <w:color w:val="000000" w:themeColor="text1"/>
                <w14:textFill>
                  <w14:solidFill>
                    <w14:schemeClr w14:val="tx1"/>
                  </w14:solidFill>
                </w14:textFill>
              </w:rPr>
              <w:t>全面、可行，完全吻合项目需求的得3分；方案内容片面且可行性不足的得2分；方案内容混乱，无可行性的得1分；</w:t>
            </w:r>
            <w:r>
              <w:rPr>
                <w:rFonts w:hint="eastAsia" w:ascii="Times New Roman" w:hAnsi="Times New Roman"/>
                <w:color w:val="000000" w:themeColor="text1"/>
                <w14:textFill>
                  <w14:solidFill>
                    <w14:schemeClr w14:val="tx1"/>
                  </w14:solidFill>
                </w14:textFill>
              </w:rPr>
              <w:t>未提供的得</w:t>
            </w:r>
            <w:r>
              <w:rPr>
                <w:rFonts w:ascii="Times New Roman" w:hAnsi="Times New Roman"/>
                <w:color w:val="000000" w:themeColor="text1"/>
                <w14:textFill>
                  <w14:solidFill>
                    <w14:schemeClr w14:val="tx1"/>
                  </w14:solidFill>
                </w14:textFill>
              </w:rPr>
              <w:t>0</w:t>
            </w:r>
            <w:r>
              <w:rPr>
                <w:rFonts w:hint="eastAsia" w:ascii="Times New Roman" w:hAnsi="Times New Roman"/>
                <w:color w:val="000000" w:themeColor="text1"/>
                <w14:textFill>
                  <w14:solidFill>
                    <w14:schemeClr w14:val="tx1"/>
                  </w14:solidFill>
                </w14:textFill>
              </w:rPr>
              <w:t>分</w:t>
            </w:r>
            <w:r>
              <w:rPr>
                <w:rFonts w:cs="仿宋"/>
                <w:color w:val="000000" w:themeColor="text1"/>
                <w14:textFill>
                  <w14:solidFill>
                    <w14:schemeClr w14:val="tx1"/>
                  </w14:solidFill>
                </w14:textFill>
              </w:rPr>
              <w:t>。</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3</w:t>
            </w:r>
          </w:p>
        </w:tc>
        <w:tc>
          <w:tcPr>
            <w:tcW w:w="708" w:type="dxa"/>
            <w:shd w:val="clear" w:color="auto" w:fill="auto"/>
            <w:vAlign w:val="center"/>
          </w:tcPr>
          <w:p>
            <w:pPr>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Merge w:val="continue"/>
            <w:shd w:val="clear" w:color="auto" w:fill="auto"/>
            <w:vAlign w:val="center"/>
          </w:tcPr>
          <w:p>
            <w:pPr>
              <w:ind w:firstLine="480" w:firstLineChars="200"/>
              <w:rPr>
                <w:rFonts w:cs="仿宋_GB2312"/>
                <w:color w:val="000000" w:themeColor="text1"/>
                <w14:textFill>
                  <w14:solidFill>
                    <w14:schemeClr w14:val="tx1"/>
                  </w14:solidFill>
                </w14:textFill>
              </w:rPr>
            </w:pPr>
          </w:p>
        </w:tc>
        <w:tc>
          <w:tcPr>
            <w:tcW w:w="1418" w:type="dxa"/>
            <w:shd w:val="clear" w:color="auto" w:fill="auto"/>
            <w:vAlign w:val="center"/>
          </w:tcPr>
          <w:p>
            <w:pPr>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物流的配置</w:t>
            </w:r>
          </w:p>
        </w:tc>
        <w:tc>
          <w:tcPr>
            <w:tcW w:w="6229" w:type="dxa"/>
            <w:shd w:val="clear" w:color="auto" w:fill="auto"/>
            <w:vAlign w:val="center"/>
          </w:tcPr>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物流的配置</w:t>
            </w:r>
            <w:r>
              <w:rPr>
                <w:rFonts w:hint="eastAsia" w:cs="仿宋"/>
                <w:color w:val="000000" w:themeColor="text1"/>
                <w14:textFill>
                  <w14:solidFill>
                    <w14:schemeClr w14:val="tx1"/>
                  </w14:solidFill>
                </w14:textFill>
              </w:rPr>
              <w:t>。</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1）配置车辆的数量、性能、冷链设施，车辆上配有专业设备情况，每天物流运送的路线安排。完全满足项目需求的得2分；部分满足项目需求的得1分；未提供或不能满足的不得分。</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2）如何保障样本每天的及时送达，安全措施等。完全满足项目需求的得2分；部分满足项目需求的得1分；</w:t>
            </w:r>
            <w:r>
              <w:rPr>
                <w:rFonts w:hint="eastAsia" w:cs="仿宋"/>
                <w:color w:val="000000" w:themeColor="text1"/>
                <w14:textFill>
                  <w14:solidFill>
                    <w14:schemeClr w14:val="tx1"/>
                  </w14:solidFill>
                </w14:textFill>
              </w:rPr>
              <w:t>未提供方案的得</w:t>
            </w:r>
            <w:r>
              <w:rPr>
                <w:rFonts w:cs="仿宋"/>
                <w:color w:val="000000" w:themeColor="text1"/>
                <w14:textFill>
                  <w14:solidFill>
                    <w14:schemeClr w14:val="tx1"/>
                  </w14:solidFill>
                </w14:textFill>
              </w:rPr>
              <w:t>0分。</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4</w:t>
            </w:r>
          </w:p>
        </w:tc>
        <w:tc>
          <w:tcPr>
            <w:tcW w:w="708" w:type="dxa"/>
            <w:shd w:val="clear" w:color="auto" w:fill="auto"/>
            <w:vAlign w:val="center"/>
          </w:tcPr>
          <w:p>
            <w:pPr>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Merge w:val="continue"/>
            <w:shd w:val="clear" w:color="auto" w:fill="auto"/>
            <w:vAlign w:val="center"/>
          </w:tcPr>
          <w:p>
            <w:pPr>
              <w:ind w:firstLine="480" w:firstLineChars="200"/>
              <w:rPr>
                <w:rFonts w:cs="仿宋_GB2312"/>
                <w:color w:val="000000" w:themeColor="text1"/>
                <w14:textFill>
                  <w14:solidFill>
                    <w14:schemeClr w14:val="tx1"/>
                  </w14:solidFill>
                </w14:textFill>
              </w:rPr>
            </w:pPr>
          </w:p>
        </w:tc>
        <w:tc>
          <w:tcPr>
            <w:tcW w:w="1418" w:type="dxa"/>
            <w:shd w:val="clear" w:color="auto" w:fill="auto"/>
            <w:vAlign w:val="center"/>
          </w:tcPr>
          <w:p>
            <w:pPr>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实验室团队资质</w:t>
            </w:r>
          </w:p>
        </w:tc>
        <w:tc>
          <w:tcPr>
            <w:tcW w:w="6229" w:type="dxa"/>
            <w:shd w:val="clear" w:color="auto" w:fill="auto"/>
            <w:vAlign w:val="center"/>
          </w:tcPr>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对本项目实验室团队人员进行评议。</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 xml:space="preserve"> 实验室团队人员中每</w:t>
            </w:r>
            <w:r>
              <w:rPr>
                <w:rFonts w:hint="eastAsia" w:cs="仿宋"/>
                <w:color w:val="000000" w:themeColor="text1"/>
                <w14:textFill>
                  <w14:solidFill>
                    <w14:schemeClr w14:val="tx1"/>
                  </w14:solidFill>
                </w14:textFill>
              </w:rPr>
              <w:t>配</w:t>
            </w:r>
            <w:r>
              <w:rPr>
                <w:rFonts w:cs="仿宋"/>
                <w:color w:val="000000" w:themeColor="text1"/>
                <w14:textFill>
                  <w14:solidFill>
                    <w14:schemeClr w14:val="tx1"/>
                  </w14:solidFill>
                </w14:textFill>
              </w:rPr>
              <w:t>有一名副主任技师</w:t>
            </w:r>
            <w:r>
              <w:rPr>
                <w:rFonts w:hint="eastAsia" w:cs="仿宋"/>
                <w:color w:val="000000" w:themeColor="text1"/>
                <w14:textFill>
                  <w14:solidFill>
                    <w14:schemeClr w14:val="tx1"/>
                  </w14:solidFill>
                </w14:textFill>
              </w:rPr>
              <w:t>或</w:t>
            </w:r>
            <w:r>
              <w:rPr>
                <w:rFonts w:cs="仿宋"/>
                <w:color w:val="000000" w:themeColor="text1"/>
                <w14:textFill>
                  <w14:solidFill>
                    <w14:schemeClr w14:val="tx1"/>
                  </w14:solidFill>
                </w14:textFill>
              </w:rPr>
              <w:t>副主任医师及以上职称的，得1分，最高得6分</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提供为本项目投入专职人员的名单、劳动合同复印件、职称复印件加盖单位公章，否则不得分。</w:t>
            </w:r>
          </w:p>
        </w:tc>
        <w:tc>
          <w:tcPr>
            <w:tcW w:w="575" w:type="dxa"/>
            <w:shd w:val="clear" w:color="auto" w:fill="auto"/>
            <w:vAlign w:val="center"/>
          </w:tcPr>
          <w:p>
            <w:pPr>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6</w:t>
            </w:r>
          </w:p>
        </w:tc>
        <w:tc>
          <w:tcPr>
            <w:tcW w:w="708" w:type="dxa"/>
            <w:shd w:val="clear" w:color="auto" w:fill="auto"/>
            <w:vAlign w:val="center"/>
          </w:tcPr>
          <w:p>
            <w:pPr>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Merge w:val="continue"/>
            <w:shd w:val="clear" w:color="auto" w:fill="auto"/>
            <w:vAlign w:val="center"/>
          </w:tcPr>
          <w:p>
            <w:pPr>
              <w:ind w:firstLine="480" w:firstLineChars="200"/>
              <w:rPr>
                <w:rFonts w:cs="仿宋_GB2312"/>
                <w:color w:val="000000" w:themeColor="text1"/>
                <w14:textFill>
                  <w14:solidFill>
                    <w14:schemeClr w14:val="tx1"/>
                  </w14:solidFill>
                </w14:textFill>
              </w:rPr>
            </w:pPr>
          </w:p>
        </w:tc>
        <w:tc>
          <w:tcPr>
            <w:tcW w:w="1418" w:type="dxa"/>
            <w:shd w:val="clear" w:color="auto" w:fill="auto"/>
            <w:vAlign w:val="center"/>
          </w:tcPr>
          <w:p>
            <w:pPr>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培训</w:t>
            </w:r>
          </w:p>
          <w:p>
            <w:pPr>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服务方案</w:t>
            </w:r>
          </w:p>
        </w:tc>
        <w:tc>
          <w:tcPr>
            <w:tcW w:w="6229" w:type="dxa"/>
            <w:shd w:val="clear" w:color="auto" w:fill="auto"/>
            <w:vAlign w:val="center"/>
          </w:tcPr>
          <w:p>
            <w:pP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投标单位</w:t>
            </w:r>
            <w:r>
              <w:rPr>
                <w:rFonts w:cs="仿宋"/>
                <w:color w:val="000000" w:themeColor="text1"/>
                <w14:textFill>
                  <w14:solidFill>
                    <w14:schemeClr w14:val="tx1"/>
                  </w14:solidFill>
                </w14:textFill>
              </w:rPr>
              <w:t>提供的质量控制等相关内容的培训服务方案。</w:t>
            </w:r>
          </w:p>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方案详尽合理、能够完全针对本项目实际情况的得3分；方案详尽、部分具有针对性的得2分；方案内容欠缺、无针对性的得1分，未提供得0分。</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3</w:t>
            </w:r>
          </w:p>
        </w:tc>
        <w:tc>
          <w:tcPr>
            <w:tcW w:w="708" w:type="dxa"/>
            <w:shd w:val="clear" w:color="auto" w:fill="auto"/>
            <w:vAlign w:val="center"/>
          </w:tcPr>
          <w:p>
            <w:pPr>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1" w:type="dxa"/>
            <w:vMerge w:val="continue"/>
            <w:shd w:val="clear" w:color="auto" w:fill="auto"/>
            <w:vAlign w:val="center"/>
          </w:tcPr>
          <w:p>
            <w:pPr>
              <w:ind w:firstLine="480" w:firstLineChars="200"/>
              <w:rPr>
                <w:rFonts w:cs="仿宋_GB2312"/>
                <w:color w:val="000000" w:themeColor="text1"/>
                <w14:textFill>
                  <w14:solidFill>
                    <w14:schemeClr w14:val="tx1"/>
                  </w14:solidFill>
                </w14:textFill>
              </w:rPr>
            </w:pPr>
          </w:p>
        </w:tc>
        <w:tc>
          <w:tcPr>
            <w:tcW w:w="1418" w:type="dxa"/>
            <w:shd w:val="clear" w:color="auto" w:fill="auto"/>
            <w:vAlign w:val="center"/>
          </w:tcPr>
          <w:p>
            <w:pPr>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其它增值</w:t>
            </w:r>
          </w:p>
          <w:p>
            <w:pPr>
              <w:jc w:val="cente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服务</w:t>
            </w:r>
          </w:p>
        </w:tc>
        <w:tc>
          <w:tcPr>
            <w:tcW w:w="6229" w:type="dxa"/>
            <w:shd w:val="clear" w:color="auto" w:fill="auto"/>
            <w:vAlign w:val="center"/>
          </w:tcPr>
          <w:p>
            <w:pPr>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根据投标单位提供学术交流培训、继续教育方案、项目推广等增值服务方案。方案详尽合理、能够完全针对本项目实际情况的得2分；方案详尽、部分具有针对性的得1分；方案内容欠缺、无针对性的得0分。</w:t>
            </w:r>
          </w:p>
        </w:tc>
        <w:tc>
          <w:tcPr>
            <w:tcW w:w="575" w:type="dxa"/>
            <w:shd w:val="clear" w:color="auto" w:fill="auto"/>
            <w:vAlign w:val="center"/>
          </w:tcPr>
          <w:p>
            <w:pPr>
              <w:jc w:val="cente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3</w:t>
            </w:r>
          </w:p>
        </w:tc>
        <w:tc>
          <w:tcPr>
            <w:tcW w:w="708" w:type="dxa"/>
            <w:shd w:val="clear" w:color="auto" w:fill="auto"/>
            <w:vAlign w:val="center"/>
          </w:tcPr>
          <w:p>
            <w:pPr>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主观分</w:t>
            </w:r>
          </w:p>
        </w:tc>
      </w:tr>
    </w:tbl>
    <w:p>
      <w:pPr>
        <w:spacing w:line="300" w:lineRule="exact"/>
        <w:rPr>
          <w:rFonts w:cs="仿宋_GB2312"/>
        </w:rPr>
      </w:pPr>
      <w:r>
        <w:rPr>
          <w:rFonts w:hint="eastAsia" w:cs="仿宋_GB2312"/>
          <w:b/>
        </w:rPr>
        <w:t>备注：</w:t>
      </w:r>
      <w:r>
        <w:rPr>
          <w:rFonts w:cs="仿宋_GB2312"/>
        </w:rPr>
        <w:t>1、评分条款中涉及的业绩、荣誉、人员、社保等分公司均有效。</w:t>
      </w:r>
    </w:p>
    <w:p>
      <w:pPr>
        <w:spacing w:line="300" w:lineRule="exact"/>
        <w:rPr>
          <w:rFonts w:cs="仿宋_GB2312"/>
        </w:rPr>
      </w:pPr>
      <w:r>
        <w:rPr>
          <w:rFonts w:cs="仿宋_GB2312"/>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00" w:lineRule="exact"/>
        <w:rPr>
          <w:rFonts w:cs="仿宋_GB2312"/>
        </w:rPr>
      </w:pPr>
      <w:r>
        <w:rPr>
          <w:rFonts w:cs="仿宋_GB2312"/>
        </w:rPr>
        <w:t>3、投标人编制投标文件（商务技术文件部分）时，建议按此目录（序号和内容）提供评标标准相应的商务技术资料。 </w:t>
      </w:r>
    </w:p>
    <w:p>
      <w:pPr>
        <w:pStyle w:val="2"/>
      </w:pPr>
    </w:p>
    <w:p/>
    <w:p>
      <w:pPr>
        <w:rPr>
          <w:rFonts w:cs="仿宋"/>
          <w:b/>
          <w:bCs/>
        </w:rPr>
      </w:pPr>
      <w:r>
        <w:rPr>
          <w:rFonts w:cs="仿宋"/>
          <w:b/>
          <w:bCs/>
        </w:rPr>
        <w:t>3.</w:t>
      </w:r>
      <w:r>
        <w:rPr>
          <w:rFonts w:hint="eastAsia" w:cs="仿宋"/>
          <w:b/>
          <w:bCs/>
        </w:rPr>
        <w:t>价格分（</w:t>
      </w:r>
      <w:r>
        <w:rPr>
          <w:rFonts w:cs="仿宋"/>
          <w:b/>
          <w:bCs/>
        </w:rPr>
        <w:t>20分）</w:t>
      </w:r>
    </w:p>
    <w:p>
      <w:pPr>
        <w:pStyle w:val="2"/>
        <w:rPr>
          <w:color w:val="auto"/>
        </w:rPr>
      </w:pPr>
      <w:r>
        <w:rPr>
          <w:rFonts w:hint="eastAsia" w:cs="仿宋_GB2312"/>
          <w:bCs/>
          <w:color w:val="auto"/>
        </w:rPr>
        <w:t>普检类</w:t>
      </w:r>
    </w:p>
    <w:tbl>
      <w:tblPr>
        <w:tblStyle w:val="30"/>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cs="仿宋_GB2312"/>
                <w:color w:val="auto"/>
              </w:rPr>
            </w:pPr>
            <w:r>
              <w:rPr>
                <w:rFonts w:hint="eastAsia" w:cs="仿宋_GB2312"/>
                <w:color w:val="auto"/>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cs="仿宋_GB2312"/>
                <w:color w:val="auto"/>
              </w:rPr>
            </w:pPr>
            <w:r>
              <w:rPr>
                <w:rFonts w:hint="eastAsia" w:cs="仿宋_GB2312"/>
                <w:color w:val="auto"/>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jc w:val="center"/>
              <w:rPr>
                <w:rFonts w:cs="仿宋_GB2312"/>
                <w:color w:val="auto"/>
              </w:rPr>
            </w:pPr>
            <w:r>
              <w:rPr>
                <w:rFonts w:hint="eastAsia" w:cs="仿宋_GB2312"/>
                <w:color w:val="auto"/>
              </w:rPr>
              <w:t>价格权值</w:t>
            </w:r>
            <w:r>
              <w:rPr>
                <w:rFonts w:cs="仿宋_GB2312"/>
                <w:color w:val="auto"/>
              </w:rPr>
              <w:t>=0.15</w:t>
            </w:r>
          </w:p>
        </w:tc>
        <w:tc>
          <w:tcPr>
            <w:tcW w:w="6599" w:type="dxa"/>
            <w:tcBorders>
              <w:top w:val="single" w:color="auto" w:sz="4" w:space="0"/>
              <w:left w:val="single" w:color="auto" w:sz="4" w:space="0"/>
              <w:bottom w:val="single" w:color="auto" w:sz="4" w:space="0"/>
              <w:right w:val="single" w:color="auto" w:sz="4" w:space="0"/>
            </w:tcBorders>
            <w:vAlign w:val="center"/>
          </w:tcPr>
          <w:p>
            <w:pPr>
              <w:rPr>
                <w:rFonts w:cs="仿宋_GB2312"/>
                <w:color w:val="auto"/>
              </w:rPr>
            </w:pPr>
            <w:r>
              <w:rPr>
                <w:rFonts w:hint="eastAsia" w:cs="仿宋_GB2312"/>
                <w:color w:val="auto"/>
              </w:rPr>
              <w:t>最低有效投标价格为评标基准价</w:t>
            </w:r>
          </w:p>
          <w:p>
            <w:pPr>
              <w:rPr>
                <w:rFonts w:cs="仿宋_GB2312"/>
                <w:color w:val="auto"/>
              </w:rPr>
            </w:pPr>
            <w:r>
              <w:rPr>
                <w:rFonts w:hint="eastAsia" w:cs="仿宋_GB2312"/>
                <w:color w:val="auto"/>
              </w:rPr>
              <w:t>投标报价得分</w:t>
            </w:r>
            <w:r>
              <w:rPr>
                <w:rFonts w:cs="仿宋_GB2312"/>
                <w:color w:val="auto"/>
              </w:rPr>
              <w:t>=(</w:t>
            </w:r>
            <w:r>
              <w:rPr>
                <w:rFonts w:hint="eastAsia" w:cs="仿宋_GB2312"/>
                <w:color w:val="auto"/>
              </w:rPr>
              <w:t>评标基准价／投标报价</w:t>
            </w:r>
            <w:r>
              <w:rPr>
                <w:rFonts w:cs="仿宋_GB2312"/>
                <w:color w:val="auto"/>
              </w:rPr>
              <w:t>)</w:t>
            </w:r>
            <w:r>
              <w:rPr>
                <w:rFonts w:hint="eastAsia" w:cs="仿宋_GB2312"/>
                <w:color w:val="auto"/>
              </w:rPr>
              <w:t>×价格权值×</w:t>
            </w:r>
            <w:r>
              <w:rPr>
                <w:rFonts w:cs="仿宋_GB2312"/>
                <w:color w:val="auto"/>
              </w:rPr>
              <w:t xml:space="preserve">100 </w:t>
            </w:r>
          </w:p>
          <w:p>
            <w:pPr>
              <w:rPr>
                <w:rFonts w:cs="仿宋_GB2312"/>
                <w:color w:val="auto"/>
              </w:rPr>
            </w:pPr>
            <w:r>
              <w:rPr>
                <w:rFonts w:hint="eastAsia" w:cs="仿宋_GB2312"/>
                <w:color w:val="auto"/>
              </w:rPr>
              <w:t>（计算得分保留小数点后</w:t>
            </w:r>
            <w:r>
              <w:rPr>
                <w:rFonts w:cs="仿宋_GB2312"/>
                <w:color w:val="auto"/>
              </w:rPr>
              <w:t>2</w:t>
            </w:r>
            <w:r>
              <w:rPr>
                <w:rFonts w:hint="eastAsia" w:cs="仿宋_GB2312"/>
                <w:color w:val="auto"/>
              </w:rPr>
              <w:t>位）</w:t>
            </w:r>
          </w:p>
        </w:tc>
      </w:tr>
    </w:tbl>
    <w:p>
      <w:pPr>
        <w:pStyle w:val="2"/>
        <w:rPr>
          <w:rFonts w:cs="仿宋_GB2312"/>
          <w:bCs/>
          <w:color w:val="auto"/>
        </w:rPr>
      </w:pPr>
    </w:p>
    <w:p>
      <w:pPr>
        <w:pStyle w:val="2"/>
        <w:rPr>
          <w:color w:val="auto"/>
        </w:rPr>
      </w:pPr>
      <w:r>
        <w:rPr>
          <w:rFonts w:hint="eastAsia" w:cs="仿宋_GB2312"/>
          <w:bCs/>
          <w:color w:val="auto"/>
        </w:rPr>
        <w:t>体检类</w:t>
      </w:r>
    </w:p>
    <w:tbl>
      <w:tblPr>
        <w:tblStyle w:val="30"/>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cs="仿宋_GB2312"/>
                <w:color w:val="auto"/>
              </w:rPr>
            </w:pPr>
            <w:r>
              <w:rPr>
                <w:rFonts w:hint="eastAsia" w:cs="仿宋_GB2312"/>
                <w:color w:val="auto"/>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cs="仿宋_GB2312"/>
                <w:color w:val="auto"/>
              </w:rPr>
            </w:pPr>
            <w:r>
              <w:rPr>
                <w:rFonts w:hint="eastAsia" w:cs="仿宋_GB2312"/>
                <w:color w:val="auto"/>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jc w:val="center"/>
              <w:rPr>
                <w:rFonts w:cs="仿宋_GB2312"/>
                <w:color w:val="auto"/>
              </w:rPr>
            </w:pPr>
            <w:r>
              <w:rPr>
                <w:rFonts w:hint="eastAsia" w:cs="仿宋_GB2312"/>
                <w:color w:val="auto"/>
              </w:rPr>
              <w:t>价格权值</w:t>
            </w:r>
            <w:r>
              <w:rPr>
                <w:rFonts w:cs="仿宋_GB2312"/>
                <w:color w:val="auto"/>
              </w:rPr>
              <w:t>=0.03</w:t>
            </w:r>
          </w:p>
        </w:tc>
        <w:tc>
          <w:tcPr>
            <w:tcW w:w="6599" w:type="dxa"/>
            <w:tcBorders>
              <w:top w:val="single" w:color="auto" w:sz="4" w:space="0"/>
              <w:left w:val="single" w:color="auto" w:sz="4" w:space="0"/>
              <w:bottom w:val="single" w:color="auto" w:sz="4" w:space="0"/>
              <w:right w:val="single" w:color="auto" w:sz="4" w:space="0"/>
            </w:tcBorders>
            <w:vAlign w:val="center"/>
          </w:tcPr>
          <w:p>
            <w:pPr>
              <w:rPr>
                <w:rFonts w:cs="仿宋_GB2312"/>
                <w:color w:val="auto"/>
              </w:rPr>
            </w:pPr>
            <w:r>
              <w:rPr>
                <w:rFonts w:hint="eastAsia" w:cs="仿宋_GB2312"/>
                <w:color w:val="auto"/>
              </w:rPr>
              <w:t>最低有效投标价格为评标基准价</w:t>
            </w:r>
          </w:p>
          <w:p>
            <w:pPr>
              <w:rPr>
                <w:rFonts w:cs="仿宋_GB2312"/>
                <w:color w:val="auto"/>
              </w:rPr>
            </w:pPr>
            <w:r>
              <w:rPr>
                <w:rFonts w:hint="eastAsia" w:cs="仿宋_GB2312"/>
                <w:color w:val="auto"/>
              </w:rPr>
              <w:t>投标报价得分</w:t>
            </w:r>
            <w:r>
              <w:rPr>
                <w:rFonts w:cs="仿宋_GB2312"/>
                <w:color w:val="auto"/>
              </w:rPr>
              <w:t>=(</w:t>
            </w:r>
            <w:r>
              <w:rPr>
                <w:rFonts w:hint="eastAsia" w:cs="仿宋_GB2312"/>
                <w:color w:val="auto"/>
              </w:rPr>
              <w:t>评标基准价／投标报价</w:t>
            </w:r>
            <w:r>
              <w:rPr>
                <w:rFonts w:cs="仿宋_GB2312"/>
                <w:color w:val="auto"/>
              </w:rPr>
              <w:t>)</w:t>
            </w:r>
            <w:r>
              <w:rPr>
                <w:rFonts w:hint="eastAsia" w:cs="仿宋_GB2312"/>
                <w:color w:val="auto"/>
              </w:rPr>
              <w:t>×价格权值×</w:t>
            </w:r>
            <w:r>
              <w:rPr>
                <w:rFonts w:cs="仿宋_GB2312"/>
                <w:color w:val="auto"/>
              </w:rPr>
              <w:t xml:space="preserve">100 </w:t>
            </w:r>
          </w:p>
          <w:p>
            <w:pPr>
              <w:rPr>
                <w:rFonts w:cs="仿宋_GB2312"/>
                <w:color w:val="auto"/>
              </w:rPr>
            </w:pPr>
            <w:r>
              <w:rPr>
                <w:rFonts w:hint="eastAsia" w:cs="仿宋_GB2312"/>
                <w:color w:val="auto"/>
              </w:rPr>
              <w:t>（计算得分保留小数点后</w:t>
            </w:r>
            <w:r>
              <w:rPr>
                <w:rFonts w:cs="仿宋_GB2312"/>
                <w:color w:val="auto"/>
              </w:rPr>
              <w:t>2</w:t>
            </w:r>
            <w:r>
              <w:rPr>
                <w:rFonts w:hint="eastAsia" w:cs="仿宋_GB2312"/>
                <w:color w:val="auto"/>
              </w:rPr>
              <w:t>位）</w:t>
            </w:r>
          </w:p>
        </w:tc>
      </w:tr>
    </w:tbl>
    <w:p>
      <w:pPr>
        <w:rPr>
          <w:color w:val="auto"/>
        </w:rPr>
      </w:pPr>
    </w:p>
    <w:p>
      <w:pPr>
        <w:rPr>
          <w:color w:val="auto"/>
        </w:rPr>
      </w:pPr>
      <w:r>
        <w:rPr>
          <w:rFonts w:hint="eastAsia" w:cs="仿宋_GB2312"/>
          <w:b/>
          <w:bCs/>
          <w:color w:val="auto"/>
        </w:rPr>
        <w:t>特检类</w:t>
      </w:r>
      <w:r>
        <w:rPr>
          <w:rFonts w:cs="仿宋_GB2312"/>
          <w:b/>
          <w:bCs/>
          <w:color w:val="auto"/>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cs="仿宋_GB2312"/>
              </w:rPr>
            </w:pPr>
            <w:r>
              <w:rPr>
                <w:rFonts w:hint="eastAsia" w:cs="仿宋_GB2312"/>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cs="仿宋_GB2312"/>
              </w:rPr>
            </w:pPr>
            <w:r>
              <w:rPr>
                <w:rFonts w:hint="eastAsia" w:cs="仿宋_GB2312"/>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jc w:val="center"/>
              <w:rPr>
                <w:rFonts w:cs="仿宋_GB2312"/>
              </w:rPr>
            </w:pPr>
            <w:r>
              <w:rPr>
                <w:rFonts w:hint="eastAsia" w:cs="仿宋_GB2312"/>
              </w:rPr>
              <w:t>价格权值</w:t>
            </w:r>
            <w:r>
              <w:rPr>
                <w:rFonts w:cs="仿宋_GB2312"/>
              </w:rPr>
              <w:t>=0.02</w:t>
            </w:r>
          </w:p>
        </w:tc>
        <w:tc>
          <w:tcPr>
            <w:tcW w:w="6599" w:type="dxa"/>
            <w:tcBorders>
              <w:top w:val="single" w:color="auto" w:sz="4" w:space="0"/>
              <w:left w:val="single" w:color="auto" w:sz="4" w:space="0"/>
              <w:bottom w:val="single" w:color="auto" w:sz="4" w:space="0"/>
              <w:right w:val="single" w:color="auto" w:sz="4" w:space="0"/>
            </w:tcBorders>
            <w:vAlign w:val="center"/>
          </w:tcPr>
          <w:p>
            <w:pPr>
              <w:rPr>
                <w:rFonts w:cs="仿宋_GB2312"/>
              </w:rPr>
            </w:pPr>
            <w:r>
              <w:rPr>
                <w:rFonts w:hint="eastAsia" w:cs="仿宋_GB2312"/>
              </w:rPr>
              <w:t>最低有效投标价格为评标基准价</w:t>
            </w:r>
          </w:p>
          <w:p>
            <w:pPr>
              <w:rPr>
                <w:rFonts w:cs="仿宋_GB2312"/>
              </w:rPr>
            </w:pPr>
            <w:r>
              <w:rPr>
                <w:rFonts w:hint="eastAsia" w:cs="仿宋_GB2312"/>
              </w:rPr>
              <w:t>投标报价得分</w:t>
            </w:r>
            <w:r>
              <w:rPr>
                <w:rFonts w:cs="仿宋_GB2312"/>
              </w:rPr>
              <w:t>=(</w:t>
            </w:r>
            <w:r>
              <w:rPr>
                <w:rFonts w:hint="eastAsia" w:cs="仿宋_GB2312"/>
              </w:rPr>
              <w:t>评标基准价／投标报价</w:t>
            </w:r>
            <w:r>
              <w:rPr>
                <w:rFonts w:cs="仿宋_GB2312"/>
              </w:rPr>
              <w:t>)</w:t>
            </w:r>
            <w:r>
              <w:rPr>
                <w:rFonts w:hint="eastAsia" w:cs="仿宋_GB2312"/>
              </w:rPr>
              <w:t>×价格权值×</w:t>
            </w:r>
            <w:r>
              <w:rPr>
                <w:rFonts w:cs="仿宋_GB2312"/>
              </w:rPr>
              <w:t xml:space="preserve">100 </w:t>
            </w:r>
          </w:p>
          <w:p>
            <w:pPr>
              <w:rPr>
                <w:rFonts w:cs="仿宋_GB2312"/>
              </w:rPr>
            </w:pPr>
            <w:r>
              <w:rPr>
                <w:rFonts w:hint="eastAsia" w:cs="仿宋_GB2312"/>
              </w:rPr>
              <w:t>（计算得分保留小数点后</w:t>
            </w:r>
            <w:r>
              <w:rPr>
                <w:rFonts w:cs="仿宋_GB2312"/>
              </w:rPr>
              <w:t>2</w:t>
            </w:r>
            <w:r>
              <w:rPr>
                <w:rFonts w:hint="eastAsia" w:cs="仿宋_GB2312"/>
              </w:rPr>
              <w:t>位）</w:t>
            </w:r>
          </w:p>
        </w:tc>
      </w:tr>
    </w:tbl>
    <w:p>
      <w:pPr>
        <w:snapToGrid w:val="0"/>
        <w:spacing w:line="360" w:lineRule="auto"/>
        <w:rPr>
          <w:rFonts w:ascii="仿宋_GB2312" w:eastAsia="仿宋_GB2312" w:cs="仿宋_GB2312"/>
          <w:b/>
          <w:sz w:val="32"/>
        </w:rPr>
      </w:pPr>
    </w:p>
    <w:p>
      <w:pPr>
        <w:pStyle w:val="2"/>
      </w:pPr>
      <w:r>
        <w:br w:type="page"/>
      </w:r>
    </w:p>
    <w:p>
      <w:pPr>
        <w:pStyle w:val="4"/>
      </w:pPr>
      <w:r>
        <w:rPr>
          <w:rFonts w:hint="eastAsia"/>
        </w:rPr>
        <w:t>一、评标方法</w:t>
      </w:r>
    </w:p>
    <w:p>
      <w:pPr>
        <w:spacing w:line="360" w:lineRule="auto"/>
        <w:ind w:firstLine="472" w:firstLineChars="196"/>
        <w:rPr>
          <w:rFonts w:ascii="仿宋_GB2312" w:eastAsia="仿宋_GB2312" w:cs="Arial"/>
        </w:rPr>
      </w:pPr>
      <w:r>
        <w:rPr>
          <w:rStyle w:val="37"/>
        </w:rPr>
        <w:t>1.</w:t>
      </w:r>
      <w:r>
        <w:rPr>
          <w:rStyle w:val="37"/>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4"/>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7"/>
        </w:rPr>
        <w:t xml:space="preserve">2. </w:t>
      </w:r>
      <w:r>
        <w:rPr>
          <w:rStyle w:val="37"/>
          <w:rFonts w:hint="eastAsia"/>
        </w:rPr>
        <w:t>评标标准：</w:t>
      </w:r>
      <w:r>
        <w:rPr>
          <w:rFonts w:hint="eastAsia" w:ascii="仿宋_GB2312" w:eastAsia="仿宋_GB2312" w:cs="Arial"/>
        </w:rPr>
        <w:t>见评标办法前附表。</w:t>
      </w:r>
    </w:p>
    <w:p>
      <w:pPr>
        <w:pStyle w:val="4"/>
      </w:pPr>
      <w:r>
        <w:rPr>
          <w:rFonts w:hint="eastAsia"/>
        </w:rPr>
        <w:t>三、评标程序</w:t>
      </w:r>
    </w:p>
    <w:p>
      <w:pPr>
        <w:spacing w:line="360" w:lineRule="auto"/>
        <w:ind w:firstLine="472" w:firstLineChars="196"/>
        <w:rPr>
          <w:rFonts w:ascii="仿宋_GB2312" w:eastAsia="仿宋_GB2312" w:cs="Arial"/>
        </w:rPr>
      </w:pPr>
      <w:r>
        <w:rPr>
          <w:rStyle w:val="37"/>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7"/>
        </w:rPr>
        <w:t xml:space="preserve">3.2 </w:t>
      </w:r>
      <w:r>
        <w:rPr>
          <w:rStyle w:val="37"/>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7"/>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2"/>
      </w:pPr>
      <w:r>
        <w:tab/>
      </w:r>
      <w:r>
        <w:t>3.4报价评审。</w:t>
      </w:r>
    </w:p>
    <w:p>
      <w:pPr>
        <w:pStyle w:val="72"/>
      </w:pPr>
      <w:r>
        <w:t>3.4.1投标文件报价出现前后不一致的，按照下列规定修正：</w:t>
      </w:r>
    </w:p>
    <w:p>
      <w:pPr>
        <w:pStyle w:val="72"/>
      </w:pPr>
      <w:r>
        <w:t>3.4.1.1投标文件中开标一览表(报价表)内容与投标文件中相应内容不一致的，以开标一览表(报价表)为准;</w:t>
      </w:r>
    </w:p>
    <w:p>
      <w:pPr>
        <w:pStyle w:val="72"/>
      </w:pPr>
      <w:r>
        <w:t>3.4.1.2大写金额和小写金额不一致的，以大写金额为准;</w:t>
      </w:r>
    </w:p>
    <w:p>
      <w:pPr>
        <w:pStyle w:val="72"/>
      </w:pPr>
      <w:r>
        <w:t>3.4.1.3单价金额小数点或者百分比有明显错位的，以开标一览表的总价为准，并修改单价;</w:t>
      </w:r>
    </w:p>
    <w:p>
      <w:pPr>
        <w:pStyle w:val="72"/>
      </w:pPr>
      <w:r>
        <w:t>3.4.1.4总价金额与按单价汇总金额不一致的，以单价金额计算结果为准。</w:t>
      </w:r>
    </w:p>
    <w:p>
      <w:pPr>
        <w:pStyle w:val="72"/>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pStyle w:val="72"/>
      </w:pPr>
      <w:r>
        <w:rPr>
          <w:rFonts w:cs="仿宋"/>
        </w:rPr>
        <w:t>3.4.2</w:t>
      </w:r>
      <w:r>
        <w:rPr>
          <w:rFonts w:hint="eastAsia"/>
        </w:rPr>
        <w:t>投标文件出现不是唯一的、有选择性投标报价的，投标无效。</w:t>
      </w:r>
    </w:p>
    <w:p>
      <w:pPr>
        <w:pStyle w:val="72"/>
      </w:pPr>
      <w:r>
        <w:t>3.4.3</w:t>
      </w:r>
      <w:r>
        <w:rPr>
          <w:rFonts w:hint="eastAsia"/>
        </w:rPr>
        <w:t>投标报价超过招标文件中规定的预算金额或者最高限价的，投标无效。</w:t>
      </w:r>
    </w:p>
    <w:p>
      <w:pPr>
        <w:pStyle w:val="72"/>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72"/>
      </w:pPr>
      <w:r>
        <w:t>3.4.5</w:t>
      </w:r>
      <w:r>
        <w:rPr>
          <w:rFonts w:hint="eastAsia"/>
        </w:rPr>
        <w:t>对于未预留份额专门面向中小企业的政府采购货物或服务项目，以及预留份额政府采购货物或服务项目中的非预留部分标项，对小型和微型企业的投标报价给予</w:t>
      </w:r>
      <w:r>
        <w:t>20%的扣除，用扣除后的价格参与评审。接受大中型企业与小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30%以上的，对联合体或者大中型企业的报价给予6%的扣除，用扣除后的价格参加评审。组成联合体或者接受分包的小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7"/>
        </w:rPr>
        <w:t>3.5</w:t>
      </w:r>
      <w:r>
        <w:rPr>
          <w:rStyle w:val="37"/>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7"/>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4"/>
      </w:pPr>
      <w:r>
        <w:rPr>
          <w:rFonts w:hint="eastAsia"/>
        </w:rPr>
        <w:t>四、评标中的其他事项</w:t>
      </w:r>
    </w:p>
    <w:p>
      <w:pPr>
        <w:pStyle w:val="72"/>
      </w:pPr>
      <w:r>
        <w:rPr>
          <w:rStyle w:val="37"/>
        </w:rPr>
        <w:t>4.1</w:t>
      </w:r>
      <w:r>
        <w:rPr>
          <w:rStyle w:val="37"/>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2"/>
        <w:spacing w:line="360" w:lineRule="auto"/>
        <w:ind w:left="1021" w:leftChars="226" w:hanging="479" w:firstLineChars="0"/>
        <w:rPr>
          <w:rFonts w:ascii="仿宋_GB2312" w:hAnsi="仿宋" w:eastAsia="仿宋_GB2312" w:cs="仿宋_GB2312"/>
          <w:szCs w:val="21"/>
        </w:rPr>
      </w:pPr>
      <w:r>
        <w:rPr>
          <w:rStyle w:val="37"/>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2"/>
        <w:snapToGrid w:val="0"/>
        <w:spacing w:line="360" w:lineRule="auto"/>
        <w:ind w:firstLine="472" w:firstLineChars="196"/>
        <w:rPr>
          <w:rFonts w:ascii="仿宋_GB2312" w:hAnsi="仿宋" w:eastAsia="仿宋_GB2312" w:cs="仿宋_GB2312"/>
        </w:rPr>
      </w:pPr>
      <w:r>
        <w:rPr>
          <w:rStyle w:val="37"/>
        </w:rPr>
        <w:t>5.废标。</w:t>
      </w:r>
      <w:r>
        <w:rPr>
          <w:rFonts w:hint="eastAsia" w:ascii="仿宋_GB2312" w:hAnsi="仿宋" w:eastAsia="仿宋_GB2312" w:cs="仿宋_GB2312"/>
        </w:rPr>
        <w:t>根据《中华人民共和国政府采购法》第三十六条之规定，在采购中，出现下列情形之一的，应予废标：</w:t>
      </w:r>
    </w:p>
    <w:p>
      <w:pPr>
        <w:pStyle w:val="1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2"/>
        <w:snapToGrid w:val="0"/>
        <w:spacing w:line="360" w:lineRule="auto"/>
        <w:ind w:firstLine="590" w:firstLineChars="245"/>
        <w:rPr>
          <w:rFonts w:ascii="仿宋_GB2312" w:hAnsi="仿宋" w:eastAsia="仿宋_GB2312" w:cs="仿宋_GB2312"/>
        </w:rPr>
      </w:pPr>
      <w:r>
        <w:rPr>
          <w:rStyle w:val="37"/>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2"/>
        <w:snapToGrid w:val="0"/>
        <w:spacing w:line="360" w:lineRule="auto"/>
        <w:ind w:firstLine="590" w:firstLineChars="245"/>
        <w:rPr>
          <w:rFonts w:ascii="仿宋_GB2312" w:hAnsi="仿宋" w:eastAsia="仿宋_GB2312" w:cs="仿宋_GB2312"/>
        </w:rPr>
      </w:pPr>
      <w:r>
        <w:rPr>
          <w:rStyle w:val="37"/>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p>
      <w:pPr>
        <w:pStyle w:val="3"/>
        <w:rPr>
          <w:rFonts w:cs="仿宋_GB2312"/>
          <w:kern w:val="2"/>
        </w:rPr>
      </w:pPr>
      <w:r>
        <w:rPr>
          <w:rFonts w:hint="eastAsia"/>
        </w:rPr>
        <w:t>第五部分</w:t>
      </w:r>
      <w:r>
        <w:t xml:space="preserve"> </w:t>
      </w:r>
      <w:r>
        <w:rPr>
          <w:rFonts w:hint="eastAsia"/>
        </w:rPr>
        <w:t>拟签订的合同文本</w:t>
      </w:r>
    </w:p>
    <w:p>
      <w:pPr>
        <w:keepNext/>
        <w:widowControl w:val="0"/>
        <w:snapToGrid w:val="0"/>
        <w:spacing w:after="0" w:line="360" w:lineRule="auto"/>
        <w:jc w:val="center"/>
        <w:outlineLvl w:val="0"/>
        <w:rPr>
          <w:rFonts w:ascii="Times New Roman" w:hAnsi="Times New Roman" w:eastAsia="宋体"/>
          <w:b/>
          <w:kern w:val="2"/>
          <w:sz w:val="32"/>
        </w:rPr>
      </w:pPr>
      <w:r>
        <w:rPr>
          <w:rFonts w:ascii="Times New Roman" w:hAnsi="Times New Roman" w:eastAsia="宋体"/>
          <w:b/>
          <w:kern w:val="2"/>
          <w:sz w:val="32"/>
        </w:rPr>
        <w:t xml:space="preserve"> </w:t>
      </w:r>
    </w:p>
    <w:p>
      <w:pPr>
        <w:widowControl w:val="0"/>
        <w:spacing w:after="0" w:line="360" w:lineRule="auto"/>
        <w:jc w:val="center"/>
        <w:rPr>
          <w:kern w:val="2"/>
        </w:rPr>
      </w:pPr>
      <w:r>
        <w:rPr>
          <w:rFonts w:hint="eastAsia"/>
          <w:kern w:val="2"/>
        </w:rPr>
        <w:t>（供参考）</w:t>
      </w:r>
    </w:p>
    <w:p>
      <w:pPr>
        <w:widowControl w:val="0"/>
        <w:spacing w:after="0" w:line="360" w:lineRule="auto"/>
        <w:jc w:val="center"/>
        <w:rPr>
          <w:b/>
          <w:color w:val="auto"/>
          <w:kern w:val="2"/>
        </w:rPr>
      </w:pPr>
      <w:r>
        <w:rPr>
          <w:rFonts w:hint="eastAsia"/>
          <w:b/>
          <w:color w:val="auto"/>
          <w:kern w:val="2"/>
        </w:rPr>
        <w:t>萧山区第一人民医院医共体分院外送检测服务项目合同</w:t>
      </w:r>
    </w:p>
    <w:p>
      <w:pPr>
        <w:keepNext/>
        <w:widowControl w:val="0"/>
        <w:spacing w:after="0" w:line="360" w:lineRule="auto"/>
        <w:jc w:val="center"/>
        <w:outlineLvl w:val="0"/>
        <w:rPr>
          <w:b/>
          <w:color w:val="auto"/>
          <w:kern w:val="2"/>
        </w:rPr>
      </w:pPr>
    </w:p>
    <w:p>
      <w:pPr>
        <w:widowControl w:val="0"/>
        <w:spacing w:after="0" w:line="360" w:lineRule="auto"/>
        <w:ind w:firstLine="120" w:firstLineChars="50"/>
        <w:jc w:val="both"/>
        <w:rPr>
          <w:rFonts w:cs="Arial"/>
          <w:b/>
          <w:color w:val="auto"/>
        </w:rPr>
      </w:pPr>
      <w:r>
        <w:rPr>
          <w:rFonts w:cs="Arial"/>
          <w:b/>
          <w:color w:val="auto"/>
        </w:rPr>
        <w:t>甲方：</w:t>
      </w:r>
    </w:p>
    <w:p>
      <w:pPr>
        <w:widowControl w:val="0"/>
        <w:spacing w:after="0" w:line="360" w:lineRule="auto"/>
        <w:ind w:firstLine="120" w:firstLineChars="50"/>
        <w:jc w:val="both"/>
        <w:rPr>
          <w:rFonts w:cs="Arial"/>
          <w:b/>
          <w:color w:val="auto"/>
          <w:u w:val="single"/>
        </w:rPr>
      </w:pPr>
      <w:r>
        <w:rPr>
          <w:rFonts w:cs="Arial"/>
          <w:b/>
          <w:color w:val="auto"/>
        </w:rPr>
        <w:t>乙方：</w:t>
      </w:r>
    </w:p>
    <w:p>
      <w:pPr>
        <w:widowControl w:val="0"/>
        <w:numPr>
          <w:ilvl w:val="0"/>
          <w:numId w:val="3"/>
        </w:numPr>
        <w:spacing w:after="0" w:line="288" w:lineRule="auto"/>
        <w:ind w:firstLine="480" w:firstLineChars="200"/>
        <w:jc w:val="both"/>
        <w:rPr>
          <w:rFonts w:cs="宋体"/>
          <w:color w:val="auto"/>
        </w:rPr>
      </w:pPr>
      <w:r>
        <w:rPr>
          <w:rFonts w:hint="eastAsia" w:cs="宋体"/>
          <w:color w:val="auto"/>
        </w:rPr>
        <w:t>乙双方根据甲方医共体总院检验</w:t>
      </w:r>
      <w:r>
        <w:rPr>
          <w:rFonts w:hint="eastAsia"/>
          <w:b/>
          <w:color w:val="auto"/>
          <w:kern w:val="2"/>
        </w:rPr>
        <w:t>分院</w:t>
      </w:r>
      <w:r>
        <w:rPr>
          <w:rFonts w:hint="eastAsia" w:cs="仿宋"/>
          <w:snapToGrid w:val="0"/>
          <w:color w:val="auto"/>
          <w:kern w:val="28"/>
          <w:sz w:val="21"/>
        </w:rPr>
        <w:t>外送</w:t>
      </w:r>
      <w:r>
        <w:rPr>
          <w:rFonts w:hint="eastAsia" w:cs="宋体"/>
          <w:color w:val="auto"/>
        </w:rPr>
        <w:t>采购（项目编号</w:t>
      </w:r>
      <w:r>
        <w:rPr>
          <w:rFonts w:cs="宋体"/>
          <w:color w:val="auto"/>
        </w:rPr>
        <w:t>XSYY2022-GK-*）的招标结果及《中华人民共和国民法典》等有关规定，经双方友好协商，订立本合同。</w:t>
      </w:r>
    </w:p>
    <w:p>
      <w:pPr>
        <w:widowControl w:val="0"/>
        <w:snapToGrid w:val="0"/>
        <w:spacing w:after="0" w:line="360" w:lineRule="auto"/>
        <w:ind w:firstLine="422" w:firstLineChars="200"/>
        <w:rPr>
          <w:rFonts w:cs="宋体"/>
          <w:b/>
          <w:color w:val="auto"/>
          <w:kern w:val="2"/>
          <w:sz w:val="21"/>
          <w:szCs w:val="21"/>
        </w:rPr>
      </w:pPr>
      <w:r>
        <w:rPr>
          <w:rFonts w:hint="eastAsia" w:cs="宋体"/>
          <w:b/>
          <w:color w:val="auto"/>
          <w:kern w:val="2"/>
          <w:sz w:val="21"/>
          <w:szCs w:val="21"/>
        </w:rPr>
        <w:t>一、委托方式：</w:t>
      </w:r>
    </w:p>
    <w:p>
      <w:pPr>
        <w:widowControl w:val="0"/>
        <w:spacing w:after="0" w:line="288" w:lineRule="auto"/>
        <w:ind w:firstLine="480" w:firstLineChars="200"/>
        <w:jc w:val="both"/>
        <w:rPr>
          <w:rFonts w:cs="宋体"/>
          <w:color w:val="auto"/>
        </w:rPr>
      </w:pPr>
      <w:r>
        <w:rPr>
          <w:rFonts w:hint="eastAsia" w:cs="宋体"/>
          <w:color w:val="auto"/>
        </w:rPr>
        <w:t>甲方将</w:t>
      </w:r>
      <w:r>
        <w:rPr>
          <w:rFonts w:cs="宋体"/>
          <w:color w:val="auto"/>
        </w:rPr>
        <w:t xml:space="preserve">           </w:t>
      </w:r>
      <w:r>
        <w:rPr>
          <w:rFonts w:hint="eastAsia" w:cs="宋体"/>
          <w:color w:val="auto"/>
        </w:rPr>
        <w:t>标本委托给乙方进行检验；乙方为甲方提供检验报告，并收取甲方检验服务费。</w:t>
      </w:r>
    </w:p>
    <w:p>
      <w:pPr>
        <w:widowControl w:val="0"/>
        <w:snapToGrid w:val="0"/>
        <w:spacing w:after="0" w:line="360" w:lineRule="auto"/>
        <w:ind w:firstLine="422" w:firstLineChars="200"/>
        <w:rPr>
          <w:rFonts w:cs="宋体"/>
          <w:b/>
          <w:color w:val="auto"/>
          <w:kern w:val="2"/>
          <w:sz w:val="21"/>
          <w:szCs w:val="21"/>
        </w:rPr>
      </w:pPr>
      <w:r>
        <w:rPr>
          <w:rFonts w:hint="eastAsia" w:cs="宋体"/>
          <w:b/>
          <w:color w:val="auto"/>
          <w:kern w:val="2"/>
          <w:sz w:val="21"/>
          <w:szCs w:val="21"/>
        </w:rPr>
        <w:t>二、委托期限：</w:t>
      </w:r>
    </w:p>
    <w:p>
      <w:pPr>
        <w:widowControl w:val="0"/>
        <w:snapToGrid w:val="0"/>
        <w:spacing w:after="0" w:line="360" w:lineRule="auto"/>
        <w:ind w:firstLine="420" w:firstLineChars="200"/>
        <w:rPr>
          <w:rFonts w:cs="宋体"/>
          <w:color w:val="auto"/>
          <w:kern w:val="2"/>
          <w:sz w:val="21"/>
          <w:szCs w:val="21"/>
        </w:rPr>
      </w:pPr>
      <w:r>
        <w:rPr>
          <w:rFonts w:cs="宋体"/>
          <w:color w:val="auto"/>
          <w:kern w:val="2"/>
          <w:sz w:val="21"/>
          <w:szCs w:val="21"/>
        </w:rPr>
        <w:t xml:space="preserve">1、委托期限为自 </w:t>
      </w:r>
      <w:r>
        <w:rPr>
          <w:rFonts w:cs="宋体"/>
          <w:color w:val="auto"/>
          <w:kern w:val="2"/>
          <w:sz w:val="21"/>
          <w:szCs w:val="21"/>
          <w:u w:val="single"/>
        </w:rPr>
        <w:t xml:space="preserve">    </w:t>
      </w:r>
      <w:r>
        <w:rPr>
          <w:rFonts w:hint="eastAsia" w:cs="宋体"/>
          <w:color w:val="auto"/>
          <w:kern w:val="2"/>
          <w:sz w:val="21"/>
          <w:szCs w:val="21"/>
        </w:rPr>
        <w:t>年</w:t>
      </w:r>
      <w:r>
        <w:rPr>
          <w:rFonts w:cs="宋体"/>
          <w:color w:val="auto"/>
          <w:kern w:val="2"/>
          <w:sz w:val="21"/>
          <w:szCs w:val="21"/>
          <w:u w:val="single"/>
        </w:rPr>
        <w:t xml:space="preserve">   </w:t>
      </w:r>
      <w:r>
        <w:rPr>
          <w:rFonts w:hint="eastAsia" w:cs="宋体"/>
          <w:color w:val="auto"/>
          <w:kern w:val="2"/>
          <w:sz w:val="21"/>
          <w:szCs w:val="21"/>
        </w:rPr>
        <w:t>月</w:t>
      </w:r>
      <w:r>
        <w:rPr>
          <w:rFonts w:cs="宋体"/>
          <w:color w:val="auto"/>
          <w:kern w:val="2"/>
          <w:sz w:val="21"/>
          <w:szCs w:val="21"/>
          <w:u w:val="single"/>
        </w:rPr>
        <w:t xml:space="preserve">    </w:t>
      </w:r>
      <w:r>
        <w:rPr>
          <w:rFonts w:hint="eastAsia" w:cs="宋体"/>
          <w:color w:val="auto"/>
          <w:kern w:val="2"/>
          <w:sz w:val="21"/>
          <w:szCs w:val="21"/>
        </w:rPr>
        <w:t>日至</w:t>
      </w:r>
      <w:r>
        <w:rPr>
          <w:rFonts w:cs="宋体"/>
          <w:color w:val="auto"/>
          <w:kern w:val="2"/>
          <w:sz w:val="21"/>
          <w:szCs w:val="21"/>
          <w:u w:val="single"/>
        </w:rPr>
        <w:t xml:space="preserve">    </w:t>
      </w:r>
      <w:r>
        <w:rPr>
          <w:rFonts w:hint="eastAsia" w:cs="宋体"/>
          <w:color w:val="auto"/>
          <w:kern w:val="2"/>
          <w:sz w:val="21"/>
          <w:szCs w:val="21"/>
        </w:rPr>
        <w:t>年</w:t>
      </w:r>
      <w:r>
        <w:rPr>
          <w:rFonts w:cs="宋体"/>
          <w:color w:val="auto"/>
          <w:kern w:val="2"/>
          <w:sz w:val="21"/>
          <w:szCs w:val="21"/>
          <w:u w:val="single"/>
        </w:rPr>
        <w:t xml:space="preserve">     </w:t>
      </w:r>
      <w:r>
        <w:rPr>
          <w:rFonts w:hint="eastAsia" w:cs="宋体"/>
          <w:color w:val="auto"/>
          <w:kern w:val="2"/>
          <w:sz w:val="21"/>
          <w:szCs w:val="21"/>
        </w:rPr>
        <w:t>月</w:t>
      </w:r>
      <w:r>
        <w:rPr>
          <w:rFonts w:cs="宋体"/>
          <w:color w:val="auto"/>
          <w:kern w:val="2"/>
          <w:sz w:val="21"/>
          <w:szCs w:val="21"/>
          <w:u w:val="single"/>
        </w:rPr>
        <w:t xml:space="preserve">    </w:t>
      </w:r>
      <w:r>
        <w:rPr>
          <w:rFonts w:hint="eastAsia" w:cs="宋体"/>
          <w:color w:val="auto"/>
          <w:kern w:val="2"/>
          <w:sz w:val="21"/>
          <w:szCs w:val="21"/>
        </w:rPr>
        <w:t>日，为期</w:t>
      </w:r>
      <w:r>
        <w:rPr>
          <w:rFonts w:cs="宋体"/>
          <w:color w:val="auto"/>
          <w:kern w:val="2"/>
          <w:sz w:val="21"/>
          <w:szCs w:val="21"/>
        </w:rPr>
        <w:t>1年</w:t>
      </w:r>
      <w:r>
        <w:rPr>
          <w:color w:val="auto"/>
          <w:kern w:val="2"/>
          <w:sz w:val="21"/>
          <w:szCs w:val="21"/>
          <w:lang w:val="zh-CN"/>
        </w:rPr>
        <w:t>。</w:t>
      </w:r>
    </w:p>
    <w:p>
      <w:pPr>
        <w:widowControl w:val="0"/>
        <w:snapToGrid w:val="0"/>
        <w:spacing w:after="0" w:line="360" w:lineRule="auto"/>
        <w:ind w:firstLine="422" w:firstLineChars="200"/>
        <w:rPr>
          <w:rFonts w:cs="宋体"/>
          <w:b/>
          <w:color w:val="auto"/>
          <w:kern w:val="2"/>
          <w:sz w:val="21"/>
          <w:szCs w:val="21"/>
        </w:rPr>
      </w:pPr>
      <w:r>
        <w:rPr>
          <w:rFonts w:hint="eastAsia" w:cs="宋体"/>
          <w:b/>
          <w:color w:val="auto"/>
          <w:kern w:val="2"/>
          <w:sz w:val="21"/>
          <w:szCs w:val="21"/>
        </w:rPr>
        <w:t>三、委托范围：</w:t>
      </w:r>
    </w:p>
    <w:p>
      <w:pPr>
        <w:widowControl w:val="0"/>
        <w:snapToGrid w:val="0"/>
        <w:spacing w:after="0" w:line="360" w:lineRule="auto"/>
        <w:ind w:firstLine="420" w:firstLineChars="200"/>
        <w:rPr>
          <w:rFonts w:cs="宋体"/>
          <w:color w:val="auto"/>
          <w:kern w:val="2"/>
          <w:sz w:val="21"/>
          <w:szCs w:val="21"/>
        </w:rPr>
      </w:pPr>
      <w:r>
        <w:rPr>
          <w:rFonts w:hint="eastAsia" w:cs="宋体"/>
          <w:color w:val="auto"/>
          <w:kern w:val="2"/>
          <w:sz w:val="21"/>
          <w:szCs w:val="21"/>
        </w:rPr>
        <w:t>委托范围为：甲方临床需要外送的项目。</w:t>
      </w:r>
      <w:r>
        <w:rPr>
          <w:rFonts w:hint="eastAsia" w:cs="宋体"/>
          <w:b/>
          <w:bCs/>
          <w:color w:val="auto"/>
          <w:kern w:val="2"/>
          <w:sz w:val="21"/>
          <w:szCs w:val="21"/>
        </w:rPr>
        <w:t>具体见项目清单</w:t>
      </w:r>
    </w:p>
    <w:p>
      <w:pPr>
        <w:widowControl w:val="0"/>
        <w:snapToGrid w:val="0"/>
        <w:spacing w:after="0" w:line="360" w:lineRule="auto"/>
        <w:ind w:firstLine="422" w:firstLineChars="200"/>
        <w:rPr>
          <w:rFonts w:cs="宋体"/>
          <w:b/>
          <w:color w:val="auto"/>
          <w:kern w:val="2"/>
          <w:sz w:val="21"/>
          <w:szCs w:val="21"/>
        </w:rPr>
      </w:pPr>
      <w:r>
        <w:rPr>
          <w:rFonts w:hint="eastAsia" w:cs="宋体"/>
          <w:b/>
          <w:color w:val="auto"/>
          <w:kern w:val="2"/>
          <w:sz w:val="21"/>
          <w:szCs w:val="21"/>
        </w:rPr>
        <w:t>四、双方的权利与义务：</w:t>
      </w:r>
    </w:p>
    <w:p>
      <w:pPr>
        <w:widowControl w:val="0"/>
        <w:snapToGrid w:val="0"/>
        <w:spacing w:after="0" w:line="360" w:lineRule="auto"/>
        <w:ind w:firstLine="422" w:firstLineChars="200"/>
        <w:rPr>
          <w:rFonts w:cs="宋体"/>
          <w:b/>
          <w:color w:val="auto"/>
          <w:kern w:val="2"/>
          <w:sz w:val="21"/>
          <w:szCs w:val="21"/>
        </w:rPr>
      </w:pPr>
      <w:r>
        <w:rPr>
          <w:rFonts w:cs="宋体"/>
          <w:b/>
          <w:color w:val="auto"/>
          <w:kern w:val="2"/>
          <w:sz w:val="21"/>
          <w:szCs w:val="21"/>
        </w:rPr>
        <w:t xml:space="preserve">1、甲方的权利义务 </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1.1甲方负责收集样本，对标本来源的合法性、准确性和完整性负责，确保样本信息与检验申请单的信息相符。</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1.2甲方负责组织医务人员按照乙方提供的《项目总汇与采样手册》（以乙方提供的最新版本为准）中的要求和规定同乙方进行检验委托服务。</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1.3甲方同意将委托范围内的检验项目交给乙方检验，并按乙方所提供《项目总汇与采样手册》内容所列的方法和方式正确填写申请单信息，标本采集、处理和保存送检样本，并应尽到告知其委托方（如患者）相关检验项目的风险义务。</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1.4甲乙双方工作人员有责任在以下环节进行签字确认：标本交接、耗材交接、特殊物品回执交接、其他物品交接、报告单交接、结算票据、发票签收回执的交接。</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1.5甲方对在本合同有效期内从乙方知悉的关于乙方的经营信息、检验技术信息等一切非公开的保密信息负有保密义务，保密期限为三年。未经乙方书面同意，甲方不得将上述信息泄露给任何第三方。</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1.6甲方应配合支持乙方系统与甲方信息系统对接。</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1.7甲方</w:t>
      </w:r>
      <w:r>
        <w:rPr>
          <w:rFonts w:hint="eastAsia" w:cs="宋体"/>
          <w:b/>
          <w:bCs/>
          <w:color w:val="auto"/>
          <w:sz w:val="21"/>
          <w:szCs w:val="21"/>
        </w:rPr>
        <w:t>（医总体总院）</w:t>
      </w:r>
      <w:r>
        <w:rPr>
          <w:rFonts w:hint="eastAsia" w:cs="宋体"/>
          <w:color w:val="auto"/>
          <w:sz w:val="21"/>
          <w:szCs w:val="21"/>
        </w:rPr>
        <w:t>有权不定期组织专家至乙方现场检查、督导，并对试剂、设备采购；</w:t>
      </w:r>
      <w:r>
        <w:rPr>
          <w:rFonts w:hint="eastAsia" w:cs="宋体"/>
          <w:b/>
          <w:bCs/>
          <w:color w:val="auto"/>
          <w:sz w:val="21"/>
          <w:szCs w:val="21"/>
        </w:rPr>
        <w:t>室内质控、室间质评</w:t>
      </w:r>
      <w:r>
        <w:rPr>
          <w:rFonts w:hint="eastAsia" w:cs="宋体"/>
          <w:color w:val="auto"/>
          <w:sz w:val="21"/>
          <w:szCs w:val="21"/>
        </w:rPr>
        <w:t>等相关</w:t>
      </w:r>
      <w:r>
        <w:rPr>
          <w:rFonts w:hint="eastAsia" w:cs="宋体"/>
          <w:b/>
          <w:bCs/>
          <w:color w:val="auto"/>
          <w:sz w:val="21"/>
          <w:szCs w:val="21"/>
        </w:rPr>
        <w:t>原始记录</w:t>
      </w:r>
      <w:r>
        <w:rPr>
          <w:rFonts w:hint="eastAsia" w:cs="宋体"/>
          <w:color w:val="auto"/>
          <w:sz w:val="21"/>
          <w:szCs w:val="21"/>
        </w:rPr>
        <w:t>台账，</w:t>
      </w:r>
      <w:r>
        <w:rPr>
          <w:rFonts w:hint="eastAsia" w:cs="宋体"/>
          <w:b/>
          <w:bCs/>
          <w:color w:val="auto"/>
          <w:sz w:val="21"/>
          <w:szCs w:val="21"/>
        </w:rPr>
        <w:t>标本接收、报告时限等进行评价。对检查中发现的不符合项乙方需限时整改，长时间（</w:t>
      </w:r>
      <w:r>
        <w:rPr>
          <w:rFonts w:cs="宋体"/>
          <w:b/>
          <w:bCs/>
          <w:color w:val="auto"/>
          <w:sz w:val="21"/>
          <w:szCs w:val="21"/>
        </w:rPr>
        <w:t>3个月内）未整改的甲方有权提前中止合同。</w:t>
      </w:r>
    </w:p>
    <w:p>
      <w:pPr>
        <w:widowControl w:val="0"/>
        <w:snapToGrid w:val="0"/>
        <w:spacing w:after="0" w:line="360" w:lineRule="auto"/>
        <w:ind w:firstLine="420" w:firstLineChars="200"/>
        <w:rPr>
          <w:rFonts w:cs="宋体"/>
          <w:color w:val="auto"/>
          <w:sz w:val="21"/>
          <w:szCs w:val="21"/>
        </w:rPr>
      </w:pPr>
      <w:r>
        <w:rPr>
          <w:rFonts w:cs="宋体"/>
          <w:color w:val="auto"/>
          <w:sz w:val="21"/>
          <w:szCs w:val="21"/>
        </w:rPr>
        <w:t>2、乙方的权利义务</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1.1乙方按甲方要求的时间出具检验报告。（A类）项目需在标本接后</w:t>
      </w:r>
      <w:r>
        <w:rPr>
          <w:rFonts w:cs="宋体"/>
          <w:b/>
          <w:bCs/>
          <w:color w:val="auto"/>
          <w:sz w:val="21"/>
          <w:szCs w:val="21"/>
        </w:rPr>
        <w:t>18</w:t>
      </w:r>
      <w:r>
        <w:rPr>
          <w:rFonts w:hint="eastAsia" w:cs="宋体"/>
          <w:color w:val="auto"/>
          <w:sz w:val="21"/>
          <w:szCs w:val="21"/>
        </w:rPr>
        <w:t>小时内报告，</w:t>
      </w:r>
      <w:r>
        <w:rPr>
          <w:rFonts w:hint="eastAsia" w:cs="宋体"/>
          <w:b/>
          <w:bCs/>
          <w:color w:val="auto"/>
          <w:sz w:val="21"/>
          <w:szCs w:val="21"/>
        </w:rPr>
        <w:t>其它项目需提供项目报告时限清单做为合同附件</w:t>
      </w:r>
      <w:r>
        <w:rPr>
          <w:rFonts w:hint="eastAsia" w:cs="宋体"/>
          <w:color w:val="auto"/>
          <w:sz w:val="21"/>
          <w:szCs w:val="21"/>
        </w:rPr>
        <w:t>，报告单对接萧山区第一人民医院总院及各分院的</w:t>
      </w:r>
      <w:r>
        <w:rPr>
          <w:rFonts w:cs="宋体"/>
          <w:color w:val="auto"/>
          <w:sz w:val="21"/>
          <w:szCs w:val="21"/>
        </w:rPr>
        <w:t>LIS系统，可在系统上查询结果，乙方承担相关接口费用；</w:t>
      </w:r>
    </w:p>
    <w:p>
      <w:pPr>
        <w:widowControl w:val="0"/>
        <w:snapToGrid w:val="0"/>
        <w:spacing w:after="0" w:line="360" w:lineRule="auto"/>
        <w:ind w:firstLine="420" w:firstLineChars="200"/>
        <w:rPr>
          <w:rFonts w:cs="宋体"/>
          <w:color w:val="auto"/>
          <w:sz w:val="21"/>
          <w:szCs w:val="21"/>
        </w:rPr>
      </w:pPr>
      <w:r>
        <w:rPr>
          <w:rFonts w:hint="eastAsia" w:cs="宋体"/>
          <w:color w:val="auto"/>
          <w:sz w:val="21"/>
          <w:szCs w:val="21"/>
        </w:rPr>
        <w:t>检验报告中出现危急值，在检验报告</w:t>
      </w:r>
      <w:r>
        <w:rPr>
          <w:rFonts w:hint="eastAsia" w:cs="宋体"/>
          <w:b/>
          <w:bCs/>
          <w:color w:val="auto"/>
          <w:sz w:val="21"/>
          <w:szCs w:val="21"/>
        </w:rPr>
        <w:t>审核</w:t>
      </w:r>
      <w:r>
        <w:rPr>
          <w:rFonts w:hint="eastAsia" w:cs="宋体"/>
          <w:color w:val="auto"/>
          <w:sz w:val="21"/>
          <w:szCs w:val="21"/>
        </w:rPr>
        <w:t>后按照拟定的应急要求向甲方报备并说明情况。</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1.2乙方每天一次，全年全天候上门收取标本（农历除夕、大年初一二三、不可抗力情况除外）。</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1.3样本运送符合样本温度的管理要求，有专业的标本冷链物流配送，温度控制在全程2-8℃，数据记录保存≥2年。</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1.4对甲方突发情况，按本次中标价格提供紧急检验服务，按照同类外送项目标本折扣收取费用。</w:t>
      </w:r>
    </w:p>
    <w:p>
      <w:pPr>
        <w:widowControl w:val="0"/>
        <w:snapToGrid w:val="0"/>
        <w:spacing w:after="0" w:line="360" w:lineRule="auto"/>
        <w:ind w:firstLine="420" w:firstLineChars="200"/>
        <w:rPr>
          <w:rFonts w:cs="宋体"/>
          <w:color w:val="auto"/>
          <w:sz w:val="21"/>
          <w:szCs w:val="21"/>
        </w:rPr>
      </w:pPr>
      <w:r>
        <w:rPr>
          <w:rFonts w:cs="宋体"/>
          <w:color w:val="auto"/>
          <w:sz w:val="21"/>
          <w:szCs w:val="21"/>
        </w:rPr>
        <w:t>1.5对甲方特殊标本，按甲方要求提供临时加急服务。</w:t>
      </w:r>
    </w:p>
    <w:p>
      <w:pPr>
        <w:widowControl w:val="0"/>
        <w:snapToGrid w:val="0"/>
        <w:spacing w:after="0" w:line="360" w:lineRule="auto"/>
        <w:ind w:firstLine="420" w:firstLineChars="200"/>
        <w:rPr>
          <w:rFonts w:cs="宋体"/>
          <w:color w:val="auto"/>
          <w:sz w:val="21"/>
          <w:szCs w:val="21"/>
        </w:rPr>
      </w:pPr>
      <w:r>
        <w:rPr>
          <w:rFonts w:cs="宋体"/>
          <w:color w:val="auto"/>
          <w:sz w:val="21"/>
          <w:szCs w:val="21"/>
        </w:rPr>
        <w:t xml:space="preserve">1.6提供专业的驻点人员，（姓名：     </w:t>
      </w:r>
      <w:r>
        <w:rPr>
          <w:rFonts w:hint="eastAsia" w:cs="宋体"/>
          <w:color w:val="auto"/>
          <w:sz w:val="21"/>
          <w:szCs w:val="21"/>
        </w:rPr>
        <w:t>电话：</w:t>
      </w:r>
      <w:r>
        <w:rPr>
          <w:rFonts w:cs="宋体"/>
          <w:color w:val="auto"/>
          <w:sz w:val="21"/>
          <w:szCs w:val="21"/>
        </w:rPr>
        <w:t xml:space="preserve">       </w:t>
      </w:r>
      <w:r>
        <w:rPr>
          <w:rFonts w:hint="eastAsia" w:cs="宋体"/>
          <w:color w:val="auto"/>
          <w:sz w:val="21"/>
          <w:szCs w:val="21"/>
        </w:rPr>
        <w:t>）对接日常事务；服务时效为日常电话及时应答，投诉</w:t>
      </w:r>
      <w:r>
        <w:rPr>
          <w:rFonts w:cs="宋体"/>
          <w:color w:val="auto"/>
          <w:sz w:val="21"/>
          <w:szCs w:val="21"/>
        </w:rPr>
        <w:t>2小时内回复调查进展。</w:t>
      </w:r>
    </w:p>
    <w:p>
      <w:pPr>
        <w:widowControl w:val="0"/>
        <w:snapToGrid w:val="0"/>
        <w:spacing w:after="0" w:line="360" w:lineRule="auto"/>
        <w:ind w:firstLine="420" w:firstLineChars="200"/>
        <w:rPr>
          <w:rFonts w:cs="宋体"/>
          <w:color w:val="auto"/>
          <w:kern w:val="2"/>
          <w:sz w:val="21"/>
          <w:szCs w:val="21"/>
        </w:rPr>
      </w:pPr>
      <w:r>
        <w:rPr>
          <w:rFonts w:cs="宋体"/>
          <w:color w:val="auto"/>
          <w:kern w:val="2"/>
          <w:sz w:val="21"/>
          <w:szCs w:val="21"/>
        </w:rPr>
        <w:t>1.7乙方按照检验质控要求，定期提供所有外送项目的室内质控、室间质</w:t>
      </w:r>
      <w:r>
        <w:rPr>
          <w:rFonts w:hint="eastAsia" w:cs="宋体"/>
          <w:b/>
          <w:bCs/>
          <w:color w:val="auto"/>
          <w:kern w:val="2"/>
          <w:sz w:val="21"/>
          <w:szCs w:val="21"/>
        </w:rPr>
        <w:t>评</w:t>
      </w:r>
      <w:r>
        <w:rPr>
          <w:rFonts w:hint="eastAsia" w:cs="宋体"/>
          <w:color w:val="auto"/>
          <w:kern w:val="2"/>
          <w:sz w:val="21"/>
          <w:szCs w:val="21"/>
        </w:rPr>
        <w:t>报告、按照检验质控要求，定期提供检验仪器设备性能验证报告，</w:t>
      </w:r>
      <w:r>
        <w:rPr>
          <w:rFonts w:hint="eastAsia" w:cs="宋体"/>
          <w:b/>
          <w:bCs/>
          <w:color w:val="auto"/>
          <w:kern w:val="2"/>
          <w:sz w:val="21"/>
          <w:szCs w:val="21"/>
        </w:rPr>
        <w:t>并对</w:t>
      </w:r>
      <w:r>
        <w:rPr>
          <w:rFonts w:cs="宋体"/>
          <w:b/>
          <w:bCs/>
          <w:color w:val="auto"/>
          <w:kern w:val="2"/>
          <w:sz w:val="21"/>
          <w:szCs w:val="21"/>
        </w:rPr>
        <w:t>A类项目定期和总院检验进行实验室间比对。如未能通比对，需及时查找原因或采用和总院检验科一致的检测体系。</w:t>
      </w:r>
    </w:p>
    <w:p>
      <w:pPr>
        <w:widowControl w:val="0"/>
        <w:snapToGrid w:val="0"/>
        <w:spacing w:after="0" w:line="360" w:lineRule="auto"/>
        <w:ind w:firstLine="420" w:firstLineChars="200"/>
        <w:rPr>
          <w:rFonts w:cs="宋体"/>
          <w:color w:val="auto"/>
          <w:kern w:val="2"/>
          <w:sz w:val="21"/>
          <w:szCs w:val="21"/>
        </w:rPr>
      </w:pPr>
      <w:r>
        <w:rPr>
          <w:rFonts w:cs="宋体"/>
          <w:color w:val="auto"/>
          <w:kern w:val="2"/>
          <w:sz w:val="21"/>
          <w:szCs w:val="21"/>
        </w:rPr>
        <w:t>1.8乙方根据甲方要求免费提供院方用于相关标本存放用品、耗材等，提供每次到货清单、随货联、合格证</w:t>
      </w:r>
      <w:r>
        <w:rPr>
          <w:rFonts w:hint="eastAsia" w:cs="宋体"/>
          <w:b/>
          <w:bCs/>
          <w:color w:val="auto"/>
          <w:kern w:val="2"/>
          <w:sz w:val="21"/>
          <w:szCs w:val="21"/>
        </w:rPr>
        <w:t>等必要证件</w:t>
      </w:r>
      <w:r>
        <w:rPr>
          <w:rFonts w:hint="eastAsia" w:cs="宋体"/>
          <w:color w:val="auto"/>
          <w:kern w:val="2"/>
          <w:sz w:val="21"/>
          <w:szCs w:val="21"/>
        </w:rPr>
        <w:t>。</w:t>
      </w:r>
    </w:p>
    <w:p>
      <w:pPr>
        <w:widowControl w:val="0"/>
        <w:snapToGrid w:val="0"/>
        <w:spacing w:after="0" w:line="360" w:lineRule="auto"/>
        <w:ind w:firstLine="420" w:firstLineChars="200"/>
        <w:rPr>
          <w:color w:val="auto"/>
          <w:kern w:val="2"/>
          <w:sz w:val="21"/>
          <w:szCs w:val="21"/>
        </w:rPr>
      </w:pPr>
      <w:r>
        <w:rPr>
          <w:rFonts w:cs="宋体"/>
          <w:color w:val="auto"/>
          <w:kern w:val="2"/>
          <w:sz w:val="21"/>
          <w:szCs w:val="21"/>
        </w:rPr>
        <w:t>1.9</w:t>
      </w:r>
      <w:r>
        <w:rPr>
          <w:rFonts w:hint="eastAsia" w:cs="宋体"/>
          <w:color w:val="auto"/>
          <w:sz w:val="21"/>
          <w:szCs w:val="21"/>
        </w:rPr>
        <w:t>合同期内乙方如未按甲方要求准时出具检测结果，甲方有权要求乙方整改。</w:t>
      </w:r>
      <w:r>
        <w:rPr>
          <w:color w:val="auto"/>
          <w:kern w:val="2"/>
          <w:sz w:val="21"/>
          <w:szCs w:val="21"/>
        </w:rPr>
        <w:t>报告时间延迟半天扣检测费的50%，延迟一天检测费减免</w:t>
      </w:r>
      <w:r>
        <w:rPr>
          <w:rFonts w:hint="eastAsia"/>
          <w:color w:val="auto"/>
          <w:kern w:val="2"/>
          <w:sz w:val="21"/>
          <w:szCs w:val="21"/>
        </w:rPr>
        <w:t>。</w:t>
      </w:r>
    </w:p>
    <w:p>
      <w:pPr>
        <w:widowControl w:val="0"/>
        <w:snapToGrid w:val="0"/>
        <w:spacing w:after="0" w:line="360" w:lineRule="auto"/>
        <w:ind w:firstLine="420" w:firstLineChars="200"/>
        <w:rPr>
          <w:rFonts w:cs="宋体"/>
          <w:color w:val="auto"/>
          <w:kern w:val="2"/>
          <w:sz w:val="21"/>
          <w:szCs w:val="21"/>
        </w:rPr>
      </w:pPr>
      <w:r>
        <w:rPr>
          <w:color w:val="auto"/>
          <w:kern w:val="2"/>
          <w:sz w:val="21"/>
          <w:szCs w:val="21"/>
        </w:rPr>
        <w:t>1.10</w:t>
      </w:r>
      <w:r>
        <w:rPr>
          <w:rFonts w:hint="eastAsia" w:cs="宋体"/>
          <w:color w:val="auto"/>
          <w:kern w:val="2"/>
          <w:sz w:val="21"/>
          <w:szCs w:val="21"/>
        </w:rPr>
        <w:t>乙方保证按国家检验规范进行操作，并对标本的检验报告承担相应的责任。乙方负责对检验后的标本进行妥善保存，以便检验结果有疑义时进行再次检验。乙方应保存检验过程的原始记录、报告形成记录和病人资料。标本及相应资料的保存时间不小于相关标准或条例所规定的时间并明确通知甲方。如因检测结果与患者的临床症状明显不符等其他合理原因需要复检的，甲方可于自收到《检测报告》之日起</w:t>
      </w:r>
      <w:r>
        <w:rPr>
          <w:rFonts w:cs="宋体"/>
          <w:color w:val="auto"/>
          <w:kern w:val="2"/>
          <w:sz w:val="21"/>
          <w:szCs w:val="21"/>
        </w:rPr>
        <w:t xml:space="preserve"> 7个工作日内向乙方提出，该复检费用乙方不再另行收取。</w:t>
      </w:r>
      <w:r>
        <w:rPr>
          <w:rFonts w:hint="eastAsia" w:cs="宋体"/>
          <w:color w:val="auto"/>
          <w:kern w:val="2"/>
          <w:sz w:val="21"/>
          <w:szCs w:val="21"/>
        </w:rPr>
        <w:t>因乙方原因导致检验报告错误引起的医疗纠纷责任由乙方承担，对患方的所有赔（补）偿费用完全由乙方支付，</w:t>
      </w:r>
      <w:r>
        <w:rPr>
          <w:bCs/>
          <w:color w:val="auto"/>
          <w:kern w:val="2"/>
          <w:sz w:val="21"/>
          <w:szCs w:val="21"/>
        </w:rPr>
        <w:t>同时对医院进行相应赔偿</w:t>
      </w:r>
      <w:r>
        <w:rPr>
          <w:rFonts w:hint="eastAsia" w:cs="宋体"/>
          <w:color w:val="auto"/>
          <w:kern w:val="2"/>
          <w:sz w:val="21"/>
          <w:szCs w:val="21"/>
        </w:rPr>
        <w:t>。</w:t>
      </w:r>
    </w:p>
    <w:p>
      <w:pPr>
        <w:widowControl w:val="0"/>
        <w:snapToGrid w:val="0"/>
        <w:spacing w:after="0" w:line="360" w:lineRule="auto"/>
        <w:ind w:firstLine="420" w:firstLineChars="200"/>
        <w:rPr>
          <w:bCs/>
          <w:color w:val="auto"/>
          <w:kern w:val="2"/>
          <w:sz w:val="21"/>
          <w:szCs w:val="21"/>
        </w:rPr>
      </w:pPr>
      <w:r>
        <w:rPr>
          <w:rFonts w:cs="宋体"/>
          <w:color w:val="auto"/>
          <w:kern w:val="2"/>
          <w:sz w:val="21"/>
          <w:szCs w:val="21"/>
        </w:rPr>
        <w:t>1.11</w:t>
      </w:r>
      <w:r>
        <w:rPr>
          <w:rFonts w:hint="eastAsia"/>
          <w:bCs/>
          <w:color w:val="auto"/>
          <w:kern w:val="2"/>
          <w:sz w:val="21"/>
          <w:szCs w:val="21"/>
        </w:rPr>
        <w:t>甲方</w:t>
      </w:r>
      <w:r>
        <w:rPr>
          <w:bCs/>
          <w:color w:val="auto"/>
          <w:kern w:val="2"/>
          <w:sz w:val="21"/>
          <w:szCs w:val="21"/>
        </w:rPr>
        <w:t>有新增加</w:t>
      </w:r>
      <w:r>
        <w:rPr>
          <w:rFonts w:hint="eastAsia"/>
          <w:bCs/>
          <w:color w:val="auto"/>
          <w:kern w:val="2"/>
          <w:sz w:val="21"/>
          <w:szCs w:val="21"/>
        </w:rPr>
        <w:t>同类</w:t>
      </w:r>
      <w:r>
        <w:rPr>
          <w:bCs/>
          <w:color w:val="auto"/>
          <w:kern w:val="2"/>
          <w:sz w:val="21"/>
          <w:szCs w:val="21"/>
        </w:rPr>
        <w:t>项目，</w:t>
      </w:r>
      <w:r>
        <w:rPr>
          <w:rFonts w:hint="eastAsia"/>
          <w:bCs/>
          <w:color w:val="auto"/>
          <w:kern w:val="2"/>
          <w:sz w:val="21"/>
          <w:szCs w:val="21"/>
        </w:rPr>
        <w:t>乙方</w:t>
      </w:r>
      <w:r>
        <w:rPr>
          <w:bCs/>
          <w:color w:val="auto"/>
          <w:kern w:val="2"/>
          <w:sz w:val="21"/>
          <w:szCs w:val="21"/>
        </w:rPr>
        <w:t>应同意</w:t>
      </w:r>
      <w:r>
        <w:rPr>
          <w:rFonts w:hint="eastAsia"/>
          <w:bCs/>
          <w:color w:val="auto"/>
          <w:kern w:val="2"/>
          <w:sz w:val="21"/>
          <w:szCs w:val="21"/>
        </w:rPr>
        <w:t>按本合同价格</w:t>
      </w:r>
      <w:r>
        <w:rPr>
          <w:bCs/>
          <w:color w:val="auto"/>
          <w:kern w:val="2"/>
          <w:sz w:val="21"/>
          <w:szCs w:val="21"/>
        </w:rPr>
        <w:t>执行，否则</w:t>
      </w:r>
      <w:r>
        <w:rPr>
          <w:rFonts w:hint="eastAsia"/>
          <w:bCs/>
          <w:color w:val="auto"/>
          <w:kern w:val="2"/>
          <w:sz w:val="21"/>
          <w:szCs w:val="21"/>
        </w:rPr>
        <w:t>甲方</w:t>
      </w:r>
      <w:r>
        <w:rPr>
          <w:bCs/>
          <w:color w:val="auto"/>
          <w:kern w:val="2"/>
          <w:sz w:val="21"/>
          <w:szCs w:val="21"/>
        </w:rPr>
        <w:t>有权另行委托其他第三方检测机构。</w:t>
      </w:r>
    </w:p>
    <w:p>
      <w:pPr>
        <w:widowControl w:val="0"/>
        <w:snapToGrid w:val="0"/>
        <w:spacing w:after="0" w:line="360" w:lineRule="auto"/>
        <w:ind w:firstLine="420" w:firstLineChars="200"/>
        <w:rPr>
          <w:bCs/>
          <w:color w:val="auto"/>
          <w:kern w:val="2"/>
          <w:sz w:val="21"/>
          <w:szCs w:val="21"/>
        </w:rPr>
      </w:pPr>
      <w:r>
        <w:rPr>
          <w:bCs/>
          <w:color w:val="auto"/>
          <w:kern w:val="2"/>
          <w:sz w:val="21"/>
          <w:szCs w:val="21"/>
        </w:rPr>
        <w:t>1.12甲方</w:t>
      </w:r>
      <w:r>
        <w:rPr>
          <w:rFonts w:hint="eastAsia"/>
          <w:b/>
          <w:color w:val="auto"/>
          <w:kern w:val="2"/>
          <w:sz w:val="21"/>
          <w:szCs w:val="21"/>
        </w:rPr>
        <w:t>（医共体总院或分院）有权根据自身业务能力和需求，选择相应项目</w:t>
      </w:r>
      <w:r>
        <w:rPr>
          <w:b/>
          <w:color w:val="auto"/>
          <w:kern w:val="2"/>
          <w:sz w:val="21"/>
          <w:szCs w:val="21"/>
        </w:rPr>
        <w:t>自行检测</w:t>
      </w:r>
      <w:r>
        <w:rPr>
          <w:rFonts w:hint="eastAsia"/>
          <w:b/>
          <w:color w:val="auto"/>
          <w:kern w:val="2"/>
          <w:sz w:val="21"/>
          <w:szCs w:val="21"/>
        </w:rPr>
        <w:t>时</w:t>
      </w:r>
      <w:r>
        <w:rPr>
          <w:bCs/>
          <w:color w:val="auto"/>
          <w:kern w:val="2"/>
          <w:sz w:val="21"/>
          <w:szCs w:val="21"/>
        </w:rPr>
        <w:t>，不再委托</w:t>
      </w:r>
      <w:r>
        <w:rPr>
          <w:rFonts w:hint="eastAsia"/>
          <w:bCs/>
          <w:color w:val="auto"/>
          <w:kern w:val="2"/>
          <w:sz w:val="21"/>
          <w:szCs w:val="21"/>
        </w:rPr>
        <w:t>乙方</w:t>
      </w:r>
      <w:r>
        <w:rPr>
          <w:bCs/>
          <w:color w:val="auto"/>
          <w:kern w:val="2"/>
          <w:sz w:val="21"/>
          <w:szCs w:val="21"/>
        </w:rPr>
        <w:t>进行检测。中标折扣率不予以调整。</w:t>
      </w:r>
    </w:p>
    <w:p>
      <w:pPr>
        <w:widowControl w:val="0"/>
        <w:snapToGrid w:val="0"/>
        <w:spacing w:after="0" w:line="360" w:lineRule="auto"/>
        <w:ind w:firstLine="420" w:firstLineChars="200"/>
        <w:rPr>
          <w:bCs/>
          <w:color w:val="auto"/>
          <w:kern w:val="2"/>
          <w:sz w:val="21"/>
          <w:szCs w:val="21"/>
        </w:rPr>
      </w:pPr>
      <w:r>
        <w:rPr>
          <w:bCs/>
          <w:color w:val="auto"/>
          <w:kern w:val="2"/>
          <w:sz w:val="21"/>
          <w:szCs w:val="21"/>
        </w:rPr>
        <w:t>1.13乙方应</w:t>
      </w:r>
      <w:r>
        <w:rPr>
          <w:rFonts w:hint="eastAsia"/>
          <w:b/>
          <w:color w:val="auto"/>
          <w:kern w:val="2"/>
          <w:sz w:val="21"/>
          <w:szCs w:val="21"/>
        </w:rPr>
        <w:t>提供项目检测体系清单做为合同附件，其中</w:t>
      </w:r>
      <w:r>
        <w:rPr>
          <w:b/>
          <w:color w:val="auto"/>
          <w:kern w:val="2"/>
          <w:sz w:val="21"/>
          <w:szCs w:val="21"/>
        </w:rPr>
        <w:t>A类项目需采用甲方指定的检测体系并参考值和甲方一致。注明所有项目检测用的方法学、仪器及试剂品牌，更改方法学、仪器及试剂品牌需提前向甲方报备并经甲方同意。</w:t>
      </w:r>
      <w:r>
        <w:rPr>
          <w:bCs/>
          <w:color w:val="auto"/>
          <w:kern w:val="2"/>
          <w:sz w:val="21"/>
          <w:szCs w:val="21"/>
        </w:rPr>
        <w:t>如存在提供虚假信息或未经</w:t>
      </w:r>
      <w:r>
        <w:rPr>
          <w:rFonts w:hint="eastAsia"/>
          <w:bCs/>
          <w:color w:val="auto"/>
          <w:kern w:val="2"/>
          <w:sz w:val="21"/>
          <w:szCs w:val="21"/>
        </w:rPr>
        <w:t>甲方</w:t>
      </w:r>
      <w:r>
        <w:rPr>
          <w:bCs/>
          <w:color w:val="auto"/>
          <w:kern w:val="2"/>
          <w:sz w:val="21"/>
          <w:szCs w:val="21"/>
        </w:rPr>
        <w:t>同意私自更改使用试剂的品牌和检验项目的方法学等现象，</w:t>
      </w:r>
      <w:r>
        <w:rPr>
          <w:rFonts w:hint="eastAsia"/>
          <w:bCs/>
          <w:color w:val="auto"/>
          <w:kern w:val="2"/>
          <w:sz w:val="21"/>
          <w:szCs w:val="21"/>
        </w:rPr>
        <w:t>乙方</w:t>
      </w:r>
      <w:r>
        <w:rPr>
          <w:bCs/>
          <w:color w:val="auto"/>
          <w:kern w:val="2"/>
          <w:sz w:val="21"/>
          <w:szCs w:val="21"/>
        </w:rPr>
        <w:t>需按已做项目的收费金额赔偿</w:t>
      </w:r>
      <w:r>
        <w:rPr>
          <w:rFonts w:hint="eastAsia"/>
          <w:bCs/>
          <w:color w:val="auto"/>
          <w:kern w:val="2"/>
          <w:sz w:val="21"/>
          <w:szCs w:val="21"/>
        </w:rPr>
        <w:t>甲方</w:t>
      </w:r>
      <w:r>
        <w:rPr>
          <w:bCs/>
          <w:color w:val="auto"/>
          <w:kern w:val="2"/>
          <w:sz w:val="21"/>
          <w:szCs w:val="21"/>
        </w:rPr>
        <w:t>，并承担所有相关违约责任。</w:t>
      </w:r>
      <w:r>
        <w:rPr>
          <w:rFonts w:hint="eastAsia"/>
          <w:bCs/>
          <w:color w:val="auto"/>
          <w:kern w:val="2"/>
          <w:sz w:val="21"/>
          <w:szCs w:val="21"/>
        </w:rPr>
        <w:t>甲方为保证总院自检和分院外送结果的一致性，有权要求乙方调整方法学或检测体系时，乙方必需在规定时间内完成更新。</w:t>
      </w:r>
    </w:p>
    <w:p>
      <w:pPr>
        <w:widowControl w:val="0"/>
        <w:snapToGrid w:val="0"/>
        <w:spacing w:after="0" w:line="360" w:lineRule="auto"/>
        <w:ind w:firstLine="420" w:firstLineChars="200"/>
        <w:rPr>
          <w:rFonts w:cs="宋体"/>
          <w:color w:val="auto"/>
          <w:kern w:val="2"/>
          <w:sz w:val="21"/>
          <w:szCs w:val="21"/>
        </w:rPr>
      </w:pPr>
      <w:r>
        <w:rPr>
          <w:rFonts w:cs="宋体"/>
          <w:color w:val="auto"/>
          <w:kern w:val="2"/>
          <w:sz w:val="21"/>
          <w:szCs w:val="21"/>
        </w:rPr>
        <w:t>1.14其他要求</w:t>
      </w:r>
    </w:p>
    <w:p>
      <w:pPr>
        <w:widowControl w:val="0"/>
        <w:snapToGrid w:val="0"/>
        <w:spacing w:after="0" w:line="360" w:lineRule="auto"/>
        <w:ind w:firstLine="420" w:firstLineChars="200"/>
        <w:rPr>
          <w:rFonts w:cs="宋体"/>
          <w:color w:val="auto"/>
          <w:kern w:val="2"/>
          <w:sz w:val="21"/>
          <w:szCs w:val="21"/>
        </w:rPr>
      </w:pPr>
      <w:r>
        <w:rPr>
          <w:rFonts w:cs="宋体"/>
          <w:color w:val="auto"/>
          <w:kern w:val="2"/>
          <w:sz w:val="21"/>
          <w:szCs w:val="21"/>
        </w:rPr>
        <w:t>1.14.1乙方有为甲方保密的义务，在未经甲方同意或授权前提下，乙方不得向甲方检验科室、医务科、临床科室工作人员以外的任何单位或个人泄露甲方委托检验的项目、检验的内容、检验的结果。</w:t>
      </w:r>
    </w:p>
    <w:p>
      <w:pPr>
        <w:widowControl w:val="0"/>
        <w:snapToGrid w:val="0"/>
        <w:spacing w:after="0" w:line="360" w:lineRule="auto"/>
        <w:ind w:firstLine="420" w:firstLineChars="200"/>
        <w:rPr>
          <w:rFonts w:cs="宋体"/>
          <w:color w:val="auto"/>
          <w:kern w:val="2"/>
          <w:sz w:val="21"/>
          <w:szCs w:val="21"/>
        </w:rPr>
      </w:pPr>
      <w:r>
        <w:rPr>
          <w:rFonts w:cs="宋体"/>
          <w:color w:val="auto"/>
          <w:kern w:val="2"/>
          <w:sz w:val="21"/>
          <w:szCs w:val="21"/>
        </w:rPr>
        <w:t>1.14.2乙方如需召回检验报告单，应及时通过一切形式包括电话、邮寄、传真、电子邮件、当面告知等方式通知甲方召回检验报告并通过上述形式提供新的检验报告。</w:t>
      </w:r>
    </w:p>
    <w:p>
      <w:pPr>
        <w:widowControl w:val="0"/>
        <w:spacing w:after="0" w:line="360" w:lineRule="auto"/>
        <w:ind w:firstLine="420" w:firstLineChars="200"/>
        <w:jc w:val="both"/>
        <w:rPr>
          <w:rFonts w:cs="宋体"/>
          <w:color w:val="auto"/>
          <w:sz w:val="21"/>
          <w:szCs w:val="21"/>
        </w:rPr>
      </w:pPr>
      <w:r>
        <w:rPr>
          <w:rFonts w:cs="宋体"/>
          <w:color w:val="auto"/>
          <w:kern w:val="2"/>
          <w:sz w:val="21"/>
          <w:szCs w:val="21"/>
        </w:rPr>
        <w:t>1.14.3</w:t>
      </w:r>
      <w:r>
        <w:rPr>
          <w:rFonts w:cs="宋体"/>
          <w:color w:val="auto"/>
          <w:sz w:val="21"/>
          <w:szCs w:val="21"/>
        </w:rPr>
        <w:t>乙方不得以任何形式对检验单进行统方及检验相关数据的统计。如需根据外送检验相关数据发表论文或进行其他学术活动，需事先征得甲方同意。</w:t>
      </w:r>
    </w:p>
    <w:p>
      <w:pPr>
        <w:widowControl w:val="0"/>
        <w:snapToGrid w:val="0"/>
        <w:spacing w:after="0" w:line="360" w:lineRule="auto"/>
        <w:ind w:firstLine="420" w:firstLineChars="200"/>
        <w:rPr>
          <w:rFonts w:cs="宋体"/>
          <w:color w:val="auto"/>
          <w:kern w:val="2"/>
          <w:sz w:val="21"/>
          <w:szCs w:val="21"/>
        </w:rPr>
      </w:pPr>
      <w:r>
        <w:rPr>
          <w:rFonts w:cs="宋体"/>
          <w:color w:val="auto"/>
          <w:kern w:val="2"/>
          <w:sz w:val="21"/>
          <w:szCs w:val="21"/>
        </w:rPr>
        <w:t>1.14.4乙方应保证自身具有从</w:t>
      </w:r>
      <w:r>
        <w:rPr>
          <w:rFonts w:hint="eastAsia" w:cs="宋体"/>
          <w:color w:val="auto"/>
          <w:sz w:val="21"/>
          <w:szCs w:val="21"/>
        </w:rPr>
        <w:t>事医学检验技术服务能力和资质，</w:t>
      </w:r>
      <w:r>
        <w:rPr>
          <w:rFonts w:hint="eastAsia" w:cs="宋体"/>
          <w:b/>
          <w:bCs/>
          <w:color w:val="auto"/>
          <w:sz w:val="21"/>
          <w:szCs w:val="21"/>
        </w:rPr>
        <w:t>并保证检验过程符合卫生行政部门的管理要求。</w:t>
      </w:r>
      <w:r>
        <w:rPr>
          <w:rFonts w:hint="eastAsia" w:cs="宋体"/>
          <w:color w:val="auto"/>
          <w:sz w:val="21"/>
          <w:szCs w:val="21"/>
        </w:rPr>
        <w:t>如乙方有违反国家法律法规的情况，甲方不承担责任，并向乙方追究相应的损失。</w:t>
      </w:r>
    </w:p>
    <w:p>
      <w:pPr>
        <w:widowControl w:val="0"/>
        <w:snapToGrid w:val="0"/>
        <w:spacing w:after="0" w:line="360" w:lineRule="auto"/>
        <w:ind w:firstLine="422" w:firstLineChars="200"/>
        <w:rPr>
          <w:rFonts w:cs="宋体"/>
          <w:color w:val="auto"/>
          <w:kern w:val="2"/>
          <w:sz w:val="21"/>
          <w:szCs w:val="21"/>
        </w:rPr>
      </w:pPr>
      <w:r>
        <w:rPr>
          <w:rFonts w:hint="eastAsia" w:cs="宋体"/>
          <w:b/>
          <w:color w:val="auto"/>
          <w:kern w:val="2"/>
          <w:sz w:val="21"/>
          <w:szCs w:val="21"/>
        </w:rPr>
        <w:t>五、检验费用：</w:t>
      </w:r>
    </w:p>
    <w:p>
      <w:pPr>
        <w:widowControl w:val="0"/>
        <w:snapToGrid w:val="0"/>
        <w:spacing w:after="0" w:line="360" w:lineRule="auto"/>
        <w:ind w:firstLine="420" w:firstLineChars="200"/>
        <w:rPr>
          <w:rFonts w:cs="宋体"/>
          <w:b/>
          <w:bCs/>
          <w:color w:val="auto"/>
          <w:kern w:val="2"/>
          <w:sz w:val="21"/>
          <w:szCs w:val="21"/>
        </w:rPr>
      </w:pPr>
      <w:r>
        <w:rPr>
          <w:rFonts w:cs="宋体"/>
          <w:color w:val="auto"/>
          <w:kern w:val="2"/>
          <w:sz w:val="21"/>
          <w:szCs w:val="21"/>
        </w:rPr>
        <w:t>1、甲方负责按照浙江省物价收费标准向病人收取病人检验费，</w:t>
      </w:r>
      <w:r>
        <w:rPr>
          <w:rFonts w:hint="eastAsia" w:cs="宋体"/>
          <w:b/>
          <w:bCs/>
          <w:color w:val="auto"/>
          <w:kern w:val="2"/>
          <w:sz w:val="21"/>
          <w:szCs w:val="21"/>
        </w:rPr>
        <w:t>对于项目组套、特检项目等收费由乙方向甲方提供具体收费方案，特检项目总价不得超过项目清单要求。并保证收费方案的合规性，若有因此引起医保物价扣罚款由乙方负责。</w:t>
      </w:r>
    </w:p>
    <w:p>
      <w:pPr>
        <w:widowControl w:val="0"/>
        <w:snapToGrid w:val="0"/>
        <w:spacing w:after="0" w:line="360" w:lineRule="auto"/>
        <w:ind w:firstLine="422" w:firstLineChars="200"/>
        <w:rPr>
          <w:rFonts w:cs="宋体"/>
          <w:color w:val="auto"/>
          <w:kern w:val="2"/>
          <w:sz w:val="21"/>
          <w:szCs w:val="21"/>
        </w:rPr>
      </w:pPr>
      <w:r>
        <w:rPr>
          <w:rFonts w:hint="eastAsia" w:cs="宋体"/>
          <w:b/>
          <w:bCs/>
          <w:color w:val="auto"/>
          <w:kern w:val="2"/>
          <w:sz w:val="21"/>
          <w:szCs w:val="21"/>
        </w:rPr>
        <w:t>乙方按照双方约定的收费标准根据本条</w:t>
      </w:r>
      <w:r>
        <w:rPr>
          <w:rFonts w:hint="eastAsia" w:cs="宋体"/>
          <w:color w:val="auto"/>
          <w:kern w:val="2"/>
          <w:sz w:val="21"/>
          <w:szCs w:val="21"/>
        </w:rPr>
        <w:t>第</w:t>
      </w:r>
      <w:r>
        <w:rPr>
          <w:rFonts w:cs="宋体"/>
          <w:color w:val="auto"/>
          <w:kern w:val="2"/>
          <w:sz w:val="21"/>
          <w:szCs w:val="21"/>
        </w:rPr>
        <w:t>2款的收费比例向甲方收取</w:t>
      </w:r>
      <w:r>
        <w:rPr>
          <w:color w:val="auto"/>
          <w:kern w:val="2"/>
          <w:sz w:val="21"/>
          <w:szCs w:val="21"/>
        </w:rPr>
        <w:t>标本外送检测服务费</w:t>
      </w:r>
      <w:r>
        <w:rPr>
          <w:rFonts w:hint="eastAsia" w:cs="宋体"/>
          <w:color w:val="auto"/>
          <w:kern w:val="2"/>
          <w:sz w:val="21"/>
          <w:szCs w:val="21"/>
        </w:rPr>
        <w:t>：</w:t>
      </w:r>
      <w:r>
        <w:rPr>
          <w:rFonts w:hint="eastAsia" w:cs="宋体"/>
          <w:b/>
          <w:bCs/>
          <w:color w:val="auto"/>
          <w:kern w:val="2"/>
          <w:sz w:val="21"/>
          <w:szCs w:val="21"/>
        </w:rPr>
        <w:t>如浙江省物价收费标准调整，</w:t>
      </w:r>
      <w:r>
        <w:rPr>
          <w:b/>
          <w:bCs/>
          <w:color w:val="auto"/>
          <w:kern w:val="2"/>
          <w:sz w:val="21"/>
          <w:szCs w:val="21"/>
        </w:rPr>
        <w:t>服务费</w:t>
      </w:r>
      <w:r>
        <w:rPr>
          <w:rFonts w:hint="eastAsia" w:cs="宋体"/>
          <w:b/>
          <w:bCs/>
          <w:color w:val="auto"/>
          <w:kern w:val="2"/>
          <w:sz w:val="21"/>
          <w:szCs w:val="21"/>
        </w:rPr>
        <w:t>收费比例不做调整。</w:t>
      </w:r>
    </w:p>
    <w:p>
      <w:pPr>
        <w:widowControl w:val="0"/>
        <w:snapToGrid w:val="0"/>
        <w:spacing w:after="0" w:line="360" w:lineRule="auto"/>
        <w:ind w:firstLine="420" w:firstLineChars="200"/>
        <w:rPr>
          <w:rFonts w:cs="宋体"/>
          <w:color w:val="auto"/>
          <w:kern w:val="2"/>
          <w:sz w:val="21"/>
          <w:szCs w:val="21"/>
        </w:rPr>
      </w:pPr>
      <w:r>
        <w:rPr>
          <w:rFonts w:cs="宋体"/>
          <w:color w:val="auto"/>
          <w:kern w:val="2"/>
          <w:sz w:val="21"/>
          <w:szCs w:val="21"/>
        </w:rPr>
        <w:t>2、</w:t>
      </w:r>
      <w:r>
        <w:rPr>
          <w:color w:val="auto"/>
          <w:kern w:val="2"/>
          <w:sz w:val="21"/>
          <w:szCs w:val="21"/>
        </w:rPr>
        <w:t>标本外送检测服务费</w:t>
      </w:r>
      <w:r>
        <w:rPr>
          <w:rFonts w:hint="eastAsia" w:cs="宋体"/>
          <w:color w:val="auto"/>
          <w:kern w:val="2"/>
          <w:sz w:val="21"/>
          <w:szCs w:val="21"/>
        </w:rPr>
        <w:t>收费比例为：</w:t>
      </w:r>
      <w:r>
        <w:rPr>
          <w:rFonts w:cs="宋体"/>
          <w:color w:val="auto"/>
          <w:kern w:val="2"/>
          <w:sz w:val="21"/>
          <w:szCs w:val="21"/>
          <w:u w:val="single"/>
        </w:rPr>
        <w:t xml:space="preserve">      </w:t>
      </w:r>
      <w:r>
        <w:rPr>
          <w:rFonts w:hint="eastAsia" w:cs="宋体"/>
          <w:color w:val="auto"/>
          <w:kern w:val="2"/>
          <w:sz w:val="21"/>
          <w:szCs w:val="21"/>
        </w:rPr>
        <w:t>；</w:t>
      </w:r>
    </w:p>
    <w:p>
      <w:pPr>
        <w:widowControl w:val="0"/>
        <w:snapToGrid w:val="0"/>
        <w:spacing w:after="0" w:line="360" w:lineRule="auto"/>
        <w:ind w:firstLine="422" w:firstLineChars="200"/>
        <w:rPr>
          <w:rFonts w:cs="宋体"/>
          <w:b/>
          <w:kern w:val="2"/>
          <w:sz w:val="21"/>
          <w:szCs w:val="21"/>
        </w:rPr>
      </w:pPr>
      <w:r>
        <w:rPr>
          <w:rFonts w:hint="eastAsia" w:cs="宋体"/>
          <w:b/>
          <w:kern w:val="2"/>
          <w:sz w:val="21"/>
          <w:szCs w:val="21"/>
        </w:rPr>
        <w:t>六、付款方式：</w:t>
      </w:r>
    </w:p>
    <w:p>
      <w:pPr>
        <w:widowControl w:val="0"/>
        <w:spacing w:after="0" w:line="360" w:lineRule="auto"/>
        <w:ind w:firstLine="420" w:firstLineChars="200"/>
        <w:jc w:val="both"/>
        <w:rPr>
          <w:bCs/>
          <w:kern w:val="2"/>
          <w:sz w:val="21"/>
          <w:szCs w:val="21"/>
        </w:rPr>
      </w:pPr>
      <w:r>
        <w:rPr>
          <w:bCs/>
          <w:kern w:val="2"/>
          <w:sz w:val="21"/>
          <w:szCs w:val="21"/>
        </w:rPr>
        <w:t>1、次月30日为费用结算日。（账期60天）全额付款。业务量的结算以</w:t>
      </w:r>
      <w:r>
        <w:rPr>
          <w:rFonts w:hint="eastAsia" w:cs="新宋体"/>
          <w:kern w:val="2"/>
          <w:sz w:val="21"/>
          <w:szCs w:val="21"/>
        </w:rPr>
        <w:t>结算周期内项目检测清单或</w:t>
      </w:r>
      <w:r>
        <w:rPr>
          <w:bCs/>
          <w:kern w:val="2"/>
          <w:sz w:val="21"/>
          <w:szCs w:val="21"/>
        </w:rPr>
        <w:t>外送标本登记的签收记录为准。</w:t>
      </w:r>
    </w:p>
    <w:p>
      <w:pPr>
        <w:widowControl w:val="0"/>
        <w:spacing w:after="0" w:line="360" w:lineRule="auto"/>
        <w:ind w:firstLine="420" w:firstLineChars="200"/>
        <w:jc w:val="both"/>
        <w:rPr>
          <w:b/>
          <w:kern w:val="2"/>
          <w:sz w:val="21"/>
          <w:szCs w:val="21"/>
        </w:rPr>
      </w:pPr>
      <w:r>
        <w:rPr>
          <w:bCs/>
          <w:kern w:val="2"/>
          <w:sz w:val="21"/>
          <w:szCs w:val="21"/>
        </w:rPr>
        <w:t>2、经双方共同确认检测数量无异议后，医院在收到中标方的发票后60日内支付检测服</w:t>
      </w:r>
      <w:r>
        <w:rPr>
          <w:b/>
          <w:kern w:val="2"/>
          <w:sz w:val="21"/>
          <w:szCs w:val="21"/>
        </w:rPr>
        <w:t>务费用。</w:t>
      </w:r>
    </w:p>
    <w:p>
      <w:pPr>
        <w:widowControl w:val="0"/>
        <w:snapToGrid w:val="0"/>
        <w:spacing w:after="0" w:line="360" w:lineRule="auto"/>
        <w:ind w:firstLine="422" w:firstLineChars="200"/>
        <w:rPr>
          <w:rFonts w:cs="宋体"/>
          <w:b/>
          <w:kern w:val="2"/>
          <w:sz w:val="21"/>
          <w:szCs w:val="21"/>
        </w:rPr>
      </w:pPr>
      <w:r>
        <w:rPr>
          <w:rFonts w:hint="eastAsia" w:cs="宋体"/>
          <w:b/>
          <w:kern w:val="2"/>
          <w:sz w:val="21"/>
          <w:szCs w:val="21"/>
        </w:rPr>
        <w:t>七、合同的终止：</w:t>
      </w:r>
    </w:p>
    <w:p>
      <w:pPr>
        <w:widowControl w:val="0"/>
        <w:snapToGrid w:val="0"/>
        <w:spacing w:after="0" w:line="360" w:lineRule="auto"/>
        <w:ind w:firstLine="420" w:firstLineChars="200"/>
        <w:rPr>
          <w:rFonts w:cs="宋体"/>
          <w:kern w:val="2"/>
          <w:sz w:val="21"/>
          <w:szCs w:val="21"/>
        </w:rPr>
      </w:pPr>
      <w:r>
        <w:rPr>
          <w:rFonts w:hint="eastAsia" w:cs="宋体"/>
          <w:kern w:val="2"/>
          <w:sz w:val="21"/>
          <w:szCs w:val="21"/>
        </w:rPr>
        <w:t>存在以下情形的，甲乙双方有权终止本合同：</w:t>
      </w:r>
    </w:p>
    <w:p>
      <w:pPr>
        <w:widowControl w:val="0"/>
        <w:snapToGrid w:val="0"/>
        <w:spacing w:after="0" w:line="360" w:lineRule="auto"/>
        <w:ind w:firstLine="420" w:firstLineChars="200"/>
        <w:rPr>
          <w:rFonts w:cs="宋体"/>
          <w:kern w:val="2"/>
          <w:sz w:val="21"/>
          <w:szCs w:val="21"/>
        </w:rPr>
      </w:pPr>
      <w:r>
        <w:rPr>
          <w:rFonts w:cs="宋体"/>
          <w:kern w:val="2"/>
          <w:sz w:val="21"/>
          <w:szCs w:val="21"/>
        </w:rPr>
        <w:t>1、乙方5次以上延迟报告；</w:t>
      </w:r>
    </w:p>
    <w:p>
      <w:pPr>
        <w:widowControl w:val="0"/>
        <w:snapToGrid w:val="0"/>
        <w:spacing w:after="0" w:line="360" w:lineRule="auto"/>
        <w:ind w:firstLine="420" w:firstLineChars="200"/>
        <w:rPr>
          <w:rFonts w:cs="宋体"/>
          <w:kern w:val="2"/>
          <w:sz w:val="21"/>
          <w:szCs w:val="21"/>
        </w:rPr>
      </w:pPr>
      <w:r>
        <w:rPr>
          <w:rFonts w:cs="宋体"/>
          <w:kern w:val="2"/>
          <w:sz w:val="21"/>
          <w:szCs w:val="21"/>
        </w:rPr>
        <w:t>2、乙方因国家政策或其他原因不能提供相应的服务；</w:t>
      </w:r>
    </w:p>
    <w:p>
      <w:pPr>
        <w:widowControl w:val="0"/>
        <w:snapToGrid w:val="0"/>
        <w:spacing w:after="0" w:line="360" w:lineRule="auto"/>
        <w:ind w:firstLine="420" w:firstLineChars="200"/>
        <w:rPr>
          <w:rFonts w:cs="宋体"/>
          <w:kern w:val="2"/>
          <w:sz w:val="21"/>
          <w:szCs w:val="21"/>
        </w:rPr>
      </w:pPr>
      <w:r>
        <w:rPr>
          <w:rFonts w:cs="宋体"/>
          <w:kern w:val="2"/>
          <w:sz w:val="21"/>
          <w:szCs w:val="21"/>
        </w:rPr>
        <w:t xml:space="preserve">3、乙方存在提供虚假信息或未经甲方同意私自更改使用试剂的品牌和检验项目的方法学等现象。 </w:t>
      </w:r>
    </w:p>
    <w:p>
      <w:pPr>
        <w:widowControl w:val="0"/>
        <w:spacing w:after="0" w:line="360" w:lineRule="auto"/>
        <w:ind w:left="-357" w:firstLine="723" w:firstLineChars="300"/>
        <w:jc w:val="both"/>
        <w:rPr>
          <w:rFonts w:cs="仿宋_GB2312"/>
          <w:b/>
          <w:color w:val="000000"/>
          <w:kern w:val="2"/>
        </w:rPr>
      </w:pPr>
      <w:r>
        <w:rPr>
          <w:rFonts w:hint="eastAsia" w:cs="仿宋_GB2312"/>
          <w:b/>
          <w:color w:val="000000"/>
          <w:kern w:val="2"/>
        </w:rPr>
        <w:t>八、违约纠纷处理</w:t>
      </w:r>
    </w:p>
    <w:p>
      <w:pPr>
        <w:widowControl w:val="0"/>
        <w:spacing w:after="0" w:line="360" w:lineRule="auto"/>
        <w:ind w:left="415" w:leftChars="173" w:firstLine="420" w:firstLineChars="200"/>
        <w:jc w:val="both"/>
        <w:rPr>
          <w:bCs/>
          <w:kern w:val="2"/>
          <w:sz w:val="21"/>
          <w:szCs w:val="21"/>
        </w:rPr>
      </w:pPr>
      <w:r>
        <w:rPr>
          <w:rFonts w:hint="eastAsia"/>
          <w:bCs/>
          <w:kern w:val="2"/>
          <w:sz w:val="21"/>
          <w:szCs w:val="21"/>
        </w:rPr>
        <w:t>本合同在履行过程中发生的争议，由双方当事人协商解决；协商不成时，依法向甲方所在地的人民法院起诉。</w:t>
      </w:r>
    </w:p>
    <w:p>
      <w:pPr>
        <w:widowControl w:val="0"/>
        <w:numPr>
          <w:ilvl w:val="0"/>
          <w:numId w:val="4"/>
        </w:numPr>
        <w:spacing w:after="0" w:line="300" w:lineRule="auto"/>
        <w:ind w:left="-550" w:leftChars="-229" w:right="-557" w:rightChars="-232" w:firstLine="822" w:firstLineChars="341"/>
        <w:jc w:val="both"/>
        <w:rPr>
          <w:kern w:val="2"/>
        </w:rPr>
      </w:pPr>
      <w:r>
        <w:rPr>
          <w:rFonts w:hint="eastAsia"/>
          <w:b/>
          <w:kern w:val="2"/>
        </w:rPr>
        <w:t>其他约定</w:t>
      </w:r>
    </w:p>
    <w:p>
      <w:pPr>
        <w:widowControl w:val="0"/>
        <w:spacing w:after="0" w:line="360" w:lineRule="auto"/>
        <w:ind w:left="415" w:leftChars="173" w:firstLine="420" w:firstLineChars="200"/>
        <w:jc w:val="both"/>
        <w:rPr>
          <w:bCs/>
          <w:kern w:val="2"/>
          <w:sz w:val="21"/>
          <w:szCs w:val="21"/>
        </w:rPr>
      </w:pPr>
      <w:r>
        <w:rPr>
          <w:bCs/>
          <w:kern w:val="2"/>
          <w:sz w:val="21"/>
          <w:szCs w:val="21"/>
        </w:rPr>
        <w:t>1.本合同一式伍份，甲方肆份、乙方壹份，具有同等法律效力。</w:t>
      </w:r>
    </w:p>
    <w:p>
      <w:pPr>
        <w:widowControl w:val="0"/>
        <w:spacing w:after="0" w:line="360" w:lineRule="auto"/>
        <w:ind w:left="415" w:leftChars="173" w:firstLine="420" w:firstLineChars="200"/>
        <w:jc w:val="both"/>
        <w:rPr>
          <w:bCs/>
          <w:kern w:val="2"/>
          <w:sz w:val="21"/>
          <w:szCs w:val="21"/>
        </w:rPr>
      </w:pPr>
      <w:r>
        <w:rPr>
          <w:bCs/>
          <w:kern w:val="2"/>
          <w:sz w:val="21"/>
          <w:szCs w:val="21"/>
        </w:rPr>
        <w:t>2.甲方将对货物的质量、价格、服务等情况进行不定期检查和考核，。</w:t>
      </w:r>
    </w:p>
    <w:p>
      <w:pPr>
        <w:widowControl w:val="0"/>
        <w:spacing w:after="0" w:line="360" w:lineRule="auto"/>
        <w:ind w:left="415" w:leftChars="173" w:firstLine="420" w:firstLineChars="200"/>
        <w:jc w:val="both"/>
        <w:rPr>
          <w:bCs/>
          <w:kern w:val="2"/>
          <w:sz w:val="21"/>
          <w:szCs w:val="21"/>
        </w:rPr>
      </w:pPr>
      <w:r>
        <w:rPr>
          <w:bCs/>
          <w:kern w:val="2"/>
          <w:sz w:val="21"/>
          <w:szCs w:val="21"/>
        </w:rPr>
        <w:t>3.合同经甲、乙方双方代表签字并加盖公章（合同章）后生效。</w:t>
      </w:r>
    </w:p>
    <w:p>
      <w:pPr>
        <w:widowControl w:val="0"/>
        <w:spacing w:after="0" w:line="360" w:lineRule="auto"/>
        <w:ind w:left="415" w:leftChars="173" w:firstLine="420" w:firstLineChars="200"/>
        <w:jc w:val="both"/>
        <w:rPr>
          <w:bCs/>
          <w:kern w:val="2"/>
          <w:sz w:val="21"/>
          <w:szCs w:val="21"/>
        </w:rPr>
      </w:pPr>
      <w:r>
        <w:rPr>
          <w:bCs/>
          <w:kern w:val="2"/>
          <w:sz w:val="21"/>
          <w:szCs w:val="21"/>
        </w:rPr>
        <w:t>4.未尽事宜以招标文件和应标文件为准。如合同与招标文件有冲突的，以招标文件为准。</w:t>
      </w:r>
    </w:p>
    <w:p>
      <w:pPr>
        <w:widowControl w:val="0"/>
        <w:spacing w:after="0" w:line="360" w:lineRule="auto"/>
        <w:ind w:left="415" w:leftChars="173" w:firstLine="420" w:firstLineChars="200"/>
        <w:jc w:val="both"/>
        <w:rPr>
          <w:bCs/>
          <w:kern w:val="2"/>
          <w:sz w:val="21"/>
          <w:szCs w:val="21"/>
        </w:rPr>
      </w:pPr>
    </w:p>
    <w:tbl>
      <w:tblPr>
        <w:tblStyle w:val="99"/>
        <w:tblW w:w="92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0"/>
        <w:gridCol w:w="744"/>
        <w:gridCol w:w="2422"/>
        <w:gridCol w:w="1228"/>
        <w:gridCol w:w="851"/>
        <w:gridCol w:w="2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290" w:type="dxa"/>
            <w:tcBorders>
              <w:tl2br w:val="nil"/>
              <w:tr2bl w:val="nil"/>
            </w:tcBorders>
            <w:vAlign w:val="center"/>
          </w:tcPr>
          <w:p>
            <w:pPr>
              <w:widowControl w:val="0"/>
              <w:spacing w:after="120"/>
              <w:rPr>
                <w:rFonts w:cs="宋体"/>
                <w:kern w:val="2"/>
                <w:sz w:val="21"/>
                <w:szCs w:val="21"/>
              </w:rPr>
            </w:pPr>
            <w:r>
              <w:rPr>
                <w:rFonts w:hint="eastAsia" w:cs="宋体"/>
                <w:kern w:val="2"/>
                <w:sz w:val="21"/>
                <w:szCs w:val="21"/>
              </w:rPr>
              <w:t>甲</w:t>
            </w:r>
            <w:r>
              <w:rPr>
                <w:rFonts w:cs="宋体"/>
                <w:kern w:val="2"/>
                <w:sz w:val="21"/>
                <w:szCs w:val="21"/>
              </w:rPr>
              <w:t xml:space="preserve">   </w:t>
            </w:r>
            <w:r>
              <w:rPr>
                <w:rFonts w:hint="eastAsia" w:cs="宋体"/>
                <w:kern w:val="2"/>
                <w:sz w:val="21"/>
                <w:szCs w:val="21"/>
              </w:rPr>
              <w:t>方：</w:t>
            </w:r>
          </w:p>
        </w:tc>
        <w:tc>
          <w:tcPr>
            <w:tcW w:w="3166" w:type="dxa"/>
            <w:gridSpan w:val="2"/>
            <w:tcBorders>
              <w:tl2br w:val="nil"/>
              <w:tr2bl w:val="nil"/>
            </w:tcBorders>
            <w:vAlign w:val="center"/>
          </w:tcPr>
          <w:p>
            <w:pPr>
              <w:widowControl w:val="0"/>
              <w:adjustRightInd w:val="0"/>
              <w:snapToGrid w:val="0"/>
              <w:spacing w:after="0" w:line="360" w:lineRule="auto"/>
              <w:ind w:left="4830" w:hanging="4830" w:hangingChars="2300"/>
              <w:jc w:val="both"/>
              <w:rPr>
                <w:rFonts w:cs="宋体"/>
                <w:kern w:val="2"/>
                <w:sz w:val="21"/>
                <w:szCs w:val="21"/>
              </w:rPr>
            </w:pPr>
          </w:p>
        </w:tc>
        <w:tc>
          <w:tcPr>
            <w:tcW w:w="1228" w:type="dxa"/>
            <w:tcBorders>
              <w:tl2br w:val="nil"/>
              <w:tr2bl w:val="nil"/>
            </w:tcBorders>
            <w:vAlign w:val="center"/>
          </w:tcPr>
          <w:p>
            <w:pPr>
              <w:widowControl w:val="0"/>
              <w:spacing w:after="120"/>
              <w:jc w:val="both"/>
              <w:rPr>
                <w:rFonts w:cs="宋体"/>
                <w:kern w:val="2"/>
                <w:sz w:val="21"/>
                <w:szCs w:val="21"/>
              </w:rPr>
            </w:pPr>
            <w:r>
              <w:rPr>
                <w:rFonts w:hint="eastAsia" w:cs="宋体"/>
                <w:kern w:val="2"/>
                <w:sz w:val="21"/>
                <w:szCs w:val="21"/>
              </w:rPr>
              <w:t>乙</w:t>
            </w:r>
            <w:r>
              <w:rPr>
                <w:rFonts w:cs="宋体"/>
                <w:kern w:val="2"/>
                <w:sz w:val="21"/>
                <w:szCs w:val="21"/>
              </w:rPr>
              <w:t xml:space="preserve">   </w:t>
            </w:r>
            <w:r>
              <w:rPr>
                <w:rFonts w:hint="eastAsia" w:cs="宋体"/>
                <w:kern w:val="2"/>
                <w:sz w:val="21"/>
                <w:szCs w:val="21"/>
              </w:rPr>
              <w:t>方：</w:t>
            </w:r>
          </w:p>
        </w:tc>
        <w:tc>
          <w:tcPr>
            <w:tcW w:w="3568" w:type="dxa"/>
            <w:gridSpan w:val="2"/>
            <w:tcBorders>
              <w:tl2br w:val="nil"/>
              <w:tr2bl w:val="nil"/>
            </w:tcBorders>
            <w:vAlign w:val="center"/>
          </w:tcPr>
          <w:p>
            <w:pPr>
              <w:widowControl w:val="0"/>
              <w:spacing w:after="120"/>
              <w:jc w:val="both"/>
              <w:rPr>
                <w:rFonts w:cs="宋体"/>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034" w:type="dxa"/>
            <w:gridSpan w:val="2"/>
            <w:tcBorders>
              <w:tl2br w:val="nil"/>
              <w:tr2bl w:val="nil"/>
            </w:tcBorders>
            <w:vAlign w:val="center"/>
          </w:tcPr>
          <w:p>
            <w:pPr>
              <w:widowControl w:val="0"/>
              <w:spacing w:after="120"/>
              <w:rPr>
                <w:rFonts w:cs="宋体"/>
                <w:kern w:val="2"/>
                <w:sz w:val="21"/>
                <w:szCs w:val="21"/>
              </w:rPr>
            </w:pPr>
            <w:r>
              <w:rPr>
                <w:rFonts w:hint="eastAsia" w:cs="宋体"/>
                <w:kern w:val="2"/>
                <w:sz w:val="21"/>
                <w:szCs w:val="21"/>
              </w:rPr>
              <w:t>统一社会信用代码：</w:t>
            </w:r>
          </w:p>
        </w:tc>
        <w:tc>
          <w:tcPr>
            <w:tcW w:w="2422" w:type="dxa"/>
            <w:tcBorders>
              <w:tl2br w:val="nil"/>
              <w:tr2bl w:val="nil"/>
            </w:tcBorders>
            <w:vAlign w:val="center"/>
          </w:tcPr>
          <w:p>
            <w:pPr>
              <w:widowControl w:val="0"/>
              <w:spacing w:after="120"/>
              <w:rPr>
                <w:rFonts w:cs="宋体"/>
                <w:kern w:val="2"/>
                <w:sz w:val="21"/>
                <w:szCs w:val="21"/>
              </w:rPr>
            </w:pPr>
          </w:p>
        </w:tc>
        <w:tc>
          <w:tcPr>
            <w:tcW w:w="2079" w:type="dxa"/>
            <w:gridSpan w:val="2"/>
            <w:tcBorders>
              <w:tl2br w:val="nil"/>
              <w:tr2bl w:val="nil"/>
            </w:tcBorders>
            <w:vAlign w:val="center"/>
          </w:tcPr>
          <w:p>
            <w:pPr>
              <w:widowControl w:val="0"/>
              <w:spacing w:after="120"/>
              <w:rPr>
                <w:rFonts w:cs="宋体"/>
                <w:kern w:val="2"/>
                <w:sz w:val="21"/>
                <w:szCs w:val="21"/>
              </w:rPr>
            </w:pPr>
            <w:r>
              <w:rPr>
                <w:rFonts w:hint="eastAsia" w:cs="宋体"/>
                <w:kern w:val="2"/>
                <w:sz w:val="21"/>
                <w:szCs w:val="21"/>
              </w:rPr>
              <w:t>统一社会信用代码：</w:t>
            </w:r>
          </w:p>
        </w:tc>
        <w:tc>
          <w:tcPr>
            <w:tcW w:w="2717" w:type="dxa"/>
            <w:tcBorders>
              <w:tl2br w:val="nil"/>
              <w:tr2bl w:val="nil"/>
            </w:tcBorders>
            <w:vAlign w:val="center"/>
          </w:tcPr>
          <w:p>
            <w:pPr>
              <w:widowControl w:val="0"/>
              <w:spacing w:after="120"/>
              <w:rPr>
                <w:rFonts w:cs="宋体"/>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90" w:type="dxa"/>
            <w:tcBorders>
              <w:tl2br w:val="nil"/>
              <w:tr2bl w:val="nil"/>
            </w:tcBorders>
            <w:vAlign w:val="center"/>
          </w:tcPr>
          <w:p>
            <w:pPr>
              <w:widowControl w:val="0"/>
              <w:spacing w:after="120"/>
              <w:rPr>
                <w:rFonts w:cs="宋体"/>
                <w:kern w:val="2"/>
                <w:sz w:val="21"/>
                <w:szCs w:val="21"/>
              </w:rPr>
            </w:pPr>
            <w:r>
              <w:rPr>
                <w:rFonts w:hint="eastAsia" w:cs="宋体"/>
                <w:kern w:val="2"/>
                <w:sz w:val="21"/>
                <w:szCs w:val="21"/>
              </w:rPr>
              <w:t>地</w:t>
            </w:r>
            <w:r>
              <w:rPr>
                <w:rFonts w:cs="宋体"/>
                <w:kern w:val="2"/>
                <w:sz w:val="21"/>
                <w:szCs w:val="21"/>
              </w:rPr>
              <w:t xml:space="preserve">   </w:t>
            </w:r>
            <w:r>
              <w:rPr>
                <w:rFonts w:hint="eastAsia" w:cs="宋体"/>
                <w:kern w:val="2"/>
                <w:sz w:val="21"/>
                <w:szCs w:val="21"/>
              </w:rPr>
              <w:t>址：</w:t>
            </w:r>
          </w:p>
        </w:tc>
        <w:tc>
          <w:tcPr>
            <w:tcW w:w="3166" w:type="dxa"/>
            <w:gridSpan w:val="2"/>
            <w:tcBorders>
              <w:tl2br w:val="nil"/>
              <w:tr2bl w:val="nil"/>
            </w:tcBorders>
            <w:vAlign w:val="center"/>
          </w:tcPr>
          <w:p>
            <w:pPr>
              <w:widowControl w:val="0"/>
              <w:spacing w:after="120"/>
              <w:jc w:val="both"/>
              <w:rPr>
                <w:rFonts w:cs="宋体"/>
                <w:kern w:val="2"/>
                <w:sz w:val="21"/>
                <w:szCs w:val="21"/>
              </w:rPr>
            </w:pPr>
            <w:r>
              <w:rPr>
                <w:rFonts w:cs="宋体"/>
                <w:kern w:val="2"/>
                <w:sz w:val="21"/>
                <w:szCs w:val="21"/>
              </w:rPr>
              <w:t xml:space="preserve"> </w:t>
            </w:r>
          </w:p>
        </w:tc>
        <w:tc>
          <w:tcPr>
            <w:tcW w:w="1228" w:type="dxa"/>
            <w:tcBorders>
              <w:tl2br w:val="nil"/>
              <w:tr2bl w:val="nil"/>
            </w:tcBorders>
            <w:vAlign w:val="center"/>
          </w:tcPr>
          <w:p>
            <w:pPr>
              <w:widowControl w:val="0"/>
              <w:spacing w:after="120"/>
              <w:rPr>
                <w:rFonts w:cs="宋体"/>
                <w:kern w:val="2"/>
                <w:sz w:val="21"/>
                <w:szCs w:val="21"/>
              </w:rPr>
            </w:pPr>
            <w:r>
              <w:rPr>
                <w:rFonts w:hint="eastAsia" w:cs="宋体"/>
                <w:kern w:val="2"/>
                <w:sz w:val="21"/>
                <w:szCs w:val="21"/>
              </w:rPr>
              <w:t>地</w:t>
            </w:r>
            <w:r>
              <w:rPr>
                <w:rFonts w:cs="宋体"/>
                <w:kern w:val="2"/>
                <w:sz w:val="21"/>
                <w:szCs w:val="21"/>
              </w:rPr>
              <w:t xml:space="preserve">   </w:t>
            </w:r>
            <w:r>
              <w:rPr>
                <w:rFonts w:hint="eastAsia" w:cs="宋体"/>
                <w:kern w:val="2"/>
                <w:sz w:val="21"/>
                <w:szCs w:val="21"/>
              </w:rPr>
              <w:t>址：</w:t>
            </w:r>
          </w:p>
        </w:tc>
        <w:tc>
          <w:tcPr>
            <w:tcW w:w="3568" w:type="dxa"/>
            <w:gridSpan w:val="2"/>
            <w:tcBorders>
              <w:tl2br w:val="nil"/>
              <w:tr2bl w:val="nil"/>
            </w:tcBorders>
            <w:vAlign w:val="center"/>
          </w:tcPr>
          <w:p>
            <w:pPr>
              <w:widowControl w:val="0"/>
              <w:spacing w:after="120"/>
              <w:jc w:val="both"/>
              <w:rPr>
                <w:rFonts w:cs="宋体"/>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456" w:type="dxa"/>
            <w:gridSpan w:val="3"/>
            <w:tcBorders>
              <w:tl2br w:val="nil"/>
              <w:tr2bl w:val="nil"/>
            </w:tcBorders>
            <w:vAlign w:val="center"/>
          </w:tcPr>
          <w:p>
            <w:pPr>
              <w:widowControl w:val="0"/>
              <w:spacing w:after="120"/>
              <w:rPr>
                <w:rFonts w:cs="宋体"/>
                <w:kern w:val="2"/>
                <w:sz w:val="21"/>
                <w:szCs w:val="21"/>
              </w:rPr>
            </w:pPr>
            <w:r>
              <w:rPr>
                <w:rFonts w:hint="eastAsia" w:cs="宋体"/>
                <w:kern w:val="2"/>
                <w:sz w:val="21"/>
                <w:szCs w:val="21"/>
              </w:rPr>
              <w:t>法定代表或授权代表：</w:t>
            </w:r>
          </w:p>
        </w:tc>
        <w:tc>
          <w:tcPr>
            <w:tcW w:w="4796" w:type="dxa"/>
            <w:gridSpan w:val="3"/>
            <w:tcBorders>
              <w:tl2br w:val="nil"/>
              <w:tr2bl w:val="nil"/>
            </w:tcBorders>
            <w:vAlign w:val="center"/>
          </w:tcPr>
          <w:p>
            <w:pPr>
              <w:widowControl w:val="0"/>
              <w:spacing w:after="120"/>
              <w:rPr>
                <w:rFonts w:cs="宋体"/>
                <w:kern w:val="2"/>
                <w:sz w:val="21"/>
                <w:szCs w:val="21"/>
              </w:rPr>
            </w:pPr>
            <w:r>
              <w:rPr>
                <w:rFonts w:hint="eastAsia" w:cs="宋体"/>
                <w:kern w:val="2"/>
                <w:sz w:val="21"/>
                <w:szCs w:val="21"/>
              </w:rPr>
              <w:t>法定代表或授权代表：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90" w:type="dxa"/>
            <w:tcBorders>
              <w:tl2br w:val="nil"/>
              <w:tr2bl w:val="nil"/>
            </w:tcBorders>
            <w:vAlign w:val="center"/>
          </w:tcPr>
          <w:p>
            <w:pPr>
              <w:widowControl w:val="0"/>
              <w:spacing w:after="120"/>
              <w:rPr>
                <w:rFonts w:cs="宋体"/>
                <w:kern w:val="2"/>
                <w:sz w:val="21"/>
                <w:szCs w:val="21"/>
              </w:rPr>
            </w:pPr>
            <w:r>
              <w:rPr>
                <w:rFonts w:hint="eastAsia" w:cs="宋体"/>
                <w:kern w:val="2"/>
                <w:sz w:val="21"/>
                <w:szCs w:val="21"/>
              </w:rPr>
              <w:t>联系电话：</w:t>
            </w:r>
          </w:p>
        </w:tc>
        <w:tc>
          <w:tcPr>
            <w:tcW w:w="3166" w:type="dxa"/>
            <w:gridSpan w:val="2"/>
            <w:tcBorders>
              <w:tl2br w:val="nil"/>
              <w:tr2bl w:val="nil"/>
            </w:tcBorders>
            <w:vAlign w:val="center"/>
          </w:tcPr>
          <w:p>
            <w:pPr>
              <w:widowControl w:val="0"/>
              <w:spacing w:after="120"/>
              <w:jc w:val="both"/>
              <w:rPr>
                <w:rFonts w:cs="宋体"/>
                <w:kern w:val="2"/>
                <w:sz w:val="21"/>
                <w:szCs w:val="21"/>
              </w:rPr>
            </w:pPr>
          </w:p>
        </w:tc>
        <w:tc>
          <w:tcPr>
            <w:tcW w:w="1228" w:type="dxa"/>
            <w:tcBorders>
              <w:tl2br w:val="nil"/>
              <w:tr2bl w:val="nil"/>
            </w:tcBorders>
            <w:vAlign w:val="center"/>
          </w:tcPr>
          <w:p>
            <w:pPr>
              <w:widowControl w:val="0"/>
              <w:spacing w:after="120"/>
              <w:rPr>
                <w:rFonts w:cs="宋体"/>
                <w:kern w:val="2"/>
                <w:sz w:val="21"/>
                <w:szCs w:val="21"/>
              </w:rPr>
            </w:pPr>
            <w:r>
              <w:rPr>
                <w:rFonts w:hint="eastAsia" w:cs="宋体"/>
                <w:kern w:val="2"/>
                <w:sz w:val="21"/>
                <w:szCs w:val="21"/>
              </w:rPr>
              <w:t>联系电话：</w:t>
            </w:r>
          </w:p>
        </w:tc>
        <w:tc>
          <w:tcPr>
            <w:tcW w:w="3568" w:type="dxa"/>
            <w:gridSpan w:val="2"/>
            <w:tcBorders>
              <w:tl2br w:val="nil"/>
              <w:tr2bl w:val="nil"/>
            </w:tcBorders>
            <w:vAlign w:val="center"/>
          </w:tcPr>
          <w:p>
            <w:pPr>
              <w:widowControl w:val="0"/>
              <w:spacing w:after="120"/>
              <w:ind w:left="480" w:leftChars="200" w:firstLine="420" w:firstLineChars="200"/>
              <w:jc w:val="both"/>
              <w:rPr>
                <w:rFonts w:cs="宋体"/>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90" w:type="dxa"/>
            <w:tcBorders>
              <w:tl2br w:val="nil"/>
              <w:tr2bl w:val="nil"/>
            </w:tcBorders>
            <w:vAlign w:val="center"/>
          </w:tcPr>
          <w:p>
            <w:pPr>
              <w:widowControl w:val="0"/>
              <w:spacing w:after="120"/>
              <w:rPr>
                <w:rFonts w:cs="宋体"/>
                <w:kern w:val="2"/>
                <w:sz w:val="21"/>
                <w:szCs w:val="21"/>
              </w:rPr>
            </w:pPr>
            <w:r>
              <w:rPr>
                <w:rFonts w:hint="eastAsia" w:cs="宋体"/>
                <w:kern w:val="2"/>
                <w:sz w:val="21"/>
                <w:szCs w:val="21"/>
              </w:rPr>
              <w:t>签订日期：</w:t>
            </w:r>
          </w:p>
        </w:tc>
        <w:tc>
          <w:tcPr>
            <w:tcW w:w="3166" w:type="dxa"/>
            <w:gridSpan w:val="2"/>
            <w:tcBorders>
              <w:tl2br w:val="nil"/>
              <w:tr2bl w:val="nil"/>
            </w:tcBorders>
            <w:vAlign w:val="center"/>
          </w:tcPr>
          <w:p>
            <w:pPr>
              <w:widowControl w:val="0"/>
              <w:spacing w:after="120"/>
              <w:jc w:val="both"/>
              <w:rPr>
                <w:rFonts w:cs="宋体"/>
                <w:kern w:val="2"/>
                <w:sz w:val="21"/>
                <w:szCs w:val="21"/>
              </w:rPr>
            </w:pPr>
          </w:p>
        </w:tc>
        <w:tc>
          <w:tcPr>
            <w:tcW w:w="1228" w:type="dxa"/>
            <w:tcBorders>
              <w:tl2br w:val="nil"/>
              <w:tr2bl w:val="nil"/>
            </w:tcBorders>
            <w:vAlign w:val="center"/>
          </w:tcPr>
          <w:p>
            <w:pPr>
              <w:widowControl w:val="0"/>
              <w:spacing w:after="120"/>
              <w:rPr>
                <w:rFonts w:cs="宋体"/>
                <w:kern w:val="2"/>
                <w:sz w:val="21"/>
                <w:szCs w:val="21"/>
              </w:rPr>
            </w:pPr>
            <w:r>
              <w:rPr>
                <w:rFonts w:hint="eastAsia" w:cs="宋体"/>
                <w:kern w:val="2"/>
                <w:sz w:val="21"/>
                <w:szCs w:val="21"/>
              </w:rPr>
              <w:t>开户银行：</w:t>
            </w:r>
          </w:p>
        </w:tc>
        <w:tc>
          <w:tcPr>
            <w:tcW w:w="3568" w:type="dxa"/>
            <w:gridSpan w:val="2"/>
            <w:tcBorders>
              <w:tl2br w:val="nil"/>
              <w:tr2bl w:val="nil"/>
            </w:tcBorders>
            <w:vAlign w:val="center"/>
          </w:tcPr>
          <w:p>
            <w:pPr>
              <w:widowControl w:val="0"/>
              <w:spacing w:after="120"/>
              <w:ind w:left="480" w:leftChars="200" w:firstLine="420" w:firstLineChars="200"/>
              <w:jc w:val="both"/>
              <w:rPr>
                <w:rFonts w:cs="宋体"/>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90" w:type="dxa"/>
            <w:tcBorders>
              <w:tl2br w:val="nil"/>
              <w:tr2bl w:val="nil"/>
            </w:tcBorders>
            <w:vAlign w:val="center"/>
          </w:tcPr>
          <w:p>
            <w:pPr>
              <w:widowControl w:val="0"/>
              <w:spacing w:after="120"/>
              <w:rPr>
                <w:rFonts w:cs="宋体"/>
                <w:kern w:val="2"/>
                <w:sz w:val="21"/>
                <w:szCs w:val="21"/>
              </w:rPr>
            </w:pPr>
          </w:p>
        </w:tc>
        <w:tc>
          <w:tcPr>
            <w:tcW w:w="3166" w:type="dxa"/>
            <w:gridSpan w:val="2"/>
            <w:tcBorders>
              <w:tl2br w:val="nil"/>
              <w:tr2bl w:val="nil"/>
            </w:tcBorders>
            <w:vAlign w:val="center"/>
          </w:tcPr>
          <w:p>
            <w:pPr>
              <w:widowControl w:val="0"/>
              <w:spacing w:after="120"/>
              <w:jc w:val="both"/>
              <w:rPr>
                <w:rFonts w:cs="宋体"/>
                <w:kern w:val="2"/>
                <w:sz w:val="21"/>
                <w:szCs w:val="21"/>
              </w:rPr>
            </w:pPr>
            <w:r>
              <w:rPr>
                <w:rFonts w:cs="宋体"/>
                <w:kern w:val="2"/>
                <w:sz w:val="21"/>
                <w:szCs w:val="21"/>
              </w:rPr>
              <w:t xml:space="preserve">    </w:t>
            </w:r>
          </w:p>
        </w:tc>
        <w:tc>
          <w:tcPr>
            <w:tcW w:w="1228" w:type="dxa"/>
            <w:tcBorders>
              <w:tl2br w:val="nil"/>
              <w:tr2bl w:val="nil"/>
            </w:tcBorders>
            <w:vAlign w:val="center"/>
          </w:tcPr>
          <w:p>
            <w:pPr>
              <w:widowControl w:val="0"/>
              <w:spacing w:after="120"/>
              <w:rPr>
                <w:rFonts w:cs="宋体"/>
                <w:kern w:val="2"/>
                <w:sz w:val="21"/>
                <w:szCs w:val="21"/>
              </w:rPr>
            </w:pPr>
            <w:r>
              <w:rPr>
                <w:rFonts w:hint="eastAsia" w:cs="宋体"/>
                <w:kern w:val="2"/>
                <w:sz w:val="21"/>
                <w:szCs w:val="21"/>
              </w:rPr>
              <w:t>账</w:t>
            </w:r>
            <w:r>
              <w:rPr>
                <w:rFonts w:cs="宋体"/>
                <w:kern w:val="2"/>
                <w:sz w:val="21"/>
                <w:szCs w:val="21"/>
              </w:rPr>
              <w:t xml:space="preserve">    </w:t>
            </w:r>
            <w:r>
              <w:rPr>
                <w:rFonts w:hint="eastAsia" w:cs="宋体"/>
                <w:kern w:val="2"/>
                <w:sz w:val="21"/>
                <w:szCs w:val="21"/>
              </w:rPr>
              <w:t>号：</w:t>
            </w:r>
          </w:p>
        </w:tc>
        <w:tc>
          <w:tcPr>
            <w:tcW w:w="3568" w:type="dxa"/>
            <w:gridSpan w:val="2"/>
            <w:tcBorders>
              <w:tl2br w:val="nil"/>
              <w:tr2bl w:val="nil"/>
            </w:tcBorders>
            <w:vAlign w:val="center"/>
          </w:tcPr>
          <w:p>
            <w:pPr>
              <w:widowControl w:val="0"/>
              <w:spacing w:after="120"/>
              <w:ind w:left="480" w:leftChars="200" w:firstLine="420" w:firstLineChars="200"/>
              <w:jc w:val="both"/>
              <w:rPr>
                <w:rFonts w:cs="宋体"/>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90" w:type="dxa"/>
            <w:tcBorders>
              <w:tl2br w:val="nil"/>
              <w:tr2bl w:val="nil"/>
            </w:tcBorders>
            <w:vAlign w:val="center"/>
          </w:tcPr>
          <w:p>
            <w:pPr>
              <w:widowControl w:val="0"/>
              <w:spacing w:after="120"/>
              <w:rPr>
                <w:rFonts w:cs="宋体"/>
                <w:kern w:val="2"/>
                <w:sz w:val="21"/>
                <w:szCs w:val="21"/>
              </w:rPr>
            </w:pPr>
          </w:p>
        </w:tc>
        <w:tc>
          <w:tcPr>
            <w:tcW w:w="3166" w:type="dxa"/>
            <w:gridSpan w:val="2"/>
            <w:tcBorders>
              <w:tl2br w:val="nil"/>
              <w:tr2bl w:val="nil"/>
            </w:tcBorders>
            <w:vAlign w:val="center"/>
          </w:tcPr>
          <w:p>
            <w:pPr>
              <w:widowControl w:val="0"/>
              <w:spacing w:after="120"/>
              <w:jc w:val="both"/>
              <w:rPr>
                <w:rFonts w:cs="宋体"/>
                <w:kern w:val="2"/>
                <w:sz w:val="21"/>
                <w:szCs w:val="21"/>
              </w:rPr>
            </w:pPr>
          </w:p>
        </w:tc>
        <w:tc>
          <w:tcPr>
            <w:tcW w:w="1228" w:type="dxa"/>
            <w:tcBorders>
              <w:tl2br w:val="nil"/>
              <w:tr2bl w:val="nil"/>
            </w:tcBorders>
            <w:vAlign w:val="center"/>
          </w:tcPr>
          <w:p>
            <w:pPr>
              <w:widowControl w:val="0"/>
              <w:spacing w:after="120"/>
              <w:rPr>
                <w:rFonts w:cs="宋体"/>
                <w:kern w:val="2"/>
                <w:sz w:val="21"/>
                <w:szCs w:val="21"/>
              </w:rPr>
            </w:pPr>
            <w:r>
              <w:rPr>
                <w:rFonts w:hint="eastAsia" w:cs="宋体"/>
                <w:kern w:val="2"/>
                <w:sz w:val="21"/>
                <w:szCs w:val="21"/>
              </w:rPr>
              <w:t>签订日期：</w:t>
            </w:r>
          </w:p>
        </w:tc>
        <w:tc>
          <w:tcPr>
            <w:tcW w:w="3568" w:type="dxa"/>
            <w:gridSpan w:val="2"/>
            <w:tcBorders>
              <w:tl2br w:val="nil"/>
              <w:tr2bl w:val="nil"/>
            </w:tcBorders>
            <w:vAlign w:val="center"/>
          </w:tcPr>
          <w:p>
            <w:pPr>
              <w:widowControl w:val="0"/>
              <w:spacing w:after="120"/>
              <w:ind w:left="480" w:leftChars="200" w:firstLine="420" w:firstLineChars="200"/>
              <w:jc w:val="both"/>
              <w:rPr>
                <w:rFonts w:cs="宋体"/>
                <w:kern w:val="2"/>
                <w:sz w:val="21"/>
                <w:szCs w:val="21"/>
              </w:rPr>
            </w:pPr>
          </w:p>
        </w:tc>
      </w:tr>
    </w:tbl>
    <w:p>
      <w:pPr>
        <w:widowControl w:val="0"/>
        <w:tabs>
          <w:tab w:val="left" w:pos="5670"/>
          <w:tab w:val="left" w:pos="6237"/>
        </w:tabs>
        <w:spacing w:after="0" w:line="360" w:lineRule="auto"/>
        <w:ind w:right="-58" w:firstLine="420" w:firstLineChars="200"/>
        <w:jc w:val="both"/>
        <w:rPr>
          <w:rFonts w:ascii="宋体" w:hAnsi="宋体" w:eastAsia="宋体" w:cs="宋体"/>
          <w:kern w:val="2"/>
          <w:sz w:val="21"/>
          <w:szCs w:val="21"/>
        </w:rPr>
      </w:pPr>
      <w:r>
        <w:rPr>
          <w:rFonts w:ascii="宋体" w:hAnsi="宋体" w:eastAsia="宋体" w:cs="宋体"/>
          <w:kern w:val="2"/>
          <w:sz w:val="21"/>
          <w:szCs w:val="21"/>
        </w:rPr>
        <w:t xml:space="preserve">  </w:t>
      </w:r>
    </w:p>
    <w:p>
      <w:pPr>
        <w:widowControl w:val="0"/>
        <w:tabs>
          <w:tab w:val="left" w:pos="7655"/>
        </w:tabs>
        <w:spacing w:after="0" w:line="360" w:lineRule="auto"/>
        <w:ind w:firstLine="5180" w:firstLineChars="1850"/>
        <w:jc w:val="both"/>
        <w:rPr>
          <w:kern w:val="2"/>
          <w:sz w:val="28"/>
          <w:szCs w:val="20"/>
        </w:rPr>
      </w:pPr>
    </w:p>
    <w:p>
      <w:pPr>
        <w:widowControl w:val="0"/>
        <w:spacing w:after="0"/>
        <w:jc w:val="both"/>
        <w:rPr>
          <w:rFonts w:ascii="等线" w:hAnsi="等线" w:eastAsia="等线"/>
          <w:kern w:val="2"/>
          <w:sz w:val="21"/>
        </w:rPr>
      </w:pPr>
    </w:p>
    <w:p>
      <w:pPr>
        <w:pStyle w:val="4"/>
        <w:jc w:val="right"/>
        <w:rPr>
          <w:rFonts w:ascii="楷体" w:hAnsi="楷体" w:eastAsia="楷体"/>
          <w:u w:val="single"/>
        </w:rPr>
      </w:pPr>
      <w:r>
        <w:rPr>
          <w:rFonts w:ascii="楷体" w:hAnsi="楷体" w:eastAsia="楷体"/>
          <w:u w:val="single"/>
        </w:rPr>
        <w:t xml:space="preserve">      </w:t>
      </w:r>
    </w:p>
    <w:p>
      <w:pPr>
        <w:spacing w:after="0"/>
        <w:rPr>
          <w:rFonts w:ascii="仿宋_GB2312" w:eastAsia="仿宋_GB2312"/>
          <w:b/>
          <w:smallCaps/>
          <w:spacing w:val="5"/>
          <w:sz w:val="36"/>
          <w:szCs w:val="36"/>
        </w:rPr>
      </w:pPr>
      <w:r>
        <w:br w:type="page"/>
      </w:r>
    </w:p>
    <w:p>
      <w:pPr>
        <w:pStyle w:val="3"/>
      </w:pPr>
    </w:p>
    <w:p>
      <w:pPr>
        <w:pStyle w:val="3"/>
      </w:pPr>
      <w:r>
        <w:rPr>
          <w:rFonts w:hint="eastAsia"/>
        </w:rPr>
        <w:t>第六部分</w:t>
      </w:r>
      <w:r>
        <w:t xml:space="preserve"> </w:t>
      </w:r>
      <w:r>
        <w:rPr>
          <w:rFonts w:hint="eastAsia"/>
        </w:rPr>
        <w:t>应提交的有关格式范例</w:t>
      </w:r>
    </w:p>
    <w:p>
      <w:pPr>
        <w:pStyle w:val="4"/>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4"/>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ascii="仿宋_GB2312" w:eastAsia="仿宋_GB2312" w:cs="仿宋_GB2312"/>
        </w:rPr>
        <w:t>1、具有独立承担民事责任的能力；</w:t>
      </w:r>
    </w:p>
    <w:p>
      <w:pPr>
        <w:snapToGrid w:val="0"/>
        <w:spacing w:line="360" w:lineRule="auto"/>
        <w:ind w:firstLine="480" w:firstLineChars="200"/>
        <w:rPr>
          <w:rFonts w:ascii="仿宋_GB2312" w:eastAsia="仿宋_GB2312"/>
        </w:rPr>
      </w:pPr>
      <w:r>
        <w:rPr>
          <w:rFonts w:ascii="仿宋_GB2312" w:eastAsia="仿宋_GB2312"/>
        </w:rPr>
        <w:t xml:space="preserve">2、具有良好的商业信誉和健全的财务会计制度； </w:t>
      </w:r>
    </w:p>
    <w:p>
      <w:pPr>
        <w:snapToGrid w:val="0"/>
        <w:spacing w:line="360" w:lineRule="auto"/>
        <w:ind w:firstLine="480" w:firstLineChars="200"/>
        <w:rPr>
          <w:rFonts w:ascii="仿宋_GB2312" w:eastAsia="仿宋_GB2312"/>
        </w:rPr>
      </w:pPr>
      <w:r>
        <w:rPr>
          <w:rFonts w:ascii="仿宋_GB2312" w:eastAsia="仿宋_GB2312"/>
        </w:rPr>
        <w:t>3、具有履行合同所必需的设备和专业技术能力；</w:t>
      </w:r>
    </w:p>
    <w:p>
      <w:pPr>
        <w:snapToGrid w:val="0"/>
        <w:spacing w:line="360" w:lineRule="auto"/>
        <w:ind w:firstLine="480" w:firstLineChars="200"/>
        <w:rPr>
          <w:rFonts w:ascii="仿宋_GB2312" w:eastAsia="仿宋_GB2312"/>
        </w:rPr>
      </w:pPr>
      <w:r>
        <w:rPr>
          <w:rFonts w:ascii="仿宋_GB2312" w:eastAsia="仿宋_GB2312"/>
        </w:rPr>
        <w:t>4、有依法缴纳税收和社会保障资金的良好记录；</w:t>
      </w:r>
    </w:p>
    <w:p>
      <w:pPr>
        <w:snapToGrid w:val="0"/>
        <w:spacing w:line="360" w:lineRule="auto"/>
        <w:ind w:firstLine="480" w:firstLineChars="200"/>
        <w:rPr>
          <w:rFonts w:ascii="仿宋_GB2312" w:eastAsia="仿宋_GB2312"/>
        </w:rPr>
      </w:pPr>
      <w:r>
        <w:rPr>
          <w:rFonts w:ascii="仿宋_GB2312" w:eastAsia="仿宋_GB2312"/>
        </w:rPr>
        <w:t>5、参加政府采购活动前三年内，在经营活动中没有重大违法记录；</w:t>
      </w:r>
    </w:p>
    <w:p>
      <w:pPr>
        <w:snapToGrid w:val="0"/>
        <w:spacing w:line="360" w:lineRule="auto"/>
        <w:ind w:firstLine="480" w:firstLineChars="200"/>
        <w:rPr>
          <w:rFonts w:ascii="仿宋_GB2312" w:eastAsia="仿宋_GB2312"/>
        </w:rPr>
      </w:pPr>
      <w:r>
        <w:rPr>
          <w:rFonts w:ascii="仿宋_GB2312" w:eastAsia="仿宋_GB2312"/>
        </w:rPr>
        <w:t>6、具有法律、行政法规规定的其他条件。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ascii="仿宋_GB2312" w:eastAsia="仿宋_GB2312" w:cs="仿宋_GB2312"/>
        </w:rPr>
        <w:t>1、单位负责人为同一人或者存在直接控股、管理关系的不同供应商参加同一合同项下的政府采购活动的；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ascii="仿宋_GB2312" w:eastAsia="仿宋_GB2312" w:cs="仿宋_GB2312"/>
        </w:rPr>
        <w:t>2、为采购项目提供整体设计、规范编制或者项目管理、监理、检测等服务后再参加该采购项目的其他采购活动的。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4"/>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4"/>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4"/>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w:t>
      </w:r>
      <w:r>
        <w:rPr>
          <w:rFonts w:ascii="仿宋_GB2312" w:eastAsia="仿宋_GB2312"/>
        </w:rPr>
        <w:t>8）商务技术偏离表</w:t>
      </w:r>
      <w:r>
        <w:rPr>
          <w:rFonts w:hint="eastAsia"/>
        </w:rPr>
        <w:t>……………………………………………………………（页码）</w:t>
      </w:r>
    </w:p>
    <w:p>
      <w:pPr>
        <w:spacing w:line="360" w:lineRule="auto"/>
      </w:pPr>
      <w:r>
        <w:rPr>
          <w:rFonts w:hint="eastAsia" w:ascii="仿宋_GB2312" w:eastAsia="仿宋_GB2312"/>
          <w:lang w:val="zh-CN"/>
        </w:rPr>
        <w:t>（</w:t>
      </w:r>
      <w:r>
        <w:rPr>
          <w:rFonts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4"/>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r>
        <w:t>2.2.7投标标的清单；</w:t>
      </w:r>
    </w:p>
    <w:p>
      <w:r>
        <w:t>2.2.8商务技术偏离表；</w:t>
      </w:r>
    </w:p>
    <w:p>
      <w:pPr>
        <w:rPr>
          <w:lang w:val="zh-CN"/>
        </w:rPr>
      </w:pPr>
      <w:r>
        <w:t>2</w:t>
      </w:r>
      <w:r>
        <w:rPr>
          <w:lang w:val="zh-CN"/>
        </w:rPr>
        <w:t>.</w:t>
      </w:r>
      <w:r>
        <w:t>2</w:t>
      </w:r>
      <w:r>
        <w:rPr>
          <w:lang w:val="zh-CN"/>
        </w:rPr>
        <w:t>.</w:t>
      </w:r>
      <w: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4"/>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8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83"/>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4"/>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w:t>
      </w:r>
      <w:r>
        <w:rPr>
          <w:lang w:val="zh-CN"/>
        </w:rPr>
        <w:t>6%的扣除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4"/>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w:t>
      </w:r>
      <w:r>
        <w:rPr>
          <w:lang w:val="zh-CN"/>
        </w:rPr>
        <w:t>6%的扣除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4"/>
      </w:pPr>
      <w:r>
        <w:br w:type="page"/>
      </w:r>
      <w:r>
        <w:rPr>
          <w:rFonts w:hint="eastAsia"/>
        </w:rPr>
        <w:t>五、符合性审查资料</w:t>
      </w:r>
    </w:p>
    <w:tbl>
      <w:tblPr>
        <w:tblStyle w:val="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4"/>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七、投标标的清单</w:t>
      </w:r>
    </w:p>
    <w:tbl>
      <w:tblPr>
        <w:tblStyle w:val="3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4"/>
      </w:pPr>
      <w:r>
        <w:rPr>
          <w:rFonts w:hint="eastAsia"/>
        </w:rPr>
        <w:t>八、商务技术偏离表</w:t>
      </w:r>
    </w:p>
    <w:tbl>
      <w:tblPr>
        <w:tblStyle w:val="30"/>
        <w:tblW w:w="9464" w:type="dxa"/>
        <w:tblInd w:w="-581" w:type="dxa"/>
        <w:tblLayout w:type="autofit"/>
        <w:tblCellMar>
          <w:top w:w="0" w:type="dxa"/>
          <w:left w:w="108" w:type="dxa"/>
          <w:bottom w:w="0" w:type="dxa"/>
          <w:right w:w="108" w:type="dxa"/>
        </w:tblCellMar>
      </w:tblPr>
      <w:tblGrid>
        <w:gridCol w:w="959"/>
        <w:gridCol w:w="3683"/>
        <w:gridCol w:w="3546"/>
        <w:gridCol w:w="1276"/>
      </w:tblGrid>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序号</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b/>
                <w:bCs/>
              </w:rPr>
            </w:pPr>
            <w:r>
              <w:rPr>
                <w:rFonts w:hint="eastAsia" w:ascii="仿宋_GB2312" w:eastAsia="仿宋_GB2312"/>
                <w:b/>
                <w:bCs/>
              </w:rPr>
              <w:t>偏离说明</w:t>
            </w: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rPr>
            </w:pPr>
            <w:r>
              <w:rPr>
                <w:rFonts w:ascii="仿宋_GB2312" w:eastAsia="仿宋_GB2312" w:cs="仿宋_GB2312"/>
              </w:rPr>
              <w:t>1</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rPr>
            </w:pPr>
            <w:r>
              <w:rPr>
                <w:rFonts w:ascii="仿宋_GB2312" w:eastAsia="仿宋_GB2312" w:cs="仿宋_GB2312"/>
              </w:rPr>
              <w:t>2</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r>
      <w:tr>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rPr>
            </w:pPr>
            <w:r>
              <w:rPr>
                <w:rFonts w:hint="eastAsia" w:ascii="仿宋_GB2312" w:eastAsia="仿宋_GB2312" w:cs="仿宋_GB2312"/>
              </w:rPr>
              <w:t>……</w:t>
            </w:r>
          </w:p>
        </w:tc>
        <w:tc>
          <w:tcPr>
            <w:tcW w:w="3683"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354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4"/>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8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4" w:type="default"/>
          <w:pgSz w:w="11906" w:h="16838"/>
          <w:pgMar w:top="1440" w:right="1700" w:bottom="1440" w:left="1800" w:header="851" w:footer="992" w:gutter="0"/>
          <w:cols w:space="425" w:num="1"/>
          <w:docGrid w:type="lines" w:linePitch="312" w:charSpace="0"/>
        </w:sectPr>
      </w:pPr>
    </w:p>
    <w:p>
      <w:pPr>
        <w:pStyle w:val="4"/>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jc w:val="center"/>
        <w:rPr>
          <w:b/>
          <w:lang w:val="zh-CN"/>
        </w:rPr>
      </w:pPr>
      <w:r>
        <w:rPr>
          <w:rFonts w:hint="eastAsia"/>
          <w:b/>
          <w:lang w:val="zh-CN"/>
        </w:rPr>
        <w:t>开标一览表（报价表）</w:t>
      </w:r>
      <w:r>
        <w:rPr>
          <w:b/>
          <w:lang w:val="zh-CN"/>
        </w:rPr>
        <w:t>(单位均为人民币元)</w:t>
      </w:r>
    </w:p>
    <w:tbl>
      <w:tblPr>
        <w:tblStyle w:val="3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r>
        <w:rPr>
          <w:lang w:val="zh-CN"/>
        </w:rPr>
        <w:t>2、有关本项目实施所涉及的一切费用均计入报价。</w:t>
      </w:r>
      <w:r>
        <w:rPr>
          <w:rFonts w:hint="eastAsia"/>
          <w:b/>
          <w:lang w:val="zh-CN"/>
        </w:rPr>
        <w:t>采购人将以合同形式有偿取得货物或服务，不接受投标人给予的赠品、回扣或者与采购无关的其他商品、服务</w:t>
      </w:r>
      <w:r>
        <w:rPr>
          <w:rFonts w:hint="eastAsia"/>
          <w:lang w:val="zh-CN"/>
        </w:rPr>
        <w:t>，</w:t>
      </w:r>
      <w:r>
        <w:rPr>
          <w:rFonts w:hint="eastAsia"/>
          <w:b/>
          <w:lang w:val="zh-CN"/>
        </w:rPr>
        <w:t>不得出现“</w:t>
      </w:r>
      <w:r>
        <w:rPr>
          <w:b/>
          <w:lang w:val="zh-CN"/>
        </w:rPr>
        <w:t>0元”“免费赠送”等形式的无偿报价</w:t>
      </w:r>
      <w:r>
        <w:rPr>
          <w:rFonts w:hint="eastAsia"/>
          <w:b/>
          <w:lang w:val="zh-CN"/>
        </w:rPr>
        <w:t>，</w:t>
      </w:r>
      <w:r>
        <w:rPr>
          <w:rFonts w:hint="eastAsia"/>
          <w:b/>
        </w:rPr>
        <w:t>否则视为投标文件含有采购人不能接受的附加条件的，投标无效</w:t>
      </w:r>
      <w:r>
        <w:rPr>
          <w:rFonts w:hint="eastAsia"/>
          <w:b/>
          <w:lang w:val="zh-CN"/>
        </w:rPr>
        <w:t>；采购内容未包含在《开标一览表（报价表）》名称栏中，投标人不能作出合理解释的，</w:t>
      </w:r>
      <w:r>
        <w:rPr>
          <w:rFonts w:hint="eastAsia"/>
          <w:b/>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4"/>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ascii="仿宋_GB2312" w:eastAsia="仿宋_GB2312" w:cs="仿宋_GB2312"/>
          <w:b/>
        </w:rPr>
      </w:pPr>
      <w:r>
        <w:rPr>
          <w:rFonts w:ascii="仿宋_GB2312" w:eastAsia="仿宋_GB2312" w:cs="仿宋_GB2312"/>
          <w:b/>
        </w:rPr>
        <w:br w:type="page"/>
      </w:r>
    </w:p>
    <w:p>
      <w:pPr>
        <w:pStyle w:val="4"/>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w:t>
      </w:r>
      <w:r>
        <w:t>e融平台申请融资</w:t>
      </w:r>
    </w:p>
    <w:p>
      <w:pPr>
        <w:rPr>
          <w:b/>
          <w:bCs/>
        </w:rPr>
      </w:pPr>
      <w:r>
        <w:rPr>
          <w:rFonts w:hint="eastAsia"/>
        </w:rPr>
        <w:t>供应商通过杭州</w:t>
      </w:r>
      <w:r>
        <w:t>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8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3"/>
      </w:pPr>
      <w:bookmarkStart w:id="367" w:name="_Toc465665161"/>
      <w:r>
        <w:rPr>
          <w:rFonts w:hint="eastAsia"/>
        </w:rPr>
        <w:t>附件</w:t>
      </w:r>
      <w:bookmarkEnd w:id="367"/>
    </w:p>
    <w:p>
      <w:pPr>
        <w:pStyle w:val="4"/>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368" w:name="OLE_LINK13"/>
      <w:bookmarkStart w:id="369" w:name="OLE_LINK14"/>
      <w:r>
        <w:rPr>
          <w:rFonts w:hint="eastAsia" w:ascii="仿宋_GB2312" w:eastAsia="仿宋_GB2312"/>
          <w:b/>
          <w:spacing w:val="6"/>
          <w:sz w:val="32"/>
          <w:szCs w:val="32"/>
        </w:rPr>
        <w:t>残疾人福利性单位声明函</w:t>
      </w:r>
    </w:p>
    <w:bookmarkEnd w:id="368"/>
    <w:bookmarkEnd w:id="369"/>
    <w:p>
      <w:pPr>
        <w:spacing w:line="360" w:lineRule="auto"/>
        <w:rPr>
          <w:rFonts w:ascii="仿宋_GB2312" w:eastAsia="仿宋_GB2312"/>
          <w:b/>
          <w:spacing w:val="6"/>
          <w:sz w:val="30"/>
          <w:szCs w:val="30"/>
        </w:rPr>
      </w:pPr>
    </w:p>
    <w:p>
      <w:pPr>
        <w:pStyle w:val="72"/>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72"/>
      </w:pPr>
      <w:r>
        <w:rPr>
          <w:rFonts w:hint="eastAsia"/>
        </w:rPr>
        <w:t>本单位对上述声明的真实性负责。如有虚假，将依法承担相应责任。</w:t>
      </w:r>
    </w:p>
    <w:p>
      <w:pPr>
        <w:pStyle w:val="72"/>
      </w:pPr>
    </w:p>
    <w:p>
      <w:pPr>
        <w:pStyle w:val="72"/>
      </w:pPr>
    </w:p>
    <w:p>
      <w:pPr>
        <w:pStyle w:val="72"/>
        <w:jc w:val="right"/>
      </w:pPr>
      <w:r>
        <w:rPr>
          <w:rFonts w:hint="eastAsia"/>
        </w:rPr>
        <w:t>投标人名称（电子签名）：</w:t>
      </w:r>
    </w:p>
    <w:p>
      <w:pPr>
        <w:pStyle w:val="72"/>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4"/>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72"/>
      </w:pPr>
      <w:r>
        <w:rPr>
          <w:rFonts w:hint="eastAsia"/>
        </w:rPr>
        <w:t>一、质疑供应商基本信息</w:t>
      </w:r>
    </w:p>
    <w:p>
      <w:pPr>
        <w:pStyle w:val="72"/>
        <w:rPr>
          <w:u w:val="dotted"/>
        </w:rPr>
      </w:pPr>
      <w:r>
        <w:rPr>
          <w:rFonts w:hint="eastAsia"/>
        </w:rPr>
        <w:t>质疑供应商：</w:t>
      </w:r>
      <w:r>
        <w:rPr>
          <w:u w:val="dotted"/>
        </w:rPr>
        <w:t xml:space="preserve">                                        </w:t>
      </w:r>
    </w:p>
    <w:p>
      <w:pPr>
        <w:pStyle w:val="72"/>
      </w:pPr>
      <w:r>
        <w:rPr>
          <w:rFonts w:hint="eastAsia"/>
        </w:rPr>
        <w:t>地址：</w:t>
      </w:r>
      <w:r>
        <w:rPr>
          <w:u w:val="dotted"/>
        </w:rPr>
        <w:t xml:space="preserve">                          </w:t>
      </w:r>
      <w:r>
        <w:rPr>
          <w:rFonts w:hint="eastAsia"/>
        </w:rPr>
        <w:t>邮编：</w:t>
      </w:r>
      <w:r>
        <w:rPr>
          <w:u w:val="dotted"/>
        </w:rPr>
        <w:t xml:space="preserve">                                                   </w:t>
      </w:r>
    </w:p>
    <w:p>
      <w:pPr>
        <w:pStyle w:val="72"/>
      </w:pPr>
      <w:r>
        <w:rPr>
          <w:rFonts w:hint="eastAsia"/>
        </w:rPr>
        <w:t>联系人：</w:t>
      </w:r>
      <w:r>
        <w:rPr>
          <w:u w:val="dotted"/>
        </w:rPr>
        <w:t xml:space="preserve">                      </w:t>
      </w:r>
      <w:r>
        <w:rPr>
          <w:rFonts w:hint="eastAsia"/>
        </w:rPr>
        <w:t>联系电话：</w:t>
      </w:r>
      <w:r>
        <w:rPr>
          <w:u w:val="dotted"/>
        </w:rPr>
        <w:t xml:space="preserve">                              </w:t>
      </w:r>
    </w:p>
    <w:p>
      <w:pPr>
        <w:pStyle w:val="72"/>
        <w:rPr>
          <w:u w:val="dotted"/>
        </w:rPr>
      </w:pPr>
      <w:r>
        <w:rPr>
          <w:rFonts w:hint="eastAsia"/>
        </w:rPr>
        <w:t>授权代表：</w:t>
      </w:r>
      <w:r>
        <w:rPr>
          <w:u w:val="dotted"/>
        </w:rPr>
        <w:t xml:space="preserve">                                          </w:t>
      </w:r>
    </w:p>
    <w:p>
      <w:pPr>
        <w:pStyle w:val="72"/>
      </w:pPr>
      <w:r>
        <w:rPr>
          <w:rFonts w:hint="eastAsia"/>
        </w:rPr>
        <w:t>联系电话：</w:t>
      </w:r>
      <w:r>
        <w:rPr>
          <w:u w:val="dotted"/>
        </w:rPr>
        <w:t xml:space="preserve">                                           </w:t>
      </w:r>
      <w:r>
        <w:t xml:space="preserve"> </w:t>
      </w:r>
    </w:p>
    <w:p>
      <w:pPr>
        <w:pStyle w:val="72"/>
      </w:pPr>
      <w:r>
        <w:rPr>
          <w:rFonts w:hint="eastAsia"/>
        </w:rPr>
        <w:t>地址：</w:t>
      </w:r>
      <w:r>
        <w:t xml:space="preserve"> </w:t>
      </w:r>
      <w:r>
        <w:rPr>
          <w:u w:val="dotted"/>
        </w:rPr>
        <w:t xml:space="preserve">                        </w:t>
      </w:r>
      <w:r>
        <w:rPr>
          <w:rFonts w:hint="eastAsia"/>
        </w:rPr>
        <w:t>邮编：</w:t>
      </w:r>
      <w:r>
        <w:rPr>
          <w:u w:val="dotted"/>
        </w:rPr>
        <w:t xml:space="preserve">                                                </w:t>
      </w:r>
    </w:p>
    <w:p>
      <w:pPr>
        <w:pStyle w:val="72"/>
      </w:pPr>
      <w:r>
        <w:rPr>
          <w:rFonts w:hint="eastAsia"/>
        </w:rPr>
        <w:t>二、质疑项目基本情况</w:t>
      </w:r>
    </w:p>
    <w:p>
      <w:pPr>
        <w:pStyle w:val="72"/>
      </w:pPr>
      <w:r>
        <w:rPr>
          <w:rFonts w:hint="eastAsia"/>
        </w:rPr>
        <w:t>质疑项目的名称：</w:t>
      </w:r>
      <w:r>
        <w:rPr>
          <w:u w:val="dotted"/>
        </w:rPr>
        <w:t xml:space="preserve">                                      </w:t>
      </w:r>
    </w:p>
    <w:p>
      <w:pPr>
        <w:pStyle w:val="72"/>
      </w:pPr>
      <w:r>
        <w:rPr>
          <w:rFonts w:hint="eastAsia"/>
        </w:rPr>
        <w:t>质疑项目的编号：</w:t>
      </w:r>
      <w:r>
        <w:rPr>
          <w:u w:val="dotted"/>
        </w:rPr>
        <w:t xml:space="preserve">               </w:t>
      </w:r>
      <w:r>
        <w:rPr>
          <w:rFonts w:hint="eastAsia"/>
        </w:rPr>
        <w:t>包号：</w:t>
      </w:r>
      <w:r>
        <w:rPr>
          <w:u w:val="dotted"/>
        </w:rPr>
        <w:t xml:space="preserve">                 </w:t>
      </w:r>
    </w:p>
    <w:p>
      <w:pPr>
        <w:pStyle w:val="72"/>
        <w:rPr>
          <w:u w:val="dotted"/>
        </w:rPr>
      </w:pPr>
      <w:r>
        <w:rPr>
          <w:rFonts w:hint="eastAsia"/>
        </w:rPr>
        <w:t>采购人名称：</w:t>
      </w:r>
      <w:r>
        <w:rPr>
          <w:u w:val="dotted"/>
        </w:rPr>
        <w:t xml:space="preserve">                                         </w:t>
      </w:r>
    </w:p>
    <w:p>
      <w:pPr>
        <w:pStyle w:val="72"/>
      </w:pPr>
      <w:r>
        <w:rPr>
          <w:rFonts w:hint="eastAsia"/>
        </w:rPr>
        <w:t>采购文件获取日期：</w:t>
      </w:r>
      <w:r>
        <w:rPr>
          <w:u w:val="dotted"/>
        </w:rPr>
        <w:t xml:space="preserve">                                           </w:t>
      </w:r>
    </w:p>
    <w:p>
      <w:pPr>
        <w:pStyle w:val="72"/>
      </w:pPr>
      <w:r>
        <w:rPr>
          <w:rFonts w:hint="eastAsia"/>
        </w:rPr>
        <w:t>三、质疑事项具体内容</w:t>
      </w:r>
    </w:p>
    <w:p>
      <w:pPr>
        <w:pStyle w:val="72"/>
        <w:rPr>
          <w:u w:val="dotted"/>
        </w:rPr>
      </w:pPr>
      <w:r>
        <w:rPr>
          <w:rFonts w:hint="eastAsia"/>
        </w:rPr>
        <w:t>质疑事项</w:t>
      </w:r>
      <w:r>
        <w:t>1：</w:t>
      </w:r>
      <w:r>
        <w:rPr>
          <w:u w:val="dotted"/>
        </w:rPr>
        <w:t xml:space="preserve">                                         </w:t>
      </w:r>
    </w:p>
    <w:p>
      <w:pPr>
        <w:pStyle w:val="72"/>
        <w:rPr>
          <w:u w:val="dotted"/>
        </w:rPr>
      </w:pPr>
      <w:r>
        <w:rPr>
          <w:rFonts w:hint="eastAsia"/>
        </w:rPr>
        <w:t>事实依据：</w:t>
      </w:r>
      <w:r>
        <w:rPr>
          <w:u w:val="dotted"/>
        </w:rPr>
        <w:t xml:space="preserve">                                          </w:t>
      </w:r>
    </w:p>
    <w:p>
      <w:pPr>
        <w:pStyle w:val="72"/>
      </w:pPr>
      <w:r>
        <w:rPr>
          <w:u w:val="dotted"/>
        </w:rPr>
        <w:t xml:space="preserve">                                                       </w:t>
      </w:r>
    </w:p>
    <w:p>
      <w:pPr>
        <w:pStyle w:val="72"/>
        <w:rPr>
          <w:u w:val="dotted"/>
        </w:rPr>
      </w:pPr>
      <w:r>
        <w:rPr>
          <w:rFonts w:hint="eastAsia"/>
        </w:rPr>
        <w:t>法律依据：</w:t>
      </w:r>
      <w:r>
        <w:rPr>
          <w:u w:val="dotted"/>
        </w:rPr>
        <w:t xml:space="preserve">                                          </w:t>
      </w:r>
    </w:p>
    <w:p>
      <w:pPr>
        <w:pStyle w:val="72"/>
        <w:rPr>
          <w:u w:val="dotted"/>
        </w:rPr>
      </w:pPr>
      <w:r>
        <w:rPr>
          <w:u w:val="dotted"/>
        </w:rPr>
        <w:t xml:space="preserve">                                                     </w:t>
      </w:r>
    </w:p>
    <w:p>
      <w:pPr>
        <w:pStyle w:val="72"/>
        <w:rPr>
          <w:u w:val="dotted"/>
        </w:rPr>
      </w:pPr>
      <w:r>
        <w:rPr>
          <w:rFonts w:hint="eastAsia"/>
        </w:rPr>
        <w:t>质疑事项</w:t>
      </w:r>
      <w:r>
        <w:t>2</w:t>
      </w:r>
    </w:p>
    <w:p>
      <w:pPr>
        <w:pStyle w:val="72"/>
      </w:pPr>
      <w:r>
        <w:rPr>
          <w:rFonts w:hint="eastAsia"/>
        </w:rPr>
        <w:t>……</w:t>
      </w:r>
    </w:p>
    <w:p>
      <w:pPr>
        <w:pStyle w:val="72"/>
      </w:pPr>
      <w:r>
        <w:rPr>
          <w:rFonts w:hint="eastAsia"/>
        </w:rPr>
        <w:t>四、与质疑事项相关的质疑请求</w:t>
      </w:r>
    </w:p>
    <w:p>
      <w:pPr>
        <w:pStyle w:val="72"/>
        <w:rPr>
          <w:u w:val="dotted"/>
        </w:rPr>
      </w:pPr>
      <w:r>
        <w:rPr>
          <w:rFonts w:hint="eastAsia"/>
        </w:rPr>
        <w:t>请求：</w:t>
      </w:r>
      <w:r>
        <w:rPr>
          <w:u w:val="dotted"/>
        </w:rPr>
        <w:t xml:space="preserve">                                               </w:t>
      </w:r>
    </w:p>
    <w:p>
      <w:pPr>
        <w:pStyle w:val="72"/>
      </w:pPr>
      <w:r>
        <w:rPr>
          <w:rFonts w:hint="eastAsia"/>
        </w:rPr>
        <w:t>签字</w:t>
      </w:r>
      <w:r>
        <w:t xml:space="preserve">(签章)：                   公章：                      </w:t>
      </w:r>
    </w:p>
    <w:p>
      <w:pPr>
        <w:pStyle w:val="72"/>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72"/>
      </w:pPr>
      <w:r>
        <w:t>1.供应商提出质疑时，应提交质疑函和必要的证明材料。</w:t>
      </w:r>
    </w:p>
    <w:p>
      <w:pPr>
        <w:pStyle w:val="72"/>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72"/>
      </w:pPr>
      <w:r>
        <w:t>3.质疑供应商若对项目的某一分包进行质疑，质疑函中应列明具体分包号。</w:t>
      </w:r>
    </w:p>
    <w:p>
      <w:pPr>
        <w:pStyle w:val="72"/>
      </w:pPr>
      <w:r>
        <w:t>4.质疑函的质疑事项应具体、明确，并有必要的事实依据和法律依据。</w:t>
      </w:r>
    </w:p>
    <w:p>
      <w:pPr>
        <w:pStyle w:val="72"/>
      </w:pPr>
      <w:r>
        <w:t>5.质疑函的质疑请求应与质疑事项相关。</w:t>
      </w:r>
    </w:p>
    <w:p>
      <w:pPr>
        <w:pStyle w:val="72"/>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4"/>
        <w:jc w:val="left"/>
      </w:pPr>
    </w:p>
    <w:p>
      <w:pPr>
        <w:pStyle w:val="4"/>
        <w:jc w:val="left"/>
      </w:pPr>
    </w:p>
    <w:p>
      <w:pPr>
        <w:pStyle w:val="4"/>
        <w:jc w:val="left"/>
      </w:pPr>
    </w:p>
    <w:p>
      <w:pPr>
        <w:pStyle w:val="4"/>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4"/>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4"/>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rPr>
      </w:pPr>
      <w:r>
        <w:rPr>
          <w:rFonts w:hint="eastAsia" w:ascii="仿宋_GB2312" w:eastAsia="仿宋_GB2312" w:cs="仿宋_GB2312"/>
        </w:rPr>
        <w:t>注：</w:t>
      </w:r>
      <w:r>
        <w:rPr>
          <w:rFonts w:ascii="仿宋_GB2312" w:eastAsia="仿宋_GB2312" w:cs="仿宋_GB2312"/>
        </w:rPr>
        <w:t>1、填写要求：①“</w:t>
      </w:r>
      <w:r>
        <w:rPr>
          <w:rFonts w:hint="eastAsia" w:ascii="仿宋_GB2312" w:hAnsi="宋体" w:eastAsia="仿宋_GB2312"/>
        </w:rPr>
        <w:t>标的名称”、“采购文件中明确的所属行业”</w:t>
      </w:r>
      <w:r>
        <w:rPr>
          <w:rFonts w:hint="eastAsia" w:ascii="仿宋_GB2312" w:eastAsia="仿宋_GB2312" w:cs="仿宋_GB2312"/>
        </w:rPr>
        <w:t>依据招标文件第二部分投标人须知前附表中“采购标的对应的中小企业划分标准所属行业”填写，不得缺漏；②</w:t>
      </w:r>
      <w:r>
        <w:rPr>
          <w:rFonts w:hint="eastAsia" w:ascii="仿宋_GB2312" w:hAnsi="宋体" w:eastAsia="仿宋_GB2312"/>
        </w:rPr>
        <w:t>从业人员、营业收入、资产总额填报上一年度数据，无上一年度数据的新成立企业可不填报；</w:t>
      </w:r>
      <w:r>
        <w:rPr>
          <w:rFonts w:hint="eastAsia" w:ascii="仿宋_GB2312" w:eastAsia="仿宋_GB2312" w:cs="仿宋_GB2312"/>
        </w:rPr>
        <w:t>③</w:t>
      </w:r>
      <w:r>
        <w:rPr>
          <w:rFonts w:hint="eastAsia" w:ascii="仿宋_GB2312" w:hAnsi="宋体" w:eastAsia="仿宋_GB2312"/>
        </w:rPr>
        <w:t>中型企业、小型企业、微型企业等</w:t>
      </w:r>
      <w:r>
        <w:rPr>
          <w:rFonts w:ascii="仿宋_GB2312" w:hAnsi="宋体" w:eastAsia="仿宋_GB2312"/>
        </w:rPr>
        <w:t>3种企业类型，结合以上数据，依据《中小企业划型标准规</w:t>
      </w:r>
      <w:r>
        <w:rPr>
          <w:rFonts w:hint="eastAsia" w:ascii="仿宋_GB2312" w:hAnsi="宋体" w:eastAsia="仿宋_GB2312"/>
        </w:rPr>
        <w:t>定》（工信部联企业〔</w:t>
      </w:r>
      <w:r>
        <w:rPr>
          <w:rFonts w:ascii="仿宋_GB2312" w:hAnsi="宋体" w:eastAsia="仿宋_GB2312"/>
        </w:rPr>
        <w:t>2011〕300号）确定</w:t>
      </w:r>
      <w:r>
        <w:rPr>
          <w:rFonts w:hint="eastAsia" w:ascii="仿宋_GB2312" w:eastAsia="仿宋_GB2312" w:cs="仿宋_GB2312"/>
        </w:rPr>
        <w:t>；④</w:t>
      </w:r>
      <w:r>
        <w:rPr>
          <w:rFonts w:hint="eastAsia" w:ascii="仿宋_GB2312" w:eastAsia="仿宋_GB2312"/>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ascii="仿宋_GB2312" w:eastAsia="仿宋_GB2312" w:cs="仿宋_GB2312"/>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rPr>
      </w:pPr>
      <w:r>
        <w:rPr>
          <w:rFonts w:ascii="仿宋_GB2312" w:eastAsia="仿宋_GB2312" w:cs="仿宋_GB2312"/>
        </w:rPr>
        <w:t>1、填写要求：①“</w:t>
      </w:r>
      <w:r>
        <w:rPr>
          <w:rFonts w:hint="eastAsia" w:ascii="仿宋_GB2312" w:hAnsi="宋体" w:eastAsia="仿宋_GB2312"/>
        </w:rPr>
        <w:t>标的名称”、“采购文件中明确的所属行业”</w:t>
      </w:r>
      <w:r>
        <w:rPr>
          <w:rFonts w:hint="eastAsia" w:ascii="仿宋_GB2312" w:eastAsia="仿宋_GB2312" w:cs="仿宋_GB2312"/>
        </w:rPr>
        <w:t>依据招标文件第二部分投标人须知前附表中“采购标的对应的中小企业划分标准所属行业”填写，不得缺漏；②</w:t>
      </w:r>
      <w:r>
        <w:rPr>
          <w:rFonts w:hint="eastAsia" w:ascii="仿宋_GB2312" w:hAnsi="宋体" w:eastAsia="仿宋_GB2312"/>
        </w:rPr>
        <w:t>从业人员、营业收入、资产总额填报上一年度数据，无上一年度数据的新成立企业可不填报；</w:t>
      </w:r>
      <w:r>
        <w:rPr>
          <w:rFonts w:hint="eastAsia" w:ascii="仿宋_GB2312" w:eastAsia="仿宋_GB2312" w:cs="仿宋_GB2312"/>
        </w:rPr>
        <w:t>③</w:t>
      </w:r>
      <w:r>
        <w:rPr>
          <w:rFonts w:hint="eastAsia" w:ascii="仿宋_GB2312" w:hAnsi="宋体" w:eastAsia="仿宋_GB2312"/>
        </w:rPr>
        <w:t>中型企业、小型企业、微型企业等</w:t>
      </w:r>
      <w:r>
        <w:rPr>
          <w:rFonts w:ascii="仿宋_GB2312" w:hAnsi="宋体" w:eastAsia="仿宋_GB2312"/>
        </w:rPr>
        <w:t>3种企业类型，结合以上数据，依据《中小企业划型标准规定》（工信部联企业〔2011〕300号）确定</w:t>
      </w:r>
      <w:r>
        <w:rPr>
          <w:rFonts w:hint="eastAsia" w:ascii="仿宋_GB2312" w:eastAsia="仿宋_GB2312" w:cs="仿宋_GB2312"/>
        </w:rPr>
        <w:t>；④</w:t>
      </w:r>
      <w:r>
        <w:rPr>
          <w:rFonts w:hint="eastAsia" w:ascii="仿宋_GB2312" w:eastAsia="仿宋_GB2312"/>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ascii="仿宋_GB2312" w:eastAsia="仿宋_GB2312" w:cs="仿宋_GB2312"/>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4"/>
        <w:jc w:val="left"/>
        <w:rPr>
          <w:rFonts w:cs="仿宋_GB2312"/>
          <w:sz w:val="24"/>
        </w:rPr>
      </w:pPr>
      <w:r>
        <w:rPr>
          <w:rFonts w:hint="eastAsia"/>
        </w:rPr>
        <w:t>附件</w:t>
      </w:r>
      <w:r>
        <w:t>6样品（演示）授权委托书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rPr>
      </w:pPr>
      <w:r>
        <w:rPr>
          <w:rFonts w:cs="仿宋_GB2312"/>
        </w:rPr>
        <w:t>XXX（单位名称或采购机构名称）</w:t>
      </w:r>
      <w:r>
        <w:rPr>
          <w:rFonts w:hint="eastAsia" w:cs="仿宋"/>
          <w:lang w:val="zh-CN"/>
        </w:rPr>
        <w:t>：</w:t>
      </w:r>
    </w:p>
    <w:p>
      <w:pPr>
        <w:snapToGrid w:val="0"/>
        <w:spacing w:line="360" w:lineRule="auto"/>
        <w:ind w:left="290" w:leftChars="121" w:firstLine="480" w:firstLineChars="200"/>
        <w:rPr>
          <w:rFonts w:cs="仿宋"/>
          <w:u w:val="single"/>
          <w:lang w:val="zh-CN"/>
        </w:rPr>
      </w:pPr>
      <w:r>
        <w:rPr>
          <w:rFonts w:hint="eastAsia" w:cs="仿宋"/>
          <w:lang w:val="zh-CN"/>
        </w:rPr>
        <w:t>兹委派</w:t>
      </w:r>
      <w:r>
        <w:rPr>
          <w:rFonts w:cs="仿宋"/>
          <w:u w:val="single"/>
          <w:lang w:val="zh-CN"/>
        </w:rPr>
        <w:t xml:space="preserve">                </w:t>
      </w:r>
      <w:r>
        <w:rPr>
          <w:rFonts w:hint="eastAsia" w:cs="仿宋"/>
          <w:lang w:val="zh-CN"/>
        </w:rPr>
        <w:t>先生</w:t>
      </w:r>
      <w:r>
        <w:rPr>
          <w:rFonts w:cs="仿宋"/>
          <w:lang w:val="zh-CN"/>
        </w:rPr>
        <w:t>/女士，身份证号：</w:t>
      </w:r>
      <w:r>
        <w:rPr>
          <w:rFonts w:cs="仿宋"/>
          <w:u w:val="single"/>
          <w:lang w:val="zh-CN"/>
        </w:rPr>
        <w:t xml:space="preserve">                   </w:t>
      </w:r>
    </w:p>
    <w:p>
      <w:pPr>
        <w:snapToGrid w:val="0"/>
        <w:spacing w:line="360" w:lineRule="auto"/>
        <w:ind w:left="290" w:leftChars="121" w:firstLine="480" w:firstLineChars="200"/>
        <w:rPr>
          <w:rFonts w:cs="仿宋"/>
        </w:rPr>
      </w:pPr>
      <w:r>
        <w:rPr>
          <w:rFonts w:hint="eastAsia" w:cs="仿宋"/>
          <w:lang w:val="zh-CN"/>
        </w:rPr>
        <w:t>手机：</w:t>
      </w:r>
      <w:r>
        <w:rPr>
          <w:rFonts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】（标项号：</w:t>
      </w:r>
      <w:r>
        <w:rPr>
          <w:rFonts w:cs="仿宋"/>
          <w:lang w:val="zh-CN"/>
        </w:rPr>
        <w:t xml:space="preserve">  </w:t>
      </w:r>
      <w:r>
        <w:rPr>
          <w:rFonts w:hint="eastAsia" w:cs="仿宋"/>
          <w:lang w:val="zh-CN"/>
        </w:rPr>
        <w:t>）投标样品或参加演示，并全权负责标后取回样品等其他处理事宜。</w:t>
      </w:r>
    </w:p>
    <w:p>
      <w:pPr>
        <w:snapToGrid w:val="0"/>
        <w:spacing w:line="360" w:lineRule="auto"/>
        <w:rPr>
          <w:rFonts w:cs="仿宋"/>
          <w:lang w:val="zh-CN"/>
        </w:rPr>
      </w:pPr>
      <w:r>
        <w:rPr>
          <w:rFonts w:cs="仿宋"/>
          <w:lang w:val="zh-CN"/>
        </w:rPr>
        <w:t xml:space="preserve">  </w:t>
      </w:r>
    </w:p>
    <w:p>
      <w:pPr>
        <w:snapToGrid w:val="0"/>
        <w:spacing w:line="360" w:lineRule="auto"/>
        <w:rPr>
          <w:rFonts w:cs="仿宋"/>
        </w:rPr>
      </w:pPr>
      <w:r>
        <w:rPr>
          <w:rFonts w:cs="仿宋"/>
          <w:lang w:val="zh-CN"/>
        </w:rPr>
        <w:t xml:space="preserve">    特此告知。</w:t>
      </w:r>
    </w:p>
    <w:p>
      <w:pPr>
        <w:snapToGrid w:val="0"/>
        <w:spacing w:line="360" w:lineRule="auto"/>
        <w:rPr>
          <w:rFonts w:cs="仿宋"/>
        </w:rPr>
      </w:pPr>
      <w:r>
        <w:rPr>
          <w:rFonts w:cs="仿宋"/>
          <w:lang w:val="zh-CN"/>
        </w:rPr>
        <w:t xml:space="preserve">                                                  投标人名称(公章)：</w:t>
      </w:r>
    </w:p>
    <w:p>
      <w:pPr>
        <w:snapToGrid w:val="0"/>
        <w:spacing w:line="360" w:lineRule="auto"/>
        <w:rPr>
          <w:rFonts w:cs="仿宋"/>
        </w:rPr>
      </w:pPr>
      <w:r>
        <w:rPr>
          <w:rFonts w:cs="仿宋"/>
          <w:lang w:val="zh-CN"/>
        </w:rPr>
        <w:t xml:space="preserve">                                                  </w:t>
      </w:r>
    </w:p>
    <w:p>
      <w:pPr>
        <w:snapToGrid w:val="0"/>
        <w:spacing w:line="360" w:lineRule="auto"/>
        <w:ind w:right="240"/>
        <w:jc w:val="right"/>
        <w:rPr>
          <w:rFonts w:cs="仿宋"/>
          <w:lang w:val="zh-CN"/>
        </w:rPr>
      </w:pPr>
      <w:r>
        <w:rPr>
          <w:rFonts w:hint="eastAsia" w:cs="仿宋"/>
          <w:lang w:val="zh-CN"/>
        </w:rPr>
        <w:t>签发日期：</w:t>
      </w:r>
      <w:r>
        <w:rPr>
          <w:rFonts w:cs="仿宋"/>
          <w:lang w:val="zh-CN"/>
        </w:rPr>
        <w:t xml:space="preserve">  </w:t>
      </w:r>
      <w:r>
        <w:rPr>
          <w:rFonts w:hint="eastAsia" w:cs="仿宋"/>
          <w:lang w:val="zh-CN"/>
        </w:rPr>
        <w:t>年</w:t>
      </w:r>
      <w:r>
        <w:rPr>
          <w:rFonts w:cs="仿宋"/>
          <w:lang w:val="zh-CN"/>
        </w:rPr>
        <w:t xml:space="preserve">  </w:t>
      </w:r>
      <w:r>
        <w:rPr>
          <w:rFonts w:hint="eastAsia" w:cs="仿宋"/>
          <w:lang w:val="zh-CN"/>
        </w:rPr>
        <w:t>月</w:t>
      </w:r>
      <w:r>
        <w:rPr>
          <w:rFonts w:cs="仿宋"/>
          <w:lang w:val="zh-CN"/>
        </w:rPr>
        <w:t xml:space="preserve">   </w:t>
      </w:r>
      <w:r>
        <w:rPr>
          <w:rFonts w:hint="eastAsia" w:cs="仿宋"/>
          <w:lang w:val="zh-CN"/>
        </w:rPr>
        <w:t>日</w:t>
      </w:r>
    </w:p>
    <w:p>
      <w:pPr>
        <w:snapToGrid w:val="0"/>
        <w:spacing w:line="360" w:lineRule="auto"/>
        <w:ind w:right="240"/>
        <w:jc w:val="right"/>
        <w:rPr>
          <w:rFonts w:cs="仿宋"/>
          <w:lang w:val="zh-CN"/>
        </w:rPr>
      </w:pPr>
    </w:p>
    <w:p>
      <w:pPr>
        <w:snapToGrid w:val="0"/>
        <w:spacing w:line="360" w:lineRule="auto"/>
        <w:ind w:right="1920"/>
        <w:rPr>
          <w:rFonts w:cs="仿宋"/>
          <w:lang w:val="zh-CN"/>
        </w:rPr>
      </w:pPr>
    </w:p>
    <w:p>
      <w:pPr>
        <w:snapToGrid w:val="0"/>
        <w:spacing w:line="360" w:lineRule="auto"/>
        <w:ind w:right="240"/>
        <w:jc w:val="right"/>
        <w:rPr>
          <w:rFonts w:cs="仿宋"/>
          <w:lang w:val="zh-CN"/>
        </w:rPr>
      </w:pPr>
    </w:p>
    <w:p>
      <w:pPr>
        <w:snapToGrid w:val="0"/>
        <w:spacing w:line="360" w:lineRule="auto"/>
        <w:ind w:right="240"/>
        <w:rPr>
          <w:rFonts w:cs="仿宋"/>
          <w:lang w:val="zh-CN"/>
        </w:rPr>
      </w:pPr>
      <w:r>
        <w:rPr>
          <w:rFonts w:hint="eastAsia" w:cs="仿宋"/>
        </w:rPr>
        <w:t>受委托人</w:t>
      </w:r>
      <w:r>
        <w:rPr>
          <w:rFonts w:hint="eastAsia" w:cs="仿宋"/>
          <w:lang w:val="zh-CN"/>
        </w:rPr>
        <w:t>身份证复印件：</w:t>
      </w:r>
    </w:p>
    <w:p>
      <w:pPr>
        <w:snapToGrid w:val="0"/>
        <w:spacing w:line="360" w:lineRule="auto"/>
        <w:ind w:right="240"/>
        <w:rPr>
          <w:rFonts w:cs="仿宋"/>
          <w:lang w:val="zh-CN"/>
        </w:rPr>
      </w:pPr>
    </w:p>
    <w:p>
      <w:pPr>
        <w:snapToGrid w:val="0"/>
        <w:spacing w:line="360" w:lineRule="auto"/>
        <w:ind w:right="240"/>
        <w:rPr>
          <w:rFonts w:cs="仿宋"/>
          <w:lang w:val="zh-CN"/>
        </w:rPr>
      </w:pPr>
      <w:r>
        <w:rPr>
          <w:rFonts w:hint="eastAsia" w:cs="仿宋"/>
          <w:lang w:val="zh-CN"/>
        </w:rPr>
        <w:t>说明：本委托书在有样品或演示时由受委托人携带至指定地点。</w:t>
      </w:r>
    </w:p>
    <w:p>
      <w:pPr>
        <w:spacing w:line="360" w:lineRule="auto"/>
        <w:rPr>
          <w:rFonts w:cs="仿宋_GB2312"/>
          <w:b/>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p>
      <w:pPr>
        <w:spacing w:line="300" w:lineRule="exact"/>
        <w:rPr>
          <w:rFonts w:ascii="仿宋_GB2312" w:eastAsia="仿宋_GB2312" w:cs="仿宋_GB2312"/>
        </w:rPr>
      </w:pPr>
    </w:p>
    <w:sectPr>
      <w:headerReference r:id="rId5" w:type="default"/>
      <w:footerReference r:id="rId6" w:type="default"/>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Segoe UI">
    <w:panose1 w:val="020B0502040204020203"/>
    <w:charset w:val="00"/>
    <w:family w:val="swiss"/>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仿宋_GB2312" w:eastAsia="仿宋_GB2312"/>
      </w:rP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98</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98</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7B7D5"/>
    <w:multiLevelType w:val="singleLevel"/>
    <w:tmpl w:val="22F7B7D5"/>
    <w:lvl w:ilvl="0" w:tentative="0">
      <w:start w:val="9"/>
      <w:numFmt w:val="chineseCounting"/>
      <w:suff w:val="nothing"/>
      <w:lvlText w:val="%1、"/>
      <w:lvlJc w:val="left"/>
      <w:rPr>
        <w:rFonts w:hint="eastAsia"/>
      </w:r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B817DA"/>
    <w:multiLevelType w:val="multilevel"/>
    <w:tmpl w:val="31B817D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EC48E9"/>
    <w:multiLevelType w:val="singleLevel"/>
    <w:tmpl w:val="47EC48E9"/>
    <w:lvl w:ilvl="0" w:tentative="0">
      <w:start w:val="1"/>
      <w:numFmt w:val="ideographTraditional"/>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DE0NjVlNjlhMWJkMzc3ZWVlNDlkM2RhM2QzNjAifQ=="/>
  </w:docVars>
  <w:rsids>
    <w:rsidRoot w:val="004A31C0"/>
    <w:rsid w:val="00007D50"/>
    <w:rsid w:val="000124D0"/>
    <w:rsid w:val="00023AE1"/>
    <w:rsid w:val="000322BB"/>
    <w:rsid w:val="0004039F"/>
    <w:rsid w:val="00040E44"/>
    <w:rsid w:val="00047F51"/>
    <w:rsid w:val="000506FE"/>
    <w:rsid w:val="00052F13"/>
    <w:rsid w:val="00062A5D"/>
    <w:rsid w:val="00076FA7"/>
    <w:rsid w:val="00082E67"/>
    <w:rsid w:val="00082F9C"/>
    <w:rsid w:val="000837FA"/>
    <w:rsid w:val="00083EEE"/>
    <w:rsid w:val="0008790A"/>
    <w:rsid w:val="000A3EE2"/>
    <w:rsid w:val="000B021C"/>
    <w:rsid w:val="000B14BF"/>
    <w:rsid w:val="000B57B0"/>
    <w:rsid w:val="000C4BFA"/>
    <w:rsid w:val="000C67BA"/>
    <w:rsid w:val="000E202F"/>
    <w:rsid w:val="000E5D36"/>
    <w:rsid w:val="000E75F8"/>
    <w:rsid w:val="000F2D91"/>
    <w:rsid w:val="001375DB"/>
    <w:rsid w:val="001448FA"/>
    <w:rsid w:val="001476F1"/>
    <w:rsid w:val="001478DA"/>
    <w:rsid w:val="00162968"/>
    <w:rsid w:val="0016615B"/>
    <w:rsid w:val="00173428"/>
    <w:rsid w:val="001801A6"/>
    <w:rsid w:val="001901F0"/>
    <w:rsid w:val="001947AE"/>
    <w:rsid w:val="00196311"/>
    <w:rsid w:val="001A3CF6"/>
    <w:rsid w:val="001C3070"/>
    <w:rsid w:val="001F04D3"/>
    <w:rsid w:val="0020575D"/>
    <w:rsid w:val="00216C69"/>
    <w:rsid w:val="002173F4"/>
    <w:rsid w:val="002231BF"/>
    <w:rsid w:val="0022326C"/>
    <w:rsid w:val="002301F8"/>
    <w:rsid w:val="00231FC0"/>
    <w:rsid w:val="0023616F"/>
    <w:rsid w:val="002377D9"/>
    <w:rsid w:val="00240685"/>
    <w:rsid w:val="0024401D"/>
    <w:rsid w:val="0024554B"/>
    <w:rsid w:val="002461FE"/>
    <w:rsid w:val="002514BA"/>
    <w:rsid w:val="002534A7"/>
    <w:rsid w:val="002647B7"/>
    <w:rsid w:val="00264CB5"/>
    <w:rsid w:val="00275FEF"/>
    <w:rsid w:val="00286ECD"/>
    <w:rsid w:val="002A335A"/>
    <w:rsid w:val="002B7188"/>
    <w:rsid w:val="002D54BA"/>
    <w:rsid w:val="002D633C"/>
    <w:rsid w:val="002E02E0"/>
    <w:rsid w:val="002E1765"/>
    <w:rsid w:val="002F0C61"/>
    <w:rsid w:val="002F123F"/>
    <w:rsid w:val="002F1C95"/>
    <w:rsid w:val="003000D9"/>
    <w:rsid w:val="00300402"/>
    <w:rsid w:val="003078EF"/>
    <w:rsid w:val="00313B06"/>
    <w:rsid w:val="00315F19"/>
    <w:rsid w:val="003169BC"/>
    <w:rsid w:val="00331625"/>
    <w:rsid w:val="00332B4E"/>
    <w:rsid w:val="0035778E"/>
    <w:rsid w:val="003657BF"/>
    <w:rsid w:val="00375CC5"/>
    <w:rsid w:val="00380ED1"/>
    <w:rsid w:val="00381B1D"/>
    <w:rsid w:val="00390498"/>
    <w:rsid w:val="003957F1"/>
    <w:rsid w:val="003A109D"/>
    <w:rsid w:val="003A3435"/>
    <w:rsid w:val="003D17A7"/>
    <w:rsid w:val="003D3303"/>
    <w:rsid w:val="003D5F74"/>
    <w:rsid w:val="003E443A"/>
    <w:rsid w:val="003F218B"/>
    <w:rsid w:val="0040066C"/>
    <w:rsid w:val="004037AB"/>
    <w:rsid w:val="0040642D"/>
    <w:rsid w:val="004105E2"/>
    <w:rsid w:val="00420291"/>
    <w:rsid w:val="00421D56"/>
    <w:rsid w:val="00424619"/>
    <w:rsid w:val="00424A1D"/>
    <w:rsid w:val="00427DEC"/>
    <w:rsid w:val="00434E65"/>
    <w:rsid w:val="00445149"/>
    <w:rsid w:val="00445CAA"/>
    <w:rsid w:val="0045411D"/>
    <w:rsid w:val="004616D9"/>
    <w:rsid w:val="00462CDC"/>
    <w:rsid w:val="004737E4"/>
    <w:rsid w:val="00480FAA"/>
    <w:rsid w:val="004817C1"/>
    <w:rsid w:val="0048772D"/>
    <w:rsid w:val="004A2A6D"/>
    <w:rsid w:val="004A2B60"/>
    <w:rsid w:val="004A31C0"/>
    <w:rsid w:val="004A3D3D"/>
    <w:rsid w:val="004B5A94"/>
    <w:rsid w:val="004F0A64"/>
    <w:rsid w:val="004F400D"/>
    <w:rsid w:val="004F6CBF"/>
    <w:rsid w:val="00501900"/>
    <w:rsid w:val="00501CA3"/>
    <w:rsid w:val="005054E7"/>
    <w:rsid w:val="00507EE4"/>
    <w:rsid w:val="00510E7B"/>
    <w:rsid w:val="00511E29"/>
    <w:rsid w:val="00512646"/>
    <w:rsid w:val="00513D75"/>
    <w:rsid w:val="00533757"/>
    <w:rsid w:val="00536F3E"/>
    <w:rsid w:val="005444B3"/>
    <w:rsid w:val="005527A2"/>
    <w:rsid w:val="00553638"/>
    <w:rsid w:val="00553772"/>
    <w:rsid w:val="00554130"/>
    <w:rsid w:val="005559F8"/>
    <w:rsid w:val="00557E5A"/>
    <w:rsid w:val="00562524"/>
    <w:rsid w:val="00563B5C"/>
    <w:rsid w:val="005710D9"/>
    <w:rsid w:val="0057498C"/>
    <w:rsid w:val="005808DD"/>
    <w:rsid w:val="00581054"/>
    <w:rsid w:val="00587204"/>
    <w:rsid w:val="0059003C"/>
    <w:rsid w:val="00591E0D"/>
    <w:rsid w:val="00596AE2"/>
    <w:rsid w:val="00597A29"/>
    <w:rsid w:val="005A325A"/>
    <w:rsid w:val="005A3BF2"/>
    <w:rsid w:val="005A3F5F"/>
    <w:rsid w:val="005B0E44"/>
    <w:rsid w:val="005B1F04"/>
    <w:rsid w:val="005B518C"/>
    <w:rsid w:val="005D0759"/>
    <w:rsid w:val="005D189C"/>
    <w:rsid w:val="005D606E"/>
    <w:rsid w:val="005E1E17"/>
    <w:rsid w:val="005E5E9D"/>
    <w:rsid w:val="0060320D"/>
    <w:rsid w:val="00615E48"/>
    <w:rsid w:val="00620FEE"/>
    <w:rsid w:val="00632C85"/>
    <w:rsid w:val="006368E7"/>
    <w:rsid w:val="0064009C"/>
    <w:rsid w:val="0064100B"/>
    <w:rsid w:val="00641681"/>
    <w:rsid w:val="00642973"/>
    <w:rsid w:val="006511DA"/>
    <w:rsid w:val="00652051"/>
    <w:rsid w:val="00652B01"/>
    <w:rsid w:val="0065383E"/>
    <w:rsid w:val="00660946"/>
    <w:rsid w:val="00660B47"/>
    <w:rsid w:val="00661973"/>
    <w:rsid w:val="006657BD"/>
    <w:rsid w:val="00667300"/>
    <w:rsid w:val="00667A7B"/>
    <w:rsid w:val="006721F4"/>
    <w:rsid w:val="00694E18"/>
    <w:rsid w:val="00696BA8"/>
    <w:rsid w:val="006A03EF"/>
    <w:rsid w:val="006A05FE"/>
    <w:rsid w:val="006B44EA"/>
    <w:rsid w:val="006B76B4"/>
    <w:rsid w:val="006C1AB5"/>
    <w:rsid w:val="006C1F4F"/>
    <w:rsid w:val="006D435E"/>
    <w:rsid w:val="006D74C3"/>
    <w:rsid w:val="006D7D21"/>
    <w:rsid w:val="006E05BE"/>
    <w:rsid w:val="006F02DA"/>
    <w:rsid w:val="006F2568"/>
    <w:rsid w:val="006F282E"/>
    <w:rsid w:val="007005F6"/>
    <w:rsid w:val="00702195"/>
    <w:rsid w:val="00706DC6"/>
    <w:rsid w:val="00706F0B"/>
    <w:rsid w:val="00711092"/>
    <w:rsid w:val="00716529"/>
    <w:rsid w:val="00725C59"/>
    <w:rsid w:val="0073075A"/>
    <w:rsid w:val="00733A42"/>
    <w:rsid w:val="00734973"/>
    <w:rsid w:val="00742C93"/>
    <w:rsid w:val="00750F47"/>
    <w:rsid w:val="00753381"/>
    <w:rsid w:val="00755C98"/>
    <w:rsid w:val="00764999"/>
    <w:rsid w:val="00773842"/>
    <w:rsid w:val="00780C71"/>
    <w:rsid w:val="007A193A"/>
    <w:rsid w:val="007A340B"/>
    <w:rsid w:val="007B07B1"/>
    <w:rsid w:val="007D0EB5"/>
    <w:rsid w:val="007D42D6"/>
    <w:rsid w:val="007E44E9"/>
    <w:rsid w:val="007E79D7"/>
    <w:rsid w:val="007F1E8B"/>
    <w:rsid w:val="007F52D8"/>
    <w:rsid w:val="00800BA9"/>
    <w:rsid w:val="00801ACB"/>
    <w:rsid w:val="00803994"/>
    <w:rsid w:val="00804976"/>
    <w:rsid w:val="00811D08"/>
    <w:rsid w:val="008168C6"/>
    <w:rsid w:val="008225D8"/>
    <w:rsid w:val="00824546"/>
    <w:rsid w:val="00825212"/>
    <w:rsid w:val="00831C59"/>
    <w:rsid w:val="00841188"/>
    <w:rsid w:val="00843A59"/>
    <w:rsid w:val="00845082"/>
    <w:rsid w:val="00852628"/>
    <w:rsid w:val="00852E70"/>
    <w:rsid w:val="00863A29"/>
    <w:rsid w:val="00866FD0"/>
    <w:rsid w:val="00867043"/>
    <w:rsid w:val="0087107B"/>
    <w:rsid w:val="00872DA1"/>
    <w:rsid w:val="00873B8A"/>
    <w:rsid w:val="00883E4B"/>
    <w:rsid w:val="00893B22"/>
    <w:rsid w:val="008B1281"/>
    <w:rsid w:val="008B4B02"/>
    <w:rsid w:val="008B5E4A"/>
    <w:rsid w:val="008B7AF9"/>
    <w:rsid w:val="008C3320"/>
    <w:rsid w:val="008C5118"/>
    <w:rsid w:val="008D3D04"/>
    <w:rsid w:val="008D4DF2"/>
    <w:rsid w:val="008E6948"/>
    <w:rsid w:val="008E7226"/>
    <w:rsid w:val="008F21F2"/>
    <w:rsid w:val="008F729B"/>
    <w:rsid w:val="008F750C"/>
    <w:rsid w:val="009040D0"/>
    <w:rsid w:val="00904C03"/>
    <w:rsid w:val="009064F4"/>
    <w:rsid w:val="009128B0"/>
    <w:rsid w:val="00914E9A"/>
    <w:rsid w:val="009169F9"/>
    <w:rsid w:val="009171D3"/>
    <w:rsid w:val="00934F58"/>
    <w:rsid w:val="0093567D"/>
    <w:rsid w:val="00937A5C"/>
    <w:rsid w:val="00945FFB"/>
    <w:rsid w:val="009475A2"/>
    <w:rsid w:val="009512D4"/>
    <w:rsid w:val="00952924"/>
    <w:rsid w:val="00957D49"/>
    <w:rsid w:val="00962A7F"/>
    <w:rsid w:val="00965C93"/>
    <w:rsid w:val="0097410B"/>
    <w:rsid w:val="009823B1"/>
    <w:rsid w:val="009850E4"/>
    <w:rsid w:val="009863A6"/>
    <w:rsid w:val="0098739B"/>
    <w:rsid w:val="00990F95"/>
    <w:rsid w:val="00991077"/>
    <w:rsid w:val="009B02EA"/>
    <w:rsid w:val="009B19C9"/>
    <w:rsid w:val="009B7259"/>
    <w:rsid w:val="009B7CE8"/>
    <w:rsid w:val="009C0638"/>
    <w:rsid w:val="009C2BC8"/>
    <w:rsid w:val="009C75D6"/>
    <w:rsid w:val="009E6B47"/>
    <w:rsid w:val="009E74FE"/>
    <w:rsid w:val="009E77F0"/>
    <w:rsid w:val="009F7549"/>
    <w:rsid w:val="00A060A1"/>
    <w:rsid w:val="00A10004"/>
    <w:rsid w:val="00A11096"/>
    <w:rsid w:val="00A31711"/>
    <w:rsid w:val="00A34E3D"/>
    <w:rsid w:val="00A43881"/>
    <w:rsid w:val="00A45FF9"/>
    <w:rsid w:val="00A5394E"/>
    <w:rsid w:val="00A60957"/>
    <w:rsid w:val="00A61E25"/>
    <w:rsid w:val="00A77FCD"/>
    <w:rsid w:val="00A80CFD"/>
    <w:rsid w:val="00A8561E"/>
    <w:rsid w:val="00A92567"/>
    <w:rsid w:val="00A955FA"/>
    <w:rsid w:val="00AA2599"/>
    <w:rsid w:val="00AA2734"/>
    <w:rsid w:val="00AA7980"/>
    <w:rsid w:val="00AB1629"/>
    <w:rsid w:val="00AB1AB2"/>
    <w:rsid w:val="00AB3C03"/>
    <w:rsid w:val="00AC07D5"/>
    <w:rsid w:val="00AC2AE8"/>
    <w:rsid w:val="00AC479A"/>
    <w:rsid w:val="00AC5A89"/>
    <w:rsid w:val="00AD4DC7"/>
    <w:rsid w:val="00AD6937"/>
    <w:rsid w:val="00AE1704"/>
    <w:rsid w:val="00AE279B"/>
    <w:rsid w:val="00AE4E1E"/>
    <w:rsid w:val="00AF5219"/>
    <w:rsid w:val="00AF64F3"/>
    <w:rsid w:val="00AF6DF1"/>
    <w:rsid w:val="00B11EF0"/>
    <w:rsid w:val="00B17660"/>
    <w:rsid w:val="00B32622"/>
    <w:rsid w:val="00B34428"/>
    <w:rsid w:val="00B3482D"/>
    <w:rsid w:val="00B34A6D"/>
    <w:rsid w:val="00B356A6"/>
    <w:rsid w:val="00B44A16"/>
    <w:rsid w:val="00B50722"/>
    <w:rsid w:val="00B638D9"/>
    <w:rsid w:val="00B723F7"/>
    <w:rsid w:val="00B77746"/>
    <w:rsid w:val="00B81F94"/>
    <w:rsid w:val="00B83B80"/>
    <w:rsid w:val="00B928FD"/>
    <w:rsid w:val="00BA1959"/>
    <w:rsid w:val="00BA2B93"/>
    <w:rsid w:val="00BC04DE"/>
    <w:rsid w:val="00BC3C34"/>
    <w:rsid w:val="00BC3DD6"/>
    <w:rsid w:val="00BD1199"/>
    <w:rsid w:val="00BD3D86"/>
    <w:rsid w:val="00BE2957"/>
    <w:rsid w:val="00BE78A9"/>
    <w:rsid w:val="00BF4CF3"/>
    <w:rsid w:val="00C033CD"/>
    <w:rsid w:val="00C24889"/>
    <w:rsid w:val="00C40831"/>
    <w:rsid w:val="00C4575D"/>
    <w:rsid w:val="00C555C7"/>
    <w:rsid w:val="00C56ED0"/>
    <w:rsid w:val="00C6510E"/>
    <w:rsid w:val="00C67C1E"/>
    <w:rsid w:val="00C85147"/>
    <w:rsid w:val="00CA0C39"/>
    <w:rsid w:val="00CA5372"/>
    <w:rsid w:val="00CB0BFB"/>
    <w:rsid w:val="00CB181F"/>
    <w:rsid w:val="00CC712F"/>
    <w:rsid w:val="00CD5E7C"/>
    <w:rsid w:val="00CE32BD"/>
    <w:rsid w:val="00CE337F"/>
    <w:rsid w:val="00CE4AD8"/>
    <w:rsid w:val="00CF2380"/>
    <w:rsid w:val="00CF35F3"/>
    <w:rsid w:val="00CF77AA"/>
    <w:rsid w:val="00CF7930"/>
    <w:rsid w:val="00D02440"/>
    <w:rsid w:val="00D03C8A"/>
    <w:rsid w:val="00D03E3B"/>
    <w:rsid w:val="00D03F02"/>
    <w:rsid w:val="00D04447"/>
    <w:rsid w:val="00D13F9E"/>
    <w:rsid w:val="00D24122"/>
    <w:rsid w:val="00D2578D"/>
    <w:rsid w:val="00D2790E"/>
    <w:rsid w:val="00D33657"/>
    <w:rsid w:val="00D37826"/>
    <w:rsid w:val="00D456B6"/>
    <w:rsid w:val="00D5079D"/>
    <w:rsid w:val="00D5412E"/>
    <w:rsid w:val="00D543EC"/>
    <w:rsid w:val="00D571B0"/>
    <w:rsid w:val="00D5774F"/>
    <w:rsid w:val="00D60548"/>
    <w:rsid w:val="00D73C6A"/>
    <w:rsid w:val="00D81B74"/>
    <w:rsid w:val="00D8627E"/>
    <w:rsid w:val="00D901E0"/>
    <w:rsid w:val="00D906C1"/>
    <w:rsid w:val="00D95340"/>
    <w:rsid w:val="00DB4907"/>
    <w:rsid w:val="00DC1C56"/>
    <w:rsid w:val="00DC48A7"/>
    <w:rsid w:val="00DD0E60"/>
    <w:rsid w:val="00DE7F9D"/>
    <w:rsid w:val="00DF33EE"/>
    <w:rsid w:val="00DF3CFB"/>
    <w:rsid w:val="00DF4335"/>
    <w:rsid w:val="00DF5F3E"/>
    <w:rsid w:val="00E01880"/>
    <w:rsid w:val="00E01C27"/>
    <w:rsid w:val="00E020A1"/>
    <w:rsid w:val="00E037DF"/>
    <w:rsid w:val="00E03CB3"/>
    <w:rsid w:val="00E06050"/>
    <w:rsid w:val="00E073E5"/>
    <w:rsid w:val="00E2784D"/>
    <w:rsid w:val="00E301BA"/>
    <w:rsid w:val="00E3095F"/>
    <w:rsid w:val="00E428C8"/>
    <w:rsid w:val="00E53E66"/>
    <w:rsid w:val="00E545FE"/>
    <w:rsid w:val="00E54862"/>
    <w:rsid w:val="00E572BF"/>
    <w:rsid w:val="00E81776"/>
    <w:rsid w:val="00E914B9"/>
    <w:rsid w:val="00E94AF3"/>
    <w:rsid w:val="00EA04CD"/>
    <w:rsid w:val="00EA0577"/>
    <w:rsid w:val="00EA48EB"/>
    <w:rsid w:val="00EA51D3"/>
    <w:rsid w:val="00EB4BDC"/>
    <w:rsid w:val="00EB6724"/>
    <w:rsid w:val="00EB7FF2"/>
    <w:rsid w:val="00EC5720"/>
    <w:rsid w:val="00ED389E"/>
    <w:rsid w:val="00ED6BC2"/>
    <w:rsid w:val="00ED7623"/>
    <w:rsid w:val="00EE05E6"/>
    <w:rsid w:val="00EE2D23"/>
    <w:rsid w:val="00EE6D60"/>
    <w:rsid w:val="00EF691C"/>
    <w:rsid w:val="00F05D31"/>
    <w:rsid w:val="00F0637C"/>
    <w:rsid w:val="00F171EB"/>
    <w:rsid w:val="00F34318"/>
    <w:rsid w:val="00F35DD5"/>
    <w:rsid w:val="00F36337"/>
    <w:rsid w:val="00F464C9"/>
    <w:rsid w:val="00F514F7"/>
    <w:rsid w:val="00F577A9"/>
    <w:rsid w:val="00F57B90"/>
    <w:rsid w:val="00F66F6C"/>
    <w:rsid w:val="00F6774D"/>
    <w:rsid w:val="00F75B18"/>
    <w:rsid w:val="00F76214"/>
    <w:rsid w:val="00F80B6D"/>
    <w:rsid w:val="00F82240"/>
    <w:rsid w:val="00F8517E"/>
    <w:rsid w:val="00F872C5"/>
    <w:rsid w:val="00F906B9"/>
    <w:rsid w:val="00F915C1"/>
    <w:rsid w:val="00F958BF"/>
    <w:rsid w:val="00F95CA2"/>
    <w:rsid w:val="00FA2083"/>
    <w:rsid w:val="00FA7B97"/>
    <w:rsid w:val="00FC1544"/>
    <w:rsid w:val="00FC5DD7"/>
    <w:rsid w:val="00FD3DB6"/>
    <w:rsid w:val="00FD5896"/>
    <w:rsid w:val="00FE544F"/>
    <w:rsid w:val="00FE6D3D"/>
    <w:rsid w:val="00FF38FC"/>
    <w:rsid w:val="00FF3F6A"/>
    <w:rsid w:val="0136557F"/>
    <w:rsid w:val="01436977"/>
    <w:rsid w:val="01965B57"/>
    <w:rsid w:val="019978BC"/>
    <w:rsid w:val="020D4A5C"/>
    <w:rsid w:val="02647ECA"/>
    <w:rsid w:val="03280EF8"/>
    <w:rsid w:val="039E740C"/>
    <w:rsid w:val="04133956"/>
    <w:rsid w:val="04D96218"/>
    <w:rsid w:val="060C35F2"/>
    <w:rsid w:val="063F6C84"/>
    <w:rsid w:val="071C58D7"/>
    <w:rsid w:val="071D3250"/>
    <w:rsid w:val="08C3672A"/>
    <w:rsid w:val="08DC040F"/>
    <w:rsid w:val="08EB5FDF"/>
    <w:rsid w:val="091837BC"/>
    <w:rsid w:val="09497CBC"/>
    <w:rsid w:val="0BE9683D"/>
    <w:rsid w:val="0D7008A6"/>
    <w:rsid w:val="0E031E7A"/>
    <w:rsid w:val="0E8A3ACC"/>
    <w:rsid w:val="105321C7"/>
    <w:rsid w:val="105C0433"/>
    <w:rsid w:val="10C01E4B"/>
    <w:rsid w:val="10DF0E3F"/>
    <w:rsid w:val="116D7F23"/>
    <w:rsid w:val="11A42462"/>
    <w:rsid w:val="11D30106"/>
    <w:rsid w:val="12D6271E"/>
    <w:rsid w:val="13906D71"/>
    <w:rsid w:val="13C94031"/>
    <w:rsid w:val="13F17DA0"/>
    <w:rsid w:val="14241EEE"/>
    <w:rsid w:val="15C47892"/>
    <w:rsid w:val="15E213DA"/>
    <w:rsid w:val="16162816"/>
    <w:rsid w:val="16BD06D2"/>
    <w:rsid w:val="16D927DD"/>
    <w:rsid w:val="16FE2134"/>
    <w:rsid w:val="17794625"/>
    <w:rsid w:val="184A038F"/>
    <w:rsid w:val="18D07534"/>
    <w:rsid w:val="1A952E2E"/>
    <w:rsid w:val="1AAC0209"/>
    <w:rsid w:val="1CB03FE0"/>
    <w:rsid w:val="1CB334B9"/>
    <w:rsid w:val="1CFC11B5"/>
    <w:rsid w:val="1D444728"/>
    <w:rsid w:val="1D8E6C9B"/>
    <w:rsid w:val="1DE44AA6"/>
    <w:rsid w:val="1E170522"/>
    <w:rsid w:val="1E380731"/>
    <w:rsid w:val="1E3C73DE"/>
    <w:rsid w:val="1FB73DFD"/>
    <w:rsid w:val="20FF72E4"/>
    <w:rsid w:val="21F30363"/>
    <w:rsid w:val="226513C9"/>
    <w:rsid w:val="22ED1DDA"/>
    <w:rsid w:val="23842F0C"/>
    <w:rsid w:val="23B22D93"/>
    <w:rsid w:val="24781CC4"/>
    <w:rsid w:val="248A5117"/>
    <w:rsid w:val="25320D53"/>
    <w:rsid w:val="2634309B"/>
    <w:rsid w:val="26546E6B"/>
    <w:rsid w:val="26652A17"/>
    <w:rsid w:val="26A62CA5"/>
    <w:rsid w:val="27475C6C"/>
    <w:rsid w:val="274A5031"/>
    <w:rsid w:val="278510AA"/>
    <w:rsid w:val="27881DBB"/>
    <w:rsid w:val="27B5694E"/>
    <w:rsid w:val="27C76682"/>
    <w:rsid w:val="28111415"/>
    <w:rsid w:val="28B02637"/>
    <w:rsid w:val="29220014"/>
    <w:rsid w:val="295408B0"/>
    <w:rsid w:val="297121CD"/>
    <w:rsid w:val="29A273A6"/>
    <w:rsid w:val="2A8645D2"/>
    <w:rsid w:val="2AE816FA"/>
    <w:rsid w:val="2AF23B57"/>
    <w:rsid w:val="2B50374C"/>
    <w:rsid w:val="2B557467"/>
    <w:rsid w:val="2BB62C95"/>
    <w:rsid w:val="2BD36A65"/>
    <w:rsid w:val="2C5013A9"/>
    <w:rsid w:val="2C7C2E07"/>
    <w:rsid w:val="2CA93C87"/>
    <w:rsid w:val="2CA956F4"/>
    <w:rsid w:val="2D6773C1"/>
    <w:rsid w:val="2E9F7A0B"/>
    <w:rsid w:val="2F1D7028"/>
    <w:rsid w:val="2F9B467C"/>
    <w:rsid w:val="2FB96318"/>
    <w:rsid w:val="2FFD0E93"/>
    <w:rsid w:val="3191164F"/>
    <w:rsid w:val="324B718F"/>
    <w:rsid w:val="328F5F4B"/>
    <w:rsid w:val="32C739DA"/>
    <w:rsid w:val="347F41D9"/>
    <w:rsid w:val="350D74D2"/>
    <w:rsid w:val="36AC4A21"/>
    <w:rsid w:val="36B671FA"/>
    <w:rsid w:val="36BE06ED"/>
    <w:rsid w:val="370F5034"/>
    <w:rsid w:val="386E04F0"/>
    <w:rsid w:val="3A176FF5"/>
    <w:rsid w:val="3A217E73"/>
    <w:rsid w:val="3A5E1898"/>
    <w:rsid w:val="3B457B92"/>
    <w:rsid w:val="3BFA097C"/>
    <w:rsid w:val="3D4B30CB"/>
    <w:rsid w:val="3D6407A3"/>
    <w:rsid w:val="3D6469F5"/>
    <w:rsid w:val="3E416D36"/>
    <w:rsid w:val="3EDC3137"/>
    <w:rsid w:val="3F017AFD"/>
    <w:rsid w:val="3F971BE3"/>
    <w:rsid w:val="3FD747F6"/>
    <w:rsid w:val="42044303"/>
    <w:rsid w:val="42D5207F"/>
    <w:rsid w:val="43560B8E"/>
    <w:rsid w:val="43571E00"/>
    <w:rsid w:val="43F647A4"/>
    <w:rsid w:val="44562E10"/>
    <w:rsid w:val="44E8716A"/>
    <w:rsid w:val="45034D45"/>
    <w:rsid w:val="45054E10"/>
    <w:rsid w:val="45A84BC6"/>
    <w:rsid w:val="4654512D"/>
    <w:rsid w:val="472965B9"/>
    <w:rsid w:val="4777055B"/>
    <w:rsid w:val="47D97D4C"/>
    <w:rsid w:val="47FE1DD0"/>
    <w:rsid w:val="48355395"/>
    <w:rsid w:val="485D476D"/>
    <w:rsid w:val="48C447EC"/>
    <w:rsid w:val="49124F33"/>
    <w:rsid w:val="4A1D12E6"/>
    <w:rsid w:val="4A257835"/>
    <w:rsid w:val="4C003D8D"/>
    <w:rsid w:val="4CDB2104"/>
    <w:rsid w:val="4D2E2B7B"/>
    <w:rsid w:val="4E9945FF"/>
    <w:rsid w:val="4EFC6035"/>
    <w:rsid w:val="4F45581A"/>
    <w:rsid w:val="4F700283"/>
    <w:rsid w:val="4FD01CC8"/>
    <w:rsid w:val="50D92669"/>
    <w:rsid w:val="52410C5B"/>
    <w:rsid w:val="53427A1B"/>
    <w:rsid w:val="53E37A74"/>
    <w:rsid w:val="54AB62C7"/>
    <w:rsid w:val="55630EE8"/>
    <w:rsid w:val="562034E4"/>
    <w:rsid w:val="56596943"/>
    <w:rsid w:val="56602B8B"/>
    <w:rsid w:val="57607CB0"/>
    <w:rsid w:val="57D63BF4"/>
    <w:rsid w:val="597C096E"/>
    <w:rsid w:val="5A1D7941"/>
    <w:rsid w:val="5B060009"/>
    <w:rsid w:val="5B4A6DD2"/>
    <w:rsid w:val="5BC243AE"/>
    <w:rsid w:val="5C194F17"/>
    <w:rsid w:val="5C577FA2"/>
    <w:rsid w:val="5C7B2871"/>
    <w:rsid w:val="5C9B540C"/>
    <w:rsid w:val="5CDD5A24"/>
    <w:rsid w:val="5CE86703"/>
    <w:rsid w:val="5E3873B6"/>
    <w:rsid w:val="5E6E7411"/>
    <w:rsid w:val="5EF0634B"/>
    <w:rsid w:val="60310561"/>
    <w:rsid w:val="60B92304"/>
    <w:rsid w:val="612C738A"/>
    <w:rsid w:val="61C15914"/>
    <w:rsid w:val="62970423"/>
    <w:rsid w:val="62FD6392"/>
    <w:rsid w:val="63657FA8"/>
    <w:rsid w:val="644C12F0"/>
    <w:rsid w:val="64B42725"/>
    <w:rsid w:val="650869CE"/>
    <w:rsid w:val="657755E7"/>
    <w:rsid w:val="65C23F8B"/>
    <w:rsid w:val="66075570"/>
    <w:rsid w:val="66083B12"/>
    <w:rsid w:val="66EB6F98"/>
    <w:rsid w:val="67EA3C00"/>
    <w:rsid w:val="68A46BCA"/>
    <w:rsid w:val="68E87E5C"/>
    <w:rsid w:val="68F45E50"/>
    <w:rsid w:val="6A5E1D79"/>
    <w:rsid w:val="6AC3133E"/>
    <w:rsid w:val="6BA3608B"/>
    <w:rsid w:val="6BE07B0C"/>
    <w:rsid w:val="6C3B5C4C"/>
    <w:rsid w:val="6CA64085"/>
    <w:rsid w:val="6D067159"/>
    <w:rsid w:val="6D277236"/>
    <w:rsid w:val="6ED820CB"/>
    <w:rsid w:val="6F5D1590"/>
    <w:rsid w:val="6FEE6861"/>
    <w:rsid w:val="701A622E"/>
    <w:rsid w:val="70212179"/>
    <w:rsid w:val="703674CE"/>
    <w:rsid w:val="70CC10A7"/>
    <w:rsid w:val="715F7079"/>
    <w:rsid w:val="728E46C3"/>
    <w:rsid w:val="72C2773E"/>
    <w:rsid w:val="75635DA5"/>
    <w:rsid w:val="76735336"/>
    <w:rsid w:val="77264960"/>
    <w:rsid w:val="77FF289B"/>
    <w:rsid w:val="78FA30F0"/>
    <w:rsid w:val="79CB701E"/>
    <w:rsid w:val="79CC589A"/>
    <w:rsid w:val="7A4435FA"/>
    <w:rsid w:val="7A47775E"/>
    <w:rsid w:val="7B0A57DF"/>
    <w:rsid w:val="7B0F69FD"/>
    <w:rsid w:val="7B2B58A7"/>
    <w:rsid w:val="7BE66D9C"/>
    <w:rsid w:val="7D0C5261"/>
    <w:rsid w:val="7D3E5C13"/>
    <w:rsid w:val="7DC861E9"/>
    <w:rsid w:val="7FCC7507"/>
    <w:rsid w:val="7FD834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qFormat="1" w:unhideWhenUsed="0" w:uiPriority="0"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imes New Roman"/>
      <w:sz w:val="24"/>
      <w:szCs w:val="24"/>
      <w:lang w:val="en-US" w:eastAsia="zh-CN" w:bidi="ar-SA"/>
    </w:rPr>
  </w:style>
  <w:style w:type="paragraph" w:styleId="3">
    <w:name w:val="heading 1"/>
    <w:basedOn w:val="1"/>
    <w:next w:val="1"/>
    <w:link w:val="38"/>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39"/>
    <w:qFormat/>
    <w:uiPriority w:val="9"/>
    <w:pPr>
      <w:spacing w:before="200" w:after="0" w:line="271" w:lineRule="auto"/>
      <w:jc w:val="center"/>
      <w:outlineLvl w:val="1"/>
    </w:pPr>
    <w:rPr>
      <w:b/>
      <w:smallCaps/>
      <w:sz w:val="28"/>
      <w:szCs w:val="28"/>
    </w:rPr>
  </w:style>
  <w:style w:type="paragraph" w:styleId="2">
    <w:name w:val="heading 3"/>
    <w:basedOn w:val="1"/>
    <w:next w:val="1"/>
    <w:link w:val="37"/>
    <w:qFormat/>
    <w:uiPriority w:val="99"/>
    <w:pPr>
      <w:outlineLvl w:val="2"/>
    </w:pPr>
    <w:rPr>
      <w:b/>
    </w:rPr>
  </w:style>
  <w:style w:type="paragraph" w:styleId="5">
    <w:name w:val="heading 4"/>
    <w:basedOn w:val="1"/>
    <w:next w:val="1"/>
    <w:link w:val="40"/>
    <w:qFormat/>
    <w:uiPriority w:val="9"/>
    <w:pPr>
      <w:spacing w:after="0" w:line="271" w:lineRule="auto"/>
      <w:outlineLvl w:val="3"/>
    </w:pPr>
    <w:rPr>
      <w:b/>
      <w:bCs/>
      <w:spacing w:val="5"/>
    </w:rPr>
  </w:style>
  <w:style w:type="paragraph" w:styleId="6">
    <w:name w:val="heading 5"/>
    <w:basedOn w:val="1"/>
    <w:next w:val="1"/>
    <w:link w:val="41"/>
    <w:qFormat/>
    <w:uiPriority w:val="9"/>
    <w:pPr>
      <w:spacing w:after="0" w:line="271" w:lineRule="auto"/>
      <w:outlineLvl w:val="4"/>
    </w:pPr>
    <w:rPr>
      <w:i/>
      <w:iCs/>
    </w:rPr>
  </w:style>
  <w:style w:type="paragraph" w:styleId="7">
    <w:name w:val="heading 6"/>
    <w:basedOn w:val="1"/>
    <w:next w:val="1"/>
    <w:link w:val="42"/>
    <w:qFormat/>
    <w:uiPriority w:val="9"/>
    <w:pPr>
      <w:shd w:val="clear" w:color="auto" w:fill="FFFFFF"/>
      <w:spacing w:after="0" w:line="271" w:lineRule="auto"/>
      <w:outlineLvl w:val="5"/>
    </w:pPr>
    <w:rPr>
      <w:b/>
      <w:bCs/>
      <w:color w:val="595959"/>
      <w:spacing w:val="5"/>
    </w:rPr>
  </w:style>
  <w:style w:type="paragraph" w:styleId="8">
    <w:name w:val="heading 7"/>
    <w:basedOn w:val="1"/>
    <w:next w:val="1"/>
    <w:link w:val="43"/>
    <w:qFormat/>
    <w:uiPriority w:val="9"/>
    <w:pPr>
      <w:spacing w:after="0"/>
      <w:outlineLvl w:val="6"/>
    </w:pPr>
    <w:rPr>
      <w:b/>
      <w:bCs/>
      <w:i/>
      <w:iCs/>
      <w:color w:val="595959"/>
      <w:sz w:val="20"/>
      <w:szCs w:val="20"/>
    </w:rPr>
  </w:style>
  <w:style w:type="paragraph" w:styleId="9">
    <w:name w:val="heading 8"/>
    <w:basedOn w:val="1"/>
    <w:next w:val="1"/>
    <w:link w:val="44"/>
    <w:qFormat/>
    <w:uiPriority w:val="9"/>
    <w:pPr>
      <w:spacing w:after="0"/>
      <w:outlineLvl w:val="7"/>
    </w:pPr>
    <w:rPr>
      <w:b/>
      <w:bCs/>
      <w:color w:val="7F7F7F"/>
      <w:sz w:val="20"/>
      <w:szCs w:val="20"/>
    </w:rPr>
  </w:style>
  <w:style w:type="paragraph" w:styleId="10">
    <w:name w:val="heading 9"/>
    <w:basedOn w:val="1"/>
    <w:next w:val="1"/>
    <w:link w:val="45"/>
    <w:qFormat/>
    <w:uiPriority w:val="9"/>
    <w:pPr>
      <w:spacing w:after="0" w:line="271" w:lineRule="auto"/>
      <w:outlineLvl w:val="8"/>
    </w:pPr>
    <w:rPr>
      <w:b/>
      <w:bCs/>
      <w:i/>
      <w:iCs/>
      <w:color w:val="7F7F7F"/>
      <w:sz w:val="18"/>
      <w:szCs w:val="1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link w:val="47"/>
    <w:qFormat/>
    <w:uiPriority w:val="0"/>
    <w:pPr>
      <w:adjustRightInd w:val="0"/>
      <w:snapToGrid w:val="0"/>
      <w:spacing w:after="0" w:line="480" w:lineRule="exact"/>
      <w:ind w:firstLine="567"/>
      <w:jc w:val="both"/>
    </w:pPr>
    <w:rPr>
      <w:rFonts w:ascii="宋体" w:hAnsi="Times New Roman" w:eastAsia="宋体"/>
      <w:color w:val="000000"/>
      <w:kern w:val="28"/>
      <w:sz w:val="28"/>
      <w:szCs w:val="20"/>
    </w:rPr>
  </w:style>
  <w:style w:type="paragraph" w:styleId="12">
    <w:name w:val="Body Text Indent"/>
    <w:basedOn w:val="1"/>
    <w:next w:val="1"/>
    <w:link w:val="46"/>
    <w:qFormat/>
    <w:uiPriority w:val="99"/>
    <w:pPr>
      <w:widowControl w:val="0"/>
      <w:adjustRightInd w:val="0"/>
      <w:spacing w:after="0" w:line="480" w:lineRule="exact"/>
      <w:ind w:firstLine="480" w:firstLineChars="200"/>
      <w:jc w:val="both"/>
    </w:pPr>
    <w:rPr>
      <w:rFonts w:ascii="宋体" w:hAnsi="宋体" w:eastAsia="宋体"/>
      <w:kern w:val="2"/>
    </w:rPr>
  </w:style>
  <w:style w:type="paragraph" w:styleId="13">
    <w:name w:val="caption"/>
    <w:basedOn w:val="1"/>
    <w:next w:val="1"/>
    <w:qFormat/>
    <w:uiPriority w:val="35"/>
    <w:rPr>
      <w:b/>
      <w:bCs/>
      <w:caps/>
      <w:sz w:val="16"/>
      <w:szCs w:val="18"/>
    </w:rPr>
  </w:style>
  <w:style w:type="paragraph" w:styleId="14">
    <w:name w:val="Document Map"/>
    <w:basedOn w:val="1"/>
    <w:semiHidden/>
    <w:qFormat/>
    <w:uiPriority w:val="0"/>
    <w:pPr>
      <w:shd w:val="clear" w:color="auto" w:fill="000080"/>
    </w:pPr>
  </w:style>
  <w:style w:type="paragraph" w:styleId="15">
    <w:name w:val="annotation text"/>
    <w:basedOn w:val="1"/>
    <w:link w:val="48"/>
    <w:qFormat/>
    <w:uiPriority w:val="0"/>
  </w:style>
  <w:style w:type="paragraph" w:styleId="16">
    <w:name w:val="Body Text"/>
    <w:basedOn w:val="1"/>
    <w:link w:val="49"/>
    <w:qFormat/>
    <w:uiPriority w:val="99"/>
    <w:pPr>
      <w:autoSpaceDE w:val="0"/>
      <w:autoSpaceDN w:val="0"/>
      <w:spacing w:line="360" w:lineRule="auto"/>
    </w:pPr>
    <w:rPr>
      <w:rFonts w:ascii="宋体" w:hAnsi="Arial" w:cs="Arial"/>
      <w:szCs w:val="21"/>
      <w:lang w:val="zh-CN"/>
    </w:rPr>
  </w:style>
  <w:style w:type="paragraph" w:styleId="17">
    <w:name w:val="toc 3"/>
    <w:basedOn w:val="1"/>
    <w:next w:val="1"/>
    <w:qFormat/>
    <w:locked/>
    <w:uiPriority w:val="0"/>
    <w:pPr>
      <w:tabs>
        <w:tab w:val="right" w:leader="dot" w:pos="8268"/>
      </w:tabs>
      <w:spacing w:line="460" w:lineRule="exact"/>
      <w:ind w:left="840" w:leftChars="400" w:firstLine="482"/>
    </w:pPr>
    <w:rPr>
      <w:rFonts w:ascii="宋体" w:hAnsi="宋体"/>
    </w:rPr>
  </w:style>
  <w:style w:type="paragraph" w:styleId="18">
    <w:name w:val="Plain Text"/>
    <w:basedOn w:val="1"/>
    <w:link w:val="50"/>
    <w:qFormat/>
    <w:uiPriority w:val="0"/>
    <w:pPr>
      <w:widowControl w:val="0"/>
      <w:adjustRightInd w:val="0"/>
      <w:spacing w:after="0"/>
      <w:jc w:val="both"/>
    </w:pPr>
    <w:rPr>
      <w:rFonts w:ascii="宋体" w:hAnsi="Courier New" w:eastAsia="宋体" w:cs="Arial"/>
      <w:kern w:val="2"/>
      <w:sz w:val="21"/>
      <w:szCs w:val="21"/>
    </w:rPr>
  </w:style>
  <w:style w:type="paragraph" w:styleId="19">
    <w:name w:val="Body Text Indent 2"/>
    <w:basedOn w:val="1"/>
    <w:qFormat/>
    <w:uiPriority w:val="0"/>
    <w:pPr>
      <w:spacing w:line="360" w:lineRule="auto"/>
      <w:ind w:firstLine="601"/>
      <w:textAlignment w:val="baseline"/>
    </w:pPr>
    <w:rPr>
      <w:rFonts w:ascii="宋体"/>
      <w:sz w:val="28"/>
      <w:szCs w:val="20"/>
    </w:rPr>
  </w:style>
  <w:style w:type="paragraph" w:styleId="20">
    <w:name w:val="Balloon Text"/>
    <w:basedOn w:val="1"/>
    <w:link w:val="51"/>
    <w:semiHidden/>
    <w:qFormat/>
    <w:uiPriority w:val="99"/>
    <w:pPr>
      <w:spacing w:after="0"/>
    </w:pPr>
    <w:rPr>
      <w:sz w:val="18"/>
      <w:szCs w:val="18"/>
    </w:rPr>
  </w:style>
  <w:style w:type="paragraph" w:styleId="21">
    <w:name w:val="footer"/>
    <w:basedOn w:val="1"/>
    <w:link w:val="52"/>
    <w:qFormat/>
    <w:uiPriority w:val="99"/>
    <w:pPr>
      <w:tabs>
        <w:tab w:val="center" w:pos="4153"/>
        <w:tab w:val="right" w:pos="8306"/>
      </w:tabs>
      <w:snapToGrid w:val="0"/>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next w:val="1"/>
    <w:link w:val="54"/>
    <w:qFormat/>
    <w:uiPriority w:val="11"/>
    <w:rPr>
      <w:i/>
      <w:iCs/>
      <w:smallCaps/>
      <w:spacing w:val="10"/>
      <w:sz w:val="28"/>
      <w:szCs w:val="28"/>
    </w:rPr>
  </w:style>
  <w:style w:type="paragraph" w:styleId="25">
    <w:name w:val="Normal (Web)"/>
    <w:basedOn w:val="1"/>
    <w:qFormat/>
    <w:uiPriority w:val="0"/>
  </w:style>
  <w:style w:type="paragraph" w:styleId="26">
    <w:name w:val="Title"/>
    <w:basedOn w:val="1"/>
    <w:next w:val="1"/>
    <w:link w:val="55"/>
    <w:qFormat/>
    <w:uiPriority w:val="10"/>
    <w:pPr>
      <w:spacing w:after="300"/>
      <w:contextualSpacing/>
    </w:pPr>
    <w:rPr>
      <w:smallCaps/>
      <w:sz w:val="52"/>
      <w:szCs w:val="52"/>
    </w:rPr>
  </w:style>
  <w:style w:type="paragraph" w:styleId="27">
    <w:name w:val="annotation subject"/>
    <w:basedOn w:val="15"/>
    <w:next w:val="15"/>
    <w:link w:val="91"/>
    <w:semiHidden/>
    <w:unhideWhenUsed/>
    <w:qFormat/>
    <w:uiPriority w:val="99"/>
    <w:rPr>
      <w:rFonts w:cstheme="majorBidi"/>
      <w:b/>
      <w:bCs/>
    </w:rPr>
  </w:style>
  <w:style w:type="paragraph" w:styleId="28">
    <w:name w:val="Body Text First Indent"/>
    <w:basedOn w:val="16"/>
    <w:link w:val="95"/>
    <w:semiHidden/>
    <w:unhideWhenUsed/>
    <w:qFormat/>
    <w:uiPriority w:val="99"/>
    <w:pPr>
      <w:autoSpaceDE/>
      <w:autoSpaceDN/>
      <w:spacing w:after="120" w:line="240" w:lineRule="auto"/>
      <w:ind w:firstLine="420" w:firstLineChars="100"/>
    </w:pPr>
    <w:rPr>
      <w:rFonts w:ascii="仿宋" w:hAnsi="仿宋" w:cs="Times New Roman"/>
      <w:szCs w:val="24"/>
      <w:lang w:val="en-US"/>
    </w:rPr>
  </w:style>
  <w:style w:type="paragraph" w:styleId="29">
    <w:name w:val="Body Text First Indent 2"/>
    <w:basedOn w:val="12"/>
    <w:next w:val="16"/>
    <w:qFormat/>
    <w:uiPriority w:val="0"/>
    <w:pPr>
      <w:adjustRightInd/>
      <w:spacing w:after="120" w:line="240" w:lineRule="auto"/>
      <w:ind w:left="420" w:leftChars="200" w:firstLine="210"/>
    </w:pPr>
    <w:rPr>
      <w:sz w:val="21"/>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rFonts w:cs="Times New Roman"/>
      <w:b/>
    </w:rPr>
  </w:style>
  <w:style w:type="character" w:styleId="34">
    <w:name w:val="Emphasis"/>
    <w:basedOn w:val="32"/>
    <w:qFormat/>
    <w:uiPriority w:val="0"/>
    <w:rPr>
      <w:rFonts w:cs="Times New Roman"/>
      <w:b/>
      <w:i/>
      <w:spacing w:val="10"/>
    </w:rPr>
  </w:style>
  <w:style w:type="character" w:styleId="35">
    <w:name w:val="Hyperlink"/>
    <w:basedOn w:val="32"/>
    <w:qFormat/>
    <w:uiPriority w:val="99"/>
    <w:rPr>
      <w:rFonts w:ascii="Arial" w:hAnsi="Arial" w:eastAsia="黑体" w:cs="Times New Roman"/>
      <w:snapToGrid w:val="0"/>
      <w:color w:val="000000"/>
      <w:kern w:val="0"/>
      <w:sz w:val="18"/>
      <w:u w:val="none"/>
    </w:rPr>
  </w:style>
  <w:style w:type="character" w:styleId="36">
    <w:name w:val="annotation reference"/>
    <w:basedOn w:val="32"/>
    <w:unhideWhenUsed/>
    <w:qFormat/>
    <w:uiPriority w:val="0"/>
    <w:rPr>
      <w:sz w:val="21"/>
      <w:szCs w:val="21"/>
    </w:rPr>
  </w:style>
  <w:style w:type="character" w:customStyle="1" w:styleId="37">
    <w:name w:val="标题 3 字符"/>
    <w:basedOn w:val="32"/>
    <w:link w:val="2"/>
    <w:qFormat/>
    <w:locked/>
    <w:uiPriority w:val="99"/>
    <w:rPr>
      <w:rFonts w:ascii="仿宋" w:hAnsi="仿宋" w:eastAsia="仿宋" w:cs="Times New Roman"/>
      <w:b/>
      <w:sz w:val="24"/>
      <w:szCs w:val="24"/>
    </w:rPr>
  </w:style>
  <w:style w:type="character" w:customStyle="1" w:styleId="38">
    <w:name w:val="标题 1 字符"/>
    <w:basedOn w:val="32"/>
    <w:link w:val="3"/>
    <w:qFormat/>
    <w:locked/>
    <w:uiPriority w:val="9"/>
    <w:rPr>
      <w:rFonts w:ascii="仿宋_GB2312" w:hAnsi="仿宋" w:eastAsia="仿宋_GB2312" w:cs="Times New Roman"/>
      <w:b/>
      <w:smallCaps/>
      <w:spacing w:val="5"/>
      <w:sz w:val="36"/>
      <w:szCs w:val="36"/>
    </w:rPr>
  </w:style>
  <w:style w:type="character" w:customStyle="1" w:styleId="39">
    <w:name w:val="标题 2 字符"/>
    <w:basedOn w:val="32"/>
    <w:link w:val="4"/>
    <w:qFormat/>
    <w:locked/>
    <w:uiPriority w:val="9"/>
    <w:rPr>
      <w:rFonts w:ascii="仿宋" w:hAnsi="仿宋" w:eastAsia="仿宋" w:cs="Times New Roman"/>
      <w:b/>
      <w:smallCaps/>
      <w:sz w:val="28"/>
      <w:szCs w:val="28"/>
    </w:rPr>
  </w:style>
  <w:style w:type="character" w:customStyle="1" w:styleId="40">
    <w:name w:val="标题 4 字符"/>
    <w:basedOn w:val="32"/>
    <w:link w:val="5"/>
    <w:qFormat/>
    <w:locked/>
    <w:uiPriority w:val="9"/>
    <w:rPr>
      <w:rFonts w:cs="Times New Roman"/>
      <w:b/>
      <w:bCs/>
      <w:spacing w:val="5"/>
      <w:sz w:val="24"/>
      <w:szCs w:val="24"/>
    </w:rPr>
  </w:style>
  <w:style w:type="character" w:customStyle="1" w:styleId="41">
    <w:name w:val="标题 5 字符"/>
    <w:basedOn w:val="32"/>
    <w:link w:val="6"/>
    <w:qFormat/>
    <w:locked/>
    <w:uiPriority w:val="9"/>
    <w:rPr>
      <w:rFonts w:cs="Times New Roman"/>
      <w:i/>
      <w:iCs/>
      <w:sz w:val="24"/>
      <w:szCs w:val="24"/>
    </w:rPr>
  </w:style>
  <w:style w:type="character" w:customStyle="1" w:styleId="42">
    <w:name w:val="标题 6 字符"/>
    <w:basedOn w:val="32"/>
    <w:link w:val="7"/>
    <w:semiHidden/>
    <w:qFormat/>
    <w:locked/>
    <w:uiPriority w:val="9"/>
    <w:rPr>
      <w:rFonts w:cs="Times New Roman"/>
      <w:b/>
      <w:bCs/>
      <w:color w:val="595959"/>
      <w:spacing w:val="5"/>
      <w:shd w:val="clear" w:color="auto" w:fill="FFFFFF"/>
    </w:rPr>
  </w:style>
  <w:style w:type="character" w:customStyle="1" w:styleId="43">
    <w:name w:val="标题 7 字符"/>
    <w:basedOn w:val="32"/>
    <w:link w:val="8"/>
    <w:semiHidden/>
    <w:qFormat/>
    <w:locked/>
    <w:uiPriority w:val="9"/>
    <w:rPr>
      <w:rFonts w:cs="Times New Roman"/>
      <w:b/>
      <w:bCs/>
      <w:i/>
      <w:iCs/>
      <w:color w:val="595959"/>
      <w:sz w:val="20"/>
      <w:szCs w:val="20"/>
    </w:rPr>
  </w:style>
  <w:style w:type="character" w:customStyle="1" w:styleId="44">
    <w:name w:val="标题 8 字符"/>
    <w:basedOn w:val="32"/>
    <w:link w:val="9"/>
    <w:semiHidden/>
    <w:qFormat/>
    <w:locked/>
    <w:uiPriority w:val="9"/>
    <w:rPr>
      <w:rFonts w:cs="Times New Roman"/>
      <w:b/>
      <w:bCs/>
      <w:color w:val="7F7F7F"/>
      <w:sz w:val="20"/>
      <w:szCs w:val="20"/>
    </w:rPr>
  </w:style>
  <w:style w:type="character" w:customStyle="1" w:styleId="45">
    <w:name w:val="标题 9 字符"/>
    <w:basedOn w:val="32"/>
    <w:link w:val="10"/>
    <w:semiHidden/>
    <w:qFormat/>
    <w:locked/>
    <w:uiPriority w:val="9"/>
    <w:rPr>
      <w:rFonts w:cs="Times New Roman"/>
      <w:b/>
      <w:bCs/>
      <w:i/>
      <w:iCs/>
      <w:color w:val="7F7F7F"/>
      <w:sz w:val="18"/>
      <w:szCs w:val="18"/>
    </w:rPr>
  </w:style>
  <w:style w:type="character" w:customStyle="1" w:styleId="46">
    <w:name w:val="正文文本缩进 字符"/>
    <w:basedOn w:val="32"/>
    <w:link w:val="12"/>
    <w:qFormat/>
    <w:locked/>
    <w:uiPriority w:val="99"/>
    <w:rPr>
      <w:rFonts w:ascii="宋体" w:hAnsi="宋体" w:eastAsia="宋体"/>
      <w:kern w:val="2"/>
      <w:sz w:val="24"/>
    </w:rPr>
  </w:style>
  <w:style w:type="character" w:customStyle="1" w:styleId="47">
    <w:name w:val="正文缩进 字符"/>
    <w:link w:val="11"/>
    <w:qFormat/>
    <w:locked/>
    <w:uiPriority w:val="0"/>
    <w:rPr>
      <w:rFonts w:ascii="宋体" w:hAnsi="Times New Roman" w:eastAsia="宋体"/>
      <w:snapToGrid w:val="0"/>
      <w:color w:val="000000"/>
      <w:kern w:val="28"/>
      <w:sz w:val="20"/>
    </w:rPr>
  </w:style>
  <w:style w:type="character" w:customStyle="1" w:styleId="48">
    <w:name w:val="批注文字 字符1"/>
    <w:basedOn w:val="32"/>
    <w:link w:val="15"/>
    <w:qFormat/>
    <w:uiPriority w:val="99"/>
    <w:rPr>
      <w:rFonts w:ascii="仿宋" w:hAnsi="仿宋" w:eastAsia="仿宋"/>
      <w:sz w:val="24"/>
      <w:szCs w:val="24"/>
    </w:rPr>
  </w:style>
  <w:style w:type="character" w:customStyle="1" w:styleId="49">
    <w:name w:val="正文文本 字符"/>
    <w:basedOn w:val="32"/>
    <w:link w:val="16"/>
    <w:semiHidden/>
    <w:qFormat/>
    <w:uiPriority w:val="99"/>
    <w:rPr>
      <w:rFonts w:ascii="仿宋" w:hAnsi="仿宋" w:eastAsia="仿宋"/>
      <w:kern w:val="0"/>
      <w:sz w:val="24"/>
      <w:szCs w:val="24"/>
    </w:rPr>
  </w:style>
  <w:style w:type="character" w:customStyle="1" w:styleId="50">
    <w:name w:val="纯文本 字符"/>
    <w:basedOn w:val="32"/>
    <w:link w:val="18"/>
    <w:qFormat/>
    <w:locked/>
    <w:uiPriority w:val="0"/>
    <w:rPr>
      <w:rFonts w:ascii="宋体" w:hAnsi="Courier New" w:eastAsia="宋体" w:cs="Arial"/>
      <w:snapToGrid w:val="0"/>
      <w:kern w:val="2"/>
      <w:sz w:val="21"/>
      <w:szCs w:val="21"/>
    </w:rPr>
  </w:style>
  <w:style w:type="character" w:customStyle="1" w:styleId="51">
    <w:name w:val="批注框文本 字符"/>
    <w:basedOn w:val="32"/>
    <w:link w:val="20"/>
    <w:semiHidden/>
    <w:qFormat/>
    <w:locked/>
    <w:uiPriority w:val="99"/>
    <w:rPr>
      <w:rFonts w:ascii="仿宋" w:hAnsi="仿宋" w:eastAsia="仿宋" w:cs="Times New Roman"/>
      <w:sz w:val="18"/>
      <w:szCs w:val="18"/>
    </w:rPr>
  </w:style>
  <w:style w:type="character" w:customStyle="1" w:styleId="52">
    <w:name w:val="页脚 字符"/>
    <w:basedOn w:val="32"/>
    <w:link w:val="21"/>
    <w:qFormat/>
    <w:locked/>
    <w:uiPriority w:val="99"/>
    <w:rPr>
      <w:rFonts w:cs="Times New Roman"/>
      <w:sz w:val="18"/>
      <w:szCs w:val="18"/>
    </w:rPr>
  </w:style>
  <w:style w:type="character" w:customStyle="1" w:styleId="53">
    <w:name w:val="页眉 字符"/>
    <w:basedOn w:val="32"/>
    <w:link w:val="23"/>
    <w:qFormat/>
    <w:locked/>
    <w:uiPriority w:val="99"/>
    <w:rPr>
      <w:rFonts w:cs="Times New Roman"/>
      <w:sz w:val="18"/>
      <w:szCs w:val="18"/>
    </w:rPr>
  </w:style>
  <w:style w:type="character" w:customStyle="1" w:styleId="54">
    <w:name w:val="副标题 字符"/>
    <w:basedOn w:val="32"/>
    <w:link w:val="24"/>
    <w:qFormat/>
    <w:locked/>
    <w:uiPriority w:val="11"/>
    <w:rPr>
      <w:rFonts w:cs="Times New Roman"/>
      <w:i/>
      <w:iCs/>
      <w:smallCaps/>
      <w:spacing w:val="10"/>
      <w:sz w:val="28"/>
      <w:szCs w:val="28"/>
    </w:rPr>
  </w:style>
  <w:style w:type="character" w:customStyle="1" w:styleId="55">
    <w:name w:val="标题 字符"/>
    <w:basedOn w:val="32"/>
    <w:link w:val="26"/>
    <w:qFormat/>
    <w:locked/>
    <w:uiPriority w:val="10"/>
    <w:rPr>
      <w:rFonts w:cs="Times New Roman"/>
      <w:smallCaps/>
      <w:sz w:val="52"/>
      <w:szCs w:val="52"/>
    </w:rPr>
  </w:style>
  <w:style w:type="paragraph" w:customStyle="1" w:styleId="56">
    <w:name w:val="正文1"/>
    <w:basedOn w:val="17"/>
    <w:qFormat/>
    <w:uiPriority w:val="0"/>
    <w:pPr>
      <w:ind w:left="0" w:leftChars="0" w:firstLine="480" w:firstLineChars="200"/>
    </w:pPr>
    <w:rPr>
      <w:rFonts w:ascii="仿宋_GB2312" w:hAnsi="Courier New" w:eastAsia="仿宋_GB2312"/>
      <w:kern w:val="28"/>
    </w:rPr>
  </w:style>
  <w:style w:type="paragraph" w:styleId="57">
    <w:name w:val="No Spacing"/>
    <w:basedOn w:val="1"/>
    <w:link w:val="58"/>
    <w:qFormat/>
    <w:uiPriority w:val="1"/>
    <w:pPr>
      <w:spacing w:after="0"/>
    </w:pPr>
  </w:style>
  <w:style w:type="character" w:customStyle="1" w:styleId="58">
    <w:name w:val="无间隔 字符"/>
    <w:basedOn w:val="32"/>
    <w:link w:val="57"/>
    <w:qFormat/>
    <w:locked/>
    <w:uiPriority w:val="1"/>
    <w:rPr>
      <w:rFonts w:cs="Times New Roman"/>
    </w:rPr>
  </w:style>
  <w:style w:type="paragraph" w:styleId="59">
    <w:name w:val="List Paragraph"/>
    <w:basedOn w:val="1"/>
    <w:qFormat/>
    <w:uiPriority w:val="34"/>
    <w:pPr>
      <w:ind w:left="720"/>
      <w:contextualSpacing/>
    </w:pPr>
  </w:style>
  <w:style w:type="paragraph" w:styleId="60">
    <w:name w:val="Quote"/>
    <w:basedOn w:val="1"/>
    <w:next w:val="1"/>
    <w:link w:val="61"/>
    <w:qFormat/>
    <w:uiPriority w:val="29"/>
    <w:rPr>
      <w:i/>
      <w:iCs/>
    </w:rPr>
  </w:style>
  <w:style w:type="character" w:customStyle="1" w:styleId="61">
    <w:name w:val="引用 字符"/>
    <w:basedOn w:val="32"/>
    <w:link w:val="60"/>
    <w:qFormat/>
    <w:locked/>
    <w:uiPriority w:val="29"/>
    <w:rPr>
      <w:rFonts w:cs="Times New Roman"/>
      <w:i/>
      <w:iCs/>
    </w:rPr>
  </w:style>
  <w:style w:type="paragraph" w:styleId="62">
    <w:name w:val="Intense Quote"/>
    <w:basedOn w:val="1"/>
    <w:next w:val="1"/>
    <w:link w:val="63"/>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63">
    <w:name w:val="明显引用 字符"/>
    <w:basedOn w:val="32"/>
    <w:link w:val="62"/>
    <w:qFormat/>
    <w:locked/>
    <w:uiPriority w:val="30"/>
    <w:rPr>
      <w:rFonts w:cs="Times New Roman"/>
      <w:i/>
      <w:iCs/>
    </w:rPr>
  </w:style>
  <w:style w:type="character" w:customStyle="1" w:styleId="64">
    <w:name w:val="不明显强调1"/>
    <w:qFormat/>
    <w:uiPriority w:val="19"/>
    <w:rPr>
      <w:i/>
    </w:rPr>
  </w:style>
  <w:style w:type="character" w:customStyle="1" w:styleId="65">
    <w:name w:val="明显强调1"/>
    <w:qFormat/>
    <w:uiPriority w:val="21"/>
    <w:rPr>
      <w:b/>
      <w:i/>
    </w:rPr>
  </w:style>
  <w:style w:type="character" w:customStyle="1" w:styleId="66">
    <w:name w:val="不明显参考1"/>
    <w:basedOn w:val="32"/>
    <w:qFormat/>
    <w:uiPriority w:val="31"/>
    <w:rPr>
      <w:rFonts w:cs="Times New Roman"/>
      <w:smallCaps/>
    </w:rPr>
  </w:style>
  <w:style w:type="character" w:customStyle="1" w:styleId="67">
    <w:name w:val="明显参考1"/>
    <w:qFormat/>
    <w:uiPriority w:val="32"/>
    <w:rPr>
      <w:b/>
      <w:smallCaps/>
    </w:rPr>
  </w:style>
  <w:style w:type="character" w:customStyle="1" w:styleId="68">
    <w:name w:val="书籍标题1"/>
    <w:basedOn w:val="32"/>
    <w:qFormat/>
    <w:uiPriority w:val="33"/>
    <w:rPr>
      <w:rFonts w:cs="Times New Roman"/>
      <w:i/>
      <w:iCs/>
      <w:smallCaps/>
      <w:spacing w:val="5"/>
    </w:rPr>
  </w:style>
  <w:style w:type="paragraph" w:customStyle="1" w:styleId="69">
    <w:name w:val="TOC 标题1"/>
    <w:basedOn w:val="3"/>
    <w:next w:val="1"/>
    <w:semiHidden/>
    <w:qFormat/>
    <w:uiPriority w:val="39"/>
    <w:pPr>
      <w:outlineLvl w:val="9"/>
    </w:pPr>
  </w:style>
  <w:style w:type="paragraph" w:customStyle="1" w:styleId="70">
    <w:name w:val="Personal Name"/>
    <w:basedOn w:val="26"/>
    <w:qFormat/>
    <w:uiPriority w:val="0"/>
    <w:rPr>
      <w:b/>
      <w:caps/>
      <w:color w:val="000000"/>
      <w:sz w:val="28"/>
      <w:szCs w:val="28"/>
    </w:rPr>
  </w:style>
  <w:style w:type="character" w:customStyle="1" w:styleId="71">
    <w:name w:val="正文2 Char Char"/>
    <w:link w:val="72"/>
    <w:qFormat/>
    <w:locked/>
    <w:uiPriority w:val="0"/>
    <w:rPr>
      <w:rFonts w:ascii="仿宋" w:hAnsi="仿宋" w:eastAsia="仿宋"/>
      <w:sz w:val="24"/>
    </w:rPr>
  </w:style>
  <w:style w:type="paragraph" w:customStyle="1" w:styleId="72">
    <w:name w:val="正文2"/>
    <w:basedOn w:val="1"/>
    <w:link w:val="71"/>
    <w:qFormat/>
    <w:uiPriority w:val="0"/>
    <w:pPr>
      <w:spacing w:line="360" w:lineRule="auto"/>
    </w:pPr>
  </w:style>
  <w:style w:type="character" w:customStyle="1" w:styleId="73">
    <w:name w:val="正文文本缩进 Char"/>
    <w:basedOn w:val="32"/>
    <w:semiHidden/>
    <w:qFormat/>
    <w:uiPriority w:val="99"/>
    <w:rPr>
      <w:rFonts w:ascii="仿宋" w:hAnsi="仿宋" w:eastAsia="仿宋" w:cs="Times New Roman"/>
      <w:sz w:val="24"/>
      <w:szCs w:val="24"/>
    </w:rPr>
  </w:style>
  <w:style w:type="character" w:customStyle="1" w:styleId="74">
    <w:name w:val="标题 Char2"/>
    <w:qFormat/>
    <w:uiPriority w:val="10"/>
    <w:rPr>
      <w:b/>
      <w:sz w:val="24"/>
      <w:lang w:val="en-GB"/>
    </w:rPr>
  </w:style>
  <w:style w:type="character" w:customStyle="1" w:styleId="75">
    <w:name w:val="纯文本 Char1"/>
    <w:link w:val="76"/>
    <w:qFormat/>
    <w:locked/>
    <w:uiPriority w:val="0"/>
    <w:rPr>
      <w:rFonts w:ascii="宋体" w:hAnsi="Courier New"/>
    </w:rPr>
  </w:style>
  <w:style w:type="paragraph" w:customStyle="1" w:styleId="76">
    <w:name w:val="纯文本1"/>
    <w:basedOn w:val="1"/>
    <w:link w:val="75"/>
    <w:qFormat/>
    <w:uiPriority w:val="0"/>
    <w:pPr>
      <w:widowControl w:val="0"/>
      <w:spacing w:after="0"/>
      <w:jc w:val="both"/>
    </w:pPr>
    <w:rPr>
      <w:rFonts w:ascii="宋体" w:hAnsi="Courier New" w:eastAsia="宋体"/>
      <w:sz w:val="20"/>
      <w:szCs w:val="20"/>
    </w:rPr>
  </w:style>
  <w:style w:type="character" w:customStyle="1" w:styleId="77">
    <w:name w:val="页脚 Char2"/>
    <w:qFormat/>
    <w:locked/>
    <w:uiPriority w:val="99"/>
    <w:rPr>
      <w:kern w:val="2"/>
      <w:sz w:val="18"/>
    </w:rPr>
  </w:style>
  <w:style w:type="character" w:customStyle="1" w:styleId="78">
    <w:name w:val="页眉 Char2"/>
    <w:qFormat/>
    <w:uiPriority w:val="99"/>
    <w:rPr>
      <w:kern w:val="2"/>
      <w:sz w:val="18"/>
    </w:rPr>
  </w:style>
  <w:style w:type="paragraph" w:customStyle="1" w:styleId="79">
    <w:name w:val="索引 11"/>
    <w:basedOn w:val="1"/>
    <w:next w:val="1"/>
    <w:qFormat/>
    <w:uiPriority w:val="99"/>
    <w:pPr>
      <w:widowControl w:val="0"/>
      <w:spacing w:after="0" w:line="360" w:lineRule="auto"/>
      <w:jc w:val="both"/>
    </w:pPr>
    <w:rPr>
      <w:rFonts w:ascii="仿宋_GB2312" w:hAnsi="Times New Roman" w:eastAsia="仿宋_GB2312"/>
      <w:kern w:val="2"/>
      <w:szCs w:val="20"/>
    </w:rPr>
  </w:style>
  <w:style w:type="paragraph" w:customStyle="1" w:styleId="80">
    <w:name w:val="正文缩进1"/>
    <w:basedOn w:val="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kern w:val="2"/>
      <w:szCs w:val="21"/>
    </w:rPr>
  </w:style>
  <w:style w:type="paragraph" w:customStyle="1" w:styleId="81">
    <w:name w:val="text-tag"/>
    <w:basedOn w:val="1"/>
    <w:semiHidden/>
    <w:qFormat/>
    <w:uiPriority w:val="99"/>
    <w:pPr>
      <w:spacing w:before="100" w:beforeAutospacing="1" w:after="100" w:afterAutospacing="1"/>
    </w:pPr>
    <w:rPr>
      <w:rFonts w:ascii="宋体" w:hAnsi="宋体" w:eastAsia="宋体" w:cs="宋体"/>
    </w:rPr>
  </w:style>
  <w:style w:type="character" w:customStyle="1" w:styleId="82">
    <w:name w:val="纯文本 Char_0"/>
    <w:link w:val="83"/>
    <w:qFormat/>
    <w:locked/>
    <w:uiPriority w:val="0"/>
    <w:rPr>
      <w:rFonts w:ascii="宋体" w:hAnsi="Courier New"/>
      <w:kern w:val="2"/>
      <w:sz w:val="21"/>
    </w:rPr>
  </w:style>
  <w:style w:type="paragraph" w:customStyle="1" w:styleId="83">
    <w:name w:val="纯文本_0_0"/>
    <w:basedOn w:val="1"/>
    <w:link w:val="82"/>
    <w:qFormat/>
    <w:uiPriority w:val="0"/>
    <w:pPr>
      <w:widowControl w:val="0"/>
      <w:spacing w:after="0"/>
      <w:jc w:val="both"/>
    </w:pPr>
    <w:rPr>
      <w:rFonts w:ascii="宋体" w:hAnsi="Courier New" w:eastAsia="宋体"/>
      <w:kern w:val="2"/>
      <w:sz w:val="21"/>
      <w:szCs w:val="21"/>
    </w:rPr>
  </w:style>
  <w:style w:type="paragraph" w:customStyle="1" w:styleId="84">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b/>
      <w:kern w:val="44"/>
      <w:sz w:val="36"/>
      <w:szCs w:val="20"/>
    </w:rPr>
  </w:style>
  <w:style w:type="paragraph" w:customStyle="1" w:styleId="85">
    <w:name w:val="[Normal]"/>
    <w:qFormat/>
    <w:uiPriority w:val="99"/>
    <w:rPr>
      <w:rFonts w:ascii="宋体" w:hAnsi="宋体" w:eastAsia="宋体" w:cs="Times New Roman"/>
      <w:sz w:val="24"/>
      <w:szCs w:val="22"/>
      <w:lang w:val="zh-CN" w:eastAsia="zh-CN" w:bidi="ar-SA"/>
    </w:rPr>
  </w:style>
  <w:style w:type="character" w:customStyle="1" w:styleId="86">
    <w:name w:val="NormalCharacter"/>
    <w:qFormat/>
    <w:uiPriority w:val="0"/>
    <w:rPr>
      <w:kern w:val="2"/>
      <w:sz w:val="21"/>
      <w:szCs w:val="24"/>
      <w:lang w:val="en-US" w:eastAsia="zh-CN" w:bidi="ar-SA"/>
    </w:rPr>
  </w:style>
  <w:style w:type="paragraph" w:customStyle="1" w:styleId="87">
    <w:name w:val="表格文字"/>
    <w:basedOn w:val="1"/>
    <w:next w:val="11"/>
    <w:qFormat/>
    <w:uiPriority w:val="0"/>
    <w:pPr>
      <w:ind w:firstLine="200" w:firstLineChars="200"/>
    </w:pPr>
    <w:rPr>
      <w:rFonts w:ascii="Arial" w:hAnsi="Arial"/>
      <w:spacing w:val="-5"/>
      <w:szCs w:val="20"/>
    </w:rPr>
  </w:style>
  <w:style w:type="table" w:customStyle="1" w:styleId="88">
    <w:name w:val="Table Normal"/>
    <w:semiHidden/>
    <w:unhideWhenUsed/>
    <w:qFormat/>
    <w:uiPriority w:val="0"/>
    <w:tblPr>
      <w:tblCellMar>
        <w:top w:w="0" w:type="dxa"/>
        <w:left w:w="0" w:type="dxa"/>
        <w:bottom w:w="0" w:type="dxa"/>
        <w:right w:w="0" w:type="dxa"/>
      </w:tblCellMar>
    </w:tblPr>
  </w:style>
  <w:style w:type="paragraph" w:customStyle="1" w:styleId="89">
    <w:name w:val="列出段落1"/>
    <w:basedOn w:val="1"/>
    <w:qFormat/>
    <w:uiPriority w:val="34"/>
    <w:pPr>
      <w:spacing w:line="360" w:lineRule="auto"/>
      <w:ind w:firstLine="420" w:firstLineChars="200"/>
    </w:pPr>
    <w:rPr>
      <w:rFonts w:ascii="Calibri" w:hAnsi="Calibri"/>
      <w:szCs w:val="22"/>
    </w:rPr>
  </w:style>
  <w:style w:type="paragraph" w:customStyle="1" w:styleId="9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91">
    <w:name w:val="批注主题 字符"/>
    <w:basedOn w:val="48"/>
    <w:link w:val="27"/>
    <w:semiHidden/>
    <w:qFormat/>
    <w:uiPriority w:val="99"/>
    <w:rPr>
      <w:rFonts w:ascii="仿宋" w:hAnsi="仿宋" w:eastAsia="仿宋" w:cstheme="majorBidi"/>
      <w:b/>
      <w:bCs/>
      <w:sz w:val="24"/>
      <w:szCs w:val="24"/>
    </w:rPr>
  </w:style>
  <w:style w:type="character" w:customStyle="1" w:styleId="92">
    <w:name w:val="批注文字 字符"/>
    <w:qFormat/>
    <w:uiPriority w:val="0"/>
    <w:rPr>
      <w:kern w:val="2"/>
      <w:sz w:val="21"/>
      <w:szCs w:val="24"/>
    </w:rPr>
  </w:style>
  <w:style w:type="paragraph" w:customStyle="1" w:styleId="93">
    <w:name w:val="修订1"/>
    <w:hidden/>
    <w:unhideWhenUsed/>
    <w:qFormat/>
    <w:uiPriority w:val="99"/>
    <w:rPr>
      <w:rFonts w:ascii="仿宋" w:hAnsi="仿宋" w:eastAsia="仿宋" w:cs="Times New Roman"/>
      <w:sz w:val="24"/>
      <w:szCs w:val="24"/>
      <w:lang w:val="en-US" w:eastAsia="zh-CN" w:bidi="ar-SA"/>
    </w:rPr>
  </w:style>
  <w:style w:type="character" w:customStyle="1" w:styleId="94">
    <w:name w:val="未处理的提及1"/>
    <w:basedOn w:val="32"/>
    <w:semiHidden/>
    <w:unhideWhenUsed/>
    <w:qFormat/>
    <w:uiPriority w:val="99"/>
    <w:rPr>
      <w:color w:val="605E5C"/>
      <w:shd w:val="clear" w:color="auto" w:fill="E1DFDD"/>
    </w:rPr>
  </w:style>
  <w:style w:type="character" w:customStyle="1" w:styleId="95">
    <w:name w:val="正文文本首行缩进 字符"/>
    <w:basedOn w:val="49"/>
    <w:link w:val="28"/>
    <w:semiHidden/>
    <w:qFormat/>
    <w:uiPriority w:val="99"/>
    <w:rPr>
      <w:rFonts w:ascii="仿宋" w:hAnsi="仿宋" w:eastAsia="仿宋"/>
      <w:kern w:val="0"/>
      <w:sz w:val="24"/>
      <w:szCs w:val="24"/>
    </w:rPr>
  </w:style>
  <w:style w:type="character" w:customStyle="1" w:styleId="96">
    <w:name w:val="未处理的提及2"/>
    <w:basedOn w:val="32"/>
    <w:semiHidden/>
    <w:unhideWhenUsed/>
    <w:qFormat/>
    <w:uiPriority w:val="99"/>
    <w:rPr>
      <w:color w:val="605E5C"/>
      <w:shd w:val="clear" w:color="auto" w:fill="E1DFDD"/>
    </w:rPr>
  </w:style>
  <w:style w:type="character" w:customStyle="1" w:styleId="97">
    <w:name w:val="font21"/>
    <w:basedOn w:val="32"/>
    <w:qFormat/>
    <w:uiPriority w:val="0"/>
    <w:rPr>
      <w:rFonts w:ascii="Segoe UI" w:hAnsi="Segoe UI" w:eastAsia="Segoe UI" w:cs="Segoe UI"/>
      <w:color w:val="171A1D"/>
      <w:sz w:val="21"/>
      <w:szCs w:val="21"/>
      <w:u w:val="none"/>
    </w:rPr>
  </w:style>
  <w:style w:type="character" w:customStyle="1" w:styleId="98">
    <w:name w:val="font11"/>
    <w:basedOn w:val="32"/>
    <w:qFormat/>
    <w:uiPriority w:val="0"/>
    <w:rPr>
      <w:rFonts w:hint="eastAsia" w:ascii="宋体" w:hAnsi="宋体" w:eastAsia="宋体" w:cs="宋体"/>
      <w:color w:val="171A1D"/>
      <w:sz w:val="21"/>
      <w:szCs w:val="21"/>
      <w:u w:val="none"/>
    </w:rPr>
  </w:style>
  <w:style w:type="table" w:customStyle="1" w:styleId="99">
    <w:name w:val="网格型1"/>
    <w:basedOn w:val="30"/>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修订2"/>
    <w:hidden/>
    <w:semiHidden/>
    <w:qFormat/>
    <w:uiPriority w:val="99"/>
    <w:rPr>
      <w:rFonts w:ascii="仿宋" w:hAnsi="仿宋" w:eastAsia="仿宋" w:cs="Times New Roman"/>
      <w:sz w:val="24"/>
      <w:szCs w:val="24"/>
      <w:lang w:val="en-US" w:eastAsia="zh-CN" w:bidi="ar-SA"/>
    </w:rPr>
  </w:style>
  <w:style w:type="paragraph" w:customStyle="1" w:styleId="101">
    <w:name w:val="Revision"/>
    <w:hidden/>
    <w:unhideWhenUsed/>
    <w:uiPriority w:val="99"/>
    <w:rPr>
      <w:rFonts w:ascii="仿宋" w:hAnsi="仿宋" w:eastAsia="仿宋"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7B815-72E1-477E-B15C-27DF30CE4BAB}">
  <ds:schemaRefs/>
</ds:datastoreItem>
</file>

<file path=docProps/app.xml><?xml version="1.0" encoding="utf-8"?>
<Properties xmlns="http://schemas.openxmlformats.org/officeDocument/2006/extended-properties" xmlns:vt="http://schemas.openxmlformats.org/officeDocument/2006/docPropsVTypes">
  <Template>Normal</Template>
  <Pages>98</Pages>
  <Words>43343</Words>
  <Characters>49801</Characters>
  <Lines>422</Lines>
  <Paragraphs>119</Paragraphs>
  <TotalTime>10</TotalTime>
  <ScaleCrop>false</ScaleCrop>
  <LinksUpToDate>false</LinksUpToDate>
  <CharactersWithSpaces>54769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2023-02-07T12:06:00Z</dcterms:created>
  <dc:creator>admin</dc:creator>
  <cp:lastModifiedBy>超超</cp:lastModifiedBy>
  <cp:lastPrinted>2022-06-10T09:02:00Z</cp:lastPrinted>
  <dcterms:modified xsi:type="dcterms:W3CDTF">2023-02-16T02:08:21Z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39781A35CDAA4327BD8FB6D7460A26FC</vt:lpwstr>
  </property>
</Properties>
</file>