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p>
    <w:p>
      <w:pPr>
        <w:pStyle w:val="19"/>
        <w:keepNext w:val="0"/>
        <w:keepLines w:val="0"/>
        <w:pageBreakBefore w:val="0"/>
        <w:widowControl/>
        <w:kinsoku/>
        <w:wordWrap/>
        <w:overflowPunct/>
        <w:topLinePunct w:val="0"/>
        <w:autoSpaceDE w:val="0"/>
        <w:autoSpaceDN/>
        <w:bidi w:val="0"/>
        <w:adjustRightInd w:val="0"/>
        <w:snapToGrid w:val="0"/>
        <w:spacing w:before="0" w:beforeAutospacing="0" w:after="0" w:afterAutospacing="0" w:line="240" w:lineRule="auto"/>
        <w:jc w:val="center"/>
        <w:textAlignment w:val="auto"/>
        <w:rPr>
          <w:rFonts w:hint="eastAsia" w:ascii="仿宋" w:hAnsi="仿宋" w:eastAsia="仿宋" w:cs="仿宋"/>
          <w:b/>
          <w:bCs w:val="0"/>
          <w:kern w:val="28"/>
          <w:sz w:val="36"/>
          <w:szCs w:val="36"/>
          <w:lang w:val="en-US" w:eastAsia="zh-CN"/>
        </w:rPr>
      </w:pPr>
      <w:r>
        <w:rPr>
          <w:rFonts w:hint="eastAsia" w:ascii="仿宋" w:hAnsi="仿宋" w:eastAsia="仿宋" w:cs="仿宋"/>
          <w:b/>
          <w:bCs w:val="0"/>
          <w:kern w:val="28"/>
          <w:sz w:val="36"/>
          <w:szCs w:val="36"/>
          <w:lang w:val="en-US" w:eastAsia="zh-CN"/>
        </w:rPr>
        <w:t>杭州市萧山区交通运输局（杭州市萧山区交通运输综合行政执法队）202</w:t>
      </w:r>
      <w:r>
        <w:rPr>
          <w:rFonts w:hint="eastAsia" w:ascii="仿宋" w:hAnsi="仿宋" w:cs="仿宋"/>
          <w:b/>
          <w:bCs w:val="0"/>
          <w:kern w:val="28"/>
          <w:sz w:val="36"/>
          <w:szCs w:val="36"/>
          <w:lang w:val="en-US" w:eastAsia="zh-CN"/>
        </w:rPr>
        <w:t>2</w:t>
      </w:r>
      <w:r>
        <w:rPr>
          <w:rFonts w:hint="eastAsia" w:ascii="仿宋" w:hAnsi="仿宋" w:eastAsia="仿宋" w:cs="仿宋"/>
          <w:b/>
          <w:bCs w:val="0"/>
          <w:kern w:val="28"/>
          <w:sz w:val="36"/>
          <w:szCs w:val="36"/>
          <w:lang w:val="en-US" w:eastAsia="zh-CN"/>
        </w:rPr>
        <w:t>年度职工疗休养采购项目</w:t>
      </w:r>
    </w:p>
    <w:p>
      <w:pPr>
        <w:pStyle w:val="4"/>
        <w:rPr>
          <w:rFonts w:hint="eastAsia"/>
        </w:rPr>
      </w:pPr>
    </w:p>
    <w:p>
      <w:pPr>
        <w:jc w:val="center"/>
        <w:rPr>
          <w:b/>
          <w:bCs/>
          <w:sz w:val="48"/>
          <w:szCs w:val="48"/>
        </w:rPr>
      </w:pPr>
      <w:r>
        <w:rPr>
          <w:rFonts w:hint="eastAsia"/>
          <w:b/>
          <w:bCs/>
          <w:sz w:val="48"/>
          <w:szCs w:val="48"/>
        </w:rPr>
        <w:t>招标文件</w:t>
      </w:r>
    </w:p>
    <w:p>
      <w:pPr>
        <w:jc w:val="center"/>
        <w:rPr>
          <w:b/>
          <w:bCs/>
          <w:sz w:val="48"/>
          <w:szCs w:val="48"/>
        </w:rPr>
      </w:pPr>
      <w:r>
        <w:rPr>
          <w:b/>
          <w:bCs/>
          <w:sz w:val="48"/>
          <w:szCs w:val="48"/>
        </w:rPr>
        <w:t>（电子招投标）</w:t>
      </w:r>
    </w:p>
    <w:p>
      <w:pPr>
        <w:jc w:val="center"/>
        <w:rPr>
          <w:sz w:val="36"/>
        </w:rPr>
      </w:pPr>
      <w:r>
        <w:rPr>
          <w:rFonts w:hint="eastAsia"/>
          <w:sz w:val="36"/>
        </w:rPr>
        <w:t>编号</w:t>
      </w:r>
      <w:r>
        <w:rPr>
          <w:sz w:val="36"/>
        </w:rPr>
        <w:t>:</w:t>
      </w:r>
      <w:r>
        <w:rPr>
          <w:rFonts w:hint="eastAsia"/>
          <w:sz w:val="36"/>
        </w:rPr>
        <w:t>（</w:t>
      </w:r>
      <w:r>
        <w:rPr>
          <w:rFonts w:hint="eastAsia"/>
          <w:sz w:val="36"/>
          <w:lang w:val="en-US" w:eastAsia="zh-CN"/>
        </w:rPr>
        <w:t xml:space="preserve"> ZJXS2021-GK-037 </w:t>
      </w:r>
      <w:r>
        <w:rPr>
          <w:rFonts w:hint="eastAsia"/>
          <w:sz w:val="36"/>
        </w:rPr>
        <w:t>）</w:t>
      </w:r>
    </w:p>
    <w:p>
      <w:pPr>
        <w:jc w:val="center"/>
        <w:rPr>
          <w:sz w:val="36"/>
        </w:rPr>
      </w:pPr>
    </w:p>
    <w:p>
      <w:pPr>
        <w:jc w:val="center"/>
        <w:rPr>
          <w:sz w:val="36"/>
        </w:rPr>
      </w:pPr>
    </w:p>
    <w:p>
      <w:pPr>
        <w:jc w:val="center"/>
        <w:rPr>
          <w:sz w:val="36"/>
        </w:rPr>
      </w:pPr>
    </w:p>
    <w:p>
      <w:pPr>
        <w:pStyle w:val="5"/>
      </w:pPr>
    </w:p>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杭州市</w:t>
      </w:r>
      <w:r>
        <w:rPr>
          <w:rFonts w:hint="eastAsia" w:ascii="仿宋" w:hAnsi="仿宋" w:eastAsia="仿宋" w:cs="仿宋_GB2312"/>
          <w:bCs/>
          <w:sz w:val="32"/>
          <w:szCs w:val="32"/>
        </w:rPr>
        <w:t>萧山区</w:t>
      </w:r>
      <w:r>
        <w:rPr>
          <w:rFonts w:hint="eastAsia" w:ascii="仿宋" w:hAnsi="仿宋" w:eastAsia="仿宋" w:cs="仿宋_GB2312"/>
          <w:bCs/>
          <w:sz w:val="32"/>
          <w:szCs w:val="32"/>
          <w:lang w:val="en-US" w:eastAsia="zh-CN"/>
        </w:rPr>
        <w:t>交通运输局</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（杭州市萧山区交通运输综合行政执法队）</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 w:hAnsi="仿宋" w:eastAsia="仿宋" w:cs="仿宋_GB2312"/>
          <w:bCs/>
          <w:sz w:val="32"/>
          <w:szCs w:val="32"/>
        </w:rPr>
      </w:pPr>
      <w:r>
        <w:rPr>
          <w:rFonts w:hint="eastAsia" w:ascii="仿宋" w:hAnsi="仿宋" w:eastAsia="仿宋" w:cs="仿宋_GB2312"/>
          <w:bCs/>
          <w:sz w:val="32"/>
          <w:szCs w:val="32"/>
        </w:rPr>
        <w:t>浙江翔实建设项目管理有限公司</w:t>
      </w:r>
    </w:p>
    <w:p>
      <w:pPr>
        <w:keepNext w:val="0"/>
        <w:keepLines w:val="0"/>
        <w:pageBreakBefore w:val="0"/>
        <w:widowControl/>
        <w:kinsoku/>
        <w:wordWrap/>
        <w:overflowPunct/>
        <w:topLinePunct w:val="0"/>
        <w:autoSpaceDE/>
        <w:autoSpaceDN/>
        <w:bidi w:val="0"/>
        <w:adjustRightInd/>
        <w:spacing w:line="240" w:lineRule="auto"/>
        <w:jc w:val="center"/>
        <w:textAlignment w:val="auto"/>
        <w:rPr>
          <w:sz w:val="36"/>
        </w:rPr>
      </w:pPr>
      <w:r>
        <w:rPr>
          <w:rFonts w:hint="eastAsia"/>
          <w:sz w:val="36"/>
          <w:lang w:val="en-US" w:eastAsia="zh-CN"/>
        </w:rPr>
        <w:t>二</w:t>
      </w:r>
      <w:r>
        <w:rPr>
          <w:rFonts w:hint="eastAsia" w:ascii="宋体" w:hAnsi="宋体" w:cs="宋体"/>
          <w:bCs/>
          <w:sz w:val="32"/>
          <w:szCs w:val="32"/>
        </w:rPr>
        <w:t>〇</w:t>
      </w:r>
      <w:r>
        <w:rPr>
          <w:rFonts w:hint="eastAsia"/>
          <w:sz w:val="36"/>
          <w:lang w:val="en-US" w:eastAsia="zh-CN"/>
        </w:rPr>
        <w:t>二二</w:t>
      </w:r>
      <w:r>
        <w:rPr>
          <w:rFonts w:hint="eastAsia"/>
          <w:sz w:val="36"/>
        </w:rPr>
        <w:t>年</w:t>
      </w:r>
      <w:r>
        <w:rPr>
          <w:rFonts w:hint="eastAsia"/>
          <w:sz w:val="36"/>
          <w:lang w:eastAsia="zh-CN"/>
        </w:rPr>
        <w:t>七</w:t>
      </w:r>
      <w:r>
        <w:rPr>
          <w:rFonts w:hint="eastAsia"/>
          <w:sz w:val="36"/>
        </w:rPr>
        <w:t>月</w:t>
      </w:r>
      <w:r>
        <w:rPr>
          <w:rFonts w:hint="eastAsia"/>
          <w:sz w:val="36"/>
          <w:lang w:eastAsia="zh-CN"/>
        </w:rPr>
        <w:t>五</w:t>
      </w:r>
      <w:r>
        <w:rPr>
          <w:rFonts w:hint="eastAsia"/>
          <w:sz w:val="36"/>
        </w:rPr>
        <w:t>日</w:t>
      </w:r>
    </w:p>
    <w:p>
      <w:pPr>
        <w:jc w:val="cente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4"/>
      </w:pPr>
      <w:r>
        <w:rPr>
          <w:rFonts w:hint="eastAsia"/>
        </w:rPr>
        <w:t>第一部分</w:t>
      </w:r>
      <w:r>
        <w:t xml:space="preserve"> </w:t>
      </w:r>
      <w:r>
        <w:rPr>
          <w:rFonts w:hint="eastAsia"/>
        </w:rPr>
        <w:t>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ind w:firstLine="480" w:firstLineChars="200"/>
              <w:rPr>
                <w:color w:val="000000" w:themeColor="text1"/>
                <w:u w:val="single"/>
                <w14:textFill>
                  <w14:solidFill>
                    <w14:schemeClr w14:val="tx1"/>
                  </w14:solidFill>
                </w14:textFill>
              </w:rPr>
            </w:pPr>
            <w:r>
              <w:rPr>
                <w:rFonts w:hint="eastAsia" w:ascii="仿宋" w:hAnsi="仿宋" w:eastAsia="仿宋" w:cs="Times New Roman"/>
                <w:color w:val="000000"/>
                <w:sz w:val="24"/>
                <w:szCs w:val="28"/>
                <w:u w:val="single"/>
                <w:lang w:val="en-US" w:eastAsia="zh-CN"/>
              </w:rPr>
              <w:t>杭州市</w:t>
            </w:r>
            <w:r>
              <w:rPr>
                <w:rFonts w:hint="eastAsia" w:ascii="仿宋" w:hAnsi="仿宋" w:eastAsia="仿宋" w:cs="Times New Roman"/>
                <w:color w:val="000000"/>
                <w:sz w:val="24"/>
                <w:szCs w:val="28"/>
                <w:u w:val="single"/>
              </w:rPr>
              <w:t>萧山区</w:t>
            </w:r>
            <w:r>
              <w:rPr>
                <w:rFonts w:hint="eastAsia" w:ascii="仿宋" w:hAnsi="仿宋" w:eastAsia="仿宋" w:cs="Times New Roman"/>
                <w:color w:val="000000"/>
                <w:sz w:val="24"/>
                <w:szCs w:val="28"/>
                <w:u w:val="single"/>
                <w:lang w:val="en-US" w:eastAsia="zh-CN"/>
              </w:rPr>
              <w:t>交通运输局（杭州市萧山区交通运输综合行政执法队）202</w:t>
            </w:r>
            <w:r>
              <w:rPr>
                <w:rFonts w:hint="eastAsia" w:cs="Times New Roman"/>
                <w:color w:val="000000"/>
                <w:sz w:val="24"/>
                <w:szCs w:val="28"/>
                <w:u w:val="single"/>
                <w:lang w:val="en-US" w:eastAsia="zh-CN"/>
              </w:rPr>
              <w:t>2</w:t>
            </w:r>
            <w:r>
              <w:rPr>
                <w:rFonts w:hint="eastAsia" w:ascii="仿宋" w:hAnsi="仿宋" w:eastAsia="仿宋" w:cs="Times New Roman"/>
                <w:color w:val="000000"/>
                <w:sz w:val="24"/>
                <w:szCs w:val="28"/>
                <w:u w:val="single"/>
                <w:lang w:val="en-US" w:eastAsia="zh-CN"/>
              </w:rPr>
              <w:t>年度职工疗休养采购项目</w:t>
            </w:r>
            <w:r>
              <w:rPr>
                <w:rFonts w:hint="eastAsia"/>
                <w:color w:val="000000" w:themeColor="text1"/>
                <w14:textFill>
                  <w14:solidFill>
                    <w14:schemeClr w14:val="tx1"/>
                  </w14:solidFill>
                </w14:textFill>
              </w:rPr>
              <w:t>招标项目的潜在投标人应在政采云平台（</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"https://www.zcygov.cn/）获取（下载）招标文件，并于2021年"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https://www.zcygov.cn/）获取（下载）招标文件，并于202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分00秒</w:t>
            </w:r>
            <w:r>
              <w:rPr>
                <w:rFonts w:hint="eastAsia"/>
                <w:color w:val="000000" w:themeColor="text1"/>
                <w14:textFill>
                  <w14:solidFill>
                    <w14:schemeClr w14:val="tx1"/>
                  </w14:solidFill>
                </w14:textFill>
              </w:rPr>
              <w:fldChar w:fldCharType="end"/>
            </w:r>
            <w:r>
              <w:rPr>
                <w:rFonts w:hint="eastAsia"/>
                <w:bCs/>
                <w:color w:val="000000" w:themeColor="text1"/>
                <w14:textFill>
                  <w14:solidFill>
                    <w14:schemeClr w14:val="tx1"/>
                  </w14:solidFill>
                </w14:textFill>
              </w:rPr>
              <w:t>（北京时间）前</w:t>
            </w:r>
            <w:r>
              <w:rPr>
                <w:rFonts w:hint="eastAsia"/>
                <w:color w:val="000000" w:themeColor="text1"/>
                <w14:textFill>
                  <w14:solidFill>
                    <w14:schemeClr w14:val="tx1"/>
                  </w14:solidFill>
                </w14:textFill>
              </w:rPr>
              <w:t>递交（上传）投标文件。</w:t>
            </w:r>
          </w:p>
          <w:p>
            <w:pPr>
              <w:spacing w:after="0"/>
            </w:pPr>
          </w:p>
        </w:tc>
      </w:tr>
    </w:tbl>
    <w:p>
      <w:r>
        <w:rPr>
          <w:rFonts w:hint="eastAsia"/>
        </w:rPr>
        <w:t>一、项目基本情况</w:t>
      </w:r>
      <w: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val="en-US" w:eastAsia="zh-CN"/>
          <w14:textFill>
            <w14:solidFill>
              <w14:schemeClr w14:val="tx1"/>
            </w14:solidFill>
          </w14:textFill>
        </w:rPr>
        <w:t>ZJXS2021-GK-037</w:t>
      </w:r>
    </w:p>
    <w:p>
      <w:pPr>
        <w:rPr>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ascii="仿宋" w:hAnsi="仿宋" w:eastAsia="仿宋" w:cs="Times New Roman"/>
          <w:color w:val="000000"/>
          <w:sz w:val="24"/>
          <w:szCs w:val="28"/>
          <w:u w:val="single"/>
          <w:lang w:val="en-US" w:eastAsia="zh-CN"/>
        </w:rPr>
        <w:t>杭州市</w:t>
      </w:r>
      <w:r>
        <w:rPr>
          <w:rFonts w:hint="eastAsia" w:ascii="仿宋" w:hAnsi="仿宋" w:eastAsia="仿宋" w:cs="Times New Roman"/>
          <w:color w:val="000000"/>
          <w:sz w:val="24"/>
          <w:szCs w:val="28"/>
          <w:u w:val="single"/>
        </w:rPr>
        <w:t>萧山区</w:t>
      </w:r>
      <w:r>
        <w:rPr>
          <w:rFonts w:hint="eastAsia" w:ascii="仿宋" w:hAnsi="仿宋" w:eastAsia="仿宋" w:cs="Times New Roman"/>
          <w:color w:val="000000"/>
          <w:sz w:val="24"/>
          <w:szCs w:val="28"/>
          <w:u w:val="single"/>
          <w:lang w:val="en-US" w:eastAsia="zh-CN"/>
        </w:rPr>
        <w:t>交通运输局（杭州市萧山区交通运输综合行政执法队）</w:t>
      </w:r>
      <w:r>
        <w:rPr>
          <w:rFonts w:hint="eastAsia" w:ascii="仿宋" w:hAnsi="仿宋" w:eastAsia="仿宋" w:cs="Times New Roman"/>
          <w:color w:val="000000" w:themeColor="text1"/>
          <w:sz w:val="24"/>
          <w:szCs w:val="28"/>
          <w:u w:val="single"/>
          <w:lang w:val="en-US" w:eastAsia="zh-CN"/>
          <w14:textFill>
            <w14:solidFill>
              <w14:schemeClr w14:val="tx1"/>
            </w14:solidFill>
          </w14:textFill>
        </w:rPr>
        <w:t>202</w:t>
      </w:r>
      <w:r>
        <w:rPr>
          <w:rFonts w:hint="eastAsia" w:cs="Times New Roman"/>
          <w:color w:val="000000" w:themeColor="text1"/>
          <w:sz w:val="24"/>
          <w:szCs w:val="28"/>
          <w:u w:val="single"/>
          <w:lang w:val="en-US" w:eastAsia="zh-CN"/>
          <w14:textFill>
            <w14:solidFill>
              <w14:schemeClr w14:val="tx1"/>
            </w14:solidFill>
          </w14:textFill>
        </w:rPr>
        <w:t>2</w:t>
      </w:r>
      <w:r>
        <w:rPr>
          <w:rFonts w:hint="eastAsia" w:ascii="仿宋" w:hAnsi="仿宋" w:eastAsia="仿宋" w:cs="Times New Roman"/>
          <w:color w:val="000000" w:themeColor="text1"/>
          <w:sz w:val="24"/>
          <w:szCs w:val="28"/>
          <w:u w:val="single"/>
          <w:lang w:val="en-US" w:eastAsia="zh-CN"/>
          <w14:textFill>
            <w14:solidFill>
              <w14:schemeClr w14:val="tx1"/>
            </w14:solidFill>
          </w14:textFill>
        </w:rPr>
        <w:t>年度职工疗休养采购项目</w:t>
      </w:r>
    </w:p>
    <w:p>
      <w:pPr>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预算金额（元）：</w:t>
      </w:r>
      <w:r>
        <w:rPr>
          <w:rFonts w:hint="eastAsia"/>
          <w:color w:val="000000" w:themeColor="text1"/>
          <w:lang w:val="en-US" w:eastAsia="zh-CN"/>
          <w14:textFill>
            <w14:solidFill>
              <w14:schemeClr w14:val="tx1"/>
            </w14:solidFill>
          </w14:textFill>
        </w:rPr>
        <w:t>651000；3000元/人</w:t>
      </w:r>
    </w:p>
    <w:p>
      <w:pPr>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最高限价（元）：</w:t>
      </w:r>
      <w:r>
        <w:rPr>
          <w:rFonts w:hint="eastAsia"/>
          <w:color w:val="000000" w:themeColor="text1"/>
          <w:lang w:val="en-US" w:eastAsia="zh-CN"/>
          <w14:textFill>
            <w14:solidFill>
              <w14:schemeClr w14:val="tx1"/>
            </w14:solidFill>
          </w14:textFill>
        </w:rPr>
        <w:t>651000；3000元/人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采购需求：（项目名称）主要内容：</w:t>
      </w:r>
      <w:r>
        <w:rPr>
          <w:rFonts w:hint="eastAsia" w:ascii="仿宋" w:hAnsi="仿宋" w:eastAsia="仿宋" w:cs="Times New Roman"/>
          <w:color w:val="000000"/>
          <w:sz w:val="24"/>
          <w:szCs w:val="28"/>
          <w:u w:val="single"/>
          <w:lang w:val="en-US" w:eastAsia="zh-CN"/>
        </w:rPr>
        <w:t>杭州市</w:t>
      </w:r>
      <w:r>
        <w:rPr>
          <w:rFonts w:hint="eastAsia" w:ascii="仿宋" w:hAnsi="仿宋" w:eastAsia="仿宋" w:cs="Times New Roman"/>
          <w:color w:val="000000"/>
          <w:sz w:val="24"/>
          <w:szCs w:val="28"/>
          <w:u w:val="single"/>
        </w:rPr>
        <w:t>萧山区</w:t>
      </w:r>
      <w:r>
        <w:rPr>
          <w:rFonts w:hint="eastAsia" w:ascii="仿宋" w:hAnsi="仿宋" w:eastAsia="仿宋" w:cs="Times New Roman"/>
          <w:color w:val="000000"/>
          <w:sz w:val="24"/>
          <w:szCs w:val="28"/>
          <w:u w:val="single"/>
          <w:lang w:val="en-US" w:eastAsia="zh-CN"/>
        </w:rPr>
        <w:t>交通运输局（杭州市萧山区交通运输综合行政执法队）202</w:t>
      </w:r>
      <w:r>
        <w:rPr>
          <w:rFonts w:hint="eastAsia" w:cs="Times New Roman"/>
          <w:color w:val="000000"/>
          <w:sz w:val="24"/>
          <w:szCs w:val="28"/>
          <w:u w:val="single"/>
          <w:lang w:val="en-US" w:eastAsia="zh-CN"/>
        </w:rPr>
        <w:t>2</w:t>
      </w:r>
      <w:r>
        <w:rPr>
          <w:rFonts w:hint="eastAsia" w:ascii="仿宋" w:hAnsi="仿宋" w:eastAsia="仿宋" w:cs="Times New Roman"/>
          <w:color w:val="000000"/>
          <w:sz w:val="24"/>
          <w:szCs w:val="28"/>
          <w:u w:val="single"/>
          <w:lang w:val="en-US" w:eastAsia="zh-CN"/>
        </w:rPr>
        <w:t>年度职工疗休养采购项目</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详见招标文件第三部分采购需求。</w:t>
      </w:r>
    </w:p>
    <w:p>
      <w:pPr>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合同履约期限：</w:t>
      </w:r>
      <w:r>
        <w:rPr>
          <w:rFonts w:hint="eastAsia"/>
          <w:color w:val="000000" w:themeColor="text1"/>
          <w:lang w:eastAsia="zh-CN"/>
          <w14:textFill>
            <w14:solidFill>
              <w14:schemeClr w14:val="tx1"/>
            </w14:solidFill>
          </w14:textFill>
        </w:rPr>
        <w:t>按招标文件要求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本项目接受联合体投标：</w:t>
      </w:r>
      <w:r>
        <w:rPr>
          <w:rFonts w:hint="eastAsia"/>
        </w:rPr>
        <w:t>（√）是</w:t>
      </w:r>
      <w:r>
        <w:t xml:space="preserve"> </w:t>
      </w:r>
      <w:r>
        <w:rPr>
          <w:rFonts w:hint="eastAsia"/>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二、申请人的资格要求：</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落实政府采购政策需满足的资格要求：</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000000" w:themeColor="text1"/>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6"/>
          <w:sz w:val="24"/>
          <w14:textFill>
            <w14:solidFill>
              <w14:schemeClr w14:val="tx1"/>
            </w14:solidFill>
          </w14:textFill>
        </w:rPr>
        <w:t>服务全部由符合政策要求的中小企业承接，提供中小企业声明函；</w:t>
      </w:r>
    </w:p>
    <w:p>
      <w:pPr>
        <w:rPr>
          <w:color w:val="000000" w:themeColor="text1"/>
          <w14:textFill>
            <w14:solidFill>
              <w14:schemeClr w14:val="tx1"/>
            </w14:solidFill>
          </w14:textFill>
        </w:rPr>
      </w:pPr>
      <w:r>
        <w:rPr>
          <w:color w:val="000000" w:themeColor="text1"/>
          <w14:textFill>
            <w14:solidFill>
              <w14:schemeClr w14:val="tx1"/>
            </w14:solidFill>
          </w14:textFill>
        </w:rPr>
        <w:t>3.本项目的特定资格要求：无</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单位负责人为同一人或者存在直接控股、管理关系的不同供应商，不得参加同一合同项下的政府采购活动；</w:t>
      </w:r>
      <w:r>
        <w:rPr>
          <w:color w:val="000000" w:themeColor="text1"/>
          <w14:textFill>
            <w14:solidFill>
              <w14:schemeClr w14:val="tx1"/>
            </w14:solidFill>
          </w14:textFill>
        </w:rPr>
        <w:t>为采购项目提供整体设计、规范编制或者项目管理、监理、检测等服务后</w:t>
      </w:r>
      <w:r>
        <w:rPr>
          <w:rFonts w:hint="eastAsia"/>
          <w:color w:val="000000" w:themeColor="text1"/>
          <w14:textFill>
            <w14:solidFill>
              <w14:schemeClr w14:val="tx1"/>
            </w14:solidFill>
          </w14:textFill>
        </w:rPr>
        <w:t>不得</w:t>
      </w:r>
      <w:r>
        <w:rPr>
          <w:color w:val="000000" w:themeColor="text1"/>
          <w14:textFill>
            <w14:solidFill>
              <w14:schemeClr w14:val="tx1"/>
            </w14:solidFill>
          </w14:textFill>
        </w:rPr>
        <w:t>再参加该采购项目的其他采购活动。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三、获取招标文件</w:t>
      </w: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，每天上午</w:t>
      </w:r>
      <w:r>
        <w:rPr>
          <w:color w:val="000000" w:themeColor="text1"/>
          <w14:textFill>
            <w14:solidFill>
              <w14:schemeClr w14:val="tx1"/>
            </w14:solidFill>
          </w14:textFill>
        </w:rPr>
        <w:t xml:space="preserve">00:00至12:00 </w:t>
      </w:r>
      <w:r>
        <w:rPr>
          <w:rFonts w:hint="eastAsia"/>
          <w:color w:val="000000" w:themeColor="text1"/>
          <w14:textFill>
            <w14:solidFill>
              <w14:schemeClr w14:val="tx1"/>
            </w14:solidFill>
          </w14:textFill>
        </w:rPr>
        <w:t>，下午</w:t>
      </w:r>
      <w:r>
        <w:rPr>
          <w:color w:val="000000" w:themeColor="text1"/>
          <w14:textFill>
            <w14:solidFill>
              <w14:schemeClr w14:val="tx1"/>
            </w14:solidFill>
          </w14:textFill>
        </w:rP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r>
        <w:rPr>
          <w:rFonts w:hint="eastAsia"/>
        </w:rPr>
        <w:t>四、提交投标文件截止时间、开标时间和地点</w:t>
      </w:r>
    </w:p>
    <w:p>
      <w:r>
        <w:rPr>
          <w:rFonts w:hint="eastAsia"/>
        </w:rPr>
        <w:t>提交投标文件截止时间：</w:t>
      </w:r>
      <w:r>
        <w:t xml:space="preserve"> </w:t>
      </w:r>
      <w:r>
        <w:rPr>
          <w:rFonts w:hint="eastAsia"/>
        </w:rPr>
        <w:t>202</w:t>
      </w:r>
      <w:r>
        <w:rPr>
          <w:rFonts w:hint="eastAsia"/>
          <w:lang w:val="en-US" w:eastAsia="zh-CN"/>
        </w:rPr>
        <w:t>2</w:t>
      </w:r>
      <w:r>
        <w:t>年</w:t>
      </w:r>
      <w:r>
        <w:rPr>
          <w:rFonts w:hint="eastAsia"/>
          <w:lang w:val="en-US" w:eastAsia="zh-CN"/>
        </w:rPr>
        <w:t>7</w:t>
      </w:r>
      <w:r>
        <w:rPr>
          <w:rFonts w:hint="eastAsia"/>
        </w:rPr>
        <w:t>月</w:t>
      </w:r>
      <w:r>
        <w:rPr>
          <w:rFonts w:hint="eastAsia"/>
          <w:lang w:val="en-US" w:eastAsia="zh-CN"/>
        </w:rPr>
        <w:t>26</w:t>
      </w:r>
      <w:r>
        <w:rPr>
          <w:rFonts w:hint="eastAsia"/>
        </w:rPr>
        <w:t>日</w:t>
      </w:r>
      <w:r>
        <w:rPr>
          <w:rFonts w:hint="eastAsia"/>
          <w:lang w:val="en-US" w:eastAsia="zh-CN"/>
        </w:rPr>
        <w:t>14</w:t>
      </w:r>
      <w:r>
        <w:rPr>
          <w:rFonts w:hint="eastAsia"/>
        </w:rPr>
        <w:t>点</w:t>
      </w:r>
      <w:r>
        <w:rPr>
          <w:rFonts w:hint="eastAsia"/>
          <w:lang w:val="en-US" w:eastAsia="zh-CN"/>
        </w:rPr>
        <w:t>00</w:t>
      </w:r>
      <w:r>
        <w:rPr>
          <w:rFonts w:hint="eastAsia"/>
        </w:rPr>
        <w:t>分 （北京时间）</w:t>
      </w:r>
    </w:p>
    <w:p>
      <w:r>
        <w:rPr>
          <w:rFonts w:hint="eastAsia"/>
        </w:rPr>
        <w:t>投标地点（网址）：政采云平台（</w:t>
      </w:r>
      <w:r>
        <w:t xml:space="preserve">https://www.zcygov.cn/） </w:t>
      </w:r>
    </w:p>
    <w:p>
      <w:r>
        <w:rPr>
          <w:rFonts w:hint="eastAsia"/>
        </w:rPr>
        <w:t>开标时间：202</w:t>
      </w:r>
      <w:r>
        <w:rPr>
          <w:rFonts w:hint="eastAsia"/>
          <w:lang w:val="en-US" w:eastAsia="zh-CN"/>
        </w:rPr>
        <w:t>2</w:t>
      </w:r>
      <w:r>
        <w:t>年</w:t>
      </w:r>
      <w:r>
        <w:rPr>
          <w:rFonts w:hint="eastAsia"/>
          <w:lang w:val="en-US" w:eastAsia="zh-CN"/>
        </w:rPr>
        <w:t>7</w:t>
      </w:r>
      <w:r>
        <w:rPr>
          <w:rFonts w:hint="eastAsia"/>
        </w:rPr>
        <w:t>月</w:t>
      </w:r>
      <w:r>
        <w:rPr>
          <w:rFonts w:hint="eastAsia"/>
          <w:lang w:val="en-US" w:eastAsia="zh-CN"/>
        </w:rPr>
        <w:t>26</w:t>
      </w:r>
      <w:r>
        <w:rPr>
          <w:rFonts w:hint="eastAsia"/>
        </w:rPr>
        <w:t>日</w:t>
      </w:r>
      <w:r>
        <w:rPr>
          <w:rFonts w:hint="eastAsia"/>
          <w:lang w:val="en-US" w:eastAsia="zh-CN"/>
        </w:rPr>
        <w:t>14</w:t>
      </w:r>
      <w:r>
        <w:rPr>
          <w:rFonts w:hint="eastAsia"/>
        </w:rPr>
        <w:t>点</w:t>
      </w:r>
      <w:r>
        <w:rPr>
          <w:rFonts w:hint="eastAsia"/>
          <w:lang w:val="en-US" w:eastAsia="zh-CN"/>
        </w:rPr>
        <w:t>00</w:t>
      </w:r>
      <w:r>
        <w:rPr>
          <w:rFonts w:hint="eastAsia"/>
        </w:rPr>
        <w:t xml:space="preserve">分 </w:t>
      </w:r>
    </w:p>
    <w:p>
      <w:r>
        <w:rPr>
          <w:rFonts w:hint="eastAsia"/>
        </w:rPr>
        <w:t>开标地点（网址）：</w:t>
      </w:r>
      <w:r>
        <w:t>政</w:t>
      </w:r>
      <w:r>
        <w:rPr>
          <w:rFonts w:hint="eastAsia"/>
        </w:rPr>
        <w:t>采云平台（</w:t>
      </w:r>
      <w:r>
        <w:t>https://www.zcygov.cn/）</w:t>
      </w:r>
      <w:r>
        <w:rPr>
          <w:rFonts w:hint="eastAsia"/>
        </w:rPr>
        <w:t>[</w:t>
      </w:r>
      <w:r>
        <w:rPr>
          <w:rFonts w:hint="eastAsia" w:ascii="仿宋" w:hAnsi="仿宋" w:eastAsia="仿宋"/>
          <w:color w:val="000000" w:themeColor="text1"/>
          <w:sz w:val="24"/>
          <w:szCs w:val="28"/>
          <w14:textFill>
            <w14:solidFill>
              <w14:schemeClr w14:val="tx1"/>
            </w14:solidFill>
          </w14:textFill>
        </w:rPr>
        <w:t>杭州市萧山区北干街道金惠路358号汇通大厦4幢6楼</w:t>
      </w:r>
      <w:r>
        <w:rPr>
          <w:rFonts w:hint="eastAsia"/>
        </w:rPr>
        <w:t>]。</w:t>
      </w:r>
    </w:p>
    <w:p>
      <w:r>
        <w:rPr>
          <w:rFonts w:hint="eastAsia"/>
        </w:rPr>
        <w:t>五、公告期限</w:t>
      </w:r>
      <w:r>
        <w:t xml:space="preserve"> </w:t>
      </w:r>
    </w:p>
    <w:p>
      <w:r>
        <w:rPr>
          <w:rFonts w:hint="eastAsia"/>
        </w:rPr>
        <w:t>自本公告发布之日起</w:t>
      </w:r>
      <w:r>
        <w:t>5个工作日。</w:t>
      </w:r>
    </w:p>
    <w:p>
      <w:r>
        <w:rPr>
          <w:rFonts w:hint="eastAsia"/>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r>
        <w:rPr>
          <w:rFonts w:hint="eastAsia"/>
        </w:rPr>
        <w:t>七、对本次采购提出询问、质疑、投诉，请按以下方式联系</w:t>
      </w:r>
    </w:p>
    <w:p>
      <w:r>
        <w:rPr>
          <w:rFonts w:hint="eastAsia"/>
        </w:rPr>
        <w:t>1</w:t>
      </w:r>
      <w:r>
        <w:t>.</w:t>
      </w:r>
      <w:r>
        <w:rPr>
          <w:rFonts w:hint="eastAsia"/>
        </w:rPr>
        <w:t>采购人信息</w:t>
      </w:r>
    </w:p>
    <w:p>
      <w:pPr>
        <w:rPr>
          <w:rFonts w:hint="eastAsia" w:ascii="仿宋" w:hAnsi="仿宋" w:eastAsia="仿宋" w:cs="Times New Roman"/>
          <w:color w:val="000000"/>
          <w:sz w:val="24"/>
          <w:szCs w:val="28"/>
          <w:u w:val="none"/>
          <w:lang w:val="en-US" w:eastAsia="zh-CN"/>
        </w:rPr>
      </w:pPr>
      <w:r>
        <w:rPr>
          <w:rFonts w:hint="eastAsia"/>
        </w:rPr>
        <w:t>名 称：</w:t>
      </w:r>
      <w:r>
        <w:rPr>
          <w:rFonts w:hint="eastAsia" w:ascii="仿宋" w:hAnsi="仿宋" w:eastAsia="仿宋" w:cs="Times New Roman"/>
          <w:color w:val="000000"/>
          <w:sz w:val="24"/>
          <w:szCs w:val="28"/>
          <w:u w:val="none"/>
          <w:lang w:val="en-US" w:eastAsia="zh-CN"/>
        </w:rPr>
        <w:t>杭州市</w:t>
      </w:r>
      <w:r>
        <w:rPr>
          <w:rFonts w:hint="eastAsia" w:ascii="仿宋" w:hAnsi="仿宋" w:eastAsia="仿宋" w:cs="Times New Roman"/>
          <w:color w:val="000000"/>
          <w:sz w:val="24"/>
          <w:szCs w:val="28"/>
          <w:u w:val="none"/>
        </w:rPr>
        <w:t>萧山区</w:t>
      </w:r>
      <w:r>
        <w:rPr>
          <w:rFonts w:hint="eastAsia" w:ascii="仿宋" w:hAnsi="仿宋" w:eastAsia="仿宋" w:cs="Times New Roman"/>
          <w:color w:val="000000"/>
          <w:sz w:val="24"/>
          <w:szCs w:val="28"/>
          <w:u w:val="none"/>
          <w:lang w:val="en-US" w:eastAsia="zh-CN"/>
        </w:rPr>
        <w:t>交通运输局</w:t>
      </w:r>
      <w:r>
        <w:rPr>
          <w:rFonts w:hint="eastAsia" w:cs="Times New Roman"/>
          <w:color w:val="000000"/>
          <w:sz w:val="24"/>
          <w:szCs w:val="28"/>
          <w:u w:val="none"/>
          <w:lang w:val="en-US" w:eastAsia="zh-CN"/>
        </w:rPr>
        <w:t>（</w:t>
      </w:r>
      <w:r>
        <w:rPr>
          <w:rFonts w:hint="eastAsia" w:ascii="仿宋" w:hAnsi="仿宋" w:eastAsia="仿宋" w:cs="Times New Roman"/>
          <w:color w:val="000000"/>
          <w:sz w:val="24"/>
          <w:szCs w:val="28"/>
          <w:u w:val="none"/>
          <w:lang w:val="en-US" w:eastAsia="zh-CN"/>
        </w:rPr>
        <w:t>杭州市萧山区交通运输综合行政执法队</w:t>
      </w:r>
      <w:r>
        <w:rPr>
          <w:rFonts w:hint="eastAsia" w:cs="Times New Roman"/>
          <w:color w:val="000000"/>
          <w:sz w:val="24"/>
          <w:szCs w:val="28"/>
          <w:u w:val="none"/>
          <w:lang w:val="en-US" w:eastAsia="zh-CN"/>
        </w:rPr>
        <w:t>）</w:t>
      </w:r>
    </w:p>
    <w:p>
      <w:pPr>
        <w:rPr>
          <w:rFonts w:hint="eastAsia"/>
          <w:lang w:eastAsia="zh-CN"/>
        </w:rPr>
      </w:pPr>
      <w:r>
        <w:rPr>
          <w:rFonts w:hint="eastAsia"/>
        </w:rPr>
        <w:t>地址：</w:t>
      </w:r>
      <w:r>
        <w:rPr>
          <w:rFonts w:hint="eastAsia" w:ascii="仿宋" w:hAnsi="仿宋" w:eastAsia="仿宋" w:cs="Times New Roman"/>
          <w:color w:val="000000"/>
          <w:sz w:val="24"/>
          <w:szCs w:val="28"/>
          <w:lang w:val="en-US" w:eastAsia="zh-CN"/>
        </w:rPr>
        <w:t xml:space="preserve">萧山区通惠南路269号 </w:t>
      </w:r>
    </w:p>
    <w:p>
      <w:pPr>
        <w:rPr>
          <w:rFonts w:hint="eastAsia"/>
          <w:lang w:eastAsia="zh-CN"/>
        </w:rPr>
      </w:pPr>
      <w:r>
        <w:rPr>
          <w:rFonts w:hint="eastAsia"/>
        </w:rPr>
        <w:t>传真：</w:t>
      </w:r>
      <w:r>
        <w:rPr>
          <w:rFonts w:hint="eastAsia"/>
          <w:lang w:val="en-US" w:eastAsia="zh-CN"/>
        </w:rPr>
        <w:t>/</w:t>
      </w:r>
    </w:p>
    <w:p>
      <w:pPr>
        <w:rPr>
          <w:rFonts w:hint="eastAsia" w:eastAsia="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项目联系人（询问）</w:t>
      </w:r>
      <w:r>
        <w:rPr>
          <w:rFonts w:hint="eastAsia"/>
          <w:color w:val="000000" w:themeColor="text1"/>
          <w:lang w:val="en-US" w:eastAsia="zh-CN"/>
          <w14:textFill>
            <w14:solidFill>
              <w14:schemeClr w14:val="tx1"/>
            </w14:solidFill>
          </w14:textFill>
        </w:rPr>
        <w:t>:万女士</w:t>
      </w:r>
    </w:p>
    <w:p>
      <w:pPr>
        <w:rPr>
          <w:rFonts w:hint="eastAsia" w:ascii="宋体" w:hAnsi="宋体" w:eastAsia="宋体" w:cs="宋体"/>
          <w:color w:val="000000"/>
          <w:kern w:val="0"/>
          <w:sz w:val="24"/>
          <w:u w:val="single"/>
          <w:lang w:val="en-US" w:eastAsia="zh-CN"/>
        </w:rPr>
      </w:pPr>
      <w:r>
        <w:rPr>
          <w:rFonts w:hint="eastAsia"/>
          <w:color w:val="000000" w:themeColor="text1"/>
          <w14:textFill>
            <w14:solidFill>
              <w14:schemeClr w14:val="tx1"/>
            </w14:solidFill>
          </w14:textFill>
        </w:rPr>
        <w:t>项目联系方式（询问）：</w:t>
      </w:r>
      <w:r>
        <w:rPr>
          <w:rFonts w:hint="eastAsia"/>
          <w:color w:val="000000" w:themeColor="text1"/>
          <w:lang w:val="en-US" w:eastAsia="zh-CN"/>
          <w14:textFill>
            <w14:solidFill>
              <w14:schemeClr w14:val="tx1"/>
            </w14:solidFill>
          </w14:textFill>
        </w:rPr>
        <w:t>13588336312</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w:t>
      </w:r>
      <w:r>
        <w:rPr>
          <w:rFonts w:hint="eastAsia"/>
          <w:color w:val="000000" w:themeColor="text1"/>
          <w:lang w:eastAsia="zh-CN"/>
          <w14:textFill>
            <w14:solidFill>
              <w14:schemeClr w14:val="tx1"/>
            </w14:solidFill>
          </w14:textFill>
        </w:rPr>
        <w:t>俞</w:t>
      </w:r>
      <w:r>
        <w:rPr>
          <w:rFonts w:hint="eastAsia"/>
          <w:color w:val="000000" w:themeColor="text1"/>
          <w14:textFill>
            <w14:solidFill>
              <w14:schemeClr w14:val="tx1"/>
            </w14:solidFill>
          </w14:textFill>
        </w:rPr>
        <w:t>先生</w:t>
      </w:r>
    </w:p>
    <w:p>
      <w:pPr>
        <w:rPr>
          <w:color w:val="000000" w:themeColor="text1"/>
          <w14:textFill>
            <w14:solidFill>
              <w14:schemeClr w14:val="tx1"/>
            </w14:solidFill>
          </w14:textFill>
        </w:rPr>
      </w:pPr>
      <w:r>
        <w:rPr>
          <w:color w:val="000000" w:themeColor="text1"/>
          <w14:textFill>
            <w14:solidFill>
              <w14:schemeClr w14:val="tx1"/>
            </w14:solidFill>
          </w14:textFill>
        </w:rPr>
        <w:t>质疑联系方式</w:t>
      </w:r>
      <w:r>
        <w:rPr>
          <w:rFonts w:hint="eastAsia"/>
          <w:color w:val="000000" w:themeColor="text1"/>
          <w14:textFill>
            <w14:solidFill>
              <w14:schemeClr w14:val="tx1"/>
            </w14:solidFill>
          </w14:textFill>
        </w:rPr>
        <w:t>：</w:t>
      </w:r>
      <w:bookmarkStart w:id="0" w:name="_Toc28359009"/>
      <w:bookmarkStart w:id="1" w:name="_Toc28359086"/>
      <w:r>
        <w:rPr>
          <w:rFonts w:hint="eastAsia" w:ascii="仿宋" w:hAnsi="仿宋" w:eastAsia="仿宋"/>
          <w:color w:val="auto"/>
          <w:sz w:val="24"/>
          <w:szCs w:val="28"/>
          <w:lang w:val="en-US" w:eastAsia="zh-CN"/>
        </w:rPr>
        <w:t>13967158889</w:t>
      </w:r>
    </w:p>
    <w:p>
      <w:r>
        <w:rPr>
          <w:rFonts w:hint="eastAsia"/>
        </w:rPr>
        <w:t>2</w:t>
      </w:r>
      <w:r>
        <w:t>.</w:t>
      </w:r>
      <w:r>
        <w:rPr>
          <w:rFonts w:hint="eastAsia"/>
        </w:rPr>
        <w:t>采购代理机构信息</w:t>
      </w:r>
      <w:bookmarkEnd w:id="0"/>
      <w:bookmarkEnd w:id="1"/>
    </w:p>
    <w:p>
      <w:pPr>
        <w:rPr>
          <w:rFonts w:hint="eastAsia"/>
        </w:rPr>
      </w:pPr>
      <w:r>
        <w:rPr>
          <w:rFonts w:hint="eastAsia"/>
        </w:rPr>
        <w:t>名 称：浙江翔实建设项目管理有限公司</w:t>
      </w:r>
    </w:p>
    <w:p>
      <w:pPr>
        <w:rPr>
          <w:rFonts w:hint="eastAsia"/>
        </w:rPr>
      </w:pPr>
      <w:r>
        <w:rPr>
          <w:rFonts w:hint="eastAsia"/>
        </w:rPr>
        <w:t>地址：杭州市萧山区北干街道金惠路358号汇通大厦4幢6楼</w:t>
      </w:r>
    </w:p>
    <w:p>
      <w:pPr>
        <w:rPr>
          <w:rFonts w:hint="eastAsia"/>
        </w:rPr>
      </w:pPr>
      <w:r>
        <w:rPr>
          <w:rFonts w:hint="eastAsia"/>
        </w:rPr>
        <w:t>传真：/</w:t>
      </w:r>
    </w:p>
    <w:p>
      <w:pPr>
        <w:rPr>
          <w:rFonts w:hint="eastAsia" w:eastAsia="仿宋"/>
          <w:lang w:val="en-US" w:eastAsia="zh-CN"/>
        </w:rPr>
      </w:pPr>
      <w:r>
        <w:rPr>
          <w:rFonts w:hint="eastAsia"/>
        </w:rPr>
        <w:t>项目联系人（询问）：</w:t>
      </w:r>
      <w:r>
        <w:rPr>
          <w:rFonts w:hint="eastAsia"/>
          <w:lang w:eastAsia="zh-CN"/>
        </w:rPr>
        <w:t>汪嘉烽</w:t>
      </w:r>
    </w:p>
    <w:p>
      <w:pPr>
        <w:rPr>
          <w:rFonts w:hint="eastAsia"/>
        </w:rPr>
      </w:pPr>
      <w:r>
        <w:rPr>
          <w:rFonts w:hint="eastAsia"/>
        </w:rPr>
        <w:t>项目联系方式（询问）：0571-82858325</w:t>
      </w:r>
    </w:p>
    <w:p>
      <w:pPr>
        <w:rPr>
          <w:rFonts w:hint="eastAsia"/>
        </w:rPr>
      </w:pPr>
      <w:r>
        <w:rPr>
          <w:rFonts w:hint="eastAsia"/>
        </w:rPr>
        <w:t>质疑联系人：郭翔</w:t>
      </w:r>
    </w:p>
    <w:p>
      <w:pPr>
        <w:rPr>
          <w:rFonts w:hint="eastAsia"/>
        </w:rPr>
      </w:pPr>
      <w:r>
        <w:rPr>
          <w:rFonts w:hint="eastAsia"/>
        </w:rPr>
        <w:t>质疑联系方式：0571-82858903</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 xml:space="preserve">真：0571-82756122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ascii="宋体" w:hAnsi="宋体" w:eastAsia="宋体" w:cs="宋体"/>
        </w:rPr>
        <w:t>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 xml:space="preserve">监督投诉电话：0571-82756122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4"/>
      </w:pPr>
      <w:r>
        <w:rPr>
          <w:rFonts w:hint="eastAsia"/>
        </w:rPr>
        <w:t>第二部分</w:t>
      </w:r>
      <w:r>
        <w:t xml:space="preserve"> 投标人须知</w:t>
      </w:r>
    </w:p>
    <w:p>
      <w:pPr>
        <w:pStyle w:val="5"/>
      </w:pPr>
      <w:r>
        <w:rPr>
          <w:rFonts w:hint="eastAsia"/>
        </w:rPr>
        <w:t>前附表</w:t>
      </w:r>
    </w:p>
    <w:tbl>
      <w:tblPr>
        <w:tblStyle w:val="22"/>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rPr>
              <w:t>。</w:t>
            </w:r>
          </w:p>
          <w:p>
            <w:pPr>
              <w:spacing w:after="0"/>
            </w:pPr>
            <w:r>
              <w:rPr>
                <w:rFonts w:hint="eastAsia" w:cs="仿宋"/>
                <w:sz w:val="22"/>
              </w:rPr>
              <w:t>(</w:t>
            </w:r>
            <w:r>
              <w:rPr>
                <w:rFonts w:hint="eastAsia" w:cs="仿宋"/>
                <w:sz w:val="22"/>
                <w:lang w:val="en-US" w:eastAsia="zh-CN"/>
              </w:rPr>
              <w:t xml:space="preserve"> </w:t>
            </w:r>
            <w:r>
              <w:rPr>
                <w:rFonts w:hint="eastAsia" w:ascii="仿宋" w:hAnsi="仿宋" w:eastAsia="仿宋" w:cs="仿宋"/>
                <w:kern w:val="0"/>
                <w:sz w:val="24"/>
                <w:lang w:val="en-US" w:eastAsia="zh-CN"/>
              </w:rPr>
              <w:t>√</w:t>
            </w:r>
            <w:r>
              <w:rPr>
                <w:rFonts w:hint="eastAsia" w:cs="仿宋"/>
                <w:kern w:val="0"/>
                <w:sz w:val="24"/>
                <w:lang w:val="en-US" w:eastAsia="zh-CN"/>
              </w:rPr>
              <w:t xml:space="preserve"> </w:t>
            </w:r>
            <w:r>
              <w:rPr>
                <w:rFonts w:hint="eastAsia"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rPr>
                <w:rFonts w:hint="eastAsia" w:ascii="仿宋" w:hAnsi="仿宋" w:eastAsia="仿宋" w:cs="仿宋"/>
                <w:kern w:val="0"/>
                <w:sz w:val="24"/>
              </w:rPr>
            </w:pPr>
            <w:r>
              <w:rPr>
                <w:rFonts w:hint="eastAsia" w:cs="仿宋"/>
                <w:sz w:val="22"/>
                <w:lang w:eastAsia="zh-CN"/>
              </w:rPr>
              <w:t>（</w:t>
            </w:r>
            <w:r>
              <w:rPr>
                <w:rFonts w:hint="eastAsia" w:cs="仿宋"/>
                <w:sz w:val="22"/>
                <w:lang w:val="en-US" w:eastAsia="zh-CN"/>
              </w:rPr>
              <w:t>1</w:t>
            </w:r>
            <w:r>
              <w:rPr>
                <w:rFonts w:hint="eastAsia" w:cs="仿宋"/>
                <w:sz w:val="22"/>
                <w:lang w:eastAsia="zh-CN"/>
              </w:rPr>
              <w:t>）</w:t>
            </w:r>
            <w:r>
              <w:rPr>
                <w:rFonts w:hint="eastAsia" w:cs="仿宋"/>
                <w:sz w:val="22"/>
              </w:rPr>
              <w:t>标的：</w:t>
            </w:r>
            <w:r>
              <w:rPr>
                <w:rFonts w:hint="eastAsia" w:ascii="仿宋" w:hAnsi="仿宋" w:eastAsia="仿宋" w:cs="Times New Roman"/>
                <w:color w:val="000000"/>
                <w:sz w:val="24"/>
                <w:szCs w:val="28"/>
                <w:u w:val="single"/>
                <w:lang w:val="en-US" w:eastAsia="zh-CN"/>
              </w:rPr>
              <w:t>杭州市</w:t>
            </w:r>
            <w:r>
              <w:rPr>
                <w:rFonts w:hint="eastAsia" w:ascii="仿宋" w:hAnsi="仿宋" w:eastAsia="仿宋" w:cs="Times New Roman"/>
                <w:color w:val="000000"/>
                <w:sz w:val="24"/>
                <w:szCs w:val="28"/>
                <w:u w:val="single"/>
              </w:rPr>
              <w:t>萧山区</w:t>
            </w:r>
            <w:r>
              <w:rPr>
                <w:rFonts w:hint="eastAsia" w:ascii="仿宋" w:hAnsi="仿宋" w:eastAsia="仿宋" w:cs="Times New Roman"/>
                <w:color w:val="000000"/>
                <w:sz w:val="24"/>
                <w:szCs w:val="28"/>
                <w:u w:val="single"/>
                <w:lang w:val="en-US" w:eastAsia="zh-CN"/>
              </w:rPr>
              <w:t>交通运输局（杭州市萧山区交通运输综合行政执法队）</w:t>
            </w:r>
            <w:r>
              <w:rPr>
                <w:rFonts w:hint="eastAsia" w:ascii="仿宋" w:hAnsi="仿宋" w:eastAsia="仿宋" w:cs="Times New Roman"/>
                <w:color w:val="000000" w:themeColor="text1"/>
                <w:sz w:val="24"/>
                <w:szCs w:val="28"/>
                <w:u w:val="single"/>
                <w:lang w:val="en-US" w:eastAsia="zh-CN"/>
                <w14:textFill>
                  <w14:solidFill>
                    <w14:schemeClr w14:val="tx1"/>
                  </w14:solidFill>
                </w14:textFill>
              </w:rPr>
              <w:t>202</w:t>
            </w:r>
            <w:r>
              <w:rPr>
                <w:rFonts w:hint="eastAsia" w:cs="Times New Roman"/>
                <w:color w:val="000000" w:themeColor="text1"/>
                <w:sz w:val="24"/>
                <w:szCs w:val="28"/>
                <w:u w:val="single"/>
                <w:lang w:val="en-US" w:eastAsia="zh-CN"/>
                <w14:textFill>
                  <w14:solidFill>
                    <w14:schemeClr w14:val="tx1"/>
                  </w14:solidFill>
                </w14:textFill>
              </w:rPr>
              <w:t>2</w:t>
            </w:r>
            <w:r>
              <w:rPr>
                <w:rFonts w:hint="eastAsia" w:ascii="仿宋" w:hAnsi="仿宋" w:eastAsia="仿宋" w:cs="Times New Roman"/>
                <w:color w:val="000000" w:themeColor="text1"/>
                <w:sz w:val="24"/>
                <w:szCs w:val="28"/>
                <w:u w:val="single"/>
                <w:lang w:val="en-US" w:eastAsia="zh-CN"/>
                <w14:textFill>
                  <w14:solidFill>
                    <w14:schemeClr w14:val="tx1"/>
                  </w14:solidFill>
                </w14:textFill>
              </w:rPr>
              <w:t>年度职工疗休养采购项目</w:t>
            </w:r>
            <w:r>
              <w:rPr>
                <w:rFonts w:hint="eastAsia" w:cs="Times New Roman"/>
                <w:color w:val="000000" w:themeColor="text1"/>
                <w:sz w:val="24"/>
                <w:szCs w:val="28"/>
                <w:u w:val="none"/>
                <w:lang w:val="en-US" w:eastAsia="zh-CN"/>
                <w14:textFill>
                  <w14:solidFill>
                    <w14:schemeClr w14:val="tx1"/>
                  </w14:solidFill>
                </w14:textFill>
              </w:rPr>
              <w:t>，</w:t>
            </w:r>
            <w:r>
              <w:rPr>
                <w:rFonts w:hint="eastAsia" w:ascii="仿宋" w:hAnsi="仿宋" w:eastAsia="仿宋" w:cs="仿宋"/>
                <w:kern w:val="0"/>
                <w:sz w:val="24"/>
              </w:rPr>
              <w:t>属于</w:t>
            </w:r>
            <w:r>
              <w:rPr>
                <w:rFonts w:hint="eastAsia" w:ascii="仿宋_GB2312" w:hAnsi="仿宋" w:eastAsia="仿宋_GB2312"/>
                <w:sz w:val="24"/>
                <w:u w:val="none"/>
              </w:rPr>
              <w:t>其他未列明行业</w:t>
            </w:r>
            <w:r>
              <w:rPr>
                <w:rFonts w:hint="eastAsia" w:ascii="仿宋" w:hAnsi="仿宋" w:eastAsia="仿宋" w:cs="仿宋"/>
                <w:kern w:val="0"/>
                <w:sz w:val="24"/>
              </w:rPr>
              <w:t>；</w:t>
            </w:r>
          </w:p>
          <w:p>
            <w:pPr>
              <w:numPr>
                <w:ilvl w:val="0"/>
                <w:numId w:val="0"/>
              </w:numPr>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 xml:space="preserve">(  </w:t>
            </w:r>
            <w:r>
              <w:rPr>
                <w:rFonts w:hint="eastAsia" w:ascii="仿宋" w:hAnsi="仿宋" w:eastAsia="仿宋" w:cs="仿宋"/>
                <w:kern w:val="0"/>
                <w:sz w:val="24"/>
                <w:lang w:val="en-US" w:eastAsia="zh-CN"/>
              </w:rPr>
              <w:t>√</w:t>
            </w:r>
            <w:r>
              <w:rPr>
                <w:rFonts w:hint="eastAsia" w:cs="仿宋"/>
                <w:kern w:val="0"/>
                <w:sz w:val="24"/>
                <w:lang w:val="en-US" w:eastAsia="zh-CN"/>
              </w:rPr>
              <w:t xml:space="preserve"> </w:t>
            </w:r>
            <w:r>
              <w:rPr>
                <w:rFonts w:hint="eastAsia"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11" w:type="pct"/>
            <w:vAlign w:val="center"/>
          </w:tcPr>
          <w:p>
            <w:pPr>
              <w:spacing w:after="0"/>
              <w:jc w:val="center"/>
            </w:pPr>
            <w:r>
              <w:rPr>
                <w:rFonts w:hint="eastAsia"/>
              </w:rPr>
              <w:t>4</w:t>
            </w:r>
          </w:p>
        </w:tc>
        <w:tc>
          <w:tcPr>
            <w:tcW w:w="822" w:type="pct"/>
            <w:vAlign w:val="center"/>
          </w:tcPr>
          <w:p>
            <w:pPr>
              <w:spacing w:after="0"/>
              <w:jc w:val="center"/>
            </w:pPr>
            <w:r>
              <w:rPr>
                <w:rFonts w:hint="eastAsia" w:cs="仿宋"/>
                <w:b/>
                <w:sz w:val="22"/>
              </w:rPr>
              <w:t>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 ）</w:t>
            </w:r>
            <w:r>
              <w:rPr>
                <w:rFonts w:hint="eastAsia" w:ascii="仿宋_GB2312" w:eastAsia="仿宋_GB2312" w:cs="Arial"/>
                <w:sz w:val="22"/>
              </w:rPr>
              <w:t>A</w:t>
            </w:r>
            <w:r>
              <w:rPr>
                <w:rFonts w:hint="eastAsia" w:ascii="仿宋_GB2312" w:eastAsia="仿宋_GB2312"/>
                <w:sz w:val="22"/>
              </w:rPr>
              <w:t>同意将非主体、非关键性的</w:t>
            </w:r>
            <w:r>
              <w:rPr>
                <w:rFonts w:hint="eastAsia" w:ascii="仿宋_GB2312" w:eastAsia="仿宋_GB2312"/>
                <w:sz w:val="22"/>
                <w:u w:val="single"/>
              </w:rPr>
              <w:t xml:space="preserve">             </w:t>
            </w:r>
            <w:r>
              <w:rPr>
                <w:rFonts w:hint="eastAsia" w:ascii="仿宋_GB2312" w:eastAsia="仿宋_GB2312"/>
                <w:sz w:val="22"/>
              </w:rPr>
              <w:t>工作分包。</w:t>
            </w:r>
          </w:p>
          <w:p>
            <w:pPr>
              <w:spacing w:after="0"/>
            </w:pPr>
            <w:r>
              <w:rPr>
                <w:rFonts w:hint="eastAsia" w:ascii="仿宋_GB2312" w:eastAsia="仿宋_GB2312"/>
                <w:b/>
                <w:sz w:val="22"/>
              </w:rPr>
              <w:t>（√）</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11" w:type="pct"/>
            <w:vAlign w:val="center"/>
          </w:tcPr>
          <w:p>
            <w:pPr>
              <w:spacing w:after="0"/>
              <w:jc w:val="center"/>
            </w:pPr>
            <w:r>
              <w:rPr>
                <w:rFonts w:hint="eastAsia"/>
              </w:rPr>
              <w:t>5</w:t>
            </w:r>
          </w:p>
        </w:tc>
        <w:tc>
          <w:tcPr>
            <w:tcW w:w="822" w:type="pct"/>
            <w:vAlign w:val="center"/>
          </w:tcPr>
          <w:p>
            <w:pPr>
              <w:spacing w:after="0"/>
              <w:jc w:val="center"/>
              <w:rPr>
                <w:rFonts w:hint="eastAsia" w:cs="仿宋"/>
                <w:b/>
                <w:spacing w:val="0"/>
                <w:sz w:val="22"/>
              </w:rPr>
            </w:pPr>
            <w:r>
              <w:rPr>
                <w:rFonts w:hint="eastAsia" w:cs="仿宋"/>
                <w:b/>
                <w:spacing w:val="0"/>
                <w:sz w:val="22"/>
              </w:rPr>
              <w:t>开标前答疑会或现场</w:t>
            </w:r>
          </w:p>
          <w:p>
            <w:pPr>
              <w:spacing w:after="0"/>
              <w:jc w:val="center"/>
            </w:pPr>
            <w:r>
              <w:rPr>
                <w:rFonts w:hint="eastAsia" w:cs="仿宋"/>
                <w:b/>
                <w:spacing w:val="0"/>
                <w:sz w:val="22"/>
              </w:rPr>
              <w:t>考察</w:t>
            </w:r>
          </w:p>
        </w:tc>
        <w:tc>
          <w:tcPr>
            <w:tcW w:w="3867" w:type="pct"/>
            <w:vAlign w:val="center"/>
          </w:tcPr>
          <w:p>
            <w:pPr>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p>
            <w:pPr>
              <w:spacing w:after="0" w:line="360" w:lineRule="auto"/>
              <w:rPr>
                <w:rFonts w:ascii="仿宋_GB2312" w:eastAsia="仿宋_GB2312"/>
                <w:sz w:val="22"/>
              </w:rPr>
            </w:pPr>
            <w:r>
              <w:rPr>
                <w:rFonts w:hint="eastAsia" w:ascii="仿宋_GB2312" w:eastAsia="仿宋_GB2312"/>
                <w:b/>
                <w:sz w:val="22"/>
              </w:rPr>
              <w:t xml:space="preserve">（ </w:t>
            </w:r>
            <w:r>
              <w:rPr>
                <w:rFonts w:ascii="仿宋_GB2312" w:eastAsia="仿宋_GB2312"/>
                <w:b/>
                <w:sz w:val="22"/>
              </w:rPr>
              <w:t xml:space="preserve"> </w:t>
            </w:r>
            <w:r>
              <w:rPr>
                <w:rFonts w:hint="eastAsia" w:ascii="仿宋_GB2312" w:eastAsia="仿宋_GB2312"/>
                <w:b/>
                <w:sz w:val="22"/>
              </w:rPr>
              <w:t>）</w:t>
            </w:r>
            <w:r>
              <w:rPr>
                <w:rFonts w:hint="eastAsia" w:ascii="仿宋_GB2312" w:eastAsia="仿宋_GB2312"/>
                <w:sz w:val="22"/>
              </w:rPr>
              <w:t>B组织，时间：</w:t>
            </w:r>
            <w:r>
              <w:rPr>
                <w:rFonts w:hint="eastAsia" w:ascii="仿宋_GB2312" w:eastAsia="仿宋_GB2312"/>
                <w:sz w:val="22"/>
                <w:u w:val="single"/>
              </w:rPr>
              <w:t xml:space="preserve">      </w:t>
            </w:r>
            <w:r>
              <w:rPr>
                <w:rFonts w:hint="eastAsia" w:ascii="仿宋_GB2312" w:eastAsia="仿宋_GB2312"/>
                <w:sz w:val="22"/>
              </w:rPr>
              <w:t>,地点：</w:t>
            </w:r>
            <w:r>
              <w:rPr>
                <w:rFonts w:hint="eastAsia" w:ascii="仿宋_GB2312" w:eastAsia="仿宋_GB2312"/>
                <w:sz w:val="22"/>
                <w:u w:val="single"/>
              </w:rPr>
              <w:t xml:space="preserve">      </w:t>
            </w:r>
            <w:r>
              <w:rPr>
                <w:rFonts w:hint="eastAsia" w:ascii="仿宋_GB2312" w:eastAsia="仿宋_GB2312"/>
                <w:sz w:val="22"/>
              </w:rPr>
              <w:t>，</w:t>
            </w:r>
          </w:p>
          <w:p>
            <w:pPr>
              <w:spacing w:after="0"/>
            </w:pPr>
            <w:r>
              <w:rPr>
                <w:rFonts w:hint="eastAsia" w:ascii="仿宋_GB2312" w:eastAsia="仿宋_GB2312"/>
                <w:sz w:val="22"/>
              </w:rPr>
              <w:t>联系人：</w:t>
            </w:r>
            <w:r>
              <w:rPr>
                <w:rFonts w:hint="eastAsia" w:ascii="仿宋_GB2312" w:eastAsia="仿宋_GB2312"/>
                <w:sz w:val="22"/>
                <w:u w:val="single"/>
              </w:rPr>
              <w:t xml:space="preserve">      </w:t>
            </w:r>
            <w:r>
              <w:rPr>
                <w:rFonts w:hint="eastAsia" w:ascii="仿宋_GB2312" w:eastAsia="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11" w:type="pct"/>
            <w:vAlign w:val="center"/>
          </w:tcPr>
          <w:p>
            <w:pPr>
              <w:spacing w:after="0"/>
              <w:jc w:val="center"/>
            </w:pPr>
            <w:r>
              <w:rPr>
                <w:rFonts w:hint="eastAsia"/>
              </w:rP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11" w:type="pct"/>
            <w:vAlign w:val="center"/>
          </w:tcPr>
          <w:p>
            <w:pPr>
              <w:spacing w:after="0"/>
              <w:jc w:val="center"/>
            </w:pPr>
            <w:r>
              <w:rPr>
                <w:rFonts w:hint="eastAsia"/>
              </w:rPr>
              <w:t>7</w:t>
            </w:r>
          </w:p>
        </w:tc>
        <w:tc>
          <w:tcPr>
            <w:tcW w:w="822" w:type="pct"/>
            <w:vAlign w:val="center"/>
          </w:tcPr>
          <w:p>
            <w:pPr>
              <w:spacing w:after="0"/>
              <w:jc w:val="center"/>
              <w:rPr>
                <w:rFonts w:hint="eastAsia" w:cs="仿宋"/>
                <w:b/>
                <w:sz w:val="22"/>
              </w:rPr>
            </w:pPr>
            <w:r>
              <w:rPr>
                <w:rFonts w:hint="eastAsia" w:cs="仿宋"/>
                <w:b/>
                <w:sz w:val="22"/>
              </w:rPr>
              <w:t>方案讲解</w:t>
            </w:r>
          </w:p>
          <w:p>
            <w:pPr>
              <w:spacing w:after="0"/>
              <w:jc w:val="center"/>
            </w:pPr>
            <w:r>
              <w:rPr>
                <w:rFonts w:hint="eastAsia" w:cs="仿宋"/>
                <w:b/>
                <w:sz w:val="22"/>
              </w:rPr>
              <w:t>演示</w:t>
            </w:r>
          </w:p>
        </w:tc>
        <w:tc>
          <w:tcPr>
            <w:tcW w:w="3867" w:type="pct"/>
            <w:vAlign w:val="center"/>
          </w:tcPr>
          <w:p>
            <w:pPr>
              <w:spacing w:after="0" w:line="360" w:lineRule="auto"/>
            </w:pPr>
            <w:r>
              <w:rPr>
                <w:rFonts w:hint="eastAsia"/>
                <w:bCs/>
                <w:sz w:val="22"/>
              </w:rPr>
              <w:t>（ √ ）A不要求。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311" w:type="pct"/>
            <w:vAlign w:val="center"/>
          </w:tcPr>
          <w:p>
            <w:pPr>
              <w:spacing w:after="0"/>
              <w:jc w:val="center"/>
            </w:pPr>
            <w:r>
              <w:rPr>
                <w:rFonts w:hint="eastAsia"/>
              </w:rP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311" w:type="pct"/>
            <w:vAlign w:val="center"/>
          </w:tcPr>
          <w:p>
            <w:pPr>
              <w:spacing w:after="0"/>
              <w:jc w:val="center"/>
            </w:pPr>
            <w:r>
              <w:rPr>
                <w:rFonts w:hint="eastAsia"/>
              </w:rPr>
              <w:t>9</w:t>
            </w:r>
          </w:p>
        </w:tc>
        <w:tc>
          <w:tcPr>
            <w:tcW w:w="822" w:type="pct"/>
            <w:vAlign w:val="center"/>
          </w:tcPr>
          <w:p>
            <w:pPr>
              <w:spacing w:after="0"/>
              <w:jc w:val="center"/>
              <w:rPr>
                <w:rFonts w:hint="eastAsia" w:cs="仿宋"/>
                <w:b/>
                <w:sz w:val="22"/>
              </w:rPr>
            </w:pPr>
            <w:r>
              <w:rPr>
                <w:rFonts w:hint="eastAsia" w:cs="仿宋"/>
                <w:b/>
                <w:sz w:val="22"/>
              </w:rPr>
              <w:t>节能产品、环境标志</w:t>
            </w:r>
          </w:p>
          <w:p>
            <w:pPr>
              <w:spacing w:after="0"/>
              <w:jc w:val="center"/>
            </w:pPr>
            <w:r>
              <w:rPr>
                <w:rFonts w:hint="eastAsia" w:cs="仿宋"/>
                <w:b/>
                <w:sz w:val="22"/>
              </w:rPr>
              <w:t>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trPr>
        <w:tc>
          <w:tcPr>
            <w:tcW w:w="311" w:type="pct"/>
            <w:vAlign w:val="center"/>
          </w:tcPr>
          <w:p>
            <w:pPr>
              <w:spacing w:after="0"/>
              <w:jc w:val="center"/>
            </w:pPr>
            <w:r>
              <w:rPr>
                <w:rFonts w:hint="eastAsia"/>
              </w:rP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pPr>
            <w:r>
              <w:rPr>
                <w:rFonts w:hint="eastAsia" w:cs="Arial"/>
                <w:bCs/>
                <w:color w:val="000000"/>
                <w:sz w:val="22"/>
              </w:rPr>
              <w:t>资格文件、商务技术文件与报价文件未分开制作</w:t>
            </w:r>
            <w:r>
              <w:rPr>
                <w:rFonts w:hint="eastAsia"/>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311" w:type="pct"/>
            <w:vAlign w:val="center"/>
          </w:tcPr>
          <w:p>
            <w:pPr>
              <w:spacing w:after="0"/>
              <w:jc w:val="center"/>
            </w:pPr>
            <w:r>
              <w:rPr>
                <w:rFonts w:hint="eastAsia"/>
              </w:rP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6"/>
                <w:rFonts w:ascii="仿宋" w:hAnsi="仿宋" w:eastAsia="仿宋" w:cstheme="majorBidi"/>
                <w:snapToGrid/>
                <w:sz w:val="22"/>
                <w:szCs w:val="24"/>
              </w:rPr>
              <w:t>http://www.xiaoshan.gov.cn/art/2018/12/20/art_1229293109_1559514.html</w:t>
            </w:r>
            <w:r>
              <w:rPr>
                <w:rStyle w:val="26"/>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311" w:type="pct"/>
            <w:vAlign w:val="center"/>
          </w:tcPr>
          <w:p>
            <w:pPr>
              <w:spacing w:after="0"/>
              <w:jc w:val="center"/>
            </w:pPr>
            <w:r>
              <w:rPr>
                <w:rFonts w:hint="eastAsia"/>
              </w:rPr>
              <w:t>12</w:t>
            </w:r>
          </w:p>
        </w:tc>
        <w:tc>
          <w:tcPr>
            <w:tcW w:w="822" w:type="pct"/>
            <w:vAlign w:val="center"/>
          </w:tcPr>
          <w:p>
            <w:pPr>
              <w:spacing w:after="0"/>
              <w:jc w:val="center"/>
              <w:rPr>
                <w:rFonts w:hint="eastAsia" w:cs="仿宋"/>
                <w:b/>
                <w:sz w:val="22"/>
              </w:rPr>
            </w:pPr>
            <w:r>
              <w:rPr>
                <w:rFonts w:hint="eastAsia" w:cs="仿宋"/>
                <w:b/>
                <w:sz w:val="22"/>
              </w:rPr>
              <w:t>备份投标</w:t>
            </w:r>
          </w:p>
          <w:p>
            <w:pPr>
              <w:spacing w:after="0"/>
              <w:jc w:val="center"/>
            </w:pPr>
            <w:r>
              <w:rPr>
                <w:rFonts w:hint="eastAsia" w:cs="仿宋"/>
                <w:b/>
                <w:sz w:val="22"/>
              </w:rPr>
              <w:t>文件</w:t>
            </w:r>
          </w:p>
        </w:tc>
        <w:tc>
          <w:tcPr>
            <w:tcW w:w="3867" w:type="pct"/>
            <w:vAlign w:val="center"/>
          </w:tcPr>
          <w:p>
            <w:pPr>
              <w:pStyle w:val="14"/>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kern w:val="28"/>
                <w:sz w:val="22"/>
                <w:szCs w:val="24"/>
              </w:rPr>
            </w:pPr>
            <w:r>
              <w:rPr>
                <w:rFonts w:hint="eastAsia" w:ascii="仿宋" w:hAnsi="仿宋" w:eastAsia="仿宋" w:cs="仿宋"/>
                <w:kern w:val="28"/>
                <w:sz w:val="22"/>
                <w:szCs w:val="24"/>
              </w:rPr>
              <w:t>备份文件是否收取：不收取/可提交备份</w:t>
            </w:r>
          </w:p>
          <w:p>
            <w:pPr>
              <w:pStyle w:val="14"/>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kern w:val="28"/>
                <w:sz w:val="22"/>
                <w:szCs w:val="24"/>
              </w:rPr>
            </w:pPr>
            <w:r>
              <w:rPr>
                <w:rFonts w:hint="eastAsia" w:ascii="仿宋" w:hAnsi="仿宋" w:eastAsia="仿宋" w:cs="仿宋"/>
                <w:kern w:val="28"/>
                <w:sz w:val="22"/>
                <w:szCs w:val="24"/>
              </w:rPr>
              <w:t>备份投标文件送达地点：</w:t>
            </w:r>
            <w:r>
              <w:rPr>
                <w:rFonts w:hint="eastAsia" w:ascii="仿宋" w:hAnsi="仿宋" w:eastAsia="仿宋"/>
                <w:sz w:val="24"/>
                <w:szCs w:val="28"/>
              </w:rPr>
              <w:t>杭州市萧山区北干街道金惠路358号汇通大厦4幢6楼</w:t>
            </w:r>
            <w:r>
              <w:rPr>
                <w:rFonts w:hint="eastAsia" w:ascii="仿宋" w:hAnsi="仿宋" w:eastAsia="仿宋" w:cs="仿宋"/>
                <w:kern w:val="28"/>
                <w:sz w:val="22"/>
                <w:szCs w:val="24"/>
              </w:rPr>
              <w:t>；</w:t>
            </w:r>
          </w:p>
          <w:p>
            <w:pPr>
              <w:pStyle w:val="14"/>
              <w:keepNext w:val="0"/>
              <w:keepLines w:val="0"/>
              <w:pageBreakBefore w:val="0"/>
              <w:kinsoku/>
              <w:wordWrap/>
              <w:overflowPunct/>
              <w:topLinePunct w:val="0"/>
              <w:autoSpaceDE/>
              <w:autoSpaceDN/>
              <w:bidi w:val="0"/>
              <w:snapToGrid/>
              <w:spacing w:line="360" w:lineRule="auto"/>
              <w:ind w:left="880" w:hanging="880" w:hangingChars="400"/>
              <w:textAlignment w:val="auto"/>
              <w:rPr>
                <w:rFonts w:ascii="仿宋" w:hAnsi="仿宋" w:eastAsia="仿宋" w:cs="仿宋"/>
                <w:sz w:val="22"/>
                <w:szCs w:val="24"/>
              </w:rPr>
            </w:pPr>
            <w:r>
              <w:rPr>
                <w:rFonts w:hint="eastAsia" w:ascii="仿宋" w:hAnsi="仿宋" w:eastAsia="仿宋" w:cs="仿宋"/>
                <w:kern w:val="28"/>
                <w:sz w:val="22"/>
                <w:szCs w:val="24"/>
              </w:rPr>
              <w:t>备份投标文件签收人员联系电话：</w:t>
            </w:r>
            <w:r>
              <w:rPr>
                <w:rFonts w:hint="eastAsia" w:ascii="仿宋" w:hAnsi="仿宋" w:eastAsia="仿宋" w:cs="仿宋"/>
                <w:sz w:val="24"/>
                <w:u w:val="single"/>
                <w:lang w:val="en-US" w:eastAsia="zh-CN"/>
              </w:rPr>
              <w:t>0571-82858325</w:t>
            </w:r>
            <w:r>
              <w:rPr>
                <w:rFonts w:hint="eastAsia" w:ascii="仿宋" w:hAnsi="仿宋" w:eastAsia="仿宋" w:cs="仿宋"/>
                <w:sz w:val="22"/>
                <w:szCs w:val="24"/>
              </w:rPr>
              <w:t>。</w:t>
            </w:r>
          </w:p>
          <w:p>
            <w:pPr>
              <w:keepNext w:val="0"/>
              <w:keepLines w:val="0"/>
              <w:pageBreakBefore w:val="0"/>
              <w:kinsoku/>
              <w:wordWrap/>
              <w:overflowPunct/>
              <w:topLinePunct w:val="0"/>
              <w:autoSpaceDE/>
              <w:autoSpaceDN/>
              <w:bidi w:val="0"/>
              <w:snapToGrid/>
              <w:spacing w:after="0" w:line="360" w:lineRule="auto"/>
              <w:textAlignment w:val="auto"/>
            </w:pPr>
            <w:r>
              <w:rPr>
                <w:rFonts w:hint="eastAsia" w:cs="仿宋"/>
                <w:b/>
                <w:sz w:val="22"/>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22" w:type="pct"/>
            <w:vAlign w:val="center"/>
          </w:tcPr>
          <w:p>
            <w:pPr>
              <w:spacing w:after="0"/>
              <w:jc w:val="cente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采购机构代理费用</w:t>
            </w:r>
          </w:p>
        </w:tc>
        <w:tc>
          <w:tcPr>
            <w:tcW w:w="3867" w:type="pct"/>
            <w:vAlign w:val="center"/>
          </w:tcPr>
          <w:p>
            <w:pPr>
              <w:spacing w:after="0"/>
              <w:rPr>
                <w:color w:val="000000" w:themeColor="text1"/>
                <w14:textFill>
                  <w14:solidFill>
                    <w14:schemeClr w14:val="tx1"/>
                  </w14:solidFill>
                </w14:textFill>
              </w:rPr>
            </w:pPr>
            <w:r>
              <w:rPr>
                <w:rFonts w:hint="eastAsia" w:ascii="仿宋" w:hAnsi="仿宋" w:eastAsia="仿宋"/>
                <w:color w:val="000000"/>
                <w:sz w:val="24"/>
                <w:lang w:val="zh-CN"/>
              </w:rPr>
              <w:t>本项目的招标代理服务费由</w:t>
            </w:r>
            <w:r>
              <w:rPr>
                <w:rFonts w:hint="eastAsia"/>
                <w:color w:val="000000"/>
                <w:sz w:val="24"/>
                <w:lang w:val="zh-CN"/>
              </w:rPr>
              <w:t>中标</w:t>
            </w:r>
            <w:r>
              <w:rPr>
                <w:rFonts w:hint="eastAsia" w:ascii="仿宋" w:hAnsi="仿宋" w:eastAsia="仿宋"/>
                <w:color w:val="000000"/>
                <w:sz w:val="24"/>
                <w:lang w:val="zh-CN"/>
              </w:rPr>
              <w:t>人支付。招标代理服务费计费标准：以中标（成交）金额为计费基准，按计价格[2002]1980号</w:t>
            </w:r>
            <w:r>
              <w:rPr>
                <w:rFonts w:hint="eastAsia"/>
                <w:color w:val="000000"/>
                <w:sz w:val="24"/>
                <w:lang w:val="zh-CN"/>
              </w:rPr>
              <w:t>文件</w:t>
            </w:r>
            <w:r>
              <w:rPr>
                <w:rFonts w:hint="eastAsia" w:ascii="仿宋" w:hAnsi="仿宋" w:eastAsia="仿宋"/>
                <w:color w:val="000000"/>
                <w:sz w:val="24"/>
                <w:lang w:val="zh-CN"/>
              </w:rPr>
              <w:t>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jc w:val="center"/>
            </w:pPr>
            <w:r>
              <w:rPr>
                <w:rFonts w:hint="eastAsia" w:cs="仿宋"/>
                <w:b/>
                <w:sz w:val="22"/>
              </w:rPr>
              <w:t>履约保证金</w:t>
            </w:r>
          </w:p>
        </w:tc>
        <w:tc>
          <w:tcPr>
            <w:tcW w:w="3867" w:type="pct"/>
            <w:vAlign w:val="center"/>
          </w:tcPr>
          <w:p>
            <w:pPr>
              <w:pStyle w:val="14"/>
              <w:spacing w:line="360" w:lineRule="auto"/>
              <w:ind w:hanging="4"/>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履约保证金：收取</w:t>
            </w:r>
            <w:r>
              <w:rPr>
                <w:rFonts w:hint="eastAsia" w:ascii="仿宋" w:hAnsi="仿宋" w:eastAsia="仿宋"/>
                <w:color w:val="000000" w:themeColor="text1"/>
                <w:sz w:val="22"/>
                <w:lang w:val="en-US" w:eastAsia="zh-CN"/>
                <w14:textFill>
                  <w14:solidFill>
                    <w14:schemeClr w14:val="tx1"/>
                  </w14:solidFill>
                </w14:textFill>
              </w:rPr>
              <w:t>1</w:t>
            </w:r>
            <w:r>
              <w:rPr>
                <w:rFonts w:hint="eastAsia" w:ascii="仿宋" w:hAnsi="仿宋" w:eastAsia="仿宋"/>
                <w:color w:val="000000" w:themeColor="text1"/>
                <w:sz w:val="22"/>
                <w14:textFill>
                  <w14:solidFill>
                    <w14:schemeClr w14:val="tx1"/>
                  </w14:solidFill>
                </w14:textFill>
              </w:rPr>
              <w:t>%，合同签订后支付，履约完成后无息退还。</w:t>
            </w:r>
          </w:p>
          <w:p>
            <w:pPr>
              <w:spacing w:after="0"/>
              <w:rPr>
                <w:color w:val="000000" w:themeColor="text1"/>
                <w14:textFill>
                  <w14:solidFill>
                    <w14:schemeClr w14:val="tx1"/>
                  </w14:solidFill>
                </w14:textFill>
              </w:rPr>
            </w:pPr>
            <w:r>
              <w:rPr>
                <w:rFonts w:hint="eastAsia" w:cs="仿宋_GB2312"/>
                <w:color w:val="000000" w:themeColor="text1"/>
                <w:sz w:val="22"/>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jc w:val="center"/>
              <w:rPr>
                <w:rFonts w:hint="eastAsia" w:cs="仿宋"/>
                <w:b/>
                <w:sz w:val="22"/>
              </w:rPr>
            </w:pPr>
            <w:r>
              <w:rPr>
                <w:rFonts w:hint="eastAsia" w:cs="仿宋"/>
                <w:b/>
                <w:sz w:val="22"/>
              </w:rPr>
              <w:t>资格审查和信用信息</w:t>
            </w:r>
          </w:p>
          <w:p>
            <w:pPr>
              <w:spacing w:after="0"/>
              <w:jc w:val="center"/>
            </w:pPr>
            <w:r>
              <w:rPr>
                <w:rFonts w:hint="eastAsia" w:cs="仿宋"/>
                <w:b/>
                <w:sz w:val="22"/>
              </w:rPr>
              <w:t>审查</w:t>
            </w:r>
          </w:p>
        </w:tc>
        <w:tc>
          <w:tcPr>
            <w:tcW w:w="3867" w:type="pct"/>
            <w:vAlign w:val="center"/>
          </w:tcPr>
          <w:p>
            <w:pPr>
              <w:spacing w:after="0"/>
              <w:rPr>
                <w:color w:val="000000" w:themeColor="text1"/>
                <w14:textFill>
                  <w14:solidFill>
                    <w14:schemeClr w14:val="tx1"/>
                  </w14:solidFill>
                </w14:textFill>
              </w:rPr>
            </w:pPr>
            <w:r>
              <w:rPr>
                <w:rFonts w:hint="eastAsia" w:cs="仿宋_GB2312"/>
                <w:color w:val="000000" w:themeColor="text1"/>
                <w:sz w:val="22"/>
                <w14:textFill>
                  <w14:solidFill>
                    <w14:schemeClr w14:val="tx1"/>
                  </w14:solidFill>
                </w14:textFill>
              </w:rPr>
              <w:t>本项目</w:t>
            </w:r>
            <w:r>
              <w:rPr>
                <w:rFonts w:cs="仿宋_GB2312"/>
                <w:color w:val="000000" w:themeColor="text1"/>
                <w:sz w:val="22"/>
                <w14:textFill>
                  <w14:solidFill>
                    <w14:schemeClr w14:val="tx1"/>
                  </w14:solidFill>
                </w14:textFill>
              </w:rPr>
              <w:t>由采购人/</w:t>
            </w:r>
            <w:r>
              <w:rPr>
                <w:rFonts w:hint="eastAsia" w:cs="仿宋_GB2312"/>
                <w:color w:val="000000" w:themeColor="text1"/>
                <w:sz w:val="22"/>
                <w14:textFill>
                  <w14:solidFill>
                    <w14:schemeClr w14:val="tx1"/>
                  </w14:solidFill>
                </w14:textFill>
              </w:rPr>
              <w:t>采购机构进行</w:t>
            </w:r>
            <w:r>
              <w:rPr>
                <w:rFonts w:cs="仿宋_GB2312"/>
                <w:color w:val="000000" w:themeColor="text1"/>
                <w:sz w:val="22"/>
                <w14:textFill>
                  <w14:solidFill>
                    <w14:schemeClr w14:val="tx1"/>
                  </w14:solidFill>
                </w14:textFill>
              </w:rPr>
              <w:t>资格文件</w:t>
            </w:r>
            <w:r>
              <w:rPr>
                <w:rFonts w:hint="eastAsia" w:cs="仿宋_GB2312"/>
                <w:color w:val="000000" w:themeColor="text1"/>
                <w:sz w:val="22"/>
                <w14:textFill>
                  <w14:solidFill>
                    <w14:schemeClr w14:val="tx1"/>
                  </w14:solidFill>
                </w14:textFill>
              </w:rPr>
              <w:t>及</w:t>
            </w:r>
            <w:r>
              <w:rPr>
                <w:rFonts w:cs="仿宋_GB2312"/>
                <w:color w:val="000000" w:themeColor="text1"/>
                <w:sz w:val="22"/>
                <w14:textFill>
                  <w14:solidFill>
                    <w14:schemeClr w14:val="tx1"/>
                  </w14:solidFill>
                </w14:textFill>
              </w:rPr>
              <w:t>信用信息</w:t>
            </w:r>
            <w:r>
              <w:rPr>
                <w:rFonts w:hint="eastAsia" w:cs="仿宋_GB2312"/>
                <w:color w:val="000000" w:themeColor="text1"/>
                <w:sz w:val="22"/>
                <w14:textFill>
                  <w14:solidFill>
                    <w14:schemeClr w14:val="tx1"/>
                  </w14:solidFill>
                </w14:textFill>
              </w:rPr>
              <w:t>查询</w:t>
            </w:r>
            <w:r>
              <w:rPr>
                <w:rFonts w:cs="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采购</w:t>
            </w:r>
            <w:r>
              <w:rPr>
                <w:color w:val="000000" w:themeColor="text1"/>
                <w:sz w:val="22"/>
                <w14:textFill>
                  <w14:solidFill>
                    <w14:schemeClr w14:val="tx1"/>
                  </w14:solidFill>
                </w14:textFill>
              </w:rPr>
              <w:t>人、</w:t>
            </w:r>
            <w:r>
              <w:rPr>
                <w:rFonts w:hint="eastAsia"/>
                <w:color w:val="000000" w:themeColor="text1"/>
                <w:sz w:val="22"/>
                <w14:textFill>
                  <w14:solidFill>
                    <w14:schemeClr w14:val="tx1"/>
                  </w14:solidFill>
                </w14:textFill>
              </w:rPr>
              <w:t>采购</w:t>
            </w:r>
            <w:r>
              <w:rPr>
                <w:color w:val="000000" w:themeColor="text1"/>
                <w:sz w:val="22"/>
                <w14:textFill>
                  <w14:solidFill>
                    <w14:schemeClr w14:val="tx1"/>
                  </w14:solidFill>
                </w14:textFill>
              </w:rPr>
              <w:t>机构质疑接收人</w:t>
            </w:r>
            <w:r>
              <w:rPr>
                <w:rFonts w:hint="eastAsia"/>
                <w:color w:val="000000" w:themeColor="text1"/>
                <w:sz w:val="22"/>
                <w14:textFill>
                  <w14:solidFill>
                    <w14:schemeClr w14:val="tx1"/>
                  </w14:solidFill>
                </w14:textFill>
              </w:rPr>
              <w:t>、联系方式</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详见公告</w:t>
            </w:r>
          </w:p>
          <w:p>
            <w:pPr>
              <w:snapToGrid w:val="0"/>
              <w:spacing w:after="0" w:line="360" w:lineRule="auto"/>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本项目涉及资格条件、采购需求、评分办法及采购过程中有关现场考察或开标前答疑会等事项由</w:t>
            </w:r>
            <w:r>
              <w:rPr>
                <w:color w:val="000000" w:themeColor="text1"/>
                <w:sz w:val="22"/>
                <w14:textFill>
                  <w14:solidFill>
                    <w14:schemeClr w14:val="tx1"/>
                  </w14:solidFill>
                </w14:textFill>
              </w:rPr>
              <w:t>采购人进行答复。</w:t>
            </w:r>
          </w:p>
          <w:p>
            <w:pPr>
              <w:spacing w:after="0"/>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涉及</w:t>
            </w:r>
            <w:r>
              <w:rPr>
                <w:color w:val="000000" w:themeColor="text1"/>
                <w:sz w:val="22"/>
                <w14:textFill>
                  <w14:solidFill>
                    <w14:schemeClr w14:val="tx1"/>
                  </w14:solidFill>
                </w14:textFill>
              </w:rPr>
              <w:t>流程规范性、组织程序等</w:t>
            </w:r>
            <w:r>
              <w:rPr>
                <w:rFonts w:hint="eastAsia"/>
                <w:color w:val="000000" w:themeColor="text1"/>
                <w:sz w:val="22"/>
                <w14:textFill>
                  <w14:solidFill>
                    <w14:schemeClr w14:val="tx1"/>
                  </w14:solidFill>
                </w14:textFill>
              </w:rPr>
              <w:t>相关</w:t>
            </w:r>
            <w:r>
              <w:rPr>
                <w:color w:val="000000" w:themeColor="text1"/>
                <w:sz w:val="22"/>
                <w14:textFill>
                  <w14:solidFill>
                    <w14:schemeClr w14:val="tx1"/>
                  </w14:solidFill>
                </w14:textFill>
              </w:rPr>
              <w:t>事项，由</w:t>
            </w:r>
            <w:r>
              <w:rPr>
                <w:rFonts w:hint="eastAsia"/>
                <w:color w:val="000000" w:themeColor="text1"/>
                <w:sz w:val="22"/>
                <w14:textFill>
                  <w14:solidFill>
                    <w14:schemeClr w14:val="tx1"/>
                  </w14:solidFill>
                </w14:textFill>
              </w:rPr>
              <w:t>采购</w:t>
            </w:r>
            <w:r>
              <w:rPr>
                <w:color w:val="000000" w:themeColor="text1"/>
                <w:sz w:val="22"/>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
      <w:pPr>
        <w:spacing w:line="276" w:lineRule="auto"/>
      </w:pPr>
      <w:r>
        <w:br w:type="page"/>
      </w:r>
    </w:p>
    <w:p>
      <w:pPr>
        <w:pStyle w:val="5"/>
      </w:pPr>
      <w:r>
        <w:rPr>
          <w:rFonts w:hint="eastAsia"/>
        </w:rPr>
        <w:t>一、总则</w:t>
      </w:r>
    </w:p>
    <w:p>
      <w:pPr>
        <w:pStyle w:val="6"/>
      </w:pPr>
      <w:r>
        <w:t>1. 适用范围</w:t>
      </w:r>
    </w:p>
    <w:p>
      <w:r>
        <w:rPr>
          <w:rFonts w:hint="eastAsia"/>
        </w:rPr>
        <w:t>本招标文件适用于该项目的招标、投标、开标、资格审查及信用信息查询、评标、定标、合同、验收等行为（法律、法规另有规定的，从其规定）。</w:t>
      </w:r>
    </w:p>
    <w:p>
      <w:pPr>
        <w:pStyle w:val="6"/>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6"/>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lang w:val="en-US" w:eastAsia="zh-CN"/>
        </w:rPr>
        <w:t>2</w:t>
      </w:r>
      <w: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4.3.5 以联合体形式参加政府采购活动的，其投诉应当由组成联合体的所有供应商共同提出。</w:t>
      </w:r>
    </w:p>
    <w:p>
      <w:r>
        <w:rPr>
          <w:rFonts w:hint="eastAsia"/>
        </w:rPr>
        <w:t>投诉书范本及制作说明详见附件</w:t>
      </w:r>
      <w:r>
        <w:t>3。</w:t>
      </w:r>
    </w:p>
    <w:p>
      <w:pPr>
        <w:pStyle w:val="5"/>
      </w:pPr>
      <w:r>
        <w:t>二、招标文件的构成、澄清、修改</w:t>
      </w:r>
    </w:p>
    <w:p>
      <w:pPr>
        <w:pStyle w:val="6"/>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6"/>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pPr>
      <w:r>
        <w:rPr>
          <w:rFonts w:hint="eastAsia"/>
        </w:rPr>
        <w:t>三、投标</w:t>
      </w:r>
    </w:p>
    <w:p>
      <w:pPr>
        <w:pStyle w:val="6"/>
      </w:pPr>
      <w:r>
        <w:t>7. 招标文件的获取</w:t>
      </w:r>
    </w:p>
    <w:p>
      <w:r>
        <w:rPr>
          <w:rFonts w:hint="eastAsia"/>
        </w:rPr>
        <w:t>详见招标公告中获取招标文件的时间期限、地点、方式及招标文件售价。</w:t>
      </w:r>
    </w:p>
    <w:p>
      <w:pPr>
        <w:pStyle w:val="6"/>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6"/>
      </w:pPr>
      <w:r>
        <w:t>9.投标保证金</w:t>
      </w:r>
    </w:p>
    <w:p>
      <w:r>
        <w:rPr>
          <w:rFonts w:hint="eastAsia"/>
        </w:rPr>
        <w:t>本项目不需缴纳投标保证金。</w:t>
      </w:r>
    </w:p>
    <w:p>
      <w:pPr>
        <w:pStyle w:val="6"/>
      </w:pPr>
      <w:r>
        <w:t>10. 投标文件的语言</w:t>
      </w:r>
    </w:p>
    <w:p>
      <w:r>
        <w:rPr>
          <w:rFonts w:hint="eastAsia"/>
        </w:rPr>
        <w:t>投标文件及投标人与采购有关的来往通知、函件和文件均应使用中文。</w:t>
      </w:r>
    </w:p>
    <w:p>
      <w:pPr>
        <w:pStyle w:val="6"/>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6"/>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6"/>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6"/>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6"/>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5"/>
      </w:pPr>
      <w:r>
        <w:rPr>
          <w:rFonts w:hint="eastAsia"/>
        </w:rPr>
        <w:t>四、开标、资格审查与信用信息查询</w:t>
      </w:r>
    </w:p>
    <w:p>
      <w:pPr>
        <w:pStyle w:val="6"/>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6"/>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6"/>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pPr>
      <w:r>
        <w:rPr>
          <w:rFonts w:hint="eastAsia"/>
        </w:rPr>
        <w:t>五、评标</w:t>
      </w:r>
    </w:p>
    <w:p>
      <w:pPr>
        <w:pStyle w:val="6"/>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pPr>
      <w:r>
        <w:rPr>
          <w:rFonts w:hint="eastAsia"/>
        </w:rPr>
        <w:t>六、定</w:t>
      </w:r>
      <w:r>
        <w:t xml:space="preserve"> 标</w:t>
      </w:r>
    </w:p>
    <w:p>
      <w:pPr>
        <w:pStyle w:val="6"/>
      </w:pPr>
      <w:r>
        <w:t>22. 确定中标供应商</w:t>
      </w:r>
    </w:p>
    <w:p>
      <w:r>
        <w:rPr>
          <w:rFonts w:hint="eastAsia"/>
        </w:rPr>
        <w:t>采购人将自收到评审报告之日起</w:t>
      </w:r>
      <w:r>
        <w:t>5个工作日内通过电子交易平台在评审报告推荐的中标候选人中按顺序确定中标供应商。</w:t>
      </w:r>
    </w:p>
    <w:p>
      <w:pPr>
        <w:pStyle w:val="6"/>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5"/>
      </w:pPr>
      <w:r>
        <w:rPr>
          <w:rFonts w:hint="eastAsia"/>
        </w:rPr>
        <w:t>七、合同授予</w:t>
      </w:r>
    </w:p>
    <w:p>
      <w:pPr>
        <w:pStyle w:val="6"/>
      </w:pPr>
      <w:r>
        <w:t>24. 合同主要条款详见第五部分拟签订的合同文本。</w:t>
      </w:r>
    </w:p>
    <w:p>
      <w:pPr>
        <w:pStyle w:val="6"/>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6"/>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w:t>
      </w:r>
      <w:r>
        <w:rPr>
          <w:rFonts w:hint="eastAsia"/>
        </w:rPr>
        <w:t>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pStyle w:val="2"/>
      </w:pPr>
    </w:p>
    <w:p>
      <w:pPr>
        <w:pStyle w:val="27"/>
      </w:pPr>
    </w:p>
    <w:p>
      <w:pPr>
        <w:pStyle w:val="5"/>
      </w:pPr>
      <w:r>
        <w:rPr>
          <w:rFonts w:hint="eastAsia"/>
        </w:rPr>
        <w:t>八、电子交易活动的中止</w:t>
      </w:r>
    </w:p>
    <w:p>
      <w:pPr>
        <w:pStyle w:val="6"/>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pPr>
      <w:r>
        <w:rPr>
          <w:rFonts w:hint="eastAsia"/>
        </w:rPr>
        <w:t>九、验收</w:t>
      </w:r>
    </w:p>
    <w:p>
      <w:pPr>
        <w:pStyle w:val="6"/>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4"/>
        <w:numPr>
          <w:ilvl w:val="0"/>
          <w:numId w:val="1"/>
        </w:numPr>
      </w:pPr>
      <w:r>
        <w:t xml:space="preserve">  </w:t>
      </w:r>
      <w:r>
        <w:rPr>
          <w:rFonts w:hint="eastAsia"/>
        </w:rPr>
        <w:t>采购需求</w:t>
      </w:r>
    </w:p>
    <w:p/>
    <w:p>
      <w:pPr>
        <w:snapToGrid w:val="0"/>
        <w:rPr>
          <w:rStyle w:val="47"/>
          <w:i w:val="0"/>
          <w:iCs w:val="0"/>
        </w:rPr>
      </w:pPr>
      <w:r>
        <w:rPr>
          <w:rStyle w:val="47"/>
          <w:rFonts w:hint="eastAsia"/>
          <w:i w:val="0"/>
          <w:iCs w:val="0"/>
        </w:rPr>
        <w:t>属于实质性要求条款的，请用符号“▲”标明，否则属于非实质性要求。</w:t>
      </w:r>
    </w:p>
    <w:p>
      <w:pPr>
        <w:snapToGrid w:val="0"/>
        <w:rPr>
          <w:rStyle w:val="47"/>
          <w:i w:val="0"/>
          <w:iCs w:val="0"/>
        </w:rPr>
      </w:pPr>
      <w:r>
        <w:rPr>
          <w:rStyle w:val="47"/>
          <w:rFonts w:hint="eastAsia"/>
          <w:i w:val="0"/>
          <w:iCs w:val="0"/>
        </w:rPr>
        <w:t>“★”系产品采购项目中单一产品或核心产品。</w:t>
      </w:r>
    </w:p>
    <w:p>
      <w:pPr>
        <w:snapToGrid w:val="0"/>
        <w:spacing w:before="120" w:beforeLines="50" w:after="120" w:afterLines="50" w:line="500" w:lineRule="exact"/>
        <w:jc w:val="center"/>
        <w:rPr>
          <w:rFonts w:ascii="仿宋" w:hAnsi="仿宋" w:eastAsia="仿宋" w:cs="仿宋"/>
          <w:b/>
          <w:bCs/>
          <w:sz w:val="28"/>
          <w:szCs w:val="28"/>
        </w:rPr>
      </w:pPr>
      <w:r>
        <w:rPr>
          <w:rFonts w:hint="eastAsia" w:ascii="仿宋" w:hAnsi="仿宋" w:eastAsia="仿宋" w:cs="仿宋"/>
          <w:b/>
          <w:bCs/>
          <w:sz w:val="28"/>
          <w:szCs w:val="28"/>
        </w:rPr>
        <w:t>一、招标一览表</w:t>
      </w:r>
    </w:p>
    <w:p>
      <w:pPr>
        <w:keepNext w:val="0"/>
        <w:keepLines w:val="0"/>
        <w:pageBreakBefore w:val="0"/>
        <w:widowControl/>
        <w:kinsoku/>
        <w:wordWrap/>
        <w:topLinePunct w:val="0"/>
        <w:bidi w:val="0"/>
        <w:snapToGrid w:val="0"/>
        <w:spacing w:after="0" w:line="360" w:lineRule="auto"/>
        <w:ind w:left="0"/>
        <w:jc w:val="left"/>
        <w:rPr>
          <w:rFonts w:ascii="仿宋" w:hAnsi="仿宋" w:eastAsia="仿宋" w:cs="仿宋"/>
          <w:sz w:val="24"/>
        </w:rPr>
      </w:pPr>
      <w:r>
        <w:rPr>
          <w:rFonts w:hint="eastAsia" w:ascii="仿宋" w:hAnsi="仿宋" w:eastAsia="仿宋" w:cs="仿宋"/>
          <w:b/>
          <w:sz w:val="24"/>
        </w:rPr>
        <w:t>标项：</w:t>
      </w:r>
      <w:r>
        <w:rPr>
          <w:rFonts w:hint="eastAsia" w:ascii="仿宋" w:hAnsi="仿宋" w:eastAsia="仿宋" w:cs="仿宋"/>
          <w:b/>
          <w:sz w:val="24"/>
          <w:u w:val="single"/>
        </w:rPr>
        <w:t xml:space="preserve"> 1 </w:t>
      </w:r>
    </w:p>
    <w:tbl>
      <w:tblPr>
        <w:tblStyle w:val="21"/>
        <w:tblW w:w="9568" w:type="dxa"/>
        <w:jc w:val="center"/>
        <w:tblLayout w:type="fixed"/>
        <w:tblCellMar>
          <w:top w:w="0" w:type="dxa"/>
          <w:left w:w="0" w:type="dxa"/>
          <w:bottom w:w="0" w:type="dxa"/>
          <w:right w:w="0" w:type="dxa"/>
        </w:tblCellMar>
      </w:tblPr>
      <w:tblGrid>
        <w:gridCol w:w="754"/>
        <w:gridCol w:w="4105"/>
        <w:gridCol w:w="2068"/>
        <w:gridCol w:w="1238"/>
        <w:gridCol w:w="1403"/>
      </w:tblGrid>
      <w:tr>
        <w:tblPrEx>
          <w:tblCellMar>
            <w:top w:w="0" w:type="dxa"/>
            <w:left w:w="0" w:type="dxa"/>
            <w:bottom w:w="0" w:type="dxa"/>
            <w:right w:w="0" w:type="dxa"/>
          </w:tblCellMar>
        </w:tblPrEx>
        <w:trPr>
          <w:cantSplit/>
          <w:trHeight w:val="46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sz w:val="24"/>
              </w:rPr>
            </w:pPr>
            <w:r>
              <w:rPr>
                <w:rFonts w:hint="eastAsia" w:ascii="仿宋" w:hAnsi="仿宋" w:eastAsia="仿宋" w:cs="仿宋"/>
                <w:sz w:val="24"/>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sz w:val="24"/>
              </w:rPr>
            </w:pPr>
            <w:r>
              <w:rPr>
                <w:rFonts w:hint="eastAsia" w:ascii="仿宋" w:hAnsi="仿宋" w:eastAsia="仿宋" w:cs="仿宋"/>
                <w:sz w:val="24"/>
              </w:rPr>
              <w:t>名称</w:t>
            </w:r>
          </w:p>
        </w:tc>
        <w:tc>
          <w:tcPr>
            <w:tcW w:w="20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sz w:val="24"/>
              </w:rPr>
            </w:pPr>
            <w:r>
              <w:rPr>
                <w:rFonts w:hint="eastAsia" w:ascii="仿宋" w:hAnsi="仿宋" w:eastAsia="仿宋" w:cs="仿宋"/>
                <w:sz w:val="24"/>
              </w:rPr>
              <w:t>规格型号与参数</w:t>
            </w:r>
          </w:p>
        </w:tc>
        <w:tc>
          <w:tcPr>
            <w:tcW w:w="12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sz w:val="24"/>
              </w:rPr>
            </w:pPr>
            <w:r>
              <w:rPr>
                <w:rFonts w:hint="eastAsia" w:ascii="仿宋" w:hAnsi="仿宋" w:eastAsia="仿宋" w:cs="仿宋"/>
                <w:sz w:val="24"/>
              </w:rPr>
              <w:t>单位</w:t>
            </w:r>
          </w:p>
        </w:tc>
        <w:tc>
          <w:tcPr>
            <w:tcW w:w="14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sz w:val="24"/>
              </w:rPr>
            </w:pPr>
            <w:r>
              <w:rPr>
                <w:rFonts w:hint="eastAsia" w:cs="仿宋"/>
                <w:sz w:val="24"/>
                <w:lang w:eastAsia="zh-CN"/>
              </w:rPr>
              <w:t>暂定</w:t>
            </w:r>
            <w:r>
              <w:rPr>
                <w:rFonts w:hint="eastAsia" w:ascii="仿宋" w:hAnsi="仿宋" w:eastAsia="仿宋" w:cs="仿宋"/>
                <w:sz w:val="24"/>
              </w:rPr>
              <w:t>数量</w:t>
            </w:r>
          </w:p>
        </w:tc>
      </w:tr>
      <w:tr>
        <w:tblPrEx>
          <w:tblCellMar>
            <w:top w:w="0" w:type="dxa"/>
            <w:left w:w="0" w:type="dxa"/>
            <w:bottom w:w="0" w:type="dxa"/>
            <w:right w:w="0" w:type="dxa"/>
          </w:tblCellMar>
        </w:tblPrEx>
        <w:trPr>
          <w:cantSplit/>
          <w:trHeight w:val="953"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Times New Roman"/>
                <w:color w:val="000000"/>
                <w:sz w:val="24"/>
                <w:szCs w:val="28"/>
                <w:u w:val="none"/>
                <w:lang w:val="en-US" w:eastAsia="zh-CN"/>
              </w:rPr>
              <w:t>杭州市</w:t>
            </w:r>
            <w:r>
              <w:rPr>
                <w:rFonts w:hint="eastAsia" w:ascii="仿宋" w:hAnsi="仿宋" w:eastAsia="仿宋" w:cs="Times New Roman"/>
                <w:color w:val="000000"/>
                <w:sz w:val="24"/>
                <w:szCs w:val="28"/>
                <w:u w:val="none"/>
              </w:rPr>
              <w:t>萧山区</w:t>
            </w:r>
            <w:r>
              <w:rPr>
                <w:rFonts w:hint="eastAsia" w:ascii="仿宋" w:hAnsi="仿宋" w:eastAsia="仿宋" w:cs="Times New Roman"/>
                <w:color w:val="000000"/>
                <w:sz w:val="24"/>
                <w:szCs w:val="28"/>
                <w:u w:val="none"/>
                <w:lang w:val="en-US" w:eastAsia="zh-CN"/>
              </w:rPr>
              <w:t>交通运输局（杭州市萧山区交通运输综合行政执法队）202</w:t>
            </w:r>
            <w:r>
              <w:rPr>
                <w:rFonts w:hint="eastAsia" w:cs="Times New Roman"/>
                <w:color w:val="000000"/>
                <w:sz w:val="24"/>
                <w:szCs w:val="28"/>
                <w:u w:val="none"/>
                <w:lang w:val="en-US" w:eastAsia="zh-CN"/>
              </w:rPr>
              <w:t>2</w:t>
            </w:r>
            <w:r>
              <w:rPr>
                <w:rFonts w:hint="eastAsia" w:ascii="仿宋" w:hAnsi="仿宋" w:eastAsia="仿宋" w:cs="Times New Roman"/>
                <w:color w:val="000000"/>
                <w:sz w:val="24"/>
                <w:szCs w:val="28"/>
                <w:u w:val="none"/>
                <w:lang w:val="en-US" w:eastAsia="zh-CN"/>
              </w:rPr>
              <w:t>年度职工疗休养采购项目</w:t>
            </w:r>
          </w:p>
        </w:tc>
        <w:tc>
          <w:tcPr>
            <w:tcW w:w="2068"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详见招标需求</w:t>
            </w:r>
          </w:p>
        </w:tc>
        <w:tc>
          <w:tcPr>
            <w:tcW w:w="123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cs="仿宋"/>
                <w:color w:val="000000" w:themeColor="text1"/>
                <w:sz w:val="24"/>
                <w:lang w:eastAsia="zh-CN"/>
                <w14:textFill>
                  <w14:solidFill>
                    <w14:schemeClr w14:val="tx1"/>
                  </w14:solidFill>
                </w14:textFill>
              </w:rPr>
              <w:t>人</w:t>
            </w:r>
          </w:p>
        </w:tc>
        <w:tc>
          <w:tcPr>
            <w:tcW w:w="1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after="0"/>
              <w:ind w:left="0"/>
              <w:jc w:val="center"/>
              <w:textAlignment w:val="auto"/>
              <w:rPr>
                <w:rFonts w:hint="default" w:ascii="仿宋" w:hAnsi="仿宋" w:eastAsia="仿宋" w:cs="仿宋"/>
                <w:color w:val="000000" w:themeColor="text1"/>
                <w:sz w:val="24"/>
                <w:lang w:val="en-US" w:eastAsia="zh-CN"/>
                <w14:textFill>
                  <w14:solidFill>
                    <w14:schemeClr w14:val="tx1"/>
                  </w14:solidFill>
                </w14:textFill>
              </w:rPr>
            </w:pPr>
            <w:r>
              <w:rPr>
                <w:rFonts w:hint="eastAsia" w:cs="仿宋"/>
                <w:color w:val="000000" w:themeColor="text1"/>
                <w:sz w:val="24"/>
                <w:lang w:val="en-US" w:eastAsia="zh-CN"/>
                <w14:textFill>
                  <w14:solidFill>
                    <w14:schemeClr w14:val="tx1"/>
                  </w14:solidFill>
                </w14:textFill>
              </w:rPr>
              <w:t>217</w:t>
            </w:r>
            <w:r>
              <w:rPr>
                <w:rFonts w:hint="eastAsia" w:ascii="仿宋" w:hAnsi="仿宋" w:eastAsia="仿宋" w:cs="仿宋"/>
                <w:color w:val="000000" w:themeColor="text1"/>
                <w:sz w:val="24"/>
                <w:lang w:bidi="ar"/>
                <w14:textFill>
                  <w14:solidFill>
                    <w14:schemeClr w14:val="tx1"/>
                  </w14:solidFill>
                </w14:textFill>
              </w:rPr>
              <w:t>（具体以实际为准）</w:t>
            </w:r>
          </w:p>
        </w:tc>
      </w:tr>
    </w:tbl>
    <w:p>
      <w:pPr>
        <w:keepNext w:val="0"/>
        <w:keepLines w:val="0"/>
        <w:pageBreakBefore w:val="0"/>
        <w:widowControl/>
        <w:kinsoku/>
        <w:wordWrap/>
        <w:topLinePunct w:val="0"/>
        <w:bidi w:val="0"/>
        <w:spacing w:after="0"/>
        <w:ind w:left="0"/>
        <w:jc w:val="center"/>
        <w:rPr>
          <w:rFonts w:hint="eastAsia" w:ascii="仿宋" w:hAnsi="仿宋" w:eastAsia="仿宋" w:cs="仿宋"/>
          <w:b/>
          <w:color w:val="000000" w:themeColor="text1"/>
          <w:sz w:val="28"/>
          <w:szCs w:val="28"/>
          <w14:textFill>
            <w14:solidFill>
              <w14:schemeClr w14:val="tx1"/>
            </w14:solidFill>
          </w14:textFill>
        </w:rPr>
      </w:pPr>
    </w:p>
    <w:p>
      <w:pPr>
        <w:keepNext w:val="0"/>
        <w:keepLines w:val="0"/>
        <w:pageBreakBefore w:val="0"/>
        <w:widowControl/>
        <w:kinsoku/>
        <w:wordWrap/>
        <w:topLinePunct w:val="0"/>
        <w:bidi w:val="0"/>
        <w:spacing w:after="0"/>
        <w:ind w:left="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二、招标需求</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（一）服务内容及要求： </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1.出行时间：分批次出行，具体出行时间以</w:t>
      </w:r>
      <w:r>
        <w:rPr>
          <w:rFonts w:hint="eastAsia" w:cs="仿宋"/>
          <w:sz w:val="24"/>
          <w:lang w:val="en-US" w:eastAsia="zh-CN"/>
        </w:rPr>
        <w:t>采购</w:t>
      </w:r>
      <w:r>
        <w:rPr>
          <w:rFonts w:hint="eastAsia" w:ascii="仿宋" w:hAnsi="仿宋" w:eastAsia="仿宋" w:cs="仿宋"/>
          <w:sz w:val="24"/>
          <w:lang w:val="en-US" w:eastAsia="zh-CN"/>
        </w:rPr>
        <w:t xml:space="preserve">人为准。 </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2.线路安排（具体出行线路招标后由招标单位确定）： </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线路一：桐庐建德，5日疗休养行程。</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cs="仿宋"/>
          <w:sz w:val="24"/>
          <w:lang w:val="en-US" w:eastAsia="zh-CN"/>
        </w:rPr>
        <w:t>线路二：千岛湖，</w:t>
      </w:r>
      <w:r>
        <w:rPr>
          <w:rFonts w:hint="eastAsia" w:ascii="仿宋" w:hAnsi="仿宋" w:eastAsia="仿宋" w:cs="仿宋"/>
          <w:sz w:val="24"/>
          <w:lang w:val="en-US" w:eastAsia="zh-CN"/>
        </w:rPr>
        <w:t xml:space="preserve">5日疗休养行程。 </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线路</w:t>
      </w:r>
      <w:r>
        <w:rPr>
          <w:rFonts w:hint="eastAsia" w:cs="仿宋"/>
          <w:sz w:val="24"/>
          <w:lang w:val="en-US" w:eastAsia="zh-CN"/>
        </w:rPr>
        <w:t>三</w:t>
      </w:r>
      <w:r>
        <w:rPr>
          <w:rFonts w:hint="eastAsia" w:ascii="仿宋" w:hAnsi="仿宋" w:eastAsia="仿宋" w:cs="仿宋"/>
          <w:sz w:val="24"/>
          <w:lang w:val="en-US" w:eastAsia="zh-CN"/>
        </w:rPr>
        <w:t>：舟山，5 日疗休养行程。</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线路</w:t>
      </w:r>
      <w:r>
        <w:rPr>
          <w:rFonts w:hint="eastAsia" w:cs="仿宋"/>
          <w:sz w:val="24"/>
          <w:lang w:val="en-US" w:eastAsia="zh-CN"/>
        </w:rPr>
        <w:t>四</w:t>
      </w:r>
      <w:r>
        <w:rPr>
          <w:rFonts w:hint="eastAsia" w:ascii="仿宋" w:hAnsi="仿宋" w:eastAsia="仿宋" w:cs="仿宋"/>
          <w:sz w:val="24"/>
          <w:lang w:val="en-US" w:eastAsia="zh-CN"/>
        </w:rPr>
        <w:t>：温州，5日疗休养行程。</w:t>
      </w:r>
    </w:p>
    <w:p>
      <w:pPr>
        <w:keepNext w:val="0"/>
        <w:keepLines w:val="0"/>
        <w:pageBreakBefore w:val="0"/>
        <w:numPr>
          <w:ilvl w:val="0"/>
          <w:numId w:val="2"/>
        </w:numPr>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费用：各条线路费用不超过3000元/人（含往返交通费在内），供应商需在响应文件中提供</w:t>
      </w:r>
      <w:r>
        <w:rPr>
          <w:rFonts w:hint="eastAsia" w:cs="仿宋"/>
          <w:sz w:val="24"/>
          <w:lang w:val="en-US" w:eastAsia="zh-CN"/>
        </w:rPr>
        <w:t>4</w:t>
      </w:r>
      <w:r>
        <w:rPr>
          <w:rFonts w:hint="eastAsia" w:ascii="仿宋" w:hAnsi="仿宋" w:eastAsia="仿宋" w:cs="仿宋"/>
          <w:sz w:val="24"/>
          <w:lang w:val="en-US" w:eastAsia="zh-CN"/>
        </w:rPr>
        <w:t>条线路具体行程、出行方式、就餐标准等具体明细，响应报价根据要求提供每人次的单价（</w:t>
      </w:r>
      <w:r>
        <w:rPr>
          <w:rFonts w:hint="eastAsia" w:cs="仿宋"/>
          <w:sz w:val="24"/>
          <w:lang w:val="en-US" w:eastAsia="zh-CN"/>
        </w:rPr>
        <w:t>4</w:t>
      </w:r>
      <w:r>
        <w:rPr>
          <w:rFonts w:hint="eastAsia" w:ascii="仿宋" w:hAnsi="仿宋" w:eastAsia="仿宋" w:cs="仿宋"/>
          <w:sz w:val="24"/>
          <w:lang w:val="en-US" w:eastAsia="zh-CN"/>
        </w:rPr>
        <w:t>条线路每人次单价相同）。响应单价为供应商综合考虑后的统一单价，不得再有淡季旺季的价格区别。无论</w:t>
      </w:r>
      <w:r>
        <w:rPr>
          <w:rFonts w:hint="eastAsia" w:cs="仿宋"/>
          <w:sz w:val="24"/>
          <w:lang w:val="en-US" w:eastAsia="zh-CN"/>
        </w:rPr>
        <w:t>采购</w:t>
      </w:r>
      <w:r>
        <w:rPr>
          <w:rFonts w:hint="eastAsia" w:ascii="仿宋" w:hAnsi="仿宋" w:eastAsia="仿宋" w:cs="仿宋"/>
          <w:sz w:val="24"/>
          <w:lang w:val="en-US" w:eastAsia="zh-CN"/>
        </w:rPr>
        <w:t>人在何时出团，均以</w:t>
      </w:r>
      <w:r>
        <w:rPr>
          <w:rFonts w:hint="eastAsia" w:cs="仿宋"/>
          <w:sz w:val="24"/>
          <w:lang w:val="en-US" w:eastAsia="zh-CN"/>
        </w:rPr>
        <w:t>投标</w:t>
      </w:r>
      <w:r>
        <w:rPr>
          <w:rFonts w:hint="eastAsia" w:ascii="仿宋" w:hAnsi="仿宋" w:eastAsia="仿宋" w:cs="仿宋"/>
          <w:sz w:val="24"/>
          <w:lang w:val="en-US" w:eastAsia="zh-CN"/>
        </w:rPr>
        <w:t>单价为结算依据。供应商应允许成交后任何线路因报名人数不足或者不可抗力因素的不成团，不成团线路</w:t>
      </w:r>
      <w:r>
        <w:rPr>
          <w:rFonts w:hint="eastAsia" w:cs="仿宋"/>
          <w:sz w:val="24"/>
          <w:lang w:val="en-US" w:eastAsia="zh-CN"/>
        </w:rPr>
        <w:t>采购</w:t>
      </w:r>
      <w:r>
        <w:rPr>
          <w:rFonts w:hint="eastAsia" w:ascii="仿宋" w:hAnsi="仿宋" w:eastAsia="仿宋" w:cs="仿宋"/>
          <w:sz w:val="24"/>
          <w:lang w:val="en-US" w:eastAsia="zh-CN"/>
        </w:rPr>
        <w:t>人不承担任何责任。项目最终出行疗休养路线（不仅限于以上</w:t>
      </w:r>
      <w:r>
        <w:rPr>
          <w:rFonts w:hint="eastAsia" w:cs="仿宋"/>
          <w:sz w:val="24"/>
          <w:lang w:val="en-US" w:eastAsia="zh-CN"/>
        </w:rPr>
        <w:t>4</w:t>
      </w:r>
      <w:r>
        <w:rPr>
          <w:rFonts w:hint="eastAsia" w:ascii="仿宋" w:hAnsi="仿宋" w:eastAsia="仿宋" w:cs="仿宋"/>
          <w:sz w:val="24"/>
          <w:lang w:val="en-US" w:eastAsia="zh-CN"/>
        </w:rPr>
        <w:t>条线路）由</w:t>
      </w:r>
      <w:r>
        <w:rPr>
          <w:rFonts w:hint="eastAsia" w:cs="仿宋"/>
          <w:sz w:val="24"/>
          <w:lang w:val="en-US" w:eastAsia="zh-CN"/>
        </w:rPr>
        <w:t>采购</w:t>
      </w:r>
      <w:r>
        <w:rPr>
          <w:rFonts w:hint="eastAsia" w:ascii="仿宋" w:hAnsi="仿宋" w:eastAsia="仿宋" w:cs="仿宋"/>
          <w:sz w:val="24"/>
          <w:lang w:val="en-US" w:eastAsia="zh-CN"/>
        </w:rPr>
        <w:t>人与</w:t>
      </w:r>
      <w:r>
        <w:rPr>
          <w:rFonts w:hint="eastAsia" w:cs="仿宋"/>
          <w:sz w:val="24"/>
          <w:lang w:val="en-US" w:eastAsia="zh-CN"/>
        </w:rPr>
        <w:t>中标</w:t>
      </w:r>
      <w:r>
        <w:rPr>
          <w:rFonts w:hint="eastAsia" w:ascii="仿宋" w:hAnsi="仿宋" w:eastAsia="仿宋" w:cs="仿宋"/>
          <w:sz w:val="24"/>
          <w:lang w:val="en-US" w:eastAsia="zh-CN"/>
        </w:rPr>
        <w:t xml:space="preserve">人双方根据实际情况商议后明确。 </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餐标：早餐为酒店早餐，中餐不低于60元/人，晚餐不低于</w:t>
      </w:r>
      <w:r>
        <w:rPr>
          <w:rFonts w:hint="eastAsia" w:ascii="仿宋" w:hAnsi="仿宋" w:eastAsia="仿宋" w:cs="仿宋"/>
          <w:sz w:val="24"/>
          <w:lang w:val="en-US" w:eastAsia="zh-CN"/>
        </w:rPr>
        <w:t>80</w:t>
      </w:r>
      <w:r>
        <w:rPr>
          <w:rFonts w:hint="eastAsia" w:ascii="仿宋" w:hAnsi="仿宋" w:eastAsia="仿宋" w:cs="仿宋"/>
          <w:sz w:val="24"/>
        </w:rPr>
        <w:t>元/人，餐厅必须有接待资质、环境好的饭店就餐，允许团队等额退餐，自己点菜。中晚餐每桌提供一瓶可乐、雪碧、果粒橙各一瓶（均为5升）。如采购人对菜品质量不满意的，有权更换菜品，中标人应当给予调换，直至采购人满意为止。</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住宿：住宿综合环境好，要求挂牌四星以上（含）酒店，设施较好的新装修的酒店（如因男女人数为单，剩下两人须安排一人一间）。住宿酒店要求交通便利、环境较好、干净卫生、服务优质，有较强的接待能力，同时配套设施齐全、使用安全方便。若住宿不符合采购人要求，采购人有权更换，中标人应当给予调换，直至采购人满意为止。要求标注疗休养行程中每天住宿宾馆的名称、星级和具体地址。</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门票：必须包含各景区大门票及景区内的电瓶车、索道、缆车、游船票等费用。</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用车要求：汽车统一为全程空调旅游车，必须保证每人一正座（座位按人数1：1.2比例配备）要求车况好，冷暖空调效果好，车内整洁、明亮，司机必须安全行车5年或以上且无重大安全事故和严重交通违规记录，车上需配备晕车药和一次性塑料袋。</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导游：要求全程提供持证全陪、地陪导游服务（全陪导游须持有导游证3年以上，出团前1周提交疗休养方审核）。</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险：购买疗休养过程中的各类保险（包括：旅行社责任险，旅游意外伤害保险等），做到应保则保，投标文件中应说明具体险种和单人保额。其中，旅行社责任险不少于100万元/人、旅游安全人身意外伤害保险不少于100万元/人。实际实施过程中，旅行社必须提供每批休养人员购买保险的原始凭证的复印件给采购人。</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其他：要求为参加疗休养职工提供每人每天2瓶矿泉水，适当零食，水果 ，应急药物等；要求不进任何购物店,不组织任何自费项目。针对疗休养活动中可能发生的突发状况、意外情况等（如：投诉、纠纷、安全事故等），供应商须制定周密、可靠的安全保障和突发事件应急预案，确保在各种情况下参团人员的人身及财产安全，供应商应在投标文件中提供详细说明。</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本项目须满足职工家属随同参加疗休养需求。</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如遇政策性调整等各项不确定因素，采购人有权终止合同。</w:t>
      </w:r>
    </w:p>
    <w:p>
      <w:pPr>
        <w:keepNext w:val="0"/>
        <w:keepLines w:val="0"/>
        <w:pageBreakBefore w:val="0"/>
        <w:kinsoku/>
        <w:wordWrap/>
        <w:overflowPunct/>
        <w:topLinePunct w:val="0"/>
        <w:autoSpaceDN/>
        <w:bidi w:val="0"/>
        <w:adjustRightInd/>
        <w:spacing w:line="360" w:lineRule="auto"/>
        <w:textAlignment w:val="auto"/>
        <w:rPr>
          <w:rFonts w:hint="eastAsia" w:ascii="仿宋" w:hAnsi="仿宋" w:eastAsia="仿宋" w:cs="仿宋"/>
          <w:b/>
          <w:bCs/>
          <w:sz w:val="24"/>
        </w:rPr>
      </w:pPr>
      <w:r>
        <w:rPr>
          <w:rFonts w:hint="eastAsia" w:ascii="仿宋" w:hAnsi="仿宋" w:eastAsia="仿宋" w:cs="仿宋"/>
          <w:b/>
          <w:bCs/>
          <w:sz w:val="24"/>
        </w:rPr>
        <w:t>（二）其他事项：</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投标报价包括</w:t>
      </w:r>
      <w:r>
        <w:rPr>
          <w:rFonts w:hint="eastAsia" w:ascii="仿宋" w:hAnsi="仿宋" w:eastAsia="仿宋" w:cs="仿宋"/>
          <w:sz w:val="24"/>
        </w:rPr>
        <w:t>供应商</w:t>
      </w:r>
      <w:r>
        <w:rPr>
          <w:rFonts w:hint="eastAsia" w:ascii="仿宋" w:hAnsi="仿宋" w:eastAsia="仿宋" w:cs="仿宋"/>
          <w:bCs/>
          <w:sz w:val="24"/>
        </w:rPr>
        <w:t>完成本项目所需的一切费用，包括但不限于：交通费（含燃油费、过路费、景点交通费等）、住宿费、伙食费、景点门票、导游费、保险费及涉及的其他所有费用、税金。</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sz w:val="24"/>
        </w:rPr>
        <w:t>供应商</w:t>
      </w:r>
      <w:r>
        <w:rPr>
          <w:rFonts w:hint="eastAsia" w:ascii="仿宋" w:hAnsi="仿宋" w:eastAsia="仿宋" w:cs="仿宋"/>
          <w:bCs/>
          <w:sz w:val="24"/>
        </w:rPr>
        <w:t>需在投标文件中需提供具体行程、出行方式、就餐标准等具体明细，报价根据要求提供每人次的单价及项目总价，结算时按实际参加人数*中标单价计算。投标单价为</w:t>
      </w:r>
      <w:r>
        <w:rPr>
          <w:rFonts w:hint="eastAsia" w:ascii="仿宋" w:hAnsi="仿宋" w:eastAsia="仿宋" w:cs="仿宋"/>
          <w:sz w:val="24"/>
        </w:rPr>
        <w:t>供应商</w:t>
      </w:r>
      <w:r>
        <w:rPr>
          <w:rFonts w:hint="eastAsia" w:ascii="仿宋" w:hAnsi="仿宋" w:eastAsia="仿宋" w:cs="仿宋"/>
          <w:bCs/>
          <w:sz w:val="24"/>
        </w:rPr>
        <w:t>综合考虑后的统一单价，不得再有淡季旺季的价格区别。本项目各</w:t>
      </w:r>
      <w:r>
        <w:rPr>
          <w:rFonts w:hint="eastAsia" w:ascii="仿宋" w:hAnsi="仿宋" w:eastAsia="仿宋" w:cs="仿宋"/>
          <w:sz w:val="24"/>
        </w:rPr>
        <w:t>供应商</w:t>
      </w:r>
      <w:r>
        <w:rPr>
          <w:rFonts w:hint="eastAsia" w:ascii="仿宋" w:hAnsi="仿宋" w:eastAsia="仿宋" w:cs="仿宋"/>
          <w:bCs/>
          <w:sz w:val="24"/>
        </w:rPr>
        <w:t>须考虑出行时间、人数、目的地、淡旺季等情况，各</w:t>
      </w:r>
      <w:r>
        <w:rPr>
          <w:rFonts w:hint="eastAsia" w:ascii="仿宋" w:hAnsi="仿宋" w:eastAsia="仿宋" w:cs="仿宋"/>
          <w:sz w:val="24"/>
        </w:rPr>
        <w:t>供应商</w:t>
      </w:r>
      <w:r>
        <w:rPr>
          <w:rFonts w:hint="eastAsia" w:ascii="仿宋" w:hAnsi="仿宋" w:eastAsia="仿宋" w:cs="仿宋"/>
          <w:bCs/>
          <w:sz w:val="24"/>
        </w:rPr>
        <w:t>自行承担报价风险，均以投标单价为结算依据。</w:t>
      </w:r>
    </w:p>
    <w:p>
      <w:pPr>
        <w:keepNext w:val="0"/>
        <w:keepLines w:val="0"/>
        <w:pageBreakBefore w:val="0"/>
        <w:kinsoku/>
        <w:wordWrap/>
        <w:overflowPunct/>
        <w:topLinePunct w:val="0"/>
        <w:autoSpaceDN/>
        <w:bidi w:val="0"/>
        <w:spacing w:line="360" w:lineRule="auto"/>
        <w:textAlignment w:val="auto"/>
        <w:rPr>
          <w:rFonts w:hint="eastAsia" w:ascii="仿宋" w:hAnsi="仿宋" w:eastAsia="仿宋" w:cs="仿宋"/>
          <w:b/>
          <w:bCs/>
          <w:sz w:val="24"/>
        </w:rPr>
      </w:pPr>
      <w:r>
        <w:rPr>
          <w:rFonts w:hint="eastAsia" w:ascii="仿宋" w:hAnsi="仿宋" w:eastAsia="仿宋" w:cs="仿宋"/>
          <w:b/>
          <w:bCs/>
          <w:sz w:val="24"/>
        </w:rPr>
        <w:t>（三）商务需求：</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3.1服务期限：疗休养，具体以采购人要求为准。</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3.2服务质量承诺：</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（1）为确保服务质量及与采购人沟通联络，中标人须设置兼职主管，负责对承包项目、范围、服务质量的检查监督及与采购人日常业务联系；</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（2）中标人需提供员工管理服务规范要求及确保服务质量达标的具体措施；</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（3）中标人需向采购人提供服务承诺；</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（4）中标人须主动接受采购人的指导、检查、监督及协调；</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（5）现有服务范围内，由于调整而增加的工作量，不再增加费用；</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（6）因中标人工作人员的失误造成的损失由中标人负责；</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（7）中标人员工在工作及服务期间发生的一切安全事故由中标人负责，与采购人无关。</w:t>
      </w:r>
    </w:p>
    <w:p>
      <w:pPr>
        <w:keepNext w:val="0"/>
        <w:keepLines w:val="0"/>
        <w:pageBreakBefore w:val="0"/>
        <w:kinsoku/>
        <w:wordWrap/>
        <w:overflowPunct/>
        <w:topLinePunct w:val="0"/>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▲3.3付款方式</w:t>
      </w:r>
    </w:p>
    <w:p>
      <w:pPr>
        <w:keepNext w:val="0"/>
        <w:keepLines w:val="0"/>
        <w:pageBreakBefore w:val="0"/>
        <w:kinsoku/>
        <w:wordWrap/>
        <w:overflowPunct/>
        <w:topLinePunct w:val="0"/>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按实际人员结算，最终结算价按照实际参加人数*中标单价，按实结算，全部批次人员返程后一个月内付清，具体在合同中明确。</w:t>
      </w:r>
    </w:p>
    <w:p>
      <w:pPr>
        <w:keepNext w:val="0"/>
        <w:keepLines w:val="0"/>
        <w:pageBreakBefore w:val="0"/>
        <w:widowControl/>
        <w:kinsoku/>
        <w:wordWrap/>
        <w:overflowPunct/>
        <w:topLinePunct w:val="0"/>
        <w:autoSpaceDE/>
        <w:autoSpaceDN/>
        <w:bidi w:val="0"/>
        <w:adjustRightInd/>
        <w:spacing w:after="0" w:line="440" w:lineRule="exact"/>
        <w:ind w:left="0"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pPr>
        <w:keepNext w:val="0"/>
        <w:keepLines w:val="0"/>
        <w:pageBreakBefore w:val="0"/>
        <w:widowControl/>
        <w:kinsoku/>
        <w:wordWrap/>
        <w:overflowPunct/>
        <w:topLinePunct w:val="0"/>
        <w:autoSpaceDE/>
        <w:autoSpaceDN/>
        <w:bidi w:val="0"/>
        <w:adjustRightInd/>
        <w:spacing w:after="0" w:line="440" w:lineRule="exact"/>
        <w:ind w:left="0"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.招标文件中打▲内容为实质性要求，不允许有负偏离，否则将以涉及无效投标条款作无效投标。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pacing w:after="0" w:line="440" w:lineRule="exact"/>
        <w:ind w:left="0"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、中标供应商所提供的货物、服务须与投标承诺一致，不得以次充好、偷工减料，若在项目验收中发现有上述情况，将向有关部门举报，根据相关规定进行处理。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pacing w:after="0" w:line="440" w:lineRule="exact"/>
        <w:ind w:left="0" w:firstLine="480" w:firstLineChars="200"/>
        <w:textAlignment w:val="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、质疑受理电话：</w:t>
      </w:r>
      <w:r>
        <w:rPr>
          <w:rFonts w:hint="eastAsia" w:ascii="仿宋" w:hAnsi="仿宋" w:eastAsia="仿宋" w:cs="仿宋"/>
          <w:color w:val="000000" w:themeColor="text1"/>
          <w:sz w:val="24"/>
          <w:u w:val="single"/>
          <w14:textFill>
            <w14:solidFill>
              <w14:schemeClr w14:val="tx1"/>
            </w14:solidFill>
          </w14:textFill>
        </w:rPr>
        <w:t>0571-82858903</w:t>
      </w:r>
    </w:p>
    <w:p>
      <w:pPr>
        <w:keepNext w:val="0"/>
        <w:keepLines w:val="0"/>
        <w:pageBreakBefore w:val="0"/>
        <w:widowControl/>
        <w:kinsoku/>
        <w:wordWrap/>
        <w:overflowPunct/>
        <w:topLinePunct w:val="0"/>
        <w:autoSpaceDE/>
        <w:autoSpaceDN/>
        <w:bidi w:val="0"/>
        <w:adjustRightInd/>
        <w:spacing w:after="0" w:line="440" w:lineRule="exact"/>
        <w:ind w:firstLine="720" w:firstLineChars="300"/>
        <w:textAlignment w:val="auto"/>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投诉受理电话：</w:t>
      </w:r>
      <w:r>
        <w:rPr>
          <w:u w:val="single"/>
        </w:rPr>
        <w:t xml:space="preserve">0571-82756122 </w:t>
      </w:r>
    </w:p>
    <w:p>
      <w:pPr>
        <w:keepNext w:val="0"/>
        <w:keepLines w:val="0"/>
        <w:pageBreakBefore w:val="0"/>
        <w:widowControl/>
        <w:kinsoku/>
        <w:wordWrap/>
        <w:overflowPunct/>
        <w:topLinePunct w:val="0"/>
        <w:autoSpaceDE/>
        <w:autoSpaceDN/>
        <w:bidi w:val="0"/>
        <w:adjustRightInd/>
        <w:spacing w:line="440" w:lineRule="exact"/>
        <w:ind w:firstLine="720" w:firstLineChars="300"/>
        <w:jc w:val="left"/>
        <w:textAlignment w:val="auto"/>
        <w:rPr>
          <w:rFonts w:hint="eastAsia" w:ascii="仿宋" w:hAnsi="仿宋" w:eastAsia="仿宋" w:cs="仿宋"/>
          <w:bCs/>
          <w:sz w:val="24"/>
        </w:rPr>
      </w:pPr>
    </w:p>
    <w:p>
      <w:pPr>
        <w:spacing w:line="276" w:lineRule="auto"/>
      </w:pPr>
      <w:r>
        <w:br w:type="page"/>
      </w:r>
    </w:p>
    <w:p>
      <w:pPr>
        <w:pStyle w:val="4"/>
      </w:pPr>
      <w:r>
        <w:rPr>
          <w:rFonts w:hint="eastAsia"/>
        </w:rPr>
        <w:t>第四部分</w:t>
      </w:r>
      <w:r>
        <w:t xml:space="preserve">   </w:t>
      </w:r>
      <w:bookmarkStart w:id="2" w:name="_Toc184313242"/>
      <w:bookmarkEnd w:id="2"/>
      <w:bookmarkStart w:id="3" w:name="_Toc184312129"/>
      <w:bookmarkEnd w:id="3"/>
      <w:bookmarkStart w:id="4" w:name="_Toc184308046"/>
      <w:bookmarkEnd w:id="4"/>
      <w:bookmarkStart w:id="5" w:name="_Toc184310303"/>
      <w:bookmarkEnd w:id="5"/>
      <w:bookmarkStart w:id="6" w:name="_Toc184314424"/>
      <w:bookmarkEnd w:id="6"/>
      <w:bookmarkStart w:id="7" w:name="_Toc184312127"/>
      <w:bookmarkEnd w:id="7"/>
      <w:bookmarkStart w:id="8" w:name="_Toc184310319"/>
      <w:bookmarkEnd w:id="8"/>
      <w:bookmarkStart w:id="9" w:name="_Toc184310276"/>
      <w:bookmarkEnd w:id="9"/>
      <w:bookmarkStart w:id="10" w:name="_Toc184314467"/>
      <w:bookmarkEnd w:id="10"/>
      <w:bookmarkStart w:id="11" w:name="_Toc184314438"/>
      <w:bookmarkEnd w:id="11"/>
      <w:bookmarkStart w:id="12" w:name="_Toc184313256"/>
      <w:bookmarkEnd w:id="12"/>
      <w:bookmarkStart w:id="13" w:name="_Toc184308081"/>
      <w:bookmarkEnd w:id="13"/>
      <w:bookmarkStart w:id="14" w:name="_Toc184313300"/>
      <w:bookmarkEnd w:id="14"/>
      <w:bookmarkStart w:id="15" w:name="_Toc184312120"/>
      <w:bookmarkEnd w:id="15"/>
      <w:bookmarkStart w:id="16" w:name="_Toc184313270"/>
      <w:bookmarkEnd w:id="16"/>
      <w:bookmarkStart w:id="17" w:name="_Toc184313294"/>
      <w:bookmarkEnd w:id="17"/>
      <w:bookmarkStart w:id="18" w:name="_Toc184314412"/>
      <w:bookmarkEnd w:id="18"/>
      <w:bookmarkStart w:id="19" w:name="_Toc184313308"/>
      <w:bookmarkEnd w:id="19"/>
      <w:bookmarkStart w:id="20" w:name="_Toc184308094"/>
      <w:bookmarkEnd w:id="20"/>
      <w:bookmarkStart w:id="21" w:name="_Toc184310277"/>
      <w:bookmarkEnd w:id="21"/>
      <w:bookmarkStart w:id="22" w:name="_Toc184310326"/>
      <w:bookmarkEnd w:id="22"/>
      <w:bookmarkStart w:id="23" w:name="_Toc184310341"/>
      <w:bookmarkEnd w:id="23"/>
      <w:bookmarkStart w:id="24" w:name="_Toc184314447"/>
      <w:bookmarkEnd w:id="24"/>
      <w:bookmarkStart w:id="25" w:name="_Toc184314482"/>
      <w:bookmarkEnd w:id="25"/>
      <w:bookmarkStart w:id="26" w:name="_Toc184312071"/>
      <w:bookmarkEnd w:id="26"/>
      <w:bookmarkStart w:id="27" w:name="_Toc184314468"/>
      <w:bookmarkEnd w:id="27"/>
      <w:bookmarkStart w:id="28" w:name="_Toc184310316"/>
      <w:bookmarkEnd w:id="28"/>
      <w:bookmarkStart w:id="29" w:name="_Toc184314474"/>
      <w:bookmarkEnd w:id="29"/>
      <w:bookmarkStart w:id="30" w:name="_Toc184308061"/>
      <w:bookmarkEnd w:id="30"/>
      <w:bookmarkStart w:id="31" w:name="_Toc184314423"/>
      <w:bookmarkEnd w:id="31"/>
      <w:bookmarkStart w:id="32" w:name="_Toc184314419"/>
      <w:bookmarkEnd w:id="32"/>
      <w:bookmarkStart w:id="33" w:name="_Toc184312123"/>
      <w:bookmarkEnd w:id="33"/>
      <w:bookmarkStart w:id="34" w:name="_Toc184313245"/>
      <w:bookmarkEnd w:id="34"/>
      <w:bookmarkStart w:id="35" w:name="_Toc184310324"/>
      <w:bookmarkEnd w:id="35"/>
      <w:bookmarkStart w:id="36" w:name="_Toc184314463"/>
      <w:bookmarkEnd w:id="36"/>
      <w:bookmarkStart w:id="37" w:name="_Toc184314434"/>
      <w:bookmarkEnd w:id="37"/>
      <w:bookmarkStart w:id="38" w:name="_Toc184308075"/>
      <w:bookmarkEnd w:id="38"/>
      <w:bookmarkStart w:id="39" w:name="_Toc184314416"/>
      <w:bookmarkEnd w:id="39"/>
      <w:bookmarkStart w:id="40" w:name="_Toc184310317"/>
      <w:bookmarkEnd w:id="40"/>
      <w:bookmarkStart w:id="41" w:name="_Toc184314453"/>
      <w:bookmarkEnd w:id="41"/>
      <w:bookmarkStart w:id="42" w:name="_Toc184314431"/>
      <w:bookmarkEnd w:id="42"/>
      <w:bookmarkStart w:id="43" w:name="_Toc184310344"/>
      <w:bookmarkEnd w:id="43"/>
      <w:bookmarkStart w:id="44" w:name="_Toc184308057"/>
      <w:bookmarkEnd w:id="44"/>
      <w:bookmarkStart w:id="45" w:name="_Toc184312097"/>
      <w:bookmarkEnd w:id="45"/>
      <w:bookmarkStart w:id="46" w:name="_Toc184312082"/>
      <w:bookmarkEnd w:id="46"/>
      <w:bookmarkStart w:id="47" w:name="_Toc184308106"/>
      <w:bookmarkEnd w:id="47"/>
      <w:bookmarkStart w:id="48" w:name="_Toc184312084"/>
      <w:bookmarkEnd w:id="48"/>
      <w:bookmarkStart w:id="49" w:name="_Toc184308043"/>
      <w:bookmarkEnd w:id="49"/>
      <w:bookmarkStart w:id="50" w:name="_Toc184310290"/>
      <w:bookmarkEnd w:id="50"/>
      <w:bookmarkStart w:id="51" w:name="_Toc184310337"/>
      <w:bookmarkEnd w:id="51"/>
      <w:bookmarkStart w:id="52" w:name="_Toc184312081"/>
      <w:bookmarkEnd w:id="52"/>
      <w:bookmarkStart w:id="53" w:name="_Toc184312089"/>
      <w:bookmarkEnd w:id="53"/>
      <w:bookmarkStart w:id="54" w:name="_Toc184313246"/>
      <w:bookmarkEnd w:id="54"/>
      <w:bookmarkStart w:id="55" w:name="_Toc184312112"/>
      <w:bookmarkEnd w:id="55"/>
      <w:bookmarkStart w:id="56" w:name="_Toc184308048"/>
      <w:bookmarkEnd w:id="56"/>
      <w:bookmarkStart w:id="57" w:name="_Toc184314450"/>
      <w:bookmarkEnd w:id="57"/>
      <w:bookmarkStart w:id="58" w:name="_Toc184312077"/>
      <w:bookmarkEnd w:id="58"/>
      <w:bookmarkStart w:id="59" w:name="_Toc184314461"/>
      <w:bookmarkEnd w:id="59"/>
      <w:bookmarkStart w:id="60" w:name="_Toc184313257"/>
      <w:bookmarkEnd w:id="60"/>
      <w:bookmarkStart w:id="61" w:name="_Toc184308083"/>
      <w:bookmarkEnd w:id="61"/>
      <w:bookmarkStart w:id="62" w:name="_Toc184310275"/>
      <w:bookmarkEnd w:id="62"/>
      <w:bookmarkStart w:id="63" w:name="_Toc184308087"/>
      <w:bookmarkEnd w:id="63"/>
      <w:bookmarkStart w:id="64" w:name="_Toc184314418"/>
      <w:bookmarkEnd w:id="64"/>
      <w:bookmarkStart w:id="65" w:name="_Toc184314479"/>
      <w:bookmarkEnd w:id="65"/>
      <w:bookmarkStart w:id="66" w:name="_Toc184308066"/>
      <w:bookmarkEnd w:id="66"/>
      <w:bookmarkStart w:id="67" w:name="_Toc184308038"/>
      <w:bookmarkEnd w:id="67"/>
      <w:bookmarkStart w:id="68" w:name="_Toc184310311"/>
      <w:bookmarkEnd w:id="68"/>
      <w:bookmarkStart w:id="69" w:name="_Toc184312093"/>
      <w:bookmarkEnd w:id="69"/>
      <w:bookmarkStart w:id="70" w:name="_Toc184314433"/>
      <w:bookmarkEnd w:id="70"/>
      <w:bookmarkStart w:id="71" w:name="_Toc184313295"/>
      <w:bookmarkEnd w:id="71"/>
      <w:bookmarkStart w:id="72" w:name="_Toc184308090"/>
      <w:bookmarkEnd w:id="72"/>
      <w:bookmarkStart w:id="73" w:name="_Toc184310273"/>
      <w:bookmarkEnd w:id="73"/>
      <w:bookmarkStart w:id="74" w:name="_Toc184314458"/>
      <w:bookmarkEnd w:id="74"/>
      <w:bookmarkStart w:id="75" w:name="_Toc184308071"/>
      <w:bookmarkEnd w:id="75"/>
      <w:bookmarkStart w:id="76" w:name="_Toc184310314"/>
      <w:bookmarkEnd w:id="76"/>
      <w:bookmarkStart w:id="77" w:name="_Toc184310279"/>
      <w:bookmarkEnd w:id="77"/>
      <w:bookmarkStart w:id="78" w:name="_Toc184308096"/>
      <w:bookmarkEnd w:id="78"/>
      <w:bookmarkStart w:id="79" w:name="_Toc184310339"/>
      <w:bookmarkEnd w:id="79"/>
      <w:bookmarkStart w:id="80" w:name="_Toc184312111"/>
      <w:bookmarkEnd w:id="80"/>
      <w:bookmarkStart w:id="81" w:name="_Toc184313238"/>
      <w:bookmarkEnd w:id="81"/>
      <w:bookmarkStart w:id="82" w:name="_Toc184313266"/>
      <w:bookmarkEnd w:id="82"/>
      <w:bookmarkStart w:id="83" w:name="_Toc184312138"/>
      <w:bookmarkEnd w:id="83"/>
      <w:bookmarkStart w:id="84" w:name="_Toc184312078"/>
      <w:bookmarkEnd w:id="84"/>
      <w:bookmarkStart w:id="85" w:name="_Toc184314477"/>
      <w:bookmarkEnd w:id="85"/>
      <w:bookmarkStart w:id="86" w:name="_Toc184314462"/>
      <w:bookmarkEnd w:id="86"/>
      <w:bookmarkStart w:id="87" w:name="_Toc184310342"/>
      <w:bookmarkEnd w:id="87"/>
      <w:bookmarkStart w:id="88" w:name="_Toc184313261"/>
      <w:bookmarkEnd w:id="88"/>
      <w:bookmarkStart w:id="89" w:name="_Toc184314457"/>
      <w:bookmarkEnd w:id="89"/>
      <w:bookmarkStart w:id="90" w:name="_Toc184314411"/>
      <w:bookmarkEnd w:id="90"/>
      <w:bookmarkStart w:id="91" w:name="_Toc184313267"/>
      <w:bookmarkEnd w:id="91"/>
      <w:bookmarkStart w:id="92" w:name="_Toc184313251"/>
      <w:bookmarkEnd w:id="92"/>
      <w:bookmarkStart w:id="93" w:name="_Toc184313282"/>
      <w:bookmarkEnd w:id="93"/>
      <w:bookmarkStart w:id="94" w:name="_Toc184312095"/>
      <w:bookmarkEnd w:id="94"/>
      <w:bookmarkStart w:id="95" w:name="_Toc184308100"/>
      <w:bookmarkEnd w:id="95"/>
      <w:bookmarkStart w:id="96" w:name="_Toc184313301"/>
      <w:bookmarkEnd w:id="96"/>
      <w:bookmarkStart w:id="97" w:name="_Toc184312139"/>
      <w:bookmarkEnd w:id="97"/>
      <w:bookmarkStart w:id="98" w:name="_Toc184313306"/>
      <w:bookmarkEnd w:id="98"/>
      <w:bookmarkStart w:id="99" w:name="_Toc184313277"/>
      <w:bookmarkEnd w:id="99"/>
      <w:bookmarkStart w:id="100" w:name="_Toc184313259"/>
      <w:bookmarkEnd w:id="100"/>
      <w:bookmarkStart w:id="101" w:name="_Toc184310289"/>
      <w:bookmarkEnd w:id="101"/>
      <w:bookmarkStart w:id="102" w:name="_Toc184308079"/>
      <w:bookmarkEnd w:id="102"/>
      <w:bookmarkStart w:id="103" w:name="_Toc184308062"/>
      <w:bookmarkEnd w:id="103"/>
      <w:bookmarkStart w:id="104" w:name="_Toc184312079"/>
      <w:bookmarkEnd w:id="104"/>
      <w:bookmarkStart w:id="105" w:name="_Toc184314478"/>
      <w:bookmarkEnd w:id="105"/>
      <w:bookmarkStart w:id="106" w:name="_Toc184310299"/>
      <w:bookmarkEnd w:id="106"/>
      <w:bookmarkStart w:id="107" w:name="_Toc184310283"/>
      <w:bookmarkEnd w:id="107"/>
      <w:bookmarkStart w:id="108" w:name="_Toc184314473"/>
      <w:bookmarkEnd w:id="108"/>
      <w:bookmarkStart w:id="109" w:name="_Toc184308108"/>
      <w:bookmarkEnd w:id="109"/>
      <w:bookmarkStart w:id="110" w:name="_Toc184312086"/>
      <w:bookmarkEnd w:id="110"/>
      <w:bookmarkStart w:id="111" w:name="_Toc184312075"/>
      <w:bookmarkEnd w:id="111"/>
      <w:bookmarkStart w:id="112" w:name="_Toc184312102"/>
      <w:bookmarkEnd w:id="112"/>
      <w:bookmarkStart w:id="113" w:name="_Toc184308091"/>
      <w:bookmarkEnd w:id="113"/>
      <w:bookmarkStart w:id="114" w:name="_Toc184310287"/>
      <w:bookmarkEnd w:id="114"/>
      <w:bookmarkStart w:id="115" w:name="_Toc184313262"/>
      <w:bookmarkEnd w:id="115"/>
      <w:bookmarkStart w:id="116" w:name="_Toc184313264"/>
      <w:bookmarkEnd w:id="116"/>
      <w:bookmarkStart w:id="117" w:name="_Toc184310318"/>
      <w:bookmarkEnd w:id="117"/>
      <w:bookmarkStart w:id="118" w:name="_Toc184314444"/>
      <w:bookmarkEnd w:id="118"/>
      <w:bookmarkStart w:id="119" w:name="_Toc184310274"/>
      <w:bookmarkEnd w:id="119"/>
      <w:bookmarkStart w:id="120" w:name="_Toc184313239"/>
      <w:bookmarkEnd w:id="120"/>
      <w:bookmarkStart w:id="121" w:name="_Toc184308044"/>
      <w:bookmarkEnd w:id="121"/>
      <w:bookmarkStart w:id="122" w:name="_Toc184312104"/>
      <w:bookmarkEnd w:id="122"/>
      <w:bookmarkStart w:id="123" w:name="_Toc184312074"/>
      <w:bookmarkEnd w:id="123"/>
      <w:bookmarkStart w:id="124" w:name="_Toc184313265"/>
      <w:bookmarkEnd w:id="124"/>
      <w:bookmarkStart w:id="125" w:name="_Toc184312106"/>
      <w:bookmarkEnd w:id="125"/>
      <w:bookmarkStart w:id="126" w:name="_Toc184310312"/>
      <w:bookmarkEnd w:id="126"/>
      <w:bookmarkStart w:id="127" w:name="_Toc184314449"/>
      <w:bookmarkEnd w:id="127"/>
      <w:bookmarkStart w:id="128" w:name="_Toc184310297"/>
      <w:bookmarkEnd w:id="128"/>
      <w:bookmarkStart w:id="129" w:name="_Toc184314460"/>
      <w:bookmarkEnd w:id="129"/>
      <w:bookmarkStart w:id="130" w:name="_Toc184310323"/>
      <w:bookmarkEnd w:id="130"/>
      <w:bookmarkStart w:id="131" w:name="_Toc184312085"/>
      <w:bookmarkEnd w:id="131"/>
      <w:bookmarkStart w:id="132" w:name="_Toc184314472"/>
      <w:bookmarkEnd w:id="132"/>
      <w:bookmarkStart w:id="133" w:name="_Toc184312092"/>
      <w:bookmarkEnd w:id="133"/>
      <w:bookmarkStart w:id="134" w:name="_Toc184313272"/>
      <w:bookmarkEnd w:id="134"/>
      <w:bookmarkStart w:id="135" w:name="_Toc184313260"/>
      <w:bookmarkEnd w:id="135"/>
      <w:bookmarkStart w:id="136" w:name="_Toc184314470"/>
      <w:bookmarkEnd w:id="136"/>
      <w:bookmarkStart w:id="137" w:name="_Toc184314432"/>
      <w:bookmarkEnd w:id="137"/>
      <w:bookmarkStart w:id="138" w:name="_Toc184313254"/>
      <w:bookmarkEnd w:id="138"/>
      <w:bookmarkStart w:id="139" w:name="_Toc184314415"/>
      <w:bookmarkEnd w:id="139"/>
      <w:bookmarkStart w:id="140" w:name="_Toc184308065"/>
      <w:bookmarkEnd w:id="140"/>
      <w:bookmarkStart w:id="141" w:name="_Toc184314446"/>
      <w:bookmarkEnd w:id="141"/>
      <w:bookmarkStart w:id="142" w:name="_Toc184308041"/>
      <w:bookmarkEnd w:id="142"/>
      <w:bookmarkStart w:id="143" w:name="_Toc184308105"/>
      <w:bookmarkEnd w:id="143"/>
      <w:bookmarkStart w:id="144" w:name="_Toc184310284"/>
      <w:bookmarkEnd w:id="144"/>
      <w:bookmarkStart w:id="145" w:name="_Toc184310278"/>
      <w:bookmarkEnd w:id="145"/>
      <w:bookmarkStart w:id="146" w:name="_Toc184312130"/>
      <w:bookmarkEnd w:id="146"/>
      <w:bookmarkStart w:id="147" w:name="_Toc184313243"/>
      <w:bookmarkEnd w:id="147"/>
      <w:bookmarkStart w:id="148" w:name="_Toc184310285"/>
      <w:bookmarkEnd w:id="148"/>
      <w:bookmarkStart w:id="149" w:name="_Toc184314428"/>
      <w:bookmarkEnd w:id="149"/>
      <w:bookmarkStart w:id="150" w:name="_Toc184308039"/>
      <w:bookmarkEnd w:id="150"/>
      <w:bookmarkStart w:id="151" w:name="_Toc184314445"/>
      <w:bookmarkEnd w:id="151"/>
      <w:bookmarkStart w:id="152" w:name="_Toc184308059"/>
      <w:bookmarkEnd w:id="152"/>
      <w:bookmarkStart w:id="153" w:name="_Toc184314442"/>
      <w:bookmarkEnd w:id="153"/>
      <w:bookmarkStart w:id="154" w:name="_Toc184308086"/>
      <w:bookmarkEnd w:id="154"/>
      <w:bookmarkStart w:id="155" w:name="_Toc184312099"/>
      <w:bookmarkEnd w:id="155"/>
      <w:bookmarkStart w:id="156" w:name="_Toc184312073"/>
      <w:bookmarkEnd w:id="156"/>
      <w:bookmarkStart w:id="157" w:name="_Toc184314417"/>
      <w:bookmarkEnd w:id="157"/>
      <w:bookmarkStart w:id="158" w:name="_Toc184308055"/>
      <w:bookmarkEnd w:id="158"/>
      <w:bookmarkStart w:id="159" w:name="_Toc184310291"/>
      <w:bookmarkEnd w:id="159"/>
      <w:bookmarkStart w:id="160" w:name="_Toc184314465"/>
      <w:bookmarkEnd w:id="160"/>
      <w:bookmarkStart w:id="161" w:name="_Toc184313274"/>
      <w:bookmarkEnd w:id="161"/>
      <w:bookmarkStart w:id="162" w:name="_Toc184312072"/>
      <w:bookmarkEnd w:id="162"/>
      <w:bookmarkStart w:id="163" w:name="_Toc184314440"/>
      <w:bookmarkEnd w:id="163"/>
      <w:bookmarkStart w:id="164" w:name="_Toc184310338"/>
      <w:bookmarkEnd w:id="164"/>
      <w:bookmarkStart w:id="165" w:name="_Toc184313247"/>
      <w:bookmarkEnd w:id="165"/>
      <w:bookmarkStart w:id="166" w:name="_Toc184310331"/>
      <w:bookmarkEnd w:id="166"/>
      <w:bookmarkStart w:id="167" w:name="_Toc184313241"/>
      <w:bookmarkEnd w:id="167"/>
      <w:bookmarkStart w:id="168" w:name="_Toc184312136"/>
      <w:bookmarkEnd w:id="168"/>
      <w:bookmarkStart w:id="169" w:name="_Toc184308102"/>
      <w:bookmarkEnd w:id="169"/>
      <w:bookmarkStart w:id="170" w:name="_Toc184312125"/>
      <w:bookmarkEnd w:id="170"/>
      <w:bookmarkStart w:id="171" w:name="_Toc184313244"/>
      <w:bookmarkEnd w:id="171"/>
      <w:bookmarkStart w:id="172" w:name="_Toc184312076"/>
      <w:bookmarkEnd w:id="172"/>
      <w:bookmarkStart w:id="173" w:name="_Toc184310340"/>
      <w:bookmarkEnd w:id="173"/>
      <w:bookmarkStart w:id="174" w:name="_Toc184310301"/>
      <w:bookmarkEnd w:id="174"/>
      <w:bookmarkStart w:id="175" w:name="_Toc184312096"/>
      <w:bookmarkEnd w:id="175"/>
      <w:bookmarkStart w:id="176" w:name="_Toc184310296"/>
      <w:bookmarkEnd w:id="176"/>
      <w:bookmarkStart w:id="177" w:name="_Toc184308085"/>
      <w:bookmarkEnd w:id="177"/>
      <w:bookmarkStart w:id="178" w:name="_Toc184313303"/>
      <w:bookmarkEnd w:id="178"/>
      <w:bookmarkStart w:id="179" w:name="_Toc184312134"/>
      <w:bookmarkEnd w:id="179"/>
      <w:bookmarkStart w:id="180" w:name="_Toc184314427"/>
      <w:bookmarkEnd w:id="180"/>
      <w:bookmarkStart w:id="181" w:name="_Toc184314414"/>
      <w:bookmarkEnd w:id="181"/>
      <w:bookmarkStart w:id="182" w:name="_Toc184312067"/>
      <w:bookmarkEnd w:id="182"/>
      <w:bookmarkStart w:id="183" w:name="_Toc184308088"/>
      <w:bookmarkEnd w:id="183"/>
      <w:bookmarkStart w:id="184" w:name="_Toc184308064"/>
      <w:bookmarkEnd w:id="184"/>
      <w:bookmarkStart w:id="185" w:name="_Toc184314480"/>
      <w:bookmarkEnd w:id="185"/>
      <w:bookmarkStart w:id="186" w:name="_Toc184308047"/>
      <w:bookmarkEnd w:id="186"/>
      <w:bookmarkStart w:id="187" w:name="_Toc184310328"/>
      <w:bookmarkEnd w:id="187"/>
      <w:bookmarkStart w:id="188" w:name="_Toc184313249"/>
      <w:bookmarkEnd w:id="188"/>
      <w:bookmarkStart w:id="189" w:name="_Toc184310305"/>
      <w:bookmarkEnd w:id="189"/>
      <w:bookmarkStart w:id="190" w:name="_Toc184314475"/>
      <w:bookmarkEnd w:id="190"/>
      <w:bookmarkStart w:id="191" w:name="_Toc184308089"/>
      <w:bookmarkEnd w:id="191"/>
      <w:bookmarkStart w:id="192" w:name="_Toc184310272"/>
      <w:bookmarkEnd w:id="192"/>
      <w:bookmarkStart w:id="193" w:name="_Toc184308042"/>
      <w:bookmarkEnd w:id="193"/>
      <w:bookmarkStart w:id="194" w:name="_Toc184312117"/>
      <w:bookmarkEnd w:id="194"/>
      <w:bookmarkStart w:id="195" w:name="_Toc184308084"/>
      <w:bookmarkEnd w:id="195"/>
      <w:bookmarkStart w:id="196" w:name="_Toc184310310"/>
      <w:bookmarkEnd w:id="196"/>
      <w:bookmarkStart w:id="197" w:name="_Toc184312087"/>
      <w:bookmarkEnd w:id="197"/>
      <w:bookmarkStart w:id="198" w:name="_Toc184312091"/>
      <w:bookmarkEnd w:id="198"/>
      <w:bookmarkStart w:id="199" w:name="_Toc184308068"/>
      <w:bookmarkEnd w:id="199"/>
      <w:bookmarkStart w:id="200" w:name="_Toc184310286"/>
      <w:bookmarkEnd w:id="200"/>
      <w:bookmarkStart w:id="201" w:name="_Toc184308054"/>
      <w:bookmarkEnd w:id="201"/>
      <w:bookmarkStart w:id="202" w:name="_Toc184314459"/>
      <w:bookmarkEnd w:id="202"/>
      <w:bookmarkStart w:id="203" w:name="_Toc184312109"/>
      <w:bookmarkEnd w:id="203"/>
      <w:bookmarkStart w:id="204" w:name="_Toc184312108"/>
      <w:bookmarkEnd w:id="204"/>
      <w:bookmarkStart w:id="205" w:name="_Toc184310304"/>
      <w:bookmarkEnd w:id="205"/>
      <w:bookmarkStart w:id="206" w:name="_Toc184308040"/>
      <w:bookmarkEnd w:id="206"/>
      <w:bookmarkStart w:id="207" w:name="_Toc184312121"/>
      <w:bookmarkEnd w:id="207"/>
      <w:bookmarkStart w:id="208" w:name="_Toc184313263"/>
      <w:bookmarkEnd w:id="208"/>
      <w:bookmarkStart w:id="209" w:name="_Toc184310334"/>
      <w:bookmarkEnd w:id="209"/>
      <w:bookmarkStart w:id="210" w:name="_Toc184312137"/>
      <w:bookmarkEnd w:id="210"/>
      <w:bookmarkStart w:id="211" w:name="_Toc184310308"/>
      <w:bookmarkEnd w:id="211"/>
      <w:bookmarkStart w:id="212" w:name="_Toc184313288"/>
      <w:bookmarkEnd w:id="212"/>
      <w:bookmarkStart w:id="213" w:name="_Toc184312116"/>
      <w:bookmarkEnd w:id="213"/>
      <w:bookmarkStart w:id="214" w:name="_Toc184313293"/>
      <w:bookmarkEnd w:id="214"/>
      <w:bookmarkStart w:id="215" w:name="_Toc184314466"/>
      <w:bookmarkEnd w:id="215"/>
      <w:bookmarkStart w:id="216" w:name="_Toc184310329"/>
      <w:bookmarkEnd w:id="216"/>
      <w:bookmarkStart w:id="217" w:name="_Toc184314439"/>
      <w:bookmarkEnd w:id="217"/>
      <w:bookmarkStart w:id="218" w:name="_Toc184312100"/>
      <w:bookmarkEnd w:id="218"/>
      <w:bookmarkStart w:id="219" w:name="_Toc184314452"/>
      <w:bookmarkEnd w:id="219"/>
      <w:bookmarkStart w:id="220" w:name="_Toc184312088"/>
      <w:bookmarkEnd w:id="220"/>
      <w:bookmarkStart w:id="221" w:name="_Toc184314420"/>
      <w:bookmarkEnd w:id="221"/>
      <w:bookmarkStart w:id="222" w:name="_Toc184314476"/>
      <w:bookmarkEnd w:id="222"/>
      <w:bookmarkStart w:id="223" w:name="_Toc184308067"/>
      <w:bookmarkEnd w:id="223"/>
      <w:bookmarkStart w:id="224" w:name="_Toc184314441"/>
      <w:bookmarkEnd w:id="224"/>
      <w:bookmarkStart w:id="225" w:name="_Toc184314421"/>
      <w:bookmarkEnd w:id="225"/>
      <w:bookmarkStart w:id="226" w:name="_Toc184313310"/>
      <w:bookmarkEnd w:id="226"/>
      <w:bookmarkStart w:id="227" w:name="_Toc184312098"/>
      <w:bookmarkEnd w:id="227"/>
      <w:bookmarkStart w:id="228" w:name="_Toc184313276"/>
      <w:bookmarkEnd w:id="228"/>
      <w:bookmarkStart w:id="229" w:name="_Toc184310325"/>
      <w:bookmarkEnd w:id="229"/>
      <w:bookmarkStart w:id="230" w:name="_Toc184313304"/>
      <w:bookmarkEnd w:id="230"/>
      <w:bookmarkStart w:id="231" w:name="_Toc184310280"/>
      <w:bookmarkEnd w:id="231"/>
      <w:bookmarkStart w:id="232" w:name="_Toc184308092"/>
      <w:bookmarkEnd w:id="232"/>
      <w:bookmarkStart w:id="233" w:name="_Toc184310315"/>
      <w:bookmarkEnd w:id="233"/>
      <w:bookmarkStart w:id="234" w:name="_Toc184310309"/>
      <w:bookmarkEnd w:id="234"/>
      <w:bookmarkStart w:id="235" w:name="_Toc184313250"/>
      <w:bookmarkEnd w:id="235"/>
      <w:bookmarkStart w:id="236" w:name="_Toc184310335"/>
      <w:bookmarkEnd w:id="236"/>
      <w:bookmarkStart w:id="237" w:name="_Toc184312124"/>
      <w:bookmarkEnd w:id="237"/>
      <w:bookmarkStart w:id="238" w:name="_Toc184314425"/>
      <w:bookmarkEnd w:id="238"/>
      <w:bookmarkStart w:id="239" w:name="_Toc184314443"/>
      <w:bookmarkEnd w:id="239"/>
      <w:bookmarkStart w:id="240" w:name="_Toc184310300"/>
      <w:bookmarkEnd w:id="240"/>
      <w:bookmarkStart w:id="241" w:name="_Toc184310320"/>
      <w:bookmarkEnd w:id="241"/>
      <w:bookmarkStart w:id="242" w:name="_Toc184313279"/>
      <w:bookmarkEnd w:id="242"/>
      <w:bookmarkStart w:id="243" w:name="_Toc184312122"/>
      <w:bookmarkEnd w:id="243"/>
      <w:bookmarkStart w:id="244" w:name="_Toc184314481"/>
      <w:bookmarkEnd w:id="244"/>
      <w:bookmarkStart w:id="245" w:name="_Toc184312068"/>
      <w:bookmarkEnd w:id="245"/>
      <w:bookmarkStart w:id="246" w:name="_Toc184314436"/>
      <w:bookmarkEnd w:id="246"/>
      <w:bookmarkStart w:id="247" w:name="_Toc184313298"/>
      <w:bookmarkEnd w:id="247"/>
      <w:bookmarkStart w:id="248" w:name="_Toc184308093"/>
      <w:bookmarkEnd w:id="248"/>
      <w:bookmarkStart w:id="249" w:name="_Toc184310306"/>
      <w:bookmarkEnd w:id="249"/>
      <w:bookmarkStart w:id="250" w:name="_Toc184313299"/>
      <w:bookmarkEnd w:id="250"/>
      <w:bookmarkStart w:id="251" w:name="_Toc184312103"/>
      <w:bookmarkEnd w:id="251"/>
      <w:bookmarkStart w:id="252" w:name="_Toc184313287"/>
      <w:bookmarkEnd w:id="252"/>
      <w:bookmarkStart w:id="253" w:name="_Toc184308104"/>
      <w:bookmarkEnd w:id="253"/>
      <w:bookmarkStart w:id="254" w:name="_Toc184313285"/>
      <w:bookmarkEnd w:id="254"/>
      <w:bookmarkStart w:id="255" w:name="_Toc184310322"/>
      <w:bookmarkEnd w:id="255"/>
      <w:bookmarkStart w:id="256" w:name="_Toc184312094"/>
      <w:bookmarkEnd w:id="256"/>
      <w:bookmarkStart w:id="257" w:name="_Toc184313253"/>
      <w:bookmarkEnd w:id="257"/>
      <w:bookmarkStart w:id="258" w:name="_Toc184308070"/>
      <w:bookmarkEnd w:id="258"/>
      <w:bookmarkStart w:id="259" w:name="_Toc184308078"/>
      <w:bookmarkEnd w:id="259"/>
      <w:bookmarkStart w:id="260" w:name="_Toc184314454"/>
      <w:bookmarkEnd w:id="260"/>
      <w:bookmarkStart w:id="261" w:name="_Toc184310307"/>
      <w:bookmarkEnd w:id="261"/>
      <w:bookmarkStart w:id="262" w:name="_Toc184308099"/>
      <w:bookmarkEnd w:id="262"/>
      <w:bookmarkStart w:id="263" w:name="_Toc184310294"/>
      <w:bookmarkEnd w:id="263"/>
      <w:bookmarkStart w:id="264" w:name="_Toc184313297"/>
      <w:bookmarkEnd w:id="264"/>
      <w:bookmarkStart w:id="265" w:name="_Toc184313252"/>
      <w:bookmarkEnd w:id="265"/>
      <w:bookmarkStart w:id="266" w:name="_Toc184313296"/>
      <w:bookmarkEnd w:id="266"/>
      <w:bookmarkStart w:id="267" w:name="_Toc184312126"/>
      <w:bookmarkEnd w:id="267"/>
      <w:bookmarkStart w:id="268" w:name="_Toc184308098"/>
      <w:bookmarkEnd w:id="268"/>
      <w:bookmarkStart w:id="269" w:name="_Toc184314469"/>
      <w:bookmarkEnd w:id="269"/>
      <w:bookmarkStart w:id="270" w:name="_Toc184308049"/>
      <w:bookmarkEnd w:id="270"/>
      <w:bookmarkStart w:id="271" w:name="_Toc184312128"/>
      <w:bookmarkEnd w:id="271"/>
      <w:bookmarkStart w:id="272" w:name="_Toc184314413"/>
      <w:bookmarkEnd w:id="272"/>
      <w:bookmarkStart w:id="273" w:name="_Toc184312118"/>
      <w:bookmarkEnd w:id="273"/>
      <w:bookmarkStart w:id="274" w:name="_Toc184313240"/>
      <w:bookmarkEnd w:id="274"/>
      <w:bookmarkStart w:id="275" w:name="_Toc184314456"/>
      <w:bookmarkEnd w:id="275"/>
      <w:bookmarkStart w:id="276" w:name="_Toc184313278"/>
      <w:bookmarkEnd w:id="276"/>
      <w:bookmarkStart w:id="277" w:name="_Toc184308058"/>
      <w:bookmarkEnd w:id="277"/>
      <w:bookmarkStart w:id="278" w:name="_Toc184310293"/>
      <w:bookmarkEnd w:id="278"/>
      <w:bookmarkStart w:id="279" w:name="_Toc184308037"/>
      <w:bookmarkEnd w:id="279"/>
      <w:bookmarkStart w:id="280" w:name="_Toc184312069"/>
      <w:bookmarkEnd w:id="280"/>
      <w:bookmarkStart w:id="281" w:name="_Toc184310321"/>
      <w:bookmarkEnd w:id="281"/>
      <w:bookmarkStart w:id="282" w:name="_Toc184312113"/>
      <w:bookmarkEnd w:id="282"/>
      <w:bookmarkStart w:id="283" w:name="_Toc184314448"/>
      <w:bookmarkEnd w:id="283"/>
      <w:bookmarkStart w:id="284" w:name="_Toc184308077"/>
      <w:bookmarkEnd w:id="284"/>
      <w:bookmarkStart w:id="285" w:name="_Toc184310313"/>
      <w:bookmarkEnd w:id="285"/>
      <w:bookmarkStart w:id="286" w:name="_Toc184310288"/>
      <w:bookmarkEnd w:id="286"/>
      <w:bookmarkStart w:id="287" w:name="_Toc184313258"/>
      <w:bookmarkEnd w:id="287"/>
      <w:bookmarkStart w:id="288" w:name="_Toc184308073"/>
      <w:bookmarkEnd w:id="288"/>
      <w:bookmarkStart w:id="289" w:name="_Toc184313302"/>
      <w:bookmarkEnd w:id="289"/>
      <w:bookmarkStart w:id="290" w:name="_Toc184308103"/>
      <w:bookmarkEnd w:id="290"/>
      <w:bookmarkStart w:id="291" w:name="_Toc184308051"/>
      <w:bookmarkEnd w:id="291"/>
      <w:bookmarkStart w:id="292" w:name="_Toc184312133"/>
      <w:bookmarkEnd w:id="292"/>
      <w:bookmarkStart w:id="293" w:name="_Toc184314471"/>
      <w:bookmarkEnd w:id="293"/>
      <w:bookmarkStart w:id="294" w:name="_Toc184310292"/>
      <w:bookmarkEnd w:id="294"/>
      <w:bookmarkStart w:id="295" w:name="_Toc184313255"/>
      <w:bookmarkEnd w:id="295"/>
      <w:bookmarkStart w:id="296" w:name="_Toc184313281"/>
      <w:bookmarkEnd w:id="296"/>
      <w:bookmarkStart w:id="297" w:name="_Toc184312131"/>
      <w:bookmarkEnd w:id="297"/>
      <w:bookmarkStart w:id="298" w:name="_Toc184310327"/>
      <w:bookmarkEnd w:id="298"/>
      <w:bookmarkStart w:id="299" w:name="_Toc184314422"/>
      <w:bookmarkEnd w:id="299"/>
      <w:bookmarkStart w:id="300" w:name="_Toc184312114"/>
      <w:bookmarkEnd w:id="300"/>
      <w:bookmarkStart w:id="301" w:name="_Toc184308045"/>
      <w:bookmarkEnd w:id="301"/>
      <w:bookmarkStart w:id="302" w:name="_Toc184308036"/>
      <w:bookmarkEnd w:id="302"/>
      <w:bookmarkStart w:id="303" w:name="_Toc184313271"/>
      <w:bookmarkEnd w:id="303"/>
      <w:bookmarkStart w:id="304" w:name="_Toc184313307"/>
      <w:bookmarkEnd w:id="304"/>
      <w:bookmarkStart w:id="305" w:name="_Toc184313268"/>
      <w:bookmarkEnd w:id="305"/>
      <w:bookmarkStart w:id="306" w:name="_Toc184310298"/>
      <w:bookmarkEnd w:id="306"/>
      <w:bookmarkStart w:id="307" w:name="_Toc184314430"/>
      <w:bookmarkEnd w:id="307"/>
      <w:bookmarkStart w:id="308" w:name="_Toc184313280"/>
      <w:bookmarkEnd w:id="308"/>
      <w:bookmarkStart w:id="309" w:name="_Toc184308101"/>
      <w:bookmarkEnd w:id="309"/>
      <w:bookmarkStart w:id="310" w:name="_Toc184312119"/>
      <w:bookmarkEnd w:id="310"/>
      <w:bookmarkStart w:id="311" w:name="_Toc184310333"/>
      <w:bookmarkEnd w:id="311"/>
      <w:bookmarkStart w:id="312" w:name="_Toc184312080"/>
      <w:bookmarkEnd w:id="312"/>
      <w:bookmarkStart w:id="313" w:name="_Toc184313273"/>
      <w:bookmarkEnd w:id="313"/>
      <w:bookmarkStart w:id="314" w:name="_Toc184310281"/>
      <w:bookmarkEnd w:id="314"/>
      <w:bookmarkStart w:id="315" w:name="_Toc184313289"/>
      <w:bookmarkEnd w:id="315"/>
      <w:bookmarkStart w:id="316" w:name="_Toc184308076"/>
      <w:bookmarkEnd w:id="316"/>
      <w:bookmarkStart w:id="317" w:name="_Toc184314455"/>
      <w:bookmarkEnd w:id="317"/>
      <w:bookmarkStart w:id="318" w:name="_Toc184313292"/>
      <w:bookmarkEnd w:id="318"/>
      <w:bookmarkStart w:id="319" w:name="_Toc184312132"/>
      <w:bookmarkEnd w:id="319"/>
      <w:bookmarkStart w:id="320" w:name="_Toc184310330"/>
      <w:bookmarkEnd w:id="320"/>
      <w:bookmarkStart w:id="321" w:name="_Toc184308107"/>
      <w:bookmarkEnd w:id="321"/>
      <w:bookmarkStart w:id="322" w:name="_Toc184312101"/>
      <w:bookmarkEnd w:id="322"/>
      <w:bookmarkStart w:id="323" w:name="_Toc184313248"/>
      <w:bookmarkEnd w:id="323"/>
      <w:bookmarkStart w:id="324" w:name="_Toc184314429"/>
      <w:bookmarkEnd w:id="324"/>
      <w:bookmarkStart w:id="325" w:name="_Toc184314435"/>
      <w:bookmarkEnd w:id="325"/>
      <w:bookmarkStart w:id="326" w:name="_Toc184312083"/>
      <w:bookmarkEnd w:id="326"/>
      <w:bookmarkStart w:id="327" w:name="_Toc184308053"/>
      <w:bookmarkEnd w:id="327"/>
      <w:bookmarkStart w:id="328" w:name="_Toc184310282"/>
      <w:bookmarkEnd w:id="328"/>
      <w:bookmarkStart w:id="329" w:name="_Toc184313275"/>
      <w:bookmarkEnd w:id="329"/>
      <w:bookmarkStart w:id="330" w:name="_Toc184313283"/>
      <w:bookmarkEnd w:id="330"/>
      <w:bookmarkStart w:id="331" w:name="_Toc184308060"/>
      <w:bookmarkEnd w:id="331"/>
      <w:bookmarkStart w:id="332" w:name="_Toc184312115"/>
      <w:bookmarkEnd w:id="332"/>
      <w:bookmarkStart w:id="333" w:name="_Toc184308095"/>
      <w:bookmarkEnd w:id="333"/>
      <w:bookmarkStart w:id="334" w:name="_Toc184308063"/>
      <w:bookmarkEnd w:id="334"/>
      <w:bookmarkStart w:id="335" w:name="_Toc184312105"/>
      <w:bookmarkEnd w:id="335"/>
      <w:bookmarkStart w:id="336" w:name="_Toc184312090"/>
      <w:bookmarkEnd w:id="336"/>
      <w:bookmarkStart w:id="337" w:name="_Toc184310302"/>
      <w:bookmarkEnd w:id="337"/>
      <w:bookmarkStart w:id="338" w:name="_Toc184308097"/>
      <w:bookmarkEnd w:id="338"/>
      <w:bookmarkStart w:id="339" w:name="_Toc184308050"/>
      <w:bookmarkEnd w:id="339"/>
      <w:bookmarkStart w:id="340" w:name="_Toc184308072"/>
      <w:bookmarkEnd w:id="340"/>
      <w:bookmarkStart w:id="341" w:name="_Toc184314437"/>
      <w:bookmarkEnd w:id="341"/>
      <w:bookmarkStart w:id="342" w:name="_Toc184308056"/>
      <w:bookmarkEnd w:id="342"/>
      <w:bookmarkStart w:id="343" w:name="_Toc184312110"/>
      <w:bookmarkEnd w:id="343"/>
      <w:bookmarkStart w:id="344" w:name="_Toc184308052"/>
      <w:bookmarkEnd w:id="344"/>
      <w:bookmarkStart w:id="345" w:name="_Toc184314410"/>
      <w:bookmarkEnd w:id="345"/>
      <w:bookmarkStart w:id="346" w:name="_Toc184314464"/>
      <w:bookmarkEnd w:id="346"/>
      <w:bookmarkStart w:id="347" w:name="_Toc184310295"/>
      <w:bookmarkEnd w:id="347"/>
      <w:bookmarkStart w:id="348" w:name="_Toc184312107"/>
      <w:bookmarkEnd w:id="348"/>
      <w:bookmarkStart w:id="349" w:name="_Toc184312135"/>
      <w:bookmarkEnd w:id="349"/>
      <w:bookmarkStart w:id="350" w:name="_Toc184310343"/>
      <w:bookmarkEnd w:id="350"/>
      <w:bookmarkStart w:id="351" w:name="_Toc184313291"/>
      <w:bookmarkEnd w:id="351"/>
      <w:bookmarkStart w:id="352" w:name="_Toc184310332"/>
      <w:bookmarkEnd w:id="352"/>
      <w:bookmarkStart w:id="353" w:name="_Toc184308074"/>
      <w:bookmarkEnd w:id="353"/>
      <w:bookmarkStart w:id="354" w:name="_Toc184313290"/>
      <w:bookmarkEnd w:id="354"/>
      <w:bookmarkStart w:id="355" w:name="_Toc184310336"/>
      <w:bookmarkEnd w:id="355"/>
      <w:bookmarkStart w:id="356" w:name="_Toc184313284"/>
      <w:bookmarkEnd w:id="356"/>
      <w:bookmarkStart w:id="357" w:name="_Toc184308082"/>
      <w:bookmarkEnd w:id="357"/>
      <w:bookmarkStart w:id="358" w:name="_Toc184313305"/>
      <w:bookmarkEnd w:id="358"/>
      <w:bookmarkStart w:id="359" w:name="_Toc184308069"/>
      <w:bookmarkEnd w:id="359"/>
      <w:bookmarkStart w:id="360" w:name="_Toc184313269"/>
      <w:bookmarkEnd w:id="360"/>
      <w:bookmarkStart w:id="361" w:name="_Toc184313309"/>
      <w:bookmarkEnd w:id="361"/>
      <w:bookmarkStart w:id="362" w:name="_Toc184314451"/>
      <w:bookmarkEnd w:id="362"/>
      <w:bookmarkStart w:id="363" w:name="_Toc184308080"/>
      <w:bookmarkEnd w:id="363"/>
      <w:bookmarkStart w:id="364" w:name="_Toc184312070"/>
      <w:bookmarkEnd w:id="364"/>
      <w:bookmarkStart w:id="365" w:name="_Toc184313286"/>
      <w:bookmarkEnd w:id="365"/>
      <w:bookmarkStart w:id="366" w:name="_Toc184314426"/>
      <w:bookmarkEnd w:id="366"/>
      <w:r>
        <w:rPr>
          <w:rFonts w:hint="eastAsia"/>
        </w:rPr>
        <w:t>评标办法</w:t>
      </w:r>
    </w:p>
    <w:p>
      <w:pPr>
        <w:pStyle w:val="5"/>
      </w:pPr>
      <w:r>
        <w:rPr>
          <w:rFonts w:hint="eastAsia"/>
        </w:rPr>
        <w:t>评标办法前附表</w:t>
      </w:r>
    </w:p>
    <w:p>
      <w:pPr>
        <w:snapToGrid w:val="0"/>
        <w:spacing w:line="360" w:lineRule="auto"/>
        <w:rPr>
          <w:rFonts w:hint="eastAsia" w:ascii="仿宋" w:hAnsi="仿宋" w:eastAsia="仿宋" w:cs="仿宋"/>
          <w:color w:val="auto"/>
          <w:sz w:val="24"/>
          <w:highlight w:val="none"/>
          <w:shd w:val="clear" w:color="auto" w:fill="auto"/>
        </w:rPr>
      </w:pPr>
      <w:r>
        <w:rPr>
          <w:rFonts w:hint="eastAsia"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商务资信</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cs="仿宋"/>
          <w:color w:val="auto"/>
          <w:sz w:val="24"/>
          <w:highlight w:val="none"/>
          <w:shd w:val="clear" w:color="auto" w:fill="auto"/>
          <w:lang w:val="en-US" w:eastAsia="zh-CN"/>
        </w:rPr>
        <w:t>10</w:t>
      </w:r>
      <w:r>
        <w:rPr>
          <w:rFonts w:hint="eastAsia" w:ascii="仿宋" w:hAnsi="仿宋" w:eastAsia="仿宋" w:cs="仿宋"/>
          <w:color w:val="auto"/>
          <w:sz w:val="24"/>
          <w:highlight w:val="none"/>
          <w:shd w:val="clear" w:color="auto" w:fill="auto"/>
        </w:rPr>
        <w:t>分）</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2"/>
        <w:gridCol w:w="6339"/>
        <w:gridCol w:w="89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6961" w:type="dxa"/>
            <w:gridSpan w:val="2"/>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评分内容和标准</w:t>
            </w:r>
          </w:p>
        </w:tc>
        <w:tc>
          <w:tcPr>
            <w:tcW w:w="890"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权重</w:t>
            </w:r>
          </w:p>
        </w:tc>
        <w:tc>
          <w:tcPr>
            <w:tcW w:w="1236"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1" w:type="dxa"/>
            <w:vMerge w:val="restart"/>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商务资信分（</w:t>
            </w:r>
            <w:r>
              <w:rPr>
                <w:rFonts w:hint="eastAsia" w:ascii="仿宋" w:hAnsi="仿宋" w:eastAsia="仿宋" w:cs="仿宋"/>
                <w:b/>
                <w:bCs/>
                <w:color w:val="auto"/>
                <w:sz w:val="24"/>
                <w:highlight w:val="none"/>
                <w:shd w:val="clear" w:color="auto" w:fill="auto"/>
                <w:lang w:val="en-US" w:eastAsia="zh-CN"/>
              </w:rPr>
              <w:t>1</w:t>
            </w:r>
            <w:r>
              <w:rPr>
                <w:rFonts w:hint="eastAsia" w:cs="仿宋"/>
                <w:b/>
                <w:bCs/>
                <w:color w:val="auto"/>
                <w:sz w:val="24"/>
                <w:highlight w:val="none"/>
                <w:shd w:val="clear" w:color="auto" w:fill="auto"/>
                <w:lang w:val="en-US" w:eastAsia="zh-CN"/>
              </w:rPr>
              <w:t>0</w:t>
            </w:r>
            <w:r>
              <w:rPr>
                <w:rFonts w:hint="eastAsia" w:ascii="仿宋" w:hAnsi="仿宋" w:eastAsia="仿宋" w:cs="仿宋"/>
                <w:b/>
                <w:bCs/>
                <w:color w:val="auto"/>
                <w:sz w:val="24"/>
                <w:highlight w:val="none"/>
                <w:shd w:val="clear" w:color="auto" w:fill="auto"/>
              </w:rPr>
              <w:t>分）</w:t>
            </w:r>
          </w:p>
        </w:tc>
        <w:tc>
          <w:tcPr>
            <w:tcW w:w="62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633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自2019年1月1日起具有类似旅游服务项目合同业绩的每个得0.5分，最高得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分。（须提供合同复印件，不提供不得分）</w:t>
            </w:r>
          </w:p>
        </w:tc>
        <w:tc>
          <w:tcPr>
            <w:tcW w:w="89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633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lang w:val="zh-CN"/>
              </w:rPr>
              <w:t>获得旅游行政管理部门认定的四星级及以上的得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rPr>
              <w:t>三星级的得2分，二星级</w:t>
            </w:r>
            <w:r>
              <w:rPr>
                <w:rFonts w:hint="eastAsia" w:ascii="仿宋" w:hAnsi="仿宋" w:eastAsia="仿宋" w:cs="仿宋"/>
                <w:color w:val="auto"/>
                <w:sz w:val="24"/>
                <w:highlight w:val="none"/>
                <w:lang w:val="zh-CN"/>
              </w:rPr>
              <w:t>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rPr>
              <w:t>其余不得分</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val="zh-CN"/>
              </w:rPr>
              <w:t>文件中提供复印件，不提供不得分）</w:t>
            </w:r>
          </w:p>
        </w:tc>
        <w:tc>
          <w:tcPr>
            <w:tcW w:w="89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3</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633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具有质量保证体系、环境管理体系认证、职业健康安全管理体系认证（证书须在有效期内），每提供一个得1分，本项最高得3分。</w:t>
            </w:r>
            <w:r>
              <w:rPr>
                <w:rFonts w:hint="eastAsia" w:ascii="仿宋" w:hAnsi="仿宋" w:eastAsia="仿宋" w:cs="仿宋"/>
                <w:color w:val="auto"/>
                <w:sz w:val="24"/>
                <w:highlight w:val="none"/>
                <w:lang w:val="zh-CN"/>
              </w:rPr>
              <w:t>（投标文件中提供复印件，不提供不得分）</w:t>
            </w:r>
          </w:p>
        </w:tc>
        <w:tc>
          <w:tcPr>
            <w:tcW w:w="89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3</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w:t>
            </w:r>
          </w:p>
        </w:tc>
        <w:tc>
          <w:tcPr>
            <w:tcW w:w="633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lang w:val="zh-CN" w:eastAsia="zh-CN"/>
              </w:rPr>
              <w:t>投标人政府行政部门荣誉（201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eastAsia="zh-CN"/>
              </w:rPr>
              <w:t>年至今）：投标人近3年荣获区县级及以上行政荣誉的每一项得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分。（投标文件中提供复印件，不提供不得分)</w:t>
            </w:r>
          </w:p>
        </w:tc>
        <w:tc>
          <w:tcPr>
            <w:tcW w:w="89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3</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bl>
    <w:p>
      <w:pPr>
        <w:widowControl/>
        <w:spacing w:line="360" w:lineRule="auto"/>
        <w:rPr>
          <w:rFonts w:hint="eastAsia" w:cs="仿宋"/>
          <w:color w:val="auto"/>
          <w:sz w:val="24"/>
          <w:highlight w:val="none"/>
          <w:shd w:val="clear" w:color="auto" w:fill="auto"/>
          <w:lang w:val="en-US" w:eastAsia="zh-CN"/>
        </w:rPr>
      </w:pPr>
    </w:p>
    <w:p>
      <w:pPr>
        <w:widowControl/>
        <w:spacing w:line="360" w:lineRule="auto"/>
        <w:rPr>
          <w:rFonts w:hint="eastAsia" w:ascii="仿宋" w:hAnsi="仿宋" w:eastAsia="仿宋" w:cs="仿宋"/>
          <w:color w:val="auto"/>
          <w:sz w:val="24"/>
          <w:highlight w:val="none"/>
          <w:shd w:val="clear" w:color="auto" w:fill="auto"/>
        </w:rPr>
      </w:pPr>
      <w:r>
        <w:rPr>
          <w:rFonts w:hint="eastAsia"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术和服务方案</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cs="仿宋"/>
          <w:color w:val="auto"/>
          <w:sz w:val="24"/>
          <w:highlight w:val="none"/>
          <w:shd w:val="clear" w:color="auto" w:fill="auto"/>
          <w:lang w:val="en-US" w:eastAsia="zh-CN"/>
        </w:rPr>
        <w:t>80</w:t>
      </w:r>
      <w:r>
        <w:rPr>
          <w:rFonts w:hint="eastAsia" w:ascii="仿宋" w:hAnsi="仿宋" w:eastAsia="仿宋" w:cs="仿宋"/>
          <w:color w:val="auto"/>
          <w:sz w:val="24"/>
          <w:highlight w:val="none"/>
          <w:shd w:val="clear" w:color="auto" w:fill="auto"/>
        </w:rPr>
        <w:t>分）</w:t>
      </w:r>
    </w:p>
    <w:tbl>
      <w:tblPr>
        <w:tblStyle w:val="21"/>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6"/>
        <w:gridCol w:w="1982"/>
        <w:gridCol w:w="4468"/>
        <w:gridCol w:w="81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序号</w:t>
            </w:r>
          </w:p>
        </w:tc>
        <w:tc>
          <w:tcPr>
            <w:tcW w:w="2608" w:type="dxa"/>
            <w:gridSpan w:val="2"/>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评分内容和标准</w:t>
            </w:r>
          </w:p>
        </w:tc>
        <w:tc>
          <w:tcPr>
            <w:tcW w:w="4468"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具体描述</w:t>
            </w:r>
          </w:p>
        </w:tc>
        <w:tc>
          <w:tcPr>
            <w:tcW w:w="810"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lang w:eastAsia="zh-CN"/>
              </w:rPr>
            </w:pPr>
            <w:r>
              <w:rPr>
                <w:rFonts w:hint="eastAsia" w:cs="仿宋"/>
                <w:b/>
                <w:bCs/>
                <w:color w:val="000000"/>
                <w:kern w:val="0"/>
                <w:sz w:val="24"/>
                <w:shd w:val="clear" w:color="auto" w:fill="auto"/>
                <w:lang w:eastAsia="zh-CN"/>
              </w:rPr>
              <w:t>权重</w:t>
            </w:r>
          </w:p>
        </w:tc>
        <w:tc>
          <w:tcPr>
            <w:tcW w:w="121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15" w:type="dxa"/>
            <w:vMerge w:val="restart"/>
            <w:noWrap w:val="0"/>
            <w:vAlign w:val="center"/>
          </w:tcPr>
          <w:p>
            <w:pPr>
              <w:pStyle w:val="2"/>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0"/>
                <w:szCs w:val="22"/>
                <w:highlight w:val="none"/>
                <w:shd w:val="clear" w:color="auto" w:fill="auto"/>
              </w:rPr>
            </w:pPr>
            <w:r>
              <w:rPr>
                <w:rFonts w:hint="eastAsia" w:ascii="仿宋" w:hAnsi="仿宋" w:eastAsia="仿宋" w:cs="仿宋"/>
                <w:b/>
                <w:bCs/>
                <w:color w:val="000000"/>
                <w:highlight w:val="none"/>
                <w:shd w:val="clear" w:color="auto" w:fill="auto"/>
              </w:rPr>
              <w:t>技术和服务方案</w:t>
            </w:r>
            <w:r>
              <w:rPr>
                <w:rFonts w:hint="eastAsia" w:ascii="仿宋" w:hAnsi="仿宋" w:eastAsia="仿宋" w:cs="仿宋"/>
                <w:b/>
                <w:bCs/>
                <w:color w:val="000000"/>
                <w:highlight w:val="none"/>
                <w:shd w:val="clear" w:color="auto" w:fill="auto"/>
                <w:lang w:val="en-US" w:eastAsia="zh-CN"/>
              </w:rPr>
              <w:t>分</w:t>
            </w:r>
            <w:r>
              <w:rPr>
                <w:rFonts w:hint="eastAsia" w:ascii="仿宋" w:hAnsi="仿宋" w:eastAsia="仿宋" w:cs="仿宋"/>
                <w:b/>
                <w:bCs/>
                <w:color w:val="000000"/>
                <w:highlight w:val="none"/>
                <w:shd w:val="clear" w:color="auto" w:fill="auto"/>
              </w:rPr>
              <w:t>（</w:t>
            </w:r>
            <w:r>
              <w:rPr>
                <w:rFonts w:hint="eastAsia" w:ascii="仿宋" w:hAnsi="仿宋" w:eastAsia="仿宋" w:cs="仿宋"/>
                <w:b/>
                <w:bCs/>
                <w:color w:val="000000"/>
                <w:highlight w:val="none"/>
                <w:shd w:val="clear" w:color="auto" w:fill="auto"/>
                <w:lang w:val="en-US" w:eastAsia="zh-CN"/>
              </w:rPr>
              <w:t>80</w:t>
            </w:r>
            <w:r>
              <w:rPr>
                <w:rFonts w:hint="eastAsia" w:ascii="仿宋" w:hAnsi="仿宋" w:eastAsia="仿宋" w:cs="仿宋"/>
                <w:b/>
                <w:bCs/>
                <w:color w:val="000000"/>
                <w:highlight w:val="none"/>
                <w:shd w:val="clear" w:color="auto" w:fill="auto"/>
              </w:rPr>
              <w:t>分）</w:t>
            </w:r>
          </w:p>
        </w:tc>
        <w:tc>
          <w:tcPr>
            <w:tcW w:w="626" w:type="dxa"/>
            <w:vMerge w:val="restart"/>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highlight w:val="none"/>
                <w:shd w:val="clear" w:color="auto" w:fill="auto"/>
              </w:rPr>
            </w:pPr>
            <w:r>
              <w:rPr>
                <w:rFonts w:hint="eastAsia" w:ascii="仿宋" w:hAnsi="仿宋" w:eastAsia="仿宋" w:cs="仿宋"/>
                <w:color w:val="000000"/>
                <w:kern w:val="0"/>
                <w:sz w:val="24"/>
                <w:highlight w:val="none"/>
                <w:shd w:val="clear" w:color="auto" w:fill="auto"/>
              </w:rPr>
              <w:t>1</w:t>
            </w:r>
          </w:p>
        </w:tc>
        <w:tc>
          <w:tcPr>
            <w:tcW w:w="1982" w:type="dxa"/>
            <w:vMerge w:val="restart"/>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投标方案的合理性、科学性、全面性（综合评定）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000000" w:themeColor="text1"/>
                <w:sz w:val="24"/>
                <w:highlight w:val="none"/>
                <w:lang w:val="zh-CN" w:eastAsia="zh-CN"/>
                <w14:textFill>
                  <w14:solidFill>
                    <w14:schemeClr w14:val="tx1"/>
                  </w14:solidFill>
                </w14:textFill>
              </w:rPr>
              <w:t>详细提供疗休养整体方案（包括吃、住、行、线路策划等方案以及对本次疗休养主题的吻合程度）</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cs="仿宋"/>
                <w:color w:val="000000" w:themeColor="text1"/>
                <w:sz w:val="24"/>
                <w:highlight w:val="none"/>
                <w:lang w:val="en-US" w:eastAsia="zh-CN"/>
                <w14:textFill>
                  <w14:solidFill>
                    <w14:schemeClr w14:val="tx1"/>
                  </w14:solidFill>
                </w14:textFill>
              </w:rPr>
              <w:t>7-9</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cs="仿宋"/>
                <w:color w:val="000000" w:themeColor="text1"/>
                <w:sz w:val="24"/>
                <w:highlight w:val="none"/>
                <w:lang w:val="en-US" w:eastAsia="zh-CN"/>
                <w14:textFill>
                  <w14:solidFill>
                    <w14:schemeClr w14:val="tx1"/>
                  </w14:solidFill>
                </w14:textFill>
              </w:rPr>
              <w:t>4-6.9</w:t>
            </w:r>
            <w:r>
              <w:rPr>
                <w:rFonts w:hint="eastAsia" w:ascii="仿宋" w:hAnsi="仿宋" w:eastAsia="仿宋" w:cs="仿宋"/>
                <w:color w:val="000000" w:themeColor="text1"/>
                <w:sz w:val="24"/>
                <w:highlight w:val="none"/>
                <w14:textFill>
                  <w14:solidFill>
                    <w14:schemeClr w14:val="tx1"/>
                  </w14:solidFill>
                </w14:textFill>
              </w:rPr>
              <w:t>分，不够完善的得0-</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9</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15" w:type="dxa"/>
            <w:vMerge w:val="continue"/>
            <w:noWrap w:val="0"/>
            <w:vAlign w:val="center"/>
          </w:tcPr>
          <w:p>
            <w:pPr>
              <w:pStyle w:val="2"/>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hd w:val="clear" w:color="auto" w:fill="auto"/>
              </w:rPr>
            </w:pPr>
          </w:p>
        </w:tc>
        <w:tc>
          <w:tcPr>
            <w:tcW w:w="626"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p>
        </w:tc>
        <w:tc>
          <w:tcPr>
            <w:tcW w:w="1982" w:type="dxa"/>
            <w:vMerge w:val="continue"/>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宋体" w:hAnsi="宋体" w:cs="宋体"/>
                <w:color w:val="auto"/>
                <w:sz w:val="24"/>
                <w:szCs w:val="24"/>
                <w:highlight w:val="none"/>
                <w:lang w:val="en-US" w:eastAsia="zh-CN"/>
              </w:rPr>
              <w:t>餐饮优化服务：根据投标人提供的标准及餐厅经营状况等综合评定</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cs="仿宋"/>
                <w:color w:val="000000" w:themeColor="text1"/>
                <w:sz w:val="24"/>
                <w:highlight w:val="none"/>
                <w:lang w:val="en-US" w:eastAsia="zh-CN"/>
                <w14:textFill>
                  <w14:solidFill>
                    <w14:schemeClr w14:val="tx1"/>
                  </w14:solidFill>
                </w14:textFill>
              </w:rPr>
              <w:t>6-8</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分，不够完善的得0-</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8</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主观</w:t>
            </w:r>
            <w:r>
              <w:rPr>
                <w:rFonts w:hint="eastAsia" w:ascii="仿宋" w:hAnsi="仿宋" w:eastAsia="仿宋" w:cs="仿宋"/>
                <w:color w:val="auto"/>
                <w:kern w:val="2"/>
                <w:sz w:val="24"/>
                <w:szCs w:val="24"/>
                <w:highlight w:val="none"/>
                <w:shd w:val="clear" w:color="auto" w:fill="auto"/>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5" w:type="dxa"/>
            <w:vMerge w:val="continue"/>
            <w:noWrap w:val="0"/>
            <w:vAlign w:val="center"/>
          </w:tcPr>
          <w:p>
            <w:pPr>
              <w:pStyle w:val="2"/>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hd w:val="clear" w:color="auto" w:fill="auto"/>
              </w:rPr>
            </w:pPr>
          </w:p>
        </w:tc>
        <w:tc>
          <w:tcPr>
            <w:tcW w:w="626"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p>
        </w:tc>
        <w:tc>
          <w:tcPr>
            <w:tcW w:w="1982" w:type="dxa"/>
            <w:vMerge w:val="continue"/>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宋体" w:hAnsi="宋体" w:cs="宋体"/>
                <w:color w:val="auto"/>
                <w:sz w:val="24"/>
                <w:szCs w:val="24"/>
                <w:highlight w:val="none"/>
                <w:lang w:val="zh-CN" w:eastAsia="zh-CN"/>
              </w:rPr>
              <w:t>住宿优化服务：根据投标人提供的住宿条件承诺情况综合评定。</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cs="仿宋"/>
                <w:color w:val="000000" w:themeColor="text1"/>
                <w:sz w:val="24"/>
                <w:highlight w:val="none"/>
                <w:lang w:val="en-US" w:eastAsia="zh-CN"/>
                <w14:textFill>
                  <w14:solidFill>
                    <w14:schemeClr w14:val="tx1"/>
                  </w14:solidFill>
                </w14:textFill>
              </w:rPr>
              <w:t>6-8</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分，不够完善的得0-</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8</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r>
              <w:rPr>
                <w:rFonts w:hint="eastAsia" w:ascii="仿宋" w:hAnsi="仿宋" w:eastAsia="仿宋" w:cs="仿宋"/>
                <w:color w:val="000000"/>
                <w:kern w:val="0"/>
                <w:sz w:val="24"/>
                <w:shd w:val="clear" w:color="auto" w:fill="auto"/>
              </w:rPr>
              <w:t>2</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投标方案中提供或使用主要车辆、设备的优劣（综合评定）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根据车队情况（车队萧山本地化服务能力及综合实力），车况、座位比、司机驾龄等综合评定。</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cs="仿宋"/>
                <w:color w:val="000000" w:themeColor="text1"/>
                <w:sz w:val="24"/>
                <w:highlight w:val="none"/>
                <w:lang w:val="en-US" w:eastAsia="zh-CN"/>
                <w14:textFill>
                  <w14:solidFill>
                    <w14:schemeClr w14:val="tx1"/>
                  </w14:solidFill>
                </w14:textFill>
              </w:rPr>
              <w:t>5-7</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分，不够完善的得0-</w:t>
            </w:r>
            <w:r>
              <w:rPr>
                <w:rFonts w:hint="eastAsia"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7</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r>
              <w:rPr>
                <w:rFonts w:hint="eastAsia" w:ascii="仿宋" w:hAnsi="仿宋" w:eastAsia="仿宋" w:cs="仿宋"/>
                <w:color w:val="000000"/>
                <w:kern w:val="0"/>
                <w:sz w:val="24"/>
                <w:shd w:val="clear" w:color="auto" w:fill="auto"/>
              </w:rPr>
              <w:t>3</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保证进度和项目完成的方案和措施等（综合评定）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本次疗休养实施工作程序和步骤、管理和协调方法以及关键步骤和要点等。</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cs="仿宋"/>
                <w:color w:val="000000" w:themeColor="text1"/>
                <w:sz w:val="24"/>
                <w:highlight w:val="none"/>
                <w:lang w:val="en-US" w:eastAsia="zh-CN"/>
                <w14:textFill>
                  <w14:solidFill>
                    <w14:schemeClr w14:val="tx1"/>
                  </w14:solidFill>
                </w14:textFill>
              </w:rPr>
              <w:t>6-8</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分，不够完善的得0-</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8</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vMerge w:val="restart"/>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r>
              <w:rPr>
                <w:rFonts w:hint="eastAsia" w:ascii="仿宋" w:hAnsi="仿宋" w:eastAsia="仿宋" w:cs="仿宋"/>
                <w:color w:val="000000"/>
                <w:kern w:val="0"/>
                <w:sz w:val="24"/>
                <w:shd w:val="clear" w:color="auto" w:fill="auto"/>
              </w:rPr>
              <w:t>4</w:t>
            </w:r>
          </w:p>
        </w:tc>
        <w:tc>
          <w:tcPr>
            <w:tcW w:w="1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项目负责人及技术力量安排、行程中安排导游等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000000" w:themeColor="text1"/>
                <w:sz w:val="24"/>
                <w:highlight w:val="none"/>
                <w:lang w:val="zh-CN" w:eastAsia="zh-CN"/>
                <w14:textFill>
                  <w14:solidFill>
                    <w14:schemeClr w14:val="tx1"/>
                  </w14:solidFill>
                </w14:textFill>
              </w:rPr>
              <w:t>项目负责人的专业素质、技术能力、经验以及调动各项资源的能力、有否学历及职业证书；项目组成员专业素质、能力、经验等</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cs="仿宋"/>
                <w:color w:val="000000" w:themeColor="text1"/>
                <w:sz w:val="24"/>
                <w:highlight w:val="none"/>
                <w:lang w:val="en-US" w:eastAsia="zh-CN"/>
                <w14:textFill>
                  <w14:solidFill>
                    <w14:schemeClr w14:val="tx1"/>
                  </w14:solidFill>
                </w14:textFill>
              </w:rPr>
              <w:t>5-7</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分，不够完善的得0-</w:t>
            </w:r>
            <w:r>
              <w:rPr>
                <w:rFonts w:hint="eastAsia"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7</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p>
        </w:tc>
        <w:tc>
          <w:tcPr>
            <w:tcW w:w="1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2019年1月1日以来投标人拥有全国优秀导游员或高级导游员或省级及以上金牌导游员得3分，拥有中级导游员或杭州市优秀或金牌导游员得 2 分，拥有区县级金牌或优秀导游员得 1 分。不累计加分，按高计取，本项最高分3分。（投标文件中提供导游证及优秀导游员或中高级导游员或金牌导游员证书，并提供投标截止前3个月（2022年</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月、</w:t>
            </w:r>
            <w:r>
              <w:rPr>
                <w:rFonts w:hint="eastAsia"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月、</w:t>
            </w:r>
            <w:r>
              <w:rPr>
                <w:rFonts w:hint="eastAsia"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en-US" w:eastAsia="zh-CN"/>
                <w14:textFill>
                  <w14:solidFill>
                    <w14:schemeClr w14:val="tx1"/>
                  </w14:solidFill>
                </w14:textFill>
              </w:rPr>
              <w:t>月）在本单位在职社保证明；若人员已退休但仍可执业的，社保证明原件可凭社保部门出具的退休证明及聘用合同替代，投标文件中可使用复印件但须同时加盖响应单位印章。）</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3</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r>
              <w:rPr>
                <w:rFonts w:hint="eastAsia" w:ascii="仿宋" w:hAnsi="仿宋" w:eastAsia="仿宋" w:cs="仿宋"/>
                <w:color w:val="000000"/>
                <w:kern w:val="0"/>
                <w:sz w:val="24"/>
                <w:shd w:val="clear" w:color="auto" w:fill="auto"/>
              </w:rPr>
              <w:t>5</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对本项目的合理化建议（综合评定）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在标书中规定标准的基础上，根据投标方优化方案，提出合理化建议。</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6</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rPr>
            </w:pPr>
            <w:r>
              <w:rPr>
                <w:rFonts w:hint="eastAsia" w:ascii="仿宋" w:hAnsi="仿宋" w:eastAsia="仿宋" w:cs="仿宋"/>
                <w:color w:val="000000"/>
                <w:kern w:val="0"/>
                <w:sz w:val="24"/>
                <w:shd w:val="clear" w:color="auto" w:fill="auto"/>
              </w:rPr>
              <w:t>6</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服务质量保证情况（综合评定）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 xml:space="preserve">根据出行服务、人性化服务、与地接人员衔接服务、安排入住酒店、用餐服务等与本次疗休养有关的服务质量情况综合评定。 </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kern w:val="2"/>
                <w:sz w:val="24"/>
                <w:szCs w:val="24"/>
                <w:highlight w:val="none"/>
                <w:shd w:val="clear" w:color="auto" w:fill="auto"/>
                <w:lang w:val="en-US" w:eastAsia="zh-CN" w:bidi="ar-SA"/>
              </w:rPr>
              <w:t>6</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kinsoku/>
              <w:wordWrap/>
              <w:overflowPunct/>
              <w:topLinePunct w:val="0"/>
              <w:autoSpaceDE/>
              <w:autoSpaceDN/>
              <w:bidi w:val="0"/>
              <w:adjustRightInd/>
              <w:snapToGrid/>
              <w:spacing w:after="0" w:line="400" w:lineRule="exact"/>
              <w:ind w:right="0" w:rightChars="0"/>
              <w:jc w:val="center"/>
              <w:textAlignment w:val="auto"/>
              <w:rPr>
                <w:rFonts w:hint="eastAsia" w:ascii="仿宋" w:hAnsi="仿宋" w:eastAsia="仿宋" w:cs="仿宋"/>
                <w:color w:val="000000"/>
                <w:kern w:val="0"/>
                <w:sz w:val="24"/>
                <w:shd w:val="clear" w:color="auto" w:fill="auto"/>
              </w:rPr>
            </w:pPr>
            <w:r>
              <w:rPr>
                <w:rFonts w:hint="eastAsia" w:ascii="仿宋" w:hAnsi="仿宋" w:eastAsia="仿宋" w:cs="仿宋"/>
                <w:color w:val="auto"/>
                <w:sz w:val="24"/>
                <w:szCs w:val="24"/>
                <w:highlight w:val="none"/>
                <w:lang w:val="en-US" w:eastAsia="zh-CN"/>
              </w:rPr>
              <w:t>7</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szCs w:val="24"/>
                <w:highlight w:val="none"/>
                <w:lang w:val="en-US" w:eastAsia="zh-CN"/>
              </w:rPr>
              <w:t>安全保障措施（综合评定）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szCs w:val="24"/>
                <w:highlight w:val="none"/>
                <w:lang w:val="en-US" w:eastAsia="zh-CN"/>
              </w:rPr>
              <w:t>投标人提供详细的突发事件处理方案、疫情应对措施、安防措施、投诉、纠纷处理方案。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lang w:val="en-US" w:eastAsia="zh-CN"/>
              </w:rPr>
              <w:t>6</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kinsoku/>
              <w:wordWrap/>
              <w:overflowPunct/>
              <w:topLinePunct w:val="0"/>
              <w:autoSpaceDE/>
              <w:autoSpaceDN/>
              <w:bidi w:val="0"/>
              <w:adjustRightInd/>
              <w:snapToGrid/>
              <w:spacing w:after="0" w:line="400" w:lineRule="exact"/>
              <w:ind w:right="0" w:rightChars="0"/>
              <w:jc w:val="center"/>
              <w:textAlignment w:val="auto"/>
              <w:rPr>
                <w:rFonts w:hint="eastAsia" w:ascii="仿宋" w:hAnsi="仿宋" w:eastAsia="仿宋" w:cs="仿宋"/>
                <w:color w:val="000000"/>
                <w:kern w:val="0"/>
                <w:sz w:val="24"/>
                <w:shd w:val="clear" w:color="auto" w:fill="auto"/>
                <w:lang w:val="en-US" w:eastAsia="zh-CN"/>
              </w:rPr>
            </w:pPr>
            <w:r>
              <w:rPr>
                <w:rFonts w:hint="eastAsia" w:ascii="仿宋" w:hAnsi="仿宋" w:eastAsia="仿宋" w:cs="仿宋"/>
                <w:color w:val="auto"/>
                <w:sz w:val="24"/>
                <w:szCs w:val="24"/>
                <w:highlight w:val="none"/>
                <w:lang w:val="en-US" w:eastAsia="zh-CN"/>
              </w:rPr>
              <w:t>8</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服务承诺（综合评定）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szCs w:val="24"/>
                <w:highlight w:val="none"/>
                <w:lang w:val="en-US" w:eastAsia="zh-CN"/>
              </w:rPr>
              <w:t>投标人能够提供方便、快捷、本地化服务能力等服务优势进行综合评定。</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sz w:val="24"/>
                <w:szCs w:val="24"/>
                <w:highlight w:val="none"/>
                <w:lang w:val="en-US" w:eastAsia="zh-CN"/>
              </w:rPr>
              <w:t>6</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kinsoku/>
              <w:wordWrap/>
              <w:overflowPunct/>
              <w:topLinePunct w:val="0"/>
              <w:autoSpaceDE/>
              <w:autoSpaceDN/>
              <w:bidi w:val="0"/>
              <w:adjustRightInd/>
              <w:snapToGrid/>
              <w:spacing w:after="0" w:line="400" w:lineRule="exact"/>
              <w:ind w:right="0" w:rightChars="0"/>
              <w:jc w:val="center"/>
              <w:textAlignment w:val="auto"/>
              <w:rPr>
                <w:rFonts w:hint="eastAsia" w:ascii="仿宋" w:hAnsi="仿宋" w:eastAsia="仿宋" w:cs="仿宋"/>
                <w:color w:val="000000"/>
                <w:kern w:val="0"/>
                <w:sz w:val="24"/>
                <w:szCs w:val="24"/>
                <w:shd w:val="clear" w:color="auto" w:fill="auto"/>
                <w:lang w:val="en-US" w:eastAsia="zh-CN" w:bidi="ar-SA"/>
              </w:rPr>
            </w:pPr>
            <w:r>
              <w:rPr>
                <w:rFonts w:hint="eastAsia" w:ascii="仿宋" w:hAnsi="仿宋" w:eastAsia="仿宋" w:cs="仿宋"/>
                <w:color w:val="auto"/>
                <w:sz w:val="24"/>
                <w:szCs w:val="24"/>
                <w:highlight w:val="none"/>
                <w:lang w:val="en-US" w:eastAsia="zh-CN"/>
              </w:rPr>
              <w:t>9</w:t>
            </w:r>
          </w:p>
        </w:tc>
        <w:tc>
          <w:tcPr>
            <w:tcW w:w="198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增值服务（综合评定）</w:t>
            </w:r>
          </w:p>
        </w:tc>
        <w:tc>
          <w:tcPr>
            <w:tcW w:w="446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auto"/>
                <w:sz w:val="24"/>
                <w:highlight w:val="none"/>
                <w:shd w:val="clear" w:color="auto" w:fill="auto"/>
                <w:lang w:val="en-US" w:eastAsia="zh-CN"/>
              </w:rPr>
            </w:pPr>
            <w:bookmarkStart w:id="526" w:name="_GoBack"/>
            <w:r>
              <w:rPr>
                <w:rFonts w:hint="eastAsia" w:ascii="仿宋" w:hAnsi="仿宋" w:eastAsia="仿宋" w:cs="仿宋"/>
                <w:color w:val="auto"/>
                <w:sz w:val="24"/>
                <w:szCs w:val="24"/>
                <w:highlight w:val="none"/>
                <w:lang w:val="en-US" w:eastAsia="zh-CN"/>
              </w:rPr>
              <w:t>增值</w:t>
            </w:r>
            <w:r>
              <w:rPr>
                <w:rFonts w:hint="eastAsia" w:ascii="仿宋" w:hAnsi="仿宋" w:eastAsia="仿宋" w:cs="仿宋"/>
                <w:color w:val="auto"/>
                <w:sz w:val="24"/>
                <w:szCs w:val="24"/>
                <w:highlight w:val="none"/>
                <w:lang w:val="zh-CN" w:eastAsia="zh-CN"/>
              </w:rPr>
              <w:t>（特色）</w:t>
            </w:r>
            <w:r>
              <w:rPr>
                <w:rFonts w:hint="eastAsia" w:ascii="仿宋" w:hAnsi="仿宋" w:eastAsia="仿宋" w:cs="仿宋"/>
                <w:color w:val="auto"/>
                <w:sz w:val="24"/>
                <w:szCs w:val="24"/>
                <w:highlight w:val="none"/>
                <w:lang w:val="en-US" w:eastAsia="zh-CN"/>
              </w:rPr>
              <w:t>服务、优惠措施等进行综合评定</w:t>
            </w:r>
            <w:bookmarkEnd w:id="526"/>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sz w:val="24"/>
                <w:szCs w:val="24"/>
                <w:highlight w:val="none"/>
                <w:lang w:val="en-US" w:eastAsia="zh-CN"/>
              </w:rPr>
              <w:t>6</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lang w:val="en-US" w:eastAsia="zh-CN"/>
              </w:rPr>
              <w:t>主观分</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仿宋_GB2312"/>
          <w:b/>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keepNext w:val="0"/>
        <w:keepLines w:val="0"/>
        <w:pageBreakBefore w:val="0"/>
        <w:widowControl/>
        <w:kinsoku/>
        <w:wordWrap/>
        <w:overflowPunct/>
        <w:topLinePunct w:val="0"/>
        <w:autoSpaceDE/>
        <w:autoSpaceDN/>
        <w:bidi w:val="0"/>
        <w:adjustRightInd/>
        <w:snapToGrid/>
        <w:spacing w:line="240" w:lineRule="auto"/>
        <w:textAlignment w:val="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line="240" w:lineRule="auto"/>
        <w:textAlignment w:val="auto"/>
        <w:rPr>
          <w:rFonts w:cs="仿宋_GB2312"/>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价格分（</w:t>
      </w:r>
      <w:r>
        <w:rPr>
          <w:rFonts w:hint="eastAsia" w:cs="仿宋_GB2312"/>
          <w:color w:val="000000" w:themeColor="text1"/>
          <w:sz w:val="24"/>
          <w:lang w:val="en-US" w:eastAsia="zh-CN"/>
          <w14:textFill>
            <w14:solidFill>
              <w14:schemeClr w14:val="tx1"/>
            </w14:solidFill>
          </w14:textFill>
        </w:rPr>
        <w:t>10</w:t>
      </w:r>
      <w:r>
        <w:rPr>
          <w:rFonts w:hint="eastAsia" w:ascii="仿宋" w:hAnsi="仿宋" w:eastAsia="仿宋" w:cs="仿宋_GB2312"/>
          <w:color w:val="000000" w:themeColor="text1"/>
          <w:sz w:val="24"/>
          <w14:textFill>
            <w14:solidFill>
              <w14:schemeClr w14:val="tx1"/>
            </w14:solidFill>
          </w14:textFill>
        </w:rPr>
        <w:t>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价格权值</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0.</w:t>
            </w:r>
            <w:r>
              <w:rPr>
                <w:rFonts w:hint="eastAsia" w:cs="仿宋_GB2312"/>
                <w:color w:val="000000" w:themeColor="text1"/>
                <w:sz w:val="24"/>
                <w:lang w:val="en-US" w:eastAsia="zh-CN"/>
                <w14:textFill>
                  <w14:solidFill>
                    <w14:schemeClr w14:val="tx1"/>
                  </w14:solidFill>
                </w14:textFill>
              </w:rPr>
              <w:t>10</w:t>
            </w:r>
          </w:p>
        </w:tc>
        <w:tc>
          <w:tcPr>
            <w:tcW w:w="6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最低有效投标价格为评标基准价</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投标报价得分</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评标基准价／投标报价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×价格权值×</w:t>
            </w:r>
            <w:r>
              <w:rPr>
                <w:rFonts w:ascii="仿宋" w:hAnsi="仿宋" w:eastAsia="仿宋" w:cs="仿宋_GB2312"/>
                <w:color w:val="000000" w:themeColor="text1"/>
                <w:sz w:val="24"/>
                <w14:textFill>
                  <w14:solidFill>
                    <w14:schemeClr w14:val="tx1"/>
                  </w14:solidFill>
                </w14:textFill>
              </w:rPr>
              <w:t xml:space="preserve">100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（计算得分保留小数点后</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位）</w:t>
            </w:r>
          </w:p>
        </w:tc>
      </w:tr>
    </w:tbl>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5"/>
      </w:pPr>
      <w:r>
        <w:rPr>
          <w:rFonts w:hint="eastAsia"/>
        </w:rPr>
        <w:t>一、评标方法</w:t>
      </w:r>
    </w:p>
    <w:p>
      <w:pPr>
        <w:spacing w:line="360" w:lineRule="auto"/>
        <w:ind w:firstLine="472" w:firstLineChars="196"/>
        <w:rPr>
          <w:rFonts w:ascii="仿宋_GB2312" w:eastAsia="仿宋_GB2312" w:cs="Arial"/>
        </w:rPr>
      </w:pPr>
      <w:r>
        <w:rPr>
          <w:rStyle w:val="32"/>
        </w:rPr>
        <w:t>1.</w:t>
      </w:r>
      <w:r>
        <w:rPr>
          <w:rStyle w:val="32"/>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5"/>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2"/>
        </w:rPr>
        <w:t xml:space="preserve">2. </w:t>
      </w:r>
      <w:r>
        <w:rPr>
          <w:rStyle w:val="32"/>
          <w:rFonts w:hint="eastAsia"/>
        </w:rPr>
        <w:t>评标标准：</w:t>
      </w:r>
      <w:r>
        <w:rPr>
          <w:rFonts w:hint="eastAsia" w:ascii="仿宋_GB2312" w:eastAsia="仿宋_GB2312" w:cs="Arial"/>
        </w:rPr>
        <w:t>见评标办法前附表。</w:t>
      </w:r>
    </w:p>
    <w:p>
      <w:pPr>
        <w:pStyle w:val="5"/>
      </w:pPr>
      <w:r>
        <w:rPr>
          <w:rFonts w:hint="eastAsia"/>
        </w:rPr>
        <w:t>三、评标程序</w:t>
      </w:r>
    </w:p>
    <w:p>
      <w:pPr>
        <w:spacing w:line="360" w:lineRule="auto"/>
        <w:ind w:firstLine="472" w:firstLineChars="196"/>
        <w:rPr>
          <w:rFonts w:ascii="仿宋_GB2312" w:eastAsia="仿宋_GB2312" w:cs="Arial"/>
        </w:rPr>
      </w:pPr>
      <w:r>
        <w:rPr>
          <w:rStyle w:val="32"/>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2"/>
        </w:rPr>
        <w:t xml:space="preserve">3.2 </w:t>
      </w:r>
      <w:r>
        <w:rPr>
          <w:rStyle w:val="32"/>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2"/>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6"/>
        <w:ind w:firstLine="482" w:firstLineChars="200"/>
      </w:pPr>
      <w:r>
        <w:t>3.4报价评审。</w:t>
      </w:r>
    </w:p>
    <w:p>
      <w:pPr>
        <w:pStyle w:val="56"/>
      </w:pPr>
      <w:r>
        <w:t>3.4.1投标文件报价出现前后不一致的，按照下列规定修正：</w:t>
      </w:r>
    </w:p>
    <w:p>
      <w:pPr>
        <w:pStyle w:val="56"/>
      </w:pPr>
      <w:r>
        <w:t>3.4.1.1投标文件中开标一览表(报价表)内容与投标文件中相应内容不一致的，以开标一览表(报价表)为准;</w:t>
      </w:r>
    </w:p>
    <w:p>
      <w:pPr>
        <w:pStyle w:val="56"/>
      </w:pPr>
      <w:r>
        <w:t>3.4.1.2大写金额和小写金额不一致的，以大写金额为准;</w:t>
      </w:r>
    </w:p>
    <w:p>
      <w:pPr>
        <w:pStyle w:val="56"/>
      </w:pPr>
      <w:r>
        <w:t>3.4.1.3单价金额小数点或者百分比有明显错位的，以开标一览表的总价为准，并修改单价;</w:t>
      </w:r>
    </w:p>
    <w:p>
      <w:pPr>
        <w:pStyle w:val="56"/>
      </w:pPr>
      <w:r>
        <w:t>3.4.1.4总价金额与按单价汇总金额不一致的，以单价金额计算结果为准。</w:t>
      </w:r>
    </w:p>
    <w:p>
      <w:pPr>
        <w:pStyle w:val="56"/>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6"/>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6"/>
      </w:pPr>
      <w:r>
        <w:t>3.4.5</w:t>
      </w:r>
      <w:r>
        <w:rPr>
          <w:rFonts w:hint="eastAsia"/>
        </w:rP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lang w:val="en-US" w:eastAsia="zh-CN"/>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2"/>
        </w:rPr>
        <w:t>3.5</w:t>
      </w:r>
      <w:r>
        <w:rPr>
          <w:rStyle w:val="32"/>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2"/>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5"/>
      </w:pPr>
      <w:r>
        <w:rPr>
          <w:rFonts w:hint="eastAsia"/>
        </w:rPr>
        <w:t>四、评标中的其他事项</w:t>
      </w:r>
    </w:p>
    <w:p>
      <w:pPr>
        <w:pStyle w:val="56"/>
      </w:pPr>
      <w:r>
        <w:rPr>
          <w:rStyle w:val="32"/>
        </w:rPr>
        <w:t>4.1</w:t>
      </w:r>
      <w:r>
        <w:rPr>
          <w:rStyle w:val="32"/>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1021" w:leftChars="226" w:hanging="479" w:firstLineChars="0"/>
        <w:rPr>
          <w:rFonts w:ascii="仿宋_GB2312" w:hAnsi="仿宋" w:eastAsia="仿宋_GB2312" w:cs="仿宋_GB2312"/>
          <w:szCs w:val="21"/>
        </w:rPr>
      </w:pPr>
      <w:r>
        <w:rPr>
          <w:rStyle w:val="32"/>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4.2.12投标人仅提交备份投标文件，</w:t>
      </w:r>
      <w:r>
        <w:rPr>
          <w:rFonts w:hint="eastAsia" w:ascii="仿宋_GB2312" w:eastAsia="仿宋_GB2312" w:cs="Arial"/>
          <w:color w:val="000000" w:themeColor="text1"/>
          <w14:textFill>
            <w14:solidFill>
              <w14:schemeClr w14:val="tx1"/>
            </w14:solidFill>
          </w14:textFill>
        </w:rPr>
        <w:t>未</w:t>
      </w:r>
      <w:r>
        <w:rPr>
          <w:rFonts w:ascii="仿宋_GB2312" w:eastAsia="仿宋_GB2312" w:cs="Arial"/>
          <w:color w:val="000000" w:themeColor="text1"/>
          <w14:textFill>
            <w14:solidFill>
              <w14:schemeClr w14:val="tx1"/>
            </w14:solidFill>
          </w14:textFil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Style w:val="32"/>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Style w:val="32"/>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Style w:val="32"/>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cs="仿宋_GB2312"/>
          <w:kern w:val="2"/>
        </w:rPr>
      </w:pPr>
      <w:r>
        <w:rPr>
          <w:rFonts w:ascii="仿宋_GB2312" w:eastAsia="仿宋_GB2312" w:cs="仿宋_GB2312"/>
        </w:rPr>
        <w:br w:type="page"/>
      </w:r>
    </w:p>
    <w:p>
      <w:pPr>
        <w:pStyle w:val="4"/>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5"/>
      </w:pPr>
      <w:r>
        <w:rPr>
          <w:rFonts w:hint="eastAsia"/>
          <w:lang w:eastAsia="zh-CN"/>
        </w:rPr>
        <w:t>服务</w:t>
      </w:r>
      <w:r>
        <w:t>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2"/>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w:t>
      </w:r>
      <w:r>
        <w:rPr>
          <w:rFonts w:hint="eastAsia" w:ascii="仿宋_GB2312" w:eastAsia="仿宋_GB2312" w:cs="仿宋_GB2312"/>
          <w:b/>
          <w:sz w:val="36"/>
          <w:szCs w:val="36"/>
          <w:lang w:eastAsia="zh-CN"/>
        </w:rPr>
        <w:t>服务</w:t>
      </w:r>
      <w:r>
        <w:rPr>
          <w:rFonts w:hint="eastAsia" w:ascii="仿宋_GB2312" w:eastAsia="仿宋_GB2312" w:cs="仿宋_GB2312"/>
          <w:b/>
          <w:sz w:val="36"/>
          <w:szCs w:val="36"/>
        </w:rPr>
        <w:t>类）</w:t>
      </w:r>
    </w:p>
    <w:p>
      <w:pPr>
        <w:pStyle w:val="67"/>
        <w:ind w:left="480"/>
        <w:rPr>
          <w:rFonts w:ascii="仿宋" w:hAnsi="仿宋" w:eastAsia="仿宋"/>
          <w:szCs w:val="24"/>
        </w:rPr>
      </w:pPr>
    </w:p>
    <w:p>
      <w:pPr>
        <w:pStyle w:val="67"/>
        <w:ind w:left="0" w:leftChars="0" w:firstLine="0" w:firstLineChars="0"/>
        <w:jc w:val="both"/>
        <w:rPr>
          <w:rFonts w:ascii="仿宋" w:hAnsi="仿宋" w:eastAsia="仿宋"/>
          <w:szCs w:val="24"/>
        </w:rPr>
      </w:pPr>
    </w:p>
    <w:p>
      <w:pPr>
        <w:pStyle w:val="67"/>
        <w:ind w:left="480"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7"/>
        <w:ind w:left="0" w:leftChars="0" w:firstLine="0" w:firstLineChars="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6"/>
        <w:spacing w:before="120" w:line="22" w:lineRule="atLeast"/>
        <w:rPr>
          <w:rFonts w:ascii="仿宋" w:hAnsi="仿宋" w:eastAsia="仿宋"/>
          <w:szCs w:val="24"/>
        </w:rPr>
      </w:pPr>
    </w:p>
    <w:p>
      <w:pPr>
        <w:pStyle w:val="66"/>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5" w:type="default"/>
          <w:footerReference r:id="rId6"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spacing w:line="560" w:lineRule="exact"/>
        <w:ind w:firstLine="482" w:firstLineChars="200"/>
        <w:outlineLvl w:val="0"/>
        <w:rPr>
          <w:b/>
        </w:rPr>
      </w:pPr>
      <w:bookmarkStart w:id="367" w:name="_Toc24059"/>
      <w:bookmarkStart w:id="368" w:name="_Toc3029"/>
      <w:bookmarkStart w:id="369" w:name="_Toc2232"/>
      <w:r>
        <w:rPr>
          <w:b/>
        </w:rPr>
        <w:t xml:space="preserve">1.1 </w:t>
      </w:r>
      <w:r>
        <w:rPr>
          <w:rFonts w:hint="eastAsia"/>
          <w:b/>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spacing w:line="560" w:lineRule="exact"/>
        <w:ind w:firstLine="482" w:firstLineChars="200"/>
        <w:outlineLvl w:val="0"/>
        <w:rPr>
          <w:b/>
        </w:rPr>
      </w:pPr>
      <w:bookmarkStart w:id="370" w:name="_Toc24300"/>
      <w:bookmarkStart w:id="371" w:name="_Toc27126"/>
      <w:bookmarkStart w:id="372" w:name="_Toc21295"/>
      <w:r>
        <w:rPr>
          <w:b/>
        </w:rPr>
        <w:t xml:space="preserve">1.2 </w:t>
      </w:r>
      <w:r>
        <w:rPr>
          <w:rFonts w:hint="eastAsia"/>
          <w:b/>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spacing w:line="560" w:lineRule="exact"/>
        <w:ind w:firstLine="482" w:firstLineChars="200"/>
        <w:outlineLvl w:val="0"/>
        <w:rPr>
          <w:b/>
        </w:rPr>
      </w:pPr>
      <w:bookmarkStart w:id="373" w:name="_Toc21631"/>
      <w:bookmarkStart w:id="374" w:name="_Toc23292"/>
      <w:bookmarkStart w:id="375" w:name="_Toc21551"/>
      <w:r>
        <w:rPr>
          <w:b/>
        </w:rPr>
        <w:t xml:space="preserve">1.3 </w:t>
      </w:r>
      <w:r>
        <w:rPr>
          <w:rFonts w:hint="eastAsia"/>
          <w:b/>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bl>
    <w:p>
      <w:pPr>
        <w:spacing w:line="560" w:lineRule="exact"/>
        <w:ind w:firstLine="482" w:firstLineChars="200"/>
        <w:outlineLvl w:val="0"/>
        <w:rPr>
          <w:b/>
        </w:rPr>
      </w:pPr>
      <w:bookmarkStart w:id="376" w:name="_Toc22618"/>
      <w:bookmarkStart w:id="377" w:name="_Toc10340"/>
      <w:bookmarkStart w:id="378" w:name="_Toc1814"/>
      <w:r>
        <w:rPr>
          <w:b/>
        </w:rPr>
        <w:t xml:space="preserve">1.4 </w:t>
      </w:r>
      <w:r>
        <w:rPr>
          <w:rFonts w:hint="eastAsia"/>
          <w:b/>
        </w:rPr>
        <w:t>付款</w:t>
      </w:r>
      <w:bookmarkEnd w:id="376"/>
      <w:bookmarkEnd w:id="377"/>
      <w:bookmarkEnd w:id="378"/>
      <w:r>
        <w:rPr>
          <w:rFonts w:hint="eastAsia"/>
          <w:b/>
        </w:rPr>
        <w:t>方式、时间和条件</w:t>
      </w:r>
    </w:p>
    <w:p>
      <w:pPr>
        <w:pStyle w:val="6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pPr>
        <w:spacing w:line="560" w:lineRule="exact"/>
        <w:ind w:firstLine="480" w:firstLineChars="200"/>
        <w:outlineLvl w:val="0"/>
      </w:pPr>
      <w:r>
        <w:t>1.4.4资金支付的方式、时间和条件详见</w:t>
      </w:r>
      <w:r>
        <w:rPr>
          <w:rFonts w:hint="eastAsia"/>
          <w:b/>
          <w:i/>
          <w:u w:val="single"/>
        </w:rPr>
        <w:t>合同专用条款</w:t>
      </w:r>
      <w:r>
        <w:rPr>
          <w:rFonts w:hint="eastAsia"/>
        </w:rPr>
        <w:t>。</w:t>
      </w:r>
    </w:p>
    <w:p>
      <w:pPr>
        <w:spacing w:line="560" w:lineRule="exact"/>
        <w:ind w:firstLine="480" w:firstLineChars="200"/>
        <w:outlineLvl w:val="0"/>
      </w:pPr>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spacing w:line="560" w:lineRule="exact"/>
        <w:ind w:firstLine="482" w:firstLineChars="200"/>
        <w:outlineLvl w:val="0"/>
        <w:rPr>
          <w:b/>
        </w:rPr>
      </w:pPr>
      <w:bookmarkStart w:id="379" w:name="_Toc19304"/>
      <w:bookmarkStart w:id="380" w:name="_Toc32071"/>
      <w:bookmarkStart w:id="381" w:name="_Toc2846"/>
      <w:r>
        <w:rPr>
          <w:b/>
        </w:rPr>
        <w:t xml:space="preserve">1.5 </w:t>
      </w:r>
      <w:r>
        <w:rPr>
          <w:rFonts w:hint="eastAsia"/>
          <w:b/>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spacing w:line="560" w:lineRule="exact"/>
        <w:ind w:firstLine="482" w:firstLineChars="200"/>
        <w:outlineLvl w:val="0"/>
        <w:rPr>
          <w:b/>
        </w:rPr>
      </w:pPr>
      <w:bookmarkStart w:id="382" w:name="_Toc21423"/>
      <w:bookmarkStart w:id="383" w:name="_Toc19554"/>
      <w:bookmarkStart w:id="384" w:name="_Toc27250"/>
      <w:r>
        <w:rPr>
          <w:b/>
        </w:rPr>
        <w:t xml:space="preserve">1.6 </w:t>
      </w:r>
      <w:r>
        <w:rPr>
          <w:rFonts w:hint="eastAsia"/>
          <w:b/>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spacing w:line="560" w:lineRule="exact"/>
        <w:ind w:firstLine="482" w:firstLineChars="200"/>
        <w:outlineLvl w:val="0"/>
        <w:rPr>
          <w:b/>
        </w:rPr>
      </w:pPr>
      <w:bookmarkStart w:id="385" w:name="_Toc15583"/>
      <w:bookmarkStart w:id="386" w:name="_Toc16021"/>
      <w:bookmarkStart w:id="387" w:name="_Toc28375"/>
      <w:r>
        <w:rPr>
          <w:b/>
        </w:rPr>
        <w:t xml:space="preserve">1.7 </w:t>
      </w:r>
      <w:r>
        <w:rPr>
          <w:rFonts w:hint="eastAsia"/>
          <w:b/>
        </w:rPr>
        <w:t>合同争议的解决</w:t>
      </w:r>
      <w:bookmarkEnd w:id="385"/>
      <w:bookmarkEnd w:id="386"/>
      <w:bookmarkEnd w:id="387"/>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spacing w:line="560" w:lineRule="exact"/>
        <w:ind w:firstLine="482" w:firstLineChars="200"/>
        <w:outlineLvl w:val="0"/>
        <w:rPr>
          <w:b/>
        </w:rPr>
      </w:pPr>
      <w:bookmarkStart w:id="388" w:name="_Toc7245"/>
      <w:bookmarkStart w:id="389" w:name="_Toc15322"/>
      <w:bookmarkStart w:id="390" w:name="_Toc11173"/>
      <w:r>
        <w:rPr>
          <w:b/>
        </w:rPr>
        <w:t xml:space="preserve">1.8 </w:t>
      </w:r>
      <w:r>
        <w:rPr>
          <w:rFonts w:hint="eastAsia"/>
          <w:b/>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67"/>
        <w:spacing w:line="560" w:lineRule="exact"/>
        <w:ind w:left="480"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391"/>
    </w:p>
    <w:p>
      <w:pPr>
        <w:spacing w:line="560" w:lineRule="exact"/>
        <w:ind w:firstLine="482" w:firstLineChars="200"/>
        <w:outlineLvl w:val="0"/>
        <w:rPr>
          <w:b/>
        </w:rPr>
      </w:pPr>
      <w:bookmarkStart w:id="392" w:name="_Ref467379109"/>
      <w:bookmarkStart w:id="393" w:name="_Ref467379205"/>
      <w:bookmarkStart w:id="394" w:name="_Toc28763"/>
      <w:bookmarkStart w:id="395" w:name="_Ref467379214"/>
      <w:bookmarkStart w:id="396" w:name="_Ref467379101"/>
      <w:bookmarkStart w:id="397" w:name="_Toc259093669"/>
      <w:bookmarkStart w:id="398" w:name="_Toc279701240"/>
      <w:bookmarkStart w:id="399" w:name="_Toc16917"/>
      <w:bookmarkStart w:id="400" w:name="_Toc19614"/>
      <w:bookmarkStart w:id="401" w:name="_Ref467378463"/>
      <w:bookmarkStart w:id="402" w:name="_Ref467378404"/>
      <w:bookmarkStart w:id="403" w:name="_Toc487900349"/>
      <w:bookmarkStart w:id="404" w:name="_Ref467379225"/>
      <w:bookmarkStart w:id="405" w:name="_Ref467379094"/>
      <w:bookmarkStart w:id="406" w:name="_Ref467378499"/>
      <w:bookmarkStart w:id="407" w:name="_Ref467379195"/>
      <w:r>
        <w:rPr>
          <w:b/>
        </w:rPr>
        <w:t xml:space="preserve">2.1 </w:t>
      </w:r>
      <w:r>
        <w:rPr>
          <w:rFonts w:hint="eastAsia"/>
          <w:b/>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spacing w:line="560" w:lineRule="exact"/>
        <w:ind w:firstLine="482" w:firstLineChars="200"/>
        <w:outlineLvl w:val="0"/>
        <w:rPr>
          <w:b/>
        </w:rPr>
      </w:pPr>
      <w:bookmarkStart w:id="411" w:name="_Toc279701241"/>
      <w:bookmarkStart w:id="412" w:name="_Toc27635"/>
      <w:bookmarkStart w:id="413" w:name="_Toc32504"/>
      <w:bookmarkStart w:id="414" w:name="_Toc487900350"/>
      <w:bookmarkStart w:id="415" w:name="_Toc13336"/>
      <w:bookmarkStart w:id="416" w:name="_Toc259093670"/>
      <w:r>
        <w:rPr>
          <w:b/>
        </w:rPr>
        <w:t xml:space="preserve">2.2 </w:t>
      </w:r>
      <w:r>
        <w:rPr>
          <w:rFonts w:hint="eastAsia"/>
          <w:b/>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b/>
        </w:rPr>
      </w:pPr>
      <w:bookmarkStart w:id="417" w:name="_Toc9829"/>
      <w:bookmarkStart w:id="418" w:name="_Toc279701242"/>
      <w:bookmarkStart w:id="419" w:name="_Toc31634"/>
      <w:bookmarkStart w:id="420" w:name="_Toc259093671"/>
      <w:bookmarkStart w:id="421" w:name="_Toc27853"/>
      <w:bookmarkStart w:id="422" w:name="_Toc487900351"/>
      <w:r>
        <w:rPr>
          <w:b/>
        </w:rPr>
        <w:t xml:space="preserve">2.3 </w:t>
      </w:r>
      <w:r>
        <w:rPr>
          <w:rFonts w:hint="eastAsia"/>
          <w:b/>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spacing w:line="560" w:lineRule="exact"/>
        <w:ind w:firstLine="482" w:firstLineChars="200"/>
        <w:outlineLvl w:val="0"/>
        <w:rPr>
          <w:b/>
        </w:rPr>
      </w:pPr>
      <w:bookmarkStart w:id="423" w:name="_Toc11932"/>
      <w:bookmarkStart w:id="424" w:name="_Toc4194"/>
      <w:bookmarkStart w:id="425" w:name="_Toc29149"/>
      <w:r>
        <w:rPr>
          <w:b/>
        </w:rPr>
        <w:t xml:space="preserve">2.4 </w:t>
      </w:r>
      <w:r>
        <w:rPr>
          <w:rFonts w:hint="eastAsia"/>
          <w:b/>
        </w:rPr>
        <w:t>包装和装运</w:t>
      </w:r>
      <w:bookmarkEnd w:id="423"/>
      <w:bookmarkEnd w:id="424"/>
      <w:bookmarkEnd w:id="425"/>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spacing w:line="560" w:lineRule="exact"/>
        <w:ind w:firstLine="482" w:firstLineChars="200"/>
        <w:outlineLvl w:val="0"/>
        <w:rPr>
          <w:b/>
        </w:rPr>
      </w:pPr>
      <w:bookmarkStart w:id="426" w:name="_Ref467378591"/>
      <w:bookmarkStart w:id="427" w:name="_Toc279701245"/>
      <w:bookmarkStart w:id="428" w:name="_Ref467379536"/>
      <w:bookmarkStart w:id="429" w:name="_Ref467378541"/>
      <w:bookmarkStart w:id="430" w:name="_Toc259093674"/>
      <w:bookmarkStart w:id="431" w:name="_Ref467379542"/>
      <w:bookmarkStart w:id="432" w:name="_Toc487900354"/>
      <w:bookmarkStart w:id="433" w:name="_Ref467379527"/>
      <w:bookmarkStart w:id="434" w:name="_Toc26182"/>
      <w:bookmarkStart w:id="435" w:name="_Toc19074"/>
      <w:bookmarkStart w:id="436" w:name="_Toc30272"/>
      <w:r>
        <w:rPr>
          <w:b/>
        </w:rPr>
        <w:t>2.</w:t>
      </w:r>
      <w:bookmarkEnd w:id="426"/>
      <w:bookmarkEnd w:id="427"/>
      <w:bookmarkEnd w:id="428"/>
      <w:bookmarkEnd w:id="429"/>
      <w:bookmarkEnd w:id="430"/>
      <w:bookmarkEnd w:id="431"/>
      <w:bookmarkEnd w:id="432"/>
      <w:bookmarkEnd w:id="433"/>
      <w:r>
        <w:rPr>
          <w:b/>
        </w:rPr>
        <w:t xml:space="preserve">5 </w:t>
      </w:r>
      <w:r>
        <w:rPr>
          <w:rFonts w:hint="eastAsia"/>
          <w:b/>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Toc487900357"/>
      <w:bookmarkStart w:id="440" w:name="_Toc259093676"/>
      <w:bookmarkStart w:id="441" w:name="_Ref467379807"/>
      <w:bookmarkStart w:id="442" w:name="_Ref467379793"/>
      <w:bookmarkStart w:id="443" w:name="_Toc27970124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spacing w:line="560" w:lineRule="exact"/>
        <w:ind w:firstLine="482" w:firstLineChars="200"/>
        <w:outlineLvl w:val="0"/>
        <w:rPr>
          <w:b/>
        </w:rPr>
      </w:pPr>
      <w:bookmarkStart w:id="445" w:name="_Ref467379863"/>
      <w:bookmarkStart w:id="446" w:name="_Toc279701248"/>
      <w:bookmarkStart w:id="447" w:name="_Toc487900358"/>
      <w:bookmarkStart w:id="448" w:name="_Ref467379852"/>
      <w:bookmarkStart w:id="449" w:name="_Toc259093677"/>
      <w:bookmarkStart w:id="450" w:name="_Ref467379923"/>
      <w:bookmarkStart w:id="451" w:name="_Toc16110"/>
      <w:bookmarkStart w:id="452" w:name="_Toc774"/>
      <w:bookmarkStart w:id="453" w:name="_Toc3225"/>
      <w:r>
        <w:rPr>
          <w:b/>
        </w:rPr>
        <w:t xml:space="preserve">2.6 </w:t>
      </w:r>
      <w:r>
        <w:rPr>
          <w:rFonts w:hint="eastAsia"/>
          <w:b/>
        </w:rPr>
        <w:t>技术资料</w:t>
      </w:r>
      <w:bookmarkEnd w:id="445"/>
      <w:bookmarkEnd w:id="446"/>
      <w:bookmarkEnd w:id="447"/>
      <w:bookmarkEnd w:id="448"/>
      <w:bookmarkEnd w:id="449"/>
      <w:bookmarkEnd w:id="450"/>
      <w:r>
        <w:rPr>
          <w:rFonts w:hint="eastAsia"/>
          <w:b/>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b/>
        </w:rPr>
      </w:pPr>
      <w:bookmarkStart w:id="454" w:name="_Toc7860"/>
      <w:r>
        <w:rPr>
          <w:b/>
        </w:rPr>
        <w:t xml:space="preserve">2.7 </w:t>
      </w:r>
      <w:r>
        <w:rPr>
          <w:rFonts w:hint="eastAsia"/>
          <w:b/>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b/>
        </w:rPr>
      </w:pPr>
      <w:bookmarkStart w:id="455" w:name="_Toc17244"/>
      <w:bookmarkStart w:id="456" w:name="_Toc279701252"/>
      <w:bookmarkStart w:id="457" w:name="_Toc487900362"/>
      <w:bookmarkStart w:id="458" w:name="_Toc259093681"/>
      <w:r>
        <w:rPr>
          <w:b/>
        </w:rPr>
        <w:t xml:space="preserve">2.8 </w:t>
      </w:r>
      <w:r>
        <w:rPr>
          <w:rFonts w:hint="eastAsia"/>
          <w:b/>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spacing w:line="560" w:lineRule="exact"/>
        <w:ind w:firstLine="482" w:firstLineChars="200"/>
        <w:outlineLvl w:val="0"/>
        <w:rPr>
          <w:b/>
        </w:rPr>
      </w:pPr>
      <w:bookmarkStart w:id="459" w:name="_Toc14055"/>
      <w:r>
        <w:rPr>
          <w:b/>
        </w:rPr>
        <w:t xml:space="preserve">2.9 </w:t>
      </w:r>
      <w:r>
        <w:rPr>
          <w:rFonts w:hint="eastAsia"/>
          <w:b/>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b/>
        </w:rPr>
      </w:pPr>
      <w:bookmarkStart w:id="460" w:name="_Toc7502"/>
      <w:bookmarkStart w:id="461" w:name="_Ref467378121"/>
      <w:bookmarkStart w:id="462" w:name="_Toc279701254"/>
      <w:bookmarkStart w:id="463" w:name="_Toc259093683"/>
      <w:bookmarkStart w:id="464" w:name="_Toc487900364"/>
      <w:r>
        <w:rPr>
          <w:b/>
        </w:rPr>
        <w:t xml:space="preserve">2.10 </w:t>
      </w:r>
      <w:r>
        <w:rPr>
          <w:rFonts w:hint="eastAsia"/>
          <w:b/>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279701259"/>
      <w:bookmarkStart w:id="466" w:name="_Toc487900369"/>
      <w:bookmarkStart w:id="467" w:name="_Toc259093688"/>
    </w:p>
    <w:p>
      <w:pPr>
        <w:spacing w:line="560" w:lineRule="exact"/>
        <w:ind w:firstLine="482" w:firstLineChars="200"/>
        <w:outlineLvl w:val="0"/>
        <w:rPr>
          <w:b/>
        </w:rPr>
      </w:pPr>
      <w:bookmarkStart w:id="468" w:name="_Toc15237"/>
      <w:bookmarkStart w:id="469" w:name="_Toc10366"/>
      <w:bookmarkStart w:id="470" w:name="_Toc22955"/>
      <w:r>
        <w:rPr>
          <w:b/>
        </w:rPr>
        <w:t xml:space="preserve">2.11 </w:t>
      </w:r>
      <w:r>
        <w:rPr>
          <w:rFonts w:hint="eastAsia"/>
          <w:b/>
        </w:rPr>
        <w:t>合同转让</w:t>
      </w:r>
      <w:bookmarkEnd w:id="465"/>
      <w:bookmarkEnd w:id="466"/>
      <w:bookmarkEnd w:id="467"/>
      <w:r>
        <w:rPr>
          <w:rFonts w:hint="eastAsia"/>
          <w:b/>
        </w:rPr>
        <w:t>和分包</w:t>
      </w:r>
      <w:bookmarkEnd w:id="468"/>
      <w:bookmarkEnd w:id="469"/>
      <w:bookmarkEnd w:id="470"/>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spacing w:line="560" w:lineRule="exact"/>
        <w:ind w:firstLine="482" w:firstLineChars="200"/>
        <w:outlineLvl w:val="0"/>
        <w:rPr>
          <w:b/>
        </w:rPr>
      </w:pPr>
      <w:bookmarkStart w:id="471" w:name="_Toc16508"/>
      <w:bookmarkStart w:id="472" w:name="_Toc14066"/>
      <w:bookmarkStart w:id="473" w:name="_Toc13566"/>
      <w:r>
        <w:rPr>
          <w:b/>
        </w:rPr>
        <w:t xml:space="preserve">2.12 </w:t>
      </w:r>
      <w:r>
        <w:rPr>
          <w:rFonts w:hint="eastAsia"/>
          <w:b/>
        </w:rPr>
        <w:t>不可抗力</w:t>
      </w:r>
      <w:bookmarkEnd w:id="471"/>
      <w:bookmarkEnd w:id="472"/>
      <w:bookmarkEnd w:id="473"/>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spacing w:line="560" w:lineRule="exact"/>
        <w:ind w:firstLine="482" w:firstLineChars="200"/>
        <w:outlineLvl w:val="0"/>
        <w:rPr>
          <w:b/>
        </w:rPr>
      </w:pPr>
      <w:bookmarkStart w:id="474" w:name="_Toc6969"/>
      <w:bookmarkStart w:id="475" w:name="_Toc689"/>
      <w:bookmarkStart w:id="476" w:name="_Toc259093684"/>
      <w:bookmarkStart w:id="477" w:name="_Toc487900365"/>
      <w:bookmarkStart w:id="478" w:name="_Toc30676"/>
      <w:bookmarkStart w:id="479" w:name="_Toc279701255"/>
      <w:r>
        <w:rPr>
          <w:b/>
        </w:rPr>
        <w:t xml:space="preserve">2.13 </w:t>
      </w:r>
      <w:r>
        <w:rPr>
          <w:rFonts w:hint="eastAsia"/>
          <w:b/>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spacing w:line="560" w:lineRule="exact"/>
        <w:ind w:firstLine="482" w:firstLineChars="200"/>
        <w:outlineLvl w:val="0"/>
        <w:rPr>
          <w:b/>
        </w:rPr>
      </w:pPr>
      <w:bookmarkStart w:id="480" w:name="_Toc7102"/>
      <w:bookmarkStart w:id="481" w:name="_Toc279701258"/>
      <w:bookmarkStart w:id="482" w:name="_Toc8298"/>
      <w:bookmarkStart w:id="483" w:name="_Toc16959"/>
      <w:bookmarkStart w:id="484" w:name="_Toc259093687"/>
      <w:bookmarkStart w:id="485" w:name="_Toc487900368"/>
      <w:r>
        <w:rPr>
          <w:b/>
        </w:rPr>
        <w:t>2.14乙方破产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b/>
        </w:rPr>
      </w:pPr>
      <w:bookmarkStart w:id="486" w:name="_Toc15387"/>
      <w:bookmarkStart w:id="487" w:name="_Toc29333"/>
      <w:bookmarkStart w:id="488" w:name="_Toc6134"/>
      <w:r>
        <w:rPr>
          <w:b/>
        </w:rPr>
        <w:t xml:space="preserve">2.15 </w:t>
      </w:r>
      <w:r>
        <w:rPr>
          <w:rFonts w:hint="eastAsia"/>
          <w:b/>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b/>
        </w:rPr>
      </w:pPr>
      <w:bookmarkStart w:id="489" w:name="_Toc6596"/>
      <w:bookmarkStart w:id="490" w:name="_Toc1125"/>
      <w:bookmarkStart w:id="491" w:name="_Toc14563"/>
      <w:r>
        <w:rPr>
          <w:b/>
        </w:rPr>
        <w:t>2.16检验和验收</w:t>
      </w:r>
      <w:bookmarkEnd w:id="489"/>
      <w:bookmarkEnd w:id="490"/>
      <w:bookmarkEnd w:id="491"/>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spacing w:line="560" w:lineRule="exact"/>
        <w:ind w:firstLine="482" w:firstLineChars="200"/>
        <w:outlineLvl w:val="0"/>
        <w:rPr>
          <w:b/>
        </w:rPr>
      </w:pPr>
      <w:bookmarkStart w:id="492" w:name="_Toc259093690"/>
      <w:bookmarkStart w:id="493" w:name="_Toc487900371"/>
      <w:bookmarkStart w:id="494" w:name="_Toc279701261"/>
      <w:bookmarkStart w:id="495" w:name="_Toc11284"/>
      <w:bookmarkStart w:id="496" w:name="_Toc19604"/>
      <w:bookmarkStart w:id="497" w:name="_Toc25182"/>
      <w:r>
        <w:rPr>
          <w:b/>
        </w:rPr>
        <w:t xml:space="preserve">2.17 </w:t>
      </w:r>
      <w:r>
        <w:rPr>
          <w:rFonts w:hint="eastAsia"/>
          <w:b/>
        </w:rPr>
        <w:t>通知</w:t>
      </w:r>
      <w:bookmarkEnd w:id="492"/>
      <w:bookmarkEnd w:id="493"/>
      <w:bookmarkEnd w:id="494"/>
      <w:r>
        <w:rPr>
          <w:rFonts w:hint="eastAsia"/>
          <w:b/>
        </w:rPr>
        <w:t>和送达</w:t>
      </w:r>
      <w:bookmarkEnd w:id="495"/>
      <w:bookmarkEnd w:id="496"/>
      <w:bookmarkEnd w:id="497"/>
    </w:p>
    <w:p>
      <w:pPr>
        <w:spacing w:line="560" w:lineRule="exact"/>
        <w:ind w:firstLine="480" w:firstLineChars="200"/>
      </w:pPr>
      <w:bookmarkStart w:id="498" w:name="_Toc3135"/>
      <w:bookmarkStart w:id="499" w:name="_Toc6698"/>
      <w:bookmarkStart w:id="500" w:name="_Toc279701262"/>
      <w:bookmarkStart w:id="501" w:name="_Toc259093691"/>
      <w:bookmarkStart w:id="502" w:name="_Toc48790037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highlight w:val="none"/>
        </w:rPr>
      </w:pPr>
      <w:bookmarkStart w:id="503" w:name="_Toc23128"/>
      <w:bookmarkStart w:id="504" w:name="_Toc23294"/>
      <w:r>
        <w:rPr>
          <w:highlight w:val="none"/>
        </w:rPr>
        <w:t>2.17.2以当面交付方式送达的，交付之时视为送达；以电子邮件方式送达的，发出电子邮件之时视为送达；以传真方式送达的，发出传真之时视为送达；以邮寄方式送达</w:t>
      </w:r>
      <w:r>
        <w:rPr>
          <w:rFonts w:hint="eastAsia"/>
          <w:highlight w:val="none"/>
        </w:rPr>
        <w:t>的，邮件挂号寄出或者交邮之日之次日视为送达。</w:t>
      </w:r>
      <w:bookmarkEnd w:id="503"/>
      <w:bookmarkEnd w:id="504"/>
    </w:p>
    <w:p>
      <w:pPr>
        <w:spacing w:line="560" w:lineRule="exact"/>
        <w:ind w:firstLine="482" w:firstLineChars="200"/>
        <w:outlineLvl w:val="0"/>
        <w:rPr>
          <w:b/>
          <w:highlight w:val="none"/>
        </w:rPr>
      </w:pPr>
      <w:bookmarkStart w:id="505" w:name="_Toc30599"/>
      <w:bookmarkStart w:id="506" w:name="_Toc18540"/>
      <w:bookmarkStart w:id="507" w:name="_Toc4355"/>
      <w:r>
        <w:rPr>
          <w:b/>
          <w:highlight w:val="none"/>
        </w:rPr>
        <w:t xml:space="preserve">2.18 </w:t>
      </w:r>
      <w:r>
        <w:rPr>
          <w:rFonts w:hint="eastAsia"/>
          <w:b/>
          <w:highlight w:val="none"/>
        </w:rPr>
        <w:t>计量单位</w:t>
      </w:r>
      <w:bookmarkEnd w:id="500"/>
      <w:bookmarkEnd w:id="501"/>
      <w:bookmarkEnd w:id="502"/>
      <w:bookmarkEnd w:id="505"/>
      <w:bookmarkEnd w:id="506"/>
      <w:bookmarkEnd w:id="507"/>
    </w:p>
    <w:p>
      <w:pPr>
        <w:spacing w:line="560" w:lineRule="exact"/>
        <w:ind w:firstLine="480" w:firstLineChars="200"/>
        <w:rPr>
          <w:highlight w:val="none"/>
        </w:rPr>
      </w:pPr>
      <w:r>
        <w:rPr>
          <w:rFonts w:hint="eastAsia"/>
          <w:highlight w:val="none"/>
        </w:rPr>
        <w:t>除技术规范中另有规定外</w:t>
      </w:r>
      <w:r>
        <w:rPr>
          <w:highlight w:val="none"/>
        </w:rPr>
        <w:t>,合同的计量单位均使用国家法定计量单位。</w:t>
      </w:r>
    </w:p>
    <w:p>
      <w:pPr>
        <w:spacing w:line="560" w:lineRule="exact"/>
        <w:ind w:firstLine="482" w:firstLineChars="200"/>
        <w:outlineLvl w:val="0"/>
        <w:rPr>
          <w:b/>
          <w:highlight w:val="none"/>
        </w:rPr>
      </w:pPr>
      <w:bookmarkStart w:id="508" w:name="_Toc12773"/>
      <w:bookmarkStart w:id="509" w:name="_Toc487900373"/>
      <w:bookmarkStart w:id="510" w:name="_Toc18567"/>
      <w:bookmarkStart w:id="511" w:name="_Toc259093692"/>
      <w:bookmarkStart w:id="512" w:name="_Toc279701263"/>
      <w:bookmarkStart w:id="513" w:name="_Toc10330"/>
      <w:r>
        <w:rPr>
          <w:b/>
          <w:highlight w:val="none"/>
        </w:rPr>
        <w:t xml:space="preserve">2.19 </w:t>
      </w:r>
      <w:r>
        <w:rPr>
          <w:rFonts w:hint="eastAsia"/>
          <w:b/>
          <w:highlight w:val="none"/>
        </w:rPr>
        <w:t>合同使用的文字和适用的法律</w:t>
      </w:r>
      <w:bookmarkEnd w:id="508"/>
      <w:bookmarkEnd w:id="509"/>
      <w:bookmarkEnd w:id="510"/>
      <w:bookmarkEnd w:id="511"/>
      <w:bookmarkEnd w:id="512"/>
      <w:bookmarkEnd w:id="513"/>
    </w:p>
    <w:p>
      <w:pPr>
        <w:spacing w:line="560" w:lineRule="exact"/>
        <w:ind w:firstLine="480" w:firstLineChars="200"/>
        <w:rPr>
          <w:highlight w:val="none"/>
        </w:rPr>
      </w:pPr>
      <w:r>
        <w:rPr>
          <w:highlight w:val="none"/>
        </w:rPr>
        <w:t xml:space="preserve">2.19.1 </w:t>
      </w:r>
      <w:r>
        <w:rPr>
          <w:rFonts w:hint="eastAsia"/>
          <w:highlight w:val="none"/>
        </w:rPr>
        <w:t>合同使用汉语书就、变更和解释；</w:t>
      </w:r>
    </w:p>
    <w:p>
      <w:pPr>
        <w:spacing w:line="560" w:lineRule="exact"/>
        <w:ind w:firstLine="480" w:firstLineChars="200"/>
        <w:rPr>
          <w:highlight w:val="none"/>
        </w:rPr>
      </w:pPr>
      <w:r>
        <w:rPr>
          <w:highlight w:val="none"/>
        </w:rPr>
        <w:t xml:space="preserve">2.19.2 </w:t>
      </w:r>
      <w:r>
        <w:rPr>
          <w:rFonts w:hint="eastAsia"/>
          <w:highlight w:val="none"/>
        </w:rPr>
        <w:t>合同适用中华人民共和国法律。</w:t>
      </w:r>
    </w:p>
    <w:p>
      <w:pPr>
        <w:spacing w:line="560" w:lineRule="exact"/>
        <w:ind w:firstLine="482" w:firstLineChars="200"/>
        <w:outlineLvl w:val="0"/>
        <w:rPr>
          <w:b/>
          <w:highlight w:val="none"/>
        </w:rPr>
      </w:pPr>
      <w:bookmarkStart w:id="514" w:name="_Toc3148"/>
      <w:bookmarkStart w:id="515" w:name="_Toc259093693"/>
      <w:bookmarkStart w:id="516" w:name="_Toc279701264"/>
      <w:bookmarkStart w:id="517" w:name="_Toc16673"/>
      <w:bookmarkStart w:id="518" w:name="_Toc12004"/>
      <w:bookmarkStart w:id="519" w:name="_Toc487900374"/>
      <w:r>
        <w:rPr>
          <w:b/>
          <w:highlight w:val="none"/>
        </w:rPr>
        <w:t xml:space="preserve">2.20 </w:t>
      </w:r>
      <w:r>
        <w:rPr>
          <w:rFonts w:hint="eastAsia"/>
          <w:b/>
          <w:highlight w:val="none"/>
        </w:rPr>
        <w:t>履约保证金</w:t>
      </w:r>
      <w:bookmarkEnd w:id="514"/>
      <w:bookmarkEnd w:id="515"/>
      <w:bookmarkEnd w:id="516"/>
      <w:bookmarkEnd w:id="517"/>
      <w:bookmarkEnd w:id="518"/>
    </w:p>
    <w:p>
      <w:pPr>
        <w:pStyle w:val="68"/>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highlight w:val="yellow"/>
        </w:rPr>
        <w:t>1%</w:t>
      </w:r>
      <w:r>
        <w:rPr>
          <w:rFonts w:hint="eastAsia" w:ascii="仿宋" w:hAnsi="仿宋" w:eastAsia="仿宋"/>
        </w:rPr>
        <w:t>的履约保证金；鼓励和支持乙方以银行、保险公司出具的保函形式提供履约保证，</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5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rPr>
          <w:highlight w:val="none"/>
        </w:rPr>
      </w:pPr>
      <w:r>
        <w:rPr>
          <w:highlight w:val="none"/>
        </w:rPr>
        <w:t xml:space="preserve">2.20.3 </w:t>
      </w:r>
      <w:r>
        <w:rPr>
          <w:rFonts w:hint="eastAsia"/>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highlight w:val="none"/>
        </w:rPr>
      </w:pPr>
      <w:r>
        <w:rPr>
          <w:highlight w:val="none"/>
        </w:rPr>
        <w:t>2.2</w:t>
      </w:r>
      <w:r>
        <w:rPr>
          <w:rFonts w:hint="eastAsia"/>
          <w:highlight w:val="none"/>
        </w:rPr>
        <w:t>0</w:t>
      </w:r>
      <w:r>
        <w:rPr>
          <w:highlight w:val="none"/>
        </w:rPr>
        <w:t>.4</w:t>
      </w:r>
      <w:r>
        <w:rPr>
          <w:rFonts w:hint="eastAsia"/>
          <w:highlight w:val="none"/>
        </w:rPr>
        <w:t> 甲方根据杭州市政府采购网公布的供应商履约评价情况减免履约保证金。乙方履约验收评价总分为</w:t>
      </w:r>
      <w:r>
        <w:rPr>
          <w:highlight w:val="none"/>
        </w:rPr>
        <w:t>100分的，甲方免收履约保证金；评价总分在90分以上的，收取履约保证金</w:t>
      </w:r>
      <w:r>
        <w:rPr>
          <w:rFonts w:hint="eastAsia"/>
          <w:highlight w:val="none"/>
        </w:rPr>
        <w:t>为</w:t>
      </w:r>
      <w:r>
        <w:rPr>
          <w:highlight w:val="none"/>
        </w:rPr>
        <w:t>合同金额2%；评价总分在不满90分或者暂无评分的，收取履约保证金</w:t>
      </w:r>
      <w:r>
        <w:rPr>
          <w:rFonts w:hint="eastAsia"/>
          <w:highlight w:val="none"/>
        </w:rPr>
        <w:t>为</w:t>
      </w:r>
      <w:r>
        <w:rPr>
          <w:highlight w:val="none"/>
        </w:rPr>
        <w:t>合同金额</w:t>
      </w:r>
      <w:r>
        <w:rPr>
          <w:rFonts w:hint="eastAsia"/>
          <w:highlight w:val="none"/>
        </w:rPr>
        <w:t>2.5</w:t>
      </w:r>
      <w:r>
        <w:rPr>
          <w:highlight w:val="none"/>
        </w:rPr>
        <w:t>%。</w:t>
      </w:r>
    </w:p>
    <w:p>
      <w:pPr>
        <w:spacing w:line="560" w:lineRule="exact"/>
        <w:ind w:firstLine="480" w:firstLineChars="200"/>
        <w:rPr>
          <w:highlight w:val="none"/>
        </w:rPr>
      </w:pPr>
      <w:r>
        <w:rPr>
          <w:highlight w:val="none"/>
        </w:rPr>
        <w:t>2.2</w:t>
      </w:r>
      <w:r>
        <w:rPr>
          <w:rFonts w:hint="eastAsia"/>
          <w:highlight w:val="none"/>
        </w:rPr>
        <w:t>0</w:t>
      </w:r>
      <w:r>
        <w:rPr>
          <w:highlight w:val="none"/>
        </w:rPr>
        <w:t>.5</w:t>
      </w:r>
      <w:r>
        <w:rPr>
          <w:rFonts w:hint="eastAsia"/>
          <w:highlight w:val="none"/>
        </w:rPr>
        <w:t>甲方</w:t>
      </w:r>
      <w:r>
        <w:rPr>
          <w:highlight w:val="none"/>
        </w:rPr>
        <w:t>在</w:t>
      </w:r>
      <w:r>
        <w:rPr>
          <w:rFonts w:hint="eastAsia"/>
          <w:highlight w:val="none"/>
        </w:rPr>
        <w:t>乙方</w:t>
      </w:r>
      <w:r>
        <w:rPr>
          <w:highlight w:val="none"/>
        </w:rPr>
        <w:t>履行完合同约定义务事项后及时退还，延迟退还的，应当按照合同约定和法律规定承担相应的赔偿责任。</w:t>
      </w:r>
    </w:p>
    <w:p>
      <w:pPr>
        <w:spacing w:line="560" w:lineRule="exact"/>
        <w:ind w:firstLine="480" w:firstLineChars="200"/>
        <w:rPr>
          <w:highlight w:val="none"/>
        </w:rPr>
      </w:pPr>
      <w:r>
        <w:rPr>
          <w:highlight w:val="none"/>
        </w:rPr>
        <w:t>2.2</w:t>
      </w:r>
      <w:r>
        <w:rPr>
          <w:rFonts w:hint="eastAsia"/>
          <w:highlight w:val="none"/>
        </w:rPr>
        <w:t>1</w:t>
      </w:r>
      <w:r>
        <w:rPr>
          <w:highlight w:val="none"/>
        </w:rPr>
        <w:t>对于因甲方原因导致变更、中止或者终止政府采购合同的，甲方应当依照合同约定对供应商受到的损失予以赔偿或者补偿。</w:t>
      </w:r>
    </w:p>
    <w:bookmarkEnd w:id="519"/>
    <w:p>
      <w:pPr>
        <w:spacing w:line="560" w:lineRule="exact"/>
        <w:ind w:firstLine="482" w:firstLineChars="200"/>
        <w:outlineLvl w:val="0"/>
        <w:rPr>
          <w:b/>
          <w:highlight w:val="none"/>
        </w:rPr>
      </w:pPr>
      <w:bookmarkStart w:id="520" w:name="_Toc14001"/>
      <w:bookmarkStart w:id="521" w:name="_Toc19890"/>
      <w:bookmarkStart w:id="522" w:name="_Toc6885"/>
      <w:r>
        <w:rPr>
          <w:b/>
          <w:highlight w:val="none"/>
        </w:rPr>
        <w:t>2.2</w:t>
      </w:r>
      <w:r>
        <w:rPr>
          <w:rFonts w:hint="eastAsia"/>
          <w:b/>
          <w:highlight w:val="none"/>
        </w:rPr>
        <w:t>2合同份数</w:t>
      </w:r>
      <w:bookmarkEnd w:id="520"/>
      <w:bookmarkEnd w:id="521"/>
      <w:bookmarkEnd w:id="522"/>
    </w:p>
    <w:p>
      <w:pPr>
        <w:spacing w:line="560" w:lineRule="exact"/>
        <w:ind w:firstLine="480" w:firstLineChars="200"/>
        <w:rPr>
          <w:highlight w:val="none"/>
        </w:rPr>
      </w:pPr>
      <w:r>
        <w:rPr>
          <w:rFonts w:hint="eastAsia"/>
          <w:highlight w:val="none"/>
        </w:rPr>
        <w:t>合同份数按</w:t>
      </w:r>
      <w:r>
        <w:rPr>
          <w:rFonts w:hint="eastAsia"/>
          <w:b/>
          <w:i/>
          <w:highlight w:val="none"/>
          <w:u w:val="single"/>
        </w:rPr>
        <w:t>合同专用条款</w:t>
      </w:r>
      <w:r>
        <w:rPr>
          <w:rFonts w:hint="eastAsia"/>
          <w:highlight w:val="none"/>
        </w:rPr>
        <w:t>规定，每份均具有同等法律效力。</w:t>
      </w:r>
    </w:p>
    <w:p>
      <w:pPr>
        <w:pStyle w:val="67"/>
        <w:spacing w:line="560" w:lineRule="exact"/>
        <w:ind w:left="480" w:firstLine="482"/>
        <w:jc w:val="center"/>
        <w:rPr>
          <w:rFonts w:ascii="仿宋" w:hAnsi="仿宋" w:eastAsia="仿宋"/>
          <w:b/>
          <w:szCs w:val="24"/>
        </w:rPr>
      </w:pPr>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4"/>
      </w:pPr>
      <w:r>
        <w:rPr>
          <w:rFonts w:hint="eastAsia"/>
        </w:rPr>
        <w:t>第六部分</w:t>
      </w:r>
      <w:r>
        <w:t xml:space="preserve"> </w:t>
      </w:r>
      <w:r>
        <w:rPr>
          <w:rFonts w:hint="eastAsia"/>
        </w:rPr>
        <w:t>应提交的有关格式范例</w:t>
      </w:r>
    </w:p>
    <w:p>
      <w:pPr>
        <w:pStyle w:val="4"/>
      </w:pPr>
      <w:r>
        <w:rPr>
          <w:rFonts w:hint="eastAsia"/>
        </w:rPr>
        <w:t>资格文件部分</w:t>
      </w:r>
    </w:p>
    <w:p>
      <w:pPr>
        <w:spacing w:line="360" w:lineRule="auto"/>
        <w:jc w:val="center"/>
        <w:outlineLvl w:val="0"/>
        <w:rPr>
          <w:rFonts w:ascii="仿宋_GB2312" w:eastAsia="仿宋_GB2312" w:cs="仿宋_GB2312"/>
          <w:b/>
          <w:sz w:val="36"/>
          <w:szCs w:val="36"/>
        </w:rPr>
      </w:pPr>
      <w:r>
        <w:rPr>
          <w:rFonts w:hint="eastAsia" w:ascii="仿宋_GB2312" w:eastAsia="仿宋_GB2312" w:cs="仿宋_GB2312"/>
          <w:b/>
          <w:sz w:val="36"/>
          <w:szCs w:val="36"/>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5"/>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5"/>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5"/>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5"/>
      </w:pPr>
      <w:r>
        <w:rPr>
          <w:rFonts w:hint="eastAsia"/>
        </w:rPr>
        <w:t>商务技术文件部分</w:t>
      </w:r>
    </w:p>
    <w:p>
      <w:pPr>
        <w:pStyle w:val="4"/>
      </w:pPr>
      <w:r>
        <w:rPr>
          <w:rFonts w:hint="eastAsia"/>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5"/>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5"/>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w:t>
      </w:r>
      <w:r>
        <w:rPr>
          <w:rFonts w:hint="eastAsia"/>
          <w:lang w:val="en-US" w:eastAsia="zh-CN"/>
        </w:rPr>
        <w:t>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5"/>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5"/>
      </w:pPr>
      <w:r>
        <w:br w:type="page"/>
      </w:r>
      <w:r>
        <w:rPr>
          <w:rFonts w:hint="eastAsia"/>
        </w:rPr>
        <w:t>五、符合性审查资料</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5"/>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5"/>
      </w:pPr>
      <w:r>
        <w:rPr>
          <w:rFonts w:hint="eastAsia"/>
        </w:rPr>
        <w:t>七、投标标的清单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5"/>
      </w:pPr>
      <w:r>
        <w:rPr>
          <w:rFonts w:hint="eastAsia"/>
        </w:rPr>
        <w:t>八、商务技术偏离表</w:t>
      </w:r>
    </w:p>
    <w:tbl>
      <w:tblPr>
        <w:tblStyle w:val="22"/>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5"/>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spacing w:line="360" w:lineRule="auto"/>
        <w:jc w:val="center"/>
        <w:outlineLvl w:val="0"/>
        <w:rPr>
          <w:rFonts w:ascii="仿宋_GB2312" w:eastAsia="仿宋_GB2312" w:cs="仿宋_GB2312"/>
          <w:b/>
          <w:sz w:val="36"/>
          <w:szCs w:val="36"/>
        </w:rPr>
      </w:pPr>
      <w:r>
        <w:rPr>
          <w:rFonts w:hint="eastAsia" w:ascii="仿宋_GB2312" w:eastAsia="仿宋_GB2312" w:cs="仿宋_GB2312"/>
          <w:b/>
          <w:sz w:val="36"/>
          <w:szCs w:val="36"/>
        </w:rPr>
        <w:t>目录</w:t>
      </w:r>
    </w:p>
    <w:p>
      <w:pPr>
        <w:spacing w:line="360" w:lineRule="auto"/>
        <w:jc w:val="center"/>
        <w:outlineLvl w:val="0"/>
        <w:rPr>
          <w:rFonts w:ascii="仿宋_GB2312" w:eastAsia="仿宋_GB2312" w:cs="仿宋_GB2312"/>
          <w:b/>
          <w:sz w:val="36"/>
          <w:szCs w:val="36"/>
        </w:rPr>
      </w:pP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7" w:type="default"/>
          <w:pgSz w:w="11906" w:h="16838"/>
          <w:pgMar w:top="1440" w:right="1700" w:bottom="1440" w:left="1800" w:header="851" w:footer="992" w:gutter="0"/>
          <w:cols w:space="425" w:num="1"/>
          <w:docGrid w:type="lines" w:linePitch="312" w:charSpace="0"/>
        </w:sectPr>
      </w:pPr>
    </w:p>
    <w:p>
      <w:pPr>
        <w:pStyle w:val="5"/>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w:t>
      </w:r>
      <w:r>
        <w:rPr>
          <w:rFonts w:hint="eastAsia" w:ascii="仿宋_GB2312" w:hAnsi="仿宋" w:eastAsia="仿宋_GB2312" w:cs="仿宋_GB2312"/>
          <w:kern w:val="0"/>
          <w:sz w:val="24"/>
          <w:lang w:val="zh-CN"/>
        </w:rPr>
        <w:t>（含评审费）</w:t>
      </w:r>
      <w:r>
        <w:rPr>
          <w:lang w:val="zh-CN"/>
        </w:rPr>
        <w:t>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5"/>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5"/>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4"/>
      </w:pPr>
      <w:bookmarkStart w:id="523" w:name="_Toc465665161"/>
      <w:r>
        <w:rPr>
          <w:rFonts w:hint="eastAsia"/>
        </w:rPr>
        <w:t>附件</w:t>
      </w:r>
      <w:bookmarkEnd w:id="523"/>
    </w:p>
    <w:p>
      <w:pPr>
        <w:pStyle w:val="5"/>
        <w:jc w:val="left"/>
      </w:pPr>
      <w:r>
        <w:rPr>
          <w:rFonts w:hint="eastAsia"/>
        </w:rPr>
        <w:t>附件</w:t>
      </w:r>
      <w:r>
        <w:t>1：</w:t>
      </w:r>
    </w:p>
    <w:p>
      <w:pPr>
        <w:spacing w:line="360" w:lineRule="auto"/>
        <w:jc w:val="center"/>
        <w:rPr>
          <w:rFonts w:ascii="仿宋_GB2312" w:eastAsia="仿宋_GB2312"/>
          <w:b/>
          <w:spacing w:val="6"/>
          <w:sz w:val="32"/>
          <w:szCs w:val="32"/>
        </w:rPr>
      </w:pPr>
      <w:bookmarkStart w:id="524" w:name="OLE_LINK13"/>
      <w:bookmarkStart w:id="525" w:name="OLE_LINK14"/>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56"/>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pPr>
      <w:r>
        <w:rPr>
          <w:rFonts w:hint="eastAsia"/>
        </w:rPr>
        <w:t>本单位对上述声明的真实性负责。如有虚假，将依法承担相应责任。</w:t>
      </w:r>
    </w:p>
    <w:p>
      <w:pPr>
        <w:pStyle w:val="56"/>
      </w:pPr>
    </w:p>
    <w:p>
      <w:pPr>
        <w:pStyle w:val="56"/>
      </w:pPr>
    </w:p>
    <w:p>
      <w:pPr>
        <w:pStyle w:val="56"/>
        <w:jc w:val="right"/>
      </w:pPr>
      <w:r>
        <w:rPr>
          <w:rFonts w:hint="eastAsia"/>
        </w:rPr>
        <w:t>投标人名称（电子签名）：</w:t>
      </w:r>
    </w:p>
    <w:p>
      <w:pPr>
        <w:pStyle w:val="56"/>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5"/>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6"/>
      </w:pPr>
      <w:r>
        <w:rPr>
          <w:rFonts w:hint="eastAsia"/>
        </w:rPr>
        <w:t>一、质疑供应商基本信息</w:t>
      </w:r>
    </w:p>
    <w:p>
      <w:pPr>
        <w:pStyle w:val="56"/>
        <w:rPr>
          <w:u w:val="dotted"/>
        </w:rPr>
      </w:pPr>
      <w:r>
        <w:rPr>
          <w:rFonts w:hint="eastAsia"/>
        </w:rPr>
        <w:t>质疑供应商：</w:t>
      </w:r>
      <w:r>
        <w:rPr>
          <w:u w:val="dotted"/>
        </w:rPr>
        <w:t xml:space="preserve">                                        </w:t>
      </w:r>
    </w:p>
    <w:p>
      <w:pPr>
        <w:pStyle w:val="56"/>
      </w:pPr>
      <w:r>
        <w:rPr>
          <w:rFonts w:hint="eastAsia"/>
        </w:rPr>
        <w:t>地址：</w:t>
      </w:r>
      <w:r>
        <w:rPr>
          <w:u w:val="dotted"/>
        </w:rPr>
        <w:t xml:space="preserve">                          </w:t>
      </w:r>
      <w:r>
        <w:rPr>
          <w:rFonts w:hint="eastAsia"/>
        </w:rPr>
        <w:t>邮编：</w:t>
      </w:r>
      <w:r>
        <w:rPr>
          <w:u w:val="dotted"/>
        </w:rPr>
        <w:t xml:space="preserve">                                                   </w:t>
      </w:r>
    </w:p>
    <w:p>
      <w:pPr>
        <w:pStyle w:val="56"/>
      </w:pPr>
      <w:r>
        <w:rPr>
          <w:rFonts w:hint="eastAsia"/>
        </w:rPr>
        <w:t>联系人：</w:t>
      </w:r>
      <w:r>
        <w:rPr>
          <w:u w:val="dotted"/>
        </w:rPr>
        <w:t xml:space="preserve">                      </w:t>
      </w:r>
      <w:r>
        <w:rPr>
          <w:rFonts w:hint="eastAsia"/>
        </w:rPr>
        <w:t>联系电话：</w:t>
      </w:r>
      <w:r>
        <w:rPr>
          <w:u w:val="dotted"/>
        </w:rPr>
        <w:t xml:space="preserve">                              </w:t>
      </w:r>
    </w:p>
    <w:p>
      <w:pPr>
        <w:pStyle w:val="56"/>
        <w:rPr>
          <w:u w:val="dotted"/>
        </w:rPr>
      </w:pPr>
      <w:r>
        <w:rPr>
          <w:rFonts w:hint="eastAsia"/>
        </w:rPr>
        <w:t>授权代表：</w:t>
      </w:r>
      <w:r>
        <w:rPr>
          <w:u w:val="dotted"/>
        </w:rPr>
        <w:t xml:space="preserve">                                          </w:t>
      </w:r>
    </w:p>
    <w:p>
      <w:pPr>
        <w:pStyle w:val="56"/>
      </w:pPr>
      <w:r>
        <w:rPr>
          <w:rFonts w:hint="eastAsia"/>
        </w:rPr>
        <w:t>联系电话：</w:t>
      </w:r>
      <w:r>
        <w:rPr>
          <w:u w:val="dotted"/>
        </w:rPr>
        <w:t xml:space="preserve">                                           </w:t>
      </w:r>
      <w:r>
        <w:t xml:space="preserve"> </w:t>
      </w:r>
    </w:p>
    <w:p>
      <w:pPr>
        <w:pStyle w:val="56"/>
      </w:pPr>
      <w:r>
        <w:rPr>
          <w:rFonts w:hint="eastAsia"/>
        </w:rPr>
        <w:t>地址：</w:t>
      </w:r>
      <w:r>
        <w:t xml:space="preserve"> </w:t>
      </w:r>
      <w:r>
        <w:rPr>
          <w:u w:val="dotted"/>
        </w:rPr>
        <w:t xml:space="preserve">                        </w:t>
      </w:r>
      <w:r>
        <w:rPr>
          <w:rFonts w:hint="eastAsia"/>
        </w:rPr>
        <w:t>邮编：</w:t>
      </w:r>
      <w:r>
        <w:rPr>
          <w:u w:val="dotted"/>
        </w:rPr>
        <w:t xml:space="preserve">                                                </w:t>
      </w:r>
    </w:p>
    <w:p>
      <w:pPr>
        <w:pStyle w:val="56"/>
      </w:pPr>
      <w:r>
        <w:rPr>
          <w:rFonts w:hint="eastAsia"/>
        </w:rPr>
        <w:t>二、质疑项目基本情况</w:t>
      </w:r>
    </w:p>
    <w:p>
      <w:pPr>
        <w:pStyle w:val="56"/>
      </w:pPr>
      <w:r>
        <w:rPr>
          <w:rFonts w:hint="eastAsia"/>
        </w:rPr>
        <w:t>质疑项目的名称：</w:t>
      </w:r>
      <w:r>
        <w:rPr>
          <w:u w:val="dotted"/>
        </w:rPr>
        <w:t xml:space="preserve">                                      </w:t>
      </w:r>
    </w:p>
    <w:p>
      <w:pPr>
        <w:pStyle w:val="56"/>
      </w:pPr>
      <w:r>
        <w:rPr>
          <w:rFonts w:hint="eastAsia"/>
        </w:rPr>
        <w:t>质疑项目的编号：</w:t>
      </w:r>
      <w:r>
        <w:rPr>
          <w:u w:val="dotted"/>
        </w:rPr>
        <w:t xml:space="preserve">               </w:t>
      </w:r>
      <w:r>
        <w:rPr>
          <w:rFonts w:hint="eastAsia"/>
        </w:rPr>
        <w:t>包号：</w:t>
      </w:r>
      <w:r>
        <w:rPr>
          <w:u w:val="dotted"/>
        </w:rPr>
        <w:t xml:space="preserve">                 </w:t>
      </w:r>
    </w:p>
    <w:p>
      <w:pPr>
        <w:pStyle w:val="56"/>
        <w:rPr>
          <w:u w:val="dotted"/>
        </w:rPr>
      </w:pPr>
      <w:r>
        <w:rPr>
          <w:rFonts w:hint="eastAsia"/>
        </w:rPr>
        <w:t>采购人名称：</w:t>
      </w:r>
      <w:r>
        <w:rPr>
          <w:u w:val="dotted"/>
        </w:rPr>
        <w:t xml:space="preserve">                                         </w:t>
      </w:r>
    </w:p>
    <w:p>
      <w:pPr>
        <w:pStyle w:val="56"/>
      </w:pPr>
      <w:r>
        <w:rPr>
          <w:rFonts w:hint="eastAsia"/>
        </w:rPr>
        <w:t>采购文件获取日期：</w:t>
      </w:r>
      <w:r>
        <w:rPr>
          <w:u w:val="dotted"/>
        </w:rPr>
        <w:t xml:space="preserve">                                           </w:t>
      </w:r>
    </w:p>
    <w:p>
      <w:pPr>
        <w:pStyle w:val="56"/>
      </w:pPr>
      <w:r>
        <w:rPr>
          <w:rFonts w:hint="eastAsia"/>
        </w:rPr>
        <w:t>三、质疑事项具体内容</w:t>
      </w:r>
    </w:p>
    <w:p>
      <w:pPr>
        <w:pStyle w:val="56"/>
        <w:rPr>
          <w:u w:val="dotted"/>
        </w:rPr>
      </w:pPr>
      <w:r>
        <w:rPr>
          <w:rFonts w:hint="eastAsia"/>
        </w:rPr>
        <w:t>质疑事项</w:t>
      </w:r>
      <w:r>
        <w:t>1：</w:t>
      </w:r>
      <w:r>
        <w:rPr>
          <w:u w:val="dotted"/>
        </w:rPr>
        <w:t xml:space="preserve">                                         </w:t>
      </w:r>
    </w:p>
    <w:p>
      <w:pPr>
        <w:pStyle w:val="56"/>
        <w:rPr>
          <w:u w:val="dotted"/>
        </w:rPr>
      </w:pPr>
      <w:r>
        <w:rPr>
          <w:rFonts w:hint="eastAsia"/>
        </w:rPr>
        <w:t>事实依据：</w:t>
      </w:r>
      <w:r>
        <w:rPr>
          <w:u w:val="dotted"/>
        </w:rPr>
        <w:t xml:space="preserve">                                          </w:t>
      </w:r>
    </w:p>
    <w:p>
      <w:pPr>
        <w:pStyle w:val="56"/>
      </w:pPr>
      <w:r>
        <w:rPr>
          <w:u w:val="dotted"/>
        </w:rPr>
        <w:t xml:space="preserve">                                                       </w:t>
      </w:r>
    </w:p>
    <w:p>
      <w:pPr>
        <w:pStyle w:val="56"/>
        <w:rPr>
          <w:u w:val="dotted"/>
        </w:rPr>
      </w:pPr>
      <w:r>
        <w:rPr>
          <w:rFonts w:hint="eastAsia"/>
        </w:rPr>
        <w:t>法律依据：</w:t>
      </w:r>
      <w:r>
        <w:rPr>
          <w:u w:val="dotted"/>
        </w:rPr>
        <w:t xml:space="preserve">                                          </w:t>
      </w:r>
    </w:p>
    <w:p>
      <w:pPr>
        <w:pStyle w:val="56"/>
        <w:rPr>
          <w:u w:val="dotted"/>
        </w:rPr>
      </w:pPr>
      <w:r>
        <w:rPr>
          <w:u w:val="dotted"/>
        </w:rPr>
        <w:t xml:space="preserve">                                                     </w:t>
      </w:r>
    </w:p>
    <w:p>
      <w:pPr>
        <w:pStyle w:val="56"/>
        <w:rPr>
          <w:u w:val="dotted"/>
        </w:rPr>
      </w:pPr>
      <w:r>
        <w:rPr>
          <w:rFonts w:hint="eastAsia"/>
        </w:rPr>
        <w:t>质疑事项</w:t>
      </w:r>
      <w:r>
        <w:t>2</w:t>
      </w:r>
    </w:p>
    <w:p>
      <w:pPr>
        <w:pStyle w:val="56"/>
      </w:pPr>
      <w:r>
        <w:rPr>
          <w:rFonts w:hint="eastAsia"/>
        </w:rPr>
        <w:t>……</w:t>
      </w:r>
    </w:p>
    <w:p>
      <w:pPr>
        <w:pStyle w:val="56"/>
      </w:pPr>
      <w:r>
        <w:rPr>
          <w:rFonts w:hint="eastAsia"/>
        </w:rPr>
        <w:t>四、与质疑事项相关的质疑请求</w:t>
      </w:r>
    </w:p>
    <w:p>
      <w:pPr>
        <w:pStyle w:val="56"/>
        <w:rPr>
          <w:u w:val="dotted"/>
        </w:rPr>
      </w:pPr>
      <w:r>
        <w:rPr>
          <w:rFonts w:hint="eastAsia"/>
        </w:rPr>
        <w:t>请求：</w:t>
      </w:r>
      <w:r>
        <w:rPr>
          <w:u w:val="dotted"/>
        </w:rPr>
        <w:t xml:space="preserve">                                               </w:t>
      </w:r>
    </w:p>
    <w:p>
      <w:pPr>
        <w:pStyle w:val="56"/>
      </w:pPr>
      <w:r>
        <w:rPr>
          <w:rFonts w:hint="eastAsia"/>
        </w:rPr>
        <w:t>签字</w:t>
      </w:r>
      <w:r>
        <w:t xml:space="preserve">(签章)：                   公章：                      </w:t>
      </w:r>
    </w:p>
    <w:p>
      <w:pPr>
        <w:pStyle w:val="56"/>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6"/>
      </w:pPr>
      <w:r>
        <w:t>1.供应商提出质疑时，应提交质疑函和必要的证明材料。</w:t>
      </w:r>
    </w:p>
    <w:p>
      <w:pPr>
        <w:pStyle w:val="56"/>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6"/>
      </w:pPr>
      <w:r>
        <w:t>3.质疑供应商若对项目的某一分包进行质疑，质疑函中应列明具体分包号。</w:t>
      </w:r>
    </w:p>
    <w:p>
      <w:pPr>
        <w:pStyle w:val="56"/>
      </w:pPr>
      <w:r>
        <w:t>4.质疑函的质疑事项应具体、明确，并有必要的事实依据和法律依据。</w:t>
      </w:r>
    </w:p>
    <w:p>
      <w:pPr>
        <w:pStyle w:val="56"/>
      </w:pPr>
      <w:r>
        <w:t>5.质疑函的质疑请求应与质疑事项相关。</w:t>
      </w:r>
    </w:p>
    <w:p>
      <w:pPr>
        <w:pStyle w:val="56"/>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5"/>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spacing w:line="276" w:lineRule="auto"/>
        <w:rPr>
          <w:b/>
        </w:rPr>
      </w:pPr>
      <w:r>
        <w:rPr>
          <w:rFonts w:hint="eastAsia"/>
          <w:b/>
          <w:spacing w:val="6"/>
        </w:rPr>
        <w:t>附件</w:t>
      </w:r>
      <w:r>
        <w:rPr>
          <w:b/>
          <w:spacing w:val="6"/>
        </w:rPr>
        <w:t>4：</w:t>
      </w:r>
      <w:r>
        <w:rPr>
          <w:rFonts w:hint="eastAsia"/>
          <w:b/>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5"/>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5"/>
        <w:rPr>
          <w:rFonts w:cs="仿宋_GB2312"/>
          <w:sz w:val="24"/>
          <w:highlight w:val="none"/>
        </w:rPr>
      </w:pPr>
      <w:r>
        <w:rPr>
          <w:rFonts w:hint="eastAsia"/>
          <w:highlight w:val="none"/>
        </w:rPr>
        <w:t>附件6</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79</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4"/>
      </w:pBdr>
      <w:jc w:val="right"/>
    </w:pPr>
    <w:r>
      <w:t></w:t>
    </w:r>
    <w:r>
      <w:rPr>
        <w:rFonts w:hint="eastAsia"/>
      </w:rPr>
      <w:t xml:space="preserve">             </w:t>
    </w:r>
    <w:r>
      <w:t>杭州市政府采购公开招标文件</w:t>
    </w:r>
  </w:p>
  <w:p>
    <w:pPr>
      <w:pStyle w:val="20"/>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B9C05"/>
    <w:multiLevelType w:val="singleLevel"/>
    <w:tmpl w:val="AC4B9C05"/>
    <w:lvl w:ilvl="0" w:tentative="0">
      <w:start w:val="3"/>
      <w:numFmt w:val="chineseCounting"/>
      <w:suff w:val="space"/>
      <w:lvlText w:val="第%1部分"/>
      <w:lvlJc w:val="left"/>
      <w:rPr>
        <w:rFonts w:hint="eastAsia"/>
      </w:rPr>
    </w:lvl>
  </w:abstractNum>
  <w:abstractNum w:abstractNumId="1">
    <w:nsid w:val="1934AF54"/>
    <w:multiLevelType w:val="singleLevel"/>
    <w:tmpl w:val="1934AF54"/>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E0NjVlNjlhMWJkMzc3ZWVlNDlkM2RhM2QzNjAifQ=="/>
  </w:docVars>
  <w:rsids>
    <w:rsidRoot w:val="004A31C0"/>
    <w:rsid w:val="00083EEE"/>
    <w:rsid w:val="000C67BA"/>
    <w:rsid w:val="000E75F8"/>
    <w:rsid w:val="00173428"/>
    <w:rsid w:val="001A3CF6"/>
    <w:rsid w:val="002E02E0"/>
    <w:rsid w:val="003169BC"/>
    <w:rsid w:val="0035778E"/>
    <w:rsid w:val="00380ED1"/>
    <w:rsid w:val="003A3435"/>
    <w:rsid w:val="003C2D7D"/>
    <w:rsid w:val="00424A1D"/>
    <w:rsid w:val="004A31C0"/>
    <w:rsid w:val="00581054"/>
    <w:rsid w:val="0065383E"/>
    <w:rsid w:val="00661973"/>
    <w:rsid w:val="006657BD"/>
    <w:rsid w:val="006F2568"/>
    <w:rsid w:val="006F282E"/>
    <w:rsid w:val="00825212"/>
    <w:rsid w:val="00872DA1"/>
    <w:rsid w:val="008F729B"/>
    <w:rsid w:val="009040D0"/>
    <w:rsid w:val="009064F4"/>
    <w:rsid w:val="009823B1"/>
    <w:rsid w:val="009B7259"/>
    <w:rsid w:val="009E6B47"/>
    <w:rsid w:val="00A955FA"/>
    <w:rsid w:val="00AB3C03"/>
    <w:rsid w:val="00AC5A89"/>
    <w:rsid w:val="00CA5372"/>
    <w:rsid w:val="00DE7F9D"/>
    <w:rsid w:val="00E01C27"/>
    <w:rsid w:val="00E428C8"/>
    <w:rsid w:val="00ED389E"/>
    <w:rsid w:val="00F82240"/>
    <w:rsid w:val="00F872C5"/>
    <w:rsid w:val="03CC6CAA"/>
    <w:rsid w:val="083E2D37"/>
    <w:rsid w:val="0E3C7F4D"/>
    <w:rsid w:val="0FE64614"/>
    <w:rsid w:val="103237E6"/>
    <w:rsid w:val="122D652B"/>
    <w:rsid w:val="12B32B77"/>
    <w:rsid w:val="16A9014A"/>
    <w:rsid w:val="173C558F"/>
    <w:rsid w:val="1A693E78"/>
    <w:rsid w:val="1B6F3710"/>
    <w:rsid w:val="225F4FAF"/>
    <w:rsid w:val="22750B0D"/>
    <w:rsid w:val="23130872"/>
    <w:rsid w:val="26A821CC"/>
    <w:rsid w:val="2A732C37"/>
    <w:rsid w:val="2AF47B35"/>
    <w:rsid w:val="2E3335C6"/>
    <w:rsid w:val="306453B6"/>
    <w:rsid w:val="309F6687"/>
    <w:rsid w:val="30A25EDE"/>
    <w:rsid w:val="341D4A32"/>
    <w:rsid w:val="363B4DE8"/>
    <w:rsid w:val="37D14238"/>
    <w:rsid w:val="390D7134"/>
    <w:rsid w:val="3D317609"/>
    <w:rsid w:val="3D5B4B8F"/>
    <w:rsid w:val="3E976F82"/>
    <w:rsid w:val="3EBE2135"/>
    <w:rsid w:val="3F2C52F0"/>
    <w:rsid w:val="41A316A0"/>
    <w:rsid w:val="4772770F"/>
    <w:rsid w:val="493E1E3B"/>
    <w:rsid w:val="4BFA2715"/>
    <w:rsid w:val="4C115F9A"/>
    <w:rsid w:val="4CFF4E6A"/>
    <w:rsid w:val="4DCE498E"/>
    <w:rsid w:val="4FD73056"/>
    <w:rsid w:val="522B4AC4"/>
    <w:rsid w:val="531225F7"/>
    <w:rsid w:val="566E5D97"/>
    <w:rsid w:val="569C5AA9"/>
    <w:rsid w:val="58195FDE"/>
    <w:rsid w:val="59D11D51"/>
    <w:rsid w:val="5A427C66"/>
    <w:rsid w:val="5AE66844"/>
    <w:rsid w:val="64D541B1"/>
    <w:rsid w:val="669B2BD8"/>
    <w:rsid w:val="67672A43"/>
    <w:rsid w:val="67746F85"/>
    <w:rsid w:val="6B6C4B43"/>
    <w:rsid w:val="6DC34226"/>
    <w:rsid w:val="74424693"/>
    <w:rsid w:val="746C1711"/>
    <w:rsid w:val="799B077A"/>
    <w:rsid w:val="799F60E4"/>
    <w:rsid w:val="7B4C5DF7"/>
    <w:rsid w:val="7B8C6B3B"/>
    <w:rsid w:val="7ECD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ascii="仿宋" w:hAnsi="仿宋" w:eastAsia="仿宋" w:cstheme="majorBidi"/>
      <w:sz w:val="24"/>
      <w:szCs w:val="24"/>
      <w:lang w:val="en-US" w:eastAsia="zh-CN" w:bidi="ar-SA"/>
    </w:rPr>
  </w:style>
  <w:style w:type="paragraph" w:styleId="4">
    <w:name w:val="heading 1"/>
    <w:basedOn w:val="1"/>
    <w:next w:val="1"/>
    <w:link w:val="30"/>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2"/>
    <w:unhideWhenUsed/>
    <w:qFormat/>
    <w:uiPriority w:val="9"/>
    <w:pPr>
      <w:outlineLvl w:val="2"/>
    </w:pPr>
    <w:rPr>
      <w:b/>
    </w:rPr>
  </w:style>
  <w:style w:type="paragraph" w:styleId="7">
    <w:name w:val="heading 4"/>
    <w:basedOn w:val="1"/>
    <w:next w:val="1"/>
    <w:link w:val="33"/>
    <w:unhideWhenUsed/>
    <w:qFormat/>
    <w:uiPriority w:val="9"/>
    <w:pPr>
      <w:spacing w:after="0" w:line="271" w:lineRule="auto"/>
      <w:outlineLvl w:val="3"/>
    </w:pPr>
    <w:rPr>
      <w:b/>
      <w:bCs/>
      <w:spacing w:val="5"/>
    </w:rPr>
  </w:style>
  <w:style w:type="paragraph" w:styleId="8">
    <w:name w:val="heading 5"/>
    <w:basedOn w:val="1"/>
    <w:next w:val="1"/>
    <w:link w:val="34"/>
    <w:semiHidden/>
    <w:unhideWhenUsed/>
    <w:qFormat/>
    <w:uiPriority w:val="9"/>
    <w:pPr>
      <w:spacing w:after="0" w:line="271" w:lineRule="auto"/>
      <w:outlineLvl w:val="4"/>
    </w:pPr>
    <w:rPr>
      <w:i/>
      <w:iCs/>
    </w:rPr>
  </w:style>
  <w:style w:type="paragraph" w:styleId="9">
    <w:name w:val="heading 6"/>
    <w:basedOn w:val="1"/>
    <w:next w:val="1"/>
    <w:link w:val="35"/>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36"/>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37"/>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38"/>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60"/>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3">
    <w:name w:val="Normal Indent"/>
    <w:basedOn w:val="1"/>
    <w:next w:val="1"/>
    <w:link w:val="57"/>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Plain Text"/>
    <w:basedOn w:val="1"/>
    <w:link w:val="58"/>
    <w:qFormat/>
    <w:uiPriority w:val="0"/>
    <w:pPr>
      <w:widowControl w:val="0"/>
      <w:adjustRightInd w:val="0"/>
      <w:spacing w:after="0"/>
      <w:jc w:val="both"/>
    </w:pPr>
    <w:rPr>
      <w:rFonts w:ascii="宋体" w:hAnsi="Courier New" w:eastAsia="宋体" w:cs="Arial"/>
      <w:snapToGrid w:val="0"/>
      <w:kern w:val="2"/>
      <w:sz w:val="21"/>
      <w:szCs w:val="21"/>
    </w:rPr>
  </w:style>
  <w:style w:type="paragraph" w:styleId="15">
    <w:name w:val="Balloon Text"/>
    <w:basedOn w:val="1"/>
    <w:link w:val="72"/>
    <w:semiHidden/>
    <w:unhideWhenUsed/>
    <w:qFormat/>
    <w:uiPriority w:val="99"/>
    <w:pPr>
      <w:spacing w:after="0"/>
    </w:pPr>
    <w:rPr>
      <w:sz w:val="18"/>
      <w:szCs w:val="18"/>
    </w:rPr>
  </w:style>
  <w:style w:type="paragraph" w:styleId="16">
    <w:name w:val="footer"/>
    <w:basedOn w:val="1"/>
    <w:link w:val="29"/>
    <w:unhideWhenUsed/>
    <w:qFormat/>
    <w:uiPriority w:val="99"/>
    <w:pPr>
      <w:tabs>
        <w:tab w:val="center" w:pos="4153"/>
        <w:tab w:val="right" w:pos="8306"/>
      </w:tabs>
      <w:snapToGrid w:val="0"/>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0"/>
    <w:qFormat/>
    <w:uiPriority w:val="11"/>
    <w:rPr>
      <w:i/>
      <w:iCs/>
      <w:smallCaps/>
      <w:spacing w:val="10"/>
      <w:sz w:val="28"/>
      <w:szCs w:val="28"/>
    </w:rPr>
  </w:style>
  <w:style w:type="paragraph" w:styleId="19">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link w:val="39"/>
    <w:qFormat/>
    <w:uiPriority w:val="10"/>
    <w:pPr>
      <w:spacing w:after="300"/>
      <w:contextualSpacing/>
    </w:pPr>
    <w:rPr>
      <w:smallCaps/>
      <w:sz w:val="52"/>
      <w:szCs w:val="52"/>
    </w:rPr>
  </w:style>
  <w:style w:type="table" w:styleId="22">
    <w:name w:val="Table Grid"/>
    <w:basedOn w:val="2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mphasis"/>
    <w:qFormat/>
    <w:uiPriority w:val="20"/>
    <w:rPr>
      <w:b/>
      <w:bCs/>
      <w:i/>
      <w:iCs/>
      <w:spacing w:val="10"/>
    </w:rPr>
  </w:style>
  <w:style w:type="character" w:styleId="26">
    <w:name w:val="Hyperlink"/>
    <w:qFormat/>
    <w:uiPriority w:val="99"/>
    <w:rPr>
      <w:rFonts w:ascii="Arial" w:hAnsi="Arial" w:eastAsia="黑体" w:cs="Arial"/>
      <w:snapToGrid w:val="0"/>
      <w:color w:val="000000"/>
      <w:kern w:val="0"/>
      <w:sz w:val="18"/>
      <w:szCs w:val="18"/>
      <w:u w:val="none"/>
    </w:rPr>
  </w:style>
  <w:style w:type="paragraph" w:customStyle="1" w:styleId="27">
    <w:name w:val="[Normal]"/>
    <w:qFormat/>
    <w:uiPriority w:val="0"/>
    <w:rPr>
      <w:rFonts w:ascii="宋体" w:hAnsi="宋体" w:eastAsia="宋体" w:cs="Times New Roman"/>
      <w:sz w:val="24"/>
      <w:szCs w:val="22"/>
      <w:lang w:val="zh-CN" w:eastAsia="zh-CN" w:bidi="ar-SA"/>
    </w:rPr>
  </w:style>
  <w:style w:type="character" w:customStyle="1" w:styleId="28">
    <w:name w:val="页眉 Char"/>
    <w:basedOn w:val="23"/>
    <w:link w:val="17"/>
    <w:qFormat/>
    <w:uiPriority w:val="99"/>
    <w:rPr>
      <w:sz w:val="18"/>
      <w:szCs w:val="18"/>
    </w:rPr>
  </w:style>
  <w:style w:type="character" w:customStyle="1" w:styleId="29">
    <w:name w:val="页脚 Char"/>
    <w:basedOn w:val="23"/>
    <w:link w:val="16"/>
    <w:qFormat/>
    <w:uiPriority w:val="99"/>
    <w:rPr>
      <w:sz w:val="18"/>
      <w:szCs w:val="18"/>
    </w:rPr>
  </w:style>
  <w:style w:type="character" w:customStyle="1" w:styleId="30">
    <w:name w:val="标题 1 Char"/>
    <w:basedOn w:val="23"/>
    <w:link w:val="4"/>
    <w:qFormat/>
    <w:uiPriority w:val="9"/>
    <w:rPr>
      <w:rFonts w:ascii="仿宋_GB2312" w:hAnsi="仿宋" w:eastAsia="仿宋_GB2312"/>
      <w:b/>
      <w:smallCaps/>
      <w:spacing w:val="5"/>
      <w:sz w:val="36"/>
      <w:szCs w:val="36"/>
    </w:rPr>
  </w:style>
  <w:style w:type="character" w:customStyle="1" w:styleId="31">
    <w:name w:val="标题 2 Char"/>
    <w:basedOn w:val="23"/>
    <w:link w:val="5"/>
    <w:qFormat/>
    <w:uiPriority w:val="9"/>
    <w:rPr>
      <w:rFonts w:ascii="仿宋" w:hAnsi="仿宋" w:eastAsia="仿宋"/>
      <w:b/>
      <w:smallCaps/>
      <w:sz w:val="28"/>
      <w:szCs w:val="28"/>
    </w:rPr>
  </w:style>
  <w:style w:type="character" w:customStyle="1" w:styleId="32">
    <w:name w:val="标题 3 Char"/>
    <w:basedOn w:val="23"/>
    <w:link w:val="6"/>
    <w:qFormat/>
    <w:uiPriority w:val="9"/>
    <w:rPr>
      <w:rFonts w:ascii="仿宋" w:hAnsi="仿宋" w:eastAsia="仿宋"/>
      <w:b/>
      <w:sz w:val="24"/>
      <w:szCs w:val="24"/>
    </w:rPr>
  </w:style>
  <w:style w:type="character" w:customStyle="1" w:styleId="33">
    <w:name w:val="标题 4 Char"/>
    <w:basedOn w:val="23"/>
    <w:link w:val="7"/>
    <w:qFormat/>
    <w:uiPriority w:val="9"/>
    <w:rPr>
      <w:b/>
      <w:bCs/>
      <w:spacing w:val="5"/>
      <w:sz w:val="24"/>
      <w:szCs w:val="24"/>
    </w:rPr>
  </w:style>
  <w:style w:type="character" w:customStyle="1" w:styleId="34">
    <w:name w:val="标题 5 Char"/>
    <w:basedOn w:val="23"/>
    <w:link w:val="8"/>
    <w:semiHidden/>
    <w:qFormat/>
    <w:uiPriority w:val="9"/>
    <w:rPr>
      <w:i/>
      <w:iCs/>
      <w:sz w:val="24"/>
      <w:szCs w:val="24"/>
    </w:rPr>
  </w:style>
  <w:style w:type="character" w:customStyle="1" w:styleId="35">
    <w:name w:val="标题 6 Char"/>
    <w:basedOn w:val="23"/>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6">
    <w:name w:val="标题 7 Char"/>
    <w:basedOn w:val="23"/>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7">
    <w:name w:val="标题 8 Char"/>
    <w:basedOn w:val="23"/>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8">
    <w:name w:val="标题 9 Char"/>
    <w:basedOn w:val="23"/>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9">
    <w:name w:val="标题 Char"/>
    <w:basedOn w:val="23"/>
    <w:link w:val="20"/>
    <w:qFormat/>
    <w:uiPriority w:val="10"/>
    <w:rPr>
      <w:smallCaps/>
      <w:sz w:val="52"/>
      <w:szCs w:val="52"/>
    </w:rPr>
  </w:style>
  <w:style w:type="character" w:customStyle="1" w:styleId="40">
    <w:name w:val="副标题 Char"/>
    <w:basedOn w:val="23"/>
    <w:link w:val="18"/>
    <w:qFormat/>
    <w:uiPriority w:val="11"/>
    <w:rPr>
      <w:i/>
      <w:iCs/>
      <w:smallCaps/>
      <w:spacing w:val="10"/>
      <w:sz w:val="28"/>
      <w:szCs w:val="28"/>
    </w:rPr>
  </w:style>
  <w:style w:type="paragraph" w:styleId="41">
    <w:name w:val="No Spacing"/>
    <w:basedOn w:val="1"/>
    <w:link w:val="53"/>
    <w:qFormat/>
    <w:uiPriority w:val="1"/>
    <w:pPr>
      <w:spacing w:after="0"/>
    </w:pPr>
  </w:style>
  <w:style w:type="paragraph" w:styleId="42">
    <w:name w:val="List Paragraph"/>
    <w:basedOn w:val="1"/>
    <w:qFormat/>
    <w:uiPriority w:val="34"/>
    <w:pPr>
      <w:ind w:left="720"/>
      <w:contextualSpacing/>
    </w:pPr>
  </w:style>
  <w:style w:type="paragraph" w:styleId="43">
    <w:name w:val="Quote"/>
    <w:basedOn w:val="1"/>
    <w:next w:val="1"/>
    <w:link w:val="44"/>
    <w:qFormat/>
    <w:uiPriority w:val="29"/>
    <w:rPr>
      <w:i/>
      <w:iCs/>
    </w:rPr>
  </w:style>
  <w:style w:type="character" w:customStyle="1" w:styleId="44">
    <w:name w:val="引用 Char"/>
    <w:basedOn w:val="23"/>
    <w:link w:val="43"/>
    <w:qFormat/>
    <w:uiPriority w:val="29"/>
    <w:rPr>
      <w:i/>
      <w:iCs/>
    </w:rPr>
  </w:style>
  <w:style w:type="paragraph" w:styleId="45">
    <w:name w:val="Intense Quote"/>
    <w:basedOn w:val="1"/>
    <w:next w:val="1"/>
    <w:link w:val="46"/>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6">
    <w:name w:val="明显引用 Char"/>
    <w:basedOn w:val="23"/>
    <w:link w:val="45"/>
    <w:qFormat/>
    <w:uiPriority w:val="30"/>
    <w:rPr>
      <w:i/>
      <w:iCs/>
    </w:rPr>
  </w:style>
  <w:style w:type="character" w:customStyle="1" w:styleId="47">
    <w:name w:val="Subtle Emphasis"/>
    <w:qFormat/>
    <w:uiPriority w:val="19"/>
    <w:rPr>
      <w:i/>
      <w:iCs/>
    </w:rPr>
  </w:style>
  <w:style w:type="character" w:customStyle="1" w:styleId="48">
    <w:name w:val="Intense Emphasis"/>
    <w:qFormat/>
    <w:uiPriority w:val="21"/>
    <w:rPr>
      <w:b/>
      <w:bCs/>
      <w:i/>
      <w:iCs/>
    </w:rPr>
  </w:style>
  <w:style w:type="character" w:customStyle="1" w:styleId="49">
    <w:name w:val="Subtle Reference"/>
    <w:basedOn w:val="23"/>
    <w:qFormat/>
    <w:uiPriority w:val="31"/>
    <w:rPr>
      <w:smallCaps/>
    </w:rPr>
  </w:style>
  <w:style w:type="character" w:customStyle="1" w:styleId="50">
    <w:name w:val="Intense Reference"/>
    <w:qFormat/>
    <w:uiPriority w:val="32"/>
    <w:rPr>
      <w:b/>
      <w:bCs/>
      <w:smallCaps/>
    </w:rPr>
  </w:style>
  <w:style w:type="character" w:customStyle="1" w:styleId="51">
    <w:name w:val="Book Title"/>
    <w:basedOn w:val="23"/>
    <w:qFormat/>
    <w:uiPriority w:val="33"/>
    <w:rPr>
      <w:i/>
      <w:iCs/>
      <w:smallCaps/>
      <w:spacing w:val="5"/>
    </w:rPr>
  </w:style>
  <w:style w:type="paragraph" w:customStyle="1" w:styleId="52">
    <w:name w:val="TOC Heading"/>
    <w:basedOn w:val="4"/>
    <w:next w:val="1"/>
    <w:semiHidden/>
    <w:unhideWhenUsed/>
    <w:qFormat/>
    <w:uiPriority w:val="39"/>
    <w:pPr>
      <w:outlineLvl w:val="9"/>
    </w:pPr>
    <w:rPr>
      <w:lang w:bidi="en-US"/>
    </w:rPr>
  </w:style>
  <w:style w:type="character" w:customStyle="1" w:styleId="53">
    <w:name w:val="无间隔 Char"/>
    <w:basedOn w:val="23"/>
    <w:link w:val="41"/>
    <w:qFormat/>
    <w:uiPriority w:val="1"/>
  </w:style>
  <w:style w:type="paragraph" w:customStyle="1" w:styleId="54">
    <w:name w:val="Personal Name"/>
    <w:basedOn w:val="20"/>
    <w:qFormat/>
    <w:uiPriority w:val="0"/>
    <w:rPr>
      <w:b/>
      <w:caps/>
      <w:color w:val="000000"/>
      <w:sz w:val="28"/>
      <w:szCs w:val="28"/>
    </w:rPr>
  </w:style>
  <w:style w:type="character" w:customStyle="1" w:styleId="55">
    <w:name w:val="正文2 Char Char"/>
    <w:link w:val="56"/>
    <w:qFormat/>
    <w:uiPriority w:val="0"/>
    <w:rPr>
      <w:rFonts w:ascii="仿宋" w:hAnsi="仿宋" w:eastAsia="仿宋"/>
      <w:sz w:val="24"/>
      <w:szCs w:val="24"/>
    </w:rPr>
  </w:style>
  <w:style w:type="paragraph" w:customStyle="1" w:styleId="56">
    <w:name w:val="正文2"/>
    <w:basedOn w:val="1"/>
    <w:link w:val="55"/>
    <w:qFormat/>
    <w:uiPriority w:val="0"/>
    <w:pPr>
      <w:spacing w:line="360" w:lineRule="auto"/>
    </w:pPr>
  </w:style>
  <w:style w:type="character" w:customStyle="1" w:styleId="57">
    <w:name w:val="正文缩进 Char"/>
    <w:link w:val="3"/>
    <w:qFormat/>
    <w:uiPriority w:val="0"/>
    <w:rPr>
      <w:rFonts w:ascii="宋体" w:hAnsi="Times New Roman" w:eastAsia="宋体" w:cs="Times New Roman"/>
      <w:snapToGrid w:val="0"/>
      <w:color w:val="000000"/>
      <w:kern w:val="28"/>
      <w:sz w:val="28"/>
      <w:szCs w:val="20"/>
    </w:rPr>
  </w:style>
  <w:style w:type="character" w:customStyle="1" w:styleId="58">
    <w:name w:val="纯文本 Char"/>
    <w:basedOn w:val="23"/>
    <w:link w:val="14"/>
    <w:qFormat/>
    <w:uiPriority w:val="0"/>
    <w:rPr>
      <w:rFonts w:ascii="宋体" w:hAnsi="Courier New" w:eastAsia="宋体" w:cs="Arial"/>
      <w:snapToGrid w:val="0"/>
      <w:kern w:val="2"/>
      <w:sz w:val="21"/>
      <w:szCs w:val="21"/>
    </w:rPr>
  </w:style>
  <w:style w:type="character" w:customStyle="1" w:styleId="59">
    <w:name w:val="正文文本缩进 Char"/>
    <w:basedOn w:val="23"/>
    <w:semiHidden/>
    <w:qFormat/>
    <w:uiPriority w:val="99"/>
    <w:rPr>
      <w:rFonts w:ascii="仿宋" w:hAnsi="仿宋" w:eastAsia="仿宋"/>
      <w:sz w:val="24"/>
      <w:szCs w:val="24"/>
    </w:rPr>
  </w:style>
  <w:style w:type="character" w:customStyle="1" w:styleId="60">
    <w:name w:val="正文文本缩进 Char1"/>
    <w:link w:val="2"/>
    <w:qFormat/>
    <w:uiPriority w:val="0"/>
    <w:rPr>
      <w:rFonts w:ascii="宋体" w:hAnsi="宋体" w:eastAsia="宋体" w:cs="Times New Roman"/>
      <w:kern w:val="2"/>
      <w:sz w:val="24"/>
      <w:szCs w:val="24"/>
    </w:rPr>
  </w:style>
  <w:style w:type="character" w:customStyle="1" w:styleId="61">
    <w:name w:val="标题 Char2"/>
    <w:qFormat/>
    <w:uiPriority w:val="10"/>
    <w:rPr>
      <w:b/>
      <w:sz w:val="24"/>
      <w:lang w:val="en-GB"/>
    </w:rPr>
  </w:style>
  <w:style w:type="character" w:customStyle="1" w:styleId="62">
    <w:name w:val="纯文本 Char1"/>
    <w:link w:val="63"/>
    <w:qFormat/>
    <w:uiPriority w:val="0"/>
    <w:rPr>
      <w:rFonts w:ascii="宋体" w:hAnsi="Courier New"/>
    </w:rPr>
  </w:style>
  <w:style w:type="paragraph" w:customStyle="1" w:styleId="63">
    <w:name w:val="纯文本1"/>
    <w:basedOn w:val="1"/>
    <w:link w:val="62"/>
    <w:qFormat/>
    <w:uiPriority w:val="0"/>
    <w:pPr>
      <w:widowControl w:val="0"/>
      <w:spacing w:after="0"/>
      <w:jc w:val="both"/>
    </w:pPr>
    <w:rPr>
      <w:rFonts w:ascii="宋体" w:hAnsi="Courier New" w:eastAsiaTheme="majorEastAsia"/>
      <w:sz w:val="22"/>
      <w:szCs w:val="22"/>
    </w:rPr>
  </w:style>
  <w:style w:type="character" w:customStyle="1" w:styleId="64">
    <w:name w:val="页脚 Char2"/>
    <w:qFormat/>
    <w:locked/>
    <w:uiPriority w:val="99"/>
    <w:rPr>
      <w:kern w:val="2"/>
      <w:sz w:val="18"/>
      <w:szCs w:val="18"/>
    </w:rPr>
  </w:style>
  <w:style w:type="character" w:customStyle="1" w:styleId="65">
    <w:name w:val="页眉 Char2"/>
    <w:qFormat/>
    <w:uiPriority w:val="99"/>
    <w:rPr>
      <w:kern w:val="2"/>
      <w:sz w:val="18"/>
      <w:szCs w:val="18"/>
    </w:rPr>
  </w:style>
  <w:style w:type="paragraph" w:customStyle="1" w:styleId="66">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7">
    <w:name w:val="正文缩进1"/>
    <w:basedOn w:val="1"/>
    <w:next w:val="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8">
    <w:name w:val="text-tag"/>
    <w:basedOn w:val="1"/>
    <w:semiHidden/>
    <w:qFormat/>
    <w:uiPriority w:val="99"/>
    <w:pPr>
      <w:spacing w:before="100" w:beforeAutospacing="1" w:after="100" w:afterAutospacing="1"/>
    </w:pPr>
    <w:rPr>
      <w:rFonts w:ascii="宋体" w:hAnsi="宋体" w:eastAsia="宋体" w:cs="宋体"/>
    </w:rPr>
  </w:style>
  <w:style w:type="character" w:customStyle="1" w:styleId="69">
    <w:name w:val="纯文本 Char_0"/>
    <w:link w:val="70"/>
    <w:qFormat/>
    <w:uiPriority w:val="0"/>
    <w:rPr>
      <w:rFonts w:ascii="宋体" w:hAnsi="Courier New"/>
      <w:kern w:val="2"/>
      <w:sz w:val="21"/>
      <w:szCs w:val="21"/>
    </w:rPr>
  </w:style>
  <w:style w:type="paragraph" w:customStyle="1" w:styleId="70">
    <w:name w:val="纯文本_0_0"/>
    <w:basedOn w:val="1"/>
    <w:link w:val="69"/>
    <w:qFormat/>
    <w:uiPriority w:val="0"/>
    <w:pPr>
      <w:widowControl w:val="0"/>
      <w:spacing w:after="0"/>
      <w:jc w:val="both"/>
    </w:pPr>
    <w:rPr>
      <w:rFonts w:ascii="宋体" w:hAnsi="Courier New" w:eastAsiaTheme="majorEastAsia"/>
      <w:kern w:val="2"/>
      <w:sz w:val="21"/>
      <w:szCs w:val="21"/>
    </w:rPr>
  </w:style>
  <w:style w:type="paragraph" w:customStyle="1" w:styleId="71">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2">
    <w:name w:val="批注框文本 Char"/>
    <w:basedOn w:val="23"/>
    <w:link w:val="15"/>
    <w:semiHidden/>
    <w:qFormat/>
    <w:uiPriority w:val="99"/>
    <w:rPr>
      <w:rFonts w:ascii="仿宋" w:hAnsi="仿宋" w:eastAsia="仿宋"/>
      <w:sz w:val="18"/>
      <w:szCs w:val="18"/>
    </w:rPr>
  </w:style>
  <w:style w:type="paragraph" w:customStyle="1" w:styleId="73">
    <w:name w:val="_Style 1"/>
    <w:basedOn w:val="1"/>
    <w:qFormat/>
    <w:uiPriority w:val="34"/>
    <w:pPr>
      <w:adjustRightInd/>
      <w:ind w:firstLine="420" w:firstLineChars="200"/>
    </w:pPr>
    <w:rPr>
      <w:rFonts w:eastAsia="仿宋_GB2312"/>
      <w:sz w:val="28"/>
    </w:rPr>
  </w:style>
  <w:style w:type="paragraph" w:customStyle="1" w:styleId="74">
    <w:name w:val="Plain Text"/>
    <w:basedOn w:val="1"/>
    <w:unhideWhenUsed/>
    <w:qFormat/>
    <w:uiPriority w:val="99"/>
    <w:rPr>
      <w:rFonts w:hint="eastAsia" w:ascii="宋体" w:hAnsi="Courier New"/>
      <w:szCs w:val="20"/>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6">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1844C-0EB1-44B5-8932-1F98C212E515}">
  <ds:schemaRefs/>
</ds:datastoreItem>
</file>

<file path=docProps/app.xml><?xml version="1.0" encoding="utf-8"?>
<Properties xmlns="http://schemas.openxmlformats.org/officeDocument/2006/extended-properties" xmlns:vt="http://schemas.openxmlformats.org/officeDocument/2006/docPropsVTypes">
  <Template>Normal</Template>
  <Pages>81</Pages>
  <Words>35805</Words>
  <Characters>38010</Characters>
  <Lines>305</Lines>
  <Paragraphs>86</Paragraphs>
  <TotalTime>7</TotalTime>
  <ScaleCrop>false</ScaleCrop>
  <LinksUpToDate>false</LinksUpToDate>
  <CharactersWithSpaces>43624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超超</cp:lastModifiedBy>
  <cp:lastPrinted>2022-06-10T09:02:00Z</cp:lastPrinted>
  <dcterms:modified xsi:type="dcterms:W3CDTF">2022-07-05T08:10:20Z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EB29EF18F19B436E83C9EDD6B115EA0F</vt:lpwstr>
  </property>
</Properties>
</file>