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rPr>
          <w:rFonts w:ascii="仿宋_GB2312" w:hAnsi="仿宋" w:eastAsia="仿宋_GB2312" w:cs="仿宋_GB2312"/>
          <w:b/>
          <w:sz w:val="48"/>
          <w:szCs w:val="48"/>
        </w:rPr>
      </w:pPr>
    </w:p>
    <w:p>
      <w:pPr>
        <w:adjustRightInd/>
        <w:jc w:val="center"/>
        <w:rPr>
          <w:rFonts w:ascii="仿宋" w:hAnsi="仿宋" w:eastAsia="仿宋" w:cs="仿宋_GB2312"/>
          <w:b/>
          <w:color w:val="000000"/>
          <w:sz w:val="56"/>
          <w:szCs w:val="72"/>
        </w:rPr>
      </w:pPr>
      <w:r>
        <w:rPr>
          <w:rFonts w:hint="eastAsia" w:ascii="仿宋" w:hAnsi="仿宋" w:eastAsia="仿宋" w:cs="仿宋_GB2312"/>
          <w:b/>
          <w:color w:val="000000"/>
          <w:sz w:val="56"/>
          <w:szCs w:val="72"/>
        </w:rPr>
        <w:t>杭州市萧山区第二人民医院医疗设备整体维保服务政府采购项目</w:t>
      </w:r>
    </w:p>
    <w:p>
      <w:pPr>
        <w:adjustRightInd/>
        <w:spacing w:line="360" w:lineRule="auto"/>
        <w:jc w:val="center"/>
        <w:rPr>
          <w:rFonts w:ascii="仿宋" w:hAnsi="仿宋" w:eastAsia="仿宋" w:cs="仿宋_GB2312"/>
          <w:b/>
          <w:bCs/>
          <w:sz w:val="48"/>
          <w:szCs w:val="48"/>
        </w:rPr>
      </w:pPr>
    </w:p>
    <w:p>
      <w:pPr>
        <w:adjustRightInd/>
        <w:spacing w:line="360" w:lineRule="auto"/>
        <w:jc w:val="center"/>
        <w:rPr>
          <w:rFonts w:ascii="仿宋" w:hAnsi="仿宋" w:eastAsia="仿宋" w:cs="仿宋_GB2312"/>
          <w:b/>
          <w:bCs/>
          <w:sz w:val="48"/>
          <w:szCs w:val="48"/>
        </w:rPr>
      </w:pPr>
      <w:r>
        <w:rPr>
          <w:rFonts w:hint="eastAsia" w:ascii="仿宋" w:hAnsi="仿宋" w:eastAsia="仿宋" w:cs="仿宋_GB2312"/>
          <w:b/>
          <w:bCs/>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color w:val="000000"/>
          <w:sz w:val="30"/>
          <w:szCs w:val="30"/>
        </w:rPr>
        <w:t>XSEY2022-GK-007</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宋体"/>
          <w:bCs/>
          <w:sz w:val="32"/>
          <w:szCs w:val="32"/>
        </w:rPr>
      </w:pPr>
      <w:r>
        <w:rPr>
          <w:rFonts w:hint="eastAsia" w:ascii="仿宋" w:hAnsi="仿宋" w:eastAsia="仿宋" w:cs="宋体"/>
          <w:bCs/>
          <w:sz w:val="32"/>
          <w:szCs w:val="32"/>
        </w:rPr>
        <w:t>杭州市萧山区第二人民医院</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浙江翔实建设项目管理有限公司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二二年六月十</w:t>
      </w:r>
      <w:r>
        <w:rPr>
          <w:rFonts w:hint="eastAsia" w:ascii="仿宋_GB2312" w:hAnsi="仿宋_GB2312" w:eastAsia="仿宋_GB2312" w:cs="仿宋_GB2312"/>
          <w:bCs/>
          <w:sz w:val="32"/>
          <w:szCs w:val="32"/>
          <w:lang w:eastAsia="zh-CN"/>
        </w:rPr>
        <w:t>七</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 w:hAnsi="仿宋" w:eastAsia="仿宋"/>
          <w:color w:val="000000"/>
          <w:sz w:val="24"/>
          <w:szCs w:val="28"/>
          <w:u w:val="single"/>
        </w:rPr>
        <w:t>杭州市萧山区第二人民医院医疗设备整体维保服务政府采购项目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ascii="仿宋_GB2312" w:hAnsi="仿宋" w:eastAsia="仿宋_GB2312"/>
          <w:sz w:val="24"/>
        </w:rPr>
      </w:pPr>
      <w:r>
        <w:rPr>
          <w:rFonts w:hint="eastAsia" w:ascii="仿宋_GB2312" w:hAnsi="仿宋" w:eastAsia="仿宋_GB2312"/>
          <w:b/>
          <w:sz w:val="24"/>
        </w:rPr>
        <w:t>项目编号：</w:t>
      </w:r>
      <w:r>
        <w:rPr>
          <w:rFonts w:hint="eastAsia" w:ascii="仿宋" w:hAnsi="仿宋" w:eastAsia="仿宋"/>
          <w:color w:val="000000"/>
          <w:sz w:val="24"/>
          <w:szCs w:val="28"/>
          <w:u w:val="single"/>
        </w:rPr>
        <w:t>XSEY2022-GK-007</w:t>
      </w:r>
    </w:p>
    <w:p>
      <w:pPr>
        <w:spacing w:line="360" w:lineRule="auto"/>
        <w:rPr>
          <w:rFonts w:ascii="仿宋_GB2312" w:hAnsi="仿宋" w:eastAsia="仿宋_GB2312"/>
          <w:sz w:val="24"/>
        </w:rPr>
      </w:pPr>
      <w:r>
        <w:rPr>
          <w:rFonts w:ascii="仿宋_GB2312" w:hAnsi="仿宋" w:eastAsia="仿宋_GB2312"/>
          <w:b/>
          <w:spacing w:val="-6"/>
          <w:sz w:val="24"/>
        </w:rPr>
        <w:t>项目名称：</w:t>
      </w:r>
      <w:r>
        <w:rPr>
          <w:rFonts w:hint="eastAsia" w:ascii="仿宋" w:hAnsi="仿宋" w:eastAsia="仿宋"/>
          <w:color w:val="000000"/>
          <w:spacing w:val="-6"/>
          <w:sz w:val="24"/>
          <w:szCs w:val="28"/>
          <w:u w:val="single"/>
        </w:rPr>
        <w:t>杭州市萧山区第二人民医院医疗设备整体维保服务政府采购项目</w:t>
      </w:r>
    </w:p>
    <w:p>
      <w:pPr>
        <w:spacing w:line="360" w:lineRule="auto"/>
        <w:rPr>
          <w:rFonts w:ascii="仿宋_GB2312" w:hAnsi="仿宋" w:eastAsia="仿宋_GB2312"/>
          <w:sz w:val="24"/>
        </w:rPr>
      </w:pPr>
      <w:r>
        <w:rPr>
          <w:rFonts w:ascii="仿宋_GB2312" w:hAnsi="仿宋" w:eastAsia="仿宋_GB2312"/>
          <w:b/>
          <w:sz w:val="24"/>
        </w:rPr>
        <w:t xml:space="preserve"> 预算金额（元）：</w:t>
      </w:r>
      <w:r>
        <w:rPr>
          <w:rFonts w:hint="eastAsia" w:ascii="仿宋_GB2312" w:hAnsi="仿宋" w:eastAsia="仿宋_GB2312"/>
          <w:b/>
          <w:sz w:val="24"/>
        </w:rPr>
        <w:t>6000000</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最高限价（元）：6000000</w:t>
      </w:r>
    </w:p>
    <w:p>
      <w:pPr>
        <w:spacing w:line="360" w:lineRule="auto"/>
        <w:ind w:firstLine="482" w:firstLineChars="200"/>
        <w:rPr>
          <w:rFonts w:ascii="仿宋_GB2312" w:hAnsi="仿宋" w:eastAsia="仿宋_GB2312"/>
          <w:bCs/>
          <w:sz w:val="24"/>
        </w:rPr>
      </w:pPr>
      <w:r>
        <w:rPr>
          <w:rFonts w:hint="eastAsia" w:ascii="仿宋_GB2312" w:hAnsi="仿宋" w:eastAsia="仿宋_GB2312"/>
          <w:b/>
          <w:sz w:val="24"/>
        </w:rPr>
        <w:t>采购需求：</w:t>
      </w:r>
      <w:r>
        <w:rPr>
          <w:rFonts w:hint="eastAsia" w:ascii="仿宋" w:hAnsi="仿宋" w:eastAsia="仿宋"/>
          <w:color w:val="000000"/>
          <w:sz w:val="24"/>
          <w:szCs w:val="28"/>
        </w:rPr>
        <w:t>杭州市萧山区第二人民医院医疗设备整体维保服务政府采购项目，</w:t>
      </w:r>
      <w:r>
        <w:rPr>
          <w:rFonts w:hint="eastAsia" w:ascii="仿宋_GB2312" w:hAnsi="仿宋" w:eastAsia="仿宋_GB2312"/>
          <w:bCs/>
          <w:sz w:val="24"/>
        </w:rPr>
        <w:t>主要内容详见招标文件第三部分采购需求。</w:t>
      </w:r>
    </w:p>
    <w:p>
      <w:pPr>
        <w:pStyle w:val="131"/>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bCs/>
        </w:rPr>
        <w:t>按文件要求</w:t>
      </w:r>
    </w:p>
    <w:p>
      <w:pPr>
        <w:spacing w:line="360" w:lineRule="auto"/>
        <w:ind w:firstLine="480"/>
        <w:rPr>
          <w:rFonts w:ascii="仿宋_GB2312" w:hAnsi="仿宋" w:eastAsia="仿宋_GB2312"/>
          <w:b/>
          <w:sz w:val="24"/>
        </w:rPr>
      </w:pPr>
      <w:r>
        <w:rPr>
          <w:rFonts w:hint="eastAsia" w:ascii="仿宋_GB2312" w:hAnsi="仿宋" w:eastAsia="仿宋_GB2312"/>
          <w:b/>
          <w:sz w:val="24"/>
        </w:rPr>
        <w:t>本项目接受联合体投标：（ ）是；（√）否</w:t>
      </w:r>
      <w:r>
        <w:rPr>
          <w:rFonts w:hint="eastAsia" w:cs="Arial" w:asciiTheme="minorEastAsia" w:hAnsiTheme="minorEastAsia" w:eastAsiaTheme="minorEastAsia"/>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240" w:firstLineChars="100"/>
        <w:rPr>
          <w:rFonts w:ascii="仿宋_GB2312" w:hAnsi="仿宋" w:eastAsia="仿宋"/>
          <w:sz w:val="24"/>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落实政府采购政策需满足的资格要求：无</w:t>
      </w:r>
    </w:p>
    <w:p>
      <w:pPr>
        <w:spacing w:line="360" w:lineRule="auto"/>
        <w:ind w:firstLine="240" w:firstLineChars="100"/>
        <w:rPr>
          <w:rFonts w:ascii="仿宋_GB2312" w:hAnsi="仿宋" w:eastAsia="仿宋_GB2312"/>
          <w:sz w:val="24"/>
        </w:rPr>
      </w:pPr>
      <w:r>
        <w:rPr>
          <w:rFonts w:ascii="仿宋_GB2312" w:hAnsi="仿宋" w:eastAsia="仿宋_GB2312"/>
          <w:sz w:val="24"/>
        </w:rPr>
        <w:t>3.本项目的特定资格要求：</w:t>
      </w:r>
      <w:r>
        <w:rPr>
          <w:rFonts w:hint="eastAsia" w:ascii="仿宋_GB2312" w:hAnsi="仿宋" w:eastAsia="仿宋_GB2312"/>
          <w:sz w:val="24"/>
        </w:rPr>
        <w:t>无</w:t>
      </w:r>
    </w:p>
    <w:p>
      <w:pPr>
        <w:snapToGrid w:val="0"/>
        <w:spacing w:line="360" w:lineRule="auto"/>
        <w:ind w:firstLine="240" w:firstLineChars="1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7</w:t>
      </w:r>
      <w:r>
        <w:rPr>
          <w:rFonts w:ascii="仿宋_GB2312" w:hAnsi="仿宋" w:eastAsia="仿宋_GB2312"/>
          <w:sz w:val="24"/>
          <w:u w:val="single"/>
        </w:rPr>
        <w:t>月</w:t>
      </w:r>
      <w:r>
        <w:rPr>
          <w:rFonts w:hint="eastAsia" w:ascii="仿宋_GB2312" w:hAnsi="仿宋" w:eastAsia="仿宋_GB2312"/>
          <w:sz w:val="24"/>
          <w:u w:val="single"/>
          <w:lang w:val="en-US" w:eastAsia="zh-CN"/>
        </w:rPr>
        <w:t>7</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点00分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7</w:t>
      </w:r>
      <w:r>
        <w:rPr>
          <w:rFonts w:hint="eastAsia" w:ascii="仿宋_GB2312" w:hAnsi="仿宋" w:eastAsia="仿宋_GB2312"/>
          <w:sz w:val="24"/>
          <w:u w:val="single"/>
        </w:rPr>
        <w:t xml:space="preserve">月 </w:t>
      </w:r>
      <w:r>
        <w:rPr>
          <w:rFonts w:hint="eastAsia" w:ascii="仿宋_GB2312" w:hAnsi="仿宋" w:eastAsia="仿宋_GB2312"/>
          <w:sz w:val="24"/>
          <w:u w:val="single"/>
          <w:lang w:val="en-US" w:eastAsia="zh-CN"/>
        </w:rPr>
        <w:t>7</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点00分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color w:val="000000" w:themeColor="text1"/>
          <w:sz w:val="24"/>
        </w:rPr>
        <w:t>政</w:t>
      </w:r>
      <w:r>
        <w:rPr>
          <w:rFonts w:hint="eastAsia" w:ascii="仿宋_GB2312" w:hAnsi="仿宋" w:eastAsia="仿宋_GB2312"/>
          <w:color w:val="000000" w:themeColor="text1"/>
          <w:sz w:val="24"/>
        </w:rPr>
        <w:t>采云平台（</w:t>
      </w:r>
      <w:r>
        <w:rPr>
          <w:rFonts w:ascii="仿宋_GB2312" w:hAnsi="仿宋" w:eastAsia="仿宋_GB2312"/>
          <w:color w:val="000000" w:themeColor="text1"/>
          <w:sz w:val="24"/>
        </w:rPr>
        <w:t>https://www.zcygov.cn/）</w:t>
      </w:r>
      <w:r>
        <w:rPr>
          <w:rFonts w:hint="eastAsia" w:ascii="仿宋" w:hAnsi="仿宋" w:eastAsia="仿宋"/>
          <w:color w:val="000000" w:themeColor="text1"/>
          <w:sz w:val="24"/>
          <w:szCs w:val="28"/>
        </w:rPr>
        <w:t>[杭州市萧山区北干街道金惠路358号汇通大厦4幢6楼。]。</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jc w:val="left"/>
        <w:rPr>
          <w:rFonts w:ascii="仿宋" w:hAnsi="仿宋" w:eastAsia="仿宋"/>
          <w:sz w:val="24"/>
          <w:szCs w:val="28"/>
        </w:rPr>
      </w:pPr>
      <w:r>
        <w:rPr>
          <w:rFonts w:hint="eastAsia" w:ascii="仿宋" w:hAnsi="仿宋" w:eastAsia="仿宋"/>
          <w:sz w:val="24"/>
          <w:szCs w:val="28"/>
        </w:rPr>
        <w:t>1.采购人信息</w:t>
      </w:r>
    </w:p>
    <w:p>
      <w:pPr>
        <w:spacing w:line="360" w:lineRule="auto"/>
        <w:jc w:val="left"/>
        <w:rPr>
          <w:rFonts w:ascii="仿宋" w:hAnsi="仿宋" w:eastAsia="仿宋"/>
          <w:sz w:val="24"/>
          <w:szCs w:val="28"/>
        </w:rPr>
      </w:pPr>
      <w:r>
        <w:rPr>
          <w:rFonts w:hint="eastAsia" w:ascii="仿宋" w:hAnsi="仿宋" w:eastAsia="仿宋"/>
          <w:sz w:val="24"/>
          <w:szCs w:val="28"/>
        </w:rPr>
        <w:t>名 称：</w:t>
      </w:r>
      <w:r>
        <w:rPr>
          <w:rFonts w:hint="eastAsia" w:ascii="仿宋" w:hAnsi="仿宋" w:eastAsia="仿宋"/>
          <w:color w:val="000000"/>
          <w:sz w:val="24"/>
          <w:szCs w:val="28"/>
        </w:rPr>
        <w:t>杭州市萧山区第二人民医院</w:t>
      </w:r>
    </w:p>
    <w:p>
      <w:pPr>
        <w:spacing w:line="360" w:lineRule="auto"/>
        <w:jc w:val="left"/>
        <w:rPr>
          <w:rFonts w:ascii="仿宋" w:hAnsi="仿宋" w:eastAsia="仿宋"/>
          <w:sz w:val="24"/>
          <w:szCs w:val="28"/>
        </w:rPr>
      </w:pPr>
      <w:r>
        <w:rPr>
          <w:rFonts w:hint="eastAsia" w:ascii="仿宋" w:hAnsi="仿宋" w:eastAsia="仿宋"/>
          <w:sz w:val="24"/>
          <w:szCs w:val="28"/>
        </w:rPr>
        <w:t xml:space="preserve">地址：杭州市萧山区瓜沥镇东灵路47号 </w:t>
      </w:r>
    </w:p>
    <w:p>
      <w:pPr>
        <w:spacing w:line="360" w:lineRule="auto"/>
        <w:jc w:val="left"/>
        <w:rPr>
          <w:rFonts w:ascii="仿宋" w:hAnsi="仿宋" w:eastAsia="仿宋"/>
          <w:sz w:val="24"/>
          <w:szCs w:val="28"/>
        </w:rPr>
      </w:pPr>
      <w:r>
        <w:rPr>
          <w:rFonts w:ascii="仿宋" w:hAnsi="仿宋" w:eastAsia="仿宋"/>
          <w:sz w:val="24"/>
          <w:szCs w:val="28"/>
        </w:rPr>
        <w:t>传真</w:t>
      </w:r>
      <w:r>
        <w:rPr>
          <w:rFonts w:hint="eastAsia" w:ascii="仿宋" w:hAnsi="仿宋" w:eastAsia="仿宋"/>
          <w:sz w:val="24"/>
          <w:szCs w:val="28"/>
        </w:rPr>
        <w:t>：/</w:t>
      </w:r>
    </w:p>
    <w:p>
      <w:pPr>
        <w:spacing w:line="360" w:lineRule="auto"/>
        <w:jc w:val="left"/>
        <w:rPr>
          <w:rFonts w:ascii="仿宋" w:hAnsi="仿宋" w:eastAsia="仿宋"/>
          <w:sz w:val="24"/>
          <w:szCs w:val="28"/>
        </w:rPr>
      </w:pPr>
      <w:r>
        <w:rPr>
          <w:rFonts w:ascii="仿宋" w:hAnsi="仿宋" w:eastAsia="仿宋"/>
          <w:sz w:val="24"/>
          <w:szCs w:val="28"/>
        </w:rPr>
        <w:t>项目联系人</w:t>
      </w:r>
      <w:r>
        <w:rPr>
          <w:rFonts w:hint="eastAsia" w:ascii="仿宋" w:hAnsi="仿宋" w:eastAsia="仿宋"/>
          <w:sz w:val="24"/>
          <w:szCs w:val="28"/>
        </w:rPr>
        <w:t>（询问）：俞国水</w:t>
      </w:r>
    </w:p>
    <w:p>
      <w:pPr>
        <w:spacing w:line="360" w:lineRule="auto"/>
        <w:jc w:val="left"/>
        <w:rPr>
          <w:rFonts w:ascii="仿宋" w:hAnsi="仿宋" w:eastAsia="仿宋"/>
          <w:sz w:val="24"/>
          <w:szCs w:val="28"/>
        </w:rPr>
      </w:pPr>
      <w:r>
        <w:rPr>
          <w:rFonts w:ascii="仿宋" w:hAnsi="仿宋" w:eastAsia="仿宋"/>
          <w:sz w:val="24"/>
          <w:szCs w:val="28"/>
        </w:rPr>
        <w:t>项目联系方式</w:t>
      </w:r>
      <w:r>
        <w:rPr>
          <w:rFonts w:hint="eastAsia" w:ascii="仿宋" w:hAnsi="仿宋" w:eastAsia="仿宋"/>
          <w:sz w:val="24"/>
          <w:szCs w:val="28"/>
        </w:rPr>
        <w:t>（询问）：0571-82577256</w:t>
      </w:r>
    </w:p>
    <w:p>
      <w:pPr>
        <w:spacing w:line="360" w:lineRule="auto"/>
        <w:jc w:val="left"/>
        <w:rPr>
          <w:rFonts w:ascii="仿宋" w:hAnsi="仿宋" w:eastAsia="仿宋"/>
          <w:sz w:val="24"/>
          <w:szCs w:val="28"/>
        </w:rPr>
      </w:pPr>
      <w:r>
        <w:rPr>
          <w:rFonts w:hint="eastAsia" w:ascii="仿宋" w:hAnsi="仿宋" w:eastAsia="仿宋"/>
          <w:sz w:val="24"/>
          <w:szCs w:val="28"/>
        </w:rPr>
        <w:t>质疑联系人：</w:t>
      </w:r>
      <w:bookmarkStart w:id="11" w:name="_Toc28359009"/>
      <w:bookmarkStart w:id="12" w:name="_Toc28359086"/>
      <w:r>
        <w:rPr>
          <w:rFonts w:hint="eastAsia" w:ascii="仿宋" w:hAnsi="仿宋" w:eastAsia="仿宋"/>
          <w:sz w:val="24"/>
          <w:szCs w:val="28"/>
        </w:rPr>
        <w:t>孔慧斐</w:t>
      </w:r>
    </w:p>
    <w:p>
      <w:pPr>
        <w:spacing w:line="360" w:lineRule="auto"/>
        <w:jc w:val="left"/>
        <w:rPr>
          <w:rFonts w:ascii="仿宋" w:hAnsi="仿宋" w:eastAsia="仿宋"/>
          <w:sz w:val="24"/>
          <w:szCs w:val="28"/>
        </w:rPr>
      </w:pPr>
      <w:r>
        <w:rPr>
          <w:rFonts w:ascii="仿宋" w:hAnsi="仿宋" w:eastAsia="仿宋"/>
          <w:sz w:val="24"/>
          <w:szCs w:val="28"/>
        </w:rPr>
        <w:t>质疑联系方式</w:t>
      </w:r>
      <w:r>
        <w:rPr>
          <w:rFonts w:hint="eastAsia" w:ascii="仿宋" w:hAnsi="仿宋" w:eastAsia="仿宋"/>
          <w:sz w:val="24"/>
          <w:szCs w:val="28"/>
        </w:rPr>
        <w:t>：0571-82577206</w:t>
      </w:r>
    </w:p>
    <w:p>
      <w:pPr>
        <w:spacing w:line="360" w:lineRule="auto"/>
        <w:jc w:val="left"/>
        <w:rPr>
          <w:rFonts w:ascii="仿宋" w:hAnsi="仿宋" w:eastAsia="仿宋"/>
          <w:sz w:val="24"/>
          <w:szCs w:val="28"/>
        </w:rPr>
      </w:pPr>
      <w:r>
        <w:rPr>
          <w:rFonts w:hint="eastAsia" w:ascii="仿宋" w:hAnsi="仿宋" w:eastAsia="仿宋" w:cs="宋体"/>
          <w:sz w:val="24"/>
          <w:szCs w:val="28"/>
        </w:rPr>
        <w:t>2</w:t>
      </w:r>
      <w:r>
        <w:rPr>
          <w:rFonts w:ascii="仿宋" w:hAnsi="仿宋" w:eastAsia="仿宋" w:cs="宋体"/>
          <w:sz w:val="24"/>
          <w:szCs w:val="28"/>
        </w:rPr>
        <w:t>.</w:t>
      </w:r>
      <w:r>
        <w:rPr>
          <w:rFonts w:hint="eastAsia" w:ascii="仿宋" w:hAnsi="仿宋" w:eastAsia="仿宋" w:cs="宋体"/>
          <w:sz w:val="24"/>
          <w:szCs w:val="28"/>
        </w:rPr>
        <w:t>采购代理机构信息</w:t>
      </w:r>
      <w:bookmarkEnd w:id="11"/>
      <w:bookmarkEnd w:id="12"/>
    </w:p>
    <w:p>
      <w:pPr>
        <w:spacing w:line="360" w:lineRule="auto"/>
        <w:jc w:val="left"/>
        <w:rPr>
          <w:rFonts w:ascii="仿宋" w:hAnsi="仿宋" w:eastAsia="仿宋"/>
          <w:sz w:val="24"/>
          <w:szCs w:val="28"/>
        </w:rPr>
      </w:pPr>
      <w:r>
        <w:rPr>
          <w:rFonts w:hint="eastAsia" w:ascii="仿宋" w:hAnsi="仿宋" w:eastAsia="仿宋"/>
          <w:sz w:val="24"/>
          <w:szCs w:val="28"/>
        </w:rPr>
        <w:t>名 称：浙江翔实建设项目管理有限公司</w:t>
      </w:r>
    </w:p>
    <w:p>
      <w:pPr>
        <w:spacing w:line="360" w:lineRule="auto"/>
        <w:jc w:val="left"/>
        <w:rPr>
          <w:rFonts w:ascii="仿宋" w:hAnsi="仿宋" w:eastAsia="仿宋"/>
          <w:sz w:val="24"/>
          <w:szCs w:val="28"/>
        </w:rPr>
      </w:pPr>
      <w:r>
        <w:rPr>
          <w:rFonts w:hint="eastAsia" w:ascii="仿宋" w:hAnsi="仿宋" w:eastAsia="仿宋"/>
          <w:sz w:val="24"/>
          <w:szCs w:val="28"/>
        </w:rPr>
        <w:t>地址：杭州市萧山区北干街道金惠路358号汇通大厦4幢6楼</w:t>
      </w:r>
    </w:p>
    <w:p>
      <w:pPr>
        <w:spacing w:line="360" w:lineRule="auto"/>
        <w:jc w:val="left"/>
        <w:rPr>
          <w:rFonts w:ascii="仿宋" w:hAnsi="仿宋" w:eastAsia="仿宋"/>
          <w:sz w:val="24"/>
          <w:szCs w:val="28"/>
        </w:rPr>
      </w:pPr>
      <w:r>
        <w:rPr>
          <w:rFonts w:ascii="仿宋" w:hAnsi="仿宋" w:eastAsia="仿宋"/>
          <w:sz w:val="24"/>
          <w:szCs w:val="28"/>
        </w:rPr>
        <w:t>传真</w:t>
      </w:r>
      <w:r>
        <w:rPr>
          <w:rFonts w:hint="eastAsia" w:ascii="仿宋" w:hAnsi="仿宋" w:eastAsia="仿宋"/>
          <w:sz w:val="24"/>
          <w:szCs w:val="28"/>
        </w:rPr>
        <w:t>：/</w:t>
      </w:r>
    </w:p>
    <w:p>
      <w:pPr>
        <w:spacing w:line="360" w:lineRule="auto"/>
        <w:jc w:val="left"/>
        <w:rPr>
          <w:rFonts w:ascii="仿宋" w:hAnsi="仿宋" w:eastAsia="仿宋"/>
          <w:sz w:val="24"/>
          <w:szCs w:val="28"/>
        </w:rPr>
      </w:pPr>
      <w:r>
        <w:rPr>
          <w:rFonts w:ascii="仿宋" w:hAnsi="仿宋" w:eastAsia="仿宋"/>
          <w:sz w:val="24"/>
          <w:szCs w:val="28"/>
        </w:rPr>
        <w:t>项目联系人</w:t>
      </w:r>
      <w:r>
        <w:rPr>
          <w:rFonts w:hint="eastAsia" w:ascii="仿宋" w:hAnsi="仿宋" w:eastAsia="仿宋"/>
          <w:sz w:val="24"/>
          <w:szCs w:val="28"/>
        </w:rPr>
        <w:t>（询问）：韩超超</w:t>
      </w:r>
    </w:p>
    <w:p>
      <w:pPr>
        <w:spacing w:line="360" w:lineRule="auto"/>
        <w:jc w:val="left"/>
        <w:rPr>
          <w:rFonts w:ascii="仿宋" w:hAnsi="仿宋" w:eastAsia="仿宋"/>
          <w:sz w:val="24"/>
          <w:szCs w:val="28"/>
        </w:rPr>
      </w:pPr>
      <w:r>
        <w:rPr>
          <w:rFonts w:ascii="仿宋" w:hAnsi="仿宋" w:eastAsia="仿宋"/>
          <w:sz w:val="24"/>
          <w:szCs w:val="28"/>
        </w:rPr>
        <w:t>项目联系方式</w:t>
      </w:r>
      <w:r>
        <w:rPr>
          <w:rFonts w:hint="eastAsia" w:ascii="仿宋" w:hAnsi="仿宋" w:eastAsia="仿宋"/>
          <w:sz w:val="24"/>
          <w:szCs w:val="28"/>
        </w:rPr>
        <w:t>（询问）：0571-82858325</w:t>
      </w:r>
    </w:p>
    <w:p>
      <w:pPr>
        <w:spacing w:line="360" w:lineRule="auto"/>
        <w:jc w:val="left"/>
        <w:rPr>
          <w:rFonts w:ascii="仿宋" w:hAnsi="仿宋" w:eastAsia="仿宋"/>
          <w:sz w:val="24"/>
          <w:szCs w:val="28"/>
        </w:rPr>
      </w:pPr>
      <w:r>
        <w:rPr>
          <w:rFonts w:hint="eastAsia" w:ascii="仿宋" w:hAnsi="仿宋" w:eastAsia="仿宋"/>
          <w:sz w:val="24"/>
          <w:szCs w:val="28"/>
        </w:rPr>
        <w:t>质疑联系人：郭翔</w:t>
      </w:r>
    </w:p>
    <w:p>
      <w:pPr>
        <w:spacing w:line="360" w:lineRule="auto"/>
        <w:jc w:val="left"/>
        <w:rPr>
          <w:rFonts w:ascii="仿宋" w:hAnsi="仿宋" w:eastAsia="仿宋"/>
          <w:sz w:val="24"/>
          <w:szCs w:val="28"/>
        </w:rPr>
      </w:pPr>
      <w:r>
        <w:rPr>
          <w:rFonts w:ascii="仿宋" w:hAnsi="仿宋" w:eastAsia="仿宋"/>
          <w:sz w:val="24"/>
          <w:szCs w:val="28"/>
        </w:rPr>
        <w:t>质疑联系方式</w:t>
      </w:r>
      <w:r>
        <w:rPr>
          <w:rFonts w:hint="eastAsia" w:ascii="仿宋" w:hAnsi="仿宋" w:eastAsia="仿宋"/>
          <w:sz w:val="24"/>
          <w:szCs w:val="28"/>
        </w:rPr>
        <w:t>：0571-82858903</w:t>
      </w:r>
    </w:p>
    <w:p>
      <w:pPr>
        <w:spacing w:line="360" w:lineRule="auto"/>
        <w:jc w:val="left"/>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.同级政府采购监督管理部门</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名</w:t>
      </w:r>
      <w:r>
        <w:rPr>
          <w:rFonts w:ascii="Calibri" w:hAnsi="Calibri" w:eastAsia="仿宋" w:cs="Calibri"/>
          <w:sz w:val="24"/>
          <w:szCs w:val="28"/>
        </w:rPr>
        <w:t>   </w:t>
      </w:r>
      <w:r>
        <w:rPr>
          <w:rFonts w:ascii="仿宋" w:hAnsi="仿宋" w:eastAsia="仿宋"/>
          <w:sz w:val="24"/>
          <w:szCs w:val="28"/>
        </w:rPr>
        <w:t xml:space="preserve"> 称：萧山区财政局</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地</w:t>
      </w:r>
      <w:r>
        <w:rPr>
          <w:rFonts w:ascii="Calibri" w:hAnsi="Calibri" w:eastAsia="仿宋" w:cs="Calibri"/>
          <w:sz w:val="24"/>
          <w:szCs w:val="28"/>
        </w:rPr>
        <w:t>   </w:t>
      </w:r>
      <w:r>
        <w:rPr>
          <w:rFonts w:ascii="仿宋" w:hAnsi="仿宋" w:eastAsia="仿宋"/>
          <w:sz w:val="24"/>
          <w:szCs w:val="28"/>
        </w:rPr>
        <w:t xml:space="preserve"> 址：萧山区人民路318号</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传</w:t>
      </w:r>
      <w:r>
        <w:rPr>
          <w:rFonts w:ascii="Calibri" w:hAnsi="Calibri" w:eastAsia="仿宋" w:cs="Calibri"/>
          <w:sz w:val="24"/>
          <w:szCs w:val="28"/>
        </w:rPr>
        <w:t>  </w:t>
      </w:r>
      <w:r>
        <w:rPr>
          <w:rFonts w:ascii="仿宋" w:hAnsi="仿宋" w:eastAsia="仿宋"/>
          <w:sz w:val="24"/>
          <w:szCs w:val="28"/>
        </w:rPr>
        <w:t>真：0571-82752687</w:t>
      </w:r>
      <w:r>
        <w:rPr>
          <w:rFonts w:ascii="Calibri" w:hAnsi="Calibri" w:eastAsia="仿宋" w:cs="Calibri"/>
          <w:sz w:val="24"/>
          <w:szCs w:val="28"/>
        </w:rPr>
        <w:t>        </w:t>
      </w:r>
    </w:p>
    <w:p>
      <w:pPr>
        <w:spacing w:line="360" w:lineRule="auto"/>
        <w:jc w:val="left"/>
        <w:rPr>
          <w:rFonts w:ascii="仿宋" w:hAnsi="仿宋" w:eastAsia="仿宋"/>
          <w:sz w:val="24"/>
          <w:szCs w:val="28"/>
        </w:rPr>
      </w:pPr>
      <w:r>
        <w:rPr>
          <w:rFonts w:ascii="仿宋" w:hAnsi="仿宋" w:eastAsia="仿宋"/>
          <w:sz w:val="24"/>
          <w:szCs w:val="28"/>
        </w:rPr>
        <w:t>联系人 ：陈先生</w:t>
      </w:r>
      <w:r>
        <w:rPr>
          <w:rFonts w:ascii="Calibri" w:hAnsi="Calibri" w:eastAsia="仿宋" w:cs="Calibri"/>
          <w:sz w:val="24"/>
          <w:szCs w:val="28"/>
        </w:rPr>
        <w:t>        </w:t>
      </w:r>
    </w:p>
    <w:p>
      <w:pPr>
        <w:spacing w:line="360" w:lineRule="auto"/>
        <w:jc w:val="left"/>
        <w:rPr>
          <w:rFonts w:ascii="仿宋_GB2312" w:hAnsi="仿宋" w:eastAsia="仿宋_GB2312"/>
          <w:sz w:val="24"/>
        </w:rPr>
      </w:pPr>
      <w:r>
        <w:rPr>
          <w:rFonts w:ascii="仿宋" w:hAnsi="仿宋" w:eastAsia="仿宋"/>
          <w:sz w:val="24"/>
          <w:szCs w:val="28"/>
        </w:rPr>
        <w:t>监督投诉电话：0571-82752687</w:t>
      </w:r>
      <w:r>
        <w:rPr>
          <w:rFonts w:ascii="Calibri" w:hAnsi="Calibri" w:eastAsia="仿宋" w:cs="Calibri"/>
          <w:sz w:val="24"/>
          <w:szCs w:val="28"/>
        </w:rPr>
        <w:t>     </w:t>
      </w:r>
      <w:r>
        <w:rPr>
          <w:rFonts w:ascii="Calibri" w:hAnsi="Calibri" w:eastAsia="仿宋" w:cs="Calibri"/>
          <w:color w:val="0000FF"/>
          <w:sz w:val="24"/>
          <w:szCs w:val="28"/>
        </w:rPr>
        <w:t>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kern w:val="0"/>
                <w:sz w:val="24"/>
              </w:rPr>
              <w:t>(  √ )B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sz w:val="24"/>
                <w:szCs w:val="28"/>
              </w:rPr>
              <w:t>杭州市萧山区第二人民医院医疗设备整体维保服务政府采购项目</w:t>
            </w:r>
            <w:r>
              <w:rPr>
                <w:rFonts w:hint="eastAsia" w:ascii="仿宋" w:hAnsi="仿宋" w:eastAsia="仿宋" w:cs="仿宋"/>
                <w:kern w:val="0"/>
                <w:sz w:val="24"/>
              </w:rPr>
              <w:t>，属于</w:t>
            </w:r>
            <w:r>
              <w:rPr>
                <w:rFonts w:hint="eastAsia" w:ascii="仿宋_GB2312" w:hAnsi="仿宋" w:eastAsia="仿宋_GB2312"/>
                <w:sz w:val="24"/>
              </w:rPr>
              <w:t>其他未列明行业</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行业划分标准：</w:t>
            </w:r>
          </w:p>
          <w:p>
            <w:pPr>
              <w:rPr>
                <w:rFonts w:ascii="仿宋" w:hAnsi="仿宋" w:eastAsia="仿宋" w:cs="仿宋"/>
              </w:rPr>
            </w:pPr>
            <w:r>
              <w:rPr>
                <w:rFonts w:hint="eastAsia" w:ascii="仿宋" w:hAnsi="仿宋" w:eastAsia="仿宋" w:cs="仿宋"/>
                <w:kern w:val="0"/>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szCs w:val="32"/>
              </w:rPr>
            </w:pPr>
            <w:r>
              <w:rPr>
                <w:rFonts w:hint="eastAsia" w:ascii="仿宋" w:hAnsi="仿宋" w:eastAsia="仿宋" w:cs="仿宋"/>
                <w:kern w:val="0"/>
                <w:sz w:val="24"/>
              </w:rPr>
              <w:t>(  √ )</w:t>
            </w:r>
            <w:r>
              <w:rPr>
                <w:rFonts w:hint="eastAsia" w:ascii="仿宋" w:hAnsi="仿宋" w:eastAsia="仿宋" w:cs="仿宋"/>
                <w:sz w:val="24"/>
                <w:szCs w:val="32"/>
              </w:rPr>
              <w:t>本项目不允许采购进口产品。</w:t>
            </w:r>
          </w:p>
          <w:p>
            <w:pPr>
              <w:spacing w:line="360" w:lineRule="auto"/>
              <w:rPr>
                <w:rFonts w:ascii="仿宋" w:hAnsi="仿宋" w:eastAsia="仿宋" w:cs="仿宋"/>
                <w:sz w:val="24"/>
                <w:szCs w:val="32"/>
              </w:rPr>
            </w:pPr>
            <w:r>
              <w:rPr>
                <w:rFonts w:hint="eastAsia" w:ascii="仿宋" w:hAnsi="仿宋" w:eastAsia="仿宋" w:cs="仿宋"/>
                <w:kern w:val="0"/>
                <w:sz w:val="24"/>
              </w:rPr>
              <w:t>(     )</w:t>
            </w:r>
            <w:r>
              <w:rPr>
                <w:rFonts w:hint="eastAsia" w:ascii="仿宋" w:hAnsi="仿宋" w:eastAsia="仿宋" w:cs="仿宋"/>
                <w:sz w:val="24"/>
                <w:szCs w:val="32"/>
              </w:rPr>
              <w:t>可以就       采购进口产品。</w:t>
            </w:r>
          </w:p>
          <w:p>
            <w:pPr>
              <w:pStyle w:val="3"/>
              <w:ind w:left="0" w:firstLine="0"/>
              <w:rPr>
                <w:rFonts w:ascii="仿宋" w:eastAsia="仿宋" w:cs="仿宋"/>
                <w:lang w:val="en-US"/>
              </w:rPr>
            </w:pPr>
            <w:r>
              <w:rPr>
                <w:rFonts w:hint="eastAsia" w:ascii="仿宋" w:eastAsia="仿宋" w:cs="仿宋"/>
                <w:kern w:val="0"/>
                <w:sz w:val="24"/>
                <w:lang w:val="en-US"/>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z w:val="24"/>
              </w:rPr>
            </w:pPr>
            <w:r>
              <w:rPr>
                <w:rFonts w:hint="eastAsia" w:ascii="仿宋_GB2312" w:hAnsi="仿宋" w:eastAsia="仿宋_GB2312"/>
                <w:b/>
                <w:sz w:val="24"/>
              </w:rPr>
              <w:t>（    ）</w:t>
            </w:r>
            <w:r>
              <w:rPr>
                <w:rFonts w:hint="eastAsia" w:ascii="仿宋_GB2312" w:hAnsi="仿宋" w:eastAsia="仿宋_GB2312" w:cs="Arial"/>
                <w:kern w:val="0"/>
                <w:sz w:val="24"/>
              </w:rPr>
              <w:t>A</w:t>
            </w:r>
            <w:sdt>
              <w:sdtPr>
                <w:rPr>
                  <w:rFonts w:hint="eastAsia" w:ascii="仿宋_GB2312" w:hAnsi="仿宋" w:eastAsia="仿宋_GB2312" w:cs="Arial"/>
                  <w:kern w:val="0"/>
                  <w:sz w:val="24"/>
                </w:rPr>
                <w:id w:val="42"/>
              </w:sdtPr>
              <w:sdtEndPr>
                <w:rPr>
                  <w:rFonts w:hint="eastAsia" w:ascii="仿宋_GB2312" w:hAnsi="仿宋" w:eastAsia="仿宋_GB2312" w:cs="Arial"/>
                  <w:kern w:val="0"/>
                  <w:sz w:val="24"/>
                </w:rPr>
              </w:sdtEndPr>
              <w:sdtContent/>
            </w:sdt>
            <w:r>
              <w:rPr>
                <w:rFonts w:hint="eastAsia" w:ascii="仿宋_GB2312" w:hAnsi="仿宋" w:eastAsia="仿宋_GB2312"/>
                <w:sz w:val="24"/>
              </w:rPr>
              <w:t>采购人同意分包，分包内容详见采购需求</w:t>
            </w:r>
          </w:p>
          <w:p>
            <w:pPr>
              <w:spacing w:line="360" w:lineRule="auto"/>
              <w:rPr>
                <w:rFonts w:ascii="仿宋" w:hAnsi="仿宋" w:eastAsia="仿宋" w:cs="仿宋"/>
                <w:sz w:val="24"/>
              </w:rPr>
            </w:pPr>
            <w:r>
              <w:rPr>
                <w:rFonts w:hint="eastAsia" w:ascii="仿宋_GB2312" w:hAnsi="仿宋" w:eastAsia="仿宋_GB2312"/>
                <w:b/>
                <w:sz w:val="24"/>
              </w:rPr>
              <w:t>（ √ ）</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rPr>
            </w:pPr>
            <w:r>
              <w:rPr>
                <w:rFonts w:hint="eastAsia" w:ascii="仿宋_GB2312" w:hAnsi="仿宋" w:eastAsia="仿宋_GB2312"/>
                <w:b/>
                <w:sz w:val="24"/>
              </w:rPr>
              <w:t>（ ）</w:t>
            </w:r>
            <w:r>
              <w:rPr>
                <w:rFonts w:hint="eastAsia" w:ascii="仿宋_GB2312" w:hAnsi="仿宋" w:eastAsia="仿宋_GB2312"/>
                <w:kern w:val="0"/>
                <w:sz w:val="24"/>
              </w:rPr>
              <w:t>B组织，</w:t>
            </w:r>
            <w:r>
              <w:rPr>
                <w:rFonts w:hint="eastAsia" w:ascii="仿宋_GB2312" w:hAnsi="仿宋" w:eastAsia="仿宋_GB2312"/>
                <w:sz w:val="24"/>
              </w:rPr>
              <w:t>时间：,地点：，</w:t>
            </w:r>
          </w:p>
          <w:p>
            <w:pPr>
              <w:spacing w:line="360" w:lineRule="auto"/>
              <w:rPr>
                <w:rFonts w:ascii="仿宋" w:hAnsi="仿宋" w:eastAsia="仿宋_GB2312" w:cs="仿宋"/>
                <w:sz w:val="24"/>
                <w:szCs w:val="20"/>
              </w:rPr>
            </w:pPr>
            <w:r>
              <w:rPr>
                <w:rFonts w:hint="eastAsia" w:ascii="仿宋_GB2312" w:hAnsi="仿宋" w:eastAsia="仿宋_GB2312"/>
                <w:sz w:val="24"/>
              </w:rPr>
              <w:t>联系人：；其他说明：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color w:val="000000" w:themeColor="text1"/>
                <w:sz w:val="24"/>
              </w:rPr>
            </w:pPr>
            <w:r>
              <w:rPr>
                <w:rFonts w:hint="eastAsia" w:ascii="仿宋" w:hAnsi="仿宋" w:eastAsia="仿宋"/>
                <w:bCs/>
                <w:color w:val="000000" w:themeColor="text1"/>
                <w:sz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000000" w:themeColor="text1"/>
                <w:kern w:val="0"/>
                <w:sz w:val="24"/>
                <w:lang w:val="zh-CN"/>
              </w:rPr>
            </w:pPr>
            <w:r>
              <w:rPr>
                <w:rFonts w:hint="eastAsia" w:ascii="仿宋" w:hAnsi="仿宋" w:eastAsia="仿宋" w:cs="仿宋"/>
                <w:b/>
                <w:color w:val="000000" w:themeColor="text1"/>
                <w:kern w:val="0"/>
                <w:sz w:val="24"/>
                <w:lang w:val="zh-CN"/>
              </w:rPr>
              <w:t>按要求提供</w:t>
            </w:r>
            <w:bookmarkStart w:id="549" w:name="_GoBack"/>
            <w:bookmarkEnd w:id="54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jc w:val="center"/>
              <w:rPr>
                <w:rFonts w:ascii="仿宋" w:hAnsi="仿宋" w:eastAsia="仿宋" w:cs="仿宋"/>
                <w:sz w:val="24"/>
              </w:rPr>
            </w:pPr>
          </w:p>
          <w:p>
            <w:pPr>
              <w:snapToGrid w:val="0"/>
              <w:jc w:val="center"/>
              <w:rPr>
                <w:rFonts w:ascii="仿宋" w:hAnsi="仿宋" w:eastAsia="仿宋" w:cs="仿宋"/>
                <w:sz w:val="24"/>
              </w:rPr>
            </w:pPr>
          </w:p>
          <w:p>
            <w:pPr>
              <w:snapToGrid w:val="0"/>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2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
                <w:bCs/>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 w:hAnsi="仿宋" w:eastAsia="仿宋" w:cs="Arial"/>
                <w:bCs/>
                <w:color w:val="000000"/>
                <w:kern w:val="0"/>
                <w:sz w:val="24"/>
                <w:lang w:val="zh-CN"/>
              </w:rPr>
            </w:pPr>
            <w:r>
              <w:rPr>
                <w:rFonts w:hint="eastAsia" w:ascii="仿宋" w:hAnsi="仿宋" w:eastAsia="仿宋" w:cs="Arial"/>
                <w:bCs/>
                <w:color w:val="000000"/>
                <w:kern w:val="0"/>
                <w:sz w:val="24"/>
                <w:lang w:val="zh-CN"/>
              </w:rPr>
              <w:t>有关本项目实施所需的所有费用（含税费）均计入报价。</w:t>
            </w:r>
            <w:r>
              <w:rPr>
                <w:rFonts w:hint="eastAsia" w:ascii="仿宋" w:hAnsi="仿宋" w:eastAsia="仿宋" w:cs="Arial"/>
                <w:bCs/>
                <w:color w:val="000000"/>
                <w:kern w:val="0"/>
                <w:sz w:val="24"/>
              </w:rPr>
              <w:t>开标一览表（报价表）是报价的唯一载体</w:t>
            </w:r>
            <w:r>
              <w:rPr>
                <w:rFonts w:hint="eastAsia" w:ascii="仿宋" w:hAnsi="仿宋" w:eastAsia="仿宋" w:cs="Arial"/>
                <w:bCs/>
                <w:color w:val="000000"/>
                <w:kern w:val="0"/>
                <w:sz w:val="24"/>
                <w:lang w:val="zh-CN"/>
              </w:rPr>
              <w:t>。投标文件中价格全部采用人民币报价。招标文件未列明，而投标人认为必需的费用也需列入报价。提醒：验收时检测费用由采购人承担，不包含在投标总价中。</w:t>
            </w:r>
          </w:p>
          <w:p>
            <w:pPr>
              <w:rPr>
                <w:rFonts w:ascii="仿宋" w:hAnsi="仿宋" w:eastAsia="仿宋" w:cs="Arial"/>
                <w:bCs/>
                <w:color w:val="000000"/>
                <w:kern w:val="0"/>
                <w:sz w:val="24"/>
                <w:lang w:val="zh-CN"/>
              </w:rPr>
            </w:pPr>
            <w:r>
              <w:rPr>
                <w:rFonts w:hint="eastAsia" w:ascii="仿宋" w:hAnsi="仿宋" w:eastAsia="仿宋" w:cs="Arial"/>
                <w:bCs/>
                <w:color w:val="000000"/>
                <w:kern w:val="0"/>
                <w:sz w:val="24"/>
                <w:lang w:val="zh-CN"/>
              </w:rPr>
              <w:t>投标报价出现下列情形的，投标无效：</w:t>
            </w:r>
          </w:p>
          <w:p>
            <w:pPr>
              <w:ind w:firstLine="480" w:firstLineChars="200"/>
              <w:rPr>
                <w:rFonts w:ascii="仿宋" w:hAnsi="仿宋" w:eastAsia="仿宋" w:cs="Arial"/>
                <w:bCs/>
                <w:color w:val="000000"/>
                <w:kern w:val="0"/>
                <w:sz w:val="24"/>
                <w:lang w:val="zh-CN"/>
              </w:rPr>
            </w:pPr>
            <w:r>
              <w:rPr>
                <w:rFonts w:hint="eastAsia" w:ascii="仿宋" w:hAnsi="仿宋" w:eastAsia="仿宋" w:cs="Arial"/>
                <w:bCs/>
                <w:color w:val="000000"/>
                <w:kern w:val="0"/>
                <w:sz w:val="24"/>
                <w:lang w:val="zh-CN"/>
              </w:rPr>
              <w:t>投标文件出现不是唯一的、有选择性投标报价的；</w:t>
            </w:r>
          </w:p>
          <w:p>
            <w:pPr>
              <w:ind w:firstLine="480" w:firstLineChars="200"/>
              <w:rPr>
                <w:rFonts w:ascii="仿宋" w:hAnsi="仿宋" w:eastAsia="仿宋" w:cs="Arial"/>
                <w:bCs/>
                <w:color w:val="000000"/>
                <w:kern w:val="0"/>
                <w:sz w:val="24"/>
                <w:lang w:val="zh-CN"/>
              </w:rPr>
            </w:pPr>
            <w:r>
              <w:rPr>
                <w:rFonts w:hint="eastAsia" w:ascii="仿宋" w:hAnsi="仿宋" w:eastAsia="仿宋" w:cs="Arial"/>
                <w:bCs/>
                <w:color w:val="000000"/>
                <w:kern w:val="0"/>
                <w:sz w:val="24"/>
                <w:lang w:val="zh-CN"/>
              </w:rPr>
              <w:t>投标报价超过招标文件中规定的预算金额或者最高限价的;</w:t>
            </w:r>
          </w:p>
          <w:p>
            <w:pPr>
              <w:ind w:firstLine="480" w:firstLineChars="200"/>
              <w:rPr>
                <w:rFonts w:ascii="仿宋" w:hAnsi="仿宋" w:eastAsia="仿宋" w:cs="Arial"/>
                <w:bCs/>
                <w:color w:val="000000"/>
                <w:kern w:val="0"/>
                <w:sz w:val="24"/>
              </w:rPr>
            </w:pPr>
            <w:r>
              <w:rPr>
                <w:rFonts w:hint="eastAsia" w:ascii="仿宋" w:hAnsi="仿宋" w:eastAsia="仿宋" w:cs="Arial"/>
                <w:bCs/>
                <w:color w:val="000000"/>
                <w:kern w:val="0"/>
                <w:sz w:val="24"/>
              </w:rPr>
              <w:t>报价明显低于其他通过符合性审查投标人的报价，有可能影响产品质量或者不能诚信履约的，未能按要求提供书面说明或者提交相关证明材料证明其报价合理性的;</w:t>
            </w:r>
          </w:p>
          <w:p>
            <w:pPr>
              <w:ind w:firstLine="480" w:firstLineChars="200"/>
              <w:rPr>
                <w:rFonts w:ascii="仿宋" w:hAnsi="仿宋" w:eastAsia="仿宋" w:cs="Arial"/>
                <w:bCs/>
                <w:color w:val="000000"/>
                <w:kern w:val="0"/>
                <w:sz w:val="24"/>
              </w:rPr>
            </w:pPr>
            <w:r>
              <w:rPr>
                <w:rFonts w:hint="eastAsia" w:ascii="仿宋" w:hAnsi="仿宋" w:eastAsia="仿宋" w:cs="Arial"/>
                <w:bCs/>
                <w:color w:val="000000"/>
                <w:kern w:val="0"/>
                <w:sz w:val="24"/>
              </w:rPr>
              <w:t>投标人对根据修正原则修正后的报价不确认的。</w:t>
            </w:r>
          </w:p>
          <w:p>
            <w:pPr>
              <w:ind w:firstLine="480" w:firstLineChars="200"/>
              <w:rPr>
                <w:bCs/>
              </w:rPr>
            </w:pPr>
            <w:r>
              <w:rPr>
                <w:rFonts w:hint="eastAsia" w:ascii="仿宋" w:hAnsi="仿宋" w:eastAsia="仿宋" w:cs="Arial"/>
                <w:bCs/>
                <w:color w:val="000000"/>
                <w:kern w:val="0"/>
                <w:sz w:val="24"/>
              </w:rPr>
              <w:t>资格文件、商务技术文件与报价文件未分开制作</w:t>
            </w:r>
            <w:r>
              <w:rPr>
                <w:rFonts w:hint="eastAsia" w:ascii="仿宋" w:hAnsi="仿宋" w:eastAsia="仿宋"/>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jc w:val="center"/>
              <w:rPr>
                <w:rFonts w:ascii="仿宋" w:hAnsi="仿宋" w:eastAsia="仿宋" w:cs="仿宋"/>
                <w:sz w:val="24"/>
              </w:rPr>
            </w:pPr>
          </w:p>
          <w:p>
            <w:pPr>
              <w:snapToGrid w:val="0"/>
              <w:jc w:val="center"/>
              <w:rPr>
                <w:rFonts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中小企业</w:t>
            </w:r>
          </w:p>
          <w:p>
            <w:pPr>
              <w:snapToGrid w:val="0"/>
              <w:jc w:val="center"/>
              <w:rPr>
                <w:rFonts w:ascii="仿宋" w:hAnsi="仿宋" w:eastAsia="仿宋" w:cs="仿宋"/>
                <w:b/>
                <w:sz w:val="24"/>
              </w:rPr>
            </w:pPr>
            <w:r>
              <w:rPr>
                <w:rFonts w:hint="eastAsia" w:ascii="仿宋" w:hAnsi="仿宋" w:eastAsia="仿宋" w:cs="仿宋"/>
                <w:b/>
                <w:sz w:val="24"/>
              </w:rPr>
              <w:t>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pPr>
            <w:r>
              <w:rPr>
                <w:rFonts w:hint="eastAsia" w:ascii="仿宋" w:hAnsi="仿宋" w:eastAsia="仿宋"/>
                <w:color w:val="000000"/>
                <w:sz w:val="24"/>
              </w:rPr>
              <w:t>本项目</w:t>
            </w:r>
            <w:r>
              <w:rPr>
                <w:rFonts w:ascii="仿宋" w:hAnsi="仿宋" w:eastAsia="仿宋"/>
                <w:color w:val="000000"/>
                <w:sz w:val="24"/>
              </w:rPr>
              <w:t>支持</w:t>
            </w:r>
            <w:r>
              <w:rPr>
                <w:rFonts w:hint="eastAsia" w:ascii="仿宋" w:hAnsi="仿宋" w:eastAsia="仿宋"/>
                <w:color w:val="000000"/>
                <w:sz w:val="24"/>
              </w:rPr>
              <w:t>《杭州市萧山区政府采购支持中小企业信用融资暂行办法》。</w:t>
            </w:r>
          </w:p>
          <w:p>
            <w:pPr>
              <w:ind w:firstLine="480" w:firstLineChars="200"/>
              <w:rPr>
                <w:rFonts w:ascii="仿宋" w:hAnsi="仿宋" w:eastAsia="仿宋" w:cs="仿宋"/>
                <w:sz w:val="24"/>
              </w:rPr>
            </w:pPr>
            <w:r>
              <w:rPr>
                <w:rFonts w:hint="eastAsia" w:ascii="仿宋" w:hAnsi="仿宋" w:eastAsia="仿宋"/>
                <w:color w:val="000000"/>
                <w:sz w:val="24"/>
              </w:rPr>
              <w:t>有</w:t>
            </w:r>
            <w:r>
              <w:rPr>
                <w:rFonts w:ascii="仿宋" w:hAnsi="仿宋" w:eastAsia="仿宋"/>
                <w:color w:val="000000"/>
                <w:sz w:val="24"/>
              </w:rPr>
              <w:t>融资需求的中标供应商可参照相关规定及银行方案</w:t>
            </w:r>
            <w:r>
              <w:rPr>
                <w:rFonts w:hint="eastAsia" w:ascii="仿宋" w:hAnsi="仿宋" w:eastAsia="仿宋"/>
                <w:color w:val="000000"/>
                <w:sz w:val="24"/>
              </w:rPr>
              <w:t>凭政府采购合同向相关合作银行提出信用融资（贷款）申请。详见</w:t>
            </w:r>
            <w: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rPr>
                <w:rFonts w:ascii="仿宋" w:hAnsi="仿宋" w:eastAsia="仿宋" w:cs="仿宋"/>
                <w:kern w:val="28"/>
                <w:sz w:val="24"/>
                <w:szCs w:val="24"/>
              </w:rPr>
            </w:pPr>
            <w:r>
              <w:rPr>
                <w:rFonts w:hint="eastAsia" w:ascii="仿宋" w:hAnsi="仿宋" w:eastAsia="仿宋" w:cs="仿宋"/>
                <w:kern w:val="28"/>
                <w:sz w:val="24"/>
                <w:szCs w:val="24"/>
              </w:rPr>
              <w:t>备份文件是否收取：不收取/可提交备份</w:t>
            </w:r>
          </w:p>
          <w:p>
            <w:pPr>
              <w:jc w:val="left"/>
              <w:rPr>
                <w:rFonts w:ascii="仿宋" w:hAnsi="仿宋" w:eastAsia="仿宋" w:cs="仿宋"/>
                <w:sz w:val="24"/>
              </w:rPr>
            </w:pPr>
            <w:r>
              <w:rPr>
                <w:rFonts w:hint="eastAsia" w:ascii="仿宋" w:hAnsi="仿宋" w:eastAsia="仿宋" w:cs="仿宋"/>
                <w:kern w:val="28"/>
                <w:sz w:val="24"/>
              </w:rPr>
              <w:t>备份投标文件送达地点：</w:t>
            </w:r>
            <w:r>
              <w:rPr>
                <w:rFonts w:hint="eastAsia" w:ascii="仿宋" w:hAnsi="仿宋" w:eastAsia="仿宋"/>
                <w:sz w:val="24"/>
                <w:szCs w:val="28"/>
              </w:rPr>
              <w:t>杭州市萧山区北干街道金惠路358号汇通大厦4幢6楼</w:t>
            </w:r>
            <w:r>
              <w:rPr>
                <w:rFonts w:hint="eastAsia" w:ascii="仿宋" w:hAnsi="仿宋" w:eastAsia="仿宋" w:cs="仿宋"/>
                <w:kern w:val="28"/>
                <w:sz w:val="24"/>
              </w:rPr>
              <w:t>；备份投标文件签收人员联系电话：</w:t>
            </w:r>
            <w:r>
              <w:rPr>
                <w:rFonts w:hint="eastAsia" w:ascii="仿宋" w:hAnsi="仿宋" w:eastAsia="仿宋" w:cs="仿宋"/>
                <w:sz w:val="24"/>
                <w:u w:val="single"/>
              </w:rPr>
              <w:t>0571-82858325</w:t>
            </w:r>
            <w:r>
              <w:rPr>
                <w:rFonts w:hint="eastAsia" w:ascii="仿宋" w:hAnsi="仿宋" w:eastAsia="仿宋" w:cs="仿宋"/>
                <w:sz w:val="24"/>
              </w:rPr>
              <w:t>。</w:t>
            </w:r>
          </w:p>
          <w:p>
            <w:pPr>
              <w:pStyle w:val="34"/>
              <w:ind w:hanging="4"/>
              <w:rPr>
                <w:rFonts w:ascii="仿宋" w:hAnsi="仿宋" w:eastAsia="仿宋" w:cs="仿宋"/>
                <w:kern w:val="28"/>
                <w:sz w:val="24"/>
              </w:rPr>
            </w:pPr>
            <w:r>
              <w:rPr>
                <w:rFonts w:hint="eastAsia" w:ascii="仿宋" w:hAnsi="仿宋" w:eastAsia="仿宋" w:cs="仿宋"/>
                <w:b/>
                <w:sz w:val="24"/>
                <w:szCs w:val="24"/>
              </w:rPr>
              <w:t>采购人、采购机构不强制或变相强制投标人提交备份文件。提交的备份文件格式无效（.bfbs格式）或其他因投标人自身制作不当导致的无法使用的情况由采购人自行负责。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b/>
                <w:color w:val="000000" w:themeColor="text1"/>
                <w:sz w:val="24"/>
              </w:rPr>
            </w:pPr>
            <w:r>
              <w:rPr>
                <w:rFonts w:hint="eastAsia" w:ascii="仿宋" w:hAnsi="仿宋" w:eastAsia="仿宋"/>
                <w:b/>
                <w:color w:val="000000" w:themeColor="text1"/>
                <w:sz w:val="24"/>
              </w:rPr>
              <w:t>采购机构</w:t>
            </w:r>
          </w:p>
          <w:p>
            <w:pPr>
              <w:snapToGrid w:val="0"/>
              <w:jc w:val="center"/>
              <w:rPr>
                <w:rFonts w:ascii="仿宋" w:hAnsi="仿宋" w:eastAsia="仿宋" w:cs="仿宋"/>
                <w:b/>
                <w:color w:val="000000" w:themeColor="text1"/>
                <w:sz w:val="24"/>
              </w:rPr>
            </w:pPr>
            <w:r>
              <w:rPr>
                <w:rFonts w:hint="eastAsia" w:ascii="仿宋" w:hAnsi="仿宋" w:eastAsia="仿宋"/>
                <w:b/>
                <w:color w:val="000000" w:themeColor="text1"/>
                <w:sz w:val="24"/>
              </w:rPr>
              <w:t>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ind w:hanging="4"/>
              <w:rPr>
                <w:rFonts w:ascii="仿宋" w:hAnsi="仿宋" w:eastAsia="仿宋" w:cs="仿宋"/>
                <w:b/>
                <w:color w:val="000000" w:themeColor="text1"/>
                <w:sz w:val="24"/>
                <w:szCs w:val="24"/>
              </w:rPr>
            </w:pPr>
            <w:r>
              <w:rPr>
                <w:rFonts w:hint="eastAsia" w:ascii="仿宋" w:hAnsi="仿宋" w:eastAsia="仿宋"/>
                <w:color w:val="000000"/>
                <w:sz w:val="24"/>
                <w:lang w:val="zh-CN"/>
              </w:rPr>
              <w:t>本项目的招标代理服务费由中标人支付。招标代理服务费计费标准：以中标（成交）金额为计费基准，按计价格[2002]1980号文货物类收费标准下浮</w:t>
            </w:r>
            <w:r>
              <w:rPr>
                <w:rFonts w:hint="eastAsia" w:ascii="仿宋" w:hAnsi="仿宋" w:eastAsia="仿宋"/>
                <w:color w:val="000000"/>
                <w:sz w:val="24"/>
                <w:lang w:val="en-US" w:eastAsia="zh-CN"/>
              </w:rPr>
              <w:t>40%</w:t>
            </w:r>
            <w:r>
              <w:rPr>
                <w:rFonts w:hint="eastAsia" w:ascii="仿宋" w:hAnsi="仿宋" w:eastAsia="仿宋"/>
                <w:color w:val="000000"/>
                <w:sz w:val="24"/>
                <w:lang w:val="zh-CN"/>
              </w:rPr>
              <w:t>计取。不足</w:t>
            </w:r>
            <w:r>
              <w:rPr>
                <w:rFonts w:hint="eastAsia" w:ascii="仿宋" w:hAnsi="仿宋" w:eastAsia="仿宋"/>
                <w:color w:val="000000"/>
                <w:sz w:val="24"/>
                <w:lang w:val="en-US" w:eastAsia="zh-CN"/>
              </w:rPr>
              <w:t>5000元按5000元计</w:t>
            </w:r>
            <w:r>
              <w:rPr>
                <w:rFonts w:hint="eastAsia" w:ascii="仿宋" w:hAnsi="仿宋" w:eastAsia="仿宋"/>
                <w:color w:val="000000"/>
                <w:sz w:val="24"/>
              </w:rPr>
              <w:t>。结算方式及时间为：中标人在领取中标通知书前向采购代理机构支付招标代理服务费。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b/>
                <w:sz w:val="24"/>
              </w:rPr>
            </w:pPr>
            <w:r>
              <w:rPr>
                <w:rFonts w:hint="eastAsia" w:ascii="仿宋" w:hAnsi="仿宋" w:eastAsia="仿宋" w:cs="仿宋"/>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
                <w:b/>
                <w:color w:val="000000" w:themeColor="text1"/>
                <w:sz w:val="24"/>
              </w:rPr>
            </w:pPr>
          </w:p>
          <w:p>
            <w:pPr>
              <w:snapToGrid w:val="0"/>
              <w:jc w:val="center"/>
              <w:rPr>
                <w:rFonts w:ascii="仿宋" w:hAnsi="仿宋" w:eastAsia="仿宋" w:cs="仿宋"/>
                <w:b/>
                <w:color w:val="000000" w:themeColor="text1"/>
                <w:sz w:val="24"/>
              </w:rPr>
            </w:pPr>
            <w:r>
              <w:rPr>
                <w:rFonts w:hint="eastAsia" w:ascii="仿宋" w:hAnsi="仿宋" w:eastAsia="仿宋" w:cs="仿宋"/>
                <w:b/>
                <w:color w:val="000000" w:themeColor="text1"/>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ind w:hanging="4"/>
              <w:rPr>
                <w:rFonts w:ascii="仿宋" w:hAnsi="仿宋" w:eastAsia="仿宋"/>
                <w:color w:val="000000" w:themeColor="text1"/>
                <w:sz w:val="24"/>
              </w:rPr>
            </w:pPr>
            <w:r>
              <w:rPr>
                <w:rFonts w:hint="eastAsia" w:ascii="仿宋" w:hAnsi="仿宋" w:eastAsia="仿宋"/>
                <w:color w:val="000000" w:themeColor="text1"/>
                <w:sz w:val="24"/>
              </w:rPr>
              <w:t>履约保证金：收取2.5%，合同签订后支付，履约完成后无息退还。</w:t>
            </w:r>
          </w:p>
          <w:p>
            <w:pPr>
              <w:pStyle w:val="5"/>
              <w:spacing w:line="240" w:lineRule="auto"/>
              <w:ind w:firstLine="0"/>
              <w:rPr>
                <w:rFonts w:ascii="仿宋" w:hAnsi="仿宋" w:eastAsia="仿宋"/>
                <w:color w:val="000000" w:themeColor="text1"/>
                <w:sz w:val="24"/>
              </w:rPr>
            </w:pPr>
            <w:r>
              <w:rPr>
                <w:rFonts w:hint="eastAsia" w:ascii="仿宋" w:hAnsi="仿宋" w:eastAsia="仿宋" w:cs="仿宋_GB2312"/>
                <w:color w:val="000000" w:themeColor="text1"/>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
                <w:b/>
                <w:color w:val="000000" w:themeColor="text1"/>
                <w:sz w:val="24"/>
              </w:rPr>
            </w:pPr>
            <w:r>
              <w:rPr>
                <w:rFonts w:hint="eastAsia" w:ascii="仿宋" w:hAnsi="仿宋" w:eastAsia="仿宋" w:cs="仿宋"/>
                <w:b/>
                <w:color w:val="000000" w:themeColor="text1"/>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ind w:hanging="4"/>
              <w:rPr>
                <w:rFonts w:ascii="仿宋" w:hAnsi="仿宋" w:eastAsia="仿宋"/>
                <w:color w:val="000000" w:themeColor="text1"/>
                <w:sz w:val="24"/>
              </w:rPr>
            </w:pPr>
            <w:r>
              <w:rPr>
                <w:rFonts w:hint="eastAsia" w:ascii="仿宋" w:hAnsi="仿宋" w:eastAsia="仿宋" w:cs="仿宋_GB2312"/>
                <w:color w:val="000000" w:themeColor="text1"/>
                <w:sz w:val="24"/>
              </w:rPr>
              <w:t>本项目</w:t>
            </w:r>
            <w:r>
              <w:rPr>
                <w:rFonts w:ascii="仿宋" w:hAnsi="仿宋" w:eastAsia="仿宋" w:cs="仿宋_GB2312"/>
                <w:color w:val="000000" w:themeColor="text1"/>
                <w:sz w:val="24"/>
              </w:rPr>
              <w:t>由采购人/</w:t>
            </w:r>
            <w:r>
              <w:rPr>
                <w:rFonts w:hint="eastAsia" w:ascii="仿宋" w:hAnsi="仿宋" w:eastAsia="仿宋" w:cs="仿宋_GB2312"/>
                <w:color w:val="000000" w:themeColor="text1"/>
                <w:sz w:val="24"/>
              </w:rPr>
              <w:t>采购机构进行</w:t>
            </w:r>
            <w:r>
              <w:rPr>
                <w:rFonts w:ascii="仿宋" w:hAnsi="仿宋" w:eastAsia="仿宋" w:cs="仿宋_GB2312"/>
                <w:color w:val="000000" w:themeColor="text1"/>
                <w:sz w:val="24"/>
              </w:rPr>
              <w:t>资格文件</w:t>
            </w:r>
            <w:r>
              <w:rPr>
                <w:rFonts w:hint="eastAsia" w:ascii="仿宋" w:hAnsi="仿宋" w:eastAsia="仿宋" w:cs="仿宋_GB2312"/>
                <w:color w:val="000000" w:themeColor="text1"/>
                <w:sz w:val="24"/>
              </w:rPr>
              <w:t>及</w:t>
            </w:r>
            <w:r>
              <w:rPr>
                <w:rFonts w:ascii="仿宋" w:hAnsi="仿宋" w:eastAsia="仿宋" w:cs="仿宋_GB2312"/>
                <w:color w:val="000000" w:themeColor="text1"/>
                <w:sz w:val="24"/>
              </w:rPr>
              <w:t>信用信息</w:t>
            </w:r>
            <w:r>
              <w:rPr>
                <w:rFonts w:hint="eastAsia" w:ascii="仿宋" w:hAnsi="仿宋" w:eastAsia="仿宋" w:cs="仿宋_GB2312"/>
                <w:color w:val="000000" w:themeColor="text1"/>
                <w:sz w:val="24"/>
              </w:rPr>
              <w:t>查询</w:t>
            </w:r>
            <w:r>
              <w:rPr>
                <w:rFonts w:ascii="仿宋" w:hAnsi="仿宋" w:eastAsia="仿宋" w:cs="仿宋_GB2312"/>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bCs/>
                <w:sz w:val="24"/>
              </w:rPr>
            </w:pPr>
          </w:p>
          <w:p>
            <w:pPr>
              <w:snapToGrid w:val="0"/>
              <w:jc w:val="center"/>
              <w:rPr>
                <w:rFonts w:ascii="仿宋" w:hAnsi="仿宋" w:eastAsia="仿宋" w:cs="仿宋"/>
                <w:bCs/>
                <w:sz w:val="24"/>
              </w:rPr>
            </w:pPr>
            <w:r>
              <w:rPr>
                <w:rFonts w:hint="eastAsia" w:ascii="仿宋" w:hAnsi="仿宋" w:eastAsia="仿宋" w:cs="仿宋"/>
                <w:bCs/>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
                <w:b/>
                <w:color w:val="000000" w:themeColor="text1"/>
                <w:sz w:val="24"/>
              </w:rPr>
            </w:pPr>
            <w:r>
              <w:rPr>
                <w:rFonts w:hint="eastAsia" w:ascii="仿宋" w:hAnsi="仿宋" w:eastAsia="仿宋" w:cs="仿宋"/>
                <w:b/>
                <w:color w:val="000000" w:themeColor="text1"/>
                <w:sz w:val="24"/>
              </w:rPr>
              <w:t>质疑接收人</w:t>
            </w:r>
          </w:p>
          <w:p>
            <w:pPr>
              <w:snapToGrid w:val="0"/>
              <w:jc w:val="center"/>
              <w:rPr>
                <w:rFonts w:ascii="仿宋" w:hAnsi="仿宋" w:eastAsia="仿宋" w:cs="仿宋"/>
                <w:b/>
                <w:color w:val="000000" w:themeColor="text1"/>
                <w:sz w:val="24"/>
              </w:rPr>
            </w:pPr>
            <w:r>
              <w:rPr>
                <w:rFonts w:hint="eastAsia" w:ascii="仿宋" w:hAnsi="仿宋" w:eastAsia="仿宋" w:cs="仿宋"/>
                <w:b/>
                <w:color w:val="000000" w:themeColor="text1"/>
                <w:sz w:val="24"/>
              </w:rPr>
              <w:t>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采购</w:t>
            </w:r>
            <w:r>
              <w:rPr>
                <w:rFonts w:ascii="仿宋" w:hAnsi="仿宋" w:eastAsia="仿宋"/>
                <w:sz w:val="24"/>
              </w:rPr>
              <w:t>人质疑接收人：孔慧</w:t>
            </w:r>
            <w:r>
              <w:rPr>
                <w:rFonts w:hint="eastAsia" w:ascii="仿宋" w:hAnsi="仿宋" w:eastAsia="仿宋"/>
                <w:sz w:val="24"/>
              </w:rPr>
              <w:t>斐 联系方式</w:t>
            </w:r>
            <w:r>
              <w:rPr>
                <w:rFonts w:ascii="仿宋" w:hAnsi="仿宋" w:eastAsia="仿宋"/>
                <w:sz w:val="24"/>
              </w:rPr>
              <w:t>：</w:t>
            </w:r>
            <w:r>
              <w:rPr>
                <w:rFonts w:hint="eastAsia" w:ascii="仿宋" w:hAnsi="仿宋" w:eastAsia="仿宋"/>
                <w:sz w:val="24"/>
              </w:rPr>
              <w:t>0571-82577206</w:t>
            </w:r>
          </w:p>
          <w:p>
            <w:pPr>
              <w:snapToGrid w:val="0"/>
              <w:rPr>
                <w:rFonts w:ascii="仿宋" w:hAnsi="仿宋" w:eastAsia="仿宋"/>
                <w:color w:val="000000"/>
                <w:sz w:val="24"/>
                <w:u w:val="single"/>
              </w:rPr>
            </w:pPr>
            <w:r>
              <w:rPr>
                <w:rFonts w:hint="eastAsia" w:ascii="仿宋" w:hAnsi="仿宋" w:eastAsia="仿宋"/>
                <w:sz w:val="24"/>
                <w:u w:val="single"/>
              </w:rPr>
              <w:t>地址</w:t>
            </w:r>
            <w:r>
              <w:rPr>
                <w:rFonts w:ascii="仿宋" w:hAnsi="仿宋" w:eastAsia="仿宋"/>
                <w:sz w:val="24"/>
                <w:u w:val="single"/>
              </w:rPr>
              <w:t>：</w:t>
            </w:r>
            <w:r>
              <w:rPr>
                <w:rFonts w:hint="eastAsia" w:ascii="仿宋" w:hAnsi="仿宋" w:eastAsia="仿宋"/>
                <w:color w:val="000000"/>
                <w:spacing w:val="-17"/>
                <w:sz w:val="24"/>
                <w:u w:val="single"/>
              </w:rPr>
              <w:t>杭州市萧山区瓜沥镇东灵路47号邮箱：3025211095@163.com</w:t>
            </w:r>
          </w:p>
          <w:p>
            <w:pPr>
              <w:snapToGrid w:val="0"/>
              <w:rPr>
                <w:rFonts w:ascii="仿宋" w:hAnsi="仿宋" w:eastAsia="仿宋"/>
                <w:color w:val="000000" w:themeColor="text1"/>
                <w:sz w:val="24"/>
                <w:u w:val="single"/>
              </w:rPr>
            </w:pPr>
            <w:r>
              <w:rPr>
                <w:rFonts w:hint="eastAsia" w:ascii="仿宋" w:hAnsi="仿宋" w:eastAsia="仿宋"/>
                <w:color w:val="000000" w:themeColor="text1"/>
                <w:sz w:val="24"/>
              </w:rPr>
              <w:t>采购</w:t>
            </w:r>
            <w:r>
              <w:rPr>
                <w:rFonts w:ascii="仿宋" w:hAnsi="仿宋" w:eastAsia="仿宋"/>
                <w:color w:val="000000" w:themeColor="text1"/>
                <w:sz w:val="24"/>
              </w:rPr>
              <w:t>机构质疑接收人</w:t>
            </w:r>
            <w:r>
              <w:rPr>
                <w:rFonts w:ascii="仿宋" w:hAnsi="仿宋" w:eastAsia="仿宋"/>
                <w:color w:val="000000" w:themeColor="text1"/>
                <w:sz w:val="24"/>
                <w:u w:val="single"/>
              </w:rPr>
              <w:t>：</w:t>
            </w:r>
            <w:r>
              <w:rPr>
                <w:rFonts w:hint="eastAsia" w:ascii="仿宋" w:hAnsi="仿宋" w:eastAsia="仿宋"/>
                <w:color w:val="000000" w:themeColor="text1"/>
                <w:sz w:val="24"/>
                <w:u w:val="single"/>
              </w:rPr>
              <w:t xml:space="preserve">郭翔 </w:t>
            </w:r>
            <w:r>
              <w:rPr>
                <w:rFonts w:hint="eastAsia" w:ascii="仿宋" w:hAnsi="仿宋" w:eastAsia="仿宋"/>
                <w:color w:val="000000" w:themeColor="text1"/>
                <w:sz w:val="24"/>
              </w:rPr>
              <w:t>联系方式</w:t>
            </w:r>
            <w:r>
              <w:rPr>
                <w:rFonts w:ascii="仿宋" w:hAnsi="仿宋" w:eastAsia="仿宋"/>
                <w:color w:val="000000" w:themeColor="text1"/>
                <w:sz w:val="24"/>
              </w:rPr>
              <w:t>：</w:t>
            </w:r>
            <w:r>
              <w:rPr>
                <w:rFonts w:hint="eastAsia" w:ascii="仿宋" w:hAnsi="仿宋" w:eastAsia="仿宋"/>
                <w:color w:val="000000" w:themeColor="text1"/>
                <w:sz w:val="24"/>
                <w:u w:val="single"/>
              </w:rPr>
              <w:t>0571-82858903</w:t>
            </w:r>
          </w:p>
          <w:p>
            <w:pPr>
              <w:snapToGrid w:val="0"/>
              <w:rPr>
                <w:rFonts w:ascii="仿宋" w:hAnsi="仿宋" w:eastAsia="仿宋" w:cs="仿宋"/>
                <w:color w:val="000000" w:themeColor="text1"/>
                <w:spacing w:val="-11"/>
                <w:sz w:val="24"/>
                <w:u w:val="single"/>
              </w:rPr>
            </w:pPr>
            <w:r>
              <w:rPr>
                <w:rFonts w:hint="eastAsia" w:ascii="仿宋" w:hAnsi="仿宋" w:eastAsia="仿宋" w:cs="仿宋"/>
                <w:color w:val="000000" w:themeColor="text1"/>
                <w:spacing w:val="-11"/>
                <w:sz w:val="24"/>
                <w:u w:val="single"/>
              </w:rPr>
              <w:t>地址：杭州萧山汇通大厦4幢6楼 邮箱：</w:t>
            </w:r>
            <w:r>
              <w:fldChar w:fldCharType="begin"/>
            </w:r>
            <w:r>
              <w:instrText xml:space="preserve"> HYPERLINK "mailto:186330968@qq.com" </w:instrText>
            </w:r>
            <w:r>
              <w:fldChar w:fldCharType="separate"/>
            </w:r>
            <w:r>
              <w:rPr>
                <w:rStyle w:val="77"/>
                <w:rFonts w:hint="eastAsia" w:ascii="仿宋" w:hAnsi="仿宋" w:eastAsia="仿宋" w:cs="仿宋"/>
                <w:color w:val="000000" w:themeColor="text1"/>
                <w:spacing w:val="-11"/>
                <w:sz w:val="24"/>
                <w:u w:val="single"/>
              </w:rPr>
              <w:t>186330968@qq.com</w:t>
            </w:r>
            <w:r>
              <w:rPr>
                <w:rStyle w:val="77"/>
                <w:rFonts w:hint="eastAsia" w:ascii="仿宋" w:hAnsi="仿宋" w:eastAsia="仿宋" w:cs="仿宋"/>
                <w:color w:val="000000" w:themeColor="text1"/>
                <w:spacing w:val="-11"/>
                <w:sz w:val="24"/>
                <w:u w:val="single"/>
              </w:rPr>
              <w:fldChar w:fldCharType="end"/>
            </w:r>
          </w:p>
          <w:p>
            <w:pPr>
              <w:snapToGrid w:val="0"/>
              <w:rPr>
                <w:rFonts w:ascii="仿宋" w:hAnsi="仿宋" w:eastAsia="仿宋"/>
                <w:b/>
                <w:color w:val="000000" w:themeColor="text1"/>
                <w:sz w:val="24"/>
              </w:rPr>
            </w:pPr>
            <w:r>
              <w:rPr>
                <w:rFonts w:hint="eastAsia" w:ascii="仿宋" w:hAnsi="仿宋" w:eastAsia="仿宋"/>
                <w:b/>
                <w:color w:val="000000" w:themeColor="text1"/>
                <w:sz w:val="24"/>
              </w:rPr>
              <w:t>如通过</w:t>
            </w:r>
            <w:r>
              <w:rPr>
                <w:rFonts w:ascii="仿宋" w:hAnsi="仿宋" w:eastAsia="仿宋"/>
                <w:b/>
                <w:color w:val="000000" w:themeColor="text1"/>
                <w:sz w:val="24"/>
              </w:rPr>
              <w:t>邮箱方式发送质疑，须提交符合法规</w:t>
            </w:r>
            <w:r>
              <w:rPr>
                <w:rFonts w:hint="eastAsia" w:ascii="仿宋" w:hAnsi="仿宋" w:eastAsia="仿宋"/>
                <w:b/>
                <w:color w:val="000000" w:themeColor="text1"/>
                <w:sz w:val="24"/>
              </w:rPr>
              <w:t>及</w:t>
            </w:r>
            <w:r>
              <w:rPr>
                <w:rFonts w:ascii="仿宋" w:hAnsi="仿宋" w:eastAsia="仿宋"/>
                <w:b/>
                <w:color w:val="000000" w:themeColor="text1"/>
                <w:sz w:val="24"/>
              </w:rPr>
              <w:t>招标文件要求的质疑文件（</w:t>
            </w:r>
            <w:r>
              <w:rPr>
                <w:rFonts w:hint="eastAsia" w:ascii="仿宋" w:hAnsi="仿宋" w:eastAsia="仿宋"/>
                <w:b/>
                <w:color w:val="000000" w:themeColor="text1"/>
                <w:sz w:val="24"/>
              </w:rPr>
              <w:t>参考附件2）</w:t>
            </w:r>
            <w:r>
              <w:rPr>
                <w:rFonts w:ascii="仿宋" w:hAnsi="仿宋" w:eastAsia="仿宋"/>
                <w:b/>
                <w:color w:val="000000" w:themeColor="text1"/>
                <w:sz w:val="24"/>
              </w:rPr>
              <w:t>，</w:t>
            </w:r>
            <w:r>
              <w:rPr>
                <w:rFonts w:hint="eastAsia" w:ascii="仿宋" w:hAnsi="仿宋" w:eastAsia="仿宋"/>
                <w:b/>
                <w:color w:val="000000" w:themeColor="text1"/>
                <w:sz w:val="24"/>
              </w:rPr>
              <w:t>盖章扫描</w:t>
            </w:r>
            <w:r>
              <w:rPr>
                <w:rFonts w:ascii="仿宋" w:hAnsi="仿宋" w:eastAsia="仿宋"/>
                <w:b/>
                <w:color w:val="000000" w:themeColor="text1"/>
                <w:sz w:val="24"/>
              </w:rPr>
              <w:t>后</w:t>
            </w:r>
            <w:r>
              <w:rPr>
                <w:rFonts w:hint="eastAsia" w:ascii="仿宋" w:hAnsi="仿宋" w:eastAsia="仿宋"/>
                <w:b/>
                <w:color w:val="000000" w:themeColor="text1"/>
                <w:sz w:val="24"/>
              </w:rPr>
              <w:t>发送</w:t>
            </w:r>
            <w:r>
              <w:rPr>
                <w:rFonts w:ascii="仿宋" w:hAnsi="仿宋" w:eastAsia="仿宋"/>
                <w:b/>
                <w:color w:val="000000" w:themeColor="text1"/>
                <w:sz w:val="24"/>
              </w:rPr>
              <w:t>，质疑的</w:t>
            </w:r>
            <w:r>
              <w:rPr>
                <w:rFonts w:hint="eastAsia" w:ascii="仿宋" w:hAnsi="仿宋" w:eastAsia="仿宋"/>
                <w:b/>
                <w:color w:val="000000" w:themeColor="text1"/>
                <w:sz w:val="24"/>
              </w:rPr>
              <w:t>受理按答</w:t>
            </w:r>
            <w:r>
              <w:rPr>
                <w:rFonts w:ascii="仿宋" w:hAnsi="仿宋" w:eastAsia="仿宋"/>
                <w:b/>
                <w:color w:val="000000" w:themeColor="text1"/>
                <w:sz w:val="24"/>
              </w:rPr>
              <w:t>复</w:t>
            </w:r>
            <w:r>
              <w:rPr>
                <w:rFonts w:hint="eastAsia" w:ascii="仿宋" w:hAnsi="仿宋" w:eastAsia="仿宋"/>
                <w:b/>
                <w:color w:val="000000" w:themeColor="text1"/>
                <w:sz w:val="24"/>
              </w:rPr>
              <w:t>主体</w:t>
            </w:r>
            <w:r>
              <w:rPr>
                <w:rFonts w:ascii="仿宋" w:hAnsi="仿宋" w:eastAsia="仿宋"/>
                <w:b/>
                <w:color w:val="000000" w:themeColor="text1"/>
                <w:sz w:val="24"/>
              </w:rPr>
              <w:t>划分以</w:t>
            </w:r>
            <w:r>
              <w:rPr>
                <w:rFonts w:hint="eastAsia" w:ascii="仿宋" w:hAnsi="仿宋" w:eastAsia="仿宋"/>
                <w:b/>
                <w:color w:val="000000" w:themeColor="text1"/>
                <w:sz w:val="24"/>
              </w:rPr>
              <w:t>采购人</w:t>
            </w:r>
            <w:r>
              <w:rPr>
                <w:rFonts w:ascii="仿宋" w:hAnsi="仿宋" w:eastAsia="仿宋"/>
                <w:b/>
                <w:color w:val="000000" w:themeColor="text1"/>
                <w:sz w:val="24"/>
              </w:rPr>
              <w:t>或采购机构</w:t>
            </w:r>
            <w:r>
              <w:rPr>
                <w:rFonts w:hint="eastAsia" w:ascii="仿宋" w:hAnsi="仿宋" w:eastAsia="仿宋"/>
                <w:b/>
                <w:color w:val="000000" w:themeColor="text1"/>
                <w:sz w:val="24"/>
              </w:rPr>
              <w:t>邮箱回复确认受理</w:t>
            </w:r>
            <w:r>
              <w:rPr>
                <w:rFonts w:ascii="仿宋" w:hAnsi="仿宋" w:eastAsia="仿宋"/>
                <w:b/>
                <w:color w:val="000000" w:themeColor="text1"/>
                <w:sz w:val="24"/>
              </w:rPr>
              <w:t>为准。</w:t>
            </w:r>
          </w:p>
          <w:p>
            <w:pPr>
              <w:snapToGrid w:val="0"/>
              <w:rPr>
                <w:rFonts w:ascii="仿宋" w:hAnsi="仿宋" w:eastAsia="仿宋"/>
                <w:color w:val="000000" w:themeColor="text1"/>
                <w:sz w:val="24"/>
              </w:rPr>
            </w:pPr>
            <w:r>
              <w:rPr>
                <w:rFonts w:hint="eastAsia" w:ascii="仿宋" w:hAnsi="仿宋" w:eastAsia="仿宋"/>
                <w:color w:val="000000" w:themeColor="text1"/>
                <w:sz w:val="24"/>
              </w:rPr>
              <w:t>本项目涉及资格条件、采购需求、评分办法及采购过程中有关现场考察或开标前答疑会事项由</w:t>
            </w:r>
            <w:r>
              <w:rPr>
                <w:rFonts w:ascii="仿宋" w:hAnsi="仿宋" w:eastAsia="仿宋"/>
                <w:color w:val="000000" w:themeColor="text1"/>
                <w:sz w:val="24"/>
              </w:rPr>
              <w:t>采购人进行答复。</w:t>
            </w:r>
          </w:p>
          <w:p>
            <w:pPr>
              <w:pStyle w:val="34"/>
              <w:ind w:hanging="4"/>
              <w:rPr>
                <w:rFonts w:ascii="仿宋" w:hAnsi="仿宋" w:eastAsia="仿宋" w:cs="仿宋_GB2312"/>
                <w:color w:val="000000" w:themeColor="text1"/>
                <w:sz w:val="24"/>
              </w:rPr>
            </w:pPr>
            <w:r>
              <w:rPr>
                <w:rFonts w:hint="eastAsia" w:ascii="仿宋" w:hAnsi="仿宋" w:eastAsia="仿宋"/>
                <w:color w:val="000000" w:themeColor="text1"/>
                <w:sz w:val="24"/>
              </w:rPr>
              <w:t>涉及</w:t>
            </w:r>
            <w:r>
              <w:rPr>
                <w:rFonts w:ascii="仿宋" w:hAnsi="仿宋" w:eastAsia="仿宋"/>
                <w:color w:val="000000" w:themeColor="text1"/>
                <w:sz w:val="24"/>
              </w:rPr>
              <w:t>流程组织等</w:t>
            </w:r>
            <w:r>
              <w:rPr>
                <w:rFonts w:hint="eastAsia" w:ascii="仿宋" w:hAnsi="仿宋" w:eastAsia="仿宋"/>
                <w:color w:val="000000" w:themeColor="text1"/>
                <w:sz w:val="24"/>
              </w:rPr>
              <w:t>相关</w:t>
            </w:r>
            <w:r>
              <w:rPr>
                <w:rFonts w:ascii="仿宋" w:hAnsi="仿宋" w:eastAsia="仿宋"/>
                <w:color w:val="000000" w:themeColor="text1"/>
                <w:sz w:val="24"/>
              </w:rPr>
              <w:t>事项，由</w:t>
            </w:r>
            <w:r>
              <w:rPr>
                <w:rFonts w:hint="eastAsia" w:ascii="仿宋" w:hAnsi="仿宋" w:eastAsia="仿宋"/>
                <w:color w:val="000000" w:themeColor="text1"/>
                <w:sz w:val="24"/>
              </w:rPr>
              <w:t>采购</w:t>
            </w:r>
            <w:r>
              <w:rPr>
                <w:rFonts w:ascii="仿宋" w:hAnsi="仿宋" w:eastAsia="仿宋"/>
                <w:color w:val="000000" w:themeColor="text1"/>
                <w:sz w:val="24"/>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napToGrid w:val="0"/>
                <w:kern w:val="28"/>
                <w:sz w:val="24"/>
              </w:rPr>
            </w:pP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tc>
      </w:tr>
    </w:tbl>
    <w:p>
      <w:pPr>
        <w:snapToGrid w:val="0"/>
        <w:spacing w:line="360" w:lineRule="auto"/>
        <w:jc w:val="center"/>
        <w:rPr>
          <w:rFonts w:ascii="仿宋" w:hAnsi="仿宋" w:eastAsia="仿宋" w:cs="仿宋_GB2312"/>
          <w:b/>
          <w:sz w:val="32"/>
          <w:szCs w:val="20"/>
        </w:rPr>
      </w:pPr>
    </w:p>
    <w:bookmarkEnd w:id="10"/>
    <w:p>
      <w:pPr>
        <w:rPr>
          <w:rFonts w:ascii="仿宋_GB2312" w:hAnsi="仿宋" w:eastAsia="仿宋_GB2312" w:cs="仿宋_GB2312"/>
          <w:b/>
          <w:sz w:val="32"/>
          <w:szCs w:val="20"/>
        </w:rPr>
      </w:pPr>
      <w:bookmarkStart w:id="13" w:name="第三部分"/>
      <w:bookmarkStart w:id="14" w:name="_Toc164416483"/>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，投标人电子签名指投标人电子公章</w:t>
      </w:r>
      <w:r>
        <w:rPr>
          <w:rFonts w:ascii="仿宋_GB2312" w:hAnsi="仿宋" w:eastAsia="仿宋_GB2312"/>
          <w:sz w:val="24"/>
        </w:rPr>
        <w:t>；</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hint="eastAsia" w:ascii="仿宋_GB2312" w:hAnsi="仿宋" w:eastAsia="仿宋_GB2312"/>
          <w:bCs/>
          <w:sz w:val="24"/>
        </w:rPr>
        <w:t>√</w:t>
      </w:r>
      <w:r>
        <w:rPr>
          <w:rFonts w:hint="eastAsia" w:ascii="仿宋_GB2312" w:hAnsi="仿宋" w:eastAsia="仿宋_GB2312"/>
          <w:sz w:val="24"/>
        </w:rPr>
        <w:t>）”系指适用本项目的要求，“（  ）”系指不适用本项目的要求。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 w:eastAsia="仿宋_GB2312" w:cs="Arial"/>
          <w:kern w:val="0"/>
          <w:sz w:val="24"/>
        </w:rPr>
        <w:t>优先采购向我国企业转让技术、与我国企业签订消化吸收再创新方案的供应商的进口产品</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31"/>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left="420" w:leftChars="200"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11.2.7投标标的清单；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8</w:t>
      </w:r>
      <w:r>
        <w:rPr>
          <w:rFonts w:ascii="仿宋_GB2312" w:hAnsi="仿宋" w:eastAsia="仿宋_GB2312" w:cs="仿宋_GB2312"/>
          <w:sz w:val="24"/>
        </w:rPr>
        <w:t>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000000" w:themeColor="text1"/>
          <w:sz w:val="24"/>
          <w:szCs w:val="24"/>
        </w:rPr>
      </w:pPr>
      <w:r>
        <w:rPr>
          <w:rFonts w:ascii="仿宋_GB2312" w:hAnsi="仿宋" w:eastAsia="仿宋_GB2312" w:cs="仿宋_GB2312"/>
          <w:b/>
          <w:color w:val="000000" w:themeColor="text1"/>
          <w:sz w:val="24"/>
          <w:szCs w:val="24"/>
        </w:rPr>
        <w:t>15.5投标人仅提交备份投标文件，</w:t>
      </w:r>
      <w:r>
        <w:rPr>
          <w:rFonts w:hint="eastAsia" w:ascii="仿宋_GB2312" w:hAnsi="仿宋" w:eastAsia="仿宋_GB2312" w:cs="仿宋_GB2312"/>
          <w:b/>
          <w:color w:val="000000" w:themeColor="text1"/>
          <w:sz w:val="24"/>
          <w:szCs w:val="24"/>
        </w:rPr>
        <w:t>未</w:t>
      </w:r>
      <w:r>
        <w:rPr>
          <w:rFonts w:ascii="仿宋_GB2312" w:hAnsi="仿宋" w:eastAsia="仿宋_GB2312" w:cs="仿宋_GB2312"/>
          <w:b/>
          <w:color w:val="000000" w:themeColor="text1"/>
          <w:sz w:val="24"/>
          <w:szCs w:val="24"/>
        </w:rPr>
        <w:t>在电子交易平台传输递交投标文件的，投标无效。</w:t>
      </w:r>
    </w:p>
    <w:p>
      <w:pPr>
        <w:pStyle w:val="131"/>
        <w:spacing w:before="0"/>
        <w:ind w:firstLine="0" w:firstLineChars="0"/>
        <w:rPr>
          <w:rFonts w:ascii="仿宋_GB2312" w:hAnsi="仿宋" w:eastAsia="仿宋_GB2312" w:cs="仿宋_GB2312"/>
          <w:b/>
          <w:color w:val="000000" w:themeColor="text1"/>
          <w:szCs w:val="24"/>
        </w:rPr>
      </w:pPr>
      <w:r>
        <w:rPr>
          <w:rFonts w:ascii="仿宋_GB2312" w:hAnsi="仿宋" w:eastAsia="仿宋_GB2312" w:cs="仿宋_GB2312"/>
          <w:b/>
          <w:color w:val="000000" w:themeColor="text1"/>
          <w:szCs w:val="24"/>
        </w:rPr>
        <w:t>16.投标文件的无效处理</w:t>
      </w:r>
    </w:p>
    <w:p>
      <w:pPr>
        <w:pStyle w:val="25"/>
        <w:spacing w:line="360" w:lineRule="auto"/>
        <w:ind w:firstLine="360" w:firstLineChars="150"/>
        <w:rPr>
          <w:rFonts w:ascii="仿宋_GB2312" w:hAnsi="仿宋" w:eastAsia="仿宋_GB2312" w:cs="仿宋_GB2312"/>
          <w:color w:val="000000" w:themeColor="text1"/>
          <w:szCs w:val="21"/>
        </w:rPr>
      </w:pPr>
      <w:r>
        <w:rPr>
          <w:rFonts w:hint="eastAsia" w:ascii="仿宋_GB2312" w:hAnsi="仿宋" w:eastAsia="仿宋_GB2312" w:cs="仿宋_GB2312"/>
          <w:color w:val="000000" w:themeColor="text1"/>
          <w:szCs w:val="21"/>
        </w:rPr>
        <w:t>有招标文件第四部分</w:t>
      </w:r>
      <w:r>
        <w:rPr>
          <w:rFonts w:hint="eastAsia" w:ascii="仿宋_GB2312" w:hAnsi="仿宋" w:eastAsia="仿宋_GB2312"/>
          <w:color w:val="000000" w:themeColor="text1"/>
        </w:rPr>
        <w:t>4.2</w:t>
      </w:r>
      <w:r>
        <w:rPr>
          <w:rFonts w:ascii="仿宋_GB2312" w:hAnsi="仿宋" w:eastAsia="仿宋_GB2312"/>
          <w:color w:val="000000" w:themeColor="text1"/>
        </w:rPr>
        <w:t>规定</w:t>
      </w:r>
      <w:r>
        <w:rPr>
          <w:rFonts w:hint="eastAsia" w:ascii="仿宋_GB2312" w:hAnsi="仿宋" w:eastAsia="仿宋_GB2312" w:cs="仿宋_GB2312"/>
          <w:color w:val="000000" w:themeColor="text1"/>
          <w:szCs w:val="21"/>
        </w:rPr>
        <w:t>的情形之一的，投标无效：</w:t>
      </w:r>
    </w:p>
    <w:p>
      <w:pPr>
        <w:pStyle w:val="13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仿宋_GB2312" w:hAnsi="仿宋" w:eastAsia="仿宋_GB2312" w:cs="仿宋_GB2312"/>
          <w:b/>
          <w:sz w:val="32"/>
        </w:rPr>
      </w:pPr>
    </w:p>
    <w:p>
      <w:pPr>
        <w:pStyle w:val="13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7"/>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557"/>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1"/>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5"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采购人不得拒收履约保函，项目验收结束后应及时退还。</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3"/>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1"/>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jc w:val="left"/>
        <w:rPr>
          <w:rFonts w:ascii="仿宋" w:hAnsi="仿宋" w:eastAsia="仿宋" w:cs="Helvetica"/>
          <w:color w:val="000000"/>
          <w:kern w:val="0"/>
          <w:sz w:val="24"/>
        </w:rPr>
      </w:pPr>
      <w:r>
        <w:rPr>
          <w:rFonts w:ascii="仿宋_GB2312" w:hAnsi="仿宋" w:eastAsia="仿宋_GB2312" w:cs="Helvetica"/>
          <w:kern w:val="0"/>
          <w:sz w:val="24"/>
        </w:rPr>
        <w:t>29.1</w:t>
      </w:r>
      <w:r>
        <w:rPr>
          <w:rFonts w:hint="eastAsia" w:ascii="仿宋" w:hAnsi="仿宋" w:eastAsia="仿宋" w:cs="Helvetica"/>
          <w:color w:val="000000"/>
          <w:kern w:val="0"/>
          <w:sz w:val="24"/>
        </w:rPr>
        <w:t>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color w:val="000000"/>
          <w:kern w:val="0"/>
          <w:sz w:val="24"/>
        </w:rPr>
        <w:t>20</w:t>
      </w:r>
      <w:r>
        <w:rPr>
          <w:rFonts w:hint="eastAsia" w:ascii="仿宋" w:hAnsi="仿宋" w:eastAsia="仿宋" w:cs="Helvetica"/>
          <w:color w:val="000000"/>
          <w:kern w:val="0"/>
          <w:sz w:val="24"/>
        </w:rPr>
        <w:t>万元（含）以上的或使用镇（街道平台）财政性资金采购且合同金额在</w:t>
      </w:r>
      <w:r>
        <w:rPr>
          <w:rFonts w:ascii="仿宋" w:hAnsi="仿宋" w:eastAsia="仿宋" w:cs="Helvetica"/>
          <w:color w:val="000000"/>
          <w:kern w:val="0"/>
          <w:sz w:val="24"/>
        </w:rPr>
        <w:t>50</w:t>
      </w:r>
      <w:r>
        <w:rPr>
          <w:rFonts w:hint="eastAsia" w:ascii="仿宋" w:hAnsi="仿宋" w:eastAsia="仿宋" w:cs="Helvetica"/>
          <w:color w:val="000000"/>
          <w:kern w:val="0"/>
          <w:sz w:val="24"/>
        </w:rPr>
        <w:t>万元（含）以上的货物类政府采购项目的验收，按萧市监【</w:t>
      </w:r>
      <w:r>
        <w:rPr>
          <w:rFonts w:ascii="仿宋" w:hAnsi="仿宋" w:eastAsia="仿宋" w:cs="Helvetica"/>
          <w:color w:val="000000"/>
          <w:kern w:val="0"/>
          <w:sz w:val="24"/>
        </w:rPr>
        <w:t>2015</w:t>
      </w:r>
      <w:r>
        <w:rPr>
          <w:rFonts w:hint="eastAsia" w:ascii="仿宋" w:hAnsi="仿宋" w:eastAsia="仿宋" w:cs="Helvetica"/>
          <w:color w:val="000000"/>
          <w:kern w:val="0"/>
          <w:sz w:val="24"/>
        </w:rPr>
        <w:t>】</w:t>
      </w:r>
      <w:r>
        <w:rPr>
          <w:rFonts w:ascii="仿宋" w:hAnsi="仿宋" w:eastAsia="仿宋" w:cs="Helvetica"/>
          <w:color w:val="000000"/>
          <w:kern w:val="0"/>
          <w:sz w:val="24"/>
        </w:rPr>
        <w:t>127</w:t>
      </w:r>
      <w:r>
        <w:rPr>
          <w:rFonts w:hint="eastAsia" w:ascii="仿宋" w:hAnsi="仿宋" w:eastAsia="仿宋" w:cs="Helvetica"/>
          <w:color w:val="000000"/>
          <w:kern w:val="0"/>
          <w:sz w:val="24"/>
        </w:rPr>
        <w:t>号、萧市监【</w:t>
      </w:r>
      <w:r>
        <w:rPr>
          <w:rFonts w:ascii="仿宋" w:hAnsi="仿宋" w:eastAsia="仿宋" w:cs="Helvetica"/>
          <w:color w:val="000000"/>
          <w:kern w:val="0"/>
          <w:sz w:val="24"/>
        </w:rPr>
        <w:t>2019</w:t>
      </w:r>
      <w:r>
        <w:rPr>
          <w:rFonts w:hint="eastAsia" w:ascii="仿宋" w:hAnsi="仿宋" w:eastAsia="仿宋" w:cs="Helvetica"/>
          <w:color w:val="000000"/>
          <w:kern w:val="0"/>
          <w:sz w:val="24"/>
        </w:rPr>
        <w:t>】</w:t>
      </w:r>
      <w:r>
        <w:rPr>
          <w:rFonts w:ascii="仿宋" w:hAnsi="仿宋" w:eastAsia="仿宋" w:cs="Helvetica"/>
          <w:color w:val="000000"/>
          <w:kern w:val="0"/>
          <w:sz w:val="24"/>
        </w:rPr>
        <w:t>16</w:t>
      </w:r>
      <w:r>
        <w:rPr>
          <w:rFonts w:hint="eastAsia" w:ascii="仿宋" w:hAnsi="仿宋" w:eastAsia="仿宋" w:cs="Helvetica"/>
          <w:color w:val="000000"/>
          <w:kern w:val="0"/>
          <w:sz w:val="24"/>
        </w:rPr>
        <w:t>号等</w:t>
      </w:r>
      <w:r>
        <w:rPr>
          <w:rFonts w:ascii="仿宋" w:hAnsi="仿宋" w:eastAsia="仿宋" w:cs="Helvetica"/>
          <w:color w:val="000000"/>
          <w:kern w:val="0"/>
          <w:sz w:val="24"/>
        </w:rPr>
        <w:t>相关</w:t>
      </w:r>
      <w:r>
        <w:rPr>
          <w:rFonts w:hint="eastAsia" w:ascii="仿宋" w:hAnsi="仿宋" w:eastAsia="仿宋" w:cs="Helvetica"/>
          <w:color w:val="000000"/>
          <w:kern w:val="0"/>
          <w:sz w:val="24"/>
        </w:rPr>
        <w:t>文件执行（如</w:t>
      </w:r>
      <w:r>
        <w:rPr>
          <w:rFonts w:ascii="仿宋" w:hAnsi="仿宋" w:eastAsia="仿宋" w:cs="Helvetica"/>
          <w:color w:val="000000"/>
          <w:kern w:val="0"/>
          <w:sz w:val="24"/>
        </w:rPr>
        <w:t>项目发布之时已有新</w:t>
      </w:r>
      <w:r>
        <w:rPr>
          <w:rFonts w:hint="eastAsia" w:ascii="仿宋" w:hAnsi="仿宋" w:eastAsia="仿宋" w:cs="Helvetica"/>
          <w:color w:val="000000"/>
          <w:kern w:val="0"/>
          <w:sz w:val="24"/>
        </w:rPr>
        <w:t>文件</w:t>
      </w:r>
      <w:r>
        <w:rPr>
          <w:rFonts w:ascii="仿宋" w:hAnsi="仿宋" w:eastAsia="仿宋" w:cs="Helvetica"/>
          <w:color w:val="000000"/>
          <w:kern w:val="0"/>
          <w:sz w:val="24"/>
        </w:rPr>
        <w:t>，按照最新文件执行</w:t>
      </w:r>
      <w:r>
        <w:rPr>
          <w:rFonts w:hint="eastAsia" w:ascii="仿宋" w:hAnsi="仿宋" w:eastAsia="仿宋" w:cs="Helvetica"/>
          <w:color w:val="000000"/>
          <w:kern w:val="0"/>
          <w:sz w:val="24"/>
        </w:rPr>
        <w:t>）。存在隐蔽工程的项目，采购单位及供应商应在货物到货并将实施安装前，申请进行初验收。</w:t>
      </w:r>
    </w:p>
    <w:p>
      <w:pPr>
        <w:tabs>
          <w:tab w:val="left" w:pos="0"/>
        </w:tabs>
        <w:spacing w:line="360" w:lineRule="auto"/>
        <w:ind w:firstLine="480"/>
        <w:rPr>
          <w:rFonts w:ascii="仿宋_GB2312" w:hAnsi="仿宋" w:eastAsia="仿宋_GB2312" w:cs="Helvetica"/>
          <w:kern w:val="0"/>
          <w:sz w:val="24"/>
        </w:rPr>
      </w:pPr>
      <w:r>
        <w:rPr>
          <w:rFonts w:hint="eastAsia" w:ascii="仿宋" w:hAnsi="仿宋" w:eastAsia="仿宋" w:cs="Helvetica"/>
          <w:color w:val="000000"/>
          <w:kern w:val="0"/>
          <w:sz w:val="24"/>
        </w:rPr>
        <w:t>联系电话: 0571-83587785/0571-82816012  联系地址: 萧山区通惠北路2-1号302室</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29.2</w:t>
      </w:r>
      <w:r>
        <w:rPr>
          <w:rFonts w:ascii="仿宋_GB2312" w:hAnsi="仿宋" w:eastAsia="仿宋_GB2312" w:cs="Helvetica"/>
          <w:kern w:val="0"/>
          <w:sz w:val="24"/>
        </w:rPr>
        <w:t>采购人组织对供应商履约的验收。</w:t>
      </w:r>
      <w:r>
        <w:rPr>
          <w:rFonts w:hint="eastAsia" w:ascii="仿宋_GB2312" w:hAnsi="仿宋" w:eastAsia="仿宋_GB2312" w:cs="Helvetica"/>
          <w:kern w:val="0"/>
          <w:sz w:val="24"/>
        </w:rPr>
        <w:t>除29.1情形外，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bookmarkEnd w:id="14"/>
    <w:bookmarkEnd w:id="15"/>
    <w:p>
      <w:pPr>
        <w:spacing w:line="360" w:lineRule="auto"/>
        <w:jc w:val="center"/>
        <w:outlineLvl w:val="0"/>
        <w:rPr>
          <w:rFonts w:ascii="仿宋" w:hAnsi="仿宋" w:eastAsia="仿宋" w:cs="仿宋_GB2312"/>
          <w:b/>
          <w:sz w:val="36"/>
          <w:szCs w:val="36"/>
        </w:rPr>
      </w:pPr>
      <w:bookmarkStart w:id="16" w:name="第四部分"/>
    </w:p>
    <w:p>
      <w:pPr>
        <w:spacing w:line="360" w:lineRule="auto"/>
        <w:jc w:val="center"/>
        <w:outlineLvl w:val="0"/>
        <w:rPr>
          <w:rFonts w:ascii="仿宋" w:hAnsi="仿宋" w:eastAsia="仿宋" w:cs="仿宋_GB2312"/>
          <w:b/>
          <w:sz w:val="36"/>
          <w:szCs w:val="36"/>
        </w:rPr>
      </w:pPr>
    </w:p>
    <w:p>
      <w:pPr>
        <w:pStyle w:val="81"/>
        <w:spacing w:before="120"/>
        <w:ind w:firstLine="723"/>
        <w:rPr>
          <w:rFonts w:ascii="仿宋" w:hAnsi="仿宋" w:eastAsia="仿宋" w:cs="仿宋_GB2312"/>
          <w:b/>
          <w:sz w:val="36"/>
          <w:szCs w:val="36"/>
        </w:rPr>
      </w:pPr>
    </w:p>
    <w:p>
      <w:pPr>
        <w:pStyle w:val="81"/>
        <w:spacing w:before="120"/>
        <w:ind w:firstLine="723"/>
        <w:rPr>
          <w:rFonts w:ascii="仿宋" w:hAnsi="仿宋" w:eastAsia="仿宋" w:cs="仿宋_GB2312"/>
          <w:b/>
          <w:sz w:val="36"/>
          <w:szCs w:val="36"/>
        </w:rPr>
      </w:pPr>
    </w:p>
    <w:p>
      <w:pPr>
        <w:pStyle w:val="81"/>
        <w:spacing w:before="120"/>
        <w:ind w:firstLine="723"/>
        <w:rPr>
          <w:rFonts w:ascii="仿宋" w:hAnsi="仿宋" w:eastAsia="仿宋" w:cs="仿宋_GB2312"/>
          <w:b/>
          <w:sz w:val="36"/>
          <w:szCs w:val="36"/>
        </w:rPr>
      </w:pPr>
    </w:p>
    <w:p>
      <w:pPr>
        <w:pStyle w:val="81"/>
        <w:spacing w:before="120"/>
        <w:ind w:firstLine="723"/>
        <w:rPr>
          <w:rFonts w:ascii="仿宋" w:hAnsi="仿宋" w:eastAsia="仿宋" w:cs="仿宋_GB2312"/>
          <w:b/>
          <w:sz w:val="36"/>
          <w:szCs w:val="36"/>
        </w:rPr>
      </w:pPr>
    </w:p>
    <w:p>
      <w:pPr>
        <w:pStyle w:val="81"/>
        <w:spacing w:before="120"/>
        <w:ind w:firstLine="723"/>
        <w:rPr>
          <w:rFonts w:ascii="仿宋" w:hAnsi="仿宋" w:eastAsia="仿宋" w:cs="仿宋_GB2312"/>
          <w:b/>
          <w:sz w:val="36"/>
          <w:szCs w:val="36"/>
        </w:rPr>
      </w:pPr>
    </w:p>
    <w:p>
      <w:pPr>
        <w:pStyle w:val="81"/>
        <w:spacing w:before="120"/>
        <w:ind w:firstLine="723"/>
        <w:rPr>
          <w:rFonts w:ascii="仿宋" w:hAnsi="仿宋" w:eastAsia="仿宋" w:cs="仿宋_GB2312"/>
          <w:b/>
          <w:sz w:val="36"/>
          <w:szCs w:val="36"/>
        </w:rPr>
      </w:pPr>
    </w:p>
    <w:p>
      <w:pPr>
        <w:pStyle w:val="81"/>
        <w:spacing w:before="120"/>
        <w:ind w:firstLine="723"/>
        <w:rPr>
          <w:rFonts w:ascii="仿宋" w:hAnsi="仿宋" w:eastAsia="仿宋" w:cs="仿宋_GB2312"/>
          <w:b/>
          <w:sz w:val="36"/>
          <w:szCs w:val="36"/>
        </w:rPr>
      </w:pPr>
    </w:p>
    <w:p>
      <w:pPr>
        <w:pStyle w:val="81"/>
        <w:spacing w:before="120"/>
        <w:ind w:firstLine="723"/>
        <w:rPr>
          <w:rFonts w:ascii="仿宋" w:hAnsi="仿宋" w:eastAsia="仿宋" w:cs="仿宋_GB2312"/>
          <w:b/>
          <w:sz w:val="36"/>
          <w:szCs w:val="36"/>
        </w:rPr>
      </w:pPr>
    </w:p>
    <w:p>
      <w:pPr>
        <w:pStyle w:val="81"/>
        <w:spacing w:before="120"/>
        <w:ind w:firstLine="723"/>
        <w:rPr>
          <w:rFonts w:ascii="仿宋" w:hAnsi="仿宋" w:eastAsia="仿宋" w:cs="仿宋_GB2312"/>
          <w:b/>
          <w:sz w:val="36"/>
          <w:szCs w:val="36"/>
        </w:rPr>
      </w:pPr>
    </w:p>
    <w:p>
      <w:pPr>
        <w:pStyle w:val="81"/>
        <w:spacing w:before="120"/>
        <w:ind w:firstLine="0" w:firstLineChars="0"/>
        <w:rPr>
          <w:rFonts w:ascii="仿宋" w:hAnsi="仿宋" w:eastAsia="仿宋" w:cs="仿宋_GB2312"/>
          <w:b/>
          <w:sz w:val="36"/>
          <w:szCs w:val="36"/>
        </w:rPr>
      </w:pPr>
    </w:p>
    <w:p>
      <w:pPr>
        <w:spacing w:line="360" w:lineRule="auto"/>
        <w:jc w:val="center"/>
        <w:outlineLvl w:val="0"/>
        <w:rPr>
          <w:rFonts w:ascii="仿宋" w:hAnsi="仿宋" w:eastAsia="仿宋" w:cs="仿宋_GB2312"/>
          <w:b/>
          <w:sz w:val="36"/>
          <w:szCs w:val="36"/>
        </w:rPr>
      </w:pPr>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第三部分采购需求</w:t>
      </w:r>
    </w:p>
    <w:p>
      <w:pPr>
        <w:snapToGrid w:val="0"/>
        <w:spacing w:line="360" w:lineRule="auto"/>
        <w:jc w:val="left"/>
        <w:rPr>
          <w:rFonts w:ascii="仿宋" w:hAnsi="仿宋" w:eastAsia="仿宋"/>
          <w:color w:val="000000"/>
          <w:sz w:val="24"/>
        </w:rPr>
      </w:pPr>
      <w:r>
        <w:rPr>
          <w:rFonts w:hint="eastAsia" w:ascii="仿宋" w:hAnsi="仿宋" w:eastAsia="仿宋"/>
          <w:color w:val="000000"/>
          <w:sz w:val="24"/>
        </w:rPr>
        <w:t>属于实质性要求条款的，请用符号“▲”标明，否则属于非实质性要求。</w:t>
      </w:r>
    </w:p>
    <w:p>
      <w:pPr>
        <w:snapToGrid w:val="0"/>
        <w:spacing w:line="360" w:lineRule="auto"/>
        <w:jc w:val="left"/>
        <w:rPr>
          <w:rFonts w:ascii="仿宋" w:hAnsi="仿宋" w:eastAsia="仿宋"/>
          <w:color w:val="000000"/>
          <w:sz w:val="24"/>
        </w:rPr>
      </w:pPr>
      <w:r>
        <w:rPr>
          <w:rFonts w:hint="eastAsia" w:ascii="仿宋" w:hAnsi="仿宋" w:eastAsia="仿宋"/>
          <w:color w:val="000000"/>
          <w:sz w:val="24"/>
        </w:rPr>
        <w:t>“★”系产品采购项目中单一产品或核心产品。</w:t>
      </w:r>
    </w:p>
    <w:p>
      <w:pPr>
        <w:snapToGrid w:val="0"/>
        <w:spacing w:beforeLines="50" w:afterLines="50" w:line="500" w:lineRule="exact"/>
        <w:jc w:val="center"/>
        <w:rPr>
          <w:rFonts w:ascii="仿宋" w:hAnsi="仿宋" w:eastAsia="仿宋" w:cs="仿宋"/>
          <w:b/>
          <w:bCs/>
          <w:sz w:val="28"/>
          <w:szCs w:val="28"/>
        </w:rPr>
      </w:pPr>
      <w:r>
        <w:rPr>
          <w:rFonts w:hint="eastAsia" w:ascii="仿宋" w:hAnsi="仿宋" w:eastAsia="仿宋" w:cs="仿宋"/>
          <w:b/>
          <w:bCs/>
          <w:sz w:val="28"/>
          <w:szCs w:val="28"/>
        </w:rPr>
        <w:t>一、招标一览表</w:t>
      </w:r>
    </w:p>
    <w:p>
      <w:pPr>
        <w:snapToGrid w:val="0"/>
        <w:spacing w:line="360" w:lineRule="auto"/>
        <w:jc w:val="left"/>
        <w:rPr>
          <w:rFonts w:ascii="仿宋" w:hAnsi="仿宋" w:eastAsia="仿宋" w:cs="仿宋"/>
          <w:sz w:val="24"/>
        </w:rPr>
      </w:pPr>
      <w:r>
        <w:rPr>
          <w:rFonts w:hint="eastAsia" w:ascii="仿宋" w:hAnsi="仿宋" w:eastAsia="仿宋" w:cs="仿宋"/>
          <w:b/>
          <w:sz w:val="24"/>
        </w:rPr>
        <w:t>标项：</w:t>
      </w:r>
      <w:r>
        <w:rPr>
          <w:rFonts w:hint="eastAsia" w:ascii="仿宋" w:hAnsi="仿宋" w:eastAsia="仿宋" w:cs="仿宋"/>
          <w:b/>
          <w:sz w:val="24"/>
          <w:u w:val="single"/>
        </w:rPr>
        <w:t xml:space="preserve"> 1 </w:t>
      </w:r>
    </w:p>
    <w:tbl>
      <w:tblPr>
        <w:tblStyle w:val="63"/>
        <w:tblW w:w="9180" w:type="dxa"/>
        <w:jc w:val="center"/>
        <w:tblLayout w:type="fixed"/>
        <w:tblCellMar>
          <w:top w:w="0" w:type="dxa"/>
          <w:left w:w="0" w:type="dxa"/>
          <w:bottom w:w="0" w:type="dxa"/>
          <w:right w:w="0" w:type="dxa"/>
        </w:tblCellMar>
      </w:tblPr>
      <w:tblGrid>
        <w:gridCol w:w="754"/>
        <w:gridCol w:w="3624"/>
        <w:gridCol w:w="2774"/>
        <w:gridCol w:w="1013"/>
        <w:gridCol w:w="1015"/>
      </w:tblGrid>
      <w:tr>
        <w:tblPrEx>
          <w:tblCellMar>
            <w:top w:w="0" w:type="dxa"/>
            <w:left w:w="0" w:type="dxa"/>
            <w:bottom w:w="0" w:type="dxa"/>
            <w:right w:w="0" w:type="dxa"/>
          </w:tblCellMar>
        </w:tblPrEx>
        <w:trPr>
          <w:cantSplit/>
          <w:trHeight w:val="439"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序号</w:t>
            </w:r>
          </w:p>
        </w:tc>
        <w:tc>
          <w:tcPr>
            <w:tcW w:w="36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名称</w:t>
            </w:r>
          </w:p>
        </w:tc>
        <w:tc>
          <w:tcPr>
            <w:tcW w:w="27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数量</w:t>
            </w:r>
          </w:p>
        </w:tc>
      </w:tr>
      <w:tr>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362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sz w:val="24"/>
              </w:rPr>
              <w:t xml:space="preserve">杭州市萧山区第二人民医院医疗设备整体维保服务政府采购项目 </w:t>
            </w:r>
          </w:p>
        </w:tc>
        <w:tc>
          <w:tcPr>
            <w:tcW w:w="277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000000" w:themeColor="text1"/>
                <w:sz w:val="24"/>
              </w:rPr>
            </w:pPr>
            <w:r>
              <w:rPr>
                <w:rFonts w:hint="eastAsia" w:ascii="仿宋" w:hAnsi="仿宋" w:eastAsia="仿宋" w:cs="仿宋"/>
                <w:color w:val="000000" w:themeColor="text1"/>
                <w:sz w:val="24"/>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年</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sz w:val="24"/>
              </w:rPr>
            </w:pPr>
            <w:r>
              <w:rPr>
                <w:rFonts w:hint="eastAsia" w:ascii="仿宋" w:hAnsi="仿宋" w:eastAsia="仿宋" w:cs="仿宋"/>
                <w:sz w:val="24"/>
              </w:rPr>
              <w:t>3</w:t>
            </w:r>
          </w:p>
        </w:tc>
      </w:tr>
    </w:tbl>
    <w:p>
      <w:pPr>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二、招标需求</w:t>
      </w:r>
    </w:p>
    <w:p>
      <w:pPr>
        <w:pStyle w:val="890"/>
        <w:ind w:firstLine="482"/>
        <w:rPr>
          <w:rFonts w:cs="仿宋" w:asciiTheme="majorEastAsia" w:hAnsiTheme="majorEastAsia" w:eastAsiaTheme="majorEastAsia"/>
          <w:b/>
          <w:bCs/>
          <w:sz w:val="24"/>
        </w:rPr>
      </w:pPr>
    </w:p>
    <w:p>
      <w:pPr>
        <w:spacing w:line="360" w:lineRule="auto"/>
        <w:ind w:right="67"/>
        <w:outlineLvl w:val="0"/>
        <w:rPr>
          <w:rFonts w:asciiTheme="minorEastAsia" w:hAnsiTheme="minorEastAsia" w:eastAsiaTheme="minorEastAsia"/>
          <w:b/>
          <w:bCs/>
          <w:sz w:val="24"/>
        </w:rPr>
      </w:pPr>
      <w:r>
        <w:rPr>
          <w:rFonts w:hint="eastAsia" w:asciiTheme="minorEastAsia" w:hAnsiTheme="minorEastAsia" w:eastAsiaTheme="minorEastAsia"/>
          <w:b/>
          <w:bCs/>
          <w:sz w:val="24"/>
        </w:rPr>
        <w:t>一、项目概况：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提升医院整体医疗设备管理水平，符合浙江省医疗设备质控管理标准要求，更好服务临床工作开展，减少政府及医院年度财政支出，开展医疗设备整体维保服务采购，内容从技术服务到设备管理包括但不仅限于（以全面保障采购人医疗设备安全有效运行为标准）：全院医学装备盘点及电子建档、设备运行保障（故障诊断与维修、配件更换、软件升级）、预防性维护（巡检、保养、安全检测）、质量控制、医学装备临床使用培训、设备验收协助、使用评价及协助计量检定等整个设备生命周期的管理服务以及医院等级评审辅助等。</w:t>
      </w:r>
    </w:p>
    <w:p>
      <w:pPr>
        <w:spacing w:line="400" w:lineRule="exact"/>
        <w:rPr>
          <w:rFonts w:cs="微软雅黑" w:asciiTheme="majorEastAsia" w:hAnsiTheme="majorEastAsia" w:eastAsiaTheme="majorEastAsia"/>
          <w:bCs/>
          <w:szCs w:val="21"/>
        </w:rPr>
      </w:pPr>
      <w:r>
        <w:rPr>
          <w:rFonts w:hint="eastAsia" w:cs="Arial" w:asciiTheme="minorEastAsia" w:hAnsiTheme="minorEastAsia" w:eastAsiaTheme="minorEastAsia"/>
          <w:sz w:val="24"/>
        </w:rPr>
        <w:t>本项目服务涉及设备指医院在用医学装备，包括列入医院固定资产账册的医疗设备和未列入医院固定资产账册的低值医疗设备。（设备维修见附件）</w:t>
      </w:r>
    </w:p>
    <w:p>
      <w:pPr>
        <w:spacing w:line="360" w:lineRule="auto"/>
        <w:ind w:right="67"/>
        <w:outlineLvl w:val="0"/>
        <w:rPr>
          <w:rFonts w:asciiTheme="minorEastAsia" w:hAnsiTheme="minorEastAsia" w:eastAsiaTheme="minorEastAsia"/>
          <w:b/>
          <w:bCs/>
          <w:sz w:val="24"/>
        </w:rPr>
      </w:pPr>
      <w:r>
        <w:rPr>
          <w:rFonts w:hint="eastAsia" w:asciiTheme="minorEastAsia" w:hAnsiTheme="minorEastAsia" w:eastAsiaTheme="minorEastAsia"/>
          <w:b/>
          <w:bCs/>
          <w:sz w:val="24"/>
        </w:rPr>
        <w:t>二、 项目技术需求：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1、提供有效的医疗设备管理软件，需具备如下功能及要求：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提供自主知识产权的医疗设备管理系统（以软件著作权登记证书复印件为准，允许投标人或投标人母公司或控股关联公司共享），该系统能为采购人提供医疗设备从采购到报废全生命周期的管理，采购人对该系统软件具有长期的使用权，合同期内投标人须做好该系统的维护保证采购人能正常使用。合同期满，如采购方需要继续使用该软件，需支付每年软件维护费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1.2设备基础信息管理：记录设备的基本信息如型号、序列号、生产厂家，记录设备从采购，安装、调拨到报废的全部过程。</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1.3设备使用情况：监控设备的开关机情况。</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1.4合同管理：管理与设备有关的全部的合同信息，包括费用的来源情况、付款情况、发票信息和合同文本等。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1.5信息提示：具备根据既定的条件自动产生巡检、强检、保养、预防性维护、性能检定、计量检定等信息并及时提醒。</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1.6监管管理：对医疗设备在使用过程中发生的不良事件和自查报告等关键信息进行实时监督。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1.7计量设备检定管理：具备计量设备台账、预警等实时管理。每年1-2次请有资质的检测机构对每台设备进行质量检测或校准，并出具检测报告。</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1.8维修管理：实现从报修到维修完毕的全过程管理。并纪录设备维修中的各类的信息,包括故障情况,维修备件、时间节点等，并可通过系统对维修效率、品质等进行分析。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1.9维修商管理：管理维修商的资质、实现维修商的维修情况分析和评估，实现对于维修商在维修、保养过程的监管。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1.10设备盘点：通过移动端实现医疗设备的盘点管理功能。</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1.11设备巡检：实现设备的日常巡检管理。并能产生相应的提示和报表分析。及时发现并解决问题，巡检记录须有设备使用人员签字。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设备保养、预防性维护：实现设备的保养管理。根据制订的需求能产生相应的提示和报表分析。及时发现并解决问题，保养记录须有设备使用人员签字。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性能检测：实现设备的性能检测的管理。根据制订的需求能产生相应的提示和报表分析。及时发现并解决问题，检测记录须有设备使用人员签字。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1.14设备管理移动终端化：实现设备管理的移动终端化，包括：设备维修、设备保养、设备巡检等。并提供移动端的信息推送。</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线上保修：使用人员可通过手机端扫设备码报修。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1.16监控中心：能通过监控中心大屏，监管医疗设备运行的情况。</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1.17报表管理：系统提供医疗设备管理报表。如：维修费、开机率、维修时间等。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1.18绩效管理：系统具备医疗设备绩效管理模块。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1.19设备资料库：具备记录并分析设备全生命周期的数据，如：设备采购、维修、保养、巡检、计量、性能检定等，为用户采购提供有效的科学依据。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1.20配件库管理：进行常用配件管理。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▲1.21硬件配置：工程师终端（电脑、打印机）每人一套（包括入驻人员及医院现有设备科工程人员），资产盘查PDA1台或手机专用APP软件1套、大显示屏2台。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1.22医院确保系统开放的前提下，投标人负责免费接入医院信息系统。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1.23数据库拓展功能：设备使用手册、培训视频等上传。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1.24电子签名功能：维修、巡检等结果确认。</w:t>
      </w:r>
    </w:p>
    <w:p>
      <w:pPr>
        <w:pStyle w:val="79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rPr>
        <w:t>1.25具有自主知识产权管理软件扩展的手机 APP 功能。</w:t>
      </w:r>
      <w:r>
        <w:rPr>
          <w:rFonts w:hint="eastAsia" w:asciiTheme="minorEastAsia" w:hAnsiTheme="minorEastAsia" w:eastAsiaTheme="minorEastAsia" w:cstheme="minorEastAsia"/>
          <w:kern w:val="0"/>
          <w:szCs w:val="24"/>
        </w:rPr>
        <w:t>2、人员要求：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▲2.1项目组成员要求不少于4人，其中现场派驻工程师应不少于2人，设项目负责人。工作时间统一着装、佩戴工作证件。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驻场工程师团队要求驻场工程师大专或以上学历，三年以上医院工作经历，驻场服务工程师可出具厂家或者行业协会培训资质证书，如放射，超声，检验、高压氧舱等重要医疗设备。请出具相关的证明材料。驻场人员必须遵守国家法律法规和医院的各项规章制度。</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2.3作息时间与医院相同，休息天及晚间提供应急服务。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2.4人员要求稳定，变动须经甲方同意后方可调动。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2.5供应商具备技术支持中心和技术专家团队，可为医院驻场服务团队提供远程技术和现场技术支持；配备后台数据服务人员配合现场工程师团队。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3、技术能力保障：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3.1具备医院临床常用医疗设备制造商售后服务授权。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3.2具备医院实验室设备制造商售后服务授权。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3.3具备医疗设备检测服务资质和能力。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3.4具有备件仓储条件，有独立的备件仓库。</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3.5为保障及时服务，投标人能够提供可视化可穿戴实时互动远程技术服务平台，（具有自主知识产权，提供相关证明文件复印件，照片及技术资料）。</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4、开机率：应保障采购人所有医疗设备年开机率均不低于95%，按全年365天计算，包含节假日，即停机时间不超过18天。</w:t>
      </w:r>
    </w:p>
    <w:p>
      <w:pPr>
        <w:pStyle w:val="79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5、维修：</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由具备相关资质、有一定维修经验的驻场工程师进行维修，修复后的设备达到设备设计技术标准；更换高值耗材的，高值耗材须保用3个月或按照该耗材销售时供应商承诺的保用期计算。</w:t>
      </w:r>
    </w:p>
    <w:p>
      <w:pPr>
        <w:pStyle w:val="79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▲5.1响应时间：报修后平均15分钟内到场响应，平均72小时内修复，并在医院常驻不少于1名专业医用设备维修工程师7*24的电话咨询。遇到紧急情况时（非工作日），能配合医院在当天解决故障。</w:t>
      </w:r>
    </w:p>
    <w:p>
      <w:pPr>
        <w:pStyle w:val="79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▲5.2 修复时间：一般故障24小时内修复，特殊情况需更换配件且配件需临时采购的72小时内修复（该情况每月不得超过总维修数的2%、放射类设备维修每季度不超过1例）</w:t>
      </w:r>
    </w:p>
    <w:p>
      <w:pPr>
        <w:pStyle w:val="79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5.3按月周期内同故障连续出现3次及超过72小时不能修复的，招标人可直接向其他服务商要求维修，费用由中标人承担在服务费中直接扣除。</w:t>
      </w:r>
    </w:p>
    <w:p>
      <w:pPr>
        <w:pStyle w:val="79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如中标方无法提供服务范围内个别设备的维修服务，经与中标方协商或书面确认后，可由采购方自行解决或提供维修渠道，由中标方与其沟通，确认维修事宜，费用由中标方支付。</w:t>
      </w:r>
    </w:p>
    <w:p>
      <w:pPr>
        <w:pStyle w:val="79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▲5.4所有配件如需更换均应使用原厂或满足原厂条件的备件。（球管、平板等高值备件需使用全新备件）。其配件费、消耗品费用均含在服务报价中。</w:t>
      </w:r>
    </w:p>
    <w:p>
      <w:pPr>
        <w:pStyle w:val="79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5.5维修记录完善，有使用科室确认和评价。</w:t>
      </w:r>
    </w:p>
    <w:p>
      <w:pPr>
        <w:pStyle w:val="79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6、巡检、保养、预防性维护：</w:t>
      </w:r>
    </w:p>
    <w:p>
      <w:pPr>
        <w:pStyle w:val="79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6.1 根据不同的设备类型制定相应的保养巡检计划并执行及录入报告，对医疗设备进行保养及规划。重点设备保养频次不低于4次/年，普通设备保养频次不低于2次/年。特殊设备参考原厂设备使用说明书要求执行，做到设备全覆盖。</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6.2按照质控要求及相关法律法规对服务范围内的所有医疗设备进行逐一巡检，急救、生命支持类须做重点巡检，发现问题及时解决。</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6.3巡检内容包括：电气安全性能检测、性能指标测试与调整、医疗设备的运行标识、内部清洁除尘润滑、更换易损部件与消耗品、必要的操作培训和使用注意事项、设备故障的及时维修、医疗设备的运行环境等。</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6.4每月根据巡检情况做出分析报告，提出整改措施及注意事项等，反馈使用科室。服务期限内，每年度末向采购人提供一份重要医疗设备年度评估报告</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7、计量：按计量法要求整理计量台账，提前30天提示检定，协助配合医院做好计量器具计量检测的送检服务和现场检定，包括计量和校准设备计划周期的制定与送检，计量、检测，建立台账及标识更新。</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8、性能检测：根据浙江省医疗设备质控要求做好相关设备的性能检测，检测记录须有设备使用人员签字。供应商具备包括呼吸机、除颤器、输液设备、婴儿培养箱、电刀、等设备的质量检测能力，同时供应商应拥有这些检测设备，检测设备经过国家或者省级检定机构出具的合法检定报告，供应商的校准资质需得到国家法定机构认可并可以出具被认可的校准检测报告。</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9、配件库：供应商在上海或杭州有备机备件的仓库，如维修紧急情况，针对生命支持类设备能24小时内调用备机，麻醉、监护等主要设备。现场设立常用配件库，一般年消耗量大于5件的需有库存。</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10、设备资产清点，每年提供全院设备资产清查，并形成清查报告；</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11、报废：采购人综合该设备的使用年限、故障率、维修费用、性能等情况进行评估确定报废处理。</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12、使用培训：定期组织使用人员进行培训指导，保证使用人员能正确操作。</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13、做好质控标准调整后可能增加的工作量。</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14、中标人需无条件积极配合医院各项临时性、应急性工作（相关工作范围内）。</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15、配合设备质控检查，维保工作有严格档案管理，协助医院提供质控检查相关资料；</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16、数据分析,对甲乙类大型医疗设备如CT、磁共振、高值康复设备做效益分析；</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17、设备档案管理，帮助设备处建立全院医疗设备电子档案和台账；</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18、提供重要医疗设备年度评估报告；</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19、支持医院设备学科建设，投标人可为医院提供本地或线上的学习，维修培训等资源。</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20、投标人具有二级甲等及以上医院整体维保服务的管理经验。</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21、投标人及中标公司必须保守院方机密，不得泄漏院方所提供的属院方秘密的信息和数据；未经院方允许，不得使用或者以其它方式向任何第三方提供本项目所涉及的相关信息或数据。</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22、提供免费服务热线（800或者400电话）。</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23、投标人须具有医疗设备精细化管理技术，至少包含基于无线传感技术，设备参数采集，设备使用计数，设备可视化管理及基于传感器设备监控管理。</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24、要求投标人具有良好的信用评级，无不良信用记录。要求供应商具备关键信用评价等级证书，包括企业资信，企业信用，企业经营，质量及服务以及合同守信等方面。</w:t>
      </w:r>
    </w:p>
    <w:p>
      <w:pPr>
        <w:pStyle w:val="24"/>
        <w:ind w:firstLine="48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25、投标人提供体现医疗设备维修安装能力的证书，包括但不限于放射设备，超声， 检验，医用电子，消毒灭菌类设备。可提供这些设备维修，安装，保养等能力。</w:t>
      </w:r>
    </w:p>
    <w:p>
      <w:pPr>
        <w:adjustRightInd/>
        <w:spacing w:line="400" w:lineRule="exact"/>
        <w:rPr>
          <w:rFonts w:cs="微软雅黑" w:asciiTheme="majorEastAsia" w:hAnsiTheme="majorEastAsia" w:eastAsiaTheme="majorEastAsia"/>
          <w:b/>
          <w:sz w:val="24"/>
          <w:szCs w:val="21"/>
        </w:rPr>
      </w:pPr>
      <w:r>
        <w:rPr>
          <w:rFonts w:hint="eastAsia" w:cs="微软雅黑" w:asciiTheme="majorEastAsia" w:hAnsiTheme="majorEastAsia" w:eastAsiaTheme="majorEastAsia"/>
          <w:b/>
          <w:sz w:val="24"/>
          <w:szCs w:val="21"/>
        </w:rPr>
        <w:t>三、投标公司服务能力</w:t>
      </w:r>
    </w:p>
    <w:p>
      <w:pPr>
        <w:spacing w:line="400" w:lineRule="exact"/>
        <w:rPr>
          <w:rFonts w:cs="微软雅黑" w:asciiTheme="majorEastAsia" w:hAnsiTheme="majorEastAsia" w:eastAsiaTheme="majorEastAsia"/>
          <w:b/>
          <w:sz w:val="24"/>
          <w:szCs w:val="21"/>
        </w:rPr>
      </w:pPr>
      <w:r>
        <w:rPr>
          <w:rFonts w:hint="eastAsia" w:cs="微软雅黑" w:asciiTheme="majorEastAsia" w:hAnsiTheme="majorEastAsia" w:eastAsiaTheme="majorEastAsia"/>
          <w:b/>
          <w:sz w:val="24"/>
          <w:szCs w:val="21"/>
        </w:rPr>
        <w:t>1.管理方案和服务承诺：</w:t>
      </w:r>
    </w:p>
    <w:p>
      <w:pPr>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公司有明确的服务承诺，维护方案详尽明了，应急处理方案合理恰当 。</w:t>
      </w:r>
    </w:p>
    <w:p>
      <w:pPr>
        <w:spacing w:line="400" w:lineRule="exact"/>
        <w:rPr>
          <w:rFonts w:cs="微软雅黑" w:asciiTheme="majorEastAsia" w:hAnsiTheme="majorEastAsia" w:eastAsiaTheme="majorEastAsia"/>
          <w:b/>
          <w:sz w:val="24"/>
          <w:szCs w:val="21"/>
        </w:rPr>
      </w:pPr>
      <w:r>
        <w:rPr>
          <w:rFonts w:hint="eastAsia" w:cs="微软雅黑" w:asciiTheme="majorEastAsia" w:hAnsiTheme="majorEastAsia" w:eastAsiaTheme="majorEastAsia"/>
          <w:b/>
          <w:sz w:val="24"/>
          <w:szCs w:val="21"/>
        </w:rPr>
        <w:t>2.数据服务能力：</w:t>
      </w:r>
    </w:p>
    <w:p>
      <w:pPr>
        <w:numPr>
          <w:ilvl w:val="0"/>
          <w:numId w:val="1"/>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投标公司须提供医院医疗设备管理软件系统，并且在服务期间内能持续提供软件维护和更新。</w:t>
      </w:r>
    </w:p>
    <w:p>
      <w:pPr>
        <w:numPr>
          <w:ilvl w:val="0"/>
          <w:numId w:val="1"/>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所提供的医疗设备管理软件能为用户提供医疗设备从采购到报废全生命周期的管理。涵盖如下功能：</w:t>
      </w:r>
    </w:p>
    <w:tbl>
      <w:tblPr>
        <w:tblStyle w:val="63"/>
        <w:tblW w:w="9440"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210"/>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0" w:type="dxa"/>
            <w:vAlign w:val="center"/>
          </w:tcPr>
          <w:p>
            <w:pPr>
              <w:widowControl/>
              <w:spacing w:line="400" w:lineRule="exact"/>
              <w:jc w:val="center"/>
              <w:textAlignment w:val="center"/>
              <w:rPr>
                <w:rFonts w:cs="微软雅黑" w:asciiTheme="majorEastAsia" w:hAnsiTheme="majorEastAsia" w:eastAsiaTheme="majorEastAsia"/>
                <w:b/>
                <w:bCs/>
                <w:szCs w:val="21"/>
              </w:rPr>
            </w:pPr>
            <w:r>
              <w:rPr>
                <w:rFonts w:hint="eastAsia" w:cs="微软雅黑" w:asciiTheme="majorEastAsia" w:hAnsiTheme="majorEastAsia" w:eastAsiaTheme="majorEastAsia"/>
                <w:b/>
                <w:bCs/>
                <w:szCs w:val="21"/>
              </w:rPr>
              <w:t>功能模块</w:t>
            </w:r>
          </w:p>
        </w:tc>
        <w:tc>
          <w:tcPr>
            <w:tcW w:w="1210" w:type="dxa"/>
            <w:vAlign w:val="center"/>
          </w:tcPr>
          <w:p>
            <w:pPr>
              <w:widowControl/>
              <w:spacing w:line="400" w:lineRule="exact"/>
              <w:jc w:val="center"/>
              <w:textAlignment w:val="center"/>
              <w:rPr>
                <w:rFonts w:cs="微软雅黑" w:asciiTheme="majorEastAsia" w:hAnsiTheme="majorEastAsia" w:eastAsiaTheme="majorEastAsia"/>
                <w:b/>
                <w:bCs/>
                <w:szCs w:val="21"/>
              </w:rPr>
            </w:pPr>
            <w:r>
              <w:rPr>
                <w:rFonts w:hint="eastAsia" w:cs="微软雅黑" w:asciiTheme="majorEastAsia" w:hAnsiTheme="majorEastAsia" w:eastAsiaTheme="majorEastAsia"/>
                <w:b/>
                <w:bCs/>
                <w:szCs w:val="21"/>
              </w:rPr>
              <w:t>子功能</w:t>
            </w:r>
          </w:p>
        </w:tc>
        <w:tc>
          <w:tcPr>
            <w:tcW w:w="7100" w:type="dxa"/>
            <w:vAlign w:val="center"/>
          </w:tcPr>
          <w:p>
            <w:pPr>
              <w:widowControl/>
              <w:spacing w:line="400" w:lineRule="exact"/>
              <w:jc w:val="center"/>
              <w:textAlignment w:val="center"/>
              <w:rPr>
                <w:rFonts w:cs="微软雅黑" w:asciiTheme="majorEastAsia" w:hAnsiTheme="majorEastAsia" w:eastAsiaTheme="majorEastAsia"/>
                <w:b/>
                <w:bCs/>
                <w:szCs w:val="21"/>
              </w:rPr>
            </w:pPr>
            <w:r>
              <w:rPr>
                <w:rFonts w:hint="eastAsia" w:cs="微软雅黑" w:asciiTheme="majorEastAsia" w:hAnsiTheme="majorEastAsia" w:eastAsiaTheme="majorEastAsia"/>
                <w:b/>
                <w:bCs/>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工作台</w:t>
            </w:r>
          </w:p>
        </w:tc>
        <w:tc>
          <w:tcPr>
            <w:tcW w:w="1210" w:type="dxa"/>
            <w:vAlign w:val="center"/>
          </w:tcPr>
          <w:p>
            <w:pPr>
              <w:widowControl/>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维修、保养、巡检、计量、转接、转科、归还、报废、出保等各类工单的进行状态提示界面，并可在该界面内根据工单状态、单号和设备名称进行模糊查询。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0" w:type="dxa"/>
            <w:vMerge w:val="restart"/>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采购管理</w:t>
            </w: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年度计划</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可新建采购计划，在计划中列明采购设备名称/类别和数量、单价、预算金额、采购方式/形式，项目时间跨度、资源来源等信息，并由决策链审批。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采购申请</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科室向上级部门提交的设备采购申请，在申请中列明需采购的设备单价是否超限，设备现有名称/类别和数量，建议采购数量、单价和采购原因，以及财务年度，并标明该采购行为是否在计划内。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合同管理</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新建合同，并列明金额、供应商名、联系人和联系方式、合同签订日期、保修期限、发票编号、约定到货日期、实际到货日期、验收合格日期、招投标相关情况、院内责任工程师、并关联到设备资产、付款信息，并在附件中上传标书、合同和验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30" w:type="dxa"/>
            <w:vMerge w:val="restart"/>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安装验收</w:t>
            </w: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设备录入</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新建或倒入新进设备信息，在数据中填入合同编号、所属科室、设备型号、名称、制造商、维保服务商、设备单价、数量等信息，也可在系统中上传、下载模版文件，并根据模版填写完成后批量导入设备。并可以查看导入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发货管理</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选择需要发货的申请单或设备名称，也可以查询合并编号或服务商名称。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验收管理</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以添加待验收的设备，填入设备名称、型号、序列号、出厂日期、注册证号、制造商、销售商、销售商联系方式、价格、验收日期、使用科室、放置地点等重要信息，并上传随机技术资料文档的电子版。此外还可以关联到已有资产编码，下载电子版验收单，形成纸质文档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1130" w:type="dxa"/>
            <w:vMerge w:val="restart"/>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设备管理</w:t>
            </w: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设备台账</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可管理、查看全院设备情况。</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针对具体单台设备，可查看资产编码、设备名称、资产名称、设备型号、序列号、所属科室、购置日期、价格、销售商、二维码、风险等级等数据，并可以查看、编辑、删除设备相关信息，如该设备正在维修中，可点击查看报修情况。</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可以新建设备或批量新建设备。</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新建设备中包含资产编码、设备分类、行业分类、设备名称、品牌、资产名称、设备序列号、设备状态、设备制造商/销售商、使用科室、放置地点、保管负责人及联系方式、设备关联工程师及联系方式、保修开始/结束时间、出厂日期、使用年限、折旧率、注册证号/图片、风险等级、主设备名称、绑定二维码。</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新建设备购置信息中的金额、来源、采购方式、购置日期和验收日期，并可以在附件中创立附属装置的名称、型号、品牌、厂商、序列号、数量、单价和相关图片，并进行管理。</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新建设备维保信息中填写相关维保服务商/联系方式、保修类型、保修开始和技术时间，并进行管理。</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绑定新建设备的图片</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以根据所属科室、二维码编号、设备名称、资产名称、设备状态、设备型号、设备序列号、资产编码、设备分类、固定资产种类、计量类型、风险等级、购置时间和价格范围等关键要素在全院设备中查询所需查找的单台或某批次设备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生命支持设备</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针对医院管理重点设备之一的生命支持类设备，根据所属科室和设备类型直接查看完好率和具体故障数量，并查看相关设备详情。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设备盘点</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可新建盘点任务，列明任务名称和责任人，并根据科室和设备编号选择加入任务明细。</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可在盘点任务中根据编号、名称和责任人查找盘点历史。</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并在系统清单中查看任务编号、名称、创建日期、设备总数、已盘点/未盘点数量和正常、报废、闲置、遗失情况，并进行管理操作。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设备转借与共享</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可填写借用科室、借用申请人，借出科室和设备描述、借出日期和借用期限，发起转借申请。</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可发起批量归还。</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可根据转借单号、设备名称、借入/借出科室、归还状态进行查询。</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可在系统清单中查看转借单号、设备名称、设备型号、借用科室、借用申请人、借出日期、借出科室、同意借用人、同意归还人、归还日期、转借状态，并进行管理操作。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设备转科</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可根据设备序列号、设备名称、设备型号选定相关设备，并填写转入科室和转入原因进行转科申请。</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可根据转科单号、设备序列号/名称、转入/转出科室进行查询。</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可在系统清单中查看设备序列号、设备名称、设备型号、转出科室、转出申请人、转科申请人、转入科室、确认接收人、转科时间、转科状态，并进行管理操作。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报废管理</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可根据科室、设备分类和设备名称选定设备，发起报废申请。</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可在系统清单中查看设备序列号、设备名称、设备型号、所属科室、申请人员、申请报废日期、报废事件进度和相关负责人，并进行管理操作。</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在报废仓库中查看所有历史报废数据。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不良事件</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可新建不良事件，绑定发生事件的设备，一键上报，并支持根据患者姓名、事发单位名称查询事件案例。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使用记录</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通过人工填写的方式记录其使用时段、使用人，更好对设备使用状况进行管理。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113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维修管理</w:t>
            </w:r>
          </w:p>
        </w:tc>
        <w:tc>
          <w:tcPr>
            <w:tcW w:w="1210" w:type="dxa"/>
            <w:vAlign w:val="center"/>
          </w:tcPr>
          <w:p>
            <w:pPr>
              <w:widowControl/>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可查看维修、报修情况和具体工单。</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根据工单状态、维修单号、所属科室、设备分类、二维码、设备名称、设备型号、设备序列号、资产编码、设备状态、计量类型、报修时间（范围），模糊查询具体工单并支持导出相应列表。</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在系统清单中可以查看到维修工单的单号、资产名称、设备名称、设备型号、资产编码、所属科室、保修类型、报修人、报修时间、工单状态和当前负责人，并可根据需要排序。在系统中可以查看工单或者将电子工单按照预设标准格式打印成纸质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30" w:type="dxa"/>
            <w:vMerge w:val="restart"/>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保养管理</w:t>
            </w: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保养计划</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通过填写名称和内容、选择执行方式、计划周期、保养级别、预计执行时间，任务期限、计划状态和保养工程师，在计划明细中选择科室和所属设备来新建保养计划，可在系统中查看和编辑该计划。</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可以根据设备名称、设备分类、保修类型、风险等级和生命支持类设备中的某一具体分类进行模糊查询以便将该设备加入计划明细中。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执行记录</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可根据计划编号、计划名称和计划状态查询具体保养计划，可在系统中查看具体的计划内容。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保养工单</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可查看保养情况和具体工单。</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根据工单状态、保养单号、设备名称、设备型号、设备序列号、资产编码、计量类型、保养时间（范围），模糊查询具体工单并支持导出相应列表。</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在系统清单中可以查看到保养工单的单号、设备名称、设备序列号、资产编码、计量类型、所属科室、设备型号、保修类型、保养日期、工单状态和当前负责人、审核状态、保养报告，并可根据需要排序。在系统中可以查看工单或者将电子工单按照预设标准格式打印成纸质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保养模版</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可新增一级、二级保养模版，并在模版中选择设备品类和增减检查项目。</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可编辑、查看和禁用保养模版，可批量启用保养模版。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异常处理</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在保养过程中，发现异常状态登记并转维修或进行其他处理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30" w:type="dxa"/>
            <w:vMerge w:val="restart"/>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巡检管理</w:t>
            </w: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巡检计划</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通过填写名称和内容、选择执行方式、计划周期、预计执行时间，任务期限、计划状态和巡检工程师，在计划明细中选择科室和所属设备来新建巡检计划，可在系统中查看和编辑该计划。</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可以根据设备名称、设备分类、保修类型、风险等级和生命支持类设备中的某一具体分类进行模糊查询以便将该设备加入计划明细中。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巡检工单</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可查看巡检情况和具体工单。</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根据工单状态、巡检单号、巡检时间（范围），模糊查询具体工单并支持导出相应列表。</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在系统清单中可以查看到巡检日期、巡检单号、巡检状态、巡检科室数、巡检设备数、异常设备数、负责人、巡检报告、计划名称并可根据需要排序。在系统中可以查看工单或者将电子工单按照预设标准格式打印成纸质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巡检模版</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系统内置标准格式的巡检模版，可以根据需要新增需检查项目。</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支持查看、编辑和删除模版。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巡检异常</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在巡检过程中，发现异常状态登记并转维修或进行其他处理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0" w:type="dxa"/>
            <w:vMerge w:val="restart"/>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计量管理</w:t>
            </w: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低值设备计量</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对院内低值设备进行计量，填写证书编号、设备名称、设备型号、设备序列号、所属科室、设备编号、费用，选择计量类型和检测产品，可输入计量周期和检测时间、下次检测时间，检测结论、检测开始和结束时间、工时、旅行时间、计量执行人、测量范围、准确度等级、检定机构、主管/审核/检定人员信息和处理状态，并支持上传和管理计量报告。</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支持下载标准的空白计量模版，批量导入依照标准模版填写低值设备计量报告，并跟踪导入历史数据情况，系统将定位错误信息并做出提示。用户可根据提示修正数据。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设备计量</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可根据设备序列号、二维码编号、所属科室模糊查询，并将所选设备增加到新建计量管理清单。</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支持下载标准的空白计量模版，批量导入依照标准模版填写设备计量报告，并跟踪导入历史数据情况，系统将定位错误信息并做出提示。用户可根据提示修正数据。支持导入单个或批量PDF格式的计量证书文档。</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支持根据设备序列号、设备名称、所属科室、设备型号和检定日期，证书有效日期进行模糊查询和批量导出清单。</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在系统清单中可查看计量记录或将该设备移除。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3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服务商</w:t>
            </w:r>
          </w:p>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管理</w:t>
            </w:r>
          </w:p>
        </w:tc>
        <w:tc>
          <w:tcPr>
            <w:tcW w:w="1210" w:type="dxa"/>
            <w:vAlign w:val="center"/>
          </w:tcPr>
          <w:p>
            <w:pPr>
              <w:widowControl/>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可创建服务商，填写服务商名称、联系人/联系方式/联系地址/网址等信息、以及服务品牌、所在地区。</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可在服务商清单中查看其联系人、联系方式、服务品牌资质、业务范围、并对服务商进行管理。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3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绩效考核</w:t>
            </w:r>
          </w:p>
        </w:tc>
        <w:tc>
          <w:tcPr>
            <w:tcW w:w="1210" w:type="dxa"/>
            <w:vAlign w:val="center"/>
          </w:tcPr>
          <w:p>
            <w:pPr>
              <w:widowControl/>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对工程师、服务商的服务水平和次数进行量化分析，并将数据呈现在系统中。</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可根据姓名、所属部门、时间范围模糊查询个人的关单数、平均响应时间、平均到场时间、总维修时间、总有效维修时间、关单及时性、维修成功率和服务满意度等多维度信息。支持查询其服务过的工单详情。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30" w:type="dxa"/>
            <w:vMerge w:val="restart"/>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数据分析</w:t>
            </w: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资产分析</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对设备资产总体情况进行汇总分析，包括设备总数、设备资产原值/现值、有保和无保设备等年度维修费用，新增和报废设备。</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量化呈现放射设备、急救与生命支持设备、手术室设备、超声影像诊断设备、检验设备等，并直观展示前述设备资产的价值、来源、品牌和使用年限。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维修分析</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量化分析当年维修单数、完成率、平均响应和完成时间，统计报修单数和维修费用。</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对放射设备、急救与生命支持设备、手术室设备、超声影像诊断设备、检验设备等进行维修统计和展示。</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对科室和维修人员的完成情况和接单情况，维修速度做出分析。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0" w:type="dxa"/>
            <w:vMerge w:val="restart"/>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非维修工作量管理</w:t>
            </w: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非维修工时申请</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工程师可申请将非院内维修工作所产生的工作内容计入工作量。</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支持对单号和状态的模糊查询，并进行管理。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非维修工时审批</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科室管理者可审批将非院内维修工作所产生的工作内容计入工作量的申请。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0" w:type="dxa"/>
            <w:vMerge w:val="restart"/>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基础数据</w:t>
            </w: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科室列表</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 xml:space="preserve">对系统内的科室设置进行管理，每个科室对应一个数字ID，便于科室名称维护。也可通过相关格式文件快捷导入科室分类。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用户管理</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支持多用户对系统进行操作管理，灵活的对多用户进行帐户、密码、权限管理。</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 xml:space="preserve">支持权限按照功能自定义多级分配，方便操作人员管理。保障数据安全。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二维码管理</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可批量添加二维码，打印选中二维码，打印资产卡片，编辑资产卡片，编辑二维码抬头。并对系统中的设备清单进行管理和维护。</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支持对二维码类型、编码和设备名称、所属科室、设备序列号的模糊查询和选定。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0" w:type="dxa"/>
            <w:vMerge w:val="continue"/>
            <w:vAlign w:val="center"/>
          </w:tcPr>
          <w:p>
            <w:pPr>
              <w:widowControl/>
              <w:spacing w:line="400" w:lineRule="exact"/>
              <w:rPr>
                <w:rFonts w:cs="微软雅黑" w:asciiTheme="majorEastAsia" w:hAnsiTheme="majorEastAsia" w:eastAsiaTheme="majorEastAsia"/>
                <w:szCs w:val="21"/>
              </w:rPr>
            </w:pPr>
          </w:p>
        </w:tc>
        <w:tc>
          <w:tcPr>
            <w:tcW w:w="121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品类设置</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依据三级分类标准，进行设备品牌归类和管理。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3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系统设置</w:t>
            </w:r>
          </w:p>
        </w:tc>
        <w:tc>
          <w:tcPr>
            <w:tcW w:w="1210" w:type="dxa"/>
            <w:vAlign w:val="center"/>
          </w:tcPr>
          <w:p>
            <w:pPr>
              <w:widowControl/>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对医院信息进行编辑</w:t>
            </w:r>
            <w:r>
              <w:rPr>
                <w:rFonts w:hint="eastAsia" w:cs="微软雅黑" w:asciiTheme="majorEastAsia" w:hAnsiTheme="majorEastAsia" w:eastAsiaTheme="majorEastAsia"/>
                <w:szCs w:val="21"/>
              </w:rPr>
              <w:br w:type="textWrapping"/>
            </w:r>
            <w:r>
              <w:rPr>
                <w:rFonts w:hint="eastAsia" w:cs="微软雅黑" w:asciiTheme="majorEastAsia" w:hAnsiTheme="majorEastAsia" w:eastAsiaTheme="majorEastAsia"/>
                <w:szCs w:val="21"/>
              </w:rPr>
              <w:t>对系统内的维修、保养、巡检、计量和出保、转借到期等信息进行提示提醒的设置管理。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综合展示</w:t>
            </w:r>
          </w:p>
        </w:tc>
        <w:tc>
          <w:tcPr>
            <w:tcW w:w="1210" w:type="dxa"/>
            <w:vAlign w:val="center"/>
          </w:tcPr>
          <w:p>
            <w:pPr>
              <w:widowControl/>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w:t>
            </w:r>
          </w:p>
        </w:tc>
        <w:tc>
          <w:tcPr>
            <w:tcW w:w="7100" w:type="dxa"/>
            <w:vAlign w:val="center"/>
          </w:tcPr>
          <w:p>
            <w:pPr>
              <w:widowControl/>
              <w:spacing w:line="400" w:lineRule="exact"/>
              <w:jc w:val="left"/>
              <w:textAlignment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拥有监管权限的用户可以查看统计分析后的数据展示，对全院各科室设备的使用情况、报修情况以及保养情况进行掌握。</w:t>
            </w:r>
          </w:p>
        </w:tc>
      </w:tr>
    </w:tbl>
    <w:p>
      <w:pPr>
        <w:spacing w:line="400" w:lineRule="exact"/>
        <w:rPr>
          <w:rFonts w:cs="微软雅黑" w:asciiTheme="majorEastAsia" w:hAnsiTheme="majorEastAsia" w:eastAsiaTheme="majorEastAsia"/>
          <w:szCs w:val="21"/>
        </w:rPr>
      </w:pPr>
      <w:r>
        <w:rPr>
          <w:rFonts w:cs="微软雅黑" w:asciiTheme="majorEastAsia" w:hAnsiTheme="majorEastAsia" w:eastAsiaTheme="majorEastAsia"/>
          <w:szCs w:val="21"/>
        </w:rPr>
        <w:t>4</w:t>
      </w:r>
      <w:r>
        <w:rPr>
          <w:rFonts w:hint="eastAsia" w:cs="微软雅黑" w:asciiTheme="majorEastAsia" w:hAnsiTheme="majorEastAsia" w:eastAsiaTheme="majorEastAsia"/>
          <w:szCs w:val="21"/>
        </w:rPr>
        <w:t>）</w:t>
      </w:r>
      <w:bookmarkStart w:id="17" w:name="OLE_LINK1"/>
      <w:r>
        <w:rPr>
          <w:rFonts w:hint="eastAsia" w:cs="微软雅黑" w:asciiTheme="majorEastAsia" w:hAnsiTheme="majorEastAsia" w:eastAsiaTheme="majorEastAsia"/>
          <w:szCs w:val="21"/>
        </w:rPr>
        <w:t>系统可以多终端使用，可支持电脑、手机（APP和微信）等</w:t>
      </w:r>
      <w:bookmarkEnd w:id="17"/>
      <w:r>
        <w:rPr>
          <w:rFonts w:hint="eastAsia" w:cs="微软雅黑" w:asciiTheme="majorEastAsia" w:hAnsiTheme="majorEastAsia" w:eastAsiaTheme="majorEastAsia"/>
          <w:szCs w:val="21"/>
        </w:rPr>
        <w:t>方式登录使用。</w:t>
      </w:r>
    </w:p>
    <w:p>
      <w:pPr>
        <w:spacing w:line="400" w:lineRule="exact"/>
        <w:rPr>
          <w:rFonts w:cs="微软雅黑" w:asciiTheme="majorEastAsia" w:hAnsiTheme="majorEastAsia" w:eastAsiaTheme="majorEastAsia"/>
        </w:rPr>
      </w:pPr>
      <w:r>
        <w:rPr>
          <w:rFonts w:cs="微软雅黑" w:asciiTheme="majorEastAsia" w:hAnsiTheme="majorEastAsia" w:eastAsiaTheme="majorEastAsia"/>
          <w:szCs w:val="21"/>
        </w:rPr>
        <w:t>5</w:t>
      </w:r>
      <w:r>
        <w:rPr>
          <w:rFonts w:hint="eastAsia" w:cs="微软雅黑" w:asciiTheme="majorEastAsia" w:hAnsiTheme="majorEastAsia" w:eastAsiaTheme="majorEastAsia"/>
          <w:szCs w:val="21"/>
        </w:rPr>
        <w:t>）</w:t>
      </w:r>
      <w:r>
        <w:rPr>
          <w:rFonts w:hint="eastAsia" w:cs="微软雅黑" w:asciiTheme="majorEastAsia" w:hAnsiTheme="majorEastAsia" w:eastAsiaTheme="majorEastAsia"/>
        </w:rPr>
        <w:t>具备高效、智能的单机/科室/全院/跨院区的设备效益分析和管理能力：</w:t>
      </w:r>
    </w:p>
    <w:p>
      <w:pPr>
        <w:numPr>
          <w:ilvl w:val="0"/>
          <w:numId w:val="2"/>
        </w:numPr>
        <w:adjustRightInd/>
        <w:spacing w:line="400" w:lineRule="exact"/>
        <w:rPr>
          <w:rFonts w:cs="微软雅黑" w:asciiTheme="majorEastAsia" w:hAnsiTheme="majorEastAsia" w:eastAsiaTheme="majorEastAsia"/>
        </w:rPr>
      </w:pPr>
      <w:r>
        <w:rPr>
          <w:rFonts w:hint="eastAsia" w:cs="微软雅黑" w:asciiTheme="majorEastAsia" w:hAnsiTheme="majorEastAsia" w:eastAsiaTheme="majorEastAsia"/>
        </w:rPr>
        <w:t>在满足一定先决条件时，系统可以对单机/科室/全院/跨院区的效益进行自动化分析，能记录设备名称/型号/品牌/使用科室，设备编号/购入金额/购入时间，对设备的检查人数/收入/支出/设备折旧/材料消耗/维修支出/水电气消耗/房屋折旧/员成本/收支结余都有清晰的自动记录和分析能力。</w:t>
      </w:r>
    </w:p>
    <w:p>
      <w:pPr>
        <w:numPr>
          <w:ilvl w:val="0"/>
          <w:numId w:val="2"/>
        </w:numPr>
        <w:adjustRightInd/>
        <w:spacing w:line="400" w:lineRule="exact"/>
        <w:rPr>
          <w:rFonts w:cs="微软雅黑" w:asciiTheme="majorEastAsia" w:hAnsiTheme="majorEastAsia" w:eastAsiaTheme="majorEastAsia"/>
        </w:rPr>
      </w:pPr>
      <w:r>
        <w:rPr>
          <w:rFonts w:hint="eastAsia" w:cs="微软雅黑" w:asciiTheme="majorEastAsia" w:hAnsiTheme="majorEastAsia" w:eastAsiaTheme="majorEastAsia"/>
        </w:rPr>
        <w:t>在满足一定先决条件时，可以和HIS、RIS、LIS、财务等系统对接，获取收费及成本数据，实时统计设备的使用率、收入、成本、净利润、设备投资回收期、年化投资收益率、检查人次、检查部位、阳性率、患者来源等。</w:t>
      </w:r>
    </w:p>
    <w:p>
      <w:pPr>
        <w:spacing w:line="400" w:lineRule="exact"/>
        <w:rPr>
          <w:rFonts w:cs="微软雅黑" w:asciiTheme="majorEastAsia" w:hAnsiTheme="majorEastAsia" w:eastAsiaTheme="majorEastAsia"/>
        </w:rPr>
      </w:pPr>
      <w:r>
        <w:rPr>
          <w:rFonts w:cs="微软雅黑" w:asciiTheme="majorEastAsia" w:hAnsiTheme="majorEastAsia" w:eastAsiaTheme="majorEastAsia"/>
          <w:szCs w:val="21"/>
        </w:rPr>
        <w:t>6</w:t>
      </w:r>
      <w:r>
        <w:rPr>
          <w:rFonts w:hint="eastAsia" w:cs="微软雅黑" w:asciiTheme="majorEastAsia" w:hAnsiTheme="majorEastAsia" w:eastAsiaTheme="majorEastAsia"/>
          <w:szCs w:val="21"/>
        </w:rPr>
        <w:t>）</w:t>
      </w:r>
      <w:r>
        <w:rPr>
          <w:rFonts w:hint="eastAsia" w:cs="微软雅黑" w:asciiTheme="majorEastAsia" w:hAnsiTheme="majorEastAsia" w:eastAsiaTheme="majorEastAsia"/>
        </w:rPr>
        <w:t>具有可扩展的，通过物联网实时监控不同类型设备的能力：</w:t>
      </w:r>
    </w:p>
    <w:p>
      <w:pPr>
        <w:numPr>
          <w:ilvl w:val="0"/>
          <w:numId w:val="3"/>
        </w:numPr>
        <w:adjustRightInd/>
        <w:spacing w:line="400" w:lineRule="exact"/>
        <w:rPr>
          <w:rFonts w:cs="微软雅黑" w:asciiTheme="majorEastAsia" w:hAnsiTheme="majorEastAsia" w:eastAsiaTheme="majorEastAsia"/>
        </w:rPr>
      </w:pPr>
      <w:r>
        <w:rPr>
          <w:rFonts w:hint="eastAsia" w:cs="微软雅黑" w:asciiTheme="majorEastAsia" w:hAnsiTheme="majorEastAsia" w:eastAsiaTheme="majorEastAsia"/>
        </w:rPr>
        <w:t>通过加装适当的物联网装置，系统可以读取大型设备的关键参数，如球管/冷却系统/告警信息/报错信息等，实时监控设备运行状态。</w:t>
      </w:r>
    </w:p>
    <w:p>
      <w:pPr>
        <w:numPr>
          <w:ilvl w:val="0"/>
          <w:numId w:val="3"/>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rPr>
        <w:t>通过加装适当的物联网装置，系统可读取不同品牌的中小型设备如监护仪/心电分析仪/呼吸机/B超等设备的设备运行数据和临床数据，为医院管理、临床科研等提供数据支撑。</w:t>
      </w:r>
    </w:p>
    <w:p>
      <w:pPr>
        <w:spacing w:line="400" w:lineRule="exact"/>
        <w:rPr>
          <w:rFonts w:cs="微软雅黑" w:asciiTheme="majorEastAsia" w:hAnsiTheme="majorEastAsia" w:eastAsiaTheme="majorEastAsia"/>
          <w:b/>
          <w:sz w:val="24"/>
          <w:szCs w:val="21"/>
        </w:rPr>
      </w:pPr>
      <w:r>
        <w:rPr>
          <w:rFonts w:hint="eastAsia" w:cs="微软雅黑" w:asciiTheme="majorEastAsia" w:hAnsiTheme="majorEastAsia" w:eastAsiaTheme="majorEastAsia"/>
          <w:b/>
          <w:sz w:val="24"/>
          <w:szCs w:val="21"/>
        </w:rPr>
        <w:t>3.维保巡检</w:t>
      </w:r>
    </w:p>
    <w:p>
      <w:pPr>
        <w:numPr>
          <w:ilvl w:val="0"/>
          <w:numId w:val="4"/>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投标公司工程师团队具备售后服务资质认证，至少覆盖以下产品线：麻醉机，呼吸机，监护仪，高频电刀，心电图机，婴儿保暖台，超声，CT和生命科学设备如荧光定量PCR等。</w:t>
      </w:r>
    </w:p>
    <w:p>
      <w:pPr>
        <w:numPr>
          <w:ilvl w:val="0"/>
          <w:numId w:val="4"/>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能提供可视化智能实时互动远程服务平台。</w:t>
      </w:r>
    </w:p>
    <w:p>
      <w:pPr>
        <w:numPr>
          <w:ilvl w:val="0"/>
          <w:numId w:val="4"/>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投标公司需要针对医院设备制定完善的预防性维护工作计划，包括巡检和保养，并按照计划进行实施；</w:t>
      </w:r>
    </w:p>
    <w:p>
      <w:pPr>
        <w:numPr>
          <w:ilvl w:val="0"/>
          <w:numId w:val="4"/>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为确保关键零备件的正常供应，投标公司应与主流大型设备生产厂家如GE（通用电气）、飞利浦和西门子等拥有良好的合作关系，提供合作协议或者授权证书。</w:t>
      </w:r>
    </w:p>
    <w:p>
      <w:pPr>
        <w:numPr>
          <w:ilvl w:val="0"/>
          <w:numId w:val="4"/>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投标公司应在医院配置一定数量的常见设备备件保证设备维修响应；</w:t>
      </w:r>
    </w:p>
    <w:p>
      <w:pPr>
        <w:numPr>
          <w:ilvl w:val="0"/>
          <w:numId w:val="4"/>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所有的巡检、保养和维修工单有记录并实现电子化系统化管理。</w:t>
      </w:r>
    </w:p>
    <w:p>
      <w:pPr>
        <w:spacing w:line="400" w:lineRule="exact"/>
        <w:rPr>
          <w:rFonts w:cs="微软雅黑" w:asciiTheme="majorEastAsia" w:hAnsiTheme="majorEastAsia" w:eastAsiaTheme="majorEastAsia"/>
          <w:b/>
          <w:sz w:val="24"/>
          <w:szCs w:val="21"/>
        </w:rPr>
      </w:pPr>
      <w:r>
        <w:rPr>
          <w:rFonts w:hint="eastAsia" w:cs="微软雅黑" w:asciiTheme="majorEastAsia" w:hAnsiTheme="majorEastAsia" w:eastAsiaTheme="majorEastAsia"/>
          <w:b/>
          <w:sz w:val="24"/>
          <w:szCs w:val="21"/>
        </w:rPr>
        <w:t>4. 安检质控</w:t>
      </w:r>
    </w:p>
    <w:p>
      <w:pPr>
        <w:numPr>
          <w:ilvl w:val="0"/>
          <w:numId w:val="5"/>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投标公司应能为为医院提供至少包含心脏除颤器、婴儿培养箱、心电监护仪、高频电刀、呼吸机、医用输液泵和注射泵、浮标式氧气吸入器、医用离心机、脉搏血氧计、血液透析装置、生物安全柜等医疗设备校准检测。</w:t>
      </w:r>
    </w:p>
    <w:p>
      <w:pPr>
        <w:numPr>
          <w:ilvl w:val="0"/>
          <w:numId w:val="5"/>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计量或者校准的记录应该统一归档记录和管理。</w:t>
      </w:r>
    </w:p>
    <w:p>
      <w:pPr>
        <w:numPr>
          <w:ilvl w:val="0"/>
          <w:numId w:val="5"/>
        </w:numPr>
        <w:adjustRightInd/>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投标人应积极参与配合医院的疫情防控工作，具备疫情防控消毒技术能力。</w:t>
      </w:r>
    </w:p>
    <w:p>
      <w:pPr>
        <w:spacing w:line="400" w:lineRule="exact"/>
        <w:rPr>
          <w:rFonts w:cs="微软雅黑" w:asciiTheme="majorEastAsia" w:hAnsiTheme="majorEastAsia" w:eastAsiaTheme="majorEastAsia"/>
          <w:b/>
          <w:sz w:val="24"/>
          <w:szCs w:val="21"/>
        </w:rPr>
      </w:pPr>
      <w:r>
        <w:rPr>
          <w:rFonts w:hint="eastAsia" w:cs="微软雅黑" w:asciiTheme="majorEastAsia" w:hAnsiTheme="majorEastAsia" w:eastAsiaTheme="majorEastAsia"/>
          <w:b/>
          <w:sz w:val="24"/>
          <w:szCs w:val="21"/>
        </w:rPr>
        <w:t>5.应用服务能力</w:t>
      </w:r>
    </w:p>
    <w:p>
      <w:pPr>
        <w:numPr>
          <w:ilvl w:val="0"/>
          <w:numId w:val="6"/>
        </w:numPr>
        <w:adjustRightInd/>
        <w:spacing w:line="400" w:lineRule="exact"/>
        <w:rPr>
          <w:rFonts w:ascii="微软雅黑" w:hAnsi="微软雅黑" w:eastAsia="微软雅黑" w:cs="微软雅黑"/>
          <w:szCs w:val="21"/>
        </w:rPr>
      </w:pPr>
      <w:r>
        <w:rPr>
          <w:rFonts w:hint="eastAsia" w:cs="微软雅黑" w:asciiTheme="majorEastAsia" w:hAnsiTheme="majorEastAsia" w:eastAsiaTheme="majorEastAsia"/>
          <w:szCs w:val="21"/>
        </w:rPr>
        <w:t>公司与国家正规大专院校或行业协会有培训合作，提供人才储备，以及可为医院提供专业医疗设备售后服务相关的应用技能培训。</w:t>
      </w:r>
    </w:p>
    <w:p>
      <w:pPr>
        <w:snapToGrid w:val="0"/>
        <w:spacing w:line="360" w:lineRule="auto"/>
        <w:jc w:val="left"/>
        <w:rPr>
          <w:rFonts w:ascii="宋体" w:hAnsi="宋体"/>
          <w:b/>
          <w:bCs/>
          <w:sz w:val="24"/>
        </w:rPr>
      </w:pPr>
      <w:r>
        <w:rPr>
          <w:rFonts w:hint="eastAsia" w:ascii="宋体" w:hAnsi="宋体"/>
          <w:b/>
          <w:bCs/>
          <w:sz w:val="24"/>
        </w:rPr>
        <w:t>二、商务需求</w:t>
      </w:r>
    </w:p>
    <w:p>
      <w:pPr>
        <w:pStyle w:val="24"/>
        <w:ind w:firstLine="480" w:firstLineChars="200"/>
        <w:rPr>
          <w:rFonts w:cs="Arial" w:asciiTheme="minorEastAsia" w:hAnsiTheme="minorEastAsia" w:eastAsiaTheme="minorEastAsia"/>
          <w:kern w:val="0"/>
        </w:rPr>
      </w:pPr>
      <w:r>
        <w:rPr>
          <w:rFonts w:hint="eastAsia" w:cs="Arial" w:asciiTheme="minorEastAsia" w:hAnsiTheme="minorEastAsia" w:eastAsiaTheme="minorEastAsia"/>
          <w:kern w:val="0"/>
        </w:rPr>
        <w:t>▲1、付款方式：本项目采用先付款后服务、每半年支付的方式。合同签订人员入场后30个工作日内支付第一期款项；每半年进行考核，根据考核结果开具下一期发票，收到发票30个工作日内支付项目款项；第六期款项需服务结束后按考核结果30个工作日内支付。</w:t>
      </w:r>
    </w:p>
    <w:p>
      <w:pPr>
        <w:pStyle w:val="24"/>
        <w:ind w:firstLine="480" w:firstLineChars="200"/>
        <w:rPr>
          <w:rFonts w:cs="Arial" w:asciiTheme="minorEastAsia" w:hAnsiTheme="minorEastAsia" w:eastAsiaTheme="minorEastAsia"/>
          <w:kern w:val="0"/>
        </w:rPr>
      </w:pPr>
      <w:r>
        <w:rPr>
          <w:rFonts w:hint="eastAsia" w:cs="Arial" w:asciiTheme="minorEastAsia" w:hAnsiTheme="minorEastAsia" w:eastAsiaTheme="minorEastAsia"/>
          <w:kern w:val="0"/>
        </w:rPr>
        <w:t>▲2、服务时间：本次招标服务期为三年。</w:t>
      </w:r>
    </w:p>
    <w:p>
      <w:pPr>
        <w:pStyle w:val="24"/>
        <w:ind w:firstLine="480" w:firstLineChars="200"/>
        <w:rPr>
          <w:rFonts w:cs="Arial" w:asciiTheme="minorEastAsia" w:hAnsiTheme="minorEastAsia" w:eastAsiaTheme="minorEastAsia"/>
          <w:kern w:val="0"/>
        </w:rPr>
      </w:pPr>
      <w:r>
        <w:rPr>
          <w:rFonts w:hint="eastAsia" w:cs="Arial" w:asciiTheme="minorEastAsia" w:hAnsiTheme="minorEastAsia" w:eastAsiaTheme="minorEastAsia"/>
          <w:kern w:val="0"/>
        </w:rPr>
        <w:t>3、服务期间采购人提供合适的工作用房和宿舍1间（3床铺）给免费使用。</w:t>
      </w:r>
    </w:p>
    <w:p>
      <w:pPr>
        <w:pStyle w:val="24"/>
        <w:ind w:firstLine="480" w:firstLineChars="200"/>
        <w:rPr>
          <w:rFonts w:cs="Arial" w:asciiTheme="minorEastAsia" w:hAnsiTheme="minorEastAsia" w:eastAsiaTheme="minorEastAsia"/>
          <w:kern w:val="0"/>
        </w:rPr>
      </w:pPr>
      <w:r>
        <w:rPr>
          <w:rFonts w:hint="eastAsia" w:cs="Arial" w:asciiTheme="minorEastAsia" w:hAnsiTheme="minorEastAsia" w:eastAsiaTheme="minorEastAsia"/>
          <w:kern w:val="0"/>
        </w:rPr>
        <w:t xml:space="preserve">4、项目入驻交接阶段时间为2个月，合同签订生效后，中标人进场开始实施，需在2个月内完成在用医疗设备固定资产清理及设备信息化系统的全面正常运行。最终固定资产服务以系统录入的医疗设备固定资产为准。 </w:t>
      </w:r>
    </w:p>
    <w:p>
      <w:pPr>
        <w:pStyle w:val="24"/>
        <w:ind w:firstLine="480" w:firstLineChars="200"/>
        <w:rPr>
          <w:rFonts w:cs="Arial" w:asciiTheme="minorEastAsia" w:hAnsiTheme="minorEastAsia" w:eastAsiaTheme="minorEastAsia"/>
          <w:kern w:val="0"/>
        </w:rPr>
      </w:pPr>
      <w:r>
        <w:rPr>
          <w:rFonts w:hint="eastAsia" w:cs="Arial" w:asciiTheme="minorEastAsia" w:hAnsiTheme="minorEastAsia" w:eastAsiaTheme="minorEastAsia"/>
          <w:kern w:val="0"/>
        </w:rPr>
        <w:t>5、</w:t>
      </w:r>
      <w:r>
        <w:rPr>
          <w:rFonts w:cs="Arial" w:asciiTheme="minorEastAsia" w:hAnsiTheme="minorEastAsia" w:eastAsiaTheme="minorEastAsia"/>
          <w:kern w:val="0"/>
        </w:rPr>
        <w:t>中标人应严格遵守国家有关的法律、法规及行业标准。因中标人违反《劳动法》等法律法规而造成采购人的连带责任和损失全部由中标人承担。</w:t>
      </w:r>
    </w:p>
    <w:p>
      <w:pPr>
        <w:pStyle w:val="24"/>
        <w:ind w:firstLine="480" w:firstLineChars="200"/>
        <w:rPr>
          <w:rFonts w:cs="Arial" w:asciiTheme="minorEastAsia" w:hAnsiTheme="minorEastAsia" w:eastAsiaTheme="minorEastAsia"/>
          <w:kern w:val="0"/>
        </w:rPr>
      </w:pPr>
      <w:r>
        <w:rPr>
          <w:rFonts w:cs="Arial" w:asciiTheme="minorEastAsia" w:hAnsiTheme="minorEastAsia" w:eastAsiaTheme="minorEastAsia"/>
          <w:kern w:val="0"/>
        </w:rPr>
        <w:t>6、中标人须严格按照国家和杭州市政府规定给所有的员工缴纳社会保险，自行负责其招聘员工的一切工资、福利、加班费（含节假日加班）等；如发生工伤、疾病乃至死亡的一切责任及费用由中标人全部负责，采购人不接受任何因遗漏报价而发生的费用追加。</w:t>
      </w:r>
    </w:p>
    <w:p>
      <w:pPr>
        <w:pStyle w:val="24"/>
        <w:ind w:firstLine="480" w:firstLineChars="200"/>
        <w:rPr>
          <w:rFonts w:cs="Arial" w:asciiTheme="minorEastAsia" w:hAnsiTheme="minorEastAsia" w:eastAsiaTheme="minorEastAsia"/>
          <w:kern w:val="0"/>
        </w:rPr>
      </w:pPr>
      <w:r>
        <w:rPr>
          <w:rFonts w:cs="Arial" w:asciiTheme="minorEastAsia" w:hAnsiTheme="minorEastAsia" w:eastAsiaTheme="minorEastAsia"/>
          <w:kern w:val="0"/>
        </w:rPr>
        <w:t>7、中标人所有员工入院服务时都必须体检，并且合格的才能上岗（费用由中标人负责）。</w:t>
      </w:r>
    </w:p>
    <w:p>
      <w:pPr>
        <w:pStyle w:val="24"/>
        <w:ind w:firstLine="480" w:firstLineChars="200"/>
        <w:rPr>
          <w:rFonts w:cs="Arial" w:asciiTheme="minorEastAsia" w:hAnsiTheme="minorEastAsia" w:eastAsiaTheme="minorEastAsia"/>
          <w:kern w:val="0"/>
        </w:rPr>
      </w:pPr>
      <w:r>
        <w:rPr>
          <w:rFonts w:hint="eastAsia" w:cs="Arial" w:asciiTheme="minorEastAsia" w:hAnsiTheme="minorEastAsia" w:eastAsiaTheme="minorEastAsia"/>
          <w:kern w:val="0"/>
        </w:rPr>
        <w:t>8、 每半年度医院将对中标人进行服务满意度测评，满意度考评及惩罚条款如下：</w:t>
      </w:r>
    </w:p>
    <w:tbl>
      <w:tblPr>
        <w:tblStyle w:val="63"/>
        <w:tblW w:w="9255" w:type="dxa"/>
        <w:jc w:val="center"/>
        <w:tblLayout w:type="fixed"/>
        <w:tblCellMar>
          <w:top w:w="0" w:type="dxa"/>
          <w:left w:w="0" w:type="dxa"/>
          <w:bottom w:w="0" w:type="dxa"/>
          <w:right w:w="0" w:type="dxa"/>
        </w:tblCellMar>
      </w:tblPr>
      <w:tblGrid>
        <w:gridCol w:w="855"/>
        <w:gridCol w:w="546"/>
        <w:gridCol w:w="870"/>
        <w:gridCol w:w="4239"/>
        <w:gridCol w:w="735"/>
        <w:gridCol w:w="708"/>
        <w:gridCol w:w="709"/>
        <w:gridCol w:w="593"/>
      </w:tblGrid>
      <w:tr>
        <w:tblPrEx>
          <w:tblCellMar>
            <w:top w:w="0" w:type="dxa"/>
            <w:left w:w="0" w:type="dxa"/>
            <w:bottom w:w="0" w:type="dxa"/>
            <w:right w:w="0" w:type="dxa"/>
          </w:tblCellMar>
        </w:tblPrEx>
        <w:trPr>
          <w:trHeight w:val="270" w:hRule="atLeast"/>
          <w:jc w:val="center"/>
        </w:trPr>
        <w:tc>
          <w:tcPr>
            <w:tcW w:w="9255"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b/>
                <w:sz w:val="24"/>
              </w:rPr>
            </w:pPr>
            <w:r>
              <w:rPr>
                <w:rFonts w:hint="eastAsia" w:ascii="宋体" w:hAnsi="宋体"/>
                <w:b/>
                <w:sz w:val="24"/>
              </w:rPr>
              <w:t xml:space="preserve">科室：                      </w:t>
            </w:r>
          </w:p>
        </w:tc>
      </w:tr>
      <w:tr>
        <w:tblPrEx>
          <w:tblCellMar>
            <w:top w:w="0" w:type="dxa"/>
            <w:left w:w="0" w:type="dxa"/>
            <w:bottom w:w="0" w:type="dxa"/>
            <w:right w:w="0" w:type="dxa"/>
          </w:tblCellMar>
        </w:tblPrEx>
        <w:trPr>
          <w:trHeight w:val="270" w:hRule="atLeast"/>
          <w:jc w:val="center"/>
        </w:trPr>
        <w:tc>
          <w:tcPr>
            <w:tcW w:w="2271" w:type="dxa"/>
            <w:gridSpan w:val="3"/>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调查内容</w:t>
            </w:r>
          </w:p>
        </w:tc>
        <w:tc>
          <w:tcPr>
            <w:tcW w:w="4239"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内容细项</w:t>
            </w:r>
          </w:p>
        </w:tc>
        <w:tc>
          <w:tcPr>
            <w:tcW w:w="73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非常满意</w:t>
            </w:r>
          </w:p>
        </w:tc>
        <w:tc>
          <w:tcPr>
            <w:tcW w:w="70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满意</w:t>
            </w:r>
          </w:p>
        </w:tc>
        <w:tc>
          <w:tcPr>
            <w:tcW w:w="70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一般</w:t>
            </w:r>
          </w:p>
        </w:tc>
        <w:tc>
          <w:tcPr>
            <w:tcW w:w="59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不满意</w:t>
            </w:r>
          </w:p>
        </w:tc>
      </w:tr>
      <w:tr>
        <w:tblPrEx>
          <w:tblCellMar>
            <w:top w:w="0" w:type="dxa"/>
            <w:left w:w="0" w:type="dxa"/>
            <w:bottom w:w="0" w:type="dxa"/>
            <w:right w:w="0" w:type="dxa"/>
          </w:tblCellMar>
        </w:tblPrEx>
        <w:trPr>
          <w:trHeight w:val="270" w:hRule="atLeast"/>
          <w:jc w:val="center"/>
        </w:trPr>
        <w:tc>
          <w:tcPr>
            <w:tcW w:w="2271"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sz w:val="24"/>
              </w:rPr>
            </w:pPr>
          </w:p>
        </w:tc>
        <w:tc>
          <w:tcPr>
            <w:tcW w:w="4239" w:type="dxa"/>
            <w:vMerge w:val="continue"/>
            <w:tcBorders>
              <w:top w:val="nil"/>
              <w:left w:val="single" w:color="000000" w:sz="4" w:space="0"/>
              <w:bottom w:val="single" w:color="000000" w:sz="4" w:space="0"/>
              <w:right w:val="single" w:color="000000" w:sz="4" w:space="0"/>
            </w:tcBorders>
            <w:vAlign w:val="center"/>
          </w:tcPr>
          <w:p>
            <w:pPr>
              <w:rPr>
                <w:rFonts w:ascii="宋体" w:hAnsi="宋体"/>
                <w:sz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10分</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9分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8分</w:t>
            </w: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7分及以下</w:t>
            </w:r>
          </w:p>
        </w:tc>
      </w:tr>
      <w:tr>
        <w:tblPrEx>
          <w:tblCellMar>
            <w:top w:w="0" w:type="dxa"/>
            <w:left w:w="0" w:type="dxa"/>
            <w:bottom w:w="0" w:type="dxa"/>
            <w:right w:w="0" w:type="dxa"/>
          </w:tblCellMar>
        </w:tblPrEx>
        <w:trPr>
          <w:trHeight w:val="583"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行为规范</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1</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礼仪规范</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sz w:val="24"/>
              </w:rPr>
            </w:pPr>
            <w:r>
              <w:rPr>
                <w:rFonts w:hint="eastAsia" w:ascii="宋体" w:hAnsi="宋体"/>
                <w:sz w:val="24"/>
              </w:rPr>
              <w:t>遵纪守法，遵守医院规定，规范着装、佩戴工牌、举止文明、礼貌热情</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 w:val="24"/>
              </w:rPr>
            </w:pPr>
          </w:p>
        </w:tc>
      </w:tr>
      <w:tr>
        <w:tblPrEx>
          <w:tblCellMar>
            <w:top w:w="0" w:type="dxa"/>
            <w:left w:w="0" w:type="dxa"/>
            <w:bottom w:w="0" w:type="dxa"/>
            <w:right w:w="0" w:type="dxa"/>
          </w:tblCellMar>
        </w:tblPrEx>
        <w:trPr>
          <w:trHeight w:val="54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2</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作业规范</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sz w:val="24"/>
              </w:rPr>
            </w:pPr>
            <w:r>
              <w:rPr>
                <w:rFonts w:hint="eastAsia" w:ascii="宋体" w:hAnsi="宋体"/>
                <w:sz w:val="24"/>
              </w:rPr>
              <w:t>遵守科室规定，特殊区域作业时符合规范,作业后及时清洁现场</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 w:val="24"/>
              </w:rPr>
            </w:pPr>
          </w:p>
        </w:tc>
      </w:tr>
      <w:tr>
        <w:tblPrEx>
          <w:tblCellMar>
            <w:top w:w="0" w:type="dxa"/>
            <w:left w:w="0" w:type="dxa"/>
            <w:bottom w:w="0" w:type="dxa"/>
            <w:right w:w="0" w:type="dxa"/>
          </w:tblCellMar>
        </w:tblPrEx>
        <w:trPr>
          <w:trHeight w:val="718"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日常维护</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3</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日常巡检</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sz w:val="24"/>
              </w:rPr>
            </w:pPr>
            <w:r>
              <w:rPr>
                <w:rFonts w:hint="eastAsia" w:ascii="宋体" w:hAnsi="宋体"/>
                <w:sz w:val="24"/>
              </w:rPr>
              <w:t>按规定开展巡检，并能经常去科室查询设备情况,及时发现问题</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 w:val="24"/>
              </w:rPr>
            </w:pPr>
          </w:p>
        </w:tc>
      </w:tr>
      <w:tr>
        <w:tblPrEx>
          <w:tblCellMar>
            <w:top w:w="0" w:type="dxa"/>
            <w:left w:w="0" w:type="dxa"/>
            <w:bottom w:w="0" w:type="dxa"/>
            <w:right w:w="0"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4</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保养质检</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sz w:val="24"/>
              </w:rPr>
            </w:pPr>
            <w:r>
              <w:rPr>
                <w:rFonts w:hint="eastAsia" w:ascii="宋体" w:hAnsi="宋体"/>
                <w:sz w:val="24"/>
              </w:rPr>
              <w:t>按规定和要求完成设备保养和质检工作，保障设备的正常运转</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r>
      <w:tr>
        <w:tblPrEx>
          <w:tblCellMar>
            <w:top w:w="0" w:type="dxa"/>
            <w:left w:w="0" w:type="dxa"/>
            <w:bottom w:w="0" w:type="dxa"/>
            <w:right w:w="0" w:type="dxa"/>
          </w:tblCellMar>
        </w:tblPrEx>
        <w:trPr>
          <w:trHeight w:val="82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5</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工单管理</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sz w:val="24"/>
              </w:rPr>
            </w:pPr>
            <w:r>
              <w:rPr>
                <w:rFonts w:hint="eastAsia" w:ascii="宋体" w:hAnsi="宋体"/>
                <w:sz w:val="24"/>
              </w:rPr>
              <w:t>服务完成有完整的纸质或电子版工单报告，按照科室要求做好服务记录；巡检、保养、维修、计量档案记录及时整理，按规范要求进行归档</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r>
      <w:tr>
        <w:tblPrEx>
          <w:tblCellMar>
            <w:top w:w="0" w:type="dxa"/>
            <w:left w:w="0" w:type="dxa"/>
            <w:bottom w:w="0" w:type="dxa"/>
            <w:right w:w="0" w:type="dxa"/>
          </w:tblCellMar>
        </w:tblPrEx>
        <w:trPr>
          <w:trHeight w:val="36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响应速度</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6</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响应及时</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sz w:val="24"/>
              </w:rPr>
            </w:pPr>
            <w:r>
              <w:rPr>
                <w:rFonts w:hint="eastAsia" w:ascii="宋体" w:hAnsi="宋体"/>
                <w:sz w:val="24"/>
              </w:rPr>
              <w:t>接到报修及时响应，按规定时间到场处理故障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 w:val="24"/>
              </w:rPr>
            </w:pPr>
          </w:p>
        </w:tc>
      </w:tr>
      <w:tr>
        <w:tblPrEx>
          <w:tblCellMar>
            <w:top w:w="0" w:type="dxa"/>
            <w:left w:w="0" w:type="dxa"/>
            <w:bottom w:w="0" w:type="dxa"/>
            <w:right w:w="0" w:type="dxa"/>
          </w:tblCellMar>
        </w:tblPrEx>
        <w:trPr>
          <w:trHeight w:val="56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7</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备件速度</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sz w:val="24"/>
              </w:rPr>
            </w:pPr>
            <w:r>
              <w:rPr>
                <w:rFonts w:hint="eastAsia" w:ascii="宋体" w:hAnsi="宋体"/>
                <w:sz w:val="24"/>
              </w:rPr>
              <w:t>及时保障维修零备件采购速度，并在要求时间内完成维修</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r>
      <w:tr>
        <w:tblPrEx>
          <w:tblCellMar>
            <w:top w:w="0" w:type="dxa"/>
            <w:left w:w="0" w:type="dxa"/>
            <w:bottom w:w="0" w:type="dxa"/>
            <w:right w:w="0" w:type="dxa"/>
          </w:tblCellMar>
        </w:tblPrEx>
        <w:trPr>
          <w:trHeight w:val="54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技术能力</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8</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服务能力</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sz w:val="24"/>
              </w:rPr>
            </w:pPr>
            <w:r>
              <w:rPr>
                <w:rFonts w:hint="eastAsia" w:ascii="宋体" w:hAnsi="宋体"/>
                <w:sz w:val="24"/>
              </w:rPr>
              <w:t>工程师对自己负责科室设备的熟练程度；服务人员具有相关的学历、培训等证书；</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sz w:val="24"/>
              </w:rPr>
            </w:pPr>
          </w:p>
        </w:tc>
      </w:tr>
      <w:tr>
        <w:tblPrEx>
          <w:tblCellMar>
            <w:top w:w="0" w:type="dxa"/>
            <w:left w:w="0" w:type="dxa"/>
            <w:bottom w:w="0" w:type="dxa"/>
            <w:right w:w="0" w:type="dxa"/>
          </w:tblCellMar>
        </w:tblPrEx>
        <w:trPr>
          <w:trHeight w:val="52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9</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修理方案</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sz w:val="24"/>
              </w:rPr>
            </w:pPr>
            <w:r>
              <w:rPr>
                <w:rFonts w:hint="eastAsia" w:ascii="宋体" w:hAnsi="宋体"/>
                <w:sz w:val="24"/>
              </w:rPr>
              <w:t>现场及时正确地判断故障，迅速合理地确定修理方案，保障设备的正常运转</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r>
      <w:tr>
        <w:tblPrEx>
          <w:tblCellMar>
            <w:top w:w="0" w:type="dxa"/>
            <w:left w:w="0" w:type="dxa"/>
            <w:bottom w:w="0" w:type="dxa"/>
            <w:right w:w="0" w:type="dxa"/>
          </w:tblCellMar>
        </w:tblPrEx>
        <w:trPr>
          <w:trHeight w:val="480" w:hRule="atLeast"/>
          <w:jc w:val="center"/>
        </w:trPr>
        <w:tc>
          <w:tcPr>
            <w:tcW w:w="8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sz w:val="24"/>
              </w:rPr>
            </w:pPr>
            <w:r>
              <w:rPr>
                <w:rFonts w:hint="eastAsia" w:ascii="宋体" w:hAnsi="宋体"/>
                <w:sz w:val="24"/>
              </w:rPr>
              <w:t>沟通汇报</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10</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sz w:val="24"/>
              </w:rPr>
            </w:pPr>
            <w:r>
              <w:rPr>
                <w:rFonts w:hint="eastAsia" w:ascii="宋体" w:hAnsi="宋体"/>
                <w:sz w:val="24"/>
              </w:rPr>
              <w:t>沟通汇报</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hAnsi="宋体"/>
                <w:sz w:val="24"/>
              </w:rPr>
            </w:pPr>
            <w:r>
              <w:rPr>
                <w:rFonts w:hint="eastAsia" w:ascii="宋体" w:hAnsi="宋体"/>
                <w:sz w:val="24"/>
              </w:rPr>
              <w:t>及时沟通维修进度，分析故障原因及建议临床科室使用注意事项，定期汇报设备维护情况</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c>
          <w:tcPr>
            <w:tcW w:w="5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sz w:val="24"/>
              </w:rPr>
            </w:pPr>
          </w:p>
        </w:tc>
      </w:tr>
      <w:tr>
        <w:tblPrEx>
          <w:tblCellMar>
            <w:top w:w="0" w:type="dxa"/>
            <w:left w:w="0" w:type="dxa"/>
            <w:bottom w:w="0" w:type="dxa"/>
            <w:right w:w="0" w:type="dxa"/>
          </w:tblCellMar>
        </w:tblPrEx>
        <w:trPr>
          <w:trHeight w:val="360" w:hRule="atLeast"/>
          <w:jc w:val="center"/>
        </w:trPr>
        <w:tc>
          <w:tcPr>
            <w:tcW w:w="9255"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bottom"/>
              <w:rPr>
                <w:rFonts w:ascii="宋体" w:hAnsi="宋体"/>
                <w:sz w:val="24"/>
              </w:rPr>
            </w:pPr>
            <w:r>
              <w:rPr>
                <w:rFonts w:hint="eastAsia" w:ascii="宋体" w:hAnsi="宋体"/>
                <w:sz w:val="24"/>
              </w:rPr>
              <w:t>支持医院廉政建设额外加1分；如积极协助设备科或临床科室处理其他事务可以额外增加1分；如获得表扬信或锦旗的可额外增加2分</w:t>
            </w:r>
          </w:p>
        </w:tc>
      </w:tr>
      <w:tr>
        <w:tblPrEx>
          <w:tblCellMar>
            <w:top w:w="0" w:type="dxa"/>
            <w:left w:w="0" w:type="dxa"/>
            <w:bottom w:w="0" w:type="dxa"/>
            <w:right w:w="0" w:type="dxa"/>
          </w:tblCellMar>
        </w:tblPrEx>
        <w:trPr>
          <w:trHeight w:val="270" w:hRule="atLeast"/>
          <w:jc w:val="center"/>
        </w:trPr>
        <w:tc>
          <w:tcPr>
            <w:tcW w:w="9255" w:type="dxa"/>
            <w:gridSpan w:val="8"/>
            <w:tcBorders>
              <w:top w:val="single" w:color="000000" w:sz="4" w:space="0"/>
              <w:left w:val="single" w:color="000000" w:sz="4" w:space="0"/>
              <w:bottom w:val="nil"/>
              <w:right w:val="single" w:color="000000" w:sz="4" w:space="0"/>
            </w:tcBorders>
            <w:tcMar>
              <w:top w:w="15" w:type="dxa"/>
              <w:left w:w="15" w:type="dxa"/>
              <w:bottom w:w="0" w:type="dxa"/>
              <w:right w:w="15" w:type="dxa"/>
            </w:tcMar>
            <w:vAlign w:val="bottom"/>
          </w:tcPr>
          <w:p>
            <w:pPr>
              <w:textAlignment w:val="bottom"/>
              <w:rPr>
                <w:rFonts w:ascii="宋体" w:hAnsi="宋体"/>
                <w:b/>
                <w:sz w:val="24"/>
              </w:rPr>
            </w:pPr>
            <w:r>
              <w:rPr>
                <w:rFonts w:hint="eastAsia" w:ascii="宋体" w:hAnsi="宋体"/>
                <w:b/>
                <w:sz w:val="24"/>
              </w:rPr>
              <w:t>考核标准：</w:t>
            </w:r>
          </w:p>
        </w:tc>
      </w:tr>
      <w:tr>
        <w:tblPrEx>
          <w:tblCellMar>
            <w:top w:w="0" w:type="dxa"/>
            <w:left w:w="0" w:type="dxa"/>
            <w:bottom w:w="0" w:type="dxa"/>
            <w:right w:w="0" w:type="dxa"/>
          </w:tblCellMar>
        </w:tblPrEx>
        <w:trPr>
          <w:trHeight w:val="270" w:hRule="atLeast"/>
          <w:jc w:val="center"/>
        </w:trPr>
        <w:tc>
          <w:tcPr>
            <w:tcW w:w="9255" w:type="dxa"/>
            <w:gridSpan w:val="8"/>
            <w:tcBorders>
              <w:top w:val="nil"/>
              <w:left w:val="single" w:color="000000" w:sz="4" w:space="0"/>
              <w:bottom w:val="nil"/>
              <w:right w:val="single" w:color="000000" w:sz="4" w:space="0"/>
            </w:tcBorders>
            <w:tcMar>
              <w:top w:w="15" w:type="dxa"/>
              <w:left w:w="15" w:type="dxa"/>
              <w:bottom w:w="0" w:type="dxa"/>
              <w:right w:w="15" w:type="dxa"/>
            </w:tcMar>
            <w:vAlign w:val="bottom"/>
          </w:tcPr>
          <w:p>
            <w:pPr>
              <w:textAlignment w:val="bottom"/>
              <w:rPr>
                <w:rFonts w:ascii="宋体" w:hAnsi="宋体"/>
                <w:sz w:val="24"/>
              </w:rPr>
            </w:pPr>
            <w:r>
              <w:rPr>
                <w:rFonts w:hint="eastAsia" w:ascii="宋体" w:hAnsi="宋体"/>
                <w:sz w:val="24"/>
              </w:rPr>
              <w:t>1) 考核部门：临床科室和设备科；</w:t>
            </w:r>
          </w:p>
        </w:tc>
      </w:tr>
      <w:tr>
        <w:tblPrEx>
          <w:tblCellMar>
            <w:top w:w="0" w:type="dxa"/>
            <w:left w:w="0" w:type="dxa"/>
            <w:bottom w:w="0" w:type="dxa"/>
            <w:right w:w="0" w:type="dxa"/>
          </w:tblCellMar>
        </w:tblPrEx>
        <w:trPr>
          <w:trHeight w:val="270" w:hRule="atLeast"/>
          <w:jc w:val="center"/>
        </w:trPr>
        <w:tc>
          <w:tcPr>
            <w:tcW w:w="9255" w:type="dxa"/>
            <w:gridSpan w:val="8"/>
            <w:tcBorders>
              <w:top w:val="nil"/>
              <w:left w:val="single" w:color="000000" w:sz="4" w:space="0"/>
              <w:bottom w:val="nil"/>
              <w:right w:val="single" w:color="000000" w:sz="4" w:space="0"/>
            </w:tcBorders>
            <w:tcMar>
              <w:top w:w="15" w:type="dxa"/>
              <w:left w:w="15" w:type="dxa"/>
              <w:bottom w:w="0" w:type="dxa"/>
              <w:right w:w="15" w:type="dxa"/>
            </w:tcMar>
            <w:vAlign w:val="bottom"/>
          </w:tcPr>
          <w:p>
            <w:pPr>
              <w:textAlignment w:val="bottom"/>
              <w:rPr>
                <w:rFonts w:ascii="宋体" w:hAnsi="宋体"/>
                <w:sz w:val="24"/>
              </w:rPr>
            </w:pPr>
            <w:r>
              <w:rPr>
                <w:rFonts w:hint="eastAsia" w:ascii="宋体" w:hAnsi="宋体"/>
                <w:sz w:val="24"/>
              </w:rPr>
              <w:t>2) 每半年度对乙方进行考核，一年内合计考核二次；</w:t>
            </w:r>
          </w:p>
        </w:tc>
      </w:tr>
      <w:tr>
        <w:tblPrEx>
          <w:tblCellMar>
            <w:top w:w="0" w:type="dxa"/>
            <w:left w:w="0" w:type="dxa"/>
            <w:bottom w:w="0" w:type="dxa"/>
            <w:right w:w="0" w:type="dxa"/>
          </w:tblCellMar>
        </w:tblPrEx>
        <w:trPr>
          <w:trHeight w:val="540" w:hRule="atLeast"/>
          <w:jc w:val="center"/>
        </w:trPr>
        <w:tc>
          <w:tcPr>
            <w:tcW w:w="9255" w:type="dxa"/>
            <w:gridSpan w:val="8"/>
            <w:tcBorders>
              <w:top w:val="nil"/>
              <w:left w:val="single" w:color="000000" w:sz="4" w:space="0"/>
              <w:bottom w:val="single" w:color="000000" w:sz="4" w:space="0"/>
              <w:right w:val="single" w:color="000000" w:sz="4" w:space="0"/>
            </w:tcBorders>
            <w:tcMar>
              <w:top w:w="15" w:type="dxa"/>
              <w:left w:w="15" w:type="dxa"/>
              <w:bottom w:w="0" w:type="dxa"/>
              <w:right w:w="15" w:type="dxa"/>
            </w:tcMar>
            <w:vAlign w:val="bottom"/>
          </w:tcPr>
          <w:p>
            <w:pPr>
              <w:textAlignment w:val="bottom"/>
              <w:rPr>
                <w:rFonts w:ascii="宋体" w:hAnsi="宋体"/>
                <w:sz w:val="24"/>
              </w:rPr>
            </w:pPr>
            <w:r>
              <w:rPr>
                <w:rFonts w:hint="eastAsia" w:ascii="宋体" w:hAnsi="宋体"/>
                <w:sz w:val="24"/>
              </w:rPr>
              <w:t xml:space="preserve">3)考核平均分90分达标，平均分在85-90分（不含）警告并共同找出问题进行整改，每次平均分75-85分（不含）扣除每一期应付款的2%，每次平均分65-75分（不含）扣除每一期应付款的5%，每次平均分65分（不含）以下扣除每一期应付款的10%，扣款金额在下一期付款的金额中扣除。累计三次平均分低于65分（不含）的，医院有权解除合同。                                                                                                                                                                                                                  </w:t>
            </w:r>
          </w:p>
        </w:tc>
      </w:tr>
    </w:tbl>
    <w:p>
      <w:pPr>
        <w:spacing w:line="360" w:lineRule="auto"/>
        <w:ind w:firstLine="480" w:firstLineChars="200"/>
        <w:rPr>
          <w:rFonts w:ascii="仿宋" w:hAnsi="仿宋" w:eastAsia="仿宋" w:cs="仿宋"/>
          <w:sz w:val="24"/>
        </w:rPr>
      </w:pPr>
      <w:r>
        <w:rPr>
          <w:rFonts w:hint="eastAsia" w:ascii="宋体" w:hAnsi="宋体"/>
          <w:sz w:val="24"/>
        </w:rPr>
        <w:t>9、其他：投标人如有不明事项可到现场了解情况及实地查看。</w:t>
      </w:r>
    </w:p>
    <w:p>
      <w:pPr>
        <w:spacing w:line="360" w:lineRule="auto"/>
        <w:ind w:firstLine="480" w:firstLineChars="200"/>
        <w:rPr>
          <w:rFonts w:ascii="仿宋" w:hAnsi="仿宋" w:eastAsia="仿宋" w:cs="仿宋"/>
          <w:sz w:val="24"/>
        </w:rPr>
      </w:pPr>
      <w:r>
        <w:rPr>
          <w:rFonts w:hint="eastAsia" w:ascii="仿宋" w:hAnsi="仿宋" w:eastAsia="仿宋" w:cs="仿宋"/>
          <w:sz w:val="24"/>
        </w:rPr>
        <w:t>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1.除采购文件标注的参考品牌外，欢迎其它能满足本项目技术需求且性能与所注品牌相当的产品参与。</w:t>
      </w:r>
    </w:p>
    <w:p>
      <w:pPr>
        <w:spacing w:line="360" w:lineRule="auto"/>
        <w:ind w:firstLine="480" w:firstLineChars="200"/>
        <w:rPr>
          <w:rFonts w:ascii="仿宋" w:hAnsi="仿宋" w:eastAsia="仿宋" w:cs="仿宋"/>
          <w:sz w:val="24"/>
        </w:rPr>
      </w:pPr>
      <w:r>
        <w:rPr>
          <w:rFonts w:hint="eastAsia" w:ascii="仿宋" w:hAnsi="仿宋" w:eastAsia="仿宋" w:cs="仿宋"/>
          <w:sz w:val="24"/>
        </w:rPr>
        <w:t>2.如有附图，仅作参考。</w:t>
      </w:r>
    </w:p>
    <w:p>
      <w:pPr>
        <w:spacing w:line="360" w:lineRule="auto"/>
        <w:ind w:firstLine="480" w:firstLineChars="200"/>
        <w:rPr>
          <w:rFonts w:ascii="仿宋" w:hAnsi="仿宋" w:eastAsia="仿宋" w:cs="仿宋"/>
          <w:sz w:val="24"/>
        </w:rPr>
      </w:pPr>
      <w:r>
        <w:rPr>
          <w:rFonts w:hint="eastAsia" w:ascii="仿宋" w:hAnsi="仿宋" w:eastAsia="仿宋" w:cs="仿宋"/>
          <w:sz w:val="24"/>
        </w:rPr>
        <w:t>3.招标文件中打▲内容为实质性要求，不允许有负偏离，否则将以涉及无效投标条款作无效投标。</w:t>
      </w:r>
    </w:p>
    <w:p>
      <w:pPr>
        <w:spacing w:line="360" w:lineRule="auto"/>
        <w:ind w:firstLine="480" w:firstLineChars="200"/>
        <w:rPr>
          <w:rFonts w:ascii="仿宋" w:hAnsi="仿宋" w:eastAsia="仿宋" w:cs="仿宋"/>
          <w:sz w:val="24"/>
        </w:rPr>
      </w:pPr>
      <w:r>
        <w:rPr>
          <w:rFonts w:hint="eastAsia" w:ascii="仿宋" w:hAnsi="仿宋" w:eastAsia="仿宋" w:cs="仿宋"/>
          <w:sz w:val="24"/>
        </w:rPr>
        <w:t>4、中标供应商所提供的货物、服务须与投标承诺一致，不得以次充好、偷工减料，若在项目验收中发现有上述情况，将向有关部门举报，根据相关规定进行处理。</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5、质疑受理电话：</w:t>
      </w:r>
      <w:r>
        <w:rPr>
          <w:rFonts w:hint="eastAsia" w:ascii="仿宋" w:hAnsi="仿宋" w:eastAsia="仿宋" w:cs="仿宋"/>
          <w:sz w:val="24"/>
          <w:u w:val="single"/>
        </w:rPr>
        <w:t>0571-82858325</w:t>
      </w:r>
    </w:p>
    <w:p>
      <w:pPr>
        <w:spacing w:line="360" w:lineRule="auto"/>
        <w:ind w:firstLine="960" w:firstLineChars="400"/>
        <w:jc w:val="left"/>
        <w:rPr>
          <w:rFonts w:ascii="仿宋" w:hAnsi="仿宋" w:eastAsia="仿宋" w:cs="仿宋_GB2312"/>
          <w:b/>
          <w:sz w:val="24"/>
        </w:rPr>
        <w:sectPr>
          <w:headerReference r:id="rId3" w:type="default"/>
          <w:footerReference r:id="rId4" w:type="default"/>
          <w:pgSz w:w="11907" w:h="16840"/>
          <w:pgMar w:top="1474" w:right="1814" w:bottom="1474" w:left="1814" w:header="851" w:footer="851" w:gutter="0"/>
          <w:cols w:space="720" w:num="1"/>
        </w:sectPr>
      </w:pPr>
      <w:r>
        <w:rPr>
          <w:rFonts w:hint="eastAsia" w:ascii="仿宋" w:hAnsi="仿宋" w:eastAsia="仿宋" w:cs="仿宋"/>
          <w:sz w:val="24"/>
        </w:rPr>
        <w:t>投诉受理电话：</w:t>
      </w:r>
      <w:r>
        <w:rPr>
          <w:rFonts w:hint="eastAsia" w:ascii="仿宋" w:hAnsi="仿宋" w:eastAsia="仿宋" w:cs="仿宋"/>
          <w:sz w:val="24"/>
          <w:u w:val="single"/>
        </w:rPr>
        <w:t>0571-82769101</w:t>
      </w:r>
      <w:r>
        <w:rPr>
          <w:rFonts w:ascii="仿宋" w:hAnsi="仿宋" w:eastAsia="仿宋" w:cs="仿宋_GB2312"/>
          <w:b/>
          <w:sz w:val="24"/>
        </w:rPr>
        <w:br w:type="page"/>
      </w:r>
    </w:p>
    <w:p>
      <w:pPr>
        <w:spacing w:line="360" w:lineRule="auto"/>
        <w:jc w:val="left"/>
        <w:rPr>
          <w:rFonts w:ascii="仿宋" w:hAnsi="仿宋" w:eastAsia="仿宋" w:cs="仿宋_GB2312"/>
          <w:b/>
          <w:sz w:val="36"/>
          <w:szCs w:val="36"/>
        </w:rPr>
      </w:pPr>
      <w:r>
        <w:rPr>
          <w:rFonts w:hint="eastAsia" w:ascii="仿宋" w:hAnsi="仿宋" w:eastAsia="仿宋" w:cs="仿宋_GB2312"/>
          <w:b/>
          <w:sz w:val="36"/>
          <w:szCs w:val="36"/>
        </w:rPr>
        <w:t>附件</w:t>
      </w:r>
    </w:p>
    <w:tbl>
      <w:tblPr>
        <w:tblStyle w:val="63"/>
        <w:tblW w:w="8397" w:type="dxa"/>
        <w:tblInd w:w="98" w:type="dxa"/>
        <w:tblLayout w:type="fixed"/>
        <w:tblCellMar>
          <w:top w:w="0" w:type="dxa"/>
          <w:left w:w="108" w:type="dxa"/>
          <w:bottom w:w="0" w:type="dxa"/>
          <w:right w:w="108" w:type="dxa"/>
        </w:tblCellMar>
      </w:tblPr>
      <w:tblGrid>
        <w:gridCol w:w="483"/>
        <w:gridCol w:w="2242"/>
        <w:gridCol w:w="2003"/>
        <w:gridCol w:w="973"/>
        <w:gridCol w:w="751"/>
        <w:gridCol w:w="1067"/>
        <w:gridCol w:w="878"/>
      </w:tblGrid>
      <w:tr>
        <w:tblPrEx>
          <w:tblCellMar>
            <w:top w:w="0" w:type="dxa"/>
            <w:left w:w="108" w:type="dxa"/>
            <w:bottom w:w="0" w:type="dxa"/>
            <w:right w:w="108" w:type="dxa"/>
          </w:tblCellMar>
        </w:tblPrEx>
        <w:trPr>
          <w:trHeight w:val="280" w:hRule="atLeast"/>
        </w:trPr>
        <w:tc>
          <w:tcPr>
            <w:tcW w:w="483" w:type="dxa"/>
            <w:tcBorders>
              <w:top w:val="single" w:color="auto" w:sz="4" w:space="0"/>
              <w:left w:val="single" w:color="auto" w:sz="4" w:space="0"/>
              <w:bottom w:val="single" w:color="auto" w:sz="4" w:space="0"/>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2242"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Arial" w:hAnsi="Arial" w:cs="Arial"/>
                <w:b/>
                <w:bCs/>
                <w:color w:val="000000"/>
                <w:sz w:val="18"/>
                <w:szCs w:val="18"/>
              </w:rPr>
            </w:pPr>
            <w:r>
              <w:rPr>
                <w:rFonts w:ascii="Arial" w:hAnsi="Arial" w:cs="Arial"/>
                <w:b/>
                <w:bCs/>
                <w:color w:val="000000"/>
                <w:kern w:val="0"/>
                <w:sz w:val="18"/>
                <w:szCs w:val="18"/>
              </w:rPr>
              <w:t>资产名称</w:t>
            </w:r>
          </w:p>
        </w:tc>
        <w:tc>
          <w:tcPr>
            <w:tcW w:w="20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b/>
                <w:bCs/>
                <w:color w:val="000000"/>
                <w:sz w:val="18"/>
                <w:szCs w:val="18"/>
              </w:rPr>
            </w:pPr>
            <w:r>
              <w:rPr>
                <w:rFonts w:ascii="Arial" w:hAnsi="Arial" w:cs="Arial"/>
                <w:b/>
                <w:bCs/>
                <w:color w:val="000000"/>
                <w:kern w:val="0"/>
                <w:sz w:val="18"/>
                <w:szCs w:val="18"/>
              </w:rPr>
              <w:t>型号</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b/>
                <w:bCs/>
                <w:color w:val="000000"/>
                <w:sz w:val="18"/>
                <w:szCs w:val="18"/>
              </w:rPr>
            </w:pPr>
            <w:r>
              <w:rPr>
                <w:rFonts w:ascii="Arial" w:hAnsi="Arial" w:cs="Arial"/>
                <w:b/>
                <w:bCs/>
                <w:color w:val="000000"/>
                <w:kern w:val="0"/>
                <w:sz w:val="18"/>
                <w:szCs w:val="18"/>
              </w:rPr>
              <w:t>数量</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b/>
                <w:bCs/>
                <w:color w:val="000000"/>
                <w:sz w:val="18"/>
                <w:szCs w:val="18"/>
              </w:rPr>
            </w:pPr>
            <w:r>
              <w:rPr>
                <w:rFonts w:ascii="Arial" w:hAnsi="Arial" w:cs="Arial"/>
                <w:b/>
                <w:bCs/>
                <w:color w:val="000000"/>
                <w:kern w:val="0"/>
                <w:sz w:val="18"/>
                <w:szCs w:val="18"/>
              </w:rPr>
              <w:t>计量单位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b/>
                <w:bCs/>
                <w:color w:val="000000"/>
                <w:sz w:val="18"/>
                <w:szCs w:val="18"/>
              </w:rPr>
            </w:pPr>
            <w:r>
              <w:rPr>
                <w:rFonts w:ascii="Arial" w:hAnsi="Arial" w:cs="Arial"/>
                <w:b/>
                <w:bCs/>
                <w:color w:val="000000"/>
                <w:kern w:val="0"/>
                <w:sz w:val="18"/>
                <w:szCs w:val="18"/>
              </w:rPr>
              <w:t>开始使用日期</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b/>
                <w:bCs/>
                <w:color w:val="000000"/>
                <w:sz w:val="18"/>
                <w:szCs w:val="18"/>
              </w:rPr>
            </w:pPr>
            <w:r>
              <w:rPr>
                <w:rFonts w:ascii="Arial" w:hAnsi="Arial" w:cs="Arial"/>
                <w:b/>
                <w:bCs/>
                <w:color w:val="000000"/>
                <w:kern w:val="0"/>
                <w:sz w:val="18"/>
                <w:szCs w:val="18"/>
              </w:rPr>
              <w:t>保修期</w:t>
            </w:r>
          </w:p>
        </w:tc>
      </w:tr>
      <w:tr>
        <w:tblPrEx>
          <w:tblCellMar>
            <w:top w:w="0" w:type="dxa"/>
            <w:left w:w="108" w:type="dxa"/>
            <w:bottom w:w="0" w:type="dxa"/>
            <w:right w:w="108" w:type="dxa"/>
          </w:tblCellMar>
        </w:tblPrEx>
        <w:trPr>
          <w:trHeight w:val="280" w:hRule="atLeast"/>
        </w:trPr>
        <w:tc>
          <w:tcPr>
            <w:tcW w:w="4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242"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随车设备</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20111231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可视喉镜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优亿TD-C-IV</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过氧化氢消毒机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才风CF/KW-3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超声骨密度仪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UBD-2002A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52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24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彩色多普勒超声诊断仪（彩超）</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飞利浦IU22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20130712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彩色超声诊断系统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飞利浦EPIQ5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生物显微镜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BX-53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20120929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病理切片机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HM325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20131231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生物组织摊烤片机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YT-7FB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20140630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生物组织石蜡包埋机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YB-7LF</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20150330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生物组织自动脱水机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ZT-12P2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20150829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离心机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SC-3612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20151126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生物显微镜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Axio Scope.A1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染色机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YR-21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20180429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通风柜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鑫贝西博科/BIOBASE/FH1200A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20210826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通风柜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鑫贝西博科/BIOBASE/FH1200A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20210826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通风柜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鑫贝西博科/BIOBASE/FH1200A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20210826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通风柜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鑫贝西博科/BIOBASE/FH1500A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20210826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通风柜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鑫贝西博科/BIOBASE/FH1500A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20210826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胎儿监护仪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M2702A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20111118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胎儿监护仪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CADENCEII超声多普勒</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20110713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婴儿复苏器（T-组合)</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RD900AZU</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20111118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婴儿抢救台</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辐射保暖HKN9010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张</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20111229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整体反射式手术无影灯及附件</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JHDZF-700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盏</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20110713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手术洗手池</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双人位（脚踏式）</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只</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婴儿洗浴中心</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胎儿监护仪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SRF618B++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20120929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内窥镜影像工作站</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胎儿监护仪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SRF618B++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20140831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胎儿监护仪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SRF618B++ 电脑</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20150131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生物刺激反馈仪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MyoTrac-Clinical 伟思</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盆底肌电生物反馈仪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RAYEE-A 伟思</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电子阴道镜数字成像系统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SLC-2000B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胎儿监护仪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SRF618A(双床位)</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分娩镇痛仪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乐蓓尔RZ-I</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20210322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臭氧治疗仪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中泰LH-7000C</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听力筛查仪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尔听美Type 1077（accuscreen TE）</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20211228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经皮黄疸测试仪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DHD-D</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20220113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经皮黄疸测试仪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DHD-D</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20220113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等离子体空气净化消毒器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好空气-KJF-Y100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20211228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等离子体空气净化消毒器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好空气-KJF-Y100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20211228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婴儿培养箱</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YP-90A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20110124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婴儿培养箱</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YP-90B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20140726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婴儿培养箱</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YP-90B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20140726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婴儿培养箱</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YP-90B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20141031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婴儿培养箱</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YP-90B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20141031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婴儿培养箱</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YP-90B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20141031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婴儿培养箱</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YP-90B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20141031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婴儿培养箱</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YP-90B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20141031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婴儿培养箱</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YP-90B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20141124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婴儿培养箱</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YP-90B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20141124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新生儿专用监护仪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C68</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新生儿专用监护仪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C68</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DEFIGARD 4000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经皮黄疸测试仪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DHD-D</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20220113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六道自动分析心电图机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福田/FX-8222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20201211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六道自动分析心电图机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福田/FX-8222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20201211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半自动体外除颤器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飞利浦M5066A(HS-1)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20210331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等离子体空气净化消毒器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等离子体KJF-Y100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20210419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Hill-Rom-LI900Bx-电动病床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LI900Bx</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Hill-Rom-LI900Bx-电动病床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LI900Bx</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Hill-Rom-LI900Bx-电动病床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LI900Bx</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飞利浦无创V60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飞利浦MP5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飞利浦MP5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飞利浦MP5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飞利浦MP5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飞利浦MP5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飞利浦MP5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飞利浦MP5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飞利浦DFM100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飞利浦DFM100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飞利浦DFM100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等离子体空气净化消毒器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好空气-KJF-Y100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等离子体空气净化消毒器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好空气-KJF-Y100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等离子体空气净化消毒器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好空气-KJF-Y100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医用电动床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八乐梦-CA-54381(5410A)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20211029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医用电动床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八乐梦-CA-54381(5410A)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20211029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医用电动床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八乐梦-CA-54381(5410A)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20211029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X线摄影系统（DR）</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20100906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遥控型CT增强注射器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ZTI-300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20090722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X线摄影系统(DR）</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T11双板（含巨鲨显示器）</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X射线计算机断层摄影设备</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16排CT</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截止2022.7</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医用X线摄影系统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含干式打印机5503和工作站</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20130710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数字化移动式X光机（床边DR）</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MUX-2000D</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20141218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数字化口腔全景/头颅X射线机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X-era Smart 日本</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20150227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医用磁共振</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1.5T</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20190406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5</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空气消毒器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20200330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X射线计算机体层摄影设备</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联影uCT510/16排CT</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20210329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彩灰一体化专业显示器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医用巨鲨JUSHA-C42E-4M</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全身型双能</w:t>
            </w:r>
            <w:r>
              <w:rPr>
                <w:rFonts w:ascii="Arial" w:hAnsi="Arial" w:cs="Arial"/>
                <w:color w:val="000000"/>
                <w:kern w:val="0"/>
                <w:sz w:val="18"/>
                <w:szCs w:val="18"/>
              </w:rPr>
              <w:t>X</w:t>
            </w:r>
            <w:r>
              <w:rPr>
                <w:rFonts w:hint="eastAsia" w:ascii="宋体" w:hAnsi="宋体" w:cs="宋体"/>
                <w:color w:val="000000"/>
                <w:kern w:val="0"/>
                <w:sz w:val="18"/>
                <w:szCs w:val="18"/>
              </w:rPr>
              <w:t>线骨密度仪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Horizon-Wi</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20220525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超声波妇科治疗仪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20200430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便携式超声诊断系统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Acuson P500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20220515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干燥柜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20121031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封口机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20121031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医用超声波清洗机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台式30升</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20151217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过氧化氢快速生物阅读器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CF-AR1HD</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20180927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医用超声波清洗机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千樱/CQJ-25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20201211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电脑骨创伤治疗仪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HGB-200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20111025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下肢关节康复器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YTK-E</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20151030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负压治疗仪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RNPT-1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20160519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BP840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20111118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HP除颤监护仪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车载-菲利浦4735双向波</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20111221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Servo-s瑞典</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20120929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冷光无影灯</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JSL2009-160D</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盏</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20150227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UT6000A 飞利浦金科威</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20160325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气压止血器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ATS-1000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20190724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20190724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20190724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20190724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20190724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20190724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转运床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P8005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麻醉视频喉镜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SMT-I-B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心电分析系统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GE MAC800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等离子体空气净化消毒机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KJF-Y100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20200430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迈瑞sv300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心肺复苏仪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MCC-E2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20210322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全自动红外热成像测温告警系统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20200918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全自动红外热成像测温告警系统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20200918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PA热成像测温仪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海康威视/DS-B1217-6/PA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20201225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脑功能障碍治疗仪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YS-7002C</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20110727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步态训练矫正仪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GYKF-I</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20141230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神经和肌肉刺激理疗仪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5900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牙科综合治疗台</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TS-TOP303 丹特思连体式</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20131211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牙科综合治疗台</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TS-TOP303 丹特思连体式</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20141218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牙科综合治疗台</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AJ12 下挂 艾捷斯</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20160519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根管治疗用微型马达</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X-SMART plus 登士柏</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20160928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超声牙周治疗仪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PT-MASTER 5 啄木鸟</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超声骨刀</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APT/OP1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20201228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医用全自动电子血压计</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HBP-9021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20200430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医用全自动电子血压计</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HBP-9021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20200430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等离子体空气净化消毒机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KJF-Y100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20200430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等离子体空气净化消毒机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KJF-Y100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20200430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等离子体空气净化消毒器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等离子体KJF-Y100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20210419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DEFIGARD 4000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20190829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V60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BiPAP A30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飞利浦无创V60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胰岛素注射泵</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MMT-712EWS</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20180927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胰岛素注射泵</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MMT-712EWS</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20180927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胰岛素注射泵</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MMT-712EWS</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20190530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胰岛素注射泵</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MMT-712EWS</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20190530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DEFIGARD 4000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20190829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二氧化碳激光治疗机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LJL35-CB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20130228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光子治疗仪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GZM-D4</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20150714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紫外线光疗仪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SS-09B-10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20150714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光子治疗仪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GZM-D3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20160727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中药熏蒸机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RK-XZ2D</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20160729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光子治疗仪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QUEEN-93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20160831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光子治疗仪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GZM-D3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20190930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DEFIGARD 4000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20180429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空气压缩机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迈瑞-C3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20201231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迈瑞sv600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20201231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GS10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20131211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GS10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20131211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多参数监护仪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WPM-120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DEFIGARD 4000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20190829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高频电刀</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VI0-300S</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把</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20110913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自动气压止血仪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ATS-2000型</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20110314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冲洗吸引泵</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20111228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膀胱镜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20111228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进口放大镜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20111228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手术洗手池</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三人位</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只</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20111229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Wolf高清腹腔镜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5550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20120831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输尿管镜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SN-I</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20120929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子宫切除器主机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20140731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麻醉机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FOCUS2.0 带监护仪</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20141218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可视软性喉镜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TIC-III</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20150714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钬激光II</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SRM-H2B 65W</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20151126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超声高频外科集成系统主机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GEN11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20151217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超声乳化机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Infiniti</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手术台骨科牵引架</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NOT-5600SF</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电动液压手术台</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Dr.max7000SB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张</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整体反射手术无影灯</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BJ-L7/5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盏</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LED手术无影灯</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BJ-iX6/6</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盏</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眼科手术显微镜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蔡司140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UT6000A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B650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20160727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气压止血器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ATS-1000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20170428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腹部手术牵开器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ZY型</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把</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20170428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电动综合手术台</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DYT-1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张</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医用电动锯、钻</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YDJZ-II型</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腹腔镜镜子</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10mm 30度</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面</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输尿管肾镜（多用途肾镜）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SN-IV型</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麻醉机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BleaseFocus-730 多功能</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20171230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麻醉监护仪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xprezzon</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20171230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进口腹腔镜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30度</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20180429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自体血液回收机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BW-8200A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DEFIGARD 4000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20190829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4mmX30°高清</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个</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关节镜刨削手柄</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把</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关节镜脚踏控制器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RF12000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个</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关节镜高流量诊断套管</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6.0mm双阀 可旋转</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根</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关节镜摄像头</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560H 3-CCD</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个</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关节镜氙光源系统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500XL</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个</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关节镜动力主机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DII</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个</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关节镜鸭嘴状直柄篮钳</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把</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关节镜鸭嘴状左弯篮钳</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把</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关节镜鸭嘴状右弯篮钳</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把</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关节镜肩关节固定支架</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7207340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个</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关节镜摄像控制主机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560P</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关节镜视频耦合器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个</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医用液晶监视器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SONY LMD2110-MC</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双重宫腔镜电切系统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165-800-011等</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20200430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圣法兰电动手术床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20200430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内窥镜摄像系统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迈瑞-HD3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麻醉系统病人监护仪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欧美达/ AVance CS2+B650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M127542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高频电刀</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康美/60-8005-002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STORZ-26003BA-30°内窥镜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26003BA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医用电动锯、钻</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YDJZ-II型</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麻醉机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迈瑞-WATO EX-35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20210928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输尿管肾镜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好克SN-I型</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20211029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移动式</w:t>
            </w:r>
            <w:r>
              <w:rPr>
                <w:rFonts w:ascii="Arial" w:hAnsi="Arial" w:cs="Arial"/>
                <w:color w:val="000000"/>
                <w:kern w:val="0"/>
                <w:sz w:val="18"/>
                <w:szCs w:val="18"/>
              </w:rPr>
              <w:t>C</w:t>
            </w:r>
            <w:r>
              <w:rPr>
                <w:rFonts w:hint="eastAsia" w:ascii="宋体" w:hAnsi="宋体" w:cs="宋体"/>
                <w:color w:val="000000"/>
                <w:kern w:val="0"/>
                <w:sz w:val="18"/>
                <w:szCs w:val="18"/>
              </w:rPr>
              <w:t>型臂</w:t>
            </w:r>
            <w:r>
              <w:rPr>
                <w:rFonts w:ascii="Arial" w:hAnsi="Arial" w:cs="Arial"/>
                <w:color w:val="000000"/>
                <w:kern w:val="0"/>
                <w:sz w:val="18"/>
                <w:szCs w:val="18"/>
              </w:rPr>
              <w:t>X</w:t>
            </w:r>
            <w:r>
              <w:rPr>
                <w:rFonts w:hint="eastAsia" w:ascii="宋体" w:hAnsi="宋体" w:cs="宋体"/>
                <w:color w:val="000000"/>
                <w:kern w:val="0"/>
                <w:sz w:val="18"/>
                <w:szCs w:val="18"/>
              </w:rPr>
              <w:t>射线系统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飞利浦</w:t>
            </w:r>
            <w:r>
              <w:rPr>
                <w:rFonts w:ascii="Arial" w:hAnsi="Arial" w:cs="Arial"/>
                <w:color w:val="000000"/>
                <w:kern w:val="0"/>
                <w:sz w:val="18"/>
                <w:szCs w:val="18"/>
              </w:rPr>
              <w:t>BV Endura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20220520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心电图机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FX-7202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20160331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彩色多普勒超声诊断仪（彩超）</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VINNO G50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20170428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呼气试验测试仪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HCBT-01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耳鼻咽喉检查治疗台</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贝尔斯BLS-510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诊断型听力计</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丹麦AD226（标配） 诊断型</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纤维输尿管镜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11278A1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20200622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纤维输尿管肾镜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WOLF-8702.534</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DEFIGARD 4000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20190829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手术动力装置（颅钻）</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西山-DK-N-MS</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B超机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2000II 凯信</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20130330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体外冲击波碎石机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BYS B超定位C臂型</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20130330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内镜清洗设备</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KGW/NQX</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20131231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胃镜清洗设备</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KGW/NQX</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20131231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JT6000A 飞利浦金科威</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氩气刀</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VI0200D</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把</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20171026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hint="eastAsia" w:ascii="宋体" w:hAnsi="宋体" w:cs="宋体"/>
                <w:color w:val="000000"/>
                <w:kern w:val="0"/>
                <w:sz w:val="18"/>
                <w:szCs w:val="18"/>
              </w:rPr>
              <w:t>电子胃肠镜（</w:t>
            </w:r>
            <w:r>
              <w:rPr>
                <w:rFonts w:ascii="Arial" w:hAnsi="Arial" w:cs="Arial"/>
                <w:color w:val="000000"/>
                <w:kern w:val="0"/>
                <w:sz w:val="18"/>
                <w:szCs w:val="18"/>
              </w:rPr>
              <w:t>3</w:t>
            </w:r>
            <w:r>
              <w:rPr>
                <w:rFonts w:hint="eastAsia" w:ascii="宋体" w:hAnsi="宋体" w:cs="宋体"/>
                <w:color w:val="000000"/>
                <w:kern w:val="0"/>
                <w:sz w:val="18"/>
                <w:szCs w:val="18"/>
              </w:rPr>
              <w:t>支胃镜</w:t>
            </w:r>
            <w:r>
              <w:rPr>
                <w:rFonts w:ascii="Arial" w:hAnsi="Arial" w:cs="Arial"/>
                <w:color w:val="000000"/>
                <w:kern w:val="0"/>
                <w:sz w:val="18"/>
                <w:szCs w:val="18"/>
              </w:rPr>
              <w:t>+2</w:t>
            </w:r>
            <w:r>
              <w:rPr>
                <w:rFonts w:hint="eastAsia" w:ascii="宋体" w:hAnsi="宋体" w:cs="宋体"/>
                <w:color w:val="000000"/>
                <w:kern w:val="0"/>
                <w:sz w:val="18"/>
                <w:szCs w:val="18"/>
              </w:rPr>
              <w:t>支肠镜）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VP-4450HD/XL-4450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20181228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储存柜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单门</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只</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20190408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内镜清洗柜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迈尔NQG-2000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20210322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支气管镜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富士4450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20210329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内镜存储柜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铭心MXCG-6</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20211228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吸引切割器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20111118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内窥镜摄像系统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20150831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微波治疗仪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三乐AMT-A</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心电工作站</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CV200 北京谷山丰</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20131210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心电分析系统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GE MAC800 无线网络版</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动态心电记录仪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CT-08S</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20180928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动态心电记录仪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CT-08S</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20180928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动态心电记录仪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CT-08S</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20180928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动态心电记录仪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CT-08S</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20180928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动态血动态血压监护仪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百慧ABP-021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动态血动态血压监护仪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百慧ABP-021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20210723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全自动视野仪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20150131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眼科A/B超</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20150131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眼科综合诊疗台</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20150131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眼科裂隙灯检查仪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SLM-8E</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20150131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冷光无影灯</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JSL2009-160D</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盏</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20150227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裂隙灯显微镜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YZ5X</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20150330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手持裂隙灯</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KJ5S1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盏</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听力计</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AD226 诊断型</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除颤监护仪一体机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迈瑞D6</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20210419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除颤监护仪一体机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迈瑞D6</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20210419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半身安妮</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挪度174-00160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20210826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复苏安妮</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挪度150-27000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20210826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DFM100标配</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20220130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有创呼吸机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舒普思达S1200（带舒普思达NLF-100A泵)</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20220130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牵引床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LXZ-100D</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张</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20160727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智能输液泵</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TOP-2200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20110622</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振动排痰机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HemaG2000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20141124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心电监护仪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IPM8</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20150429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Trilogy202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20160727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840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840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空气压缩机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4-076326-00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空气压缩机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4-076326-00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电动床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CA-38G 医用</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张</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可视软性喉镜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TIC-I3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20170628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心电监护仪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iMEC 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心电监护仪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iMEC 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心电监护仪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iMEC 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电动床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CA-38G 医用</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张</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20171128</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840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20171230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840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20171230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空气压缩机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4-076326-00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20171230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空气压缩机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4-076326-00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20171230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空气波压力治疗仪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Airpro-600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电动床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CA-38G 医用</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张</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空气消毒器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XF/XDJ-Y1500型 等离子体</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空气消毒器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XF/XDJ-Y1500型 等离子体</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IBP有创压模块</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IBP</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iPM8</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iMEC 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20180531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空气压缩机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806</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20190930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840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20190930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电动床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LI900Bx</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电动床</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LI900Bx</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光子治疗仪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GZM-C5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麻醉视频喉镜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SMT-I-B</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套</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20191130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心电分析系统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GE MAC800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低温治疗仪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ZLJ2000I</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20200119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迈瑞 BeneVision N12</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连续心排量病人监护仪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迈瑞BENEVISION N15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体外除颤监护仪</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飞利浦DFM100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20200924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呼吸机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德尔格 Evita V300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20201130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trHeight w:val="2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w:t>
            </w:r>
          </w:p>
        </w:tc>
        <w:tc>
          <w:tcPr>
            <w:tcW w:w="2242"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等离子体空气净化消毒机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锦德/JD-DG120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台</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Arial" w:hAnsi="Arial" w:cs="Arial"/>
                <w:color w:val="000000"/>
                <w:sz w:val="18"/>
                <w:szCs w:val="18"/>
              </w:rPr>
            </w:pPr>
            <w:r>
              <w:rPr>
                <w:rFonts w:ascii="Arial" w:hAnsi="Arial" w:cs="Arial"/>
                <w:color w:val="000000"/>
                <w:kern w:val="0"/>
                <w:sz w:val="18"/>
                <w:szCs w:val="18"/>
              </w:rPr>
              <w:t>20201211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Arial" w:hAnsi="Arial" w:cs="Arial"/>
                <w:color w:val="000000"/>
                <w:sz w:val="18"/>
                <w:szCs w:val="18"/>
              </w:rPr>
            </w:pPr>
          </w:p>
        </w:tc>
      </w:tr>
    </w:tbl>
    <w:p>
      <w:pPr>
        <w:spacing w:line="360" w:lineRule="auto"/>
        <w:ind w:firstLine="2168" w:firstLineChars="600"/>
        <w:rPr>
          <w:rFonts w:ascii="仿宋" w:hAnsi="仿宋" w:eastAsia="仿宋" w:cs="仿宋_GB2312"/>
          <w:b/>
          <w:sz w:val="36"/>
          <w:szCs w:val="36"/>
        </w:rPr>
      </w:pPr>
    </w:p>
    <w:p>
      <w:pPr>
        <w:spacing w:line="360" w:lineRule="auto"/>
        <w:ind w:firstLine="2168" w:firstLineChars="600"/>
        <w:rPr>
          <w:rFonts w:ascii="仿宋" w:hAnsi="仿宋" w:eastAsia="仿宋" w:cs="仿宋_GB2312"/>
          <w:b/>
          <w:sz w:val="36"/>
          <w:szCs w:val="36"/>
        </w:rPr>
      </w:pPr>
    </w:p>
    <w:p>
      <w:pPr>
        <w:spacing w:line="360" w:lineRule="auto"/>
        <w:ind w:firstLine="2168" w:firstLineChars="600"/>
        <w:rPr>
          <w:rFonts w:ascii="仿宋" w:hAnsi="仿宋" w:eastAsia="仿宋" w:cs="仿宋_GB2312"/>
          <w:b/>
          <w:sz w:val="36"/>
          <w:szCs w:val="36"/>
        </w:rPr>
      </w:pPr>
    </w:p>
    <w:p>
      <w:pPr>
        <w:spacing w:line="360" w:lineRule="auto"/>
        <w:ind w:firstLine="2168" w:firstLineChars="600"/>
        <w:rPr>
          <w:rFonts w:ascii="仿宋" w:hAnsi="仿宋" w:eastAsia="仿宋" w:cs="仿宋_GB2312"/>
          <w:b/>
          <w:sz w:val="36"/>
          <w:szCs w:val="36"/>
        </w:rPr>
      </w:pPr>
    </w:p>
    <w:p>
      <w:pPr>
        <w:spacing w:line="360" w:lineRule="auto"/>
        <w:ind w:firstLine="2168" w:firstLineChars="600"/>
        <w:rPr>
          <w:rFonts w:ascii="仿宋" w:hAnsi="仿宋" w:eastAsia="仿宋" w:cs="仿宋_GB2312"/>
          <w:b/>
          <w:sz w:val="36"/>
          <w:szCs w:val="36"/>
        </w:rPr>
      </w:pPr>
    </w:p>
    <w:p>
      <w:pPr>
        <w:spacing w:line="360" w:lineRule="auto"/>
        <w:ind w:firstLine="2168" w:firstLineChars="600"/>
        <w:rPr>
          <w:rFonts w:ascii="仿宋" w:hAnsi="仿宋" w:eastAsia="仿宋" w:cs="仿宋_GB2312"/>
          <w:b/>
          <w:sz w:val="36"/>
          <w:szCs w:val="36"/>
        </w:rPr>
      </w:pPr>
    </w:p>
    <w:p>
      <w:pPr>
        <w:spacing w:line="360" w:lineRule="auto"/>
        <w:ind w:firstLine="2168" w:firstLineChars="600"/>
        <w:rPr>
          <w:rFonts w:ascii="仿宋" w:hAnsi="仿宋" w:eastAsia="仿宋" w:cs="仿宋_GB2312"/>
          <w:b/>
          <w:sz w:val="36"/>
          <w:szCs w:val="36"/>
        </w:rPr>
      </w:pPr>
    </w:p>
    <w:p>
      <w:pPr>
        <w:spacing w:line="360" w:lineRule="auto"/>
        <w:ind w:firstLine="2168" w:firstLineChars="600"/>
        <w:rPr>
          <w:rFonts w:ascii="仿宋" w:hAnsi="仿宋" w:eastAsia="仿宋" w:cs="仿宋_GB2312"/>
          <w:b/>
          <w:sz w:val="36"/>
          <w:szCs w:val="36"/>
        </w:rPr>
      </w:pPr>
    </w:p>
    <w:p>
      <w:pPr>
        <w:spacing w:line="360" w:lineRule="auto"/>
        <w:ind w:firstLine="2168" w:firstLineChars="600"/>
        <w:rPr>
          <w:rFonts w:ascii="仿宋" w:hAnsi="仿宋" w:eastAsia="仿宋" w:cs="仿宋_GB2312"/>
          <w:b/>
          <w:sz w:val="36"/>
          <w:szCs w:val="36"/>
        </w:rPr>
      </w:pPr>
    </w:p>
    <w:p>
      <w:pPr>
        <w:spacing w:line="360" w:lineRule="auto"/>
        <w:rPr>
          <w:rFonts w:ascii="仿宋" w:hAnsi="仿宋" w:eastAsia="仿宋" w:cs="仿宋_GB2312"/>
          <w:b/>
          <w:sz w:val="36"/>
          <w:szCs w:val="36"/>
        </w:rPr>
      </w:pPr>
    </w:p>
    <w:p>
      <w:pPr>
        <w:spacing w:line="360" w:lineRule="auto"/>
        <w:ind w:firstLine="2168" w:firstLineChars="600"/>
        <w:rPr>
          <w:rFonts w:ascii="仿宋" w:hAnsi="仿宋" w:eastAsia="仿宋" w:cs="仿宋_GB2312"/>
          <w:b/>
          <w:sz w:val="36"/>
          <w:szCs w:val="36"/>
        </w:rPr>
      </w:pPr>
      <w:r>
        <w:rPr>
          <w:rFonts w:hint="eastAsia" w:ascii="仿宋" w:hAnsi="仿宋" w:eastAsia="仿宋" w:cs="仿宋_GB2312"/>
          <w:b/>
          <w:sz w:val="36"/>
          <w:szCs w:val="36"/>
        </w:rPr>
        <w:t>第四部分</w:t>
      </w:r>
      <w:bookmarkStart w:id="18" w:name="_Toc184308086"/>
      <w:bookmarkEnd w:id="18"/>
      <w:bookmarkStart w:id="19" w:name="_Toc184312117"/>
      <w:bookmarkEnd w:id="19"/>
      <w:bookmarkStart w:id="20" w:name="_Toc184312092"/>
      <w:bookmarkEnd w:id="20"/>
      <w:bookmarkStart w:id="21" w:name="_Toc184313241"/>
      <w:bookmarkEnd w:id="21"/>
      <w:bookmarkStart w:id="22" w:name="_Toc184308063"/>
      <w:bookmarkEnd w:id="22"/>
      <w:bookmarkStart w:id="23" w:name="_Toc184314421"/>
      <w:bookmarkEnd w:id="23"/>
      <w:bookmarkStart w:id="24" w:name="_Toc184312101"/>
      <w:bookmarkEnd w:id="24"/>
      <w:bookmarkStart w:id="25" w:name="_Toc184310318"/>
      <w:bookmarkEnd w:id="25"/>
      <w:bookmarkStart w:id="26" w:name="_Toc184313272"/>
      <w:bookmarkEnd w:id="26"/>
      <w:bookmarkStart w:id="27" w:name="_Toc184313262"/>
      <w:bookmarkEnd w:id="27"/>
      <w:bookmarkStart w:id="28" w:name="_Toc184310289"/>
      <w:bookmarkEnd w:id="28"/>
      <w:bookmarkStart w:id="29" w:name="_Toc184314445"/>
      <w:bookmarkEnd w:id="29"/>
      <w:bookmarkStart w:id="30" w:name="_Toc184312105"/>
      <w:bookmarkEnd w:id="30"/>
      <w:bookmarkStart w:id="31" w:name="_Toc184313264"/>
      <w:bookmarkEnd w:id="31"/>
      <w:bookmarkStart w:id="32" w:name="_Toc184310292"/>
      <w:bookmarkEnd w:id="32"/>
      <w:bookmarkStart w:id="33" w:name="_Toc184312074"/>
      <w:bookmarkEnd w:id="33"/>
      <w:bookmarkStart w:id="34" w:name="_Toc184314429"/>
      <w:bookmarkEnd w:id="34"/>
      <w:bookmarkStart w:id="35" w:name="_Toc184308097"/>
      <w:bookmarkEnd w:id="35"/>
      <w:bookmarkStart w:id="36" w:name="_Toc184314437"/>
      <w:bookmarkEnd w:id="36"/>
      <w:bookmarkStart w:id="37" w:name="_Toc184310323"/>
      <w:bookmarkEnd w:id="37"/>
      <w:bookmarkStart w:id="38" w:name="_Toc184313259"/>
      <w:bookmarkEnd w:id="38"/>
      <w:bookmarkStart w:id="39" w:name="_Toc184313306"/>
      <w:bookmarkEnd w:id="39"/>
      <w:bookmarkStart w:id="40" w:name="_Toc184308059"/>
      <w:bookmarkEnd w:id="40"/>
      <w:bookmarkStart w:id="41" w:name="_Toc184310272"/>
      <w:bookmarkEnd w:id="41"/>
      <w:bookmarkStart w:id="42" w:name="_Toc184313243"/>
      <w:bookmarkEnd w:id="42"/>
      <w:bookmarkStart w:id="43" w:name="_Toc184310285"/>
      <w:bookmarkEnd w:id="43"/>
      <w:bookmarkStart w:id="44" w:name="_Toc184313277"/>
      <w:bookmarkEnd w:id="44"/>
      <w:bookmarkStart w:id="45" w:name="_Toc184312072"/>
      <w:bookmarkEnd w:id="45"/>
      <w:bookmarkStart w:id="46" w:name="_Toc184310302"/>
      <w:bookmarkEnd w:id="46"/>
      <w:bookmarkStart w:id="47" w:name="_Toc184310338"/>
      <w:bookmarkEnd w:id="47"/>
      <w:bookmarkStart w:id="48" w:name="_Toc184312086"/>
      <w:bookmarkEnd w:id="48"/>
      <w:bookmarkStart w:id="49" w:name="_Toc184313275"/>
      <w:bookmarkEnd w:id="49"/>
      <w:bookmarkStart w:id="50" w:name="_Toc184312115"/>
      <w:bookmarkEnd w:id="50"/>
      <w:bookmarkStart w:id="51" w:name="_Toc184312135"/>
      <w:bookmarkEnd w:id="51"/>
      <w:bookmarkStart w:id="52" w:name="_Toc184308082"/>
      <w:bookmarkEnd w:id="52"/>
      <w:bookmarkStart w:id="53" w:name="_Toc184308076"/>
      <w:bookmarkEnd w:id="53"/>
      <w:bookmarkStart w:id="54" w:name="_Toc184314422"/>
      <w:bookmarkEnd w:id="54"/>
      <w:bookmarkStart w:id="55" w:name="_Toc184314464"/>
      <w:bookmarkEnd w:id="55"/>
      <w:bookmarkStart w:id="56" w:name="_Toc184313290"/>
      <w:bookmarkEnd w:id="56"/>
      <w:bookmarkStart w:id="57" w:name="_Toc184308036"/>
      <w:bookmarkEnd w:id="57"/>
      <w:bookmarkStart w:id="58" w:name="_Toc184308060"/>
      <w:bookmarkEnd w:id="58"/>
      <w:bookmarkStart w:id="59" w:name="_Toc184313252"/>
      <w:bookmarkEnd w:id="59"/>
      <w:bookmarkStart w:id="60" w:name="_Toc184308072"/>
      <w:bookmarkEnd w:id="60"/>
      <w:bookmarkStart w:id="61" w:name="_Toc184310282"/>
      <w:bookmarkEnd w:id="61"/>
      <w:bookmarkStart w:id="62" w:name="_Toc184313248"/>
      <w:bookmarkEnd w:id="62"/>
      <w:bookmarkStart w:id="63" w:name="_Toc184310336"/>
      <w:bookmarkEnd w:id="63"/>
      <w:bookmarkStart w:id="64" w:name="_Toc184312080"/>
      <w:bookmarkEnd w:id="64"/>
      <w:bookmarkStart w:id="65" w:name="_Toc184308053"/>
      <w:bookmarkEnd w:id="65"/>
      <w:bookmarkStart w:id="66" w:name="_Toc184312133"/>
      <w:bookmarkEnd w:id="66"/>
      <w:bookmarkStart w:id="67" w:name="_Toc184312070"/>
      <w:bookmarkEnd w:id="67"/>
      <w:bookmarkStart w:id="68" w:name="_Toc184308074"/>
      <w:bookmarkEnd w:id="68"/>
      <w:bookmarkStart w:id="69" w:name="_Toc184314410"/>
      <w:bookmarkEnd w:id="69"/>
      <w:bookmarkStart w:id="70" w:name="_Toc184313255"/>
      <w:bookmarkEnd w:id="70"/>
      <w:bookmarkStart w:id="71" w:name="_Toc184308070"/>
      <w:bookmarkEnd w:id="71"/>
      <w:bookmarkStart w:id="72" w:name="_Toc184313284"/>
      <w:bookmarkEnd w:id="72"/>
      <w:bookmarkStart w:id="73" w:name="_Toc184313286"/>
      <w:bookmarkEnd w:id="73"/>
      <w:bookmarkStart w:id="74" w:name="_Toc184308080"/>
      <w:bookmarkEnd w:id="74"/>
      <w:bookmarkStart w:id="75" w:name="_Toc184313271"/>
      <w:bookmarkEnd w:id="75"/>
      <w:bookmarkStart w:id="76" w:name="_Toc184308101"/>
      <w:bookmarkEnd w:id="76"/>
      <w:bookmarkStart w:id="77" w:name="_Toc184313305"/>
      <w:bookmarkEnd w:id="77"/>
      <w:bookmarkStart w:id="78" w:name="_Toc184312107"/>
      <w:bookmarkEnd w:id="78"/>
      <w:bookmarkStart w:id="79" w:name="_Toc184314426"/>
      <w:bookmarkEnd w:id="79"/>
      <w:bookmarkStart w:id="80" w:name="_Toc184308069"/>
      <w:bookmarkEnd w:id="80"/>
      <w:bookmarkStart w:id="81" w:name="_Toc184310298"/>
      <w:bookmarkEnd w:id="81"/>
      <w:bookmarkStart w:id="82" w:name="_Toc184314451"/>
      <w:bookmarkEnd w:id="82"/>
      <w:bookmarkStart w:id="83" w:name="_Toc184308050"/>
      <w:bookmarkEnd w:id="83"/>
      <w:bookmarkStart w:id="84" w:name="_Toc184310343"/>
      <w:bookmarkEnd w:id="84"/>
      <w:bookmarkStart w:id="85" w:name="_Toc184310281"/>
      <w:bookmarkEnd w:id="85"/>
      <w:bookmarkStart w:id="86" w:name="_Toc184312119"/>
      <w:bookmarkEnd w:id="86"/>
      <w:bookmarkStart w:id="87" w:name="_Toc184313289"/>
      <w:bookmarkEnd w:id="87"/>
      <w:bookmarkStart w:id="88" w:name="_Toc184310327"/>
      <w:bookmarkEnd w:id="88"/>
      <w:bookmarkStart w:id="89" w:name="_Toc184310332"/>
      <w:bookmarkEnd w:id="89"/>
      <w:bookmarkStart w:id="90" w:name="_Toc184313268"/>
      <w:bookmarkEnd w:id="90"/>
      <w:bookmarkStart w:id="91" w:name="_Toc184314448"/>
      <w:bookmarkEnd w:id="91"/>
      <w:bookmarkStart w:id="92" w:name="_Toc184310295"/>
      <w:bookmarkEnd w:id="92"/>
      <w:bookmarkStart w:id="93" w:name="_Toc184313281"/>
      <w:bookmarkEnd w:id="93"/>
      <w:bookmarkStart w:id="94" w:name="_Toc184308052"/>
      <w:bookmarkEnd w:id="94"/>
      <w:bookmarkStart w:id="95" w:name="_Toc184313283"/>
      <w:bookmarkEnd w:id="95"/>
      <w:bookmarkStart w:id="96" w:name="_Toc184314454"/>
      <w:bookmarkEnd w:id="96"/>
      <w:bookmarkStart w:id="97" w:name="_Toc184314471"/>
      <w:bookmarkEnd w:id="97"/>
      <w:bookmarkStart w:id="98" w:name="_Toc184308045"/>
      <w:bookmarkEnd w:id="98"/>
      <w:bookmarkStart w:id="99" w:name="_Toc184312110"/>
      <w:bookmarkEnd w:id="99"/>
      <w:bookmarkStart w:id="100" w:name="_Toc184313302"/>
      <w:bookmarkEnd w:id="100"/>
      <w:bookmarkStart w:id="101" w:name="_Toc184312103"/>
      <w:bookmarkEnd w:id="101"/>
      <w:bookmarkStart w:id="102" w:name="_Toc184312131"/>
      <w:bookmarkEnd w:id="102"/>
      <w:bookmarkStart w:id="103" w:name="_Toc184314469"/>
      <w:bookmarkEnd w:id="103"/>
      <w:bookmarkStart w:id="104" w:name="_Toc184314455"/>
      <w:bookmarkEnd w:id="104"/>
      <w:bookmarkStart w:id="105" w:name="_Toc184313269"/>
      <w:bookmarkEnd w:id="105"/>
      <w:bookmarkStart w:id="106" w:name="_Toc184308056"/>
      <w:bookmarkEnd w:id="106"/>
      <w:bookmarkStart w:id="107" w:name="_Toc184313309"/>
      <w:bookmarkEnd w:id="107"/>
      <w:bookmarkStart w:id="108" w:name="_Toc184308107"/>
      <w:bookmarkEnd w:id="108"/>
      <w:bookmarkStart w:id="109" w:name="_Toc184310288"/>
      <w:bookmarkEnd w:id="109"/>
      <w:bookmarkStart w:id="110" w:name="_Toc184310293"/>
      <w:bookmarkEnd w:id="110"/>
      <w:bookmarkStart w:id="111" w:name="_Toc184313280"/>
      <w:bookmarkEnd w:id="111"/>
      <w:bookmarkStart w:id="112" w:name="_Toc184314435"/>
      <w:bookmarkEnd w:id="112"/>
      <w:bookmarkStart w:id="113" w:name="_Toc184310307"/>
      <w:bookmarkEnd w:id="113"/>
      <w:bookmarkStart w:id="114" w:name="_Toc184310294"/>
      <w:bookmarkEnd w:id="114"/>
      <w:bookmarkStart w:id="115" w:name="_Toc184313307"/>
      <w:bookmarkEnd w:id="115"/>
      <w:bookmarkStart w:id="116" w:name="_Toc184312090"/>
      <w:bookmarkEnd w:id="116"/>
      <w:bookmarkStart w:id="117" w:name="_Toc184313292"/>
      <w:bookmarkEnd w:id="117"/>
      <w:bookmarkStart w:id="118" w:name="_Toc184308051"/>
      <w:bookmarkEnd w:id="118"/>
      <w:bookmarkStart w:id="119" w:name="_Toc184308099"/>
      <w:bookmarkEnd w:id="119"/>
      <w:bookmarkStart w:id="120" w:name="_Toc184312132"/>
      <w:bookmarkEnd w:id="120"/>
      <w:bookmarkStart w:id="121" w:name="_Toc184308103"/>
      <w:bookmarkEnd w:id="121"/>
      <w:bookmarkStart w:id="122" w:name="_Toc184308058"/>
      <w:bookmarkEnd w:id="122"/>
      <w:bookmarkStart w:id="123" w:name="_Toc184310330"/>
      <w:bookmarkEnd w:id="123"/>
      <w:bookmarkStart w:id="124" w:name="_Toc184308054"/>
      <w:bookmarkEnd w:id="124"/>
      <w:bookmarkStart w:id="125" w:name="_Toc184310300"/>
      <w:bookmarkEnd w:id="125"/>
      <w:bookmarkStart w:id="126" w:name="_Toc184308037"/>
      <w:bookmarkEnd w:id="126"/>
      <w:bookmarkStart w:id="127" w:name="_Toc184310313"/>
      <w:bookmarkEnd w:id="127"/>
      <w:bookmarkStart w:id="128" w:name="_Toc184308077"/>
      <w:bookmarkEnd w:id="128"/>
      <w:bookmarkStart w:id="129" w:name="_Toc184308092"/>
      <w:bookmarkEnd w:id="129"/>
      <w:bookmarkStart w:id="130" w:name="_Toc184313258"/>
      <w:bookmarkEnd w:id="130"/>
      <w:bookmarkStart w:id="131" w:name="_Toc184312124"/>
      <w:bookmarkEnd w:id="131"/>
      <w:bookmarkStart w:id="132" w:name="_Toc184313296"/>
      <w:bookmarkEnd w:id="132"/>
      <w:bookmarkStart w:id="133" w:name="_Toc184310333"/>
      <w:bookmarkEnd w:id="133"/>
      <w:bookmarkStart w:id="134" w:name="_Toc184313297"/>
      <w:bookmarkEnd w:id="134"/>
      <w:bookmarkStart w:id="135" w:name="_Toc184308098"/>
      <w:bookmarkEnd w:id="135"/>
      <w:bookmarkStart w:id="136" w:name="_Toc184308095"/>
      <w:bookmarkEnd w:id="136"/>
      <w:bookmarkStart w:id="137" w:name="_Toc184314430"/>
      <w:bookmarkEnd w:id="137"/>
      <w:bookmarkStart w:id="138" w:name="_Toc184313299"/>
      <w:bookmarkEnd w:id="138"/>
      <w:bookmarkStart w:id="139" w:name="_Toc184313240"/>
      <w:bookmarkEnd w:id="139"/>
      <w:bookmarkStart w:id="140" w:name="_Toc184312118"/>
      <w:bookmarkEnd w:id="140"/>
      <w:bookmarkStart w:id="141" w:name="_Toc184310309"/>
      <w:bookmarkEnd w:id="141"/>
      <w:bookmarkStart w:id="142" w:name="_Toc184313291"/>
      <w:bookmarkEnd w:id="142"/>
      <w:bookmarkStart w:id="143" w:name="_Toc184313293"/>
      <w:bookmarkEnd w:id="143"/>
      <w:bookmarkStart w:id="144" w:name="_Toc184310315"/>
      <w:bookmarkEnd w:id="144"/>
      <w:bookmarkStart w:id="145" w:name="_Toc184310306"/>
      <w:bookmarkEnd w:id="145"/>
      <w:bookmarkStart w:id="146" w:name="_Toc184308073"/>
      <w:bookmarkEnd w:id="146"/>
      <w:bookmarkStart w:id="147" w:name="_Toc184314425"/>
      <w:bookmarkEnd w:id="147"/>
      <w:bookmarkStart w:id="148" w:name="_Toc184312098"/>
      <w:bookmarkEnd w:id="148"/>
      <w:bookmarkStart w:id="149" w:name="_Toc184308078"/>
      <w:bookmarkEnd w:id="149"/>
      <w:bookmarkStart w:id="150" w:name="_Toc184310325"/>
      <w:bookmarkEnd w:id="150"/>
      <w:bookmarkStart w:id="151" w:name="_Toc184308093"/>
      <w:bookmarkEnd w:id="151"/>
      <w:bookmarkStart w:id="152" w:name="_Toc184313249"/>
      <w:bookmarkEnd w:id="152"/>
      <w:bookmarkStart w:id="153" w:name="_Toc184313278"/>
      <w:bookmarkEnd w:id="153"/>
      <w:bookmarkStart w:id="154" w:name="_Toc184313276"/>
      <w:bookmarkEnd w:id="154"/>
      <w:bookmarkStart w:id="155" w:name="_Toc184308104"/>
      <w:bookmarkEnd w:id="155"/>
      <w:bookmarkStart w:id="156" w:name="_Toc184310322"/>
      <w:bookmarkEnd w:id="156"/>
      <w:bookmarkStart w:id="157" w:name="_Toc184312116"/>
      <w:bookmarkEnd w:id="157"/>
      <w:bookmarkStart w:id="158" w:name="_Toc184314481"/>
      <w:bookmarkEnd w:id="158"/>
      <w:bookmarkStart w:id="159" w:name="_Toc184312114"/>
      <w:bookmarkEnd w:id="159"/>
      <w:bookmarkStart w:id="160" w:name="_Toc184314420"/>
      <w:bookmarkEnd w:id="160"/>
      <w:bookmarkStart w:id="161" w:name="_Toc184312126"/>
      <w:bookmarkEnd w:id="161"/>
      <w:bookmarkStart w:id="162" w:name="_Toc184310310"/>
      <w:bookmarkEnd w:id="162"/>
      <w:bookmarkStart w:id="163" w:name="_Toc184310286"/>
      <w:bookmarkEnd w:id="163"/>
      <w:bookmarkStart w:id="164" w:name="_Toc184313253"/>
      <w:bookmarkEnd w:id="164"/>
      <w:bookmarkStart w:id="165" w:name="_Toc184312069"/>
      <w:bookmarkEnd w:id="165"/>
      <w:bookmarkStart w:id="166" w:name="_Toc184312083"/>
      <w:bookmarkEnd w:id="166"/>
      <w:bookmarkStart w:id="167" w:name="_Toc184312128"/>
      <w:bookmarkEnd w:id="167"/>
      <w:bookmarkStart w:id="168" w:name="_Toc184314456"/>
      <w:bookmarkEnd w:id="168"/>
      <w:bookmarkStart w:id="169" w:name="_Toc184313279"/>
      <w:bookmarkEnd w:id="169"/>
      <w:bookmarkStart w:id="170" w:name="_Toc184313303"/>
      <w:bookmarkEnd w:id="170"/>
      <w:bookmarkStart w:id="171" w:name="_Toc184313273"/>
      <w:bookmarkEnd w:id="171"/>
      <w:bookmarkStart w:id="172" w:name="_Toc184310320"/>
      <w:bookmarkEnd w:id="172"/>
      <w:bookmarkStart w:id="173" w:name="_Toc184312108"/>
      <w:bookmarkEnd w:id="173"/>
      <w:bookmarkStart w:id="174" w:name="_Toc184313263"/>
      <w:bookmarkEnd w:id="174"/>
      <w:bookmarkStart w:id="175" w:name="_Toc184310280"/>
      <w:bookmarkEnd w:id="175"/>
      <w:bookmarkStart w:id="176" w:name="_Toc184314413"/>
      <w:bookmarkEnd w:id="176"/>
      <w:bookmarkStart w:id="177" w:name="_Toc184313310"/>
      <w:bookmarkEnd w:id="177"/>
      <w:bookmarkStart w:id="178" w:name="_Toc184310321"/>
      <w:bookmarkEnd w:id="178"/>
      <w:bookmarkStart w:id="179" w:name="_Toc184312122"/>
      <w:bookmarkEnd w:id="179"/>
      <w:bookmarkStart w:id="180" w:name="_Toc184313250"/>
      <w:bookmarkEnd w:id="180"/>
      <w:bookmarkStart w:id="181" w:name="_Toc184310340"/>
      <w:bookmarkEnd w:id="181"/>
      <w:bookmarkStart w:id="182" w:name="_Toc184308108"/>
      <w:bookmarkEnd w:id="182"/>
      <w:bookmarkStart w:id="183" w:name="_Toc184310297"/>
      <w:bookmarkEnd w:id="183"/>
      <w:bookmarkStart w:id="184" w:name="_Toc184312087"/>
      <w:bookmarkEnd w:id="184"/>
      <w:bookmarkStart w:id="185" w:name="_Toc184314457"/>
      <w:bookmarkEnd w:id="185"/>
      <w:bookmarkStart w:id="186" w:name="_Toc184313265"/>
      <w:bookmarkEnd w:id="186"/>
      <w:bookmarkStart w:id="187" w:name="_Toc184312068"/>
      <w:bookmarkEnd w:id="187"/>
      <w:bookmarkStart w:id="188" w:name="_Toc184310305"/>
      <w:bookmarkEnd w:id="188"/>
      <w:bookmarkStart w:id="189" w:name="_Toc184314466"/>
      <w:bookmarkEnd w:id="189"/>
      <w:bookmarkStart w:id="190" w:name="_Toc184312121"/>
      <w:bookmarkEnd w:id="190"/>
      <w:bookmarkStart w:id="191" w:name="_Toc184312102"/>
      <w:bookmarkEnd w:id="191"/>
      <w:bookmarkStart w:id="192" w:name="_Toc184310308"/>
      <w:bookmarkEnd w:id="192"/>
      <w:bookmarkStart w:id="193" w:name="_Toc184312088"/>
      <w:bookmarkEnd w:id="193"/>
      <w:bookmarkStart w:id="194" w:name="_Toc184312109"/>
      <w:bookmarkEnd w:id="194"/>
      <w:bookmarkStart w:id="195" w:name="_Toc184314452"/>
      <w:bookmarkEnd w:id="195"/>
      <w:bookmarkStart w:id="196" w:name="_Toc184313298"/>
      <w:bookmarkEnd w:id="196"/>
      <w:bookmarkStart w:id="197" w:name="_Toc184314427"/>
      <w:bookmarkEnd w:id="197"/>
      <w:bookmarkStart w:id="198" w:name="_Toc184310304"/>
      <w:bookmarkEnd w:id="198"/>
      <w:bookmarkStart w:id="199" w:name="_Toc184313287"/>
      <w:bookmarkEnd w:id="199"/>
      <w:bookmarkStart w:id="200" w:name="_Toc184308047"/>
      <w:bookmarkEnd w:id="200"/>
      <w:bookmarkStart w:id="201" w:name="_Toc184314436"/>
      <w:bookmarkEnd w:id="201"/>
      <w:bookmarkStart w:id="202" w:name="_Toc184312134"/>
      <w:bookmarkEnd w:id="202"/>
      <w:bookmarkStart w:id="203" w:name="_Toc184308042"/>
      <w:bookmarkEnd w:id="203"/>
      <w:bookmarkStart w:id="204" w:name="_Toc184308068"/>
      <w:bookmarkEnd w:id="204"/>
      <w:bookmarkStart w:id="205" w:name="_Toc184314459"/>
      <w:bookmarkEnd w:id="205"/>
      <w:bookmarkStart w:id="206" w:name="_Toc184312100"/>
      <w:bookmarkEnd w:id="206"/>
      <w:bookmarkStart w:id="207" w:name="_Toc184308038"/>
      <w:bookmarkEnd w:id="207"/>
      <w:bookmarkStart w:id="208" w:name="_Toc184310274"/>
      <w:bookmarkEnd w:id="208"/>
      <w:bookmarkStart w:id="209" w:name="_Toc184312096"/>
      <w:bookmarkEnd w:id="209"/>
      <w:bookmarkStart w:id="210" w:name="_Toc184308049"/>
      <w:bookmarkEnd w:id="210"/>
      <w:bookmarkStart w:id="211" w:name="_Toc184312136"/>
      <w:bookmarkEnd w:id="211"/>
      <w:bookmarkStart w:id="212" w:name="_Toc184312137"/>
      <w:bookmarkEnd w:id="212"/>
      <w:bookmarkStart w:id="213" w:name="_Toc184314476"/>
      <w:bookmarkEnd w:id="213"/>
      <w:bookmarkStart w:id="214" w:name="_Toc184312113"/>
      <w:bookmarkEnd w:id="214"/>
      <w:bookmarkStart w:id="215" w:name="_Toc184313304"/>
      <w:bookmarkEnd w:id="215"/>
      <w:bookmarkStart w:id="216" w:name="_Toc184308102"/>
      <w:bookmarkEnd w:id="216"/>
      <w:bookmarkStart w:id="217" w:name="_Toc184314411"/>
      <w:bookmarkEnd w:id="217"/>
      <w:bookmarkStart w:id="218" w:name="_Toc184310334"/>
      <w:bookmarkEnd w:id="218"/>
      <w:bookmarkStart w:id="219" w:name="_Toc184314449"/>
      <w:bookmarkEnd w:id="219"/>
      <w:bookmarkStart w:id="220" w:name="_Toc184314443"/>
      <w:bookmarkEnd w:id="220"/>
      <w:bookmarkStart w:id="221" w:name="_Toc184313274"/>
      <w:bookmarkEnd w:id="221"/>
      <w:bookmarkStart w:id="222" w:name="_Toc184312099"/>
      <w:bookmarkEnd w:id="222"/>
      <w:bookmarkStart w:id="223" w:name="_Toc184313282"/>
      <w:bookmarkEnd w:id="223"/>
      <w:bookmarkStart w:id="224" w:name="_Toc184310328"/>
      <w:bookmarkEnd w:id="224"/>
      <w:bookmarkStart w:id="225" w:name="_Toc184308041"/>
      <w:bookmarkEnd w:id="225"/>
      <w:bookmarkStart w:id="226" w:name="_Toc184314417"/>
      <w:bookmarkEnd w:id="226"/>
      <w:bookmarkStart w:id="227" w:name="_Toc184314480"/>
      <w:bookmarkEnd w:id="227"/>
      <w:bookmarkStart w:id="228" w:name="_Toc184308044"/>
      <w:bookmarkEnd w:id="228"/>
      <w:bookmarkStart w:id="229" w:name="_Toc184310301"/>
      <w:bookmarkEnd w:id="229"/>
      <w:bookmarkStart w:id="230" w:name="_Toc184308064"/>
      <w:bookmarkEnd w:id="230"/>
      <w:bookmarkStart w:id="231" w:name="_Toc184310284"/>
      <w:bookmarkEnd w:id="231"/>
      <w:bookmarkStart w:id="232" w:name="_Toc184314460"/>
      <w:bookmarkEnd w:id="232"/>
      <w:bookmarkStart w:id="233" w:name="_Toc184314428"/>
      <w:bookmarkEnd w:id="233"/>
      <w:bookmarkStart w:id="234" w:name="_Toc184314415"/>
      <w:bookmarkEnd w:id="234"/>
      <w:bookmarkStart w:id="235" w:name="_Toc184314414"/>
      <w:bookmarkEnd w:id="235"/>
      <w:bookmarkStart w:id="236" w:name="_Toc184310299"/>
      <w:bookmarkEnd w:id="236"/>
      <w:bookmarkStart w:id="237" w:name="_Toc184308039"/>
      <w:bookmarkEnd w:id="237"/>
      <w:bookmarkStart w:id="238" w:name="_Toc184314442"/>
      <w:bookmarkEnd w:id="238"/>
      <w:bookmarkStart w:id="239" w:name="_Toc184314472"/>
      <w:bookmarkEnd w:id="239"/>
      <w:bookmarkStart w:id="240" w:name="_Toc184314432"/>
      <w:bookmarkEnd w:id="240"/>
      <w:bookmarkStart w:id="241" w:name="_Toc184308066"/>
      <w:bookmarkEnd w:id="241"/>
      <w:bookmarkStart w:id="242" w:name="_Toc184312078"/>
      <w:bookmarkEnd w:id="242"/>
      <w:bookmarkStart w:id="243" w:name="_Toc184312079"/>
      <w:bookmarkEnd w:id="243"/>
      <w:bookmarkStart w:id="244" w:name="_Toc184308100"/>
      <w:bookmarkEnd w:id="244"/>
      <w:bookmarkStart w:id="245" w:name="_Toc184312073"/>
      <w:bookmarkEnd w:id="245"/>
      <w:bookmarkStart w:id="246" w:name="_Toc184310283"/>
      <w:bookmarkEnd w:id="246"/>
      <w:bookmarkStart w:id="247" w:name="_Toc184313244"/>
      <w:bookmarkEnd w:id="247"/>
      <w:bookmarkStart w:id="248" w:name="_Toc184313261"/>
      <w:bookmarkEnd w:id="248"/>
      <w:bookmarkStart w:id="249" w:name="_Toc184313247"/>
      <w:bookmarkEnd w:id="249"/>
      <w:bookmarkStart w:id="250" w:name="_Toc184310331"/>
      <w:bookmarkEnd w:id="250"/>
      <w:bookmarkStart w:id="251" w:name="_Toc184313295"/>
      <w:bookmarkEnd w:id="251"/>
      <w:bookmarkStart w:id="252" w:name="_Toc184308079"/>
      <w:bookmarkEnd w:id="252"/>
      <w:bookmarkStart w:id="253" w:name="_Toc184314475"/>
      <w:bookmarkEnd w:id="253"/>
      <w:bookmarkStart w:id="254" w:name="_Toc184308094"/>
      <w:bookmarkEnd w:id="254"/>
      <w:bookmarkStart w:id="255" w:name="_Toc184314465"/>
      <w:bookmarkEnd w:id="255"/>
      <w:bookmarkStart w:id="256" w:name="_Toc184312127"/>
      <w:bookmarkEnd w:id="256"/>
      <w:bookmarkStart w:id="257" w:name="_Toc184308040"/>
      <w:bookmarkEnd w:id="257"/>
      <w:bookmarkStart w:id="258" w:name="_Toc184312123"/>
      <w:bookmarkEnd w:id="258"/>
      <w:bookmarkStart w:id="259" w:name="_Toc184312091"/>
      <w:bookmarkEnd w:id="259"/>
      <w:bookmarkStart w:id="260" w:name="_Toc184308088"/>
      <w:bookmarkEnd w:id="260"/>
      <w:bookmarkStart w:id="261" w:name="_Toc184308085"/>
      <w:bookmarkEnd w:id="261"/>
      <w:bookmarkStart w:id="262" w:name="_Toc184310303"/>
      <w:bookmarkEnd w:id="262"/>
      <w:bookmarkStart w:id="263" w:name="_Toc184308067"/>
      <w:bookmarkEnd w:id="263"/>
      <w:bookmarkStart w:id="264" w:name="_Toc184308105"/>
      <w:bookmarkEnd w:id="264"/>
      <w:bookmarkStart w:id="265" w:name="_Toc184308089"/>
      <w:bookmarkEnd w:id="265"/>
      <w:bookmarkStart w:id="266" w:name="_Toc184312067"/>
      <w:bookmarkEnd w:id="266"/>
      <w:bookmarkStart w:id="267" w:name="_Toc184314439"/>
      <w:bookmarkEnd w:id="267"/>
      <w:bookmarkStart w:id="268" w:name="_Toc184312125"/>
      <w:bookmarkEnd w:id="268"/>
      <w:bookmarkStart w:id="269" w:name="_Toc184308065"/>
      <w:bookmarkEnd w:id="269"/>
      <w:bookmarkStart w:id="270" w:name="_Toc184312085"/>
      <w:bookmarkEnd w:id="270"/>
      <w:bookmarkStart w:id="271" w:name="_Toc184308055"/>
      <w:bookmarkEnd w:id="271"/>
      <w:bookmarkStart w:id="272" w:name="_Toc184308062"/>
      <w:bookmarkEnd w:id="272"/>
      <w:bookmarkStart w:id="273" w:name="_Toc184312076"/>
      <w:bookmarkEnd w:id="273"/>
      <w:bookmarkStart w:id="274" w:name="_Toc184313270"/>
      <w:bookmarkEnd w:id="274"/>
      <w:bookmarkStart w:id="275" w:name="_Toc184313308"/>
      <w:bookmarkEnd w:id="275"/>
      <w:bookmarkStart w:id="276" w:name="_Toc184310296"/>
      <w:bookmarkEnd w:id="276"/>
      <w:bookmarkStart w:id="277" w:name="_Toc184313285"/>
      <w:bookmarkEnd w:id="277"/>
      <w:bookmarkStart w:id="278" w:name="_Toc184313242"/>
      <w:bookmarkEnd w:id="278"/>
      <w:bookmarkStart w:id="279" w:name="_Toc184312104"/>
      <w:bookmarkEnd w:id="279"/>
      <w:bookmarkStart w:id="280" w:name="_Toc184310278"/>
      <w:bookmarkEnd w:id="280"/>
      <w:bookmarkStart w:id="281" w:name="_Toc184314468"/>
      <w:bookmarkEnd w:id="281"/>
      <w:bookmarkStart w:id="282" w:name="_Toc184313251"/>
      <w:bookmarkEnd w:id="282"/>
      <w:bookmarkStart w:id="283" w:name="_Toc184310277"/>
      <w:bookmarkEnd w:id="283"/>
      <w:bookmarkStart w:id="284" w:name="_Toc184312094"/>
      <w:bookmarkEnd w:id="284"/>
      <w:bookmarkStart w:id="285" w:name="_Toc184314423"/>
      <w:bookmarkEnd w:id="285"/>
      <w:bookmarkStart w:id="286" w:name="_Toc184314447"/>
      <w:bookmarkEnd w:id="286"/>
      <w:bookmarkStart w:id="287" w:name="_Toc184312071"/>
      <w:bookmarkEnd w:id="287"/>
      <w:bookmarkStart w:id="288" w:name="_Toc184310291"/>
      <w:bookmarkEnd w:id="288"/>
      <w:bookmarkStart w:id="289" w:name="_Toc184312077"/>
      <w:bookmarkEnd w:id="289"/>
      <w:bookmarkStart w:id="290" w:name="_Toc184314470"/>
      <w:bookmarkEnd w:id="290"/>
      <w:bookmarkStart w:id="291" w:name="_Toc184314446"/>
      <w:bookmarkEnd w:id="291"/>
      <w:bookmarkStart w:id="292" w:name="_Toc184310273"/>
      <w:bookmarkEnd w:id="292"/>
      <w:bookmarkStart w:id="293" w:name="_Toc184314461"/>
      <w:bookmarkEnd w:id="293"/>
      <w:bookmarkStart w:id="294" w:name="_Toc184314412"/>
      <w:bookmarkEnd w:id="294"/>
      <w:bookmarkStart w:id="295" w:name="_Toc184313300"/>
      <w:bookmarkEnd w:id="295"/>
      <w:bookmarkStart w:id="296" w:name="_Toc184308075"/>
      <w:bookmarkEnd w:id="296"/>
      <w:bookmarkStart w:id="297" w:name="_Toc184313256"/>
      <w:bookmarkEnd w:id="297"/>
      <w:bookmarkStart w:id="298" w:name="_Toc184310319"/>
      <w:bookmarkEnd w:id="298"/>
      <w:bookmarkStart w:id="299" w:name="_Toc184308084"/>
      <w:bookmarkEnd w:id="299"/>
      <w:bookmarkStart w:id="300" w:name="_Toc184312130"/>
      <w:bookmarkEnd w:id="300"/>
      <w:bookmarkStart w:id="301" w:name="_Toc184314440"/>
      <w:bookmarkEnd w:id="301"/>
      <w:bookmarkStart w:id="302" w:name="_Toc184308087"/>
      <w:bookmarkEnd w:id="302"/>
      <w:bookmarkStart w:id="303" w:name="_Toc184310341"/>
      <w:bookmarkEnd w:id="303"/>
      <w:bookmarkStart w:id="304" w:name="_Toc184314474"/>
      <w:bookmarkEnd w:id="304"/>
      <w:bookmarkStart w:id="305" w:name="_Toc184314424"/>
      <w:bookmarkEnd w:id="305"/>
      <w:bookmarkStart w:id="306" w:name="_Toc184312129"/>
      <w:bookmarkEnd w:id="306"/>
      <w:bookmarkStart w:id="307" w:name="_Toc184308046"/>
      <w:bookmarkEnd w:id="307"/>
      <w:bookmarkStart w:id="308" w:name="_Toc184314467"/>
      <w:bookmarkEnd w:id="308"/>
      <w:bookmarkStart w:id="309" w:name="_Toc184314453"/>
      <w:bookmarkEnd w:id="309"/>
      <w:bookmarkStart w:id="310" w:name="_Toc184313294"/>
      <w:bookmarkEnd w:id="310"/>
      <w:bookmarkStart w:id="311" w:name="_Toc184312097"/>
      <w:bookmarkEnd w:id="311"/>
      <w:bookmarkStart w:id="312" w:name="_Toc184312120"/>
      <w:bookmarkEnd w:id="312"/>
      <w:bookmarkStart w:id="313" w:name="_Toc184308061"/>
      <w:bookmarkEnd w:id="313"/>
      <w:bookmarkStart w:id="314" w:name="_Toc184308043"/>
      <w:bookmarkEnd w:id="314"/>
      <w:bookmarkStart w:id="315" w:name="_Toc184312089"/>
      <w:bookmarkEnd w:id="315"/>
      <w:bookmarkStart w:id="316" w:name="_Toc184314441"/>
      <w:bookmarkEnd w:id="316"/>
      <w:bookmarkStart w:id="317" w:name="_Toc184314419"/>
      <w:bookmarkEnd w:id="317"/>
      <w:bookmarkStart w:id="318" w:name="_Toc184310316"/>
      <w:bookmarkEnd w:id="318"/>
      <w:bookmarkStart w:id="319" w:name="_Toc184310311"/>
      <w:bookmarkEnd w:id="319"/>
      <w:bookmarkStart w:id="320" w:name="_Toc184313246"/>
      <w:bookmarkEnd w:id="320"/>
      <w:bookmarkStart w:id="321" w:name="_Toc184310276"/>
      <w:bookmarkEnd w:id="321"/>
      <w:bookmarkStart w:id="322" w:name="_Toc184310324"/>
      <w:bookmarkEnd w:id="322"/>
      <w:bookmarkStart w:id="323" w:name="_Toc184314438"/>
      <w:bookmarkEnd w:id="323"/>
      <w:bookmarkStart w:id="324" w:name="_Toc184314463"/>
      <w:bookmarkEnd w:id="324"/>
      <w:bookmarkStart w:id="325" w:name="_Toc184314482"/>
      <w:bookmarkEnd w:id="325"/>
      <w:bookmarkStart w:id="326" w:name="_Toc184314434"/>
      <w:bookmarkEnd w:id="326"/>
      <w:bookmarkStart w:id="327" w:name="_Toc184314458"/>
      <w:bookmarkEnd w:id="327"/>
      <w:bookmarkStart w:id="328" w:name="_Toc184308048"/>
      <w:bookmarkEnd w:id="328"/>
      <w:bookmarkStart w:id="329" w:name="_Toc184314477"/>
      <w:bookmarkEnd w:id="329"/>
      <w:bookmarkStart w:id="330" w:name="_Toc184314479"/>
      <w:bookmarkEnd w:id="330"/>
      <w:bookmarkStart w:id="331" w:name="_Toc184313254"/>
      <w:bookmarkEnd w:id="331"/>
      <w:bookmarkStart w:id="332" w:name="_Toc184308096"/>
      <w:bookmarkEnd w:id="332"/>
      <w:bookmarkStart w:id="333" w:name="_Toc184313266"/>
      <w:bookmarkEnd w:id="333"/>
      <w:bookmarkStart w:id="334" w:name="_Toc184314416"/>
      <w:bookmarkEnd w:id="334"/>
      <w:bookmarkStart w:id="335" w:name="_Toc184308057"/>
      <w:bookmarkEnd w:id="335"/>
      <w:bookmarkStart w:id="336" w:name="_Toc184312112"/>
      <w:bookmarkEnd w:id="336"/>
      <w:bookmarkStart w:id="337" w:name="_Toc184313257"/>
      <w:bookmarkEnd w:id="337"/>
      <w:bookmarkStart w:id="338" w:name="_Toc184312095"/>
      <w:bookmarkEnd w:id="338"/>
      <w:bookmarkStart w:id="339" w:name="_Toc184313245"/>
      <w:bookmarkEnd w:id="339"/>
      <w:bookmarkStart w:id="340" w:name="_Toc184310290"/>
      <w:bookmarkEnd w:id="340"/>
      <w:bookmarkStart w:id="341" w:name="_Toc184310337"/>
      <w:bookmarkEnd w:id="341"/>
      <w:bookmarkStart w:id="342" w:name="_Toc184310275"/>
      <w:bookmarkEnd w:id="342"/>
      <w:bookmarkStart w:id="343" w:name="_Toc184310326"/>
      <w:bookmarkEnd w:id="343"/>
      <w:bookmarkStart w:id="344" w:name="_Toc184308081"/>
      <w:bookmarkEnd w:id="344"/>
      <w:bookmarkStart w:id="345" w:name="_Toc184314418"/>
      <w:bookmarkEnd w:id="345"/>
      <w:bookmarkStart w:id="346" w:name="_Toc184314462"/>
      <w:bookmarkEnd w:id="346"/>
      <w:bookmarkStart w:id="347" w:name="_Toc184310287"/>
      <w:bookmarkEnd w:id="347"/>
      <w:bookmarkStart w:id="348" w:name="_Toc184313267"/>
      <w:bookmarkEnd w:id="348"/>
      <w:bookmarkStart w:id="349" w:name="_Toc184313288"/>
      <w:bookmarkEnd w:id="349"/>
      <w:bookmarkStart w:id="350" w:name="_Toc184308071"/>
      <w:bookmarkEnd w:id="350"/>
      <w:bookmarkStart w:id="351" w:name="_Toc184312139"/>
      <w:bookmarkEnd w:id="351"/>
      <w:bookmarkStart w:id="352" w:name="_Toc184312081"/>
      <w:bookmarkEnd w:id="352"/>
      <w:bookmarkStart w:id="353" w:name="_Toc184310344"/>
      <w:bookmarkEnd w:id="353"/>
      <w:bookmarkStart w:id="354" w:name="_Toc184308083"/>
      <w:bookmarkEnd w:id="354"/>
      <w:bookmarkStart w:id="355" w:name="_Toc184314450"/>
      <w:bookmarkEnd w:id="355"/>
      <w:bookmarkStart w:id="356" w:name="_Toc184308091"/>
      <w:bookmarkEnd w:id="356"/>
      <w:bookmarkStart w:id="357" w:name="_Toc184308090"/>
      <w:bookmarkEnd w:id="357"/>
      <w:bookmarkStart w:id="358" w:name="_Toc184314478"/>
      <w:bookmarkEnd w:id="358"/>
      <w:bookmarkStart w:id="359" w:name="_Toc184314473"/>
      <w:bookmarkEnd w:id="359"/>
      <w:bookmarkStart w:id="360" w:name="_Toc184310314"/>
      <w:bookmarkEnd w:id="360"/>
      <w:bookmarkStart w:id="361" w:name="_Toc184313301"/>
      <w:bookmarkEnd w:id="361"/>
      <w:bookmarkStart w:id="362" w:name="_Toc184314444"/>
      <w:bookmarkEnd w:id="362"/>
      <w:bookmarkStart w:id="363" w:name="_Toc184312084"/>
      <w:bookmarkEnd w:id="363"/>
      <w:bookmarkStart w:id="364" w:name="_Toc184310312"/>
      <w:bookmarkEnd w:id="364"/>
      <w:bookmarkStart w:id="365" w:name="_Toc184313238"/>
      <w:bookmarkEnd w:id="365"/>
      <w:bookmarkStart w:id="366" w:name="_Toc184312138"/>
      <w:bookmarkEnd w:id="366"/>
      <w:bookmarkStart w:id="367" w:name="_Toc184314433"/>
      <w:bookmarkEnd w:id="367"/>
      <w:bookmarkStart w:id="368" w:name="_Toc184310339"/>
      <w:bookmarkEnd w:id="368"/>
      <w:bookmarkStart w:id="369" w:name="_Toc184312106"/>
      <w:bookmarkEnd w:id="369"/>
      <w:bookmarkStart w:id="370" w:name="_Toc184308106"/>
      <w:bookmarkEnd w:id="370"/>
      <w:bookmarkStart w:id="371" w:name="_Toc184312093"/>
      <w:bookmarkEnd w:id="371"/>
      <w:bookmarkStart w:id="372" w:name="_Toc184310342"/>
      <w:bookmarkEnd w:id="372"/>
      <w:bookmarkStart w:id="373" w:name="_Toc184310317"/>
      <w:bookmarkEnd w:id="373"/>
      <w:bookmarkStart w:id="374" w:name="_Toc184310279"/>
      <w:bookmarkEnd w:id="374"/>
      <w:bookmarkStart w:id="375" w:name="_Toc184312082"/>
      <w:bookmarkEnd w:id="375"/>
      <w:bookmarkStart w:id="376" w:name="_Toc184314431"/>
      <w:bookmarkEnd w:id="376"/>
      <w:bookmarkStart w:id="377" w:name="_Toc184312075"/>
      <w:bookmarkEnd w:id="377"/>
      <w:bookmarkStart w:id="378" w:name="_Toc184310329"/>
      <w:bookmarkEnd w:id="378"/>
      <w:bookmarkStart w:id="379" w:name="_Toc184310335"/>
      <w:bookmarkEnd w:id="379"/>
      <w:bookmarkStart w:id="380" w:name="_Toc184313239"/>
      <w:bookmarkEnd w:id="380"/>
      <w:bookmarkStart w:id="381" w:name="_Toc184312111"/>
      <w:bookmarkEnd w:id="381"/>
      <w:bookmarkStart w:id="382" w:name="_Toc184313260"/>
      <w:bookmarkEnd w:id="382"/>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 w:eastAsia="仿宋_GB2312" w:cs="Arial"/>
          <w:kern w:val="0"/>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tbl>
      <w:tblPr>
        <w:tblStyle w:val="63"/>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103"/>
        <w:gridCol w:w="1317"/>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序号</w:t>
            </w:r>
          </w:p>
        </w:tc>
        <w:tc>
          <w:tcPr>
            <w:tcW w:w="6103"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评分内容和标准</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权重</w:t>
            </w:r>
          </w:p>
        </w:tc>
        <w:tc>
          <w:tcPr>
            <w:tcW w:w="1749"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color w:val="000000"/>
                <w:kern w:val="0"/>
                <w:sz w:val="20"/>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9" w:type="dxa"/>
            <w:vMerge w:val="restart"/>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商务资信（23分）</w:t>
            </w:r>
          </w:p>
        </w:tc>
        <w:tc>
          <w:tcPr>
            <w:tcW w:w="6103" w:type="dxa"/>
            <w:vAlign w:val="center"/>
          </w:tcPr>
          <w:p>
            <w:pPr>
              <w:widowControl/>
              <w:rPr>
                <w:rFonts w:ascii="仿宋" w:hAnsi="仿宋" w:eastAsia="仿宋" w:cs="仿宋"/>
                <w:color w:val="000000"/>
                <w:szCs w:val="21"/>
              </w:rPr>
            </w:pPr>
            <w:r>
              <w:rPr>
                <w:rFonts w:hint="eastAsia" w:ascii="仿宋" w:hAnsi="仿宋" w:eastAsia="仿宋" w:cs="仿宋"/>
                <w:color w:val="000000"/>
                <w:szCs w:val="21"/>
              </w:rPr>
              <w:t>投标人具有ISO13485医疗器械质量管理体系认证、ISO9001质量管理体系认证、ISO45001职业健康安全体系认证、ISO14001环境质量管理体系认证、ISO27001信息安全管理质量体系认证、GB/T29490知识产权管理体系认证、5星级售后服务认证，提供证书复印件，每提供一项得1分，最高7分。</w:t>
            </w:r>
          </w:p>
        </w:tc>
        <w:tc>
          <w:tcPr>
            <w:tcW w:w="1317" w:type="dxa"/>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7分</w:t>
            </w:r>
          </w:p>
        </w:tc>
        <w:tc>
          <w:tcPr>
            <w:tcW w:w="1749" w:type="dxa"/>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9" w:type="dxa"/>
            <w:vMerge w:val="continue"/>
            <w:vAlign w:val="center"/>
          </w:tcPr>
          <w:p>
            <w:pPr>
              <w:widowControl/>
              <w:adjustRightInd/>
              <w:spacing w:line="280" w:lineRule="exact"/>
              <w:jc w:val="center"/>
              <w:rPr>
                <w:rFonts w:ascii="仿宋" w:hAnsi="仿宋" w:eastAsia="仿宋" w:cs="仿宋"/>
                <w:kern w:val="0"/>
                <w:szCs w:val="21"/>
              </w:rPr>
            </w:pPr>
          </w:p>
        </w:tc>
        <w:tc>
          <w:tcPr>
            <w:tcW w:w="6103" w:type="dxa"/>
            <w:vAlign w:val="center"/>
          </w:tcPr>
          <w:p>
            <w:pPr>
              <w:widowControl/>
              <w:rPr>
                <w:rFonts w:ascii="仿宋" w:hAnsi="仿宋" w:eastAsia="仿宋" w:cs="仿宋"/>
                <w:color w:val="000000"/>
                <w:szCs w:val="21"/>
              </w:rPr>
            </w:pPr>
            <w:r>
              <w:rPr>
                <w:rFonts w:hint="eastAsia" w:ascii="仿宋" w:hAnsi="仿宋" w:eastAsia="仿宋" w:cs="仿宋"/>
                <w:color w:val="000000"/>
                <w:szCs w:val="21"/>
              </w:rPr>
              <w:t>投标人具有在省级质量与标准化平台建立通过审核的医疗设备维修保养服务规范的企业标准，每提供一类通过审核的医疗设备维保服务企业标准的1分，最高5分；不提供者不得分。（投标文件中需提供省级质量与标准化平台上备案并审核通过的企业标准编号及二维码，并提供查询链接）</w:t>
            </w:r>
          </w:p>
        </w:tc>
        <w:tc>
          <w:tcPr>
            <w:tcW w:w="1317" w:type="dxa"/>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5分</w:t>
            </w:r>
          </w:p>
        </w:tc>
        <w:tc>
          <w:tcPr>
            <w:tcW w:w="1749" w:type="dxa"/>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9" w:type="dxa"/>
            <w:vMerge w:val="continue"/>
            <w:vAlign w:val="center"/>
          </w:tcPr>
          <w:p>
            <w:pPr>
              <w:widowControl/>
              <w:adjustRightInd/>
              <w:spacing w:line="280" w:lineRule="exact"/>
              <w:jc w:val="center"/>
              <w:rPr>
                <w:rFonts w:ascii="仿宋" w:hAnsi="仿宋" w:eastAsia="仿宋" w:cs="仿宋"/>
                <w:kern w:val="0"/>
                <w:szCs w:val="21"/>
              </w:rPr>
            </w:pPr>
          </w:p>
        </w:tc>
        <w:tc>
          <w:tcPr>
            <w:tcW w:w="6103" w:type="dxa"/>
            <w:vAlign w:val="center"/>
          </w:tcPr>
          <w:p>
            <w:pPr>
              <w:rPr>
                <w:rFonts w:ascii="仿宋" w:hAnsi="仿宋" w:eastAsia="仿宋" w:cs="仿宋"/>
                <w:color w:val="000000"/>
                <w:szCs w:val="21"/>
              </w:rPr>
            </w:pPr>
            <w:r>
              <w:rPr>
                <w:rFonts w:hint="eastAsia" w:ascii="仿宋" w:hAnsi="仿宋" w:eastAsia="仿宋" w:cs="仿宋"/>
                <w:color w:val="000000"/>
                <w:szCs w:val="21"/>
              </w:rPr>
              <w:t>投标人拥有3A级信用单位、重合同守信用单位等资质信用证书，每提供一项得0.5分，最高1分；不提供者不得分。</w:t>
            </w:r>
          </w:p>
        </w:tc>
        <w:tc>
          <w:tcPr>
            <w:tcW w:w="1317" w:type="dxa"/>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1分</w:t>
            </w:r>
          </w:p>
        </w:tc>
        <w:tc>
          <w:tcPr>
            <w:tcW w:w="1749" w:type="dxa"/>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9" w:type="dxa"/>
            <w:vMerge w:val="continue"/>
            <w:vAlign w:val="center"/>
          </w:tcPr>
          <w:p>
            <w:pPr>
              <w:widowControl/>
              <w:adjustRightInd/>
              <w:spacing w:line="280" w:lineRule="exact"/>
              <w:jc w:val="center"/>
              <w:rPr>
                <w:rFonts w:ascii="仿宋" w:hAnsi="仿宋" w:eastAsia="仿宋" w:cs="仿宋"/>
                <w:kern w:val="0"/>
                <w:szCs w:val="21"/>
              </w:rPr>
            </w:pPr>
          </w:p>
        </w:tc>
        <w:tc>
          <w:tcPr>
            <w:tcW w:w="6103" w:type="dxa"/>
            <w:vAlign w:val="center"/>
          </w:tcPr>
          <w:p>
            <w:pPr>
              <w:rPr>
                <w:rFonts w:ascii="仿宋" w:hAnsi="仿宋" w:eastAsia="仿宋" w:cs="仿宋"/>
                <w:color w:val="000000"/>
                <w:szCs w:val="21"/>
              </w:rPr>
            </w:pPr>
            <w:r>
              <w:rPr>
                <w:rFonts w:hint="eastAsia" w:ascii="仿宋" w:hAnsi="仿宋" w:eastAsia="仿宋" w:cs="仿宋"/>
                <w:color w:val="000000"/>
                <w:szCs w:val="21"/>
              </w:rPr>
              <w:t>投标人具备中国合格评定国家认可委员会实验室认可证书，投标人具有证书并提供证书证明得5分；投标人不具备检测能力但能委托符合条件的第三方检测机构提供医学装备检测服务，提供承诺书和第三方机构出具的授权许可或委托协议得2分；不提供者不得分。</w:t>
            </w:r>
          </w:p>
        </w:tc>
        <w:tc>
          <w:tcPr>
            <w:tcW w:w="1317" w:type="dxa"/>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5分</w:t>
            </w:r>
          </w:p>
        </w:tc>
        <w:tc>
          <w:tcPr>
            <w:tcW w:w="1749" w:type="dxa"/>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9" w:type="dxa"/>
            <w:vMerge w:val="continue"/>
            <w:vAlign w:val="center"/>
          </w:tcPr>
          <w:p>
            <w:pPr>
              <w:widowControl/>
              <w:adjustRightInd/>
              <w:spacing w:line="280" w:lineRule="exact"/>
              <w:jc w:val="center"/>
              <w:rPr>
                <w:rFonts w:ascii="仿宋" w:hAnsi="仿宋" w:eastAsia="仿宋" w:cs="仿宋"/>
                <w:kern w:val="0"/>
                <w:szCs w:val="21"/>
              </w:rPr>
            </w:pPr>
          </w:p>
        </w:tc>
        <w:tc>
          <w:tcPr>
            <w:tcW w:w="6103" w:type="dxa"/>
            <w:vAlign w:val="center"/>
          </w:tcPr>
          <w:p>
            <w:pPr>
              <w:rPr>
                <w:rFonts w:ascii="仿宋" w:hAnsi="仿宋" w:eastAsia="仿宋" w:cs="仿宋"/>
                <w:color w:val="000000"/>
                <w:szCs w:val="21"/>
              </w:rPr>
            </w:pPr>
            <w:r>
              <w:rPr>
                <w:rFonts w:hint="eastAsia" w:ascii="仿宋" w:hAnsi="仿宋" w:eastAsia="仿宋" w:cs="仿宋"/>
                <w:color w:val="000000"/>
                <w:szCs w:val="21"/>
              </w:rPr>
              <w:t>投标人提供的管理软件具备医疗设备数据采集分析类、远程视频维修管理类，设备监控管理类、医疗器械供应商管理类自主著作权，为确保系统稳定运行，软件著作权证书颁发时间要求一年以上。每提供一类投标人自主知识产权的著作权证书得1分，最高4分，不提供者不得分。</w:t>
            </w:r>
          </w:p>
        </w:tc>
        <w:tc>
          <w:tcPr>
            <w:tcW w:w="1317" w:type="dxa"/>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4分</w:t>
            </w:r>
          </w:p>
        </w:tc>
        <w:tc>
          <w:tcPr>
            <w:tcW w:w="1749" w:type="dxa"/>
            <w:vAlign w:val="center"/>
          </w:tcPr>
          <w:p>
            <w:pPr>
              <w:widowControl/>
              <w:jc w:val="center"/>
              <w:rPr>
                <w:rFonts w:ascii="仿宋" w:hAnsi="仿宋" w:eastAsia="仿宋" w:cs="仿宋"/>
                <w:color w:val="000000"/>
                <w:szCs w:val="21"/>
              </w:rPr>
            </w:pPr>
            <w:r>
              <w:rPr>
                <w:rFonts w:hint="eastAsia" w:ascii="仿宋" w:hAnsi="仿宋" w:eastAsia="仿宋" w:cs="仿宋"/>
                <w:color w:val="00000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Merge w:val="continue"/>
            <w:vAlign w:val="center"/>
          </w:tcPr>
          <w:p>
            <w:pPr>
              <w:widowControl/>
              <w:adjustRightInd/>
              <w:spacing w:line="280" w:lineRule="exact"/>
              <w:jc w:val="center"/>
              <w:rPr>
                <w:rFonts w:ascii="仿宋" w:hAnsi="仿宋" w:eastAsia="仿宋" w:cs="仿宋"/>
                <w:kern w:val="0"/>
                <w:szCs w:val="21"/>
              </w:rPr>
            </w:pPr>
          </w:p>
        </w:tc>
        <w:tc>
          <w:tcPr>
            <w:tcW w:w="6103" w:type="dxa"/>
            <w:vAlign w:val="center"/>
          </w:tcPr>
          <w:p>
            <w:pPr>
              <w:pStyle w:val="25"/>
              <w:widowControl/>
              <w:spacing w:line="400" w:lineRule="exact"/>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投标人2019年1月起在全国有签署二级甲等及以上医院全院医疗设备管理服务业绩的（部分科室或者技术咨询合同不属于整体医疗设备售后服务合同），每个得0.5分，本项最高得1分，未提供得0分。（投标人在投标文件中须提供合同原件扫描件，并加盖投标人公章，否则不得分，时间以合同签订时间为准）</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1分</w:t>
            </w:r>
          </w:p>
        </w:tc>
        <w:tc>
          <w:tcPr>
            <w:tcW w:w="1749" w:type="dxa"/>
            <w:vAlign w:val="center"/>
          </w:tcPr>
          <w:p>
            <w:pPr>
              <w:widowControl/>
              <w:adjustRightInd/>
              <w:spacing w:line="280" w:lineRule="exact"/>
              <w:jc w:val="center"/>
              <w:rPr>
                <w:rFonts w:ascii="仿宋" w:hAnsi="仿宋" w:eastAsia="仿宋" w:cs="仿宋"/>
                <w:color w:val="000000"/>
                <w:kern w:val="0"/>
                <w:sz w:val="20"/>
                <w:szCs w:val="21"/>
              </w:rPr>
            </w:pPr>
            <w:r>
              <w:rPr>
                <w:rFonts w:hint="eastAsia" w:ascii="仿宋" w:hAnsi="仿宋" w:eastAsia="仿宋" w:cs="仿宋"/>
                <w:color w:val="000000"/>
                <w:kern w:val="0"/>
                <w:sz w:val="20"/>
                <w:szCs w:val="21"/>
              </w:rPr>
              <w:t>客观分</w:t>
            </w:r>
          </w:p>
        </w:tc>
      </w:tr>
    </w:tbl>
    <w:p>
      <w:pPr>
        <w:widowControl/>
        <w:jc w:val="left"/>
        <w:rPr>
          <w:rFonts w:ascii="仿宋" w:hAnsi="仿宋" w:eastAsia="仿宋" w:cs="仿宋"/>
          <w:b/>
          <w:bCs/>
          <w:sz w:val="24"/>
        </w:rPr>
      </w:pPr>
      <w:r>
        <w:rPr>
          <w:rFonts w:hint="eastAsia" w:ascii="仿宋" w:hAnsi="仿宋" w:eastAsia="仿宋" w:cs="仿宋"/>
          <w:b/>
          <w:bCs/>
          <w:sz w:val="24"/>
        </w:rPr>
        <w:t>2.技术部分（67分）：</w:t>
      </w:r>
    </w:p>
    <w:tbl>
      <w:tblPr>
        <w:tblStyle w:val="63"/>
        <w:tblW w:w="10235" w:type="dxa"/>
        <w:tblInd w:w="-658" w:type="dxa"/>
        <w:tblLayout w:type="fixed"/>
        <w:tblCellMar>
          <w:top w:w="0" w:type="dxa"/>
          <w:left w:w="108" w:type="dxa"/>
          <w:bottom w:w="0" w:type="dxa"/>
          <w:right w:w="108" w:type="dxa"/>
        </w:tblCellMar>
      </w:tblPr>
      <w:tblGrid>
        <w:gridCol w:w="1323"/>
        <w:gridCol w:w="567"/>
        <w:gridCol w:w="6383"/>
        <w:gridCol w:w="925"/>
        <w:gridCol w:w="1037"/>
      </w:tblGrid>
      <w:tr>
        <w:tblPrEx>
          <w:tblCellMar>
            <w:top w:w="0" w:type="dxa"/>
            <w:left w:w="108" w:type="dxa"/>
            <w:bottom w:w="0" w:type="dxa"/>
            <w:right w:w="108" w:type="dxa"/>
          </w:tblCellMar>
        </w:tblPrEx>
        <w:trPr>
          <w:trHeight w:val="709" w:hRule="atLeast"/>
        </w:trPr>
        <w:tc>
          <w:tcPr>
            <w:tcW w:w="1323"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序号</w:t>
            </w:r>
          </w:p>
        </w:tc>
        <w:tc>
          <w:tcPr>
            <w:tcW w:w="695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评分内容和标准</w:t>
            </w:r>
          </w:p>
        </w:tc>
        <w:tc>
          <w:tcPr>
            <w:tcW w:w="925"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权重</w:t>
            </w:r>
          </w:p>
        </w:tc>
        <w:tc>
          <w:tcPr>
            <w:tcW w:w="1037" w:type="dxa"/>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主观客观分</w:t>
            </w:r>
          </w:p>
        </w:tc>
      </w:tr>
      <w:tr>
        <w:tblPrEx>
          <w:tblCellMar>
            <w:top w:w="0" w:type="dxa"/>
            <w:left w:w="108" w:type="dxa"/>
            <w:bottom w:w="0" w:type="dxa"/>
            <w:right w:w="108" w:type="dxa"/>
          </w:tblCellMar>
        </w:tblPrEx>
        <w:trPr>
          <w:trHeight w:val="1527" w:hRule="atLeast"/>
        </w:trPr>
        <w:tc>
          <w:tcPr>
            <w:tcW w:w="1323" w:type="dxa"/>
            <w:vMerge w:val="restart"/>
            <w:tcBorders>
              <w:top w:val="nil"/>
              <w:left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技术分（67分）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kern w:val="0"/>
                <w:sz w:val="24"/>
              </w:rPr>
            </w:pPr>
            <w:r>
              <w:rPr>
                <w:rFonts w:hint="eastAsia" w:ascii="仿宋" w:hAnsi="仿宋" w:eastAsia="仿宋" w:cs="仿宋"/>
                <w:sz w:val="24"/>
              </w:rPr>
              <w:t>1</w:t>
            </w: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left"/>
              <w:rPr>
                <w:rFonts w:ascii="仿宋" w:hAnsi="仿宋" w:eastAsia="仿宋" w:cs="仿宋"/>
                <w:sz w:val="24"/>
              </w:rPr>
            </w:pPr>
            <w:r>
              <w:rPr>
                <w:rFonts w:hint="eastAsia" w:ascii="仿宋" w:hAnsi="仿宋" w:eastAsia="仿宋" w:cs="仿宋"/>
              </w:rPr>
              <w:t>提供的服务方案详尽明了，满足招标文件需求，全面、系统、科学，具体可行，工作流程、工作方法、制度和措施能够实质性满足采购方的项目需求。方案详细完善的得6-8分，方案较详细完善的得4-5.9分，方案不够详细完善的得2-3.9分。</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8分</w:t>
            </w:r>
          </w:p>
        </w:tc>
        <w:tc>
          <w:tcPr>
            <w:tcW w:w="10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主观分</w:t>
            </w:r>
          </w:p>
        </w:tc>
      </w:tr>
      <w:tr>
        <w:tblPrEx>
          <w:tblCellMar>
            <w:top w:w="0" w:type="dxa"/>
            <w:left w:w="108" w:type="dxa"/>
            <w:bottom w:w="0" w:type="dxa"/>
            <w:right w:w="108" w:type="dxa"/>
          </w:tblCellMar>
        </w:tblPrEx>
        <w:trPr>
          <w:trHeight w:val="1527" w:hRule="atLeast"/>
        </w:trPr>
        <w:tc>
          <w:tcPr>
            <w:tcW w:w="1323" w:type="dxa"/>
            <w:vMerge w:val="continue"/>
            <w:tcBorders>
              <w:left w:val="single" w:color="auto" w:sz="4" w:space="0"/>
              <w:right w:val="single" w:color="auto" w:sz="4" w:space="0"/>
            </w:tcBorders>
            <w:vAlign w:val="center"/>
          </w:tcPr>
          <w:p>
            <w:pPr>
              <w:widowControl/>
              <w:rPr>
                <w:rFonts w:ascii="仿宋" w:hAnsi="仿宋" w:eastAsia="仿宋" w:cs="仿宋"/>
                <w:kern w:val="0"/>
                <w:sz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2</w:t>
            </w: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contextualSpacing/>
              <w:jc w:val="left"/>
              <w:rPr>
                <w:rFonts w:ascii="仿宋" w:hAnsi="仿宋" w:eastAsia="仿宋" w:cs="仿宋"/>
              </w:rPr>
            </w:pPr>
            <w:r>
              <w:rPr>
                <w:rFonts w:hint="eastAsia" w:ascii="仿宋" w:hAnsi="仿宋" w:eastAsia="仿宋" w:cs="仿宋"/>
              </w:rPr>
              <w:t>投标人能提供医院医疗设备管理系统，自我知识产权的（提供与投标人名称一致的产品专利证书和软件著作权）得5分；非自我知识产权的可提供第三方公司的知识产权证书以及授权协议，得2分；不提供或资料不全者不得分。</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5</w:t>
            </w:r>
          </w:p>
        </w:tc>
        <w:tc>
          <w:tcPr>
            <w:tcW w:w="10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客观分</w:t>
            </w:r>
          </w:p>
        </w:tc>
      </w:tr>
      <w:tr>
        <w:tblPrEx>
          <w:tblCellMar>
            <w:top w:w="0" w:type="dxa"/>
            <w:left w:w="108" w:type="dxa"/>
            <w:bottom w:w="0" w:type="dxa"/>
            <w:right w:w="108" w:type="dxa"/>
          </w:tblCellMar>
        </w:tblPrEx>
        <w:trPr>
          <w:trHeight w:val="869" w:hRule="atLeast"/>
        </w:trPr>
        <w:tc>
          <w:tcPr>
            <w:tcW w:w="1323" w:type="dxa"/>
            <w:vMerge w:val="continue"/>
            <w:tcBorders>
              <w:top w:val="nil"/>
              <w:left w:val="single" w:color="auto" w:sz="4" w:space="0"/>
              <w:bottom w:val="single" w:color="000000" w:sz="8" w:space="0"/>
              <w:right w:val="single" w:color="auto" w:sz="4" w:space="0"/>
            </w:tcBorders>
            <w:vAlign w:val="center"/>
          </w:tcPr>
          <w:p>
            <w:pPr>
              <w:widowControl/>
              <w:rPr>
                <w:rFonts w:ascii="仿宋" w:hAnsi="仿宋" w:eastAsia="仿宋" w:cs="仿宋"/>
                <w:kern w:val="0"/>
                <w:sz w:val="24"/>
              </w:rPr>
            </w:pPr>
          </w:p>
        </w:tc>
        <w:tc>
          <w:tcPr>
            <w:tcW w:w="56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kern w:val="0"/>
                <w:sz w:val="24"/>
              </w:rPr>
            </w:pPr>
            <w:r>
              <w:rPr>
                <w:rFonts w:hint="eastAsia" w:ascii="仿宋" w:hAnsi="仿宋" w:eastAsia="仿宋" w:cs="仿宋"/>
                <w:sz w:val="24"/>
              </w:rPr>
              <w:t>3</w:t>
            </w:r>
          </w:p>
        </w:tc>
        <w:tc>
          <w:tcPr>
            <w:tcW w:w="6383"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ascii="仿宋" w:hAnsi="仿宋" w:eastAsia="仿宋" w:cs="仿宋"/>
              </w:rPr>
            </w:pPr>
            <w:r>
              <w:rPr>
                <w:rFonts w:hint="eastAsia" w:ascii="仿宋" w:hAnsi="仿宋" w:eastAsia="仿宋" w:cs="仿宋"/>
              </w:rPr>
              <w:t>投标人拥有自主研发的医疗设备精细化管理的技术专利（如基于无线传感技术，设备参数采集，设备使用计数，设备可视化管理及基于传感器设备监控管理），提供专利登记号和证书文件，每提供一项得1分，最高5分；不提供者不得分。</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5</w:t>
            </w:r>
          </w:p>
        </w:tc>
        <w:tc>
          <w:tcPr>
            <w:tcW w:w="10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客观分</w:t>
            </w:r>
          </w:p>
        </w:tc>
      </w:tr>
      <w:tr>
        <w:tblPrEx>
          <w:tblCellMar>
            <w:top w:w="0" w:type="dxa"/>
            <w:left w:w="108" w:type="dxa"/>
            <w:bottom w:w="0" w:type="dxa"/>
            <w:right w:w="108" w:type="dxa"/>
          </w:tblCellMar>
        </w:tblPrEx>
        <w:trPr>
          <w:trHeight w:val="869" w:hRule="atLeast"/>
        </w:trPr>
        <w:tc>
          <w:tcPr>
            <w:tcW w:w="1323" w:type="dxa"/>
            <w:vMerge w:val="continue"/>
            <w:tcBorders>
              <w:top w:val="nil"/>
              <w:left w:val="single" w:color="auto" w:sz="4" w:space="0"/>
              <w:bottom w:val="single" w:color="000000" w:sz="8" w:space="0"/>
              <w:right w:val="single" w:color="auto" w:sz="4" w:space="0"/>
            </w:tcBorders>
            <w:vAlign w:val="center"/>
          </w:tcPr>
          <w:p>
            <w:pPr>
              <w:widowControl/>
              <w:rPr>
                <w:rFonts w:ascii="仿宋" w:hAnsi="仿宋" w:eastAsia="仿宋" w:cs="仿宋"/>
                <w:kern w:val="0"/>
                <w:sz w:val="24"/>
              </w:rPr>
            </w:pPr>
          </w:p>
        </w:tc>
        <w:tc>
          <w:tcPr>
            <w:tcW w:w="56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4</w:t>
            </w:r>
          </w:p>
        </w:tc>
        <w:tc>
          <w:tcPr>
            <w:tcW w:w="6383"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ascii="仿宋" w:hAnsi="仿宋" w:eastAsia="仿宋" w:cs="仿宋"/>
              </w:rPr>
            </w:pPr>
            <w:r>
              <w:rPr>
                <w:rFonts w:hint="eastAsia" w:ascii="仿宋" w:hAnsi="仿宋" w:eastAsia="仿宋" w:cs="仿宋"/>
              </w:rPr>
              <w:t>提供可视化实时互动远程服务平台（提供设备照片，专利证书、介绍资料，以及专家团队介绍），服务平台为自我知识产权的得5分，非自我知识产权的得3分，没有或者资料不全得0分</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5</w:t>
            </w:r>
          </w:p>
        </w:tc>
        <w:tc>
          <w:tcPr>
            <w:tcW w:w="10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客观分</w:t>
            </w:r>
          </w:p>
        </w:tc>
      </w:tr>
      <w:tr>
        <w:tblPrEx>
          <w:tblCellMar>
            <w:top w:w="0" w:type="dxa"/>
            <w:left w:w="108" w:type="dxa"/>
            <w:bottom w:w="0" w:type="dxa"/>
            <w:right w:w="108" w:type="dxa"/>
          </w:tblCellMar>
        </w:tblPrEx>
        <w:trPr>
          <w:trHeight w:val="709" w:hRule="atLeast"/>
        </w:trPr>
        <w:tc>
          <w:tcPr>
            <w:tcW w:w="1323" w:type="dxa"/>
            <w:vMerge w:val="continue"/>
            <w:tcBorders>
              <w:top w:val="nil"/>
              <w:left w:val="single" w:color="auto" w:sz="4" w:space="0"/>
              <w:bottom w:val="single" w:color="000000" w:sz="8" w:space="0"/>
              <w:right w:val="single" w:color="auto" w:sz="4" w:space="0"/>
            </w:tcBorders>
            <w:vAlign w:val="center"/>
          </w:tcPr>
          <w:p>
            <w:pPr>
              <w:widowControl/>
              <w:rPr>
                <w:rFonts w:ascii="仿宋" w:hAnsi="仿宋" w:eastAsia="仿宋" w:cs="仿宋"/>
                <w:kern w:val="0"/>
                <w:sz w:val="24"/>
              </w:rPr>
            </w:pPr>
          </w:p>
        </w:tc>
        <w:tc>
          <w:tcPr>
            <w:tcW w:w="567" w:type="dxa"/>
            <w:tcBorders>
              <w:top w:val="nil"/>
              <w:left w:val="single" w:color="auto" w:sz="8" w:space="0"/>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kern w:val="0"/>
                <w:sz w:val="24"/>
              </w:rPr>
            </w:pPr>
            <w:r>
              <w:rPr>
                <w:rFonts w:hint="eastAsia" w:ascii="仿宋" w:hAnsi="仿宋" w:eastAsia="仿宋" w:cs="仿宋"/>
                <w:sz w:val="24"/>
              </w:rPr>
              <w:t>5</w:t>
            </w:r>
          </w:p>
        </w:tc>
        <w:tc>
          <w:tcPr>
            <w:tcW w:w="6383" w:type="dxa"/>
            <w:tcBorders>
              <w:top w:val="single" w:color="auto" w:sz="4" w:space="0"/>
              <w:left w:val="nil"/>
              <w:bottom w:val="single" w:color="auto" w:sz="4" w:space="0"/>
              <w:right w:val="single" w:color="auto" w:sz="4" w:space="0"/>
            </w:tcBorders>
            <w:shd w:val="clear" w:color="auto" w:fill="auto"/>
            <w:vAlign w:val="center"/>
          </w:tcPr>
          <w:p>
            <w:pPr>
              <w:pStyle w:val="25"/>
              <w:widowControl/>
              <w:spacing w:line="240" w:lineRule="auto"/>
              <w:ind w:firstLine="0" w:firstLineChars="0"/>
              <w:contextualSpacing/>
              <w:rPr>
                <w:rFonts w:ascii="仿宋" w:hAnsi="仿宋" w:eastAsia="仿宋" w:cs="仿宋"/>
              </w:rPr>
            </w:pPr>
            <w:r>
              <w:rPr>
                <w:rFonts w:hint="eastAsia" w:ascii="仿宋" w:hAnsi="仿宋" w:eastAsia="仿宋" w:cs="仿宋"/>
              </w:rPr>
              <w:t>项目负责人及技术力量安排等综合评定</w:t>
            </w:r>
          </w:p>
          <w:p>
            <w:pPr>
              <w:widowControl/>
              <w:contextualSpacing/>
              <w:jc w:val="left"/>
              <w:rPr>
                <w:rFonts w:ascii="仿宋" w:hAnsi="仿宋" w:eastAsia="仿宋" w:cs="仿宋"/>
                <w:kern w:val="0"/>
                <w:sz w:val="24"/>
              </w:rPr>
            </w:pPr>
            <w:r>
              <w:rPr>
                <w:rFonts w:hint="eastAsia" w:ascii="仿宋" w:hAnsi="仿宋" w:eastAsia="仿宋" w:cs="仿宋"/>
                <w:sz w:val="24"/>
              </w:rPr>
              <w:t>根据投标人提供针对本项目拟投入驻场工程师情况综合评定，要求明确人员规模、分工、学历、资质证书、二级甲等及以上医院过往从业经验等。人员配备详细完善的得5-7分，人员配备较详细完善的得2-4.9分，人员配备不够详细完善的得0-1.9分。</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7</w:t>
            </w:r>
          </w:p>
        </w:tc>
        <w:tc>
          <w:tcPr>
            <w:tcW w:w="10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主观分</w:t>
            </w:r>
          </w:p>
        </w:tc>
      </w:tr>
      <w:tr>
        <w:tblPrEx>
          <w:tblCellMar>
            <w:top w:w="0" w:type="dxa"/>
            <w:left w:w="108" w:type="dxa"/>
            <w:bottom w:w="0" w:type="dxa"/>
            <w:right w:w="108" w:type="dxa"/>
          </w:tblCellMar>
        </w:tblPrEx>
        <w:trPr>
          <w:trHeight w:val="90" w:hRule="atLeast"/>
        </w:trPr>
        <w:tc>
          <w:tcPr>
            <w:tcW w:w="1323" w:type="dxa"/>
            <w:vMerge w:val="continue"/>
            <w:tcBorders>
              <w:top w:val="nil"/>
              <w:left w:val="single" w:color="auto" w:sz="4" w:space="0"/>
              <w:bottom w:val="single" w:color="000000" w:sz="8" w:space="0"/>
              <w:right w:val="single" w:color="auto" w:sz="4" w:space="0"/>
            </w:tcBorders>
            <w:vAlign w:val="center"/>
          </w:tcPr>
          <w:p>
            <w:pPr>
              <w:widowControl/>
              <w:rPr>
                <w:rFonts w:ascii="仿宋" w:hAnsi="仿宋" w:eastAsia="仿宋" w:cs="仿宋"/>
                <w:kern w:val="0"/>
                <w:sz w:val="24"/>
              </w:rPr>
            </w:pPr>
          </w:p>
        </w:tc>
        <w:tc>
          <w:tcPr>
            <w:tcW w:w="567" w:type="dxa"/>
            <w:tcBorders>
              <w:top w:val="nil"/>
              <w:left w:val="single" w:color="auto" w:sz="8" w:space="0"/>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kern w:val="0"/>
                <w:sz w:val="24"/>
              </w:rPr>
            </w:pPr>
            <w:r>
              <w:rPr>
                <w:rFonts w:hint="eastAsia" w:ascii="仿宋" w:hAnsi="仿宋" w:eastAsia="仿宋" w:cs="仿宋"/>
                <w:sz w:val="24"/>
              </w:rPr>
              <w:t>6</w:t>
            </w:r>
          </w:p>
        </w:tc>
        <w:tc>
          <w:tcPr>
            <w:tcW w:w="6383"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ascii="仿宋" w:hAnsi="仿宋" w:eastAsia="仿宋" w:cs="仿宋"/>
                <w:kern w:val="0"/>
                <w:sz w:val="24"/>
              </w:rPr>
            </w:pPr>
            <w:r>
              <w:rPr>
                <w:rFonts w:hint="eastAsia" w:ascii="仿宋" w:hAnsi="仿宋" w:eastAsia="仿宋" w:cs="仿宋"/>
                <w:sz w:val="24"/>
              </w:rPr>
              <w:t>对本项目的合理化建议综合评定。方案详细完善的得4-6分，方案较详细完善的得2-3.9分，方案不够详细完善的得0-1.9分。</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6</w:t>
            </w:r>
          </w:p>
        </w:tc>
        <w:tc>
          <w:tcPr>
            <w:tcW w:w="10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主观分</w:t>
            </w:r>
          </w:p>
        </w:tc>
      </w:tr>
      <w:tr>
        <w:tblPrEx>
          <w:tblCellMar>
            <w:top w:w="0" w:type="dxa"/>
            <w:left w:w="108" w:type="dxa"/>
            <w:bottom w:w="0" w:type="dxa"/>
            <w:right w:w="108" w:type="dxa"/>
          </w:tblCellMar>
        </w:tblPrEx>
        <w:trPr>
          <w:trHeight w:val="90" w:hRule="atLeast"/>
        </w:trPr>
        <w:tc>
          <w:tcPr>
            <w:tcW w:w="1323" w:type="dxa"/>
            <w:vMerge w:val="continue"/>
            <w:tcBorders>
              <w:top w:val="nil"/>
              <w:left w:val="single" w:color="auto" w:sz="4" w:space="0"/>
              <w:bottom w:val="single" w:color="000000" w:sz="8" w:space="0"/>
              <w:right w:val="single" w:color="auto" w:sz="4" w:space="0"/>
            </w:tcBorders>
            <w:vAlign w:val="center"/>
          </w:tcPr>
          <w:p>
            <w:pPr>
              <w:widowControl/>
              <w:rPr>
                <w:rFonts w:ascii="仿宋" w:hAnsi="仿宋" w:eastAsia="仿宋" w:cs="仿宋"/>
                <w:kern w:val="0"/>
                <w:sz w:val="24"/>
              </w:rPr>
            </w:pPr>
          </w:p>
        </w:tc>
        <w:tc>
          <w:tcPr>
            <w:tcW w:w="567" w:type="dxa"/>
            <w:tcBorders>
              <w:top w:val="nil"/>
              <w:left w:val="single" w:color="auto" w:sz="8" w:space="0"/>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7</w:t>
            </w:r>
          </w:p>
        </w:tc>
        <w:tc>
          <w:tcPr>
            <w:tcW w:w="6383"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ascii="仿宋" w:hAnsi="仿宋" w:eastAsia="仿宋" w:cs="仿宋"/>
                <w:sz w:val="24"/>
              </w:rPr>
            </w:pPr>
            <w:r>
              <w:rPr>
                <w:rFonts w:hint="eastAsia" w:ascii="仿宋" w:hAnsi="仿宋" w:eastAsia="仿宋" w:cs="仿宋"/>
                <w:sz w:val="24"/>
              </w:rPr>
              <w:t>售后服务情况（根据服务能力、售后服务方案、措施、响应等情况综合评定对比打分）方案详细完善的得2-4分，方案较详细完善的得1-1.9分，方案不够详细完善的得0-1.9分。</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4</w:t>
            </w:r>
          </w:p>
        </w:tc>
        <w:tc>
          <w:tcPr>
            <w:tcW w:w="10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主观分</w:t>
            </w:r>
          </w:p>
        </w:tc>
      </w:tr>
      <w:tr>
        <w:tblPrEx>
          <w:tblCellMar>
            <w:top w:w="0" w:type="dxa"/>
            <w:left w:w="108" w:type="dxa"/>
            <w:bottom w:w="0" w:type="dxa"/>
            <w:right w:w="108" w:type="dxa"/>
          </w:tblCellMar>
        </w:tblPrEx>
        <w:trPr>
          <w:trHeight w:val="1152" w:hRule="atLeast"/>
        </w:trPr>
        <w:tc>
          <w:tcPr>
            <w:tcW w:w="1323" w:type="dxa"/>
            <w:vMerge w:val="continue"/>
            <w:tcBorders>
              <w:top w:val="nil"/>
              <w:left w:val="single" w:color="auto" w:sz="4" w:space="0"/>
              <w:bottom w:val="single" w:color="000000" w:sz="8" w:space="0"/>
              <w:right w:val="single" w:color="auto" w:sz="4" w:space="0"/>
            </w:tcBorders>
            <w:vAlign w:val="center"/>
          </w:tcPr>
          <w:p>
            <w:pPr>
              <w:widowControl/>
              <w:rPr>
                <w:rFonts w:ascii="仿宋" w:hAnsi="仿宋" w:eastAsia="仿宋" w:cs="仿宋"/>
                <w:kern w:val="0"/>
                <w:sz w:val="24"/>
              </w:rPr>
            </w:pPr>
          </w:p>
        </w:tc>
        <w:tc>
          <w:tcPr>
            <w:tcW w:w="567" w:type="dxa"/>
            <w:tcBorders>
              <w:top w:val="nil"/>
              <w:left w:val="single" w:color="auto" w:sz="8" w:space="0"/>
              <w:bottom w:val="single" w:color="auto" w:sz="4" w:space="0"/>
              <w:right w:val="single" w:color="auto" w:sz="4" w:space="0"/>
            </w:tcBorders>
            <w:shd w:val="clear" w:color="auto" w:fill="auto"/>
            <w:vAlign w:val="center"/>
          </w:tcPr>
          <w:p>
            <w:pPr>
              <w:widowControl/>
              <w:contextualSpacing/>
              <w:jc w:val="center"/>
              <w:rPr>
                <w:rFonts w:hint="eastAsia" w:ascii="仿宋" w:hAnsi="仿宋" w:eastAsia="仿宋" w:cs="仿宋"/>
                <w:kern w:val="0"/>
                <w:sz w:val="24"/>
                <w:lang w:eastAsia="zh-CN"/>
              </w:rPr>
            </w:pPr>
            <w:r>
              <w:rPr>
                <w:rFonts w:hint="eastAsia" w:ascii="仿宋" w:hAnsi="仿宋" w:eastAsia="仿宋" w:cs="仿宋"/>
                <w:sz w:val="24"/>
                <w:lang w:val="en-US" w:eastAsia="zh-CN"/>
              </w:rPr>
              <w:t>8</w:t>
            </w:r>
          </w:p>
        </w:tc>
        <w:tc>
          <w:tcPr>
            <w:tcW w:w="6383"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ascii="仿宋" w:hAnsi="仿宋" w:eastAsia="仿宋" w:cs="仿宋"/>
                <w:kern w:val="0"/>
                <w:sz w:val="24"/>
              </w:rPr>
            </w:pPr>
            <w:r>
              <w:rPr>
                <w:rFonts w:hint="eastAsia" w:ascii="仿宋" w:hAnsi="仿宋" w:eastAsia="仿宋" w:cs="仿宋"/>
                <w:kern w:val="0"/>
                <w:sz w:val="24"/>
              </w:rPr>
              <w:t>投标人与主流医疗设备生产厂家拥有良好的合作关系，每提供一个厂家的售后服务授权、分销商协议、或者全国战略合作协议的得1分，最高3分。</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3</w:t>
            </w:r>
          </w:p>
        </w:tc>
        <w:tc>
          <w:tcPr>
            <w:tcW w:w="10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客观分</w:t>
            </w:r>
          </w:p>
        </w:tc>
      </w:tr>
      <w:tr>
        <w:tblPrEx>
          <w:tblCellMar>
            <w:top w:w="0" w:type="dxa"/>
            <w:left w:w="108" w:type="dxa"/>
            <w:bottom w:w="0" w:type="dxa"/>
            <w:right w:w="108" w:type="dxa"/>
          </w:tblCellMar>
        </w:tblPrEx>
        <w:trPr>
          <w:trHeight w:val="2112" w:hRule="atLeast"/>
        </w:trPr>
        <w:tc>
          <w:tcPr>
            <w:tcW w:w="1323" w:type="dxa"/>
            <w:vMerge w:val="continue"/>
            <w:tcBorders>
              <w:top w:val="nil"/>
              <w:left w:val="single" w:color="auto" w:sz="4" w:space="0"/>
              <w:bottom w:val="single" w:color="000000" w:sz="8" w:space="0"/>
              <w:right w:val="single" w:color="auto" w:sz="4" w:space="0"/>
            </w:tcBorders>
            <w:vAlign w:val="center"/>
          </w:tcPr>
          <w:p>
            <w:pPr>
              <w:widowControl/>
              <w:rPr>
                <w:rFonts w:ascii="仿宋" w:hAnsi="仿宋" w:eastAsia="仿宋" w:cs="仿宋"/>
                <w:kern w:val="0"/>
                <w:sz w:val="24"/>
              </w:rPr>
            </w:pPr>
          </w:p>
        </w:tc>
        <w:tc>
          <w:tcPr>
            <w:tcW w:w="567" w:type="dxa"/>
            <w:tcBorders>
              <w:top w:val="nil"/>
              <w:left w:val="single" w:color="auto" w:sz="8" w:space="0"/>
              <w:bottom w:val="single" w:color="auto" w:sz="4" w:space="0"/>
              <w:right w:val="single" w:color="auto" w:sz="4" w:space="0"/>
            </w:tcBorders>
            <w:shd w:val="clear" w:color="auto" w:fill="auto"/>
            <w:vAlign w:val="center"/>
          </w:tcPr>
          <w:p>
            <w:pPr>
              <w:widowControl/>
              <w:contextualSpacing/>
              <w:jc w:val="center"/>
              <w:rPr>
                <w:rFonts w:hint="eastAsia" w:ascii="仿宋" w:hAnsi="仿宋" w:eastAsia="仿宋" w:cs="仿宋"/>
                <w:kern w:val="0"/>
                <w:sz w:val="24"/>
                <w:lang w:eastAsia="zh-CN"/>
              </w:rPr>
            </w:pPr>
            <w:r>
              <w:rPr>
                <w:rFonts w:hint="eastAsia" w:ascii="仿宋" w:hAnsi="仿宋" w:eastAsia="仿宋" w:cs="仿宋"/>
                <w:sz w:val="24"/>
                <w:lang w:val="en-US" w:eastAsia="zh-CN"/>
              </w:rPr>
              <w:t>9</w:t>
            </w:r>
          </w:p>
        </w:tc>
        <w:tc>
          <w:tcPr>
            <w:tcW w:w="6383"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ascii="仿宋" w:hAnsi="仿宋" w:eastAsia="仿宋" w:cs="仿宋"/>
                <w:kern w:val="0"/>
                <w:sz w:val="24"/>
              </w:rPr>
            </w:pPr>
            <w:r>
              <w:rPr>
                <w:rFonts w:hint="eastAsia" w:ascii="仿宋" w:hAnsi="仿宋" w:eastAsia="仿宋" w:cs="仿宋"/>
                <w:kern w:val="0"/>
                <w:sz w:val="24"/>
              </w:rPr>
              <w:t>投标人可提供至少包含除颤器、婴儿培养箱、心电监护仪、高频电刀、呼吸机、医用输液泵和注射泵、浮标式氧气吸入器、医用离心机、脉搏血氧计、血液透析装置、生物安全柜等设备质量检测。投标人需要提供相应检测设备清单，设备购买发票以及检测设备具有国家或者省级法定检定机构出具的检定证书或校准证书。每提供一项得1分，最高7分；不能提供或者不能完整提供者不得分。</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b/>
                <w:bCs/>
                <w:kern w:val="0"/>
                <w:sz w:val="24"/>
              </w:rPr>
            </w:pPr>
            <w:r>
              <w:rPr>
                <w:rFonts w:hint="eastAsia" w:ascii="仿宋" w:hAnsi="仿宋" w:eastAsia="仿宋" w:cs="仿宋"/>
                <w:sz w:val="24"/>
              </w:rPr>
              <w:t>7</w:t>
            </w:r>
          </w:p>
        </w:tc>
        <w:tc>
          <w:tcPr>
            <w:tcW w:w="10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contextualSpacing/>
              <w:jc w:val="center"/>
              <w:rPr>
                <w:rFonts w:ascii="仿宋" w:hAnsi="仿宋" w:eastAsia="仿宋" w:cs="仿宋"/>
                <w:b/>
                <w:bCs/>
                <w:kern w:val="0"/>
                <w:sz w:val="24"/>
              </w:rPr>
            </w:pPr>
            <w:r>
              <w:rPr>
                <w:rFonts w:hint="eastAsia" w:ascii="仿宋" w:hAnsi="仿宋" w:eastAsia="仿宋" w:cs="仿宋"/>
                <w:sz w:val="24"/>
              </w:rPr>
              <w:t>客观分</w:t>
            </w:r>
          </w:p>
        </w:tc>
      </w:tr>
      <w:tr>
        <w:tblPrEx>
          <w:tblCellMar>
            <w:top w:w="0" w:type="dxa"/>
            <w:left w:w="108" w:type="dxa"/>
            <w:bottom w:w="0" w:type="dxa"/>
            <w:right w:w="108" w:type="dxa"/>
          </w:tblCellMar>
        </w:tblPrEx>
        <w:trPr>
          <w:trHeight w:val="1087" w:hRule="atLeast"/>
        </w:trPr>
        <w:tc>
          <w:tcPr>
            <w:tcW w:w="1323" w:type="dxa"/>
            <w:vMerge w:val="continue"/>
            <w:tcBorders>
              <w:top w:val="nil"/>
              <w:left w:val="single" w:color="auto" w:sz="4" w:space="0"/>
              <w:bottom w:val="single" w:color="000000" w:sz="8" w:space="0"/>
              <w:right w:val="single" w:color="auto" w:sz="4" w:space="0"/>
            </w:tcBorders>
            <w:vAlign w:val="center"/>
          </w:tcPr>
          <w:p>
            <w:pPr>
              <w:widowControl/>
              <w:rPr>
                <w:rFonts w:ascii="仿宋" w:hAnsi="仿宋" w:eastAsia="仿宋" w:cs="仿宋"/>
                <w:kern w:val="0"/>
                <w:sz w:val="24"/>
              </w:rPr>
            </w:pPr>
          </w:p>
        </w:tc>
        <w:tc>
          <w:tcPr>
            <w:tcW w:w="567" w:type="dxa"/>
            <w:tcBorders>
              <w:top w:val="nil"/>
              <w:left w:val="single" w:color="auto" w:sz="8" w:space="0"/>
              <w:bottom w:val="single" w:color="auto" w:sz="4" w:space="0"/>
              <w:right w:val="single" w:color="auto" w:sz="4" w:space="0"/>
            </w:tcBorders>
            <w:shd w:val="clear" w:color="auto" w:fill="auto"/>
            <w:vAlign w:val="center"/>
          </w:tcPr>
          <w:p>
            <w:pPr>
              <w:widowControl/>
              <w:contextualSpacing/>
              <w:jc w:val="center"/>
              <w:rPr>
                <w:rFonts w:hint="default" w:ascii="仿宋" w:hAnsi="仿宋" w:eastAsia="仿宋" w:cs="仿宋"/>
                <w:kern w:val="0"/>
                <w:sz w:val="24"/>
                <w:lang w:val="en-US" w:eastAsia="zh-CN"/>
              </w:rPr>
            </w:pPr>
            <w:r>
              <w:rPr>
                <w:rFonts w:hint="eastAsia" w:ascii="仿宋" w:hAnsi="仿宋" w:eastAsia="仿宋" w:cs="仿宋"/>
                <w:sz w:val="24"/>
                <w:lang w:val="en-US" w:eastAsia="zh-CN"/>
              </w:rPr>
              <w:t>10</w:t>
            </w:r>
          </w:p>
        </w:tc>
        <w:tc>
          <w:tcPr>
            <w:tcW w:w="6383"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left"/>
              <w:rPr>
                <w:rFonts w:ascii="仿宋" w:hAnsi="仿宋" w:eastAsia="仿宋" w:cs="仿宋"/>
                <w:sz w:val="24"/>
              </w:rPr>
            </w:pPr>
            <w:r>
              <w:rPr>
                <w:rFonts w:hint="eastAsia" w:ascii="仿宋" w:hAnsi="仿宋" w:eastAsia="仿宋" w:cs="仿宋"/>
                <w:sz w:val="24"/>
              </w:rPr>
              <w:t>投标人与国家正规大专院校的医疗设备相关专业有培训合作，可提供客户专业应用技能培训（提供合同复印件）；提供与院校的合作合同，每提供一份得1分，最高4分；不提供者不得分。</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4</w:t>
            </w:r>
          </w:p>
        </w:tc>
        <w:tc>
          <w:tcPr>
            <w:tcW w:w="10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contextualSpacing/>
              <w:jc w:val="center"/>
              <w:rPr>
                <w:rFonts w:ascii="仿宋" w:hAnsi="仿宋" w:eastAsia="仿宋" w:cs="仿宋"/>
                <w:kern w:val="0"/>
                <w:sz w:val="24"/>
              </w:rPr>
            </w:pPr>
            <w:r>
              <w:rPr>
                <w:rFonts w:hint="eastAsia" w:ascii="仿宋" w:hAnsi="仿宋" w:eastAsia="仿宋" w:cs="仿宋"/>
                <w:sz w:val="24"/>
              </w:rPr>
              <w:t>客观分</w:t>
            </w:r>
          </w:p>
        </w:tc>
      </w:tr>
      <w:tr>
        <w:tblPrEx>
          <w:tblCellMar>
            <w:top w:w="0" w:type="dxa"/>
            <w:left w:w="108" w:type="dxa"/>
            <w:bottom w:w="0" w:type="dxa"/>
            <w:right w:w="108" w:type="dxa"/>
          </w:tblCellMar>
        </w:tblPrEx>
        <w:trPr>
          <w:trHeight w:val="831" w:hRule="atLeast"/>
        </w:trPr>
        <w:tc>
          <w:tcPr>
            <w:tcW w:w="1323" w:type="dxa"/>
            <w:vMerge w:val="continue"/>
            <w:tcBorders>
              <w:top w:val="nil"/>
              <w:left w:val="single" w:color="auto" w:sz="4" w:space="0"/>
              <w:bottom w:val="nil"/>
              <w:right w:val="single" w:color="auto" w:sz="4" w:space="0"/>
            </w:tcBorders>
            <w:vAlign w:val="center"/>
          </w:tcPr>
          <w:p>
            <w:pPr>
              <w:widowControl/>
              <w:rPr>
                <w:rFonts w:ascii="仿宋" w:hAnsi="仿宋" w:eastAsia="仿宋" w:cs="仿宋"/>
                <w:kern w:val="0"/>
                <w:sz w:val="24"/>
              </w:rPr>
            </w:pPr>
          </w:p>
        </w:tc>
        <w:tc>
          <w:tcPr>
            <w:tcW w:w="567"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contextualSpacing/>
              <w:jc w:val="center"/>
              <w:rPr>
                <w:rFonts w:hint="eastAsia" w:ascii="仿宋" w:hAnsi="仿宋" w:eastAsia="仿宋" w:cs="仿宋"/>
                <w:kern w:val="0"/>
                <w:sz w:val="24"/>
                <w:lang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638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kern w:val="0"/>
                <w:sz w:val="24"/>
              </w:rPr>
            </w:pPr>
            <w:r>
              <w:rPr>
                <w:rFonts w:hint="eastAsia" w:ascii="仿宋" w:hAnsi="仿宋" w:eastAsia="仿宋" w:cs="仿宋"/>
                <w:sz w:val="24"/>
              </w:rPr>
              <w:t>投标人具有备品备件仓储条件，仓库面积＞1000平方米，得3分；500＜仓库面积≤1000平方米，得2分；仓库面积≤500平方米，得1分。（投标文件中提供仓库的产权证明或仓库租赁合同复印件加盖公章，未提供不得分。）</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3</w:t>
            </w:r>
          </w:p>
        </w:tc>
        <w:tc>
          <w:tcPr>
            <w:tcW w:w="1037"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contextualSpacing/>
              <w:jc w:val="center"/>
              <w:rPr>
                <w:rFonts w:ascii="仿宋" w:hAnsi="仿宋" w:eastAsia="仿宋" w:cs="仿宋"/>
                <w:kern w:val="0"/>
                <w:sz w:val="24"/>
              </w:rPr>
            </w:pPr>
            <w:r>
              <w:rPr>
                <w:rFonts w:hint="eastAsia" w:ascii="仿宋" w:hAnsi="仿宋" w:eastAsia="仿宋" w:cs="仿宋"/>
                <w:sz w:val="24"/>
              </w:rPr>
              <w:t>客观分</w:t>
            </w:r>
          </w:p>
        </w:tc>
      </w:tr>
      <w:tr>
        <w:tblPrEx>
          <w:tblCellMar>
            <w:top w:w="0" w:type="dxa"/>
            <w:left w:w="108" w:type="dxa"/>
            <w:bottom w:w="0" w:type="dxa"/>
            <w:right w:w="108" w:type="dxa"/>
          </w:tblCellMar>
        </w:tblPrEx>
        <w:trPr>
          <w:trHeight w:val="304" w:hRule="atLeast"/>
        </w:trPr>
        <w:tc>
          <w:tcPr>
            <w:tcW w:w="1323" w:type="dxa"/>
            <w:tcBorders>
              <w:top w:val="nil"/>
              <w:left w:val="single" w:color="auto" w:sz="4" w:space="0"/>
              <w:bottom w:val="single" w:color="000000" w:sz="8" w:space="0"/>
              <w:right w:val="single" w:color="auto" w:sz="4" w:space="0"/>
            </w:tcBorders>
            <w:vAlign w:val="center"/>
          </w:tcPr>
          <w:p>
            <w:pPr>
              <w:widowControl/>
              <w:rPr>
                <w:rFonts w:ascii="仿宋" w:hAnsi="仿宋" w:eastAsia="仿宋" w:cs="仿宋"/>
                <w:kern w:val="0"/>
                <w:sz w:val="24"/>
              </w:rPr>
            </w:pPr>
          </w:p>
        </w:tc>
        <w:tc>
          <w:tcPr>
            <w:tcW w:w="567"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contextualSpacing/>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6383" w:type="dxa"/>
            <w:tcBorders>
              <w:top w:val="single" w:color="auto" w:sz="4" w:space="0"/>
              <w:left w:val="nil"/>
              <w:bottom w:val="single" w:color="auto" w:sz="8" w:space="0"/>
              <w:right w:val="single" w:color="auto" w:sz="4" w:space="0"/>
            </w:tcBorders>
            <w:shd w:val="clear" w:color="auto" w:fill="auto"/>
            <w:vAlign w:val="center"/>
          </w:tcPr>
          <w:p>
            <w:pPr>
              <w:rPr>
                <w:rFonts w:ascii="仿宋" w:hAnsi="仿宋" w:eastAsia="仿宋" w:cs="仿宋"/>
                <w:sz w:val="24"/>
              </w:rPr>
            </w:pPr>
            <w:r>
              <w:rPr>
                <w:rFonts w:hint="eastAsia" w:ascii="仿宋" w:hAnsi="仿宋" w:eastAsia="仿宋" w:cs="仿宋"/>
                <w:sz w:val="24"/>
              </w:rPr>
              <w:t>演示</w:t>
            </w:r>
          </w:p>
          <w:p>
            <w:r>
              <w:rPr>
                <w:rFonts w:hint="eastAsia" w:ascii="仿宋" w:hAnsi="仿宋" w:eastAsia="仿宋" w:cs="仿宋"/>
                <w:sz w:val="24"/>
              </w:rPr>
              <w:t>医疗设备管理系统功能逐条提供系统截图（附图说明）及操作演示视频，清晰涵盖该系统的功能及使用操作（提供根据招标文件要求拍摄的视频U盘），演示类容详见招标要求的系统功能，每条成功演示得1分，最高得10分；不提供不得分。</w:t>
            </w:r>
          </w:p>
        </w:tc>
        <w:tc>
          <w:tcPr>
            <w:tcW w:w="925" w:type="dxa"/>
            <w:tcBorders>
              <w:top w:val="single" w:color="auto" w:sz="4" w:space="0"/>
              <w:left w:val="nil"/>
              <w:bottom w:val="single" w:color="auto" w:sz="8" w:space="0"/>
              <w:right w:val="single" w:color="auto" w:sz="4"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10</w:t>
            </w:r>
          </w:p>
        </w:tc>
        <w:tc>
          <w:tcPr>
            <w:tcW w:w="1037"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contextualSpacing/>
              <w:jc w:val="center"/>
              <w:rPr>
                <w:rFonts w:ascii="仿宋" w:hAnsi="仿宋" w:eastAsia="仿宋" w:cs="仿宋"/>
                <w:sz w:val="24"/>
              </w:rPr>
            </w:pPr>
            <w:r>
              <w:rPr>
                <w:rFonts w:hint="eastAsia" w:ascii="仿宋" w:hAnsi="仿宋" w:eastAsia="仿宋" w:cs="仿宋"/>
                <w:sz w:val="24"/>
              </w:rPr>
              <w:t>主观分</w:t>
            </w:r>
          </w:p>
        </w:tc>
      </w:tr>
    </w:tbl>
    <w:p>
      <w:pPr>
        <w:widowControl/>
        <w:spacing w:line="360" w:lineRule="auto"/>
        <w:rPr>
          <w:rFonts w:ascii="仿宋" w:hAnsi="仿宋" w:eastAsia="仿宋" w:cs="仿宋_GB2312"/>
          <w:color w:val="000000"/>
          <w:sz w:val="24"/>
        </w:rPr>
      </w:pPr>
      <w:r>
        <w:rPr>
          <w:rFonts w:hint="eastAsia" w:ascii="仿宋" w:hAnsi="仿宋" w:eastAsia="仿宋" w:cs="仿宋_GB2312"/>
          <w:b/>
          <w:sz w:val="24"/>
        </w:rPr>
        <w:t>备注：</w:t>
      </w:r>
      <w:r>
        <w:rPr>
          <w:rFonts w:hint="eastAsia" w:ascii="仿宋" w:hAnsi="仿宋" w:eastAsia="仿宋" w:cs="仿宋_GB2312"/>
          <w:color w:val="000000"/>
          <w:sz w:val="24"/>
        </w:rPr>
        <w:t>1、评分条款中涉及的业绩、荣誉、人员、社保等分公司均有效。</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ascii="仿宋" w:hAnsi="仿宋" w:eastAsia="仿宋" w:cs="仿宋_GB2312"/>
          <w:sz w:val="24"/>
        </w:rPr>
      </w:pPr>
      <w:r>
        <w:rPr>
          <w:rFonts w:hint="eastAsia" w:ascii="仿宋" w:hAnsi="仿宋" w:eastAsia="仿宋" w:cs="仿宋_GB2312"/>
          <w:color w:val="000000"/>
          <w:sz w:val="24"/>
        </w:rPr>
        <w:t>3、</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3</w:t>
      </w:r>
      <w:r>
        <w:rPr>
          <w:rFonts w:ascii="仿宋" w:hAnsi="仿宋" w:eastAsia="仿宋" w:cs="仿宋_GB2312"/>
          <w:color w:val="000000"/>
          <w:sz w:val="24"/>
        </w:rPr>
        <w:t>.</w:t>
      </w:r>
      <w:r>
        <w:rPr>
          <w:rFonts w:hint="eastAsia" w:ascii="仿宋" w:hAnsi="仿宋" w:eastAsia="仿宋" w:cs="仿宋_GB2312"/>
          <w:color w:val="000000"/>
          <w:sz w:val="24"/>
        </w:rPr>
        <w:t>价格分（10分）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价格权值</w:t>
            </w:r>
            <w:r>
              <w:rPr>
                <w:rFonts w:ascii="仿宋" w:hAnsi="仿宋" w:eastAsia="仿宋" w:cs="仿宋_GB2312"/>
                <w:color w:val="000000"/>
                <w:sz w:val="24"/>
              </w:rPr>
              <w:t>=</w:t>
            </w:r>
            <w:r>
              <w:rPr>
                <w:rFonts w:hint="eastAsia" w:ascii="仿宋" w:hAnsi="仿宋" w:eastAsia="仿宋" w:cs="仿宋_GB2312"/>
                <w:color w:val="000000"/>
                <w:sz w:val="24"/>
              </w:rPr>
              <w:t>0.1</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最低有效投标价格为评标基准价</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投标报价得分</w:t>
            </w:r>
            <w:r>
              <w:rPr>
                <w:rFonts w:ascii="仿宋" w:hAnsi="仿宋" w:eastAsia="仿宋" w:cs="仿宋_GB2312"/>
                <w:color w:val="000000"/>
                <w:sz w:val="24"/>
              </w:rPr>
              <w:t>=(</w:t>
            </w:r>
            <w:r>
              <w:rPr>
                <w:rFonts w:hint="eastAsia" w:ascii="仿宋" w:hAnsi="仿宋" w:eastAsia="仿宋" w:cs="仿宋_GB2312"/>
                <w:color w:val="000000"/>
                <w:sz w:val="24"/>
              </w:rPr>
              <w:t>评标基准价／投标报价</w:t>
            </w:r>
            <w:r>
              <w:rPr>
                <w:rFonts w:ascii="仿宋" w:hAnsi="仿宋" w:eastAsia="仿宋" w:cs="仿宋_GB2312"/>
                <w:color w:val="000000"/>
                <w:sz w:val="24"/>
              </w:rPr>
              <w:t>)</w:t>
            </w:r>
            <w:r>
              <w:rPr>
                <w:rFonts w:hint="eastAsia" w:ascii="仿宋" w:hAnsi="仿宋" w:eastAsia="仿宋" w:cs="仿宋_GB2312"/>
                <w:color w:val="000000"/>
                <w:sz w:val="24"/>
              </w:rPr>
              <w:t>×价格权值×</w:t>
            </w:r>
            <w:r>
              <w:rPr>
                <w:rFonts w:ascii="仿宋" w:hAnsi="仿宋" w:eastAsia="仿宋" w:cs="仿宋_GB2312"/>
                <w:color w:val="000000"/>
                <w:sz w:val="24"/>
              </w:rPr>
              <w:t xml:space="preserve">100 </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（计算得分保留小数点后</w:t>
            </w:r>
            <w:r>
              <w:rPr>
                <w:rFonts w:ascii="仿宋" w:hAnsi="仿宋" w:eastAsia="仿宋" w:cs="仿宋_GB2312"/>
                <w:color w:val="000000"/>
                <w:sz w:val="24"/>
              </w:rPr>
              <w:t>2</w:t>
            </w:r>
            <w:r>
              <w:rPr>
                <w:rFonts w:hint="eastAsia" w:ascii="仿宋" w:hAnsi="仿宋" w:eastAsia="仿宋" w:cs="仿宋_GB2312"/>
                <w:color w:val="000000"/>
                <w:sz w:val="24"/>
              </w:rPr>
              <w:t>位）</w:t>
            </w:r>
          </w:p>
        </w:tc>
      </w:tr>
    </w:tbl>
    <w:p>
      <w:pPr>
        <w:pStyle w:val="2"/>
      </w:pPr>
    </w:p>
    <w:p/>
    <w:p>
      <w:pPr>
        <w:pStyle w:val="2"/>
      </w:pPr>
    </w:p>
    <w:p/>
    <w:p>
      <w:pPr>
        <w:spacing w:line="360" w:lineRule="auto"/>
        <w:outlineLvl w:val="0"/>
        <w:rPr>
          <w:rFonts w:ascii="仿宋_GB2312" w:hAnsi="仿宋" w:eastAsia="仿宋_GB2312" w:cs="仿宋_GB2312"/>
          <w:b/>
          <w:sz w:val="36"/>
          <w:szCs w:val="36"/>
        </w:rPr>
      </w:pPr>
    </w:p>
    <w:p>
      <w:pPr>
        <w:spacing w:line="360" w:lineRule="auto"/>
        <w:outlineLvl w:val="0"/>
        <w:rPr>
          <w:rFonts w:ascii="仿宋_GB2312" w:hAnsi="仿宋" w:eastAsia="仿宋_GB2312" w:cs="仿宋_GB2312"/>
          <w:b/>
          <w:sz w:val="36"/>
          <w:szCs w:val="36"/>
        </w:rPr>
      </w:pP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1"/>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1"/>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31"/>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1"/>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rPr>
        <w:t>未</w:t>
      </w:r>
      <w:r>
        <w:rPr>
          <w:rFonts w:ascii="仿宋_GB2312" w:hAnsi="仿宋" w:eastAsia="仿宋_GB2312" w:cs="Arial"/>
          <w:kern w:val="0"/>
          <w:sz w:val="24"/>
        </w:rPr>
        <w:t>在电子交易平台传输递交投标文件的，投标无效；</w:t>
      </w:r>
    </w:p>
    <w:p>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b/>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16"/>
    <w:p>
      <w:pPr>
        <w:spacing w:line="360" w:lineRule="auto"/>
        <w:ind w:left="720" w:leftChars="343" w:firstLine="1084" w:firstLineChars="300"/>
        <w:outlineLvl w:val="0"/>
        <w:rPr>
          <w:rFonts w:hint="eastAsia" w:ascii="仿宋_GB2312" w:hAnsi="仿宋" w:eastAsia="仿宋_GB2312" w:cs="仿宋_GB2312"/>
          <w:b/>
          <w:sz w:val="36"/>
          <w:szCs w:val="36"/>
        </w:rPr>
      </w:pPr>
      <w:bookmarkStart w:id="383" w:name="_Toc86217003"/>
      <w:bookmarkStart w:id="384" w:name="第五部分"/>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服务类合同建议可按照参考格式按照实际情况调整修改。</w:t>
      </w: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1"/>
        <w:rPr>
          <w:rFonts w:ascii="仿宋" w:hAnsi="仿宋" w:eastAsia="仿宋"/>
          <w:szCs w:val="24"/>
        </w:rPr>
      </w:pPr>
    </w:p>
    <w:p>
      <w:pPr>
        <w:pStyle w:val="701"/>
        <w:rPr>
          <w:rFonts w:ascii="仿宋" w:hAnsi="仿宋" w:eastAsia="仿宋"/>
          <w:szCs w:val="24"/>
        </w:rPr>
      </w:pPr>
    </w:p>
    <w:p>
      <w:pPr>
        <w:pStyle w:val="701"/>
        <w:jc w:val="center"/>
        <w:rPr>
          <w:rFonts w:ascii="仿宋" w:hAnsi="仿宋" w:eastAsia="仿宋"/>
          <w:szCs w:val="24"/>
        </w:rPr>
      </w:pPr>
    </w:p>
    <w:p>
      <w:pPr>
        <w:pStyle w:val="701"/>
        <w:ind w:firstLine="2843" w:firstLineChars="1180"/>
        <w:rPr>
          <w:rFonts w:ascii="仿宋" w:hAnsi="仿宋" w:eastAsia="仿宋"/>
          <w:b/>
          <w:szCs w:val="24"/>
        </w:rPr>
      </w:pPr>
      <w:r>
        <w:rPr>
          <w:rFonts w:hint="eastAsia" w:ascii="仿宋" w:hAnsi="仿宋" w:eastAsia="仿宋"/>
          <w:b/>
          <w:szCs w:val="24"/>
        </w:rPr>
        <w:t>第一部分合同书</w:t>
      </w:r>
    </w:p>
    <w:p>
      <w:pPr>
        <w:pStyle w:val="701"/>
        <w:rPr>
          <w:rFonts w:ascii="仿宋" w:hAnsi="仿宋" w:eastAsia="仿宋"/>
          <w:szCs w:val="24"/>
        </w:rPr>
      </w:pPr>
    </w:p>
    <w:p>
      <w:pPr>
        <w:pStyle w:val="701"/>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599"/>
        <w:spacing w:before="120" w:line="22" w:lineRule="atLeast"/>
        <w:rPr>
          <w:rFonts w:ascii="仿宋" w:hAnsi="仿宋" w:eastAsia="仿宋"/>
          <w:szCs w:val="24"/>
        </w:rPr>
      </w:pPr>
    </w:p>
    <w:p>
      <w:pPr>
        <w:pStyle w:val="599"/>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（采购人）</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85" w:name="_Toc3029"/>
      <w:bookmarkStart w:id="386" w:name="_Toc24059"/>
      <w:bookmarkStart w:id="387" w:name="_Toc2232"/>
      <w:r>
        <w:rPr>
          <w:rFonts w:ascii="仿宋" w:hAnsi="仿宋" w:eastAsia="仿宋"/>
          <w:b/>
          <w:sz w:val="24"/>
        </w:rPr>
        <w:t xml:space="preserve">1.1 </w:t>
      </w:r>
      <w:r>
        <w:rPr>
          <w:rFonts w:hint="eastAsia" w:ascii="仿宋" w:hAnsi="仿宋" w:eastAsia="仿宋"/>
          <w:b/>
          <w:sz w:val="24"/>
        </w:rPr>
        <w:t>合同组成部分</w:t>
      </w:r>
      <w:bookmarkEnd w:id="385"/>
      <w:bookmarkEnd w:id="386"/>
      <w:bookmarkEnd w:id="387"/>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88" w:name="_Toc24300"/>
      <w:bookmarkStart w:id="389" w:name="_Toc21295"/>
      <w:bookmarkStart w:id="390" w:name="_Toc27126"/>
      <w:r>
        <w:rPr>
          <w:rFonts w:ascii="仿宋" w:hAnsi="仿宋" w:eastAsia="仿宋"/>
          <w:b/>
          <w:sz w:val="24"/>
        </w:rPr>
        <w:t xml:space="preserve">1.2 </w:t>
      </w:r>
      <w:r>
        <w:rPr>
          <w:rFonts w:hint="eastAsia" w:ascii="仿宋" w:hAnsi="仿宋" w:eastAsia="仿宋"/>
          <w:b/>
          <w:sz w:val="24"/>
        </w:rPr>
        <w:t>货物</w:t>
      </w:r>
      <w:bookmarkEnd w:id="388"/>
      <w:bookmarkEnd w:id="389"/>
      <w:bookmarkEnd w:id="390"/>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391" w:name="_Toc23292"/>
      <w:bookmarkStart w:id="392" w:name="_Toc21631"/>
      <w:bookmarkStart w:id="393" w:name="_Toc21551"/>
      <w:r>
        <w:rPr>
          <w:rFonts w:ascii="仿宋" w:hAnsi="仿宋" w:eastAsia="仿宋"/>
          <w:b/>
          <w:sz w:val="24"/>
        </w:rPr>
        <w:t xml:space="preserve">1.3 </w:t>
      </w:r>
      <w:r>
        <w:rPr>
          <w:rFonts w:hint="eastAsia" w:ascii="仿宋" w:hAnsi="仿宋" w:eastAsia="仿宋"/>
          <w:b/>
          <w:sz w:val="24"/>
        </w:rPr>
        <w:t>价款</w:t>
      </w:r>
      <w:bookmarkEnd w:id="391"/>
      <w:bookmarkEnd w:id="392"/>
      <w:bookmarkEnd w:id="393"/>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394" w:name="_Toc22618"/>
      <w:bookmarkStart w:id="395" w:name="_Toc10340"/>
      <w:bookmarkStart w:id="396" w:name="_Toc1814"/>
      <w:r>
        <w:rPr>
          <w:rFonts w:ascii="仿宋" w:hAnsi="仿宋" w:eastAsia="仿宋"/>
          <w:b/>
          <w:sz w:val="24"/>
        </w:rPr>
        <w:t xml:space="preserve">1.4 </w:t>
      </w:r>
      <w:r>
        <w:rPr>
          <w:rFonts w:hint="eastAsia" w:ascii="仿宋" w:hAnsi="仿宋" w:eastAsia="仿宋"/>
          <w:b/>
          <w:sz w:val="24"/>
        </w:rPr>
        <w:t>付款</w:t>
      </w:r>
      <w:bookmarkEnd w:id="394"/>
      <w:bookmarkEnd w:id="395"/>
      <w:bookmarkEnd w:id="396"/>
      <w:r>
        <w:rPr>
          <w:rFonts w:hint="eastAsia" w:ascii="仿宋" w:hAnsi="仿宋" w:eastAsia="仿宋"/>
          <w:b/>
          <w:sz w:val="24"/>
        </w:rPr>
        <w:t>方式、时间和条件</w:t>
      </w:r>
    </w:p>
    <w:p>
      <w:pPr>
        <w:pStyle w:val="958"/>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w:t>
      </w:r>
      <w:r>
        <w:rPr>
          <w:rFonts w:hint="eastAsia" w:ascii="仿宋" w:hAnsi="仿宋" w:eastAsia="仿宋"/>
          <w:sz w:val="24"/>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397" w:name="_Toc32071"/>
      <w:bookmarkStart w:id="398" w:name="_Toc19304"/>
      <w:bookmarkStart w:id="399" w:name="_Toc2846"/>
      <w:r>
        <w:rPr>
          <w:rFonts w:ascii="仿宋" w:hAnsi="仿宋" w:eastAsia="仿宋"/>
          <w:b/>
          <w:sz w:val="24"/>
        </w:rPr>
        <w:t xml:space="preserve">1.5 </w:t>
      </w:r>
      <w:r>
        <w:rPr>
          <w:rFonts w:hint="eastAsia" w:ascii="仿宋" w:hAnsi="仿宋" w:eastAsia="仿宋"/>
          <w:b/>
          <w:sz w:val="24"/>
        </w:rPr>
        <w:t>货物交付期限、地点和方式</w:t>
      </w:r>
      <w:bookmarkEnd w:id="397"/>
      <w:bookmarkEnd w:id="398"/>
      <w:bookmarkEnd w:id="399"/>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0" w:name="_Toc19554"/>
      <w:bookmarkStart w:id="401" w:name="_Toc27250"/>
      <w:bookmarkStart w:id="402" w:name="_Toc21423"/>
      <w:r>
        <w:rPr>
          <w:rFonts w:ascii="仿宋" w:hAnsi="仿宋" w:eastAsia="仿宋"/>
          <w:b/>
          <w:sz w:val="24"/>
        </w:rPr>
        <w:t xml:space="preserve">1.6 </w:t>
      </w:r>
      <w:r>
        <w:rPr>
          <w:rFonts w:hint="eastAsia" w:ascii="仿宋" w:hAnsi="仿宋" w:eastAsia="仿宋"/>
          <w:b/>
          <w:sz w:val="24"/>
        </w:rPr>
        <w:t>违约责任</w:t>
      </w:r>
      <w:bookmarkEnd w:id="400"/>
      <w:bookmarkEnd w:id="401"/>
      <w:bookmarkEnd w:id="402"/>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03" w:name="_Toc16021"/>
      <w:bookmarkStart w:id="404" w:name="_Toc28375"/>
      <w:bookmarkStart w:id="405" w:name="_Toc15583"/>
      <w:r>
        <w:rPr>
          <w:rFonts w:ascii="仿宋" w:hAnsi="仿宋" w:eastAsia="仿宋"/>
          <w:b/>
          <w:sz w:val="24"/>
        </w:rPr>
        <w:t xml:space="preserve">1.7 </w:t>
      </w:r>
      <w:r>
        <w:rPr>
          <w:rFonts w:hint="eastAsia" w:ascii="仿宋" w:hAnsi="仿宋" w:eastAsia="仿宋"/>
          <w:b/>
          <w:sz w:val="24"/>
        </w:rPr>
        <w:t>合同争议的解决</w:t>
      </w:r>
      <w:bookmarkEnd w:id="403"/>
      <w:bookmarkEnd w:id="404"/>
      <w:bookmarkEnd w:id="405"/>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06" w:name="_Toc15322"/>
      <w:bookmarkStart w:id="407" w:name="_Toc11173"/>
      <w:bookmarkStart w:id="408" w:name="_Toc7245"/>
      <w:r>
        <w:rPr>
          <w:rFonts w:ascii="仿宋" w:hAnsi="仿宋" w:eastAsia="仿宋"/>
          <w:b/>
          <w:sz w:val="24"/>
        </w:rPr>
        <w:t xml:space="preserve">1.8 </w:t>
      </w:r>
      <w:r>
        <w:rPr>
          <w:rFonts w:hint="eastAsia" w:ascii="仿宋" w:hAnsi="仿宋" w:eastAsia="仿宋"/>
          <w:b/>
          <w:sz w:val="24"/>
        </w:rPr>
        <w:t>合同生效</w:t>
      </w:r>
      <w:bookmarkEnd w:id="406"/>
      <w:bookmarkEnd w:id="407"/>
      <w:bookmarkEnd w:id="408"/>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pStyle w:val="80"/>
        <w:rPr>
          <w:rFonts w:ascii="仿宋" w:hAnsi="仿宋" w:eastAsia="仿宋"/>
          <w:lang w:val="zh-CN"/>
        </w:rPr>
      </w:pPr>
    </w:p>
    <w:p>
      <w:pPr>
        <w:pStyle w:val="80"/>
        <w:rPr>
          <w:rFonts w:ascii="仿宋" w:hAnsi="仿宋" w:eastAsia="仿宋"/>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开户账号：开户账号：</w:t>
      </w:r>
    </w:p>
    <w:p>
      <w:pPr>
        <w:widowControl/>
        <w:spacing w:line="560" w:lineRule="exact"/>
        <w:jc w:val="left"/>
        <w:rPr>
          <w:rFonts w:ascii="仿宋" w:hAnsi="仿宋" w:eastAsia="仿宋"/>
          <w:b/>
          <w:sz w:val="24"/>
        </w:rPr>
      </w:pPr>
      <w:bookmarkStart w:id="409" w:name="_Toc331685783"/>
    </w:p>
    <w:p>
      <w:pPr>
        <w:pStyle w:val="80"/>
        <w:ind w:firstLine="482"/>
        <w:rPr>
          <w:rFonts w:ascii="仿宋" w:hAnsi="仿宋" w:eastAsia="仿宋"/>
          <w:b/>
        </w:rPr>
      </w:pPr>
    </w:p>
    <w:p>
      <w:pPr>
        <w:pStyle w:val="80"/>
        <w:ind w:firstLine="482"/>
        <w:rPr>
          <w:rFonts w:ascii="仿宋" w:hAnsi="仿宋" w:eastAsia="仿宋"/>
          <w:b/>
        </w:rPr>
      </w:pPr>
    </w:p>
    <w:p>
      <w:pPr>
        <w:pStyle w:val="80"/>
        <w:ind w:firstLine="482"/>
        <w:rPr>
          <w:rFonts w:ascii="仿宋" w:hAnsi="仿宋" w:eastAsia="仿宋"/>
          <w:b/>
        </w:rPr>
      </w:pPr>
    </w:p>
    <w:p>
      <w:pPr>
        <w:pStyle w:val="80"/>
        <w:ind w:firstLine="482"/>
        <w:rPr>
          <w:rFonts w:ascii="仿宋" w:hAnsi="仿宋" w:eastAsia="仿宋"/>
          <w:b/>
        </w:rPr>
      </w:pPr>
    </w:p>
    <w:p>
      <w:pPr>
        <w:pStyle w:val="80"/>
        <w:ind w:firstLine="482"/>
        <w:rPr>
          <w:rFonts w:ascii="仿宋" w:hAnsi="仿宋" w:eastAsia="仿宋"/>
          <w:b/>
        </w:rPr>
      </w:pPr>
    </w:p>
    <w:p>
      <w:pPr>
        <w:pStyle w:val="80"/>
        <w:ind w:firstLine="482"/>
        <w:rPr>
          <w:rFonts w:ascii="仿宋" w:hAnsi="仿宋" w:eastAsia="仿宋"/>
          <w:b/>
        </w:rPr>
      </w:pPr>
    </w:p>
    <w:p>
      <w:pPr>
        <w:pStyle w:val="80"/>
        <w:ind w:firstLine="482"/>
        <w:rPr>
          <w:rFonts w:ascii="仿宋" w:hAnsi="仿宋" w:eastAsia="仿宋"/>
          <w:b/>
        </w:rPr>
      </w:pPr>
    </w:p>
    <w:p>
      <w:pPr>
        <w:pStyle w:val="80"/>
        <w:ind w:firstLine="482"/>
        <w:rPr>
          <w:rFonts w:ascii="仿宋" w:hAnsi="仿宋" w:eastAsia="仿宋"/>
          <w:b/>
        </w:rPr>
      </w:pPr>
    </w:p>
    <w:p>
      <w:pPr>
        <w:pStyle w:val="80"/>
        <w:ind w:firstLine="482"/>
        <w:rPr>
          <w:rFonts w:ascii="仿宋" w:hAnsi="仿宋" w:eastAsia="仿宋"/>
          <w:b/>
        </w:rPr>
      </w:pPr>
    </w:p>
    <w:p>
      <w:pPr>
        <w:pStyle w:val="80"/>
        <w:ind w:firstLine="0" w:firstLineChars="0"/>
        <w:rPr>
          <w:rFonts w:ascii="仿宋" w:hAnsi="仿宋" w:eastAsia="仿宋"/>
          <w:b/>
        </w:rPr>
      </w:pPr>
    </w:p>
    <w:p>
      <w:pPr>
        <w:pStyle w:val="701"/>
        <w:spacing w:line="560" w:lineRule="exact"/>
        <w:ind w:firstLine="482"/>
        <w:jc w:val="center"/>
        <w:rPr>
          <w:rFonts w:hint="eastAsia" w:ascii="仿宋" w:hAnsi="仿宋" w:eastAsia="仿宋"/>
          <w:b/>
          <w:szCs w:val="24"/>
        </w:rPr>
      </w:pPr>
    </w:p>
    <w:p>
      <w:pPr>
        <w:pStyle w:val="701"/>
        <w:spacing w:line="560" w:lineRule="exact"/>
        <w:ind w:firstLine="482"/>
        <w:jc w:val="center"/>
        <w:rPr>
          <w:rFonts w:hint="eastAsia" w:ascii="仿宋" w:hAnsi="仿宋" w:eastAsia="仿宋"/>
          <w:b/>
          <w:szCs w:val="24"/>
        </w:rPr>
      </w:pPr>
    </w:p>
    <w:p>
      <w:pPr>
        <w:pStyle w:val="701"/>
        <w:spacing w:line="560" w:lineRule="exact"/>
        <w:ind w:firstLine="482"/>
        <w:jc w:val="center"/>
        <w:rPr>
          <w:rFonts w:hint="eastAsia" w:ascii="仿宋" w:hAnsi="仿宋" w:eastAsia="仿宋"/>
          <w:b/>
          <w:szCs w:val="24"/>
        </w:rPr>
      </w:pPr>
    </w:p>
    <w:p>
      <w:pPr>
        <w:pStyle w:val="701"/>
        <w:spacing w:line="560" w:lineRule="exact"/>
        <w:ind w:firstLine="482"/>
        <w:jc w:val="center"/>
        <w:rPr>
          <w:rFonts w:hint="eastAsia" w:ascii="仿宋" w:hAnsi="仿宋" w:eastAsia="仿宋"/>
          <w:b/>
          <w:szCs w:val="24"/>
        </w:rPr>
      </w:pPr>
    </w:p>
    <w:p>
      <w:pPr>
        <w:pStyle w:val="701"/>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bookmarkEnd w:id="409"/>
    </w:p>
    <w:p>
      <w:pPr>
        <w:spacing w:line="560" w:lineRule="exact"/>
        <w:ind w:firstLine="482" w:firstLineChars="200"/>
        <w:outlineLvl w:val="0"/>
        <w:rPr>
          <w:rFonts w:ascii="仿宋" w:hAnsi="仿宋" w:eastAsia="仿宋"/>
          <w:b/>
          <w:sz w:val="24"/>
        </w:rPr>
      </w:pPr>
      <w:bookmarkStart w:id="410" w:name="_Ref467378463"/>
      <w:bookmarkStart w:id="411" w:name="_Toc487900349"/>
      <w:bookmarkStart w:id="412" w:name="_Ref467379109"/>
      <w:bookmarkStart w:id="413" w:name="_Toc28763"/>
      <w:bookmarkStart w:id="414" w:name="_Ref467379101"/>
      <w:bookmarkStart w:id="415" w:name="_Ref467378404"/>
      <w:bookmarkStart w:id="416" w:name="_Ref467378499"/>
      <w:bookmarkStart w:id="417" w:name="_Ref467379205"/>
      <w:bookmarkStart w:id="418" w:name="_Ref467379094"/>
      <w:bookmarkStart w:id="419" w:name="_Toc279701240"/>
      <w:bookmarkStart w:id="420" w:name="_Toc259093669"/>
      <w:bookmarkStart w:id="421" w:name="_Ref467379214"/>
      <w:bookmarkStart w:id="422" w:name="_Ref467379225"/>
      <w:bookmarkStart w:id="423" w:name="_Toc19614"/>
      <w:bookmarkStart w:id="424" w:name="_Toc16917"/>
      <w:bookmarkStart w:id="425" w:name="_Ref467379195"/>
      <w:r>
        <w:rPr>
          <w:rFonts w:ascii="仿宋" w:hAnsi="仿宋" w:eastAsia="仿宋"/>
          <w:b/>
          <w:sz w:val="24"/>
        </w:rPr>
        <w:t xml:space="preserve">2.1 </w:t>
      </w:r>
      <w:r>
        <w:rPr>
          <w:rFonts w:hint="eastAsia" w:ascii="仿宋" w:hAnsi="仿宋" w:eastAsia="仿宋"/>
          <w:b/>
          <w:sz w:val="24"/>
        </w:rPr>
        <w:t>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26"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26"/>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27"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27"/>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28"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28"/>
    </w:p>
    <w:p>
      <w:pPr>
        <w:spacing w:line="560" w:lineRule="exact"/>
        <w:ind w:firstLine="482" w:firstLineChars="200"/>
        <w:outlineLvl w:val="0"/>
        <w:rPr>
          <w:rFonts w:ascii="仿宋" w:hAnsi="仿宋" w:eastAsia="仿宋"/>
          <w:b/>
          <w:sz w:val="24"/>
        </w:rPr>
      </w:pPr>
      <w:bookmarkStart w:id="429" w:name="_Toc487900350"/>
      <w:bookmarkStart w:id="430" w:name="_Toc279701241"/>
      <w:bookmarkStart w:id="431" w:name="_Toc32504"/>
      <w:bookmarkStart w:id="432" w:name="_Toc259093670"/>
      <w:bookmarkStart w:id="433" w:name="_Toc13336"/>
      <w:bookmarkStart w:id="434" w:name="_Toc27635"/>
      <w:r>
        <w:rPr>
          <w:rFonts w:ascii="仿宋" w:hAnsi="仿宋" w:eastAsia="仿宋"/>
          <w:b/>
          <w:sz w:val="24"/>
        </w:rPr>
        <w:t xml:space="preserve">2.2 </w:t>
      </w:r>
      <w:r>
        <w:rPr>
          <w:rFonts w:hint="eastAsia" w:ascii="仿宋" w:hAnsi="仿宋" w:eastAsia="仿宋"/>
          <w:b/>
          <w:sz w:val="24"/>
        </w:rPr>
        <w:t>技术规范</w:t>
      </w:r>
      <w:bookmarkEnd w:id="429"/>
      <w:bookmarkEnd w:id="430"/>
      <w:bookmarkEnd w:id="431"/>
      <w:bookmarkEnd w:id="432"/>
      <w:bookmarkEnd w:id="433"/>
      <w:bookmarkEnd w:id="434"/>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35" w:name="_Toc259093671"/>
      <w:bookmarkStart w:id="436" w:name="_Toc279701242"/>
      <w:bookmarkStart w:id="437" w:name="_Toc31634"/>
      <w:bookmarkStart w:id="438" w:name="_Toc27853"/>
      <w:bookmarkStart w:id="439" w:name="_Toc487900351"/>
      <w:bookmarkStart w:id="440" w:name="_Toc9829"/>
      <w:r>
        <w:rPr>
          <w:rFonts w:ascii="仿宋" w:hAnsi="仿宋" w:eastAsia="仿宋"/>
          <w:b/>
          <w:sz w:val="24"/>
        </w:rPr>
        <w:t xml:space="preserve">2.3 </w:t>
      </w:r>
      <w:r>
        <w:rPr>
          <w:rFonts w:hint="eastAsia" w:ascii="仿宋" w:hAnsi="仿宋" w:eastAsia="仿宋"/>
          <w:b/>
          <w:sz w:val="24"/>
        </w:rPr>
        <w:t>知识产权</w:t>
      </w:r>
      <w:bookmarkEnd w:id="435"/>
      <w:bookmarkEnd w:id="436"/>
      <w:bookmarkEnd w:id="437"/>
      <w:bookmarkEnd w:id="438"/>
      <w:bookmarkEnd w:id="439"/>
      <w:bookmarkEnd w:id="440"/>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1" w:name="_Toc11932"/>
      <w:bookmarkStart w:id="442" w:name="_Toc29149"/>
      <w:bookmarkStart w:id="443" w:name="_Toc4194"/>
      <w:r>
        <w:rPr>
          <w:rFonts w:ascii="仿宋" w:hAnsi="仿宋" w:eastAsia="仿宋"/>
          <w:b/>
          <w:sz w:val="24"/>
        </w:rPr>
        <w:t xml:space="preserve">2.4 </w:t>
      </w:r>
      <w:r>
        <w:rPr>
          <w:rFonts w:hint="eastAsia" w:ascii="仿宋" w:hAnsi="仿宋" w:eastAsia="仿宋"/>
          <w:b/>
          <w:sz w:val="24"/>
        </w:rPr>
        <w:t>包装和装运</w:t>
      </w:r>
      <w:bookmarkEnd w:id="441"/>
      <w:bookmarkEnd w:id="442"/>
      <w:bookmarkEnd w:id="443"/>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4" w:name="_Toc279701245"/>
      <w:bookmarkStart w:id="445" w:name="_Toc259093674"/>
      <w:bookmarkStart w:id="446" w:name="_Ref467378591"/>
      <w:bookmarkStart w:id="447" w:name="_Ref467378541"/>
      <w:bookmarkStart w:id="448" w:name="_Toc487900354"/>
      <w:bookmarkStart w:id="449" w:name="_Ref467379536"/>
      <w:bookmarkStart w:id="450" w:name="_Ref467379527"/>
      <w:bookmarkStart w:id="451" w:name="_Ref467379542"/>
      <w:bookmarkStart w:id="452" w:name="_Toc30272"/>
      <w:bookmarkStart w:id="453" w:name="_Toc26182"/>
      <w:bookmarkStart w:id="454" w:name="_Toc19074"/>
      <w:r>
        <w:rPr>
          <w:rFonts w:ascii="仿宋" w:hAnsi="仿宋" w:eastAsia="仿宋"/>
          <w:b/>
          <w:sz w:val="24"/>
        </w:rPr>
        <w:t>2.</w:t>
      </w:r>
      <w:bookmarkEnd w:id="444"/>
      <w:bookmarkEnd w:id="445"/>
      <w:bookmarkEnd w:id="446"/>
      <w:bookmarkEnd w:id="447"/>
      <w:bookmarkEnd w:id="448"/>
      <w:bookmarkEnd w:id="449"/>
      <w:bookmarkEnd w:id="450"/>
      <w:bookmarkEnd w:id="451"/>
      <w:r>
        <w:rPr>
          <w:rFonts w:ascii="仿宋" w:hAnsi="仿宋" w:eastAsia="仿宋"/>
          <w:b/>
          <w:sz w:val="24"/>
        </w:rPr>
        <w:t xml:space="preserve">5 </w:t>
      </w:r>
      <w:r>
        <w:rPr>
          <w:rFonts w:hint="eastAsia" w:ascii="仿宋" w:hAnsi="仿宋" w:eastAsia="仿宋"/>
          <w:b/>
          <w:sz w:val="24"/>
        </w:rPr>
        <w:t>履约检查和问题反馈</w:t>
      </w:r>
      <w:bookmarkEnd w:id="452"/>
      <w:bookmarkEnd w:id="453"/>
      <w:bookmarkEnd w:id="454"/>
    </w:p>
    <w:p>
      <w:pPr>
        <w:spacing w:line="560" w:lineRule="exact"/>
        <w:ind w:firstLine="480" w:firstLineChars="200"/>
        <w:rPr>
          <w:rFonts w:ascii="仿宋" w:hAnsi="仿宋" w:eastAsia="仿宋"/>
          <w:sz w:val="24"/>
        </w:rPr>
      </w:pPr>
      <w:bookmarkStart w:id="455" w:name="_Ref467379657"/>
      <w:r>
        <w:rPr>
          <w:rFonts w:ascii="仿宋" w:hAnsi="仿宋" w:eastAsia="仿宋"/>
          <w:sz w:val="24"/>
        </w:rPr>
        <w:t>2.5.1</w:t>
      </w:r>
      <w:bookmarkEnd w:id="455"/>
      <w:bookmarkStart w:id="456" w:name="_Toc186431854"/>
      <w:bookmarkStart w:id="457" w:name="_Ref467379793"/>
      <w:bookmarkStart w:id="458" w:name="_Toc487900357"/>
      <w:bookmarkStart w:id="459" w:name="_Toc279701247"/>
      <w:bookmarkStart w:id="460" w:name="_Ref467379807"/>
      <w:bookmarkStart w:id="461" w:name="_Toc259093676"/>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56"/>
      <w:bookmarkStart w:id="462" w:name="_Toc186431855"/>
      <w:r>
        <w:rPr>
          <w:rFonts w:hint="eastAsia" w:ascii="仿宋" w:hAnsi="仿宋" w:eastAsia="仿宋"/>
          <w:sz w:val="24"/>
        </w:rPr>
        <w:t>。</w:t>
      </w:r>
    </w:p>
    <w:bookmarkEnd w:id="457"/>
    <w:bookmarkEnd w:id="458"/>
    <w:bookmarkEnd w:id="459"/>
    <w:bookmarkEnd w:id="460"/>
    <w:bookmarkEnd w:id="461"/>
    <w:bookmarkEnd w:id="462"/>
    <w:p>
      <w:pPr>
        <w:spacing w:line="560" w:lineRule="exact"/>
        <w:ind w:firstLine="482" w:firstLineChars="200"/>
        <w:outlineLvl w:val="0"/>
        <w:rPr>
          <w:rFonts w:ascii="仿宋" w:hAnsi="仿宋" w:eastAsia="仿宋"/>
          <w:b/>
          <w:sz w:val="24"/>
        </w:rPr>
      </w:pPr>
      <w:bookmarkStart w:id="463" w:name="_Toc487900358"/>
      <w:bookmarkStart w:id="464" w:name="_Ref467379923"/>
      <w:bookmarkStart w:id="465" w:name="_Ref467379852"/>
      <w:bookmarkStart w:id="466" w:name="_Ref467379863"/>
      <w:bookmarkStart w:id="467" w:name="_Toc259093677"/>
      <w:bookmarkStart w:id="468" w:name="_Toc279701248"/>
      <w:bookmarkStart w:id="469" w:name="_Toc774"/>
      <w:bookmarkStart w:id="470" w:name="_Toc3225"/>
      <w:bookmarkStart w:id="471" w:name="_Toc16110"/>
      <w:r>
        <w:rPr>
          <w:rFonts w:ascii="仿宋" w:hAnsi="仿宋" w:eastAsia="仿宋"/>
          <w:b/>
          <w:sz w:val="24"/>
        </w:rPr>
        <w:t xml:space="preserve">2.6 </w:t>
      </w:r>
      <w:r>
        <w:rPr>
          <w:rFonts w:hint="eastAsia" w:ascii="仿宋" w:hAnsi="仿宋" w:eastAsia="仿宋"/>
          <w:b/>
          <w:sz w:val="24"/>
        </w:rPr>
        <w:t>技术资料</w:t>
      </w:r>
      <w:bookmarkEnd w:id="463"/>
      <w:bookmarkEnd w:id="464"/>
      <w:bookmarkEnd w:id="465"/>
      <w:bookmarkEnd w:id="466"/>
      <w:bookmarkEnd w:id="467"/>
      <w:bookmarkEnd w:id="468"/>
      <w:r>
        <w:rPr>
          <w:rFonts w:hint="eastAsia" w:ascii="仿宋" w:hAnsi="仿宋" w:eastAsia="仿宋"/>
          <w:b/>
          <w:sz w:val="24"/>
        </w:rPr>
        <w:t>和保密义务</w:t>
      </w:r>
      <w:bookmarkEnd w:id="469"/>
      <w:bookmarkEnd w:id="470"/>
      <w:bookmarkEnd w:id="471"/>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72" w:name="_Toc7860"/>
      <w:r>
        <w:rPr>
          <w:rFonts w:ascii="仿宋" w:hAnsi="仿宋" w:eastAsia="仿宋"/>
          <w:b/>
          <w:sz w:val="24"/>
        </w:rPr>
        <w:t xml:space="preserve">2.7 </w:t>
      </w:r>
      <w:r>
        <w:rPr>
          <w:rFonts w:hint="eastAsia" w:ascii="仿宋" w:hAnsi="仿宋" w:eastAsia="仿宋"/>
          <w:b/>
          <w:sz w:val="24"/>
        </w:rPr>
        <w:t>质量保证</w:t>
      </w:r>
      <w:bookmarkEnd w:id="472"/>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73" w:name="_Toc17244"/>
      <w:bookmarkStart w:id="474" w:name="_Toc259093681"/>
      <w:bookmarkStart w:id="475" w:name="_Toc279701252"/>
      <w:bookmarkStart w:id="476" w:name="_Toc487900362"/>
      <w:r>
        <w:rPr>
          <w:rFonts w:ascii="仿宋" w:hAnsi="仿宋" w:eastAsia="仿宋"/>
          <w:b/>
          <w:sz w:val="24"/>
        </w:rPr>
        <w:t xml:space="preserve">2.8 </w:t>
      </w:r>
      <w:r>
        <w:rPr>
          <w:rFonts w:hint="eastAsia" w:ascii="仿宋" w:hAnsi="仿宋" w:eastAsia="仿宋"/>
          <w:b/>
          <w:sz w:val="24"/>
        </w:rPr>
        <w:t>货物的风险负担</w:t>
      </w:r>
      <w:bookmarkEnd w:id="473"/>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77" w:name="_Toc14055"/>
      <w:r>
        <w:rPr>
          <w:rFonts w:ascii="仿宋" w:hAnsi="仿宋" w:eastAsia="仿宋"/>
          <w:b/>
          <w:sz w:val="24"/>
        </w:rPr>
        <w:t xml:space="preserve">2.9 </w:t>
      </w:r>
      <w:r>
        <w:rPr>
          <w:rFonts w:hint="eastAsia" w:ascii="仿宋" w:hAnsi="仿宋" w:eastAsia="仿宋"/>
          <w:b/>
          <w:sz w:val="24"/>
        </w:rPr>
        <w:t>延迟交货</w:t>
      </w:r>
      <w:bookmarkEnd w:id="474"/>
      <w:bookmarkEnd w:id="475"/>
      <w:bookmarkEnd w:id="476"/>
      <w:bookmarkEnd w:id="477"/>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78" w:name="_Toc7502"/>
      <w:bookmarkStart w:id="479" w:name="_Toc279701254"/>
      <w:bookmarkStart w:id="480" w:name="_Toc487900364"/>
      <w:bookmarkStart w:id="481" w:name="_Toc259093683"/>
      <w:bookmarkStart w:id="482" w:name="_Ref467378121"/>
      <w:r>
        <w:rPr>
          <w:rFonts w:ascii="仿宋" w:hAnsi="仿宋" w:eastAsia="仿宋"/>
          <w:b/>
          <w:sz w:val="24"/>
        </w:rPr>
        <w:t xml:space="preserve">2.10 </w:t>
      </w:r>
      <w:r>
        <w:rPr>
          <w:rFonts w:hint="eastAsia" w:ascii="仿宋" w:hAnsi="仿宋" w:eastAsia="仿宋"/>
          <w:b/>
          <w:sz w:val="24"/>
        </w:rPr>
        <w:t>合同变更</w:t>
      </w:r>
      <w:bookmarkEnd w:id="478"/>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83" w:name="_Toc259093688"/>
      <w:bookmarkStart w:id="484" w:name="_Toc279701259"/>
      <w:bookmarkStart w:id="485" w:name="_Toc487900369"/>
    </w:p>
    <w:p>
      <w:pPr>
        <w:spacing w:line="560" w:lineRule="exact"/>
        <w:ind w:firstLine="482" w:firstLineChars="200"/>
        <w:outlineLvl w:val="0"/>
        <w:rPr>
          <w:rFonts w:ascii="仿宋" w:hAnsi="仿宋" w:eastAsia="仿宋"/>
          <w:b/>
          <w:sz w:val="24"/>
        </w:rPr>
      </w:pPr>
      <w:bookmarkStart w:id="486" w:name="_Toc10366"/>
      <w:bookmarkStart w:id="487" w:name="_Toc15237"/>
      <w:bookmarkStart w:id="488" w:name="_Toc22955"/>
      <w:r>
        <w:rPr>
          <w:rFonts w:ascii="仿宋" w:hAnsi="仿宋" w:eastAsia="仿宋"/>
          <w:b/>
          <w:sz w:val="24"/>
        </w:rPr>
        <w:t xml:space="preserve">2.11 </w:t>
      </w:r>
      <w:r>
        <w:rPr>
          <w:rFonts w:hint="eastAsia" w:ascii="仿宋" w:hAnsi="仿宋" w:eastAsia="仿宋"/>
          <w:b/>
          <w:sz w:val="24"/>
        </w:rPr>
        <w:t>合同转让</w:t>
      </w:r>
      <w:bookmarkEnd w:id="483"/>
      <w:bookmarkEnd w:id="484"/>
      <w:bookmarkEnd w:id="485"/>
      <w:r>
        <w:rPr>
          <w:rFonts w:hint="eastAsia" w:ascii="仿宋" w:hAnsi="仿宋" w:eastAsia="仿宋"/>
          <w:b/>
          <w:sz w:val="24"/>
        </w:rPr>
        <w:t>和分包</w:t>
      </w:r>
      <w:bookmarkEnd w:id="486"/>
      <w:bookmarkEnd w:id="487"/>
      <w:bookmarkEnd w:id="488"/>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89" w:name="_Toc14066"/>
      <w:bookmarkStart w:id="490" w:name="_Toc16508"/>
      <w:bookmarkStart w:id="491" w:name="_Toc13566"/>
      <w:r>
        <w:rPr>
          <w:rFonts w:ascii="仿宋" w:hAnsi="仿宋" w:eastAsia="仿宋"/>
          <w:b/>
          <w:sz w:val="24"/>
        </w:rPr>
        <w:t xml:space="preserve">2.12 </w:t>
      </w:r>
      <w:r>
        <w:rPr>
          <w:rFonts w:hint="eastAsia" w:ascii="仿宋" w:hAnsi="仿宋" w:eastAsia="仿宋"/>
          <w:b/>
          <w:sz w:val="24"/>
        </w:rPr>
        <w:t>不可抗力</w:t>
      </w:r>
      <w:bookmarkEnd w:id="489"/>
      <w:bookmarkEnd w:id="490"/>
      <w:bookmarkEnd w:id="491"/>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492" w:name="_Toc689"/>
      <w:bookmarkStart w:id="493" w:name="_Toc6969"/>
      <w:bookmarkStart w:id="494" w:name="_Toc487900365"/>
      <w:bookmarkStart w:id="495" w:name="_Toc259093684"/>
      <w:bookmarkStart w:id="496" w:name="_Toc279701255"/>
      <w:bookmarkStart w:id="497" w:name="_Toc30676"/>
      <w:r>
        <w:rPr>
          <w:rFonts w:ascii="仿宋" w:hAnsi="仿宋" w:eastAsia="仿宋"/>
          <w:b/>
          <w:sz w:val="24"/>
        </w:rPr>
        <w:t xml:space="preserve">2.13 </w:t>
      </w:r>
      <w:r>
        <w:rPr>
          <w:rFonts w:hint="eastAsia" w:ascii="仿宋" w:hAnsi="仿宋" w:eastAsia="仿宋"/>
          <w:b/>
          <w:sz w:val="24"/>
        </w:rPr>
        <w:t>税费</w:t>
      </w:r>
      <w:bookmarkEnd w:id="492"/>
      <w:bookmarkEnd w:id="493"/>
      <w:bookmarkEnd w:id="494"/>
      <w:bookmarkEnd w:id="495"/>
      <w:bookmarkEnd w:id="496"/>
      <w:bookmarkEnd w:id="497"/>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498" w:name="_Toc8298"/>
      <w:bookmarkStart w:id="499" w:name="_Toc7102"/>
      <w:bookmarkStart w:id="500" w:name="_Toc487900368"/>
      <w:bookmarkStart w:id="501" w:name="_Toc279701258"/>
      <w:bookmarkStart w:id="502" w:name="_Toc16959"/>
      <w:bookmarkStart w:id="503" w:name="_Toc259093687"/>
      <w:r>
        <w:rPr>
          <w:rFonts w:ascii="仿宋" w:hAnsi="仿宋" w:eastAsia="仿宋"/>
          <w:b/>
          <w:sz w:val="24"/>
        </w:rPr>
        <w:t>2.14乙方破产</w:t>
      </w:r>
      <w:bookmarkEnd w:id="498"/>
      <w:bookmarkEnd w:id="499"/>
      <w:bookmarkEnd w:id="500"/>
      <w:bookmarkEnd w:id="501"/>
      <w:bookmarkEnd w:id="502"/>
      <w:bookmarkEnd w:id="503"/>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04" w:name="_Toc15387"/>
      <w:bookmarkStart w:id="505" w:name="_Toc6134"/>
      <w:bookmarkStart w:id="506" w:name="_Toc29333"/>
      <w:r>
        <w:rPr>
          <w:rFonts w:ascii="仿宋" w:hAnsi="仿宋" w:eastAsia="仿宋"/>
          <w:b/>
          <w:sz w:val="24"/>
        </w:rPr>
        <w:t xml:space="preserve">2.15 </w:t>
      </w:r>
      <w:r>
        <w:rPr>
          <w:rFonts w:hint="eastAsia" w:ascii="仿宋" w:hAnsi="仿宋" w:eastAsia="仿宋"/>
          <w:b/>
          <w:sz w:val="24"/>
        </w:rPr>
        <w:t>合同中止、终止</w:t>
      </w:r>
      <w:bookmarkEnd w:id="504"/>
      <w:bookmarkEnd w:id="505"/>
      <w:bookmarkEnd w:id="506"/>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07" w:name="_Toc1125"/>
      <w:bookmarkStart w:id="508" w:name="_Toc14563"/>
      <w:bookmarkStart w:id="509" w:name="_Toc6596"/>
      <w:r>
        <w:rPr>
          <w:rFonts w:ascii="仿宋" w:hAnsi="仿宋" w:eastAsia="仿宋"/>
          <w:b/>
          <w:sz w:val="24"/>
        </w:rPr>
        <w:t>2.16检验和验收</w:t>
      </w:r>
      <w:bookmarkEnd w:id="507"/>
      <w:bookmarkEnd w:id="508"/>
      <w:bookmarkEnd w:id="509"/>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79"/>
    <w:bookmarkEnd w:id="480"/>
    <w:bookmarkEnd w:id="481"/>
    <w:bookmarkEnd w:id="482"/>
    <w:p>
      <w:pPr>
        <w:spacing w:line="560" w:lineRule="exact"/>
        <w:ind w:firstLine="482" w:firstLineChars="200"/>
        <w:outlineLvl w:val="0"/>
        <w:rPr>
          <w:rFonts w:ascii="仿宋" w:hAnsi="仿宋" w:eastAsia="仿宋"/>
          <w:b/>
          <w:sz w:val="24"/>
        </w:rPr>
      </w:pPr>
      <w:bookmarkStart w:id="510" w:name="_Toc279701261"/>
      <w:bookmarkStart w:id="511" w:name="_Toc487900371"/>
      <w:bookmarkStart w:id="512" w:name="_Toc259093690"/>
      <w:bookmarkStart w:id="513" w:name="_Toc11284"/>
      <w:bookmarkStart w:id="514" w:name="_Toc19604"/>
      <w:bookmarkStart w:id="515" w:name="_Toc25182"/>
      <w:r>
        <w:rPr>
          <w:rFonts w:ascii="仿宋" w:hAnsi="仿宋" w:eastAsia="仿宋"/>
          <w:b/>
          <w:sz w:val="24"/>
        </w:rPr>
        <w:t xml:space="preserve">2.17 </w:t>
      </w:r>
      <w:r>
        <w:rPr>
          <w:rFonts w:hint="eastAsia" w:ascii="仿宋" w:hAnsi="仿宋" w:eastAsia="仿宋"/>
          <w:b/>
          <w:sz w:val="24"/>
        </w:rPr>
        <w:t>通知</w:t>
      </w:r>
      <w:bookmarkEnd w:id="510"/>
      <w:bookmarkEnd w:id="511"/>
      <w:bookmarkEnd w:id="512"/>
      <w:r>
        <w:rPr>
          <w:rFonts w:hint="eastAsia" w:ascii="仿宋" w:hAnsi="仿宋" w:eastAsia="仿宋"/>
          <w:b/>
          <w:sz w:val="24"/>
        </w:rPr>
        <w:t>和送达</w:t>
      </w:r>
      <w:bookmarkEnd w:id="513"/>
      <w:bookmarkEnd w:id="514"/>
      <w:bookmarkEnd w:id="515"/>
    </w:p>
    <w:p>
      <w:pPr>
        <w:spacing w:line="560" w:lineRule="exact"/>
        <w:ind w:firstLine="480" w:firstLineChars="200"/>
        <w:rPr>
          <w:rFonts w:ascii="仿宋" w:hAnsi="仿宋" w:eastAsia="仿宋"/>
          <w:sz w:val="24"/>
        </w:rPr>
      </w:pPr>
      <w:bookmarkStart w:id="516" w:name="_Toc3135"/>
      <w:bookmarkStart w:id="517" w:name="_Toc6698"/>
      <w:bookmarkStart w:id="518" w:name="_Toc259093691"/>
      <w:bookmarkStart w:id="519" w:name="_Toc279701262"/>
      <w:bookmarkStart w:id="520" w:name="_Toc487900372"/>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16"/>
      <w:bookmarkEnd w:id="517"/>
    </w:p>
    <w:p>
      <w:pPr>
        <w:spacing w:line="560" w:lineRule="exact"/>
        <w:ind w:firstLine="480" w:firstLineChars="200"/>
        <w:rPr>
          <w:rFonts w:ascii="仿宋" w:hAnsi="仿宋" w:eastAsia="仿宋"/>
          <w:sz w:val="24"/>
        </w:rPr>
      </w:pPr>
      <w:bookmarkStart w:id="521" w:name="_Toc23128"/>
      <w:bookmarkStart w:id="522"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21"/>
      <w:bookmarkEnd w:id="522"/>
    </w:p>
    <w:p>
      <w:pPr>
        <w:spacing w:line="560" w:lineRule="exact"/>
        <w:ind w:firstLine="482" w:firstLineChars="200"/>
        <w:outlineLvl w:val="0"/>
        <w:rPr>
          <w:rFonts w:ascii="仿宋" w:hAnsi="仿宋" w:eastAsia="仿宋"/>
          <w:b/>
          <w:sz w:val="24"/>
        </w:rPr>
      </w:pPr>
      <w:bookmarkStart w:id="523" w:name="_Toc4355"/>
      <w:bookmarkStart w:id="524" w:name="_Toc18540"/>
      <w:bookmarkStart w:id="525" w:name="_Toc30599"/>
      <w:r>
        <w:rPr>
          <w:rFonts w:ascii="仿宋" w:hAnsi="仿宋" w:eastAsia="仿宋"/>
          <w:b/>
          <w:sz w:val="24"/>
        </w:rPr>
        <w:t xml:space="preserve">2.18 </w:t>
      </w:r>
      <w:r>
        <w:rPr>
          <w:rFonts w:hint="eastAsia" w:ascii="仿宋" w:hAnsi="仿宋" w:eastAsia="仿宋"/>
          <w:b/>
          <w:sz w:val="24"/>
        </w:rPr>
        <w:t>计量单位</w:t>
      </w:r>
      <w:bookmarkEnd w:id="518"/>
      <w:bookmarkEnd w:id="519"/>
      <w:bookmarkEnd w:id="520"/>
      <w:bookmarkEnd w:id="523"/>
      <w:bookmarkEnd w:id="524"/>
      <w:bookmarkEnd w:id="525"/>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26" w:name="_Toc259093692"/>
      <w:bookmarkStart w:id="527" w:name="_Toc10330"/>
      <w:bookmarkStart w:id="528" w:name="_Toc487900373"/>
      <w:bookmarkStart w:id="529" w:name="_Toc18567"/>
      <w:bookmarkStart w:id="530" w:name="_Toc12773"/>
      <w:bookmarkStart w:id="531" w:name="_Toc279701263"/>
      <w:r>
        <w:rPr>
          <w:rFonts w:ascii="仿宋" w:hAnsi="仿宋" w:eastAsia="仿宋"/>
          <w:b/>
          <w:sz w:val="24"/>
        </w:rPr>
        <w:t xml:space="preserve">2.19 </w:t>
      </w:r>
      <w:r>
        <w:rPr>
          <w:rFonts w:hint="eastAsia" w:ascii="仿宋" w:hAnsi="仿宋" w:eastAsia="仿宋"/>
          <w:b/>
          <w:sz w:val="24"/>
        </w:rPr>
        <w:t>合同使用的文字和适用的法律</w:t>
      </w:r>
      <w:bookmarkEnd w:id="526"/>
      <w:bookmarkEnd w:id="527"/>
      <w:bookmarkEnd w:id="528"/>
      <w:bookmarkEnd w:id="529"/>
      <w:bookmarkEnd w:id="530"/>
      <w:bookmarkEnd w:id="531"/>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360" w:lineRule="auto"/>
        <w:ind w:firstLine="482" w:firstLineChars="200"/>
        <w:outlineLvl w:val="0"/>
        <w:rPr>
          <w:rFonts w:ascii="仿宋" w:hAnsi="仿宋" w:eastAsia="仿宋"/>
          <w:b/>
          <w:sz w:val="24"/>
        </w:rPr>
      </w:pPr>
      <w:bookmarkStart w:id="532" w:name="_Toc16673"/>
      <w:bookmarkStart w:id="533" w:name="_Toc3148"/>
      <w:bookmarkStart w:id="534" w:name="_Toc12004"/>
      <w:bookmarkStart w:id="535" w:name="_Toc279701264"/>
      <w:bookmarkStart w:id="536" w:name="_Toc259093693"/>
      <w:bookmarkStart w:id="537" w:name="_Toc487900374"/>
      <w:r>
        <w:rPr>
          <w:rFonts w:ascii="仿宋" w:hAnsi="仿宋" w:eastAsia="仿宋"/>
          <w:b/>
          <w:sz w:val="24"/>
        </w:rPr>
        <w:t xml:space="preserve">2.20 </w:t>
      </w:r>
      <w:r>
        <w:rPr>
          <w:rFonts w:hint="eastAsia" w:ascii="仿宋" w:hAnsi="仿宋" w:eastAsia="仿宋"/>
          <w:b/>
          <w:sz w:val="24"/>
        </w:rPr>
        <w:t>履约保证金</w:t>
      </w:r>
      <w:bookmarkEnd w:id="532"/>
      <w:bookmarkEnd w:id="533"/>
      <w:bookmarkEnd w:id="534"/>
      <w:bookmarkEnd w:id="535"/>
      <w:bookmarkEnd w:id="536"/>
    </w:p>
    <w:p>
      <w:pPr>
        <w:pStyle w:val="958"/>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约定的方式，以支票、汇票、本票或者金融机构、担保机构出具的保函等非现金形式，提交不超过合同金额2.5</w:t>
      </w:r>
      <w:r>
        <w:rPr>
          <w:rFonts w:ascii="仿宋" w:hAnsi="仿宋" w:eastAsia="仿宋"/>
        </w:rPr>
        <w:t>%的履约保证金；鼓励和支持乙方以银行、保险公司出具的保函形式提供履约保证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pPr>
        <w:spacing w:line="360" w:lineRule="auto"/>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甲方在项目验收结束后及时退还履约保证金。甲方在项目通过验收之日起</w:t>
      </w:r>
      <w:r>
        <w:rPr>
          <w:rFonts w:hint="eastAsia" w:ascii="仿宋" w:hAnsi="仿宋" w:eastAsia="仿宋"/>
          <w:sz w:val="24"/>
          <w:u w:val="single"/>
        </w:rPr>
        <w:t>5</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hint="eastAsia" w:ascii="仿宋" w:hAnsi="仿宋" w:eastAsia="仿宋"/>
          <w:sz w:val="24"/>
          <w:u w:val="single"/>
        </w:rPr>
        <w:t>0.05</w:t>
      </w:r>
      <w:r>
        <w:rPr>
          <w:rFonts w:ascii="仿宋" w:hAnsi="仿宋" w:eastAsia="仿宋"/>
          <w:sz w:val="24"/>
        </w:rPr>
        <w:t>%计算，最高限额为本合同履约保证金的</w:t>
      </w:r>
      <w:r>
        <w:rPr>
          <w:rFonts w:hint="eastAsia" w:ascii="仿宋" w:hAnsi="仿宋" w:eastAsia="仿宋"/>
          <w:sz w:val="24"/>
          <w:u w:val="single"/>
        </w:rPr>
        <w:t>20</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2.5</w:t>
      </w:r>
      <w:r>
        <w:rPr>
          <w:rFonts w:ascii="仿宋" w:hAnsi="仿宋" w:eastAsia="仿宋"/>
          <w:sz w:val="24"/>
        </w:rPr>
        <w:t>%。</w:t>
      </w:r>
    </w:p>
    <w:p>
      <w:pPr>
        <w:spacing w:line="360" w:lineRule="auto"/>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37"/>
    <w:p>
      <w:pPr>
        <w:spacing w:line="560" w:lineRule="exact"/>
        <w:ind w:firstLine="482" w:firstLineChars="200"/>
        <w:outlineLvl w:val="0"/>
        <w:rPr>
          <w:rFonts w:ascii="仿宋" w:hAnsi="仿宋" w:eastAsia="仿宋"/>
          <w:b/>
          <w:sz w:val="24"/>
        </w:rPr>
      </w:pPr>
      <w:bookmarkStart w:id="538" w:name="_Toc19890"/>
      <w:bookmarkStart w:id="539" w:name="_Toc6885"/>
      <w:bookmarkStart w:id="540" w:name="_Toc14001"/>
      <w:r>
        <w:rPr>
          <w:rFonts w:ascii="仿宋" w:hAnsi="仿宋" w:eastAsia="仿宋"/>
          <w:b/>
          <w:sz w:val="24"/>
        </w:rPr>
        <w:t>2.2</w:t>
      </w:r>
      <w:r>
        <w:rPr>
          <w:rFonts w:hint="eastAsia" w:ascii="仿宋" w:hAnsi="仿宋" w:eastAsia="仿宋"/>
          <w:b/>
          <w:sz w:val="24"/>
        </w:rPr>
        <w:t>2合同份数</w:t>
      </w:r>
      <w:bookmarkEnd w:id="538"/>
      <w:bookmarkEnd w:id="539"/>
      <w:bookmarkEnd w:id="540"/>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701"/>
        <w:spacing w:line="560" w:lineRule="exact"/>
        <w:jc w:val="center"/>
        <w:rPr>
          <w:rFonts w:ascii="仿宋" w:hAnsi="仿宋" w:eastAsia="仿宋"/>
          <w:b/>
          <w:szCs w:val="24"/>
        </w:rPr>
      </w:pPr>
      <w:r>
        <w:rPr>
          <w:rFonts w:ascii="仿宋" w:hAnsi="仿宋" w:eastAsia="仿宋" w:cstheme="minorBidi"/>
          <w:kern w:val="0"/>
          <w:szCs w:val="24"/>
        </w:rPr>
        <w:br w:type="page"/>
      </w:r>
      <w:bookmarkStart w:id="541" w:name="_Toc331685784"/>
      <w:bookmarkEnd w:id="541"/>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34"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4534" w:type="pct"/>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83"/>
      <w:bookmarkEnd w:id="38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r>
        <w:rPr>
          <w:rFonts w:hint="eastAsia" w:ascii="仿宋_GB2312" w:hAnsi="仿宋" w:eastAsia="仿宋_GB2312" w:cs="仿宋_GB2312"/>
          <w:color w:val="FF0000"/>
          <w:sz w:val="24"/>
        </w:rPr>
        <w:t>（</w:t>
      </w:r>
      <w:r>
        <w:rPr>
          <w:rFonts w:ascii="仿宋_GB2312" w:hAnsi="仿宋" w:eastAsia="仿宋_GB2312" w:cs="仿宋_GB2312"/>
          <w:color w:val="FF0000"/>
          <w:sz w:val="24"/>
        </w:rPr>
        <w:t>7）</w:t>
      </w:r>
      <w:r>
        <w:rPr>
          <w:rFonts w:hint="eastAsia" w:ascii="仿宋_GB2312" w:hAnsi="仿宋" w:eastAsia="仿宋_GB2312" w:cs="仿宋_GB2312"/>
          <w:color w:val="FF0000"/>
          <w:sz w:val="24"/>
        </w:rPr>
        <w:t>投标标的清单</w:t>
      </w:r>
      <w:r>
        <w:rPr>
          <w:rFonts w:hint="eastAsia" w:cs="仿宋_GB2312"/>
          <w:color w:val="FF0000"/>
        </w:rPr>
        <w:t>…………………………</w:t>
      </w:r>
      <w:r>
        <w:rPr>
          <w:rFonts w:hint="eastAsia" w:ascii="仿宋_GB2312" w:hAnsi="仿宋" w:eastAsia="仿宋_GB2312" w:cs="仿宋_GB2312"/>
          <w:color w:val="FF0000"/>
          <w:sz w:val="24"/>
        </w:rPr>
        <w:t>………</w:t>
      </w:r>
      <w:r>
        <w:rPr>
          <w:rFonts w:hint="eastAsia" w:cs="仿宋_GB2312"/>
          <w:color w:val="FF0000"/>
        </w:rPr>
        <w:t>…</w:t>
      </w:r>
      <w:r>
        <w:rPr>
          <w:rFonts w:hint="eastAsia" w:ascii="仿宋_GB2312" w:hAnsi="仿宋" w:eastAsia="仿宋_GB2312" w:cs="仿宋_GB2312"/>
          <w:color w:val="FF0000"/>
          <w:sz w:val="24"/>
        </w:rPr>
        <w:t>…</w:t>
      </w:r>
      <w:r>
        <w:rPr>
          <w:rFonts w:hint="eastAsia" w:cs="仿宋_GB2312"/>
          <w:color w:val="FF0000"/>
        </w:rPr>
        <w:t>…</w:t>
      </w:r>
      <w:r>
        <w:rPr>
          <w:rFonts w:hint="eastAsia" w:ascii="仿宋_GB2312" w:hAnsi="仿宋" w:eastAsia="仿宋_GB2312" w:cs="仿宋_GB2312"/>
          <w:color w:val="FF0000"/>
          <w:sz w:val="24"/>
        </w:rPr>
        <w:t>…</w:t>
      </w:r>
      <w:r>
        <w:rPr>
          <w:rFonts w:hint="eastAsia" w:cs="仿宋_GB2312"/>
          <w:color w:val="FF0000"/>
        </w:rPr>
        <w:t>…</w:t>
      </w:r>
      <w:r>
        <w:rPr>
          <w:rFonts w:hint="eastAsia" w:ascii="仿宋_GB2312" w:hAnsi="仿宋" w:eastAsia="仿宋_GB2312" w:cs="仿宋_GB2312"/>
          <w:color w:val="FF0000"/>
          <w:sz w:val="24"/>
        </w:rPr>
        <w:t>…</w:t>
      </w:r>
      <w:r>
        <w:rPr>
          <w:rFonts w:hint="eastAsia" w:cs="仿宋_GB2312"/>
          <w:color w:val="FF0000"/>
        </w:rPr>
        <w:t>…</w:t>
      </w:r>
      <w:r>
        <w:rPr>
          <w:rFonts w:hint="eastAsia" w:ascii="仿宋_GB2312" w:hAnsi="仿宋" w:eastAsia="仿宋_GB2312" w:cs="仿宋_GB2312"/>
          <w:color w:val="FF0000"/>
          <w:sz w:val="24"/>
        </w:rPr>
        <w:t>…</w:t>
      </w:r>
      <w:r>
        <w:rPr>
          <w:rFonts w:hint="eastAsia" w:cs="仿宋_GB2312"/>
          <w:color w:val="FF0000"/>
        </w:rPr>
        <w:t>……………（页码）</w:t>
      </w:r>
      <w:r>
        <w:rPr>
          <w:rFonts w:hint="eastAsia" w:ascii="仿宋_GB2312" w:hAnsi="仿宋" w:eastAsia="仿宋_GB2312" w:cs="仿宋_GB2312"/>
          <w:sz w:val="24"/>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FF0000"/>
          <w:sz w:val="24"/>
        </w:rPr>
      </w:pPr>
      <w:r>
        <w:rPr>
          <w:rFonts w:hint="eastAsia" w:ascii="仿宋_GB2312" w:hAnsi="仿宋" w:eastAsia="仿宋_GB2312" w:cs="仿宋_GB2312"/>
          <w:color w:val="FF0000"/>
          <w:sz w:val="24"/>
        </w:rPr>
        <w:t>2.2.7投标标的清单；</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8</w:t>
      </w:r>
      <w:r>
        <w:rPr>
          <w:rFonts w:ascii="仿宋_GB2312" w:hAnsi="仿宋" w:eastAsia="仿宋_GB2312" w:cs="仿宋_GB2312"/>
          <w:sz w:val="24"/>
        </w:rPr>
        <w:t>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snapToGrid w:val="0"/>
        <w:spacing w:line="360" w:lineRule="auto"/>
        <w:jc w:val="center"/>
        <w:rPr>
          <w:rFonts w:ascii="仿宋_GB2312" w:hAnsi="仿宋" w:eastAsia="仿宋_GB2312" w:cs="仿宋_GB2312"/>
          <w:b/>
          <w:kern w:val="0"/>
          <w:sz w:val="32"/>
          <w:szCs w:val="32"/>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81"/>
        <w:spacing w:before="120"/>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149"/>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snapToGrid w:val="0"/>
        <w:spacing w:line="360" w:lineRule="auto"/>
        <w:ind w:right="480"/>
        <w:rPr>
          <w:rFonts w:ascii="仿宋_GB2312" w:hAnsi="仿宋" w:eastAsia="仿宋_GB2312" w:cs="仿宋_GB2312"/>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pacing w:line="360" w:lineRule="auto"/>
        <w:ind w:right="42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right="420"/>
        <w:rPr>
          <w:rFonts w:ascii="仿宋_GB2312" w:hAnsi="仿宋" w:eastAsia="仿宋_GB2312" w:cs="仿宋_GB2312"/>
          <w:kern w:val="0"/>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3"/>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cs="仿宋_GB2312"/>
          <w:b/>
          <w:color w:val="FF0000"/>
          <w:kern w:val="0"/>
          <w:sz w:val="32"/>
          <w:szCs w:val="32"/>
        </w:rPr>
      </w:pPr>
      <w:r>
        <w:rPr>
          <w:rFonts w:hint="eastAsia" w:ascii="仿宋_GB2312" w:hAnsi="仿宋" w:eastAsia="仿宋_GB2312" w:cs="仿宋_GB2312"/>
          <w:b/>
          <w:color w:val="FF0000"/>
          <w:kern w:val="0"/>
          <w:sz w:val="32"/>
          <w:szCs w:val="32"/>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FF0000"/>
                <w:sz w:val="24"/>
              </w:rPr>
            </w:pPr>
            <w:r>
              <w:rPr>
                <w:rFonts w:hint="eastAsia" w:ascii="仿宋_GB2312" w:hAnsi="仿宋" w:eastAsia="仿宋_GB2312"/>
                <w:b/>
                <w:color w:val="FF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r>
              <w:rPr>
                <w:rFonts w:hint="eastAsia" w:ascii="仿宋_GB2312" w:hAnsi="仿宋" w:eastAsia="仿宋_GB2312"/>
                <w:color w:val="FF000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r>
              <w:rPr>
                <w:rFonts w:hint="eastAsia" w:ascii="仿宋_GB2312" w:hAnsi="仿宋" w:eastAsia="仿宋_GB2312"/>
                <w:color w:val="FF000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r>
              <w:rPr>
                <w:rFonts w:hint="eastAsia" w:ascii="仿宋_GB2312" w:hAnsi="仿宋" w:eastAsia="仿宋_GB2312"/>
                <w:color w:val="FF000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FF0000"/>
                <w:sz w:val="24"/>
              </w:rPr>
            </w:pPr>
          </w:p>
        </w:tc>
      </w:tr>
    </w:tbl>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b/>
          <w:bCs/>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b/>
          <w:bCs/>
          <w:sz w:val="32"/>
          <w:szCs w:val="32"/>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注：</w:t>
      </w:r>
      <w:r>
        <w:rPr>
          <w:rFonts w:hint="eastAsia" w:ascii="仿宋_GB2312" w:hAnsi="仿宋" w:eastAsia="仿宋_GB2312" w:cs="仿宋_GB2312"/>
          <w:sz w:val="24"/>
        </w:rPr>
        <w:t>按本格式和要求提供。</w:t>
      </w:r>
    </w:p>
    <w:p>
      <w:pPr>
        <w:spacing w:line="360" w:lineRule="auto"/>
        <w:jc w:val="center"/>
        <w:rPr>
          <w:rFonts w:ascii="仿宋_GB2312" w:hAnsi="仿宋" w:eastAsia="仿宋_GB2312" w:cs="仿宋_GB2312"/>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color w:val="FF0000"/>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color w:val="FF0000"/>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FF0000"/>
          <w:kern w:val="0"/>
          <w:sz w:val="24"/>
          <w:lang w:val="zh-CN"/>
        </w:rPr>
        <w:t>，</w:t>
      </w:r>
      <w:r>
        <w:rPr>
          <w:rFonts w:hint="eastAsia" w:ascii="仿宋_GB2312" w:hAnsi="仿宋" w:eastAsia="仿宋_GB2312" w:cs="仿宋_GB2312"/>
          <w:b/>
          <w:color w:val="FF0000"/>
          <w:kern w:val="0"/>
          <w:sz w:val="24"/>
          <w:lang w:val="zh-CN"/>
        </w:rPr>
        <w:t>不得出现“</w:t>
      </w:r>
      <w:r>
        <w:rPr>
          <w:rFonts w:ascii="仿宋_GB2312" w:hAnsi="仿宋" w:eastAsia="仿宋_GB2312" w:cs="仿宋_GB2312"/>
          <w:b/>
          <w:color w:val="FF0000"/>
          <w:kern w:val="0"/>
          <w:sz w:val="24"/>
          <w:lang w:val="zh-CN"/>
        </w:rPr>
        <w:t>0元”“免费赠送”等形式的无偿报价</w:t>
      </w:r>
      <w:r>
        <w:rPr>
          <w:rFonts w:hint="eastAsia" w:ascii="仿宋_GB2312" w:hAnsi="仿宋" w:eastAsia="仿宋_GB2312" w:cs="仿宋_GB2312"/>
          <w:b/>
          <w:color w:val="FF0000"/>
          <w:kern w:val="0"/>
          <w:sz w:val="24"/>
          <w:lang w:val="zh-CN"/>
        </w:rPr>
        <w:t>，</w:t>
      </w:r>
      <w:r>
        <w:rPr>
          <w:rFonts w:hint="eastAsia" w:ascii="仿宋_GB2312" w:hAnsi="仿宋" w:eastAsia="仿宋_GB2312" w:cs="仿宋_GB2312"/>
          <w:b/>
          <w:color w:val="FF0000"/>
          <w:kern w:val="0"/>
          <w:sz w:val="24"/>
        </w:rPr>
        <w:t>否则视为</w:t>
      </w:r>
      <w:r>
        <w:rPr>
          <w:rFonts w:hint="eastAsia" w:ascii="仿宋_GB2312" w:hAnsi="仿宋" w:eastAsia="仿宋_GB2312"/>
          <w:b/>
          <w:color w:val="FF0000"/>
          <w:sz w:val="24"/>
        </w:rPr>
        <w:t>投标文件含有采购人不能接受的附加条件的，投标无效</w:t>
      </w:r>
      <w:r>
        <w:rPr>
          <w:rFonts w:hint="eastAsia" w:ascii="仿宋_GB2312" w:hAnsi="仿宋" w:eastAsia="仿宋_GB2312" w:cs="仿宋_GB2312"/>
          <w:b/>
          <w:color w:val="FF0000"/>
          <w:kern w:val="0"/>
          <w:sz w:val="24"/>
          <w:lang w:val="zh-CN"/>
        </w:rPr>
        <w:t>；采购内容未包含在《开标一览表（报价表）》名称栏中，投标人不能作出合理解释的，</w:t>
      </w:r>
      <w:r>
        <w:rPr>
          <w:rFonts w:hint="eastAsia" w:ascii="仿宋_GB2312" w:hAnsi="仿宋" w:eastAsia="仿宋_GB2312" w:cs="仿宋_GB2312"/>
          <w:b/>
          <w:color w:val="FF0000"/>
          <w:kern w:val="0"/>
          <w:sz w:val="24"/>
        </w:rPr>
        <w:t>视为</w:t>
      </w:r>
      <w:r>
        <w:rPr>
          <w:rFonts w:hint="eastAsia" w:ascii="仿宋_GB2312" w:hAnsi="仿宋" w:eastAsia="仿宋_GB2312"/>
          <w:b/>
          <w:color w:val="FF0000"/>
          <w:sz w:val="24"/>
        </w:rPr>
        <w:t>投标文件含有采购人不能接受的附加条件的，投标无效。</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2"/>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3"/>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3"/>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42" w:name="_Toc465665161"/>
      <w:r>
        <w:rPr>
          <w:rFonts w:hint="eastAsia" w:ascii="仿宋_GB2312" w:hAnsi="仿宋" w:eastAsia="仿宋_GB2312"/>
        </w:rPr>
        <w:t>附件</w:t>
      </w:r>
      <w:bookmarkEnd w:id="542"/>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43" w:name="OLE_LINK13"/>
      <w:bookmarkStart w:id="544" w:name="OLE_LINK14"/>
      <w:r>
        <w:rPr>
          <w:rFonts w:hint="eastAsia" w:ascii="仿宋_GB2312" w:hAnsi="仿宋" w:eastAsia="仿宋_GB2312"/>
          <w:b/>
          <w:spacing w:val="6"/>
          <w:sz w:val="32"/>
          <w:szCs w:val="32"/>
        </w:rPr>
        <w:t>残疾人福利性单位声明函</w:t>
      </w:r>
    </w:p>
    <w:bookmarkEnd w:id="543"/>
    <w:bookmarkEnd w:id="544"/>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hint="eastAsia" w:ascii="仿宋_GB2312" w:hAnsi="宋体" w:eastAsia="仿宋_GB2312"/>
          <w:sz w:val="24"/>
          <w:u w:val="single"/>
        </w:rPr>
        <w:t>（单位名称）</w:t>
      </w:r>
      <w:r>
        <w:rPr>
          <w:rFonts w:hint="eastAsia" w:ascii="仿宋_GB2312" w:hAnsi="宋体" w:eastAsia="仿宋_GB2312"/>
          <w:sz w:val="24"/>
        </w:rPr>
        <w:t>的</w:t>
      </w:r>
      <w:r>
        <w:rPr>
          <w:rFonts w:hint="eastAsia" w:ascii="仿宋_GB2312" w:hAnsi="宋体" w:eastAsia="仿宋_GB2312"/>
          <w:sz w:val="24"/>
          <w:u w:val="single"/>
        </w:rPr>
        <w:t>（项目名称）</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olor w:val="FF0000"/>
          <w:sz w:val="24"/>
        </w:rPr>
      </w:pPr>
      <w:r>
        <w:rPr>
          <w:rFonts w:hint="eastAsia" w:ascii="仿宋_GB2312" w:hAnsi="仿宋" w:eastAsia="仿宋_GB2312" w:cs="仿宋_GB2312"/>
          <w:sz w:val="24"/>
        </w:rPr>
        <w:t>注：</w:t>
      </w:r>
      <w:r>
        <w:rPr>
          <w:rFonts w:hint="eastAsia" w:ascii="仿宋_GB2312" w:hAnsi="仿宋" w:eastAsia="仿宋_GB2312" w:cs="仿宋_GB2312"/>
          <w:color w:val="FF0000"/>
          <w:sz w:val="24"/>
        </w:rPr>
        <w:t>1、填写要求：①“</w:t>
      </w:r>
      <w:r>
        <w:rPr>
          <w:rFonts w:hint="eastAsia" w:ascii="仿宋_GB2312" w:hAnsi="宋体" w:eastAsia="仿宋_GB2312"/>
          <w:color w:val="FF0000"/>
          <w:sz w:val="24"/>
        </w:rPr>
        <w:t>标的名称”、“采购文件中明确的所属行业”</w:t>
      </w:r>
      <w:r>
        <w:rPr>
          <w:rFonts w:hint="eastAsia" w:ascii="仿宋_GB2312" w:hAnsi="仿宋" w:eastAsia="仿宋_GB2312" w:cs="仿宋_GB2312"/>
          <w:color w:val="FF0000"/>
          <w:sz w:val="24"/>
        </w:rPr>
        <w:t>依据招标文件第二部分投标人须知前附表中“采购标的对应的中小企业划分标准所属行业”填写，不得缺漏；②</w:t>
      </w:r>
      <w:r>
        <w:rPr>
          <w:rFonts w:hint="eastAsia" w:ascii="仿宋_GB2312" w:hAnsi="宋体" w:eastAsia="仿宋_GB2312"/>
          <w:color w:val="FF0000"/>
          <w:sz w:val="24"/>
        </w:rPr>
        <w:t>从业人员、营业收入、资产总额填报上一年度数据，无上一年度数据的新成立企业可不填报；</w:t>
      </w:r>
      <w:r>
        <w:rPr>
          <w:rFonts w:hint="eastAsia" w:ascii="仿宋_GB2312" w:hAnsi="仿宋" w:eastAsia="仿宋_GB2312" w:cs="仿宋_GB2312"/>
          <w:color w:val="FF0000"/>
          <w:sz w:val="24"/>
        </w:rPr>
        <w:t>③</w:t>
      </w:r>
      <w:r>
        <w:rPr>
          <w:rFonts w:hint="eastAsia" w:ascii="仿宋_GB2312" w:hAnsi="宋体" w:eastAsia="仿宋_GB2312"/>
          <w:color w:val="FF0000"/>
          <w:sz w:val="24"/>
        </w:rPr>
        <w:t>中型企业、小型企业、微型企业等3种企业类型，结合以上数据，依据《中小企业划型标准规定》（工信部联企业〔2011〕300号）确定</w:t>
      </w:r>
      <w:r>
        <w:rPr>
          <w:rFonts w:hint="eastAsia" w:ascii="仿宋_GB2312" w:hAnsi="仿宋" w:eastAsia="仿宋_GB2312" w:cs="仿宋_GB2312"/>
          <w:color w:val="FF0000"/>
          <w:sz w:val="24"/>
        </w:rPr>
        <w:t>；④</w:t>
      </w:r>
      <w:r>
        <w:rPr>
          <w:rFonts w:hint="eastAsia" w:ascii="仿宋_GB2312" w:hAnsi="仿宋" w:eastAsia="仿宋_GB2312"/>
          <w:color w:val="FF0000"/>
          <w:sz w:val="24"/>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宋体" w:eastAsia="仿宋_GB2312"/>
          <w:sz w:val="24"/>
          <w:u w:val="single"/>
        </w:rPr>
        <w:t>（单位名称）</w:t>
      </w:r>
      <w:r>
        <w:rPr>
          <w:rFonts w:hint="eastAsia" w:ascii="仿宋_GB2312" w:hAnsi="宋体" w:eastAsia="仿宋_GB2312"/>
          <w:sz w:val="24"/>
        </w:rPr>
        <w:t>的</w:t>
      </w:r>
      <w:r>
        <w:rPr>
          <w:rFonts w:hint="eastAsia" w:ascii="仿宋_GB2312" w:hAnsi="宋体" w:eastAsia="仿宋_GB2312"/>
          <w:sz w:val="24"/>
          <w:u w:val="single"/>
        </w:rPr>
        <w:t>（项目名称）</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w:t>
      </w:r>
    </w:p>
    <w:p>
      <w:pPr>
        <w:spacing w:line="360" w:lineRule="auto"/>
        <w:ind w:right="420" w:firstLine="480" w:firstLineChars="200"/>
        <w:rPr>
          <w:rFonts w:ascii="仿宋_GB2312" w:hAnsi="仿宋" w:eastAsia="仿宋_GB2312"/>
          <w:color w:val="FF0000"/>
          <w:sz w:val="24"/>
        </w:rPr>
      </w:pPr>
      <w:r>
        <w:rPr>
          <w:rFonts w:hint="eastAsia" w:ascii="仿宋_GB2312" w:hAnsi="仿宋" w:eastAsia="仿宋_GB2312" w:cs="仿宋_GB2312"/>
          <w:color w:val="FF0000"/>
          <w:sz w:val="24"/>
        </w:rPr>
        <w:t>1、填写要求：①“</w:t>
      </w:r>
      <w:r>
        <w:rPr>
          <w:rFonts w:hint="eastAsia" w:ascii="仿宋_GB2312" w:hAnsi="宋体" w:eastAsia="仿宋_GB2312"/>
          <w:color w:val="FF0000"/>
          <w:sz w:val="24"/>
        </w:rPr>
        <w:t>标的名称”、“采购文件中明确的所属行业”</w:t>
      </w:r>
      <w:r>
        <w:rPr>
          <w:rFonts w:hint="eastAsia" w:ascii="仿宋_GB2312" w:hAnsi="仿宋" w:eastAsia="仿宋_GB2312" w:cs="仿宋_GB2312"/>
          <w:color w:val="FF0000"/>
          <w:sz w:val="24"/>
        </w:rPr>
        <w:t>依据招标文件第二部分投标人须知前附表中“采购标的对应的中小企业划分标准所属行业”填写，不得缺漏；②</w:t>
      </w:r>
      <w:r>
        <w:rPr>
          <w:rFonts w:hint="eastAsia" w:ascii="仿宋_GB2312" w:hAnsi="宋体" w:eastAsia="仿宋_GB2312"/>
          <w:color w:val="FF0000"/>
          <w:sz w:val="24"/>
        </w:rPr>
        <w:t>从业人员、营业收入、资产总额填报上一年度数据，无上一年度数据的新成立企业可不填报；</w:t>
      </w:r>
      <w:r>
        <w:rPr>
          <w:rFonts w:hint="eastAsia" w:ascii="仿宋_GB2312" w:hAnsi="仿宋" w:eastAsia="仿宋_GB2312" w:cs="仿宋_GB2312"/>
          <w:color w:val="FF0000"/>
          <w:sz w:val="24"/>
        </w:rPr>
        <w:t>③</w:t>
      </w:r>
      <w:r>
        <w:rPr>
          <w:rFonts w:hint="eastAsia" w:ascii="仿宋_GB2312" w:hAnsi="宋体" w:eastAsia="仿宋_GB2312"/>
          <w:color w:val="FF0000"/>
          <w:sz w:val="24"/>
        </w:rPr>
        <w:t>中型企业、小型企业、微型企业等3种企业类型，结合以上数据，依据《中小企业划型标准规定》（工信部联企业〔2011〕300号）确定</w:t>
      </w:r>
      <w:r>
        <w:rPr>
          <w:rFonts w:hint="eastAsia" w:ascii="仿宋_GB2312" w:hAnsi="仿宋" w:eastAsia="仿宋_GB2312" w:cs="仿宋_GB2312"/>
          <w:color w:val="FF0000"/>
          <w:sz w:val="24"/>
        </w:rPr>
        <w:t>；④</w:t>
      </w:r>
      <w:r>
        <w:rPr>
          <w:rFonts w:hint="eastAsia" w:ascii="仿宋_GB2312" w:hAnsi="仿宋" w:eastAsia="仿宋_GB2312"/>
          <w:color w:val="FF0000"/>
          <w:sz w:val="24"/>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sz w:val="24"/>
        </w:rPr>
      </w:pPr>
      <w:r>
        <w:rPr>
          <w:rFonts w:ascii="仿宋_GB2312" w:hAnsi="仿宋" w:eastAsia="仿宋_GB2312" w:cs="仿宋_GB2312"/>
          <w:sz w:val="24"/>
        </w:rPr>
        <w:br w:type="page"/>
      </w:r>
    </w:p>
    <w:p>
      <w:pPr>
        <w:rPr>
          <w:rFonts w:ascii="仿宋" w:hAnsi="仿宋" w:eastAsia="仿宋" w:cs="仿宋_GB2312"/>
          <w:b/>
          <w:color w:val="000000"/>
          <w:sz w:val="24"/>
        </w:rPr>
      </w:pPr>
      <w:r>
        <w:rPr>
          <w:rFonts w:hint="eastAsia" w:ascii="仿宋" w:hAnsi="仿宋" w:eastAsia="仿宋"/>
          <w:b/>
          <w:color w:val="000000"/>
          <w:spacing w:val="6"/>
          <w:sz w:val="32"/>
          <w:szCs w:val="32"/>
          <w:highlight w:val="yellow"/>
        </w:rPr>
        <w:t>附件6</w:t>
      </w:r>
    </w:p>
    <w:p>
      <w:pPr>
        <w:jc w:val="center"/>
        <w:rPr>
          <w:sz w:val="40"/>
        </w:rPr>
      </w:pPr>
      <w:r>
        <w:rPr>
          <w:rFonts w:hint="eastAsia"/>
          <w:sz w:val="40"/>
        </w:rPr>
        <w:t>样品（演示）授权委托书</w:t>
      </w:r>
    </w:p>
    <w:p>
      <w:pPr>
        <w:jc w:val="center"/>
        <w:rPr>
          <w:sz w:val="40"/>
        </w:rPr>
      </w:pPr>
    </w:p>
    <w:p>
      <w:pPr>
        <w:snapToGrid w:val="0"/>
        <w:spacing w:line="360" w:lineRule="auto"/>
        <w:rPr>
          <w:rFonts w:ascii="仿宋" w:hAnsi="仿宋" w:eastAsia="仿宋" w:cs="仿宋"/>
          <w:color w:val="000000"/>
          <w:kern w:val="0"/>
          <w:sz w:val="24"/>
        </w:rPr>
      </w:pPr>
      <w:r>
        <w:rPr>
          <w:rFonts w:hint="eastAsia" w:ascii="仿宋" w:hAnsi="仿宋" w:eastAsia="仿宋" w:cs="仿宋_GB2312"/>
          <w:color w:val="000000"/>
          <w:sz w:val="24"/>
        </w:rPr>
        <w:t>XXX（单位名称或采购机构名称）</w:t>
      </w:r>
      <w:r>
        <w:rPr>
          <w:rFonts w:hint="eastAsia" w:ascii="仿宋" w:hAnsi="仿宋" w:eastAsia="仿宋" w:cs="仿宋"/>
          <w:color w:val="000000"/>
          <w:kern w:val="0"/>
          <w:sz w:val="24"/>
          <w:lang w:val="zh-CN"/>
        </w:rPr>
        <w:t>：</w:t>
      </w:r>
    </w:p>
    <w:p>
      <w:pPr>
        <w:snapToGrid w:val="0"/>
        <w:spacing w:line="360" w:lineRule="auto"/>
        <w:ind w:left="254" w:leftChars="121" w:firstLine="480" w:firstLineChars="200"/>
        <w:jc w:val="left"/>
        <w:rPr>
          <w:rFonts w:ascii="仿宋" w:hAnsi="仿宋" w:eastAsia="仿宋" w:cs="仿宋"/>
          <w:color w:val="000000"/>
          <w:kern w:val="0"/>
          <w:sz w:val="24"/>
          <w:u w:val="single"/>
          <w:lang w:val="zh-CN"/>
        </w:rPr>
      </w:pPr>
      <w:r>
        <w:rPr>
          <w:rFonts w:hint="eastAsia" w:ascii="仿宋" w:hAnsi="仿宋" w:eastAsia="仿宋" w:cs="仿宋"/>
          <w:color w:val="000000"/>
          <w:kern w:val="0"/>
          <w:sz w:val="24"/>
          <w:lang w:val="zh-CN"/>
        </w:rPr>
        <w:t>兹委派先生/女士，身份证号：</w:t>
      </w:r>
    </w:p>
    <w:p>
      <w:pPr>
        <w:snapToGrid w:val="0"/>
        <w:spacing w:line="360" w:lineRule="auto"/>
        <w:ind w:left="254" w:leftChars="121"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lang w:val="zh-CN"/>
        </w:rPr>
        <w:t>手机：，代表我公司前来递交</w:t>
      </w:r>
      <w:r>
        <w:rPr>
          <w:rFonts w:hint="eastAsia" w:ascii="仿宋" w:hAnsi="仿宋" w:eastAsia="仿宋" w:cs="仿宋"/>
          <w:color w:val="000000"/>
          <w:kern w:val="0"/>
          <w:sz w:val="24"/>
          <w:u w:val="single"/>
          <w:lang w:val="zh-CN"/>
        </w:rPr>
        <w:t>采购项目</w:t>
      </w:r>
      <w:r>
        <w:rPr>
          <w:rFonts w:hint="eastAsia" w:ascii="仿宋" w:hAnsi="仿宋" w:eastAsia="仿宋" w:cs="仿宋"/>
          <w:color w:val="000000"/>
          <w:kern w:val="0"/>
          <w:sz w:val="24"/>
          <w:lang w:val="zh-CN"/>
        </w:rPr>
        <w:t>【项目编号：】（标项号： ）投标</w:t>
      </w:r>
      <w:r>
        <w:rPr>
          <w:rFonts w:hint="eastAsia" w:ascii="仿宋" w:hAnsi="仿宋" w:eastAsia="仿宋" w:cs="仿宋"/>
          <w:color w:val="0000FF"/>
          <w:kern w:val="0"/>
          <w:sz w:val="24"/>
          <w:lang w:val="zh-CN"/>
        </w:rPr>
        <w:t>样品或参加演示</w:t>
      </w:r>
      <w:r>
        <w:rPr>
          <w:rFonts w:hint="eastAsia" w:ascii="仿宋" w:hAnsi="仿宋" w:eastAsia="仿宋" w:cs="仿宋"/>
          <w:color w:val="000000"/>
          <w:kern w:val="0"/>
          <w:sz w:val="24"/>
          <w:lang w:val="zh-CN"/>
        </w:rPr>
        <w:t>，并全权负责标后取回样品等其他处理事宜。</w:t>
      </w:r>
    </w:p>
    <w:p>
      <w:pPr>
        <w:snapToGrid w:val="0"/>
        <w:spacing w:line="360" w:lineRule="auto"/>
        <w:jc w:val="left"/>
        <w:rPr>
          <w:rFonts w:ascii="仿宋" w:hAnsi="仿宋" w:eastAsia="仿宋" w:cs="仿宋"/>
          <w:color w:val="000000"/>
          <w:kern w:val="0"/>
          <w:sz w:val="24"/>
          <w:lang w:val="zh-CN"/>
        </w:rPr>
      </w:pP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特此告知。</w:t>
      </w:r>
    </w:p>
    <w:p>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投标人名称(公章)：</w:t>
      </w:r>
    </w:p>
    <w:p>
      <w:pPr>
        <w:snapToGrid w:val="0"/>
        <w:spacing w:line="360" w:lineRule="auto"/>
        <w:rPr>
          <w:rFonts w:ascii="仿宋" w:hAnsi="仿宋" w:eastAsia="仿宋" w:cs="仿宋"/>
          <w:color w:val="000000"/>
          <w:kern w:val="0"/>
          <w:sz w:val="24"/>
        </w:rPr>
      </w:pPr>
    </w:p>
    <w:p>
      <w:pPr>
        <w:snapToGrid w:val="0"/>
        <w:spacing w:line="360" w:lineRule="auto"/>
        <w:ind w:right="240"/>
        <w:jc w:val="right"/>
        <w:rPr>
          <w:rFonts w:ascii="仿宋" w:hAnsi="仿宋" w:eastAsia="仿宋" w:cs="仿宋"/>
          <w:color w:val="000000"/>
          <w:kern w:val="0"/>
          <w:sz w:val="24"/>
          <w:lang w:val="zh-CN"/>
        </w:rPr>
      </w:pPr>
      <w:r>
        <w:rPr>
          <w:rFonts w:hint="eastAsia" w:ascii="仿宋" w:hAnsi="仿宋" w:eastAsia="仿宋" w:cs="仿宋"/>
          <w:color w:val="000000"/>
          <w:kern w:val="0"/>
          <w:sz w:val="24"/>
          <w:lang w:val="zh-CN"/>
        </w:rPr>
        <w:t>签发日期：  年  月   日</w:t>
      </w: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righ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rPr>
        <w:t>受委托人</w:t>
      </w:r>
      <w:r>
        <w:rPr>
          <w:rFonts w:hint="eastAsia" w:ascii="仿宋" w:hAnsi="仿宋" w:eastAsia="仿宋" w:cs="仿宋"/>
          <w:color w:val="000000"/>
          <w:kern w:val="0"/>
          <w:sz w:val="24"/>
          <w:lang w:val="zh-CN"/>
        </w:rPr>
        <w:t>身份证复印件：</w:t>
      </w: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p>
    <w:p>
      <w:pPr>
        <w:snapToGrid w:val="0"/>
        <w:spacing w:line="360" w:lineRule="auto"/>
        <w:ind w:right="24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说明：本委托书在有样品或演示时由受委托人携带至指定地点。</w:t>
      </w:r>
    </w:p>
    <w:p>
      <w:pPr>
        <w:spacing w:line="360" w:lineRule="auto"/>
        <w:rPr>
          <w:rFonts w:ascii="仿宋" w:hAnsi="仿宋" w:eastAsia="仿宋" w:cs="仿宋_GB2312"/>
          <w:b/>
          <w:color w:val="000000"/>
          <w:sz w:val="24"/>
        </w:rPr>
      </w:pPr>
      <w:r>
        <w:rPr>
          <w:rFonts w:ascii="仿宋" w:hAnsi="仿宋" w:eastAsia="仿宋" w:cs="仿宋_GB2312"/>
          <w:b/>
          <w:color w:val="000000"/>
          <w:sz w:val="24"/>
        </w:rPr>
        <w:t>同时有样品和演示的</w:t>
      </w:r>
      <w:r>
        <w:rPr>
          <w:rFonts w:hint="eastAsia" w:ascii="仿宋" w:hAnsi="仿宋" w:eastAsia="仿宋" w:cs="仿宋_GB2312"/>
          <w:b/>
          <w:color w:val="000000"/>
          <w:sz w:val="24"/>
        </w:rPr>
        <w:t>，</w:t>
      </w:r>
      <w:r>
        <w:rPr>
          <w:rFonts w:ascii="仿宋" w:hAnsi="仿宋" w:eastAsia="仿宋" w:cs="仿宋_GB2312"/>
          <w:b/>
          <w:color w:val="000000"/>
          <w:sz w:val="24"/>
        </w:rPr>
        <w:t>可委托不同人员</w:t>
      </w:r>
      <w:r>
        <w:rPr>
          <w:rFonts w:hint="eastAsia" w:ascii="仿宋" w:hAnsi="仿宋" w:eastAsia="仿宋" w:cs="仿宋_GB2312"/>
          <w:b/>
          <w:color w:val="000000"/>
          <w:sz w:val="24"/>
        </w:rPr>
        <w:t>。</w:t>
      </w:r>
    </w:p>
    <w:p>
      <w:pPr>
        <w:spacing w:line="360" w:lineRule="auto"/>
        <w:rPr>
          <w:rFonts w:ascii="仿宋" w:hAnsi="仿宋" w:eastAsia="仿宋"/>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545" w:name="_Toc131845147"/>
    <w:bookmarkStart w:id="546" w:name="_Toc36110187"/>
    <w:bookmarkStart w:id="547" w:name="_Toc91899912"/>
    <w:bookmarkStart w:id="548" w:name="_Toc164085800"/>
    <w:r>
      <w:rPr>
        <w:rFonts w:hint="eastAsia" w:ascii="仿宋_GB2312" w:eastAsia="仿宋_GB2312"/>
        <w:kern w:val="0"/>
        <w:szCs w:val="21"/>
      </w:rPr>
      <w:t xml:space="preserve"> 页</w:t>
    </w:r>
    <w:bookmarkEnd w:id="545"/>
    <w:bookmarkEnd w:id="546"/>
    <w:bookmarkEnd w:id="547"/>
    <w:bookmarkEnd w:id="5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萧山区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萧山区</w:t>
    </w:r>
    <w:r>
      <w:t>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萧山区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萧山区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3EF8C"/>
    <w:multiLevelType w:val="singleLevel"/>
    <w:tmpl w:val="FED3EF8C"/>
    <w:lvl w:ilvl="0" w:tentative="0">
      <w:start w:val="1"/>
      <w:numFmt w:val="decimal"/>
      <w:lvlText w:val="(%1)"/>
      <w:lvlJc w:val="left"/>
      <w:pPr>
        <w:tabs>
          <w:tab w:val="left" w:pos="420"/>
        </w:tabs>
        <w:ind w:left="845" w:hanging="425"/>
      </w:pPr>
      <w:rPr>
        <w:rFonts w:hint="default"/>
      </w:rPr>
    </w:lvl>
  </w:abstractNum>
  <w:abstractNum w:abstractNumId="1">
    <w:nsid w:val="205FC50C"/>
    <w:multiLevelType w:val="singleLevel"/>
    <w:tmpl w:val="205FC50C"/>
    <w:lvl w:ilvl="0" w:tentative="0">
      <w:start w:val="1"/>
      <w:numFmt w:val="decimal"/>
      <w:lvlText w:val="%1)"/>
      <w:lvlJc w:val="left"/>
      <w:pPr>
        <w:ind w:left="425" w:hanging="425"/>
      </w:pPr>
      <w:rPr>
        <w:rFonts w:hint="default"/>
      </w:rPr>
    </w:lvl>
  </w:abstractNum>
  <w:abstractNum w:abstractNumId="2">
    <w:nsid w:val="266650E8"/>
    <w:multiLevelType w:val="singleLevel"/>
    <w:tmpl w:val="266650E8"/>
    <w:lvl w:ilvl="0" w:tentative="0">
      <w:start w:val="1"/>
      <w:numFmt w:val="decimal"/>
      <w:lvlText w:val="%1)"/>
      <w:lvlJc w:val="left"/>
      <w:pPr>
        <w:ind w:left="425" w:hanging="425"/>
      </w:pPr>
      <w:rPr>
        <w:rFonts w:hint="default"/>
      </w:rPr>
    </w:lvl>
  </w:abstractNum>
  <w:abstractNum w:abstractNumId="3">
    <w:nsid w:val="569ECD5D"/>
    <w:multiLevelType w:val="singleLevel"/>
    <w:tmpl w:val="569ECD5D"/>
    <w:lvl w:ilvl="0" w:tentative="0">
      <w:start w:val="1"/>
      <w:numFmt w:val="decimal"/>
      <w:lvlText w:val="(%1)"/>
      <w:lvlJc w:val="left"/>
      <w:pPr>
        <w:tabs>
          <w:tab w:val="left" w:pos="420"/>
        </w:tabs>
        <w:ind w:left="845" w:hanging="425"/>
      </w:pPr>
      <w:rPr>
        <w:rFonts w:hint="default"/>
      </w:rPr>
    </w:lvl>
  </w:abstractNum>
  <w:abstractNum w:abstractNumId="4">
    <w:nsid w:val="586B39F0"/>
    <w:multiLevelType w:val="multilevel"/>
    <w:tmpl w:val="586B39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FB5D09"/>
    <w:multiLevelType w:val="singleLevel"/>
    <w:tmpl w:val="5CFB5D09"/>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g2ODE0NjVlNjlhMWJkMzc3ZWVlNDlkM2RhM2QzN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016"/>
    <w:rsid w:val="001F5DA1"/>
    <w:rsid w:val="001F612E"/>
    <w:rsid w:val="001F6A92"/>
    <w:rsid w:val="001F6CE0"/>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EFB"/>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47"/>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9F8"/>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4C"/>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B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1A5"/>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8EC"/>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4E0"/>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24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9"/>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2B6"/>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B6F"/>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A41"/>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02440"/>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5E530D0"/>
    <w:rsid w:val="060E5941"/>
    <w:rsid w:val="06110FAF"/>
    <w:rsid w:val="06493CA7"/>
    <w:rsid w:val="065A6178"/>
    <w:rsid w:val="066F1CF3"/>
    <w:rsid w:val="06930BB8"/>
    <w:rsid w:val="06DC6808"/>
    <w:rsid w:val="07245D42"/>
    <w:rsid w:val="07264C62"/>
    <w:rsid w:val="0779354C"/>
    <w:rsid w:val="08061376"/>
    <w:rsid w:val="08452D77"/>
    <w:rsid w:val="086401F8"/>
    <w:rsid w:val="08751CAA"/>
    <w:rsid w:val="087E4C40"/>
    <w:rsid w:val="08A871D0"/>
    <w:rsid w:val="08AC6B15"/>
    <w:rsid w:val="08D66AD6"/>
    <w:rsid w:val="08DA33A3"/>
    <w:rsid w:val="08E80F13"/>
    <w:rsid w:val="09335624"/>
    <w:rsid w:val="0944690F"/>
    <w:rsid w:val="09535675"/>
    <w:rsid w:val="095C3DDC"/>
    <w:rsid w:val="095F057D"/>
    <w:rsid w:val="09642282"/>
    <w:rsid w:val="096B079D"/>
    <w:rsid w:val="09733572"/>
    <w:rsid w:val="09772C16"/>
    <w:rsid w:val="098353B5"/>
    <w:rsid w:val="09A92330"/>
    <w:rsid w:val="09B06B87"/>
    <w:rsid w:val="09C13146"/>
    <w:rsid w:val="09E04166"/>
    <w:rsid w:val="0A1C0718"/>
    <w:rsid w:val="0A3E7710"/>
    <w:rsid w:val="0A5B7E63"/>
    <w:rsid w:val="0A6D18E6"/>
    <w:rsid w:val="0AA374A5"/>
    <w:rsid w:val="0AAB7649"/>
    <w:rsid w:val="0ABC5606"/>
    <w:rsid w:val="0B0C6C62"/>
    <w:rsid w:val="0B30404E"/>
    <w:rsid w:val="0B4C6C14"/>
    <w:rsid w:val="0B631A88"/>
    <w:rsid w:val="0B683D45"/>
    <w:rsid w:val="0B7F3F11"/>
    <w:rsid w:val="0B884417"/>
    <w:rsid w:val="0BF6188C"/>
    <w:rsid w:val="0BF73C91"/>
    <w:rsid w:val="0C170175"/>
    <w:rsid w:val="0C56331C"/>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12A71"/>
    <w:rsid w:val="0E060E51"/>
    <w:rsid w:val="0E5604B2"/>
    <w:rsid w:val="0E6D5D79"/>
    <w:rsid w:val="0E9D0089"/>
    <w:rsid w:val="0EB803EE"/>
    <w:rsid w:val="0EF94D4B"/>
    <w:rsid w:val="0F4958DC"/>
    <w:rsid w:val="0F515DF7"/>
    <w:rsid w:val="0F596BA8"/>
    <w:rsid w:val="0F5F4474"/>
    <w:rsid w:val="0F6248D2"/>
    <w:rsid w:val="0F693536"/>
    <w:rsid w:val="0F7B0511"/>
    <w:rsid w:val="0F7B76D9"/>
    <w:rsid w:val="0F816ACD"/>
    <w:rsid w:val="0F9832DB"/>
    <w:rsid w:val="0FBF3FD2"/>
    <w:rsid w:val="0FBF7FF3"/>
    <w:rsid w:val="0FDB5E5B"/>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3F36A78"/>
    <w:rsid w:val="141008D8"/>
    <w:rsid w:val="14125FE6"/>
    <w:rsid w:val="14500381"/>
    <w:rsid w:val="14634BD6"/>
    <w:rsid w:val="146D271E"/>
    <w:rsid w:val="14982588"/>
    <w:rsid w:val="149A5AD9"/>
    <w:rsid w:val="14A7619D"/>
    <w:rsid w:val="150536C3"/>
    <w:rsid w:val="150C1963"/>
    <w:rsid w:val="151447A0"/>
    <w:rsid w:val="154A6454"/>
    <w:rsid w:val="15762120"/>
    <w:rsid w:val="1633712C"/>
    <w:rsid w:val="16A03762"/>
    <w:rsid w:val="16A8729C"/>
    <w:rsid w:val="16B33777"/>
    <w:rsid w:val="16BC70A7"/>
    <w:rsid w:val="16C6339E"/>
    <w:rsid w:val="16DE4297"/>
    <w:rsid w:val="16FE2244"/>
    <w:rsid w:val="172F2D79"/>
    <w:rsid w:val="17557BEF"/>
    <w:rsid w:val="17D349C1"/>
    <w:rsid w:val="1830729E"/>
    <w:rsid w:val="1870062C"/>
    <w:rsid w:val="18817102"/>
    <w:rsid w:val="18830A15"/>
    <w:rsid w:val="18852B28"/>
    <w:rsid w:val="188B5321"/>
    <w:rsid w:val="18DF2B5E"/>
    <w:rsid w:val="19932372"/>
    <w:rsid w:val="19A20DD5"/>
    <w:rsid w:val="19AE03F1"/>
    <w:rsid w:val="1A071A03"/>
    <w:rsid w:val="1A1F16AE"/>
    <w:rsid w:val="1A3B5C77"/>
    <w:rsid w:val="1A984BAD"/>
    <w:rsid w:val="1AB8220E"/>
    <w:rsid w:val="1AE4166C"/>
    <w:rsid w:val="1AF06CFB"/>
    <w:rsid w:val="1AF11B8D"/>
    <w:rsid w:val="1B09565B"/>
    <w:rsid w:val="1B11359C"/>
    <w:rsid w:val="1B2A271F"/>
    <w:rsid w:val="1B530544"/>
    <w:rsid w:val="1B713184"/>
    <w:rsid w:val="1BA209CF"/>
    <w:rsid w:val="1BB4777D"/>
    <w:rsid w:val="1BD75AB8"/>
    <w:rsid w:val="1BE22A26"/>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1FED3A7C"/>
    <w:rsid w:val="20034907"/>
    <w:rsid w:val="20173E4B"/>
    <w:rsid w:val="204E48BC"/>
    <w:rsid w:val="20640CD7"/>
    <w:rsid w:val="208921B3"/>
    <w:rsid w:val="20973DEB"/>
    <w:rsid w:val="209A1FA9"/>
    <w:rsid w:val="20B26522"/>
    <w:rsid w:val="20B44310"/>
    <w:rsid w:val="210824A1"/>
    <w:rsid w:val="210E5779"/>
    <w:rsid w:val="211116EB"/>
    <w:rsid w:val="216133FC"/>
    <w:rsid w:val="219C2D85"/>
    <w:rsid w:val="21D56769"/>
    <w:rsid w:val="21E52EF3"/>
    <w:rsid w:val="21FB5D7B"/>
    <w:rsid w:val="220B1C3D"/>
    <w:rsid w:val="221D1D20"/>
    <w:rsid w:val="22334A87"/>
    <w:rsid w:val="22BE6801"/>
    <w:rsid w:val="233500BF"/>
    <w:rsid w:val="23377FF7"/>
    <w:rsid w:val="235A7016"/>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1618A6"/>
    <w:rsid w:val="2524726C"/>
    <w:rsid w:val="252C2C8F"/>
    <w:rsid w:val="258A15AE"/>
    <w:rsid w:val="258B00E2"/>
    <w:rsid w:val="25A917A6"/>
    <w:rsid w:val="25BE27CC"/>
    <w:rsid w:val="25F74A5C"/>
    <w:rsid w:val="26002E3E"/>
    <w:rsid w:val="2628662C"/>
    <w:rsid w:val="262D45DE"/>
    <w:rsid w:val="263409A1"/>
    <w:rsid w:val="26871DC8"/>
    <w:rsid w:val="26A53EF9"/>
    <w:rsid w:val="26A94201"/>
    <w:rsid w:val="26AC274F"/>
    <w:rsid w:val="27044A29"/>
    <w:rsid w:val="271D34C8"/>
    <w:rsid w:val="276142BF"/>
    <w:rsid w:val="27783712"/>
    <w:rsid w:val="27907362"/>
    <w:rsid w:val="27F845D3"/>
    <w:rsid w:val="28333E1D"/>
    <w:rsid w:val="28454BD6"/>
    <w:rsid w:val="28455253"/>
    <w:rsid w:val="28551971"/>
    <w:rsid w:val="285B1C53"/>
    <w:rsid w:val="286A4CE2"/>
    <w:rsid w:val="289F7086"/>
    <w:rsid w:val="28C32028"/>
    <w:rsid w:val="28CC490F"/>
    <w:rsid w:val="28DE40AA"/>
    <w:rsid w:val="29345E77"/>
    <w:rsid w:val="293A3927"/>
    <w:rsid w:val="294C65AD"/>
    <w:rsid w:val="29806583"/>
    <w:rsid w:val="298B3C4C"/>
    <w:rsid w:val="29F26D24"/>
    <w:rsid w:val="2A15033F"/>
    <w:rsid w:val="2A1662C1"/>
    <w:rsid w:val="2A1C7367"/>
    <w:rsid w:val="2A2815FA"/>
    <w:rsid w:val="2A2E4796"/>
    <w:rsid w:val="2A6D6092"/>
    <w:rsid w:val="2A7D76B4"/>
    <w:rsid w:val="2B437463"/>
    <w:rsid w:val="2B7807EE"/>
    <w:rsid w:val="2BA50BF7"/>
    <w:rsid w:val="2BBF00EC"/>
    <w:rsid w:val="2BC37CFD"/>
    <w:rsid w:val="2BD5237F"/>
    <w:rsid w:val="2BE536CE"/>
    <w:rsid w:val="2BE758D9"/>
    <w:rsid w:val="2C09049E"/>
    <w:rsid w:val="2C0A653C"/>
    <w:rsid w:val="2C191F85"/>
    <w:rsid w:val="2C5050C7"/>
    <w:rsid w:val="2CE82D6F"/>
    <w:rsid w:val="2D2E2B44"/>
    <w:rsid w:val="2D343236"/>
    <w:rsid w:val="2DAD7F8D"/>
    <w:rsid w:val="2DCF0DA2"/>
    <w:rsid w:val="2DD15014"/>
    <w:rsid w:val="2DF72DE4"/>
    <w:rsid w:val="2E0220AF"/>
    <w:rsid w:val="2E4B082A"/>
    <w:rsid w:val="2E5D4E86"/>
    <w:rsid w:val="2E5D790B"/>
    <w:rsid w:val="2E747B9A"/>
    <w:rsid w:val="2E9A3C18"/>
    <w:rsid w:val="2EB20DEC"/>
    <w:rsid w:val="2EBB0FEE"/>
    <w:rsid w:val="2EC63002"/>
    <w:rsid w:val="2F0A6B38"/>
    <w:rsid w:val="2F762E67"/>
    <w:rsid w:val="2F927575"/>
    <w:rsid w:val="2F946CCB"/>
    <w:rsid w:val="2FD25781"/>
    <w:rsid w:val="2FFD7934"/>
    <w:rsid w:val="30093CDB"/>
    <w:rsid w:val="30733ACD"/>
    <w:rsid w:val="308C3862"/>
    <w:rsid w:val="309379D8"/>
    <w:rsid w:val="30A270F7"/>
    <w:rsid w:val="30C20371"/>
    <w:rsid w:val="30DF1478"/>
    <w:rsid w:val="30EC586F"/>
    <w:rsid w:val="319B4847"/>
    <w:rsid w:val="319C6071"/>
    <w:rsid w:val="31AC537E"/>
    <w:rsid w:val="31E3679B"/>
    <w:rsid w:val="31E732FD"/>
    <w:rsid w:val="32517576"/>
    <w:rsid w:val="32A64673"/>
    <w:rsid w:val="32BE5C2C"/>
    <w:rsid w:val="32C30959"/>
    <w:rsid w:val="32E0684A"/>
    <w:rsid w:val="32FB6478"/>
    <w:rsid w:val="33263B3F"/>
    <w:rsid w:val="336963EB"/>
    <w:rsid w:val="33816EEB"/>
    <w:rsid w:val="33EB55CD"/>
    <w:rsid w:val="33EC4C02"/>
    <w:rsid w:val="340D2360"/>
    <w:rsid w:val="3410665D"/>
    <w:rsid w:val="34211214"/>
    <w:rsid w:val="342E63AB"/>
    <w:rsid w:val="346C6C6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C1A0C"/>
    <w:rsid w:val="36EC0CC9"/>
    <w:rsid w:val="373F410B"/>
    <w:rsid w:val="37EE7094"/>
    <w:rsid w:val="38296C89"/>
    <w:rsid w:val="383002EB"/>
    <w:rsid w:val="38586797"/>
    <w:rsid w:val="38BC0149"/>
    <w:rsid w:val="38D87D1C"/>
    <w:rsid w:val="39636459"/>
    <w:rsid w:val="396B7F6C"/>
    <w:rsid w:val="39B417A9"/>
    <w:rsid w:val="39FC5695"/>
    <w:rsid w:val="3A006D8E"/>
    <w:rsid w:val="3A3651E5"/>
    <w:rsid w:val="3A3B3069"/>
    <w:rsid w:val="3A3C194F"/>
    <w:rsid w:val="3A744481"/>
    <w:rsid w:val="3A8C7BEF"/>
    <w:rsid w:val="3A906246"/>
    <w:rsid w:val="3AB9363F"/>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00FA7"/>
    <w:rsid w:val="3D3C7F39"/>
    <w:rsid w:val="3D440F09"/>
    <w:rsid w:val="3D4504A0"/>
    <w:rsid w:val="3D8734BB"/>
    <w:rsid w:val="3D9A11D4"/>
    <w:rsid w:val="3DA16D89"/>
    <w:rsid w:val="3DA364BE"/>
    <w:rsid w:val="3DD856DB"/>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6525C"/>
    <w:rsid w:val="4019356B"/>
    <w:rsid w:val="40592157"/>
    <w:rsid w:val="406E1CAE"/>
    <w:rsid w:val="40A0133A"/>
    <w:rsid w:val="40AD4C2B"/>
    <w:rsid w:val="40C31A53"/>
    <w:rsid w:val="40FF545D"/>
    <w:rsid w:val="410067C8"/>
    <w:rsid w:val="418F0D2A"/>
    <w:rsid w:val="41D01505"/>
    <w:rsid w:val="42474939"/>
    <w:rsid w:val="424C3C57"/>
    <w:rsid w:val="4255690C"/>
    <w:rsid w:val="42613FF3"/>
    <w:rsid w:val="42660D96"/>
    <w:rsid w:val="428667D2"/>
    <w:rsid w:val="429149C2"/>
    <w:rsid w:val="42CD1CE0"/>
    <w:rsid w:val="42E1381E"/>
    <w:rsid w:val="42ED6459"/>
    <w:rsid w:val="42FE58DD"/>
    <w:rsid w:val="43174B3D"/>
    <w:rsid w:val="431C2B89"/>
    <w:rsid w:val="434B790E"/>
    <w:rsid w:val="4360274F"/>
    <w:rsid w:val="43977AB6"/>
    <w:rsid w:val="43A3342B"/>
    <w:rsid w:val="43C77C27"/>
    <w:rsid w:val="43DE09EE"/>
    <w:rsid w:val="44002FAD"/>
    <w:rsid w:val="4430589B"/>
    <w:rsid w:val="4437058F"/>
    <w:rsid w:val="449101DD"/>
    <w:rsid w:val="449D00C3"/>
    <w:rsid w:val="44D936D1"/>
    <w:rsid w:val="44DE1391"/>
    <w:rsid w:val="451B225C"/>
    <w:rsid w:val="452410C9"/>
    <w:rsid w:val="45317DFB"/>
    <w:rsid w:val="456D3CE4"/>
    <w:rsid w:val="4579042C"/>
    <w:rsid w:val="457F0571"/>
    <w:rsid w:val="45851176"/>
    <w:rsid w:val="45C63B94"/>
    <w:rsid w:val="45C75457"/>
    <w:rsid w:val="460E7DA5"/>
    <w:rsid w:val="46422483"/>
    <w:rsid w:val="464C5BD7"/>
    <w:rsid w:val="465511DF"/>
    <w:rsid w:val="4659254A"/>
    <w:rsid w:val="465B0637"/>
    <w:rsid w:val="465E3F0D"/>
    <w:rsid w:val="466A16E6"/>
    <w:rsid w:val="46893F2B"/>
    <w:rsid w:val="46C4686E"/>
    <w:rsid w:val="46EA2BEE"/>
    <w:rsid w:val="47187229"/>
    <w:rsid w:val="472F3F24"/>
    <w:rsid w:val="47307948"/>
    <w:rsid w:val="477B778F"/>
    <w:rsid w:val="478203EC"/>
    <w:rsid w:val="47B025FA"/>
    <w:rsid w:val="47F16027"/>
    <w:rsid w:val="4809698F"/>
    <w:rsid w:val="4811697D"/>
    <w:rsid w:val="487A3E25"/>
    <w:rsid w:val="488B5503"/>
    <w:rsid w:val="48937E21"/>
    <w:rsid w:val="489A0361"/>
    <w:rsid w:val="489E5537"/>
    <w:rsid w:val="48B94FF3"/>
    <w:rsid w:val="48BD5941"/>
    <w:rsid w:val="48E37AAB"/>
    <w:rsid w:val="48FD4B4C"/>
    <w:rsid w:val="490A68E0"/>
    <w:rsid w:val="491055FE"/>
    <w:rsid w:val="495F5B3E"/>
    <w:rsid w:val="496F77D7"/>
    <w:rsid w:val="497654FD"/>
    <w:rsid w:val="49B64211"/>
    <w:rsid w:val="49F6167F"/>
    <w:rsid w:val="4A064FA0"/>
    <w:rsid w:val="4A16615C"/>
    <w:rsid w:val="4A4424D7"/>
    <w:rsid w:val="4A7023D6"/>
    <w:rsid w:val="4AB82D0F"/>
    <w:rsid w:val="4AEB7664"/>
    <w:rsid w:val="4AFD7C19"/>
    <w:rsid w:val="4B0567D1"/>
    <w:rsid w:val="4B236AAE"/>
    <w:rsid w:val="4B4614E8"/>
    <w:rsid w:val="4B5E0F27"/>
    <w:rsid w:val="4B707271"/>
    <w:rsid w:val="4B9739F7"/>
    <w:rsid w:val="4BEE2503"/>
    <w:rsid w:val="4C245A30"/>
    <w:rsid w:val="4C676029"/>
    <w:rsid w:val="4CB6685F"/>
    <w:rsid w:val="4CC367FE"/>
    <w:rsid w:val="4CD208C6"/>
    <w:rsid w:val="4CE3722E"/>
    <w:rsid w:val="4D077F3C"/>
    <w:rsid w:val="4D123355"/>
    <w:rsid w:val="4D2A3B31"/>
    <w:rsid w:val="4D312C52"/>
    <w:rsid w:val="4D905305"/>
    <w:rsid w:val="4D964A72"/>
    <w:rsid w:val="4D9C1254"/>
    <w:rsid w:val="4E3A534C"/>
    <w:rsid w:val="4E4F78C3"/>
    <w:rsid w:val="4E793892"/>
    <w:rsid w:val="4E800872"/>
    <w:rsid w:val="4EA50C1B"/>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377AA"/>
    <w:rsid w:val="511B3417"/>
    <w:rsid w:val="5142540C"/>
    <w:rsid w:val="518832C8"/>
    <w:rsid w:val="51A0432A"/>
    <w:rsid w:val="51A86090"/>
    <w:rsid w:val="51B7396D"/>
    <w:rsid w:val="51DD111A"/>
    <w:rsid w:val="520F6BCC"/>
    <w:rsid w:val="522E4CC3"/>
    <w:rsid w:val="5244713B"/>
    <w:rsid w:val="52615633"/>
    <w:rsid w:val="52977FD4"/>
    <w:rsid w:val="52A25790"/>
    <w:rsid w:val="52A96B6F"/>
    <w:rsid w:val="52B45975"/>
    <w:rsid w:val="52D94AA4"/>
    <w:rsid w:val="52EA3A62"/>
    <w:rsid w:val="52F50BB8"/>
    <w:rsid w:val="53097272"/>
    <w:rsid w:val="535030A8"/>
    <w:rsid w:val="5354446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4A2537"/>
    <w:rsid w:val="555D4828"/>
    <w:rsid w:val="557A4C8B"/>
    <w:rsid w:val="558931E1"/>
    <w:rsid w:val="55923347"/>
    <w:rsid w:val="55925180"/>
    <w:rsid w:val="55983B1B"/>
    <w:rsid w:val="55A8376B"/>
    <w:rsid w:val="55DC29B6"/>
    <w:rsid w:val="55DD4241"/>
    <w:rsid w:val="561C7A61"/>
    <w:rsid w:val="566B6D1E"/>
    <w:rsid w:val="569E129D"/>
    <w:rsid w:val="56D307F3"/>
    <w:rsid w:val="57032A2C"/>
    <w:rsid w:val="570F5219"/>
    <w:rsid w:val="572F0470"/>
    <w:rsid w:val="575D12B5"/>
    <w:rsid w:val="57610A87"/>
    <w:rsid w:val="57723665"/>
    <w:rsid w:val="577B1140"/>
    <w:rsid w:val="577B7F21"/>
    <w:rsid w:val="577F181B"/>
    <w:rsid w:val="578738E1"/>
    <w:rsid w:val="57921984"/>
    <w:rsid w:val="579737F0"/>
    <w:rsid w:val="57AB7B30"/>
    <w:rsid w:val="57AF5251"/>
    <w:rsid w:val="57B26373"/>
    <w:rsid w:val="57B63F04"/>
    <w:rsid w:val="57CD20C2"/>
    <w:rsid w:val="57D675AB"/>
    <w:rsid w:val="57D95FDD"/>
    <w:rsid w:val="58310781"/>
    <w:rsid w:val="58917D2F"/>
    <w:rsid w:val="5894085C"/>
    <w:rsid w:val="58AE4F0C"/>
    <w:rsid w:val="58B85899"/>
    <w:rsid w:val="58E363A9"/>
    <w:rsid w:val="595E1678"/>
    <w:rsid w:val="596D5BD4"/>
    <w:rsid w:val="597E3DD8"/>
    <w:rsid w:val="5980051F"/>
    <w:rsid w:val="59D54A71"/>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03E43"/>
    <w:rsid w:val="5D5A391C"/>
    <w:rsid w:val="5D5F10C0"/>
    <w:rsid w:val="5D891B7B"/>
    <w:rsid w:val="5D9E0CCE"/>
    <w:rsid w:val="5DAD38EE"/>
    <w:rsid w:val="5E006862"/>
    <w:rsid w:val="5E0207B9"/>
    <w:rsid w:val="5E1834A1"/>
    <w:rsid w:val="5E261785"/>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232584"/>
    <w:rsid w:val="602F1353"/>
    <w:rsid w:val="604D746B"/>
    <w:rsid w:val="605864BB"/>
    <w:rsid w:val="607330CE"/>
    <w:rsid w:val="60825176"/>
    <w:rsid w:val="609F2AC4"/>
    <w:rsid w:val="60B708EE"/>
    <w:rsid w:val="60E57176"/>
    <w:rsid w:val="60FA2EE8"/>
    <w:rsid w:val="61054A27"/>
    <w:rsid w:val="610A52BC"/>
    <w:rsid w:val="611D2366"/>
    <w:rsid w:val="61421856"/>
    <w:rsid w:val="615227C4"/>
    <w:rsid w:val="61654E3F"/>
    <w:rsid w:val="616B6F9D"/>
    <w:rsid w:val="6182292A"/>
    <w:rsid w:val="619F7F92"/>
    <w:rsid w:val="61F94C26"/>
    <w:rsid w:val="62000E56"/>
    <w:rsid w:val="62244584"/>
    <w:rsid w:val="624F3E49"/>
    <w:rsid w:val="625421B9"/>
    <w:rsid w:val="62632286"/>
    <w:rsid w:val="62885958"/>
    <w:rsid w:val="62F40B65"/>
    <w:rsid w:val="62FC2CFE"/>
    <w:rsid w:val="63024505"/>
    <w:rsid w:val="635B1DB5"/>
    <w:rsid w:val="63711FED"/>
    <w:rsid w:val="638679EF"/>
    <w:rsid w:val="63880DDC"/>
    <w:rsid w:val="638D750D"/>
    <w:rsid w:val="63AC6CC0"/>
    <w:rsid w:val="63B056D3"/>
    <w:rsid w:val="64055776"/>
    <w:rsid w:val="64240056"/>
    <w:rsid w:val="64270E84"/>
    <w:rsid w:val="643E143A"/>
    <w:rsid w:val="6488096B"/>
    <w:rsid w:val="648B6EEF"/>
    <w:rsid w:val="64C158BF"/>
    <w:rsid w:val="64C25C2B"/>
    <w:rsid w:val="64CE2EAA"/>
    <w:rsid w:val="64D74715"/>
    <w:rsid w:val="653C3090"/>
    <w:rsid w:val="65854376"/>
    <w:rsid w:val="658767BE"/>
    <w:rsid w:val="65892531"/>
    <w:rsid w:val="66195831"/>
    <w:rsid w:val="662E75B1"/>
    <w:rsid w:val="66342C2E"/>
    <w:rsid w:val="663E784C"/>
    <w:rsid w:val="66551A38"/>
    <w:rsid w:val="668B6A45"/>
    <w:rsid w:val="66B83CB5"/>
    <w:rsid w:val="66D658F2"/>
    <w:rsid w:val="672F3F24"/>
    <w:rsid w:val="673E055F"/>
    <w:rsid w:val="67530DBD"/>
    <w:rsid w:val="67551CE3"/>
    <w:rsid w:val="67A22552"/>
    <w:rsid w:val="67B22DCC"/>
    <w:rsid w:val="67BE71AA"/>
    <w:rsid w:val="67D90273"/>
    <w:rsid w:val="67DE5875"/>
    <w:rsid w:val="67E55852"/>
    <w:rsid w:val="67EB1AB4"/>
    <w:rsid w:val="67FA1285"/>
    <w:rsid w:val="680F708F"/>
    <w:rsid w:val="68551F4F"/>
    <w:rsid w:val="687C10C9"/>
    <w:rsid w:val="68840C16"/>
    <w:rsid w:val="68876EFB"/>
    <w:rsid w:val="68884654"/>
    <w:rsid w:val="689F444F"/>
    <w:rsid w:val="68B7252E"/>
    <w:rsid w:val="68B96DBB"/>
    <w:rsid w:val="68CA2805"/>
    <w:rsid w:val="68E937A3"/>
    <w:rsid w:val="693373BE"/>
    <w:rsid w:val="693E15D3"/>
    <w:rsid w:val="69627681"/>
    <w:rsid w:val="6977531D"/>
    <w:rsid w:val="69CC2BFF"/>
    <w:rsid w:val="69CC4E56"/>
    <w:rsid w:val="69FD55B8"/>
    <w:rsid w:val="6A0B1C62"/>
    <w:rsid w:val="6A2406C8"/>
    <w:rsid w:val="6A8F2B46"/>
    <w:rsid w:val="6AA87082"/>
    <w:rsid w:val="6ADE0BD1"/>
    <w:rsid w:val="6AE96859"/>
    <w:rsid w:val="6B147746"/>
    <w:rsid w:val="6B24787C"/>
    <w:rsid w:val="6B573233"/>
    <w:rsid w:val="6B5B6274"/>
    <w:rsid w:val="6B935D53"/>
    <w:rsid w:val="6C196F71"/>
    <w:rsid w:val="6C226FCB"/>
    <w:rsid w:val="6C31226F"/>
    <w:rsid w:val="6C552F0B"/>
    <w:rsid w:val="6C8C67B7"/>
    <w:rsid w:val="6C9D744C"/>
    <w:rsid w:val="6CFE67A8"/>
    <w:rsid w:val="6D167928"/>
    <w:rsid w:val="6D26299B"/>
    <w:rsid w:val="6D4772EC"/>
    <w:rsid w:val="6D4A0941"/>
    <w:rsid w:val="6D5268EB"/>
    <w:rsid w:val="6D711088"/>
    <w:rsid w:val="6D9078AF"/>
    <w:rsid w:val="6DAA3FEF"/>
    <w:rsid w:val="6DC0172B"/>
    <w:rsid w:val="6DCA78FF"/>
    <w:rsid w:val="6DCB690C"/>
    <w:rsid w:val="6DD41A5B"/>
    <w:rsid w:val="6DF43C2E"/>
    <w:rsid w:val="6DF51CA3"/>
    <w:rsid w:val="6E8335BD"/>
    <w:rsid w:val="6E8E12EF"/>
    <w:rsid w:val="6E972936"/>
    <w:rsid w:val="6EB514F6"/>
    <w:rsid w:val="6EBA7973"/>
    <w:rsid w:val="6ED446C5"/>
    <w:rsid w:val="6F2A7D94"/>
    <w:rsid w:val="6F8331F1"/>
    <w:rsid w:val="6FAE1A09"/>
    <w:rsid w:val="6FD75BF8"/>
    <w:rsid w:val="70587444"/>
    <w:rsid w:val="707723D0"/>
    <w:rsid w:val="70F5661B"/>
    <w:rsid w:val="71360107"/>
    <w:rsid w:val="713B688E"/>
    <w:rsid w:val="716D6F1F"/>
    <w:rsid w:val="71D43752"/>
    <w:rsid w:val="71F1796A"/>
    <w:rsid w:val="72154626"/>
    <w:rsid w:val="72262B5D"/>
    <w:rsid w:val="72283FF7"/>
    <w:rsid w:val="722E7212"/>
    <w:rsid w:val="723260C2"/>
    <w:rsid w:val="723A0474"/>
    <w:rsid w:val="725923E4"/>
    <w:rsid w:val="72864BF7"/>
    <w:rsid w:val="729023FC"/>
    <w:rsid w:val="73C0646E"/>
    <w:rsid w:val="742222F5"/>
    <w:rsid w:val="74476126"/>
    <w:rsid w:val="74706664"/>
    <w:rsid w:val="747F3682"/>
    <w:rsid w:val="749C4185"/>
    <w:rsid w:val="74DF1EE2"/>
    <w:rsid w:val="75067759"/>
    <w:rsid w:val="752E6DCD"/>
    <w:rsid w:val="7551380D"/>
    <w:rsid w:val="75600BE5"/>
    <w:rsid w:val="7564475C"/>
    <w:rsid w:val="7583797F"/>
    <w:rsid w:val="75C5561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0555B"/>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53429"/>
    <w:rsid w:val="7B8726A6"/>
    <w:rsid w:val="7BEE0103"/>
    <w:rsid w:val="7C0A0FE4"/>
    <w:rsid w:val="7C254906"/>
    <w:rsid w:val="7C392FED"/>
    <w:rsid w:val="7C590818"/>
    <w:rsid w:val="7C7C10F6"/>
    <w:rsid w:val="7C853BEA"/>
    <w:rsid w:val="7C881368"/>
    <w:rsid w:val="7CE27788"/>
    <w:rsid w:val="7D0357E5"/>
    <w:rsid w:val="7D083FA0"/>
    <w:rsid w:val="7D0C32F1"/>
    <w:rsid w:val="7D0F408D"/>
    <w:rsid w:val="7D491C6C"/>
    <w:rsid w:val="7D5429C0"/>
    <w:rsid w:val="7D6E6D43"/>
    <w:rsid w:val="7D7069D2"/>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1"/>
    <w:qFormat/>
    <w:uiPriority w:val="0"/>
    <w:pPr>
      <w:ind w:firstLine="420"/>
    </w:pPr>
    <w:rPr>
      <w:rFonts w:hAnsi="Calibri" w:cs="Times New Roman"/>
      <w:snapToGrid/>
      <w:szCs w:val="20"/>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首行缩进2字符）"/>
    <w:basedOn w:val="1"/>
    <w:qFormat/>
    <w:uiPriority w:val="0"/>
    <w:pPr>
      <w:adjustRightInd/>
      <w:spacing w:line="360" w:lineRule="auto"/>
      <w:ind w:firstLine="480" w:firstLineChars="200"/>
    </w:pPr>
    <w:rPr>
      <w:sz w:val="24"/>
      <w:szCs w:val="20"/>
    </w:rPr>
  </w:style>
  <w:style w:type="paragraph" w:customStyle="1" w:styleId="81">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9"/>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49286</Words>
  <Characters>56528</Characters>
  <Lines>447</Lines>
  <Paragraphs>125</Paragraphs>
  <TotalTime>6</TotalTime>
  <ScaleCrop>false</ScaleCrop>
  <LinksUpToDate>false</LinksUpToDate>
  <CharactersWithSpaces>58214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超超</cp:lastModifiedBy>
  <cp:lastPrinted>2021-12-27T03:06:00Z</cp:lastPrinted>
  <dcterms:modified xsi:type="dcterms:W3CDTF">2022-06-17T09:14:52Z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1263919209D943EDA17B60F3E4984061</vt:lpwstr>
  </property>
  <property fmtid="{D5CDD505-2E9C-101B-9397-08002B2CF9AE}" pid="5" name="commondata">
    <vt:lpwstr>eyJoZGlkIjoiZjg2ODE0NjVlNjlhMWJkMzc3ZWVlNDlkM2RhM2QzNjAifQ==</vt:lpwstr>
  </property>
</Properties>
</file>