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宋体" w:hAnsi="宋体" w:cs="宋体"/>
          <w:b/>
          <w:bCs/>
          <w:color w:val="auto"/>
          <w:sz w:val="48"/>
          <w:szCs w:val="48"/>
          <w:highlight w:val="none"/>
          <w:u w:val="none"/>
          <w:lang w:eastAsia="zh-CN"/>
        </w:rPr>
      </w:pPr>
    </w:p>
    <w:p>
      <w:pPr>
        <w:shd w:val="clear"/>
        <w:jc w:val="center"/>
        <w:rPr>
          <w:rFonts w:hint="eastAsia" w:ascii="宋体" w:hAnsi="宋体" w:eastAsia="宋体" w:cs="宋体"/>
          <w:b/>
          <w:bCs/>
          <w:color w:val="auto"/>
          <w:sz w:val="48"/>
          <w:szCs w:val="48"/>
          <w:highlight w:val="none"/>
          <w:u w:val="none"/>
        </w:rPr>
      </w:pPr>
      <w:r>
        <w:rPr>
          <w:rFonts w:hint="eastAsia" w:ascii="宋体" w:hAnsi="宋体" w:cs="宋体"/>
          <w:b/>
          <w:bCs/>
          <w:color w:val="auto"/>
          <w:sz w:val="48"/>
          <w:szCs w:val="48"/>
          <w:highlight w:val="none"/>
          <w:u w:val="none"/>
          <w:lang w:eastAsia="zh-CN"/>
        </w:rPr>
        <w:t>绍兴市越城区气象局探测运维服务</w:t>
      </w:r>
      <w:bookmarkStart w:id="82" w:name="_GoBack"/>
      <w:bookmarkEnd w:id="82"/>
      <w:r>
        <w:rPr>
          <w:rFonts w:hint="eastAsia" w:ascii="宋体" w:hAnsi="宋体" w:eastAsia="宋体" w:cs="宋体"/>
          <w:b/>
          <w:bCs/>
          <w:color w:val="auto"/>
          <w:sz w:val="48"/>
          <w:szCs w:val="48"/>
          <w:highlight w:val="none"/>
          <w:u w:val="none"/>
        </w:rPr>
        <w:t>项目</w:t>
      </w:r>
    </w:p>
    <w:p>
      <w:pPr>
        <w:shd w:val="clear"/>
        <w:rPr>
          <w:rFonts w:hint="eastAsia" w:ascii="宋体" w:hAnsi="宋体" w:eastAsia="宋体" w:cs="宋体"/>
          <w:color w:val="auto"/>
          <w:sz w:val="36"/>
          <w:szCs w:val="36"/>
          <w:highlight w:val="none"/>
        </w:rPr>
      </w:pPr>
    </w:p>
    <w:p>
      <w:pPr>
        <w:shd w:val="clear"/>
        <w:rPr>
          <w:rFonts w:hint="eastAsia" w:ascii="宋体" w:hAnsi="宋体" w:eastAsia="宋体" w:cs="宋体"/>
          <w:color w:val="auto"/>
          <w:sz w:val="36"/>
          <w:szCs w:val="36"/>
          <w:highlight w:val="none"/>
        </w:rPr>
      </w:pPr>
    </w:p>
    <w:p>
      <w:pPr>
        <w:shd w:val="clear"/>
        <w:rPr>
          <w:rFonts w:hint="eastAsia" w:ascii="宋体" w:hAnsi="宋体" w:eastAsia="宋体" w:cs="宋体"/>
          <w:color w:val="auto"/>
          <w:sz w:val="36"/>
          <w:szCs w:val="36"/>
          <w:highlight w:val="none"/>
        </w:rPr>
      </w:pPr>
    </w:p>
    <w:p>
      <w:pPr>
        <w:shd w:val="clea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采</w:t>
      </w:r>
    </w:p>
    <w:p>
      <w:pPr>
        <w:shd w:val="clea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购</w:t>
      </w:r>
    </w:p>
    <w:p>
      <w:pPr>
        <w:shd w:val="clea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pPr>
        <w:shd w:val="clea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pPr>
        <w:shd w:val="clear"/>
        <w:rPr>
          <w:rFonts w:hint="eastAsia" w:ascii="宋体" w:hAnsi="宋体" w:eastAsia="宋体" w:cs="宋体"/>
          <w:b/>
          <w:bCs/>
          <w:color w:val="auto"/>
          <w:sz w:val="36"/>
          <w:szCs w:val="36"/>
          <w:highlight w:val="none"/>
        </w:rPr>
      </w:pPr>
    </w:p>
    <w:p>
      <w:pPr>
        <w:shd w:val="clear"/>
        <w:rPr>
          <w:rFonts w:hint="eastAsia" w:ascii="宋体" w:hAnsi="宋体" w:eastAsia="宋体" w:cs="宋体"/>
          <w:color w:val="auto"/>
          <w:sz w:val="36"/>
          <w:szCs w:val="36"/>
          <w:highlight w:val="none"/>
        </w:rPr>
      </w:pPr>
    </w:p>
    <w:p>
      <w:pPr>
        <w:shd w:val="clear"/>
        <w:rPr>
          <w:rFonts w:hint="eastAsia" w:ascii="宋体" w:hAnsi="宋体" w:eastAsia="宋体" w:cs="宋体"/>
          <w:color w:val="auto"/>
          <w:sz w:val="36"/>
          <w:szCs w:val="36"/>
          <w:highlight w:val="none"/>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z w:val="28"/>
                <w:highlight w:val="none"/>
              </w:rPr>
            </w:pPr>
            <w:r>
              <w:rPr>
                <w:rFonts w:hint="eastAsia" w:ascii="宋体" w:hAnsi="宋体" w:eastAsia="宋体" w:cs="宋体"/>
                <w:color w:val="auto"/>
                <w:sz w:val="28"/>
                <w:highlight w:val="none"/>
              </w:rPr>
              <w:t>项目编号：</w:t>
            </w:r>
          </w:p>
        </w:tc>
        <w:tc>
          <w:tcPr>
            <w:tcW w:w="6193" w:type="dxa"/>
            <w:tcBorders>
              <w:top w:val="nil"/>
              <w:left w:val="nil"/>
              <w:bottom w:val="nil"/>
              <w:right w:val="nil"/>
            </w:tcBorders>
            <w:noWrap/>
            <w:vAlign w:val="center"/>
          </w:tcPr>
          <w:p>
            <w:pPr>
              <w:shd w:val="clea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u w:val="none"/>
              </w:rPr>
              <w:t>ZJTY2023-J-198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z w:val="28"/>
                <w:highlight w:val="none"/>
              </w:rPr>
            </w:pPr>
            <w:r>
              <w:rPr>
                <w:rFonts w:hint="eastAsia" w:ascii="宋体" w:hAnsi="宋体" w:eastAsia="宋体" w:cs="宋体"/>
                <w:color w:val="auto"/>
                <w:sz w:val="28"/>
                <w:highlight w:val="none"/>
              </w:rPr>
              <w:t>采购单位：</w:t>
            </w:r>
          </w:p>
        </w:tc>
        <w:tc>
          <w:tcPr>
            <w:tcW w:w="6193" w:type="dxa"/>
            <w:tcBorders>
              <w:top w:val="nil"/>
              <w:left w:val="nil"/>
              <w:bottom w:val="nil"/>
              <w:right w:val="nil"/>
            </w:tcBorders>
            <w:noWrap/>
            <w:vAlign w:val="center"/>
          </w:tcPr>
          <w:p>
            <w:pPr>
              <w:shd w:val="clear"/>
              <w:rPr>
                <w:rFonts w:hint="eastAsia" w:ascii="宋体" w:hAnsi="宋体" w:eastAsia="宋体" w:cs="宋体"/>
                <w:color w:val="auto"/>
                <w:sz w:val="28"/>
                <w:highlight w:val="none"/>
              </w:rPr>
            </w:pPr>
            <w:r>
              <w:rPr>
                <w:rFonts w:hint="eastAsia" w:ascii="宋体" w:hAnsi="宋体" w:eastAsia="宋体" w:cs="宋体"/>
                <w:color w:val="auto"/>
                <w:sz w:val="28"/>
                <w:highlight w:val="none"/>
              </w:rPr>
              <w:t>绍兴市越城区气象局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z w:val="28"/>
                <w:highlight w:val="none"/>
              </w:rPr>
            </w:pPr>
            <w:r>
              <w:rPr>
                <w:rFonts w:hint="eastAsia" w:ascii="宋体" w:hAnsi="宋体" w:eastAsia="宋体" w:cs="宋体"/>
                <w:color w:val="auto"/>
                <w:sz w:val="28"/>
                <w:highlight w:val="none"/>
              </w:rPr>
              <w:t>采购代理机构：</w:t>
            </w:r>
          </w:p>
        </w:tc>
        <w:tc>
          <w:tcPr>
            <w:tcW w:w="6193" w:type="dxa"/>
            <w:tcBorders>
              <w:top w:val="nil"/>
              <w:left w:val="nil"/>
              <w:bottom w:val="nil"/>
              <w:right w:val="nil"/>
            </w:tcBorders>
            <w:noWrap/>
            <w:vAlign w:val="center"/>
          </w:tcPr>
          <w:p>
            <w:pPr>
              <w:shd w:val="clear"/>
              <w:rPr>
                <w:rFonts w:hint="eastAsia" w:ascii="宋体" w:hAnsi="宋体" w:eastAsia="宋体" w:cs="宋体"/>
                <w:color w:val="auto"/>
                <w:sz w:val="28"/>
                <w:highlight w:val="none"/>
              </w:rPr>
            </w:pPr>
            <w:r>
              <w:rPr>
                <w:rFonts w:hint="eastAsia" w:ascii="宋体" w:hAnsi="宋体" w:eastAsia="宋体" w:cs="宋体"/>
                <w:color w:val="auto"/>
                <w:sz w:val="28"/>
                <w:highlight w:val="none"/>
              </w:rPr>
              <w:t>浙江天源工程管理咨询有限公司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vMerge w:val="restart"/>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z w:val="28"/>
                <w:highlight w:val="none"/>
              </w:rPr>
            </w:pPr>
            <w:r>
              <w:rPr>
                <w:rFonts w:hint="eastAsia" w:ascii="宋体" w:hAnsi="宋体" w:eastAsia="宋体" w:cs="宋体"/>
                <w:color w:val="auto"/>
                <w:sz w:val="28"/>
                <w:highlight w:val="none"/>
              </w:rPr>
              <w:t>监督单位：</w:t>
            </w:r>
          </w:p>
        </w:tc>
        <w:tc>
          <w:tcPr>
            <w:tcW w:w="6193" w:type="dxa"/>
            <w:tcBorders>
              <w:top w:val="nil"/>
              <w:left w:val="nil"/>
              <w:bottom w:val="nil"/>
              <w:right w:val="nil"/>
            </w:tcBorders>
            <w:noWrap/>
            <w:vAlign w:val="center"/>
          </w:tcPr>
          <w:p>
            <w:pPr>
              <w:shd w:val="clear"/>
              <w:rPr>
                <w:rFonts w:hint="eastAsia" w:ascii="宋体" w:hAnsi="宋体" w:eastAsia="宋体" w:cs="宋体"/>
                <w:color w:val="auto"/>
                <w:sz w:val="28"/>
                <w:highlight w:val="none"/>
              </w:rPr>
            </w:pPr>
            <w:r>
              <w:rPr>
                <w:rFonts w:hint="eastAsia" w:ascii="宋体" w:hAnsi="宋体" w:eastAsia="宋体" w:cs="宋体"/>
                <w:color w:val="auto"/>
                <w:sz w:val="28"/>
                <w:highlight w:val="none"/>
              </w:rPr>
              <w:t>绍兴市越城区公共资源交易管理委员会办公室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4148" w:type="dxa"/>
            <w:vMerge w:val="continue"/>
            <w:tcBorders>
              <w:top w:val="nil"/>
              <w:left w:val="nil"/>
              <w:bottom w:val="nil"/>
              <w:right w:val="nil"/>
            </w:tcBorders>
            <w:noWrap/>
          </w:tcPr>
          <w:p>
            <w:pPr>
              <w:shd w:val="clear"/>
              <w:rPr>
                <w:rFonts w:hint="eastAsia" w:ascii="宋体" w:hAnsi="宋体" w:eastAsia="宋体" w:cs="宋体"/>
                <w:color w:val="auto"/>
                <w:highlight w:val="none"/>
              </w:rPr>
            </w:pPr>
          </w:p>
        </w:tc>
        <w:tc>
          <w:tcPr>
            <w:tcW w:w="6193" w:type="dxa"/>
            <w:tcBorders>
              <w:top w:val="nil"/>
              <w:left w:val="nil"/>
              <w:bottom w:val="nil"/>
              <w:right w:val="nil"/>
            </w:tcBorders>
            <w:noWrap/>
            <w:vAlign w:val="center"/>
          </w:tcPr>
          <w:p>
            <w:pPr>
              <w:shd w:val="clear"/>
              <w:rPr>
                <w:rFonts w:hint="eastAsia" w:ascii="宋体" w:hAnsi="宋体" w:eastAsia="宋体" w:cs="宋体"/>
                <w:color w:val="auto"/>
                <w:sz w:val="28"/>
                <w:highlight w:val="none"/>
              </w:rPr>
            </w:pPr>
            <w:r>
              <w:rPr>
                <w:rFonts w:hint="eastAsia" w:ascii="宋体" w:hAnsi="宋体" w:eastAsia="宋体" w:cs="宋体"/>
                <w:color w:val="auto"/>
                <w:sz w:val="28"/>
                <w:highlight w:val="none"/>
              </w:rPr>
              <w:t>绍兴市越城区财政局</w:t>
            </w:r>
          </w:p>
        </w:tc>
      </w:tr>
    </w:tbl>
    <w:p>
      <w:pPr>
        <w:shd w:val="clear"/>
        <w:jc w:val="center"/>
        <w:rPr>
          <w:rFonts w:hint="eastAsia" w:ascii="宋体" w:hAnsi="宋体" w:eastAsia="宋体" w:cs="宋体"/>
          <w:color w:val="auto"/>
          <w:sz w:val="28"/>
          <w:highlight w:val="none"/>
        </w:rPr>
      </w:pPr>
    </w:p>
    <w:p>
      <w:pPr>
        <w:shd w:val="clear"/>
        <w:jc w:val="center"/>
        <w:rPr>
          <w:rFonts w:hint="eastAsia" w:ascii="宋体" w:hAnsi="宋体" w:eastAsia="宋体" w:cs="宋体"/>
          <w:color w:val="auto"/>
          <w:sz w:val="28"/>
          <w:highlight w:val="none"/>
        </w:rPr>
      </w:pPr>
    </w:p>
    <w:p>
      <w:pPr>
        <w:shd w:val="clea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u w:val="single" w:color="auto"/>
        </w:rPr>
        <w:t xml:space="preserve"> </w:t>
      </w:r>
      <w:r>
        <w:rPr>
          <w:rFonts w:hint="eastAsia" w:ascii="宋体" w:hAnsi="宋体" w:eastAsia="宋体" w:cs="宋体"/>
          <w:color w:val="auto"/>
          <w:sz w:val="28"/>
          <w:highlight w:val="none"/>
          <w:u w:val="single" w:color="auto"/>
          <w:lang w:val="en-US" w:eastAsia="zh-CN"/>
        </w:rPr>
        <w:t>2023</w:t>
      </w:r>
      <w:r>
        <w:rPr>
          <w:rFonts w:hint="eastAsia" w:ascii="宋体" w:hAnsi="宋体" w:eastAsia="宋体" w:cs="宋体"/>
          <w:color w:val="auto"/>
          <w:sz w:val="28"/>
          <w:highlight w:val="none"/>
          <w:u w:val="single" w:color="auto"/>
        </w:rPr>
        <w:t xml:space="preserve"> </w:t>
      </w:r>
      <w:r>
        <w:rPr>
          <w:rFonts w:hint="eastAsia" w:ascii="宋体" w:hAnsi="宋体" w:eastAsia="宋体" w:cs="宋体"/>
          <w:color w:val="auto"/>
          <w:sz w:val="28"/>
          <w:highlight w:val="none"/>
        </w:rPr>
        <w:t>年</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lang w:val="en-US" w:eastAsia="zh-CN"/>
        </w:rPr>
        <w:t>7</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月</w:t>
      </w:r>
    </w:p>
    <w:p>
      <w:pPr>
        <w:shd w:val="clear"/>
        <w:rPr>
          <w:rFonts w:hint="eastAsia" w:ascii="宋体" w:hAnsi="宋体" w:eastAsia="宋体" w:cs="宋体"/>
          <w:color w:val="auto"/>
          <w:sz w:val="28"/>
          <w:highlight w:val="none"/>
        </w:rPr>
      </w:pPr>
    </w:p>
    <w:p>
      <w:pPr>
        <w:shd w:val="clear"/>
        <w:jc w:val="center"/>
        <w:rPr>
          <w:rFonts w:hint="eastAsia" w:ascii="宋体" w:hAnsi="宋体" w:eastAsia="宋体" w:cs="宋体"/>
          <w:color w:val="auto"/>
          <w:sz w:val="28"/>
          <w:highlight w:val="none"/>
        </w:rPr>
      </w:pPr>
      <w:r>
        <w:rPr>
          <w:rFonts w:hint="eastAsia" w:ascii="宋体" w:hAnsi="宋体" w:eastAsia="宋体" w:cs="宋体"/>
          <w:b/>
          <w:color w:val="auto"/>
          <w:sz w:val="44"/>
          <w:szCs w:val="44"/>
          <w:highlight w:val="none"/>
        </w:rPr>
        <w:t>目录</w:t>
      </w:r>
    </w:p>
    <w:p>
      <w:pPr>
        <w:shd w:val="clear"/>
        <w:jc w:val="center"/>
        <w:rPr>
          <w:rFonts w:hint="eastAsia" w:ascii="宋体" w:hAnsi="宋体" w:eastAsia="宋体" w:cs="宋体"/>
          <w:b/>
          <w:color w:val="auto"/>
          <w:sz w:val="44"/>
          <w:szCs w:val="44"/>
          <w:highlight w:val="none"/>
        </w:rPr>
      </w:pPr>
    </w:p>
    <w:p>
      <w:pPr>
        <w:pStyle w:val="22"/>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_Toc27216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_Toc27216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2"/>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_Toc1678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_Toc4885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_Toc4885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_Toc4902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二、采购文件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_Toc4902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_Toc1461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三、投标文件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_Toc27317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四、开标评标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_Toc27317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_Toc1753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五、合同签订及履约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_Toc1753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2"/>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_Toc3442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_Toc3442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一、服务清单及要求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_Toc29517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_Toc29878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二、商务要求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_Toc29878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2"/>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_Toc14268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拟签订合同的主要条款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_Toc14268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2"/>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_Toc14424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评标办法及标准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_Toc14424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2"/>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_Toc15148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_Toc15148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2"/>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_Toc16291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第七章  询问、质疑及投诉</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_Toc16291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_Toc31383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一、供应商询问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_Toc31383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_Toc25373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二、供应商质疑</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_Toc25373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_Toc17941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三、供应商投诉</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_Toc17941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shd w:val="clear"/>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pPr>
        <w:shd w:val="clear"/>
        <w:rPr>
          <w:rFonts w:hint="eastAsia" w:ascii="宋体" w:hAnsi="宋体" w:eastAsia="宋体" w:cs="宋体"/>
          <w:color w:val="auto"/>
          <w:sz w:val="28"/>
          <w:szCs w:val="28"/>
          <w:highlight w:val="none"/>
        </w:rPr>
      </w:pPr>
    </w:p>
    <w:p>
      <w:pPr>
        <w:pStyle w:val="3"/>
        <w:shd w:val="clear"/>
        <w:rPr>
          <w:rFonts w:hint="eastAsia" w:ascii="宋体" w:hAnsi="宋体" w:eastAsia="宋体" w:cs="宋体"/>
          <w:color w:val="auto"/>
          <w:sz w:val="28"/>
          <w:szCs w:val="28"/>
          <w:highlight w:val="none"/>
        </w:rPr>
        <w:sectPr>
          <w:footerReference r:id="rId5" w:type="default"/>
          <w:pgSz w:w="11907" w:h="16840"/>
          <w:pgMar w:top="1440" w:right="1463" w:bottom="1440" w:left="1803" w:header="851" w:footer="992" w:gutter="0"/>
          <w:cols w:space="720" w:num="1"/>
          <w:docGrid w:type="lines" w:linePitch="312" w:charSpace="0"/>
        </w:sectPr>
      </w:pPr>
    </w:p>
    <w:p>
      <w:pPr>
        <w:pStyle w:val="3"/>
        <w:shd w:val="clear"/>
        <w:rPr>
          <w:rFonts w:hint="eastAsia" w:ascii="宋体" w:hAnsi="宋体" w:eastAsia="宋体" w:cs="宋体"/>
          <w:color w:val="auto"/>
          <w:highlight w:val="none"/>
        </w:rPr>
      </w:pPr>
      <w:bookmarkStart w:id="0" w:name="_Toc27216"/>
      <w:r>
        <w:rPr>
          <w:rFonts w:hint="eastAsia" w:ascii="宋体" w:hAnsi="宋体" w:eastAsia="宋体" w:cs="宋体"/>
          <w:color w:val="auto"/>
          <w:highlight w:val="none"/>
        </w:rPr>
        <w:t>第一章  采购公告</w:t>
      </w:r>
      <w:bookmarkEnd w:id="0"/>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绍兴市越城区气象局探测运维服务项目</w:t>
      </w:r>
      <w:r>
        <w:rPr>
          <w:rFonts w:hint="eastAsia" w:ascii="宋体" w:hAnsi="宋体" w:eastAsia="宋体" w:cs="宋体"/>
          <w:color w:val="auto"/>
          <w:sz w:val="24"/>
          <w:szCs w:val="24"/>
          <w:highlight w:val="none"/>
        </w:rPr>
        <w:t>招标项目的潜在投标人应在</w:t>
      </w:r>
      <w:r>
        <w:rPr>
          <w:rFonts w:hint="eastAsia" w:ascii="宋体" w:hAnsi="宋体" w:eastAsia="宋体" w:cs="宋体"/>
          <w:bCs/>
          <w:color w:val="auto"/>
          <w:sz w:val="24"/>
          <w:szCs w:val="24"/>
          <w:highlight w:val="none"/>
        </w:rPr>
        <w:t>政采云平台</w:t>
      </w:r>
      <w:r>
        <w:rPr>
          <w:rFonts w:hint="eastAsia" w:ascii="宋体" w:hAnsi="宋体" w:eastAsia="宋体" w:cs="宋体"/>
          <w:bCs/>
          <w:color w:val="auto"/>
          <w:sz w:val="24"/>
          <w:szCs w:val="24"/>
          <w:highlight w:val="none"/>
          <w:u w:val="single"/>
        </w:rPr>
        <w:fldChar w:fldCharType="begin"/>
      </w:r>
      <w:r>
        <w:rPr>
          <w:rFonts w:hint="eastAsia" w:ascii="宋体" w:hAnsi="宋体" w:eastAsia="宋体" w:cs="宋体"/>
          <w:color w:val="auto"/>
          <w:highlight w:val="none"/>
        </w:rPr>
        <w:instrText xml:space="preserve">HYPERLINK "http://zcy.gov.cn/"</w:instrText>
      </w:r>
      <w:r>
        <w:rPr>
          <w:rFonts w:hint="eastAsia" w:ascii="宋体" w:hAnsi="宋体" w:eastAsia="宋体" w:cs="宋体"/>
          <w:bCs/>
          <w:color w:val="auto"/>
          <w:sz w:val="24"/>
          <w:szCs w:val="24"/>
          <w:highlight w:val="none"/>
          <w:u w:val="single"/>
        </w:rPr>
        <w:fldChar w:fldCharType="separate"/>
      </w:r>
      <w:r>
        <w:rPr>
          <w:rFonts w:hint="eastAsia" w:ascii="宋体" w:hAnsi="宋体" w:eastAsia="宋体" w:cs="宋体"/>
          <w:bCs/>
          <w:color w:val="auto"/>
          <w:sz w:val="24"/>
          <w:szCs w:val="24"/>
          <w:highlight w:val="none"/>
          <w:u w:val="single"/>
        </w:rPr>
        <w:t>http://www.zcygov.cn/</w:t>
      </w:r>
      <w:r>
        <w:rPr>
          <w:rFonts w:hint="eastAsia" w:ascii="宋体" w:hAnsi="宋体" w:eastAsia="宋体" w:cs="宋体"/>
          <w:bCs/>
          <w:color w:val="auto"/>
          <w:sz w:val="24"/>
          <w:szCs w:val="24"/>
          <w:highlight w:val="none"/>
          <w:u w:val="single"/>
        </w:rPr>
        <w:fldChar w:fldCharType="end"/>
      </w:r>
      <w:r>
        <w:rPr>
          <w:rFonts w:hint="eastAsia" w:ascii="宋体" w:hAnsi="宋体" w:eastAsia="宋体" w:cs="宋体"/>
          <w:color w:val="auto"/>
          <w:sz w:val="24"/>
          <w:szCs w:val="24"/>
          <w:highlight w:val="none"/>
        </w:rPr>
        <w:t>获取（下载）招标文件，并于</w:t>
      </w:r>
      <w:r>
        <w:rPr>
          <w:rFonts w:hint="eastAsia" w:ascii="宋体" w:hAnsi="宋体" w:cs="宋体"/>
          <w:color w:val="auto"/>
          <w:sz w:val="24"/>
          <w:szCs w:val="24"/>
          <w:highlight w:val="none"/>
          <w:u w:val="single"/>
          <w:lang w:val="en-US" w:eastAsia="zh-CN"/>
        </w:rPr>
        <w:t>2023</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北京时间）前递交（上传）投标文件</w:t>
      </w:r>
      <w:r>
        <w:rPr>
          <w:rFonts w:hint="eastAsia" w:ascii="宋体" w:hAnsi="宋体" w:eastAsia="宋体" w:cs="宋体"/>
          <w:color w:val="auto"/>
          <w:sz w:val="24"/>
          <w:szCs w:val="24"/>
          <w:highlight w:val="none"/>
        </w:rPr>
        <w:t>。</w:t>
      </w:r>
    </w:p>
    <w:p>
      <w:pPr>
        <w:shd w:val="clear"/>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1" w:name="_Toc35393790"/>
      <w:bookmarkStart w:id="2" w:name="_Toc28359002"/>
      <w:bookmarkStart w:id="3" w:name="_Toc28359079"/>
      <w:bookmarkStart w:id="4" w:name="_Toc35393621"/>
      <w:bookmarkStart w:id="5" w:name="_Hlk24379207"/>
      <w:r>
        <w:rPr>
          <w:rFonts w:hint="eastAsia" w:ascii="宋体" w:hAnsi="宋体" w:eastAsia="宋体" w:cs="宋体"/>
          <w:b/>
          <w:bCs/>
          <w:color w:val="auto"/>
          <w:sz w:val="24"/>
          <w:szCs w:val="24"/>
          <w:highlight w:val="none"/>
        </w:rPr>
        <w:t>一、项目基本情况</w:t>
      </w:r>
      <w:bookmarkEnd w:id="1"/>
      <w:bookmarkEnd w:id="2"/>
      <w:bookmarkEnd w:id="3"/>
      <w:bookmarkEnd w:id="4"/>
    </w:p>
    <w:p>
      <w:pPr>
        <w:shd w:val="clea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u w:val="single"/>
        </w:rPr>
        <w:t xml:space="preserve"> ZJTY2023-J-198 </w:t>
      </w:r>
    </w:p>
    <w:p>
      <w:pPr>
        <w:shd w:val="clea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rPr>
        <w:t xml:space="preserve"> 绍兴市越城区气象局探测运维服务项目 </w:t>
      </w:r>
    </w:p>
    <w:bookmarkEnd w:id="5"/>
    <w:p>
      <w:pPr>
        <w:shd w:val="clea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预算金额（元）：</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1470000</w:t>
      </w:r>
      <w:r>
        <w:rPr>
          <w:rFonts w:hint="eastAsia" w:ascii="宋体" w:hAnsi="宋体" w:eastAsia="宋体" w:cs="宋体"/>
          <w:bCs/>
          <w:color w:val="auto"/>
          <w:sz w:val="24"/>
          <w:szCs w:val="24"/>
          <w:highlight w:val="none"/>
          <w:u w:val="single"/>
        </w:rPr>
        <w:t xml:space="preserve"> </w:t>
      </w:r>
    </w:p>
    <w:p>
      <w:pPr>
        <w:shd w:val="clea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最高限价（元）：</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1470000</w:t>
      </w:r>
      <w:r>
        <w:rPr>
          <w:rFonts w:hint="eastAsia" w:ascii="宋体" w:hAnsi="宋体" w:eastAsia="宋体" w:cs="宋体"/>
          <w:bCs/>
          <w:color w:val="auto"/>
          <w:sz w:val="24"/>
          <w:szCs w:val="24"/>
          <w:highlight w:val="none"/>
          <w:u w:val="single"/>
        </w:rPr>
        <w:t xml:space="preserve"> </w:t>
      </w:r>
    </w:p>
    <w:p>
      <w:pPr>
        <w:shd w:val="clea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采购需求：</w:t>
      </w:r>
    </w:p>
    <w:p>
      <w:pPr>
        <w:shd w:val="clear"/>
        <w:spacing w:line="360" w:lineRule="auto"/>
        <w:ind w:firstLine="1020" w:firstLineChars="4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标项一：</w:t>
      </w:r>
    </w:p>
    <w:p>
      <w:pPr>
        <w:shd w:val="clear"/>
        <w:spacing w:line="360" w:lineRule="auto"/>
        <w:ind w:firstLine="5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标项名称：</w:t>
      </w:r>
      <w:r>
        <w:rPr>
          <w:rFonts w:hint="eastAsia" w:ascii="宋体" w:hAnsi="宋体" w:eastAsia="宋体" w:cs="宋体"/>
          <w:bCs/>
          <w:color w:val="auto"/>
          <w:sz w:val="24"/>
          <w:szCs w:val="24"/>
          <w:highlight w:val="none"/>
          <w:u w:val="single"/>
        </w:rPr>
        <w:t xml:space="preserve">绍兴市越城区气象局探测运维服务项目 </w:t>
      </w:r>
    </w:p>
    <w:p>
      <w:pPr>
        <w:shd w:val="clear"/>
        <w:spacing w:line="360" w:lineRule="auto"/>
        <w:ind w:firstLine="5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数量：</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 xml:space="preserve">   </w:t>
      </w:r>
    </w:p>
    <w:p>
      <w:pPr>
        <w:shd w:val="clear"/>
        <w:spacing w:line="360" w:lineRule="auto"/>
        <w:ind w:firstLine="5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预算金额（元）：</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1470000</w:t>
      </w:r>
      <w:r>
        <w:rPr>
          <w:rFonts w:hint="eastAsia" w:ascii="宋体" w:hAnsi="宋体" w:eastAsia="宋体" w:cs="宋体"/>
          <w:bCs/>
          <w:color w:val="auto"/>
          <w:sz w:val="24"/>
          <w:szCs w:val="24"/>
          <w:highlight w:val="none"/>
          <w:u w:val="single"/>
        </w:rPr>
        <w:t xml:space="preserve"> </w:t>
      </w:r>
    </w:p>
    <w:p>
      <w:pPr>
        <w:shd w:val="clear"/>
        <w:spacing w:line="360" w:lineRule="auto"/>
        <w:ind w:firstLine="5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简要规格描述或项目基本概况介绍、用途：</w:t>
      </w:r>
      <w:r>
        <w:rPr>
          <w:rFonts w:hint="eastAsia" w:ascii="宋体" w:hAnsi="宋体" w:eastAsia="宋体" w:cs="宋体"/>
          <w:bCs/>
          <w:color w:val="auto"/>
          <w:sz w:val="24"/>
          <w:highlight w:val="none"/>
          <w:u w:val="single"/>
        </w:rPr>
        <w:t>详见采购文件。</w:t>
      </w:r>
    </w:p>
    <w:p>
      <w:pPr>
        <w:shd w:val="clea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 xml:space="preserve">    备注：</w:t>
      </w:r>
      <w:r>
        <w:rPr>
          <w:rFonts w:hint="eastAsia" w:ascii="宋体" w:hAnsi="宋体" w:eastAsia="宋体" w:cs="宋体"/>
          <w:bCs/>
          <w:color w:val="auto"/>
          <w:sz w:val="24"/>
          <w:highlight w:val="none"/>
          <w:u w:val="single"/>
        </w:rPr>
        <w:t xml:space="preserve"> 无 </w:t>
      </w:r>
    </w:p>
    <w:p>
      <w:pPr>
        <w:shd w:val="clea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合同履行期限：</w:t>
      </w:r>
      <w:r>
        <w:rPr>
          <w:rFonts w:hint="eastAsia" w:ascii="宋体" w:hAnsi="宋体" w:eastAsia="宋体" w:cs="宋体"/>
          <w:bCs/>
          <w:color w:val="auto"/>
          <w:sz w:val="24"/>
          <w:highlight w:val="none"/>
          <w:u w:val="single"/>
        </w:rPr>
        <w:t>详见采购文件。</w:t>
      </w:r>
    </w:p>
    <w:p>
      <w:pPr>
        <w:shd w:val="clea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u w:val="single"/>
        </w:rPr>
        <w:t>否</w:t>
      </w:r>
      <w:r>
        <w:rPr>
          <w:rFonts w:hint="eastAsia" w:ascii="宋体" w:hAnsi="宋体" w:eastAsia="宋体" w:cs="宋体"/>
          <w:bCs/>
          <w:color w:val="auto"/>
          <w:sz w:val="24"/>
          <w:szCs w:val="24"/>
          <w:highlight w:val="none"/>
        </w:rPr>
        <w:t>）接受联合体投标。</w:t>
      </w: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6" w:name="_Toc28359003"/>
      <w:bookmarkStart w:id="7" w:name="_Toc28359080"/>
      <w:bookmarkStart w:id="8" w:name="_Toc35393622"/>
      <w:bookmarkStart w:id="9" w:name="_Toc35393791"/>
      <w:r>
        <w:rPr>
          <w:rFonts w:hint="eastAsia" w:ascii="宋体" w:hAnsi="宋体" w:eastAsia="宋体" w:cs="宋体"/>
          <w:b/>
          <w:bCs/>
          <w:color w:val="auto"/>
          <w:sz w:val="24"/>
          <w:szCs w:val="24"/>
          <w:highlight w:val="none"/>
        </w:rPr>
        <w:t>二、申请人的资格要求：</w:t>
      </w:r>
      <w:bookmarkEnd w:id="6"/>
      <w:bookmarkEnd w:id="7"/>
      <w:bookmarkEnd w:id="8"/>
      <w:bookmarkEnd w:id="9"/>
    </w:p>
    <w:p>
      <w:pPr>
        <w:shd w:val="clea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ind w:firstLine="540"/>
        <w:rPr>
          <w:rFonts w:hint="eastAsia" w:ascii="宋体" w:hAnsi="宋体" w:eastAsia="宋体" w:cs="宋体"/>
          <w:bCs/>
          <w:color w:val="auto"/>
          <w:sz w:val="24"/>
          <w:szCs w:val="24"/>
          <w:highlight w:val="none"/>
        </w:rPr>
      </w:pPr>
      <w:bookmarkStart w:id="10" w:name="_Toc28359004"/>
      <w:bookmarkStart w:id="11" w:name="_Toc28359081"/>
      <w:r>
        <w:rPr>
          <w:rFonts w:hint="eastAsia" w:ascii="宋体" w:hAnsi="宋体" w:eastAsia="宋体" w:cs="宋体"/>
          <w:bCs/>
          <w:color w:val="auto"/>
          <w:sz w:val="24"/>
          <w:szCs w:val="24"/>
          <w:highlight w:val="none"/>
        </w:rPr>
        <w:t xml:space="preserve">2.落实政府采购政策需满足的资格要求：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供应商为中小企业/小微企业</w:t>
      </w:r>
      <w:r>
        <w:rPr>
          <w:rFonts w:hint="eastAsia" w:ascii="宋体" w:hAnsi="宋体" w:eastAsia="宋体" w:cs="宋体"/>
          <w:bCs/>
          <w:color w:val="auto"/>
          <w:sz w:val="24"/>
          <w:szCs w:val="24"/>
          <w:highlight w:val="none"/>
          <w:u w:val="single"/>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adjustRightInd/>
        <w:snapToGrid/>
        <w:spacing w:line="360" w:lineRule="auto"/>
        <w:ind w:left="0" w:firstLine="540"/>
        <w:contextualSpacing w:val="0"/>
        <w:rPr>
          <w:rFonts w:hint="eastAsia" w:ascii="宋体" w:hAnsi="宋体" w:eastAsia="宋体" w:cs="宋体"/>
          <w:bCs/>
          <w:iCs/>
          <w:color w:val="auto"/>
          <w:sz w:val="24"/>
          <w:szCs w:val="24"/>
          <w:highlight w:val="none"/>
          <w:lang w:eastAsia="zh-CN"/>
        </w:rPr>
      </w:pPr>
      <w:r>
        <w:rPr>
          <w:rFonts w:hint="eastAsia" w:ascii="宋体" w:hAnsi="宋体" w:eastAsia="宋体" w:cs="宋体"/>
          <w:bCs/>
          <w:color w:val="auto"/>
          <w:sz w:val="24"/>
          <w:szCs w:val="24"/>
          <w:highlight w:val="none"/>
        </w:rPr>
        <w:t>3.本项目的特定资格要求：</w:t>
      </w:r>
      <w:r>
        <w:rPr>
          <w:rFonts w:hint="eastAsia" w:ascii="宋体" w:hAnsi="宋体" w:cs="宋体"/>
          <w:bCs/>
          <w:color w:val="auto"/>
          <w:sz w:val="24"/>
          <w:szCs w:val="24"/>
          <w:highlight w:val="none"/>
          <w:u w:val="single"/>
          <w:lang w:eastAsia="zh-CN"/>
        </w:rPr>
        <w:t>无。</w:t>
      </w: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12" w:name="_Toc35393792"/>
      <w:bookmarkStart w:id="13" w:name="_Toc35393623"/>
      <w:r>
        <w:rPr>
          <w:rFonts w:hint="eastAsia" w:ascii="宋体" w:hAnsi="宋体" w:eastAsia="宋体" w:cs="宋体"/>
          <w:b/>
          <w:bCs/>
          <w:color w:val="auto"/>
          <w:sz w:val="24"/>
          <w:szCs w:val="24"/>
          <w:highlight w:val="none"/>
        </w:rPr>
        <w:t>三、获取招标文件</w:t>
      </w:r>
      <w:bookmarkEnd w:id="10"/>
      <w:bookmarkEnd w:id="11"/>
      <w:bookmarkEnd w:id="12"/>
      <w:bookmarkEnd w:id="13"/>
    </w:p>
    <w:p>
      <w:pPr>
        <w:shd w:val="clea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/至 </w:t>
      </w:r>
      <w:r>
        <w:rPr>
          <w:rFonts w:hint="eastAsia" w:ascii="宋体" w:hAnsi="宋体" w:cs="宋体"/>
          <w:color w:val="auto"/>
          <w:sz w:val="24"/>
          <w:szCs w:val="24"/>
          <w:highlight w:val="none"/>
          <w:u w:val="single"/>
          <w:lang w:val="en-US" w:eastAsia="zh-CN"/>
        </w:rPr>
        <w:t>2023</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w:t>
      </w:r>
      <w:r>
        <w:rPr>
          <w:rFonts w:hint="eastAsia" w:ascii="宋体" w:hAnsi="宋体" w:eastAsia="宋体" w:cs="宋体"/>
          <w:color w:val="auto"/>
          <w:sz w:val="24"/>
          <w:szCs w:val="24"/>
          <w:highlight w:val="none"/>
        </w:rPr>
        <w:t xml:space="preserve"> ，每天上午00:00至12:00 ，下午12:00至23:59（北京时间，线上获取法定节假日均可，线下获取文件法定节假日除外）。</w:t>
      </w:r>
    </w:p>
    <w:p>
      <w:pPr>
        <w:shd w:val="clear"/>
        <w:spacing w:line="36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地点（网址）：</w:t>
      </w:r>
      <w:r>
        <w:rPr>
          <w:rFonts w:hint="eastAsia" w:ascii="宋体" w:hAnsi="宋体" w:eastAsia="宋体" w:cs="宋体"/>
          <w:bCs/>
          <w:color w:val="auto"/>
          <w:sz w:val="24"/>
          <w:szCs w:val="24"/>
          <w:highlight w:val="none"/>
        </w:rPr>
        <w:t>政采云平台</w:t>
      </w:r>
      <w:r>
        <w:rPr>
          <w:rFonts w:hint="eastAsia" w:ascii="宋体" w:hAnsi="宋体" w:eastAsia="宋体" w:cs="宋体"/>
          <w:bCs/>
          <w:color w:val="auto"/>
          <w:sz w:val="24"/>
          <w:szCs w:val="24"/>
          <w:highlight w:val="none"/>
          <w:u w:val="single"/>
        </w:rPr>
        <w:fldChar w:fldCharType="begin"/>
      </w:r>
      <w:r>
        <w:rPr>
          <w:rFonts w:hint="eastAsia" w:ascii="宋体" w:hAnsi="宋体" w:eastAsia="宋体" w:cs="宋体"/>
          <w:color w:val="auto"/>
          <w:highlight w:val="none"/>
        </w:rPr>
        <w:instrText xml:space="preserve">HYPERLINK "http://zcy.gov.cn/"</w:instrText>
      </w:r>
      <w:r>
        <w:rPr>
          <w:rFonts w:hint="eastAsia" w:ascii="宋体" w:hAnsi="宋体" w:eastAsia="宋体" w:cs="宋体"/>
          <w:bCs/>
          <w:color w:val="auto"/>
          <w:sz w:val="24"/>
          <w:szCs w:val="24"/>
          <w:highlight w:val="none"/>
          <w:u w:val="single"/>
        </w:rPr>
        <w:fldChar w:fldCharType="separate"/>
      </w:r>
      <w:r>
        <w:rPr>
          <w:rFonts w:hint="eastAsia" w:ascii="宋体" w:hAnsi="宋体" w:eastAsia="宋体" w:cs="宋体"/>
          <w:bCs/>
          <w:color w:val="auto"/>
          <w:sz w:val="24"/>
          <w:szCs w:val="24"/>
          <w:highlight w:val="none"/>
          <w:u w:val="single"/>
        </w:rPr>
        <w:t>http://www.zcygov.cn/</w:t>
      </w:r>
      <w:r>
        <w:rPr>
          <w:rFonts w:hint="eastAsia" w:ascii="宋体" w:hAnsi="宋体" w:eastAsia="宋体" w:cs="宋体"/>
          <w:bCs/>
          <w:color w:val="auto"/>
          <w:sz w:val="24"/>
          <w:szCs w:val="24"/>
          <w:highlight w:val="none"/>
          <w:u w:val="single"/>
        </w:rPr>
        <w:fldChar w:fldCharType="end"/>
      </w:r>
    </w:p>
    <w:p>
      <w:pPr>
        <w:shd w:val="clear"/>
        <w:spacing w:line="36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pPr>
        <w:shd w:val="clea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14" w:name="_Toc28359005"/>
      <w:bookmarkStart w:id="15" w:name="_Toc28359082"/>
      <w:bookmarkStart w:id="16" w:name="_Toc35393793"/>
      <w:bookmarkStart w:id="17" w:name="_Toc35393624"/>
      <w:r>
        <w:rPr>
          <w:rFonts w:hint="eastAsia" w:ascii="宋体" w:hAnsi="宋体" w:eastAsia="宋体" w:cs="宋体"/>
          <w:b/>
          <w:bCs/>
          <w:color w:val="auto"/>
          <w:sz w:val="24"/>
          <w:szCs w:val="24"/>
          <w:highlight w:val="none"/>
        </w:rPr>
        <w:t>四、提交投标文件</w:t>
      </w:r>
      <w:bookmarkEnd w:id="14"/>
      <w:bookmarkEnd w:id="15"/>
      <w:r>
        <w:rPr>
          <w:rFonts w:hint="eastAsia" w:ascii="宋体" w:hAnsi="宋体" w:eastAsia="宋体" w:cs="宋体"/>
          <w:b/>
          <w:bCs/>
          <w:color w:val="auto"/>
          <w:sz w:val="24"/>
          <w:szCs w:val="24"/>
          <w:highlight w:val="none"/>
        </w:rPr>
        <w:t>截止时间、开标时间和地点</w:t>
      </w:r>
      <w:bookmarkEnd w:id="16"/>
      <w:bookmarkEnd w:id="17"/>
    </w:p>
    <w:p>
      <w:pPr>
        <w:shd w:val="clea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提交投标文件截止时间：</w:t>
      </w:r>
      <w:r>
        <w:rPr>
          <w:rFonts w:hint="eastAsia" w:ascii="宋体" w:hAnsi="宋体" w:cs="宋体"/>
          <w:color w:val="auto"/>
          <w:sz w:val="24"/>
          <w:szCs w:val="24"/>
          <w:highlight w:val="none"/>
          <w:u w:val="single"/>
          <w:lang w:val="en-US" w:eastAsia="zh-CN"/>
        </w:rPr>
        <w:t>2023</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rPr>
        <w:t>（北京时间）</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投标地点（网址）：</w:t>
      </w:r>
      <w:r>
        <w:rPr>
          <w:rFonts w:hint="eastAsia" w:ascii="宋体" w:hAnsi="宋体" w:eastAsia="宋体" w:cs="宋体"/>
          <w:b w:val="0"/>
          <w:bCs w:val="0"/>
          <w:i w:val="0"/>
          <w:iCs w:val="0"/>
          <w:caps w:val="0"/>
          <w:smallCaps w:val="0"/>
          <w:color w:val="auto"/>
          <w:spacing w:val="0"/>
          <w:sz w:val="24"/>
          <w:szCs w:val="24"/>
          <w:highlight w:val="none"/>
        </w:rPr>
        <w:t>政采云平台http://www.zcygov.cn/在线递交，不接收纸质投标文件。</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u w:val="single"/>
          <w:lang w:val="en-US" w:eastAsia="zh-CN"/>
        </w:rPr>
        <w:t>2023</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00</w:t>
      </w:r>
    </w:p>
    <w:p>
      <w:pPr>
        <w:shd w:val="clea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开标地点（网址）：</w:t>
      </w:r>
      <w:r>
        <w:rPr>
          <w:rFonts w:hint="eastAsia" w:ascii="宋体" w:hAnsi="宋体" w:eastAsia="宋体" w:cs="宋体"/>
          <w:b w:val="0"/>
          <w:bCs w:val="0"/>
          <w:i w:val="0"/>
          <w:iCs w:val="0"/>
          <w:caps w:val="0"/>
          <w:smallCaps w:val="0"/>
          <w:color w:val="auto"/>
          <w:spacing w:val="0"/>
          <w:sz w:val="24"/>
          <w:szCs w:val="24"/>
          <w:highlight w:val="none"/>
        </w:rPr>
        <w:t>政采云平台http://www.zcygov.cn/；现场开标地点：</w:t>
      </w:r>
      <w:r>
        <w:rPr>
          <w:rFonts w:hint="eastAsia" w:ascii="宋体" w:hAnsi="宋体" w:eastAsia="宋体" w:cs="宋体"/>
          <w:color w:val="auto"/>
          <w:sz w:val="24"/>
          <w:highlight w:val="none"/>
          <w:u w:val="single"/>
        </w:rPr>
        <w:t>绍兴市越城区胜利东路405号国茂大厦</w:t>
      </w:r>
      <w:r>
        <w:rPr>
          <w:rFonts w:hint="eastAsia" w:ascii="宋体" w:hAnsi="宋体" w:cs="宋体"/>
          <w:color w:val="auto"/>
          <w:sz w:val="24"/>
          <w:highlight w:val="none"/>
          <w:u w:val="single"/>
          <w:lang w:val="en-US" w:eastAsia="zh-CN"/>
        </w:rPr>
        <w:t>701</w:t>
      </w:r>
      <w:r>
        <w:rPr>
          <w:rFonts w:hint="eastAsia" w:ascii="宋体" w:hAnsi="宋体" w:eastAsia="宋体" w:cs="宋体"/>
          <w:b w:val="0"/>
          <w:bCs w:val="0"/>
          <w:i w:val="0"/>
          <w:iCs w:val="0"/>
          <w:caps w:val="0"/>
          <w:smallCaps w:val="0"/>
          <w:color w:val="auto"/>
          <w:spacing w:val="0"/>
          <w:sz w:val="24"/>
          <w:szCs w:val="24"/>
          <w:highlight w:val="none"/>
        </w:rPr>
        <w:t>室。</w:t>
      </w: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18" w:name="_Toc28359007"/>
      <w:bookmarkStart w:id="19" w:name="_Toc28359084"/>
      <w:bookmarkStart w:id="20" w:name="_Toc35393625"/>
      <w:bookmarkStart w:id="21" w:name="_Toc35393794"/>
      <w:r>
        <w:rPr>
          <w:rFonts w:hint="eastAsia" w:ascii="宋体" w:hAnsi="宋体" w:eastAsia="宋体" w:cs="宋体"/>
          <w:b/>
          <w:bCs/>
          <w:color w:val="auto"/>
          <w:sz w:val="24"/>
          <w:szCs w:val="24"/>
          <w:highlight w:val="none"/>
        </w:rPr>
        <w:t>五、公告期限</w:t>
      </w:r>
      <w:bookmarkEnd w:id="18"/>
      <w:bookmarkEnd w:id="19"/>
      <w:bookmarkEnd w:id="20"/>
      <w:bookmarkEnd w:id="21"/>
    </w:p>
    <w:p>
      <w:pPr>
        <w:shd w:val="clea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22" w:name="_Toc35393626"/>
      <w:bookmarkStart w:id="23" w:name="_Toc35393795"/>
      <w:r>
        <w:rPr>
          <w:rFonts w:hint="eastAsia" w:ascii="宋体" w:hAnsi="宋体" w:eastAsia="宋体" w:cs="宋体"/>
          <w:b/>
          <w:bCs/>
          <w:color w:val="auto"/>
          <w:sz w:val="24"/>
          <w:szCs w:val="24"/>
          <w:highlight w:val="none"/>
        </w:rPr>
        <w:t>六、其他补充事宜</w:t>
      </w:r>
      <w:bookmarkEnd w:id="22"/>
      <w:bookmarkEnd w:id="23"/>
    </w:p>
    <w:p>
      <w:pPr>
        <w:shd w:val="clear"/>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shd w:val="clear"/>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b/>
          <w:bCs/>
          <w:color w:val="auto"/>
          <w:sz w:val="24"/>
          <w:highlight w:val="none"/>
        </w:rPr>
        <w:t>详见采购文件第七章。</w:t>
      </w:r>
    </w:p>
    <w:p>
      <w:pPr>
        <w:shd w:val="clear"/>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3.其他事项：</w:t>
      </w:r>
      <w:r>
        <w:rPr>
          <w:rFonts w:hint="eastAsia" w:ascii="宋体" w:hAnsi="宋体" w:eastAsia="宋体" w:cs="宋体"/>
          <w:color w:val="auto"/>
          <w:kern w:val="0"/>
          <w:sz w:val="24"/>
          <w:szCs w:val="24"/>
          <w:highlight w:val="none"/>
          <w:u w:val="wave"/>
        </w:rPr>
        <w:t>详见采购文件“采购公告补充事项”。（重要）</w:t>
      </w: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24" w:name="_Toc35393796"/>
      <w:bookmarkStart w:id="25" w:name="_Toc35393627"/>
      <w:bookmarkStart w:id="26" w:name="_Toc28359008"/>
      <w:bookmarkStart w:id="27" w:name="_Toc28359085"/>
      <w:r>
        <w:rPr>
          <w:rFonts w:hint="eastAsia" w:ascii="宋体" w:hAnsi="宋体" w:eastAsia="宋体" w:cs="宋体"/>
          <w:b/>
          <w:bCs/>
          <w:color w:val="auto"/>
          <w:sz w:val="24"/>
          <w:szCs w:val="24"/>
          <w:highlight w:val="none"/>
        </w:rPr>
        <w:t>七、对本次招标提出询问、质疑、投诉，请按以下方式联系</w:t>
      </w:r>
      <w:bookmarkEnd w:id="24"/>
      <w:bookmarkEnd w:id="25"/>
      <w:bookmarkEnd w:id="26"/>
      <w:bookmarkEnd w:id="27"/>
    </w:p>
    <w:p>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1.采购人信息</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名 称：</w:t>
      </w:r>
      <w:r>
        <w:rPr>
          <w:rFonts w:hint="eastAsia" w:ascii="宋体" w:hAnsi="宋体" w:eastAsia="宋体" w:cs="宋体"/>
          <w:bCs/>
          <w:color w:val="auto"/>
          <w:sz w:val="24"/>
          <w:highlight w:val="none"/>
          <w:u w:val="single"/>
        </w:rPr>
        <w:t>绍兴市越城区气象局</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地址：绍兴市越城区马臻路175号   </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传真：　/　　　　　　　　 </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项目联系人（询问）：叶建刚 </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项目联系方式（询问）：0575-88266820</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质疑联系人：徐青锋　　　　　　</w:t>
      </w:r>
    </w:p>
    <w:p>
      <w:pPr>
        <w:shd w:val="clea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质疑联系方式：0575-85155203</w:t>
      </w:r>
      <w:r>
        <w:rPr>
          <w:rFonts w:hint="eastAsia" w:ascii="宋体" w:hAnsi="宋体" w:eastAsia="宋体" w:cs="宋体"/>
          <w:color w:val="auto"/>
          <w:sz w:val="24"/>
          <w:szCs w:val="24"/>
          <w:highlight w:val="none"/>
        </w:rPr>
        <w:t xml:space="preserve">　　　　　　　　 </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p>
    <w:p>
      <w:pPr>
        <w:shd w:val="clea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名 称：</w:t>
      </w:r>
      <w:r>
        <w:rPr>
          <w:rFonts w:hint="eastAsia" w:ascii="宋体" w:hAnsi="宋体" w:eastAsia="宋体" w:cs="宋体"/>
          <w:color w:val="auto"/>
          <w:sz w:val="24"/>
          <w:highlight w:val="none"/>
          <w:u w:val="single"/>
        </w:rPr>
        <w:t>浙江天源工程管理咨询有限公司</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地址：</w:t>
      </w:r>
      <w:r>
        <w:rPr>
          <w:rFonts w:hint="eastAsia" w:ascii="宋体" w:hAnsi="宋体" w:eastAsia="宋体" w:cs="宋体"/>
          <w:color w:val="auto"/>
          <w:sz w:val="24"/>
          <w:highlight w:val="none"/>
          <w:u w:val="single"/>
        </w:rPr>
        <w:t>绍兴市越城区胜利东路405号国茂大厦712室</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传真：</w:t>
      </w:r>
      <w:r>
        <w:rPr>
          <w:rFonts w:hint="eastAsia" w:ascii="宋体" w:hAnsi="宋体" w:eastAsia="宋体" w:cs="宋体"/>
          <w:color w:val="auto"/>
          <w:sz w:val="24"/>
          <w:highlight w:val="none"/>
          <w:u w:val="single"/>
        </w:rPr>
        <w:t xml:space="preserve"> 0575-85111480</w:t>
      </w:r>
      <w:r>
        <w:rPr>
          <w:rFonts w:hint="eastAsia" w:ascii="宋体" w:hAnsi="宋体" w:eastAsia="宋体" w:cs="宋体"/>
          <w:color w:val="auto"/>
          <w:sz w:val="24"/>
          <w:szCs w:val="24"/>
          <w:highlight w:val="none"/>
          <w:u w:val="single"/>
        </w:rPr>
        <w:t xml:space="preserve">　 </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项目联系人（询问）：</w:t>
      </w:r>
      <w:r>
        <w:rPr>
          <w:rFonts w:hint="eastAsia" w:ascii="宋体" w:hAnsi="宋体" w:eastAsia="宋体" w:cs="宋体"/>
          <w:color w:val="auto"/>
          <w:sz w:val="24"/>
          <w:highlight w:val="none"/>
          <w:u w:val="single"/>
        </w:rPr>
        <w:t>龚征亚</w:t>
      </w:r>
      <w:r>
        <w:rPr>
          <w:rFonts w:hint="eastAsia" w:ascii="宋体" w:hAnsi="宋体" w:eastAsia="宋体" w:cs="宋体"/>
          <w:color w:val="auto"/>
          <w:sz w:val="24"/>
          <w:szCs w:val="24"/>
          <w:highlight w:val="none"/>
          <w:u w:val="single"/>
        </w:rPr>
        <w:t xml:space="preserve">　 </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项目联系方式（询问）：</w:t>
      </w:r>
      <w:r>
        <w:rPr>
          <w:rFonts w:hint="eastAsia" w:ascii="宋体" w:hAnsi="宋体" w:eastAsia="宋体" w:cs="宋体"/>
          <w:color w:val="auto"/>
          <w:sz w:val="24"/>
          <w:highlight w:val="none"/>
          <w:u w:val="single"/>
        </w:rPr>
        <w:t xml:space="preserve"> 0575-85111480</w:t>
      </w:r>
      <w:r>
        <w:rPr>
          <w:rFonts w:hint="eastAsia" w:ascii="宋体" w:hAnsi="宋体" w:eastAsia="宋体" w:cs="宋体"/>
          <w:color w:val="auto"/>
          <w:sz w:val="24"/>
          <w:szCs w:val="24"/>
          <w:highlight w:val="none"/>
          <w:u w:val="single"/>
        </w:rPr>
        <w:t>　</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质疑联系人：　</w:t>
      </w:r>
      <w:r>
        <w:rPr>
          <w:rFonts w:hint="eastAsia" w:ascii="宋体" w:hAnsi="宋体" w:eastAsia="宋体" w:cs="宋体"/>
          <w:color w:val="auto"/>
          <w:sz w:val="24"/>
          <w:highlight w:val="none"/>
          <w:u w:val="single"/>
        </w:rPr>
        <w:t>俞晓萍</w:t>
      </w:r>
      <w:r>
        <w:rPr>
          <w:rFonts w:hint="eastAsia" w:ascii="宋体" w:hAnsi="宋体" w:eastAsia="宋体" w:cs="宋体"/>
          <w:color w:val="auto"/>
          <w:sz w:val="24"/>
          <w:szCs w:val="24"/>
          <w:highlight w:val="none"/>
          <w:u w:val="single"/>
        </w:rPr>
        <w:t>　　　　</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质疑联系方式：</w:t>
      </w:r>
      <w:r>
        <w:rPr>
          <w:rFonts w:hint="eastAsia" w:ascii="宋体" w:hAnsi="宋体" w:eastAsia="宋体" w:cs="宋体"/>
          <w:color w:val="auto"/>
          <w:sz w:val="24"/>
          <w:highlight w:val="none"/>
          <w:u w:val="single"/>
        </w:rPr>
        <w:t xml:space="preserve"> 0575-85127153</w:t>
      </w:r>
      <w:r>
        <w:rPr>
          <w:rFonts w:hint="eastAsia" w:ascii="宋体" w:hAnsi="宋体" w:eastAsia="宋体" w:cs="宋体"/>
          <w:color w:val="auto"/>
          <w:sz w:val="24"/>
          <w:szCs w:val="24"/>
          <w:highlight w:val="none"/>
          <w:u w:val="single"/>
        </w:rPr>
        <w:t>　</w:t>
      </w:r>
    </w:p>
    <w:p>
      <w:pPr>
        <w:shd w:val="clear"/>
        <w:spacing w:line="360" w:lineRule="auto"/>
        <w:rPr>
          <w:rFonts w:hint="eastAsia" w:ascii="宋体" w:hAnsi="宋体" w:eastAsia="宋体" w:cs="宋体"/>
          <w:color w:val="auto"/>
          <w:sz w:val="24"/>
          <w:szCs w:val="24"/>
          <w:highlight w:val="none"/>
        </w:rPr>
      </w:pPr>
    </w:p>
    <w:p>
      <w:pPr>
        <w:shd w:val="clear"/>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3.同级政府采购监督管理部门</w:t>
      </w:r>
    </w:p>
    <w:p>
      <w:pPr>
        <w:shd w:val="clea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绍兴市越城区财政局　　　　</w:t>
      </w:r>
    </w:p>
    <w:p>
      <w:pPr>
        <w:shd w:val="clea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浙江省绍兴市人民东路1187号　　　</w:t>
      </w:r>
    </w:p>
    <w:p>
      <w:pPr>
        <w:shd w:val="clea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　　　　　 </w:t>
      </w:r>
    </w:p>
    <w:p>
      <w:pPr>
        <w:pStyle w:val="18"/>
        <w:shd w:val="clea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季扬</w:t>
      </w:r>
    </w:p>
    <w:p>
      <w:pPr>
        <w:shd w:val="clear"/>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监督投诉电话：</w:t>
      </w:r>
      <w:r>
        <w:rPr>
          <w:rFonts w:hint="eastAsia" w:ascii="宋体" w:hAnsi="宋体" w:eastAsia="宋体" w:cs="宋体"/>
          <w:color w:val="auto"/>
          <w:sz w:val="24"/>
          <w:szCs w:val="24"/>
          <w:highlight w:val="none"/>
          <w:u w:val="single"/>
        </w:rPr>
        <w:t>　0575-85221643　　　</w:t>
      </w:r>
    </w:p>
    <w:p>
      <w:pPr>
        <w:widowControl/>
        <w:shd w:val="clea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shd w:val="clea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CA问题联系电话（人工）：汇信CA 400-888-4636；天谷CA 400-087-8198。</w:t>
      </w:r>
    </w:p>
    <w:p>
      <w:pPr>
        <w:widowControl/>
        <w:shd w:val="clear"/>
        <w:jc w:val="left"/>
        <w:rPr>
          <w:rFonts w:hint="eastAsia" w:ascii="宋体" w:hAnsi="宋体" w:eastAsia="宋体" w:cs="宋体"/>
          <w:color w:val="auto"/>
          <w:sz w:val="28"/>
          <w:szCs w:val="28"/>
          <w:highlight w:val="none"/>
        </w:rPr>
      </w:pPr>
    </w:p>
    <w:p>
      <w:pPr>
        <w:widowControl/>
        <w:shd w:val="clear"/>
        <w:jc w:val="center"/>
        <w:rPr>
          <w:rFonts w:hint="eastAsia" w:ascii="宋体" w:hAnsi="宋体" w:eastAsia="宋体" w:cs="宋体"/>
          <w:b/>
          <w:bCs/>
          <w:color w:val="auto"/>
          <w:sz w:val="44"/>
          <w:szCs w:val="44"/>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bCs/>
          <w:color w:val="auto"/>
          <w:sz w:val="44"/>
          <w:szCs w:val="44"/>
          <w:highlight w:val="none"/>
        </w:rPr>
        <w:t>采购公告补充事项</w:t>
      </w:r>
    </w:p>
    <w:p>
      <w:pPr>
        <w:numPr>
          <w:ilvl w:val="0"/>
          <w:numId w:val="3"/>
        </w:numPr>
        <w:shd w:val="clea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采购组织类型：</w:t>
      </w:r>
      <w:r>
        <w:rPr>
          <w:rFonts w:hint="eastAsia" w:ascii="宋体" w:hAnsi="宋体" w:eastAsia="宋体" w:cs="宋体"/>
          <w:bCs/>
          <w:color w:val="auto"/>
          <w:sz w:val="24"/>
          <w:highlight w:val="none"/>
          <w:u w:val="single"/>
        </w:rPr>
        <w:t xml:space="preserve">  </w:t>
      </w:r>
      <w:r>
        <w:rPr>
          <w:rFonts w:hint="eastAsia" w:ascii="宋体" w:hAnsi="宋体" w:eastAsia="宋体" w:cs="宋体"/>
          <w:b/>
          <w:bCs w:val="0"/>
          <w:color w:val="auto"/>
          <w:sz w:val="24"/>
          <w:highlight w:val="none"/>
          <w:u w:val="single"/>
          <w:lang w:eastAsia="zh-CN"/>
        </w:rPr>
        <w:t>分散采购</w:t>
      </w:r>
      <w:r>
        <w:rPr>
          <w:rFonts w:hint="eastAsia" w:ascii="宋体" w:hAnsi="宋体" w:eastAsia="宋体" w:cs="宋体"/>
          <w:b/>
          <w:bCs w:val="0"/>
          <w:color w:val="auto"/>
          <w:sz w:val="24"/>
          <w:highlight w:val="none"/>
          <w:u w:val="single"/>
        </w:rPr>
        <w:t xml:space="preserve"> </w:t>
      </w:r>
      <w:r>
        <w:rPr>
          <w:rFonts w:hint="eastAsia" w:ascii="宋体" w:hAnsi="宋体" w:eastAsia="宋体" w:cs="宋体"/>
          <w:bCs/>
          <w:color w:val="auto"/>
          <w:sz w:val="24"/>
          <w:highlight w:val="none"/>
          <w:u w:val="single"/>
        </w:rPr>
        <w:t xml:space="preserve"> </w:t>
      </w:r>
    </w:p>
    <w:p>
      <w:pPr>
        <w:numPr>
          <w:ilvl w:val="0"/>
          <w:numId w:val="3"/>
        </w:numPr>
        <w:shd w:val="clea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采购类别：</w:t>
      </w:r>
      <w:r>
        <w:rPr>
          <w:rFonts w:hint="eastAsia" w:ascii="宋体" w:hAnsi="宋体" w:eastAsia="宋体" w:cs="宋体"/>
          <w:b/>
          <w:bCs/>
          <w:color w:val="auto"/>
          <w:sz w:val="24"/>
          <w:highlight w:val="none"/>
          <w:u w:val="single"/>
        </w:rPr>
        <w:t xml:space="preserve">   服务   </w:t>
      </w:r>
    </w:p>
    <w:p>
      <w:pPr>
        <w:numPr>
          <w:ilvl w:val="0"/>
          <w:numId w:val="3"/>
        </w:num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采购方式：</w:t>
      </w:r>
      <w:r>
        <w:rPr>
          <w:rFonts w:hint="eastAsia" w:ascii="宋体" w:hAnsi="宋体" w:eastAsia="宋体" w:cs="宋体"/>
          <w:bCs/>
          <w:color w:val="auto"/>
          <w:sz w:val="24"/>
          <w:highlight w:val="none"/>
          <w:u w:val="single"/>
        </w:rPr>
        <w:t xml:space="preserve">     </w:t>
      </w:r>
      <w:r>
        <w:rPr>
          <w:rFonts w:hint="eastAsia" w:ascii="宋体" w:hAnsi="宋体" w:eastAsia="宋体" w:cs="宋体"/>
          <w:b/>
          <w:bCs/>
          <w:color w:val="auto"/>
          <w:sz w:val="24"/>
          <w:highlight w:val="none"/>
          <w:u w:val="single"/>
        </w:rPr>
        <w:t>公开招标</w:t>
      </w:r>
      <w:r>
        <w:rPr>
          <w:rFonts w:hint="eastAsia" w:ascii="宋体" w:hAnsi="宋体" w:eastAsia="宋体" w:cs="宋体"/>
          <w:bCs/>
          <w:color w:val="auto"/>
          <w:sz w:val="24"/>
          <w:highlight w:val="none"/>
          <w:u w:val="single"/>
        </w:rPr>
        <w:t xml:space="preserve">     </w:t>
      </w:r>
    </w:p>
    <w:p>
      <w:pPr>
        <w:numPr>
          <w:ilvl w:val="0"/>
          <w:numId w:val="3"/>
        </w:num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资格审查方式：资格后审。</w:t>
      </w:r>
    </w:p>
    <w:p>
      <w:pPr>
        <w:numPr>
          <w:ilvl w:val="0"/>
          <w:numId w:val="3"/>
        </w:num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注意事项：</w:t>
      </w:r>
    </w:p>
    <w:p>
      <w:pPr>
        <w:shd w:val="clea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1、单位负责人为同一人或者存在直接控股、管理关系的不同供应商，不得同时参加同一标项的投标。</w:t>
      </w:r>
    </w:p>
    <w:p>
      <w:pPr>
        <w:shd w:val="clear"/>
        <w:spacing w:line="360" w:lineRule="exact"/>
        <w:ind w:left="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2、为项目提供整体设计、规范编制或者项目管理、监理、检测等服务的供应商，不得再参加该采购项目的其他采购活动。</w:t>
      </w:r>
    </w:p>
    <w:p>
      <w:pPr>
        <w:shd w:val="clear"/>
        <w:spacing w:line="440" w:lineRule="exact"/>
        <w:ind w:firstLine="464"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3、请投标供应商务必认真学习网上相关培训课程。电子化交易准备工作详见</w:t>
      </w:r>
      <w:r>
        <w:rPr>
          <w:rStyle w:val="34"/>
          <w:rFonts w:hint="eastAsia" w:ascii="宋体" w:hAnsi="宋体" w:eastAsia="宋体" w:cs="宋体"/>
          <w:color w:val="auto"/>
          <w:spacing w:val="-4"/>
          <w:sz w:val="24"/>
          <w:highlight w:val="none"/>
        </w:rPr>
        <w:fldChar w:fldCharType="begin"/>
      </w:r>
      <w:r>
        <w:rPr>
          <w:rFonts w:hint="eastAsia" w:ascii="宋体" w:hAnsi="宋体" w:eastAsia="宋体" w:cs="宋体"/>
          <w:color w:val="auto"/>
          <w:highlight w:val="none"/>
        </w:rPr>
        <w:instrText xml:space="preserve">HYPERLINK "http://www.sxyc.gov.cn/art/2019/9/11/art_1559761_38044415.html"</w:instrText>
      </w:r>
      <w:r>
        <w:rPr>
          <w:rStyle w:val="34"/>
          <w:rFonts w:hint="eastAsia" w:ascii="宋体" w:hAnsi="宋体" w:eastAsia="宋体" w:cs="宋体"/>
          <w:color w:val="auto"/>
          <w:spacing w:val="-4"/>
          <w:sz w:val="24"/>
          <w:highlight w:val="none"/>
        </w:rPr>
        <w:fldChar w:fldCharType="separate"/>
      </w:r>
      <w:r>
        <w:rPr>
          <w:rStyle w:val="34"/>
          <w:rFonts w:hint="eastAsia" w:ascii="宋体" w:hAnsi="宋体" w:eastAsia="宋体" w:cs="宋体"/>
          <w:color w:val="auto"/>
          <w:spacing w:val="-4"/>
          <w:sz w:val="24"/>
          <w:highlight w:val="none"/>
        </w:rPr>
        <w:t>http://www.sxyc.gov.cn/art/2019/9/11/art_1559761_38044415.html</w:t>
      </w:r>
      <w:r>
        <w:rPr>
          <w:rStyle w:val="34"/>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adjustRightInd/>
        <w:snapToGrid/>
        <w:spacing w:line="440" w:lineRule="exact"/>
        <w:ind w:left="0" w:firstLine="464" w:firstLineChars="200"/>
        <w:contextualSpacing w:val="0"/>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4、</w:t>
      </w:r>
      <w:r>
        <w:rPr>
          <w:rFonts w:hint="eastAsia" w:ascii="宋体" w:hAnsi="宋体" w:eastAsia="宋体" w:cs="宋体"/>
          <w:color w:val="auto"/>
          <w:sz w:val="24"/>
          <w:highlight w:val="none"/>
        </w:rPr>
        <w:t>供应商-政府采购项目电子交易操作指南：</w:t>
      </w:r>
      <w:r>
        <w:rPr>
          <w:rStyle w:val="34"/>
          <w:rFonts w:hint="eastAsia" w:ascii="宋体" w:hAnsi="宋体" w:eastAsia="宋体" w:cs="宋体"/>
          <w:caps w:val="0"/>
          <w:smallCaps w:val="0"/>
          <w:snapToGrid/>
          <w:vanish w:val="0"/>
          <w:color w:val="auto"/>
          <w:sz w:val="24"/>
          <w:szCs w:val="24"/>
          <w:highlight w:val="none"/>
          <w:vertAlign w:val="baseline"/>
        </w:rPr>
        <w:t>https://service.zcygov.cn/#/knowledges/CW1EtGwBFdiHxlNd6I3m/6IMVAG0BFdiHxlNdQ8Na</w:t>
      </w:r>
      <w:r>
        <w:rPr>
          <w:rFonts w:hint="eastAsia" w:ascii="宋体" w:hAnsi="宋体" w:eastAsia="宋体" w:cs="宋体"/>
          <w:color w:val="auto"/>
          <w:sz w:val="24"/>
          <w:highlight w:val="none"/>
        </w:rPr>
        <w:t>。</w:t>
      </w:r>
    </w:p>
    <w:p>
      <w:pPr>
        <w:shd w:val="clea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5、CA申领需要时间，请各潜在投标供应商及时办理和绑定。</w:t>
      </w:r>
    </w:p>
    <w:p>
      <w:pPr>
        <w:shd w:val="clear"/>
        <w:spacing w:line="360" w:lineRule="exact"/>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6、获取采购文件后不参加投标的供应商，须向采购代理机构提供书面说明。</w:t>
      </w:r>
    </w:p>
    <w:p>
      <w:pPr>
        <w:shd w:val="clear"/>
        <w:spacing w:line="360" w:lineRule="exact"/>
        <w:ind w:left="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7、需登陆政采云平台后在交易系统内获取采购文件，只网站下载不视为获取。</w:t>
      </w:r>
    </w:p>
    <w:p>
      <w:pPr>
        <w:shd w:val="clear"/>
        <w:spacing w:line="360" w:lineRule="exact"/>
        <w:ind w:left="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8、预留充足时间上传加密电子投标文件（建议提前一天，供应商解密电子投标文件前处于加密状态）。</w:t>
      </w:r>
    </w:p>
    <w:p>
      <w:pPr>
        <w:shd w:val="clear"/>
        <w:spacing w:line="360" w:lineRule="auto"/>
        <w:ind w:left="0" w:firstLine="349" w:firstLineChars="150"/>
        <w:rPr>
          <w:rFonts w:hint="eastAsia" w:ascii="宋体" w:hAnsi="宋体" w:eastAsia="宋体" w:cs="宋体"/>
          <w:bCs/>
          <w:color w:val="auto"/>
          <w:sz w:val="24"/>
          <w:highlight w:val="none"/>
        </w:rPr>
      </w:pPr>
      <w:r>
        <w:rPr>
          <w:rFonts w:hint="eastAsia" w:ascii="宋体" w:hAnsi="宋体" w:eastAsia="宋体" w:cs="宋体"/>
          <w:b/>
          <w:bCs/>
          <w:color w:val="auto"/>
          <w:spacing w:val="-4"/>
          <w:sz w:val="24"/>
          <w:highlight w:val="none"/>
        </w:rPr>
        <w:t>六、</w:t>
      </w:r>
      <w:r>
        <w:rPr>
          <w:rFonts w:hint="eastAsia" w:ascii="宋体" w:hAnsi="宋体" w:eastAsia="宋体" w:cs="宋体"/>
          <w:b/>
          <w:color w:val="auto"/>
          <w:spacing w:val="-4"/>
          <w:sz w:val="24"/>
          <w:highlight w:val="none"/>
        </w:rPr>
        <w:t>采购公告及更正公告发布网址：</w:t>
      </w:r>
      <w:bookmarkStart w:id="28" w:name="_Hlt10553106"/>
      <w:bookmarkEnd w:id="28"/>
      <w:bookmarkStart w:id="29" w:name="_Hlt10553107"/>
      <w:bookmarkEnd w:id="29"/>
      <w:r>
        <w:rPr>
          <w:rFonts w:hint="eastAsia" w:ascii="宋体" w:hAnsi="宋体" w:eastAsia="宋体" w:cs="宋体"/>
          <w:color w:val="auto"/>
          <w:spacing w:val="-4"/>
          <w:sz w:val="24"/>
          <w:highlight w:val="none"/>
        </w:rPr>
        <w:t>http://zfcg.czt.zj.gov.cn/和http://www.sxyc.gov.cn/公共资源交易板块。更正公告</w:t>
      </w:r>
      <w:r>
        <w:rPr>
          <w:rFonts w:hint="eastAsia" w:ascii="宋体" w:hAnsi="宋体" w:eastAsia="宋体" w:cs="宋体"/>
          <w:bCs/>
          <w:color w:val="auto"/>
          <w:sz w:val="24"/>
          <w:highlight w:val="none"/>
        </w:rPr>
        <w:t>请自行登录政采云平台或在浙江政府采购网更正公告页面或越城区人民政府门户网站采购公告页面中下载。</w:t>
      </w:r>
    </w:p>
    <w:p>
      <w:pPr>
        <w:shd w:val="clear"/>
        <w:spacing w:line="3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七、供应商入驻</w:t>
      </w:r>
      <w:r>
        <w:rPr>
          <w:rFonts w:hint="eastAsia" w:ascii="宋体" w:hAnsi="宋体" w:eastAsia="宋体" w:cs="宋体"/>
          <w:color w:val="auto"/>
          <w:sz w:val="24"/>
          <w:highlight w:val="none"/>
        </w:rPr>
        <w:t>（无需提交纸质资料现场审核）：</w:t>
      </w:r>
    </w:p>
    <w:p>
      <w:pPr>
        <w:shd w:val="clea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宋体" w:hAnsi="宋体" w:eastAsia="宋体" w:cs="宋体"/>
          <w:b/>
          <w:bCs/>
          <w:color w:val="auto"/>
          <w:sz w:val="24"/>
          <w:highlight w:val="none"/>
        </w:rPr>
        <w:t>越城区内企业入驻咨询电话：0575-89116928；非越城区内企业入驻详询当地集中采购机构；浙江省外企业入驻咨询电话：400-881-7190</w:t>
      </w:r>
    </w:p>
    <w:p>
      <w:pPr>
        <w:shd w:val="clear"/>
        <w:spacing w:line="3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供应商入驻操作指南：</w:t>
      </w:r>
    </w:p>
    <w:p>
      <w:pPr>
        <w:shd w:val="clea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https://service.zcygov.cn/#/knowledges/cm2eqWwBFdiHxlNd_otq/w3Cd3GwBFdiHxlNd-BRD</w:t>
      </w:r>
    </w:p>
    <w:p>
      <w:pPr>
        <w:pStyle w:val="3"/>
        <w:shd w:val="clear"/>
        <w:rPr>
          <w:rFonts w:hint="eastAsia" w:ascii="宋体" w:hAnsi="宋体" w:eastAsia="宋体" w:cs="宋体"/>
          <w:color w:val="auto"/>
          <w:highlight w:val="none"/>
        </w:rPr>
      </w:pPr>
      <w:bookmarkStart w:id="30" w:name="_Toc1678"/>
      <w:r>
        <w:rPr>
          <w:rFonts w:hint="eastAsia" w:ascii="宋体" w:hAnsi="宋体" w:eastAsia="宋体" w:cs="宋体"/>
          <w:color w:val="auto"/>
          <w:highlight w:val="none"/>
        </w:rPr>
        <w:t>第二章  投标人须知</w:t>
      </w:r>
      <w:bookmarkEnd w:id="30"/>
    </w:p>
    <w:p>
      <w:pPr>
        <w:pStyle w:val="4"/>
        <w:shd w:val="clear"/>
        <w:rPr>
          <w:rFonts w:hint="eastAsia" w:ascii="宋体" w:hAnsi="宋体" w:eastAsia="宋体" w:cs="宋体"/>
          <w:color w:val="auto"/>
          <w:highlight w:val="none"/>
        </w:rPr>
      </w:pPr>
      <w:bookmarkStart w:id="31" w:name="_Toc4885"/>
      <w:r>
        <w:rPr>
          <w:rFonts w:hint="eastAsia" w:ascii="宋体" w:hAnsi="宋体" w:eastAsia="宋体" w:cs="宋体"/>
          <w:color w:val="auto"/>
          <w:highlight w:val="none"/>
        </w:rPr>
        <w:t>一、前附表</w:t>
      </w:r>
      <w:bookmarkEnd w:id="31"/>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before="156" w:beforeLines="50" w:after="94" w:afterLines="30"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before="156" w:beforeLines="50" w:after="94" w:afterLines="30"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line="5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color="auto"/>
              </w:rPr>
              <w:t xml:space="preserve"> 绍兴市越城区气象局探测运维服务项目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autoSpaceDE w:val="0"/>
              <w:autoSpaceDN w:val="0"/>
              <w:spacing w:line="500" w:lineRule="exact"/>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投标有效期：</w:t>
            </w:r>
            <w:r>
              <w:rPr>
                <w:rFonts w:hint="eastAsia" w:ascii="宋体" w:hAnsi="宋体" w:eastAsia="宋体" w:cs="宋体"/>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autoSpaceDE w:val="0"/>
              <w:autoSpaceDN w:val="0"/>
              <w:spacing w:line="50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是否提供样品：</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无</w:t>
            </w:r>
            <w:r>
              <w:rPr>
                <w:rFonts w:hint="eastAsia" w:ascii="宋体" w:hAnsi="宋体" w:eastAsia="宋体" w:cs="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autoSpaceDE w:val="0"/>
              <w:autoSpaceDN w:val="0"/>
              <w:spacing w:line="500" w:lineRule="exact"/>
              <w:textAlignment w:val="bottom"/>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是否演示：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无</w:t>
            </w:r>
            <w:r>
              <w:rPr>
                <w:rFonts w:hint="eastAsia" w:ascii="宋体" w:hAnsi="宋体" w:eastAsia="宋体" w:cs="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autoSpaceDE w:val="0"/>
              <w:autoSpaceDN w:val="0"/>
              <w:spacing w:line="50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是否组织现场踏勘：</w:t>
            </w:r>
            <w:r>
              <w:rPr>
                <w:rFonts w:hint="eastAsia" w:ascii="宋体" w:hAnsi="宋体" w:eastAsia="宋体" w:cs="宋体"/>
                <w:color w:val="auto"/>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line="5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投标文件份数：上传加密电子投标文件一份，准备备份加密电子投标文件一份</w:t>
            </w:r>
            <w:r>
              <w:rPr>
                <w:rFonts w:hint="eastAsia" w:ascii="宋体" w:hAnsi="宋体" w:eastAsia="宋体" w:cs="宋体"/>
                <w:color w:val="auto"/>
                <w:sz w:val="24"/>
                <w:highlight w:val="none"/>
              </w:rPr>
              <w:t>。</w:t>
            </w:r>
          </w:p>
          <w:p>
            <w:pPr>
              <w:shd w:val="clear"/>
              <w:spacing w:line="5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autoSpaceDE w:val="0"/>
              <w:autoSpaceDN w:val="0"/>
              <w:spacing w:line="50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履约保证金及缴退时间：</w:t>
            </w:r>
            <w:r>
              <w:rPr>
                <w:rFonts w:hint="eastAsia" w:ascii="宋体" w:hAnsi="宋体" w:eastAsia="宋体" w:cs="宋体"/>
                <w:color w:val="auto"/>
                <w:sz w:val="24"/>
                <w:highlight w:val="none"/>
                <w:u w:val="single"/>
              </w:rPr>
              <w:t xml:space="preserve">   （不收取履约保证金）    </w:t>
            </w:r>
          </w:p>
          <w:p>
            <w:pPr>
              <w:shd w:val="clear"/>
              <w:autoSpaceDE w:val="0"/>
              <w:autoSpaceDN w:val="0"/>
              <w:spacing w:line="50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napToGrid w:val="0"/>
              <w:jc w:val="left"/>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分包与转包</w:t>
            </w: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u w:val="single"/>
              </w:rPr>
              <w:t xml:space="preserve"> 允许 </w:t>
            </w:r>
            <w:r>
              <w:rPr>
                <w:rFonts w:hint="eastAsia" w:ascii="宋体" w:hAnsi="宋体" w:eastAsia="宋体" w:cs="宋体"/>
                <w:color w:val="auto"/>
                <w:sz w:val="24"/>
                <w:highlight w:val="none"/>
              </w:rPr>
              <w:t>分包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不允许 </w:t>
            </w:r>
            <w:r>
              <w:rPr>
                <w:rFonts w:hint="eastAsia" w:ascii="宋体" w:hAnsi="宋体" w:eastAsia="宋体" w:cs="宋体"/>
                <w:color w:val="auto"/>
                <w:sz w:val="24"/>
                <w:highlight w:val="none"/>
              </w:rPr>
              <w:t>转包</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line="3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napToGrid w:val="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本项目采购标的（服务部分）所属行业：</w:t>
            </w:r>
            <w:r>
              <w:rPr>
                <w:rFonts w:hint="eastAsia" w:ascii="宋体" w:hAnsi="宋体" w:cs="宋体"/>
                <w:b/>
                <w:bCs/>
                <w:color w:val="auto"/>
                <w:sz w:val="24"/>
                <w:highlight w:val="none"/>
                <w:lang w:val="en-US"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line="3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中标人须向招标代理机构按如下标准和规定交纳采购代理服务费：</w:t>
            </w:r>
          </w:p>
          <w:p>
            <w:pPr>
              <w:shd w:val="clear"/>
              <w:spacing w:line="30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12000元</w:t>
            </w:r>
            <w:r>
              <w:rPr>
                <w:rFonts w:hint="eastAsia" w:ascii="宋体" w:hAnsi="宋体" w:eastAsia="宋体" w:cs="宋体"/>
                <w:color w:val="auto"/>
                <w:sz w:val="24"/>
                <w:highlight w:val="none"/>
                <w:lang w:eastAsia="zh-CN"/>
              </w:rPr>
              <w:t>。</w:t>
            </w:r>
          </w:p>
          <w:p>
            <w:pPr>
              <w:shd w:val="clear"/>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（2）中标服务费的交纳方式：</w:t>
            </w:r>
          </w:p>
          <w:p>
            <w:pPr>
              <w:shd w:val="clear"/>
              <w:spacing w:line="300" w:lineRule="auto"/>
              <w:ind w:firstLine="735"/>
              <w:rPr>
                <w:rFonts w:hint="eastAsia" w:ascii="宋体" w:hAnsi="宋体" w:eastAsia="宋体" w:cs="宋体"/>
                <w:color w:val="auto"/>
                <w:sz w:val="24"/>
                <w:highlight w:val="none"/>
              </w:rPr>
            </w:pPr>
            <w:r>
              <w:rPr>
                <w:rFonts w:hint="eastAsia" w:ascii="宋体" w:hAnsi="宋体" w:eastAsia="宋体" w:cs="宋体"/>
                <w:color w:val="auto"/>
                <w:sz w:val="24"/>
                <w:highlight w:val="none"/>
              </w:rPr>
              <w:t>用银行支票、汇票、电汇、现金等付款方式直接交纳中标服务费。</w:t>
            </w:r>
          </w:p>
          <w:p>
            <w:pPr>
              <w:shd w:val="clear"/>
              <w:spacing w:line="300" w:lineRule="auto"/>
              <w:ind w:firstLine="735"/>
              <w:rPr>
                <w:rFonts w:hint="eastAsia" w:ascii="宋体" w:hAnsi="宋体" w:eastAsia="宋体" w:cs="宋体"/>
                <w:color w:val="auto"/>
                <w:sz w:val="24"/>
                <w:highlight w:val="none"/>
              </w:rPr>
            </w:pPr>
            <w:r>
              <w:rPr>
                <w:rFonts w:hint="eastAsia" w:ascii="宋体" w:hAnsi="宋体" w:eastAsia="宋体" w:cs="宋体"/>
                <w:color w:val="auto"/>
                <w:sz w:val="24"/>
                <w:highlight w:val="none"/>
              </w:rPr>
              <w:t>公司名称：浙江天源工程管理咨询有限公司</w:t>
            </w:r>
          </w:p>
          <w:p>
            <w:pPr>
              <w:shd w:val="clear"/>
              <w:spacing w:line="300" w:lineRule="auto"/>
              <w:ind w:firstLine="735"/>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号：397458339397</w:t>
            </w:r>
          </w:p>
          <w:p>
            <w:pPr>
              <w:shd w:val="clear"/>
              <w:spacing w:line="300" w:lineRule="auto"/>
              <w:ind w:firstLine="735"/>
              <w:rPr>
                <w:rFonts w:hint="eastAsia" w:ascii="宋体" w:hAnsi="宋体" w:eastAsia="宋体" w:cs="宋体"/>
                <w:color w:val="auto"/>
                <w:sz w:val="24"/>
                <w:highlight w:val="none"/>
              </w:rPr>
            </w:pPr>
            <w:r>
              <w:rPr>
                <w:rFonts w:hint="eastAsia" w:ascii="宋体" w:hAnsi="宋体" w:eastAsia="宋体" w:cs="宋体"/>
                <w:color w:val="auto"/>
                <w:sz w:val="24"/>
                <w:highlight w:val="none"/>
              </w:rPr>
              <w:t>开 户 行：中国银行绍兴大云支行</w:t>
            </w:r>
          </w:p>
          <w:p>
            <w:pPr>
              <w:shd w:val="clea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（3）以上费用在领取中标通知书前交纳。</w:t>
            </w:r>
          </w:p>
        </w:tc>
      </w:tr>
    </w:tbl>
    <w:p>
      <w:pPr>
        <w:shd w:val="clear"/>
        <w:ind w:left="238"/>
        <w:jc w:val="center"/>
        <w:rPr>
          <w:rFonts w:hint="eastAsia" w:ascii="宋体" w:hAnsi="宋体" w:eastAsia="宋体" w:cs="宋体"/>
          <w:color w:val="auto"/>
          <w:sz w:val="24"/>
          <w:highlight w:val="none"/>
        </w:rPr>
      </w:pPr>
    </w:p>
    <w:p>
      <w:pPr>
        <w:shd w:val="clear"/>
        <w:ind w:left="238"/>
        <w:jc w:val="center"/>
        <w:rPr>
          <w:rFonts w:hint="eastAsia" w:ascii="宋体" w:hAnsi="宋体" w:eastAsia="宋体" w:cs="宋体"/>
          <w:color w:val="auto"/>
          <w:sz w:val="24"/>
          <w:highlight w:val="none"/>
        </w:rPr>
      </w:pPr>
    </w:p>
    <w:p>
      <w:pPr>
        <w:shd w:val="clear"/>
        <w:ind w:left="238"/>
        <w:jc w:val="center"/>
        <w:rPr>
          <w:rFonts w:hint="eastAsia" w:ascii="宋体" w:hAnsi="宋体" w:eastAsia="宋体" w:cs="宋体"/>
          <w:color w:val="auto"/>
          <w:sz w:val="24"/>
          <w:highlight w:val="none"/>
        </w:rPr>
      </w:pPr>
    </w:p>
    <w:p>
      <w:pPr>
        <w:pStyle w:val="4"/>
        <w:shd w:val="clear"/>
        <w:spacing w:line="415" w:lineRule="auto"/>
        <w:jc w:val="center"/>
        <w:rPr>
          <w:rFonts w:hint="eastAsia" w:ascii="宋体" w:hAnsi="宋体" w:eastAsia="宋体" w:cs="宋体"/>
          <w:color w:val="auto"/>
          <w:highlight w:val="none"/>
        </w:rPr>
      </w:pPr>
      <w:bookmarkStart w:id="32" w:name="_Toc4902"/>
      <w:r>
        <w:rPr>
          <w:rFonts w:hint="eastAsia" w:ascii="宋体" w:hAnsi="宋体" w:eastAsia="宋体" w:cs="宋体"/>
          <w:color w:val="auto"/>
          <w:highlight w:val="none"/>
        </w:rPr>
        <w:t>二、采购文件</w:t>
      </w:r>
      <w:bookmarkEnd w:id="32"/>
    </w:p>
    <w:p>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采购文件效力</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1.1本采购文件适用于本次所述项目的招标、投标、评标、定标、验收、合同签订及履约、付款等全过程（法律法规另有规定的从其规定）。</w:t>
      </w:r>
    </w:p>
    <w:p>
      <w:pPr>
        <w:shd w:val="clea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
          <w:bCs/>
          <w:color w:val="auto"/>
          <w:sz w:val="24"/>
          <w:highlight w:val="none"/>
        </w:rPr>
        <w:t>投标人对本采购文件如有异议，均应在法定时间内提出质疑或投诉，否则即被视为认可采购文件的全部内容。</w:t>
      </w:r>
    </w:p>
    <w:p>
      <w:pPr>
        <w:shd w:val="clea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2、名词定义</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b/>
          <w:bCs/>
          <w:color w:val="auto"/>
          <w:sz w:val="24"/>
          <w:highlight w:val="none"/>
        </w:rPr>
        <w:t>采购代理机构</w:t>
      </w:r>
      <w:r>
        <w:rPr>
          <w:rFonts w:hint="eastAsia" w:ascii="宋体" w:hAnsi="宋体" w:eastAsia="宋体" w:cs="宋体"/>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b/>
          <w:bCs/>
          <w:color w:val="auto"/>
          <w:sz w:val="24"/>
          <w:highlight w:val="none"/>
        </w:rPr>
        <w:t>采购机构</w:t>
      </w:r>
      <w:r>
        <w:rPr>
          <w:rFonts w:hint="eastAsia" w:ascii="宋体" w:hAnsi="宋体" w:eastAsia="宋体" w:cs="宋体"/>
          <w:color w:val="auto"/>
          <w:sz w:val="24"/>
          <w:highlight w:val="none"/>
        </w:rPr>
        <w:t>”：采购人及其采购代理机构。</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 “</w:t>
      </w:r>
      <w:r>
        <w:rPr>
          <w:rFonts w:hint="eastAsia" w:ascii="宋体" w:hAnsi="宋体" w:eastAsia="宋体" w:cs="宋体"/>
          <w:b/>
          <w:bCs/>
          <w:color w:val="auto"/>
          <w:sz w:val="24"/>
          <w:highlight w:val="none"/>
        </w:rPr>
        <w:t>产品</w:t>
      </w:r>
      <w:r>
        <w:rPr>
          <w:rFonts w:hint="eastAsia" w:ascii="宋体" w:hAnsi="宋体" w:eastAsia="宋体" w:cs="宋体"/>
          <w:color w:val="auto"/>
          <w:sz w:val="24"/>
          <w:highlight w:val="none"/>
        </w:rPr>
        <w:t>”系指供方按采购文件规定，经合法途径取得的，须向采购人提供的一切产品、保险、税金、安装、施工、调试、备品备件、工具、手册及其他有关技术资料和材料。</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 “</w:t>
      </w:r>
      <w:r>
        <w:rPr>
          <w:rFonts w:hint="eastAsia" w:ascii="宋体" w:hAnsi="宋体" w:eastAsia="宋体" w:cs="宋体"/>
          <w:b/>
          <w:bCs/>
          <w:color w:val="auto"/>
          <w:sz w:val="24"/>
          <w:highlight w:val="none"/>
        </w:rPr>
        <w:t>服务</w:t>
      </w:r>
      <w:r>
        <w:rPr>
          <w:rFonts w:hint="eastAsia" w:ascii="宋体" w:hAnsi="宋体" w:eastAsia="宋体" w:cs="宋体"/>
          <w:color w:val="auto"/>
          <w:sz w:val="24"/>
          <w:highlight w:val="none"/>
        </w:rPr>
        <w:t>”系指采购文件规定投标人须承担的安装、调试、技术协助、校准、培训、技术指导以及其他类似的义务。</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 “</w:t>
      </w:r>
      <w:r>
        <w:rPr>
          <w:rFonts w:hint="eastAsia" w:ascii="宋体" w:hAnsi="宋体" w:eastAsia="宋体" w:cs="宋体"/>
          <w:b/>
          <w:bCs/>
          <w:color w:val="auto"/>
          <w:sz w:val="24"/>
          <w:highlight w:val="none"/>
        </w:rPr>
        <w:t>投标人</w:t>
      </w:r>
      <w:r>
        <w:rPr>
          <w:rFonts w:hint="eastAsia" w:ascii="宋体" w:hAnsi="宋体" w:eastAsia="宋体" w:cs="宋体"/>
          <w:color w:val="auto"/>
          <w:sz w:val="24"/>
          <w:highlight w:val="none"/>
        </w:rPr>
        <w:t>”指已经按采购公告要求获取采购文件的投标供应商。“</w:t>
      </w:r>
      <w:r>
        <w:rPr>
          <w:rFonts w:hint="eastAsia" w:ascii="宋体" w:hAnsi="宋体" w:eastAsia="宋体" w:cs="宋体"/>
          <w:b/>
          <w:bCs/>
          <w:color w:val="auto"/>
          <w:sz w:val="24"/>
          <w:highlight w:val="none"/>
        </w:rPr>
        <w:t>潜在投标人</w:t>
      </w:r>
      <w:r>
        <w:rPr>
          <w:rFonts w:hint="eastAsia" w:ascii="宋体" w:hAnsi="宋体" w:eastAsia="宋体" w:cs="宋体"/>
          <w:color w:val="auto"/>
          <w:sz w:val="24"/>
          <w:highlight w:val="none"/>
        </w:rPr>
        <w:t>”指未按采购公告要求获取采购文件的供应商。</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 “</w:t>
      </w:r>
      <w:r>
        <w:rPr>
          <w:rFonts w:hint="eastAsia" w:ascii="宋体" w:hAnsi="宋体" w:eastAsia="宋体" w:cs="宋体"/>
          <w:b/>
          <w:bCs/>
          <w:color w:val="auto"/>
          <w:sz w:val="24"/>
          <w:highlight w:val="none"/>
        </w:rPr>
        <w:t>授权代表</w:t>
      </w:r>
      <w:r>
        <w:rPr>
          <w:rFonts w:hint="eastAsia" w:ascii="宋体" w:hAnsi="宋体" w:eastAsia="宋体" w:cs="宋体"/>
          <w:color w:val="auto"/>
          <w:sz w:val="24"/>
          <w:highlight w:val="none"/>
        </w:rPr>
        <w:t>”即“</w:t>
      </w:r>
      <w:r>
        <w:rPr>
          <w:rFonts w:hint="eastAsia" w:ascii="宋体" w:hAnsi="宋体" w:eastAsia="宋体" w:cs="宋体"/>
          <w:b/>
          <w:bCs/>
          <w:color w:val="auto"/>
          <w:sz w:val="24"/>
          <w:highlight w:val="none"/>
        </w:rPr>
        <w:t>投标人代表</w:t>
      </w:r>
      <w:r>
        <w:rPr>
          <w:rFonts w:hint="eastAsia" w:ascii="宋体" w:hAnsi="宋体" w:eastAsia="宋体" w:cs="宋体"/>
          <w:color w:val="auto"/>
          <w:sz w:val="24"/>
          <w:highlight w:val="none"/>
        </w:rPr>
        <w:t>”，指受投标供应商的法定代表人委托，办理本项目投标、质疑投诉、合同签订等整个采购活动的被授权委托人</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个体工商户参与投标的，经营者等同于法定代表人。</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r>
        <w:rPr>
          <w:rFonts w:hint="eastAsia" w:ascii="宋体" w:hAnsi="宋体" w:eastAsia="宋体" w:cs="宋体"/>
          <w:b/>
          <w:bCs/>
          <w:color w:val="auto"/>
          <w:sz w:val="24"/>
          <w:highlight w:val="none"/>
        </w:rPr>
        <w:t>实质性响应条款</w:t>
      </w:r>
      <w:r>
        <w:rPr>
          <w:rFonts w:hint="eastAsia" w:ascii="宋体" w:hAnsi="宋体" w:eastAsia="宋体" w:cs="宋体"/>
          <w:color w:val="auto"/>
          <w:sz w:val="24"/>
          <w:highlight w:val="none"/>
        </w:rPr>
        <w:t>”：投标人必须响应的条款，未响应的作无效投标处理。在本采购文件中，实质性响应条款前标注“★”符号。</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w:t>
      </w:r>
      <w:r>
        <w:rPr>
          <w:rFonts w:hint="eastAsia" w:ascii="宋体" w:hAnsi="宋体" w:eastAsia="宋体" w:cs="宋体"/>
          <w:b/>
          <w:bCs/>
          <w:color w:val="auto"/>
          <w:sz w:val="24"/>
          <w:highlight w:val="none"/>
        </w:rPr>
        <w:t>投标人公章</w:t>
      </w:r>
      <w:r>
        <w:rPr>
          <w:rFonts w:hint="eastAsia" w:ascii="宋体" w:hAnsi="宋体" w:eastAsia="宋体" w:cs="宋体"/>
          <w:color w:val="auto"/>
          <w:sz w:val="24"/>
          <w:highlight w:val="none"/>
        </w:rPr>
        <w:t>”指投标人法定名称章（或其电子签章）。</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b/>
          <w:bCs/>
          <w:color w:val="auto"/>
          <w:sz w:val="24"/>
          <w:highlight w:val="none"/>
        </w:rPr>
        <w:t>投标有效期</w:t>
      </w:r>
      <w:r>
        <w:rPr>
          <w:rFonts w:hint="eastAsia" w:ascii="宋体" w:hAnsi="宋体" w:eastAsia="宋体" w:cs="宋体"/>
          <w:color w:val="auto"/>
          <w:sz w:val="24"/>
          <w:highlight w:val="none"/>
        </w:rPr>
        <w:t>”指采购文件中规定的一个适当时间，投标有效期内需完成开评标以及与中标人签订合同的事宜。</w:t>
      </w:r>
    </w:p>
    <w:p>
      <w:pPr>
        <w:shd w:val="clea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政府采购政策性规定</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3.1</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采购国产</w:t>
      </w:r>
    </w:p>
    <w:p>
      <w:pPr>
        <w:shd w:val="clear"/>
        <w:snapToGrid w:val="0"/>
        <w:spacing w:line="44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除采购文件明确允许采购进口产品外，集中采购目录内或分散采购限额标准以上的产品应当提供本国生产的产品，否则作无效投标处理。</w:t>
      </w:r>
      <w:r>
        <w:rPr>
          <w:rFonts w:hint="eastAsia" w:ascii="宋体" w:hAnsi="宋体" w:eastAsia="宋体" w:cs="宋体"/>
          <w:color w:val="auto"/>
          <w:sz w:val="24"/>
          <w:highlight w:val="none"/>
        </w:rPr>
        <w:t>采购进口产品的，不得限制潜在国产的同类产品参与投标。</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3.2</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扶持中小微企业</w:t>
      </w:r>
    </w:p>
    <w:p>
      <w:pPr>
        <w:shd w:val="clear"/>
        <w:snapToGrid w:val="0"/>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本项目为专门面向中小企业政府采购项目，投标供应商</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eastAsia="zh-CN"/>
        </w:rPr>
        <w:t>的服务部分（详见前附表）必须</w:t>
      </w:r>
      <w:r>
        <w:rPr>
          <w:rFonts w:hint="eastAsia" w:ascii="宋体" w:hAnsi="宋体" w:eastAsia="宋体" w:cs="宋体"/>
          <w:color w:val="auto"/>
          <w:sz w:val="24"/>
          <w:highlight w:val="none"/>
        </w:rPr>
        <w:t>为中小企业</w:t>
      </w:r>
      <w:r>
        <w:rPr>
          <w:rFonts w:hint="eastAsia" w:ascii="宋体" w:hAnsi="宋体" w:eastAsia="宋体" w:cs="宋体"/>
          <w:color w:val="auto"/>
          <w:sz w:val="24"/>
          <w:highlight w:val="none"/>
          <w:lang w:eastAsia="zh-CN"/>
        </w:rPr>
        <w:t>承接；以分包方式参与的，投标供应商和分包供应商提供的服务部分均需为中小企业承接。</w:t>
      </w:r>
    </w:p>
    <w:p>
      <w:pPr>
        <w:shd w:val="clear"/>
        <w:snapToGrid w:val="0"/>
        <w:spacing w:line="420" w:lineRule="exact"/>
        <w:ind w:left="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符合中小企业划分标准的个体工商户，视同中小企业；以</w:t>
      </w:r>
      <w:r>
        <w:rPr>
          <w:rFonts w:hint="eastAsia" w:ascii="宋体" w:hAnsi="宋体" w:eastAsia="宋体" w:cs="宋体"/>
          <w:color w:val="auto"/>
          <w:sz w:val="24"/>
          <w:highlight w:val="none"/>
        </w:rPr>
        <w:t>联合体</w:t>
      </w:r>
      <w:r>
        <w:rPr>
          <w:rFonts w:hint="eastAsia" w:ascii="宋体" w:hAnsi="宋体" w:eastAsia="宋体" w:cs="宋体"/>
          <w:color w:val="auto"/>
          <w:sz w:val="24"/>
          <w:highlight w:val="none"/>
          <w:lang w:eastAsia="zh-CN"/>
        </w:rPr>
        <w:t>方式</w:t>
      </w:r>
      <w:r>
        <w:rPr>
          <w:rFonts w:hint="eastAsia" w:ascii="宋体" w:hAnsi="宋体" w:eastAsia="宋体" w:cs="宋体"/>
          <w:color w:val="auto"/>
          <w:sz w:val="24"/>
          <w:highlight w:val="none"/>
        </w:rPr>
        <w:t>参与</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，联合体各方所提供</w:t>
      </w:r>
      <w:r>
        <w:rPr>
          <w:rFonts w:hint="eastAsia" w:ascii="宋体" w:hAnsi="宋体" w:eastAsia="宋体" w:cs="宋体"/>
          <w:color w:val="auto"/>
          <w:sz w:val="24"/>
          <w:highlight w:val="none"/>
          <w:lang w:eastAsia="zh-CN"/>
        </w:rPr>
        <w:t>服务部分均</w:t>
      </w:r>
      <w:r>
        <w:rPr>
          <w:rFonts w:hint="eastAsia" w:ascii="宋体" w:hAnsi="宋体" w:eastAsia="宋体" w:cs="宋体"/>
          <w:color w:val="auto"/>
          <w:sz w:val="24"/>
          <w:highlight w:val="none"/>
        </w:rPr>
        <w:t>为中小企业</w:t>
      </w:r>
      <w:r>
        <w:rPr>
          <w:rFonts w:hint="eastAsia" w:ascii="宋体" w:hAnsi="宋体" w:eastAsia="宋体" w:cs="宋体"/>
          <w:color w:val="auto"/>
          <w:sz w:val="24"/>
          <w:highlight w:val="none"/>
          <w:lang w:eastAsia="zh-CN"/>
        </w:rPr>
        <w:t>承接</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则</w:t>
      </w:r>
      <w:r>
        <w:rPr>
          <w:rFonts w:hint="eastAsia" w:ascii="宋体" w:hAnsi="宋体" w:eastAsia="宋体" w:cs="宋体"/>
          <w:color w:val="auto"/>
          <w:sz w:val="24"/>
          <w:highlight w:val="none"/>
        </w:rPr>
        <w:t>联合体视同中小企业</w:t>
      </w:r>
      <w:r>
        <w:rPr>
          <w:rFonts w:hint="eastAsia" w:ascii="宋体" w:hAnsi="宋体" w:eastAsia="宋体" w:cs="宋体"/>
          <w:color w:val="auto"/>
          <w:sz w:val="24"/>
          <w:highlight w:val="none"/>
          <w:lang w:eastAsia="zh-CN"/>
        </w:rPr>
        <w:t>。</w:t>
      </w:r>
    </w:p>
    <w:p>
      <w:pPr>
        <w:shd w:val="clear"/>
        <w:snapToGrid w:val="0"/>
        <w:spacing w:line="420" w:lineRule="exact"/>
        <w:ind w:left="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pPr>
        <w:shd w:val="clear"/>
        <w:snapToGrid w:val="0"/>
        <w:spacing w:line="420" w:lineRule="exact"/>
        <w:ind w:left="0" w:firstLine="600" w:firstLineChars="2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中小企业包括中小微企业。</w:t>
      </w:r>
    </w:p>
    <w:p>
      <w:pPr>
        <w:shd w:val="clea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节能环保政策</w:t>
      </w:r>
    </w:p>
    <w:p>
      <w:pPr>
        <w:shd w:val="clear"/>
        <w:snapToGrid w:val="0"/>
        <w:spacing w:line="420" w:lineRule="exact"/>
        <w:ind w:left="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hd w:val="clear"/>
        <w:snapToGrid w:val="0"/>
        <w:spacing w:line="44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hd w:val="clea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3.4优先采购创新产品</w:t>
      </w:r>
    </w:p>
    <w:p>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pPr>
        <w:shd w:val="clea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4.采购文件的澄清与修改</w:t>
      </w:r>
    </w:p>
    <w:p>
      <w:pPr>
        <w:pStyle w:val="8"/>
        <w:widowControl w:val="0"/>
        <w:numPr>
          <w:ilvl w:val="0"/>
          <w:numId w:val="0"/>
        </w:numPr>
        <w:shd w:val="clear"/>
        <w:spacing w:after="0" w:afterLines="0" w:line="440" w:lineRule="exact"/>
        <w:rPr>
          <w:rFonts w:hint="eastAsia" w:ascii="宋体" w:hAnsi="宋体" w:eastAsia="宋体" w:cs="宋体"/>
          <w:color w:val="auto"/>
          <w:highlight w:val="none"/>
        </w:rPr>
      </w:pPr>
      <w:r>
        <w:rPr>
          <w:rFonts w:hint="eastAsia" w:ascii="宋体" w:hAnsi="宋体" w:eastAsia="宋体" w:cs="宋体"/>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宋体" w:hAnsi="宋体" w:eastAsia="宋体" w:cs="宋体"/>
          <w:color w:val="auto"/>
          <w:spacing w:val="-4"/>
          <w:sz w:val="24"/>
          <w:highlight w:val="none"/>
        </w:rPr>
        <w:t>http://zfcg.czt.zj.gov.cn/</w:t>
      </w:r>
      <w:r>
        <w:rPr>
          <w:rFonts w:hint="eastAsia" w:ascii="宋体" w:hAnsi="宋体" w:eastAsia="宋体" w:cs="宋体"/>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4.2为使投标人有足够的时间按更正公告要求修改投标文件，招标人可酌情推迟投标截止时间和开标时间，并将此变更以更正公告的形式通过上述途径通知投标人。</w:t>
      </w:r>
    </w:p>
    <w:p>
      <w:pPr>
        <w:shd w:val="clea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5、参考品牌</w:t>
      </w:r>
    </w:p>
    <w:p>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4"/>
        <w:shd w:val="clear"/>
        <w:spacing w:line="415" w:lineRule="auto"/>
        <w:jc w:val="center"/>
        <w:rPr>
          <w:rFonts w:hint="eastAsia" w:ascii="宋体" w:hAnsi="宋体" w:eastAsia="宋体" w:cs="宋体"/>
          <w:color w:val="auto"/>
          <w:highlight w:val="none"/>
        </w:rPr>
      </w:pPr>
      <w:bookmarkStart w:id="33" w:name="_Toc1461"/>
      <w:r>
        <w:rPr>
          <w:rFonts w:hint="eastAsia" w:ascii="宋体" w:hAnsi="宋体" w:eastAsia="宋体" w:cs="宋体"/>
          <w:color w:val="auto"/>
          <w:highlight w:val="none"/>
        </w:rPr>
        <w:t>三、投标文件</w:t>
      </w:r>
      <w:bookmarkEnd w:id="33"/>
    </w:p>
    <w:p>
      <w:pPr>
        <w:numPr>
          <w:ilvl w:val="0"/>
          <w:numId w:val="4"/>
        </w:num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投标文件的语言及货币单位</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1.1投标文件以及有关投标事宜的所有来往函电均应以中文书写，专业术语和外文证明材料除外。</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1.2投标文件以人民币元报价或以下浮率（优惠率）报价，具体详见《开标一览表》。</w:t>
      </w:r>
    </w:p>
    <w:p>
      <w:pPr>
        <w:numPr>
          <w:ilvl w:val="0"/>
          <w:numId w:val="4"/>
        </w:num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投标文件的组成</w:t>
      </w:r>
      <w:r>
        <w:rPr>
          <w:rFonts w:hint="eastAsia" w:ascii="宋体" w:hAnsi="宋体" w:eastAsia="宋体" w:cs="宋体"/>
          <w:bCs/>
          <w:color w:val="auto"/>
          <w:sz w:val="24"/>
          <w:highlight w:val="none"/>
          <w:lang w:bidi="ar-SA"/>
        </w:rPr>
        <w:t>（</w:t>
      </w:r>
      <w:r>
        <w:rPr>
          <w:rFonts w:hint="eastAsia" w:ascii="宋体" w:hAnsi="宋体" w:eastAsia="宋体" w:cs="宋体"/>
          <w:b/>
          <w:bCs/>
          <w:color w:val="auto"/>
          <w:sz w:val="24"/>
          <w:highlight w:val="none"/>
          <w:lang w:bidi="ar-SA"/>
        </w:rPr>
        <w:t>格式详见第六章附件</w:t>
      </w:r>
      <w:r>
        <w:rPr>
          <w:rFonts w:hint="eastAsia" w:ascii="宋体" w:hAnsi="宋体" w:eastAsia="宋体" w:cs="宋体"/>
          <w:bCs/>
          <w:color w:val="auto"/>
          <w:sz w:val="24"/>
          <w:highlight w:val="none"/>
          <w:lang w:bidi="ar-SA"/>
        </w:rPr>
        <w:t>）</w:t>
      </w:r>
    </w:p>
    <w:p>
      <w:pPr>
        <w:shd w:val="clear"/>
        <w:snapToGrid w:val="0"/>
        <w:spacing w:line="440" w:lineRule="exact"/>
        <w:ind w:firstLine="479"/>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本项目投标文件由“资格文件”、“商务和技术文件”、“报价文件”三部分组成：</w:t>
      </w:r>
    </w:p>
    <w:p>
      <w:pPr>
        <w:shd w:val="clea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2.1“资格文件”包括以下内容：</w:t>
      </w:r>
    </w:p>
    <w:p>
      <w:pPr>
        <w:shd w:val="clea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2.1.1投标声明函；</w:t>
      </w:r>
    </w:p>
    <w:p>
      <w:pPr>
        <w:shd w:val="clea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2.1.2联合体协议书（如有）；</w:t>
      </w:r>
    </w:p>
    <w:p>
      <w:pPr>
        <w:shd w:val="clea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2.1.3法定代表人授权委托书（个体工商户需经营者参与投标，不得授权）</w:t>
      </w:r>
      <w:r>
        <w:rPr>
          <w:rFonts w:hint="eastAsia" w:ascii="宋体" w:hAnsi="宋体" w:eastAsia="宋体" w:cs="宋体"/>
          <w:bCs/>
          <w:color w:val="auto"/>
          <w:sz w:val="24"/>
          <w:highlight w:val="none"/>
          <w:lang w:bidi="ar-SA"/>
        </w:rPr>
        <w:t>；</w:t>
      </w:r>
    </w:p>
    <w:p>
      <w:pPr>
        <w:shd w:val="clea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2.1.4法定代表人及其授权代表的身份证；</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2.1.5 资格条件证明材料：</w:t>
      </w:r>
    </w:p>
    <w:p>
      <w:pPr>
        <w:shd w:val="clear"/>
        <w:snapToGrid w:val="0"/>
        <w:spacing w:line="440" w:lineRule="exact"/>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2.1.5.1营业执照或事业单位法人登记证书；</w:t>
      </w:r>
    </w:p>
    <w:p>
      <w:pPr>
        <w:shd w:val="clear"/>
        <w:snapToGrid w:val="0"/>
        <w:spacing w:line="440" w:lineRule="exact"/>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2.1.5.2特定资格条件证明材料（如有）。</w:t>
      </w:r>
    </w:p>
    <w:p>
      <w:pPr>
        <w:widowControl/>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2.1.6中小企业声明函（如有）；</w:t>
      </w:r>
    </w:p>
    <w:p>
      <w:pPr>
        <w:widowControl/>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.7残疾人福利性单位声明函（如有）；</w:t>
      </w:r>
    </w:p>
    <w:p>
      <w:pPr>
        <w:shd w:val="clear"/>
        <w:snapToGrid w:val="0"/>
        <w:spacing w:line="440" w:lineRule="exact"/>
        <w:ind w:left="0"/>
        <w:jc w:val="lef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single"/>
        </w:rPr>
        <w:t>注：“资格文件”需按采购文件的要求制作，2.1.4-2.1.5均为原件扫描件或彩色图片，未按采购文件要求签字、盖CA章或内容有实质性偏离的，资格审查不通过。无需提供纸质资格审查资料。</w:t>
      </w:r>
    </w:p>
    <w:p>
      <w:pPr>
        <w:shd w:val="clea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2.2“商务和技术文件”包括以下内容：</w:t>
      </w:r>
    </w:p>
    <w:p>
      <w:pPr>
        <w:shd w:val="clea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2.2.1项目明细清单；</w:t>
      </w:r>
    </w:p>
    <w:p>
      <w:pPr>
        <w:shd w:val="clea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2.2.2技术响应表（投标人在技术响应表中，</w:t>
      </w:r>
      <w:r>
        <w:rPr>
          <w:rFonts w:hint="eastAsia" w:ascii="宋体" w:hAnsi="宋体" w:eastAsia="宋体" w:cs="宋体"/>
          <w:color w:val="auto"/>
          <w:kern w:val="0"/>
          <w:sz w:val="24"/>
          <w:highlight w:val="none"/>
          <w:lang w:val="zh-CN"/>
        </w:rPr>
        <w:t>应对</w:t>
      </w:r>
      <w:r>
        <w:rPr>
          <w:rFonts w:hint="eastAsia" w:ascii="宋体" w:hAnsi="宋体" w:eastAsia="宋体" w:cs="宋体"/>
          <w:color w:val="auto"/>
          <w:sz w:val="24"/>
          <w:highlight w:val="none"/>
        </w:rPr>
        <w:t>采购需求中的各项技术规范</w:t>
      </w:r>
      <w:r>
        <w:rPr>
          <w:rFonts w:hint="eastAsia" w:ascii="宋体" w:hAnsi="宋体" w:eastAsia="宋体" w:cs="宋体"/>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宋体" w:hAnsi="宋体" w:eastAsia="宋体" w:cs="宋体"/>
          <w:color w:val="auto"/>
          <w:sz w:val="24"/>
          <w:highlight w:val="none"/>
        </w:rPr>
        <w:t>）；</w:t>
      </w:r>
    </w:p>
    <w:p>
      <w:pPr>
        <w:shd w:val="clea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2.2.3商务响应表（需对采购文件中付款方式、服务期限等商务要求进行逐一答复、说明和解释，</w:t>
      </w:r>
      <w:r>
        <w:rPr>
          <w:rFonts w:hint="eastAsia" w:ascii="宋体" w:hAnsi="宋体" w:eastAsia="宋体" w:cs="宋体"/>
          <w:color w:val="auto"/>
          <w:kern w:val="0"/>
          <w:sz w:val="24"/>
          <w:highlight w:val="none"/>
          <w:lang w:val="zh-CN"/>
        </w:rPr>
        <w:t>正偏离的需详细说明）；</w:t>
      </w:r>
    </w:p>
    <w:p>
      <w:pPr>
        <w:shd w:val="clea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2.2.4项目实施方案；</w:t>
      </w:r>
    </w:p>
    <w:p>
      <w:pPr>
        <w:shd w:val="clea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2.2.5项目实施人员清单；</w:t>
      </w:r>
    </w:p>
    <w:p>
      <w:pPr>
        <w:pStyle w:val="40"/>
        <w:shd w:val="clear"/>
        <w:spacing w:line="360" w:lineRule="auto"/>
        <w:ind w:firstLine="0" w:firstLineChars="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rPr>
        <w:t>2.2.6类似业绩一览表（附业绩证明材料）（如有）；</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.7享受政府采购政策性规定情况表（如有）（</w:t>
      </w:r>
      <w:r>
        <w:rPr>
          <w:rFonts w:hint="eastAsia" w:ascii="宋体" w:hAnsi="宋体" w:eastAsia="宋体" w:cs="宋体"/>
          <w:color w:val="auto"/>
          <w:sz w:val="24"/>
          <w:szCs w:val="24"/>
          <w:highlight w:val="none"/>
        </w:rPr>
        <w:t>采购清单中有国家强制采购的节能产品的，必须填写相关对应内容，否则视为未提供节能产品）（附证明材料）。</w:t>
      </w:r>
    </w:p>
    <w:p>
      <w:pPr>
        <w:pStyle w:val="40"/>
        <w:shd w:val="clear"/>
        <w:spacing w:line="360" w:lineRule="auto"/>
        <w:ind w:firstLine="0" w:firstLineChars="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lang w:val="zh-CN"/>
        </w:rPr>
        <w:t>2.2.8优惠条件及其他额外承诺；</w:t>
      </w:r>
    </w:p>
    <w:p>
      <w:pPr>
        <w:shd w:val="clear"/>
        <w:snapToGrid w:val="0"/>
        <w:spacing w:line="440" w:lineRule="exact"/>
        <w:ind w:left="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2.2.9按评分细则中要求提供的其他资料（重要）；</w:t>
      </w:r>
    </w:p>
    <w:p>
      <w:pPr>
        <w:shd w:val="clea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2.2.10其他投标人认为需要提供的材料，如投标人简介等，格式自拟。</w:t>
      </w:r>
    </w:p>
    <w:p>
      <w:pPr>
        <w:shd w:val="clea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u w:val="single"/>
        </w:rPr>
        <w:t>注：“商务和技术文件”可在采购文件格式的基础上适当调整，以使内容更加完备。供应商自有的各类证书、业绩等证明材料均为原件彩色扫描件或图片（标项内另有规定的除外），加盖供应商CA签章。无需提供纸质证明材料核验。</w:t>
      </w:r>
    </w:p>
    <w:p>
      <w:pPr>
        <w:shd w:val="clea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“报价文件”包括以下内容：</w:t>
      </w:r>
    </w:p>
    <w:p>
      <w:pPr>
        <w:shd w:val="clea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.1开标一览表；</w:t>
      </w:r>
    </w:p>
    <w:p>
      <w:pPr>
        <w:shd w:val="clea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adjustRightInd/>
        <w:snapToGrid w:val="0"/>
        <w:spacing w:line="440" w:lineRule="exact"/>
        <w:ind w:left="0" w:firstLine="0"/>
        <w:contextualSpacing w:val="0"/>
        <w:jc w:val="lef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single"/>
        </w:rPr>
        <w:t>注：“报价文件”需按采购文件第六章附件的要求制作，未按采购文件要求签字、盖CA章或内容有实质性偏离的，</w:t>
      </w:r>
      <w:r>
        <w:rPr>
          <w:rFonts w:hint="eastAsia" w:ascii="宋体" w:hAnsi="宋体" w:eastAsia="宋体" w:cs="宋体"/>
          <w:b/>
          <w:bCs/>
          <w:caps w:val="0"/>
          <w:smallCaps w:val="0"/>
          <w:vanish w:val="0"/>
          <w:color w:val="auto"/>
          <w:sz w:val="32"/>
          <w:szCs w:val="32"/>
          <w:highlight w:val="none"/>
          <w:u w:val="single"/>
          <w:vertAlign w:val="baseline"/>
        </w:rPr>
        <w:t>作无效投标处理</w:t>
      </w:r>
      <w:r>
        <w:rPr>
          <w:rFonts w:hint="eastAsia" w:ascii="宋体" w:hAnsi="宋体" w:eastAsia="宋体" w:cs="宋体"/>
          <w:b/>
          <w:bCs/>
          <w:color w:val="auto"/>
          <w:sz w:val="32"/>
          <w:szCs w:val="32"/>
          <w:highlight w:val="none"/>
          <w:u w:val="singl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adjustRightInd/>
        <w:snapToGrid w:val="0"/>
        <w:spacing w:line="440" w:lineRule="exact"/>
        <w:ind w:left="0" w:firstLine="0"/>
        <w:contextualSpacing w:val="0"/>
        <w:jc w:val="left"/>
        <w:rPr>
          <w:rFonts w:hint="eastAsia" w:ascii="宋体" w:hAnsi="宋体" w:eastAsia="宋体" w:cs="宋体"/>
          <w:b/>
          <w:bCs/>
          <w:color w:val="auto"/>
          <w:sz w:val="32"/>
          <w:szCs w:val="32"/>
          <w:highlight w:val="none"/>
          <w:u w:val="single"/>
        </w:rPr>
      </w:pPr>
      <w:r>
        <w:rPr>
          <w:rFonts w:hint="eastAsia" w:ascii="宋体" w:hAnsi="宋体" w:eastAsia="宋体" w:cs="宋体"/>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pPr>
        <w:numPr>
          <w:ilvl w:val="0"/>
          <w:numId w:val="4"/>
        </w:num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投标文件的制作要求</w:t>
      </w:r>
    </w:p>
    <w:p>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宋体" w:hAnsi="宋体" w:eastAsia="宋体" w:cs="宋体"/>
          <w:b/>
          <w:bCs/>
          <w:color w:val="auto"/>
          <w:spacing w:val="-4"/>
          <w:sz w:val="24"/>
          <w:highlight w:val="none"/>
        </w:rPr>
        <w:t>未按“政采云”平台电子投标工具（政府采购电子交易客户端）制作将无法上传和解密</w:t>
      </w:r>
      <w:r>
        <w:rPr>
          <w:rFonts w:hint="eastAsia" w:ascii="宋体" w:hAnsi="宋体" w:eastAsia="宋体" w:cs="宋体"/>
          <w:b/>
          <w:color w:val="auto"/>
          <w:sz w:val="24"/>
          <w:highlight w:val="none"/>
        </w:rPr>
        <w:t>。</w:t>
      </w:r>
    </w:p>
    <w:p>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3.2投标文件须为PDF格式文档。</w:t>
      </w:r>
    </w:p>
    <w:p>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3.3投标文件需做好“标书关联”（即设置关联点），未设置关联点而导致失分或作无效投标处理的风险由投标人承担。</w:t>
      </w:r>
    </w:p>
    <w:p>
      <w:pPr>
        <w:shd w:val="clear"/>
        <w:snapToGrid w:val="0"/>
        <w:spacing w:line="440" w:lineRule="exact"/>
        <w:jc w:val="left"/>
        <w:rPr>
          <w:rFonts w:hint="eastAsia" w:ascii="宋体" w:hAnsi="宋体" w:eastAsia="宋体" w:cs="宋体"/>
          <w:b/>
          <w:bCs/>
          <w:color w:val="auto"/>
          <w:spacing w:val="-4"/>
          <w:sz w:val="24"/>
          <w:highlight w:val="none"/>
        </w:rPr>
      </w:pPr>
      <w:r>
        <w:rPr>
          <w:rFonts w:hint="eastAsia" w:ascii="宋体" w:hAnsi="宋体" w:eastAsia="宋体" w:cs="宋体"/>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hd w:val="clear"/>
        <w:snapToGrid w:val="0"/>
        <w:spacing w:line="440" w:lineRule="exact"/>
        <w:jc w:val="left"/>
        <w:rPr>
          <w:rFonts w:hint="eastAsia" w:ascii="宋体" w:hAnsi="宋体" w:eastAsia="宋体" w:cs="宋体"/>
          <w:b/>
          <w:bCs/>
          <w:color w:val="auto"/>
          <w:spacing w:val="-4"/>
          <w:sz w:val="24"/>
          <w:highlight w:val="none"/>
        </w:rPr>
      </w:pPr>
      <w:r>
        <w:rPr>
          <w:rFonts w:hint="eastAsia" w:ascii="宋体" w:hAnsi="宋体" w:eastAsia="宋体" w:cs="宋体"/>
          <w:b/>
          <w:bCs/>
          <w:color w:val="auto"/>
          <w:spacing w:val="-4"/>
          <w:sz w:val="24"/>
          <w:highlight w:val="none"/>
        </w:rPr>
        <w:t>3.5个体工商户参与投标的，法定代表人签字（盖章）处由个体工商户经营者签署（盖章）。</w:t>
      </w:r>
    </w:p>
    <w:p>
      <w:pPr>
        <w:shd w:val="clear"/>
        <w:snapToGrid w:val="0"/>
        <w:spacing w:line="440" w:lineRule="exact"/>
        <w:jc w:val="left"/>
        <w:rPr>
          <w:rFonts w:hint="eastAsia" w:ascii="宋体" w:hAnsi="宋体" w:eastAsia="宋体" w:cs="宋体"/>
          <w:color w:val="auto"/>
          <w:sz w:val="24"/>
          <w:highlight w:val="none"/>
          <w:u w:val="single"/>
        </w:rPr>
      </w:pPr>
      <w:r>
        <w:rPr>
          <w:rFonts w:hint="eastAsia" w:ascii="宋体" w:hAnsi="宋体" w:eastAsia="宋体" w:cs="宋体"/>
          <w:b/>
          <w:bCs/>
          <w:color w:val="auto"/>
          <w:spacing w:val="-4"/>
          <w:sz w:val="24"/>
          <w:highlight w:val="none"/>
          <w:u w:val="single"/>
        </w:rPr>
        <w:t>友情提醒：在生成加密电子标书过程中，花费时间较长，预计需要10-20分钟时间，请供应商耐心等待，不要关闭电子交易客户端。</w:t>
      </w:r>
    </w:p>
    <w:p>
      <w:pPr>
        <w:widowControl/>
        <w:shd w:val="clear"/>
        <w:snapToGrid w:val="0"/>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4．</w:t>
      </w:r>
      <w:r>
        <w:rPr>
          <w:rFonts w:hint="eastAsia" w:ascii="宋体" w:hAnsi="宋体" w:eastAsia="宋体" w:cs="宋体"/>
          <w:b/>
          <w:color w:val="auto"/>
          <w:kern w:val="0"/>
          <w:sz w:val="24"/>
          <w:highlight w:val="none"/>
        </w:rPr>
        <w:t>投标文件的补充和修改</w:t>
      </w:r>
    </w:p>
    <w:p>
      <w:pPr>
        <w:widowControl/>
        <w:shd w:val="clea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8"/>
        <w:numPr>
          <w:ilvl w:val="0"/>
          <w:numId w:val="0"/>
        </w:numPr>
        <w:shd w:val="clear"/>
        <w:spacing w:after="0" w:afterLines="0" w:line="440" w:lineRule="atLeas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5.投标文件的有效期</w:t>
      </w:r>
    </w:p>
    <w:p>
      <w:pPr>
        <w:pStyle w:val="8"/>
        <w:numPr>
          <w:ilvl w:val="0"/>
          <w:numId w:val="0"/>
        </w:numPr>
        <w:shd w:val="clea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5.1</w:t>
      </w:r>
      <w:r>
        <w:rPr>
          <w:rFonts w:hint="eastAsia" w:ascii="宋体" w:hAnsi="宋体" w:eastAsia="宋体" w:cs="宋体"/>
          <w:color w:val="auto"/>
          <w:highlight w:val="none"/>
        </w:rPr>
        <w:t>投标文件有效期详见前附表。投标有效期内，投标人不得撤销或更换投标文件。</w:t>
      </w:r>
    </w:p>
    <w:p>
      <w:pPr>
        <w:pStyle w:val="8"/>
        <w:numPr>
          <w:ilvl w:val="0"/>
          <w:numId w:val="0"/>
        </w:numPr>
        <w:shd w:val="clea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5.2投标有效期内未完成开评标及与中标人签订合同的，采购人需与投标人书面协商延长投标书的有效期。</w:t>
      </w:r>
    </w:p>
    <w:p>
      <w:pPr>
        <w:pStyle w:val="8"/>
        <w:numPr>
          <w:ilvl w:val="0"/>
          <w:numId w:val="0"/>
        </w:numPr>
        <w:shd w:val="clea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5.3投标人可拒绝接受延期要求。同意延长有效期的投标人不能修改投标文件。</w:t>
      </w:r>
    </w:p>
    <w:p>
      <w:pPr>
        <w:pStyle w:val="8"/>
        <w:numPr>
          <w:ilvl w:val="0"/>
          <w:numId w:val="0"/>
        </w:numPr>
        <w:shd w:val="clea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5.4投标文件不予退还。</w:t>
      </w:r>
    </w:p>
    <w:p>
      <w:pPr>
        <w:pStyle w:val="8"/>
        <w:numPr>
          <w:ilvl w:val="0"/>
          <w:numId w:val="0"/>
        </w:numPr>
        <w:shd w:val="clear"/>
        <w:spacing w:after="0" w:afterLines="0" w:line="440" w:lineRule="atLeas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6.投标文件的保密</w:t>
      </w:r>
    </w:p>
    <w:p>
      <w:pPr>
        <w:shd w:val="clear"/>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6.1备份电子投标文件在解密前处于保密状态。</w:t>
      </w:r>
    </w:p>
    <w:p>
      <w:pPr>
        <w:shd w:val="clear"/>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6.2解密成功后，“资格文件”、“商务和技术文件”、“报价文件”各自处于数据隔离状态，各部分信息只有在相关环节评审时可见，不受解密影响。</w:t>
      </w:r>
    </w:p>
    <w:p>
      <w:pPr>
        <w:pStyle w:val="4"/>
        <w:shd w:val="clear"/>
        <w:spacing w:line="415" w:lineRule="auto"/>
        <w:jc w:val="center"/>
        <w:rPr>
          <w:rFonts w:hint="eastAsia" w:ascii="宋体" w:hAnsi="宋体" w:eastAsia="宋体" w:cs="宋体"/>
          <w:color w:val="auto"/>
          <w:highlight w:val="none"/>
        </w:rPr>
      </w:pPr>
      <w:bookmarkStart w:id="34" w:name="_Toc27317"/>
      <w:r>
        <w:rPr>
          <w:rFonts w:hint="eastAsia" w:ascii="宋体" w:hAnsi="宋体" w:eastAsia="宋体" w:cs="宋体"/>
          <w:color w:val="auto"/>
          <w:highlight w:val="none"/>
        </w:rPr>
        <w:t>四、开标评标</w:t>
      </w:r>
      <w:bookmarkEnd w:id="34"/>
    </w:p>
    <w:p>
      <w:pPr>
        <w:shd w:val="clea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1．开标出席</w:t>
      </w:r>
    </w:p>
    <w:p>
      <w:pPr>
        <w:shd w:val="clear"/>
        <w:snapToGrid w:val="0"/>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 投标供应商法定代表人或其授权代表或个体工商户经营者需准时通过“政采云平台”在线参加开标，否则将导致投标文件无法按时解密、无法在线询标等。</w:t>
      </w:r>
    </w:p>
    <w:p>
      <w:pPr>
        <w:shd w:val="clear"/>
        <w:snapToGrid w:val="0"/>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1.2投标供应商自主选择是否出席现场开标会议，但除电子交易技术指导外，现场不接受任何与投标有关的资料。</w:t>
      </w:r>
    </w:p>
    <w:p>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2．开标大会程序</w:t>
      </w:r>
    </w:p>
    <w:p>
      <w:pPr>
        <w:shd w:val="clear"/>
        <w:snapToGrid w:val="0"/>
        <w:spacing w:line="440" w:lineRule="exact"/>
        <w:jc w:val="left"/>
        <w:rPr>
          <w:rFonts w:hint="eastAsia" w:ascii="宋体" w:hAnsi="宋体" w:eastAsia="宋体" w:cs="宋体"/>
          <w:color w:val="auto"/>
          <w:sz w:val="24"/>
          <w:highlight w:val="none"/>
          <w:u w:val="none"/>
        </w:rPr>
      </w:pPr>
      <w:r>
        <w:rPr>
          <w:rFonts w:hint="eastAsia" w:ascii="宋体" w:hAnsi="宋体" w:eastAsia="宋体" w:cs="宋体"/>
          <w:b w:val="0"/>
          <w:bCs w:val="0"/>
          <w:color w:val="auto"/>
          <w:sz w:val="24"/>
          <w:highlight w:val="none"/>
          <w:u w:val="none" w:color="auto"/>
        </w:rPr>
        <w:t>开标大会由采购代理机构主持：</w:t>
      </w:r>
    </w:p>
    <w:p>
      <w:pPr>
        <w:shd w:val="clea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2.1主持人宣布开标会开始，介绍到会单位和人员。</w:t>
      </w:r>
    </w:p>
    <w:p>
      <w:pPr>
        <w:shd w:val="clea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2.2宣读完成加密电子投标文件上传的供应商名单。</w:t>
      </w:r>
    </w:p>
    <w:p>
      <w:pPr>
        <w:shd w:val="clea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2.3组织各投标人法定代表人或其授权代表签署《政府采购活动现场确认声明书》（视情）。</w:t>
      </w:r>
    </w:p>
    <w:p>
      <w:pPr>
        <w:shd w:val="clea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2.4采购代理机构通过政采云平台和上传电子投标文件时登记的手机号发出解密指令，投标人对加密电子投标文件进行在线解密。</w:t>
      </w:r>
      <w:r>
        <w:rPr>
          <w:rFonts w:hint="eastAsia" w:ascii="宋体" w:hAnsi="宋体" w:eastAsia="宋体" w:cs="宋体"/>
          <w:color w:val="auto"/>
          <w:sz w:val="24"/>
          <w:highlight w:val="none"/>
          <w:lang w:eastAsia="zh-CN"/>
        </w:rPr>
        <w:t>在系统规定时间内</w:t>
      </w:r>
      <w:r>
        <w:rPr>
          <w:rFonts w:hint="eastAsia" w:ascii="宋体" w:hAnsi="宋体" w:eastAsia="宋体" w:cs="宋体"/>
          <w:color w:val="auto"/>
          <w:sz w:val="24"/>
          <w:highlight w:val="none"/>
        </w:rPr>
        <w:t>解密电子投标文件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解密成功的，备份加密电子投标文件自动失效。若在规定时间内无法解密或解密失败，上传备份电子加密投标文件并解密。</w:t>
      </w:r>
    </w:p>
    <w:p>
      <w:pPr>
        <w:shd w:val="clear"/>
        <w:snapToGrid w:val="0"/>
        <w:spacing w:line="480" w:lineRule="exact"/>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注：</w:t>
      </w:r>
      <w:r>
        <w:rPr>
          <w:rFonts w:hint="eastAsia" w:ascii="宋体" w:hAnsi="宋体" w:eastAsia="宋体" w:cs="宋体"/>
          <w:b/>
          <w:bCs/>
          <w:color w:val="auto"/>
          <w:spacing w:val="-4"/>
          <w:sz w:val="24"/>
          <w:highlight w:val="none"/>
          <w:u w:val="single"/>
        </w:rPr>
        <w:t>制作电子投标文件和解密投标文件的需为同一把CA。解密时间截止后仍未解密成功的，视为撤回投标文件，放弃投标。</w:t>
      </w:r>
    </w:p>
    <w:p>
      <w:pPr>
        <w:shd w:val="clea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2.5采购机构对“资格文件”进行审查，发布资格审查结果。</w:t>
      </w:r>
    </w:p>
    <w:p>
      <w:pPr>
        <w:shd w:val="clea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2.6评审委员会对“商务和技术文件”进行评审，发布评审结果。</w:t>
      </w:r>
    </w:p>
    <w:p>
      <w:pPr>
        <w:shd w:val="clea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注：评审期间的询标、澄清都将在政采云平台上进行。</w:t>
      </w:r>
    </w:p>
    <w:p>
      <w:pPr>
        <w:shd w:val="clea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2.7评审委员会对报价文件进行评审，计算价格分。</w:t>
      </w:r>
    </w:p>
    <w:p>
      <w:pPr>
        <w:shd w:val="clea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2.8汇总技术商务分、价格分，根据总得分排序确定中标候选人，公布评审结果。</w:t>
      </w:r>
    </w:p>
    <w:p>
      <w:pPr>
        <w:shd w:val="clea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3.评审委员会的组成</w:t>
      </w:r>
    </w:p>
    <w:p>
      <w:pPr>
        <w:shd w:val="clea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3.1评审委员会由采购单位依法组建，负责评标活动及协助处理质疑投诉。参与本项目进口论证的专家不得作为采购评审专家参与同一项目的采购评审工作。</w:t>
      </w:r>
    </w:p>
    <w:p>
      <w:pPr>
        <w:shd w:val="clea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3.2评审委员会由采购人代表和有关方面的专家组成，成员人数为五人及以上单数。预算金额在1000万及以上的，成员人数为七人及以上单数。</w:t>
      </w:r>
    </w:p>
    <w:p>
      <w:pPr>
        <w:shd w:val="clea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3.3采购人代表不担任评审组长。</w:t>
      </w:r>
    </w:p>
    <w:p>
      <w:pPr>
        <w:shd w:val="clea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3.4经采购监督部门同意，由于专家库无相应专业专家或技术复杂等原因允许采购人自行组建或推荐抽取评审专家，相关操作规则需符合法律规定。</w:t>
      </w:r>
    </w:p>
    <w:p>
      <w:pPr>
        <w:shd w:val="clea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4.评审</w:t>
      </w:r>
    </w:p>
    <w:p>
      <w:pPr>
        <w:shd w:val="clea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4.1评审程序：</w:t>
      </w:r>
    </w:p>
    <w:p>
      <w:pPr>
        <w:shd w:val="clea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4.1.1资格审查：采购人或采购代理机构依据法律、法规和采购文件规定，对投标文件中“资格文件”等进行审查，以确定投标人是否具备投标资格。</w:t>
      </w:r>
      <w:r>
        <w:rPr>
          <w:rFonts w:hint="eastAsia" w:ascii="宋体" w:hAnsi="宋体" w:eastAsia="宋体" w:cs="宋体"/>
          <w:b/>
          <w:bCs/>
          <w:color w:val="auto"/>
          <w:sz w:val="24"/>
          <w:highlight w:val="none"/>
          <w:lang w:eastAsia="zh-CN"/>
        </w:rPr>
        <w:t>中小企业资格认定详见“二、采购文件”中“</w:t>
      </w:r>
      <w:r>
        <w:rPr>
          <w:rFonts w:hint="eastAsia" w:ascii="宋体" w:hAnsi="宋体" w:eastAsia="宋体" w:cs="宋体"/>
          <w:b/>
          <w:bCs/>
          <w:color w:val="auto"/>
          <w:sz w:val="24"/>
          <w:highlight w:val="none"/>
        </w:rPr>
        <w:t>3、政府采购政策性规定</w:t>
      </w:r>
      <w:r>
        <w:rPr>
          <w:rFonts w:hint="eastAsia" w:ascii="宋体" w:hAnsi="宋体" w:eastAsia="宋体" w:cs="宋体"/>
          <w:b/>
          <w:bCs/>
          <w:color w:val="auto"/>
          <w:sz w:val="24"/>
          <w:highlight w:val="none"/>
          <w:lang w:eastAsia="zh-CN"/>
        </w:rPr>
        <w:t>”。</w:t>
      </w:r>
    </w:p>
    <w:p>
      <w:pPr>
        <w:shd w:val="clea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pPr>
        <w:shd w:val="clea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4.1.3商务技术评分：对“商务和技术文件”中的响应情况进行评分。</w:t>
      </w:r>
    </w:p>
    <w:p>
      <w:pPr>
        <w:shd w:val="clea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4.1.4“报价文件”的符合性审查：审查范围包括报价有效性、准确性等。</w:t>
      </w:r>
    </w:p>
    <w:p>
      <w:pPr>
        <w:shd w:val="clea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4.1.5报价评分：根据评审价格和价格分计算公式计算各投标人价格分。</w:t>
      </w:r>
    </w:p>
    <w:p>
      <w:pPr>
        <w:shd w:val="clea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4.2评审委员会不负责解释投标人的得分高低和失分情况。</w:t>
      </w:r>
    </w:p>
    <w:p>
      <w:pPr>
        <w:shd w:val="clea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4.3评审委员会不得依据投标文件（包括样品、演示）以外的资料评分。</w:t>
      </w:r>
    </w:p>
    <w:p>
      <w:pPr>
        <w:shd w:val="clear"/>
        <w:spacing w:line="480" w:lineRule="exact"/>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宋体" w:hAnsi="宋体" w:eastAsia="宋体" w:cs="宋体"/>
          <w:b/>
          <w:bCs/>
          <w:color w:val="auto"/>
          <w:sz w:val="24"/>
          <w:highlight w:val="none"/>
        </w:rPr>
        <w:t>不接受投标人提出的主动澄清。</w:t>
      </w:r>
    </w:p>
    <w:p>
      <w:pPr>
        <w:widowControl/>
        <w:shd w:val="clear"/>
        <w:snapToGrid w:val="0"/>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4.5评审委员会不向落标方解释落标的原因，不退还投标文件。</w:t>
      </w:r>
    </w:p>
    <w:p>
      <w:pPr>
        <w:shd w:val="clear"/>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5.报价修正规则</w:t>
      </w:r>
    </w:p>
    <w:p>
      <w:pPr>
        <w:shd w:val="clea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5.1投标文件中开标一览表（报价表）内容与投标文件中相应内容不一致的，以开标一览表（报价表）为准；</w:t>
      </w:r>
    </w:p>
    <w:p>
      <w:pPr>
        <w:shd w:val="clea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5.2大写金额和小写金额不一致的，以大写金额为准；</w:t>
      </w:r>
    </w:p>
    <w:p>
      <w:pPr>
        <w:shd w:val="clea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5.3单价金额小数点或者百分比有明显错位的，以开标一览表的总价为准，并修改单价；</w:t>
      </w:r>
    </w:p>
    <w:p>
      <w:pPr>
        <w:shd w:val="clea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5.4总价金额与按单价汇总金额不一致的，以单价金额计算结果为准。</w:t>
      </w:r>
    </w:p>
    <w:p>
      <w:pPr>
        <w:widowControl/>
        <w:shd w:val="clear"/>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同时出现两种以上不一致的，按照前款规定的顺序修正。</w:t>
      </w:r>
      <w:r>
        <w:rPr>
          <w:rFonts w:hint="eastAsia" w:ascii="宋体" w:hAnsi="宋体" w:eastAsia="宋体" w:cs="宋体"/>
          <w:bCs/>
          <w:color w:val="auto"/>
          <w:sz w:val="24"/>
          <w:highlight w:val="none"/>
        </w:rPr>
        <w:t>修正后的报价按照财政部公布第87号令 《政府采购货物和服务招标投标管理办法》</w:t>
      </w:r>
      <w:r>
        <w:rPr>
          <w:rFonts w:hint="eastAsia" w:ascii="宋体" w:hAnsi="宋体" w:eastAsia="宋体" w:cs="宋体"/>
          <w:color w:val="auto"/>
          <w:sz w:val="24"/>
          <w:highlight w:val="none"/>
        </w:rPr>
        <w:t>第五十一条第二款的规定经投标人确认后产生约束力，投标人不确认的，其投标无效。</w:t>
      </w:r>
    </w:p>
    <w:p>
      <w:pPr>
        <w:pStyle w:val="18"/>
        <w:shd w:val="clea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6．无效投标的情形</w:t>
      </w:r>
    </w:p>
    <w:p>
      <w:pPr>
        <w:shd w:val="clear"/>
        <w:tabs>
          <w:tab w:val="left" w:pos="4085"/>
        </w:tabs>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投标响应文件有下列情形之一的作无效投标处理：</w:t>
      </w:r>
    </w:p>
    <w:p>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6.1单位负责人为同一人或者存在直接控股、管理关系的不同供应商参加同一合同项（标项）下的政府采购活动的（双方均作无效投标处理）；</w:t>
      </w:r>
    </w:p>
    <w:p>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6.2为采购项目提供整体设计、规范编制或者项目管理、监理、检测等服务的供应商再参加该采购项目的其他采购活动的（单一来源采购除外）； </w:t>
      </w:r>
    </w:p>
    <w:p>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adjustRightInd/>
        <w:snapToGrid w:val="0"/>
        <w:spacing w:line="440" w:lineRule="exact"/>
        <w:ind w:left="0" w:firstLine="0"/>
        <w:contextualSpacing w:val="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6.4</w:t>
      </w:r>
      <w:r>
        <w:rPr>
          <w:rFonts w:hint="eastAsia" w:ascii="宋体" w:hAnsi="宋体" w:eastAsia="宋体" w:cs="宋体"/>
          <w:b/>
          <w:caps w:val="0"/>
          <w:smallCaps w:val="0"/>
          <w:vanish w:val="0"/>
          <w:color w:val="auto"/>
          <w:kern w:val="0"/>
          <w:sz w:val="24"/>
          <w:szCs w:val="24"/>
          <w:highlight w:val="none"/>
          <w:vertAlign w:val="baseline"/>
        </w:rPr>
        <w:t>《中小企业声明函》、《残疾人福利性单位声明函》提供不实信息的</w:t>
      </w:r>
      <w:r>
        <w:rPr>
          <w:rFonts w:hint="eastAsia" w:ascii="宋体" w:hAnsi="宋体" w:eastAsia="宋体" w:cs="宋体"/>
          <w:b/>
          <w:color w:val="auto"/>
          <w:kern w:val="0"/>
          <w:sz w:val="24"/>
          <w:highlight w:val="none"/>
        </w:rPr>
        <w:t>；</w:t>
      </w:r>
    </w:p>
    <w:p>
      <w:pPr>
        <w:shd w:val="clear"/>
        <w:snapToGrid w:val="0"/>
        <w:spacing w:line="44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6.5投标文件制作出现如下情况：</w:t>
      </w:r>
    </w:p>
    <w:p>
      <w:pPr>
        <w:shd w:val="clear"/>
        <w:snapToGri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6.5.1未按采购文件要求制作“资格文件”的；</w:t>
      </w:r>
    </w:p>
    <w:p>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6.5.2报价一经涂改，未在涂改处加盖投标单位公章或者未经法定代表人或其授权代表签字或盖章的；</w:t>
      </w:r>
    </w:p>
    <w:p>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6.5.3“资格文件”或“商务和技术文件”部分中出现用于价格分评审的投标报价的（采购文件另有规定的参与“商务和技术文件”评审的报价除外）；</w:t>
      </w:r>
    </w:p>
    <w:p>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6.5.4对招标</w:t>
      </w:r>
      <w:r>
        <w:rPr>
          <w:rFonts w:hint="eastAsia" w:ascii="宋体" w:hAnsi="宋体" w:eastAsia="宋体" w:cs="宋体"/>
          <w:color w:val="auto"/>
          <w:sz w:val="24"/>
          <w:highlight w:val="none"/>
        </w:rPr>
        <w:t>服务或技术或产品等要求</w:t>
      </w:r>
      <w:r>
        <w:rPr>
          <w:rFonts w:hint="eastAsia" w:ascii="宋体" w:hAnsi="宋体" w:eastAsia="宋体" w:cs="宋体"/>
          <w:color w:val="auto"/>
          <w:sz w:val="24"/>
          <w:szCs w:val="20"/>
          <w:highlight w:val="none"/>
        </w:rPr>
        <w:t>未详细应答或应答</w:t>
      </w:r>
      <w:r>
        <w:rPr>
          <w:rFonts w:hint="eastAsia" w:ascii="宋体" w:hAnsi="宋体" w:eastAsia="宋体" w:cs="宋体"/>
          <w:color w:val="auto"/>
          <w:sz w:val="24"/>
          <w:highlight w:val="none"/>
        </w:rPr>
        <w:t>内容不全、有缺失的,经评审委员会认定为无法评审的；</w:t>
      </w:r>
    </w:p>
    <w:p>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6.5.5关键信息填写不完整或字迹不能辨认或有漏项的，经评审委员会认定属于重大偏差的；</w:t>
      </w:r>
    </w:p>
    <w:p>
      <w:pPr>
        <w:shd w:val="clear"/>
        <w:snapToGri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6.5.6未按采购文件规定要求签署盖章的。</w:t>
      </w:r>
    </w:p>
    <w:p>
      <w:pPr>
        <w:shd w:val="clea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6.6</w:t>
      </w:r>
      <w:r>
        <w:rPr>
          <w:rFonts w:hint="eastAsia" w:ascii="宋体" w:hAnsi="宋体" w:eastAsia="宋体" w:cs="宋体"/>
          <w:color w:val="auto"/>
          <w:sz w:val="24"/>
          <w:highlight w:val="none"/>
        </w:rPr>
        <w:t>投标人递交的投标文件与项目不符或内容严重不全的；</w:t>
      </w:r>
    </w:p>
    <w:p>
      <w:pPr>
        <w:pStyle w:val="18"/>
        <w:shd w:val="clear"/>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6.7重要信息前后不一致，经评审委员会询标后仍然无法评审的；</w:t>
      </w:r>
    </w:p>
    <w:p>
      <w:pPr>
        <w:shd w:val="clear"/>
        <w:tabs>
          <w:tab w:val="left" w:pos="3870"/>
          <w:tab w:val="left" w:pos="4085"/>
        </w:tabs>
        <w:snapToGrid w:val="0"/>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6.8</w:t>
      </w:r>
      <w:r>
        <w:rPr>
          <w:rFonts w:hint="eastAsia" w:ascii="宋体" w:hAnsi="宋体" w:eastAsia="宋体" w:cs="宋体"/>
          <w:color w:val="auto"/>
          <w:kern w:val="0"/>
          <w:sz w:val="24"/>
          <w:highlight w:val="none"/>
        </w:rPr>
        <w:t>投标响应文件含有采购人不能接受的附加条件；</w:t>
      </w:r>
    </w:p>
    <w:p>
      <w:pPr>
        <w:shd w:val="clear"/>
        <w:tabs>
          <w:tab w:val="left" w:pos="3870"/>
          <w:tab w:val="left" w:pos="4085"/>
        </w:tabs>
        <w:snapToGrid w:val="0"/>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6.9</w:t>
      </w:r>
      <w:r>
        <w:rPr>
          <w:rFonts w:hint="eastAsia" w:ascii="宋体" w:hAnsi="宋体" w:eastAsia="宋体" w:cs="宋体"/>
          <w:color w:val="auto"/>
          <w:sz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shd w:val="clea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6.10报价超过采购文件中规定的预算金额或最高限价（包括单价限价等采购文件规定的各类限价）的；</w:t>
      </w:r>
    </w:p>
    <w:p>
      <w:pPr>
        <w:shd w:val="clear"/>
        <w:tabs>
          <w:tab w:val="left" w:pos="3870"/>
          <w:tab w:val="left" w:pos="4085"/>
        </w:tabs>
        <w:snapToGrid w:val="0"/>
        <w:spacing w:line="440" w:lineRule="exact"/>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shd w:val="clea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6.12</w:t>
      </w:r>
      <w:r>
        <w:rPr>
          <w:rFonts w:hint="eastAsia" w:ascii="宋体" w:hAnsi="宋体" w:eastAsia="宋体" w:cs="宋体"/>
          <w:color w:val="auto"/>
          <w:sz w:val="24"/>
          <w:highlight w:val="none"/>
        </w:rPr>
        <w:t>评审委员会认定有重大偏差或实质性不响应采购文件要求的；</w:t>
      </w:r>
    </w:p>
    <w:p>
      <w:pPr>
        <w:shd w:val="clea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6.13投标人对根据修正原则修正后的报价不确认的；</w:t>
      </w:r>
    </w:p>
    <w:p>
      <w:pPr>
        <w:shd w:val="clea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6.14投标人提供虚假材料投标的（包括但不限于以下情节）：</w:t>
      </w:r>
    </w:p>
    <w:p>
      <w:pPr>
        <w:shd w:val="clear"/>
        <w:tabs>
          <w:tab w:val="left" w:pos="3870"/>
          <w:tab w:val="left" w:pos="4085"/>
        </w:tabs>
        <w:snapToGrid w:val="0"/>
        <w:spacing w:line="44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6.14.1使用伪造、变造的许可证件、资质证书；</w:t>
      </w:r>
    </w:p>
    <w:p>
      <w:pPr>
        <w:shd w:val="clea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6.14.2提供虚假的财务状况或者业绩；</w:t>
      </w:r>
    </w:p>
    <w:p>
      <w:pPr>
        <w:shd w:val="clea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6.14.3提供虚假的项目负责人或者主要项目实施人员简历、劳动关系证明；</w:t>
      </w:r>
    </w:p>
    <w:p>
      <w:pPr>
        <w:shd w:val="clea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6.14.4提供虚假的信用状况；</w:t>
      </w:r>
    </w:p>
    <w:p>
      <w:pPr>
        <w:shd w:val="clear"/>
        <w:tabs>
          <w:tab w:val="left" w:pos="3870"/>
          <w:tab w:val="left" w:pos="4085"/>
        </w:tabs>
        <w:snapToGrid w:val="0"/>
        <w:spacing w:line="44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6.14.5其他弄虚作假的行为。</w:t>
      </w:r>
    </w:p>
    <w:p>
      <w:pPr>
        <w:shd w:val="clea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6.15投标人串通投标的。</w:t>
      </w:r>
    </w:p>
    <w:p>
      <w:pPr>
        <w:shd w:val="clear"/>
        <w:tabs>
          <w:tab w:val="left" w:pos="3870"/>
          <w:tab w:val="left" w:pos="4085"/>
        </w:tabs>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有下列情形之一的，视为投标人串通投标，其投标无效：</w:t>
      </w:r>
    </w:p>
    <w:p>
      <w:pPr>
        <w:shd w:val="clea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6.15.1不同投标人的投标文件由同一单位或者个人编制；</w:t>
      </w:r>
    </w:p>
    <w:p>
      <w:pPr>
        <w:shd w:val="clea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6.15.2不同投标人委托同一单位或者个人办理投标事宜；</w:t>
      </w:r>
    </w:p>
    <w:p>
      <w:pPr>
        <w:shd w:val="clea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6.15.3不同投标人的投标文件载明的项目管理成员或者联系人员为同一人；</w:t>
      </w:r>
    </w:p>
    <w:p>
      <w:pPr>
        <w:shd w:val="clea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6.15.4不同投标人的投标文件异常一致或者投标报价呈规律性差异；</w:t>
      </w:r>
    </w:p>
    <w:p>
      <w:pPr>
        <w:shd w:val="clea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6.15.5不同投标人的投标文件相互混装；</w:t>
      </w:r>
    </w:p>
    <w:p>
      <w:pPr>
        <w:shd w:val="clea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6.15.6法律规定的其他串通投标情形。</w:t>
      </w:r>
    </w:p>
    <w:p>
      <w:pPr>
        <w:shd w:val="clea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6.16属于《中华人民共和国政府采购法实施条例》第七十四条规定的恶意串通情形的，其投标无效；</w:t>
      </w:r>
    </w:p>
    <w:p>
      <w:pPr>
        <w:shd w:val="clea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6.17联合体投标的，联合体各方在同一招标项目中以自己名义单独投标或者参加其他联合体投标的，相关投标均无效；</w:t>
      </w:r>
    </w:p>
    <w:p>
      <w:pPr>
        <w:shd w:val="clea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6.18供应商违反政府采购政策性规定；</w:t>
      </w:r>
    </w:p>
    <w:p>
      <w:pPr>
        <w:shd w:val="clea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6.19违反法律、法规及本采购文件规定的其他无效投标情形。</w:t>
      </w:r>
    </w:p>
    <w:p>
      <w:pPr>
        <w:shd w:val="clea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7.定标</w:t>
      </w:r>
    </w:p>
    <w:p>
      <w:pPr>
        <w:widowControl/>
        <w:shd w:val="clear"/>
        <w:snapToGrid w:val="0"/>
        <w:spacing w:line="480" w:lineRule="exact"/>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7.1采购人在收到评标报告之日起5个工作日内在评审报告推荐的中标或成交候选人中按顺序确定中标或成交供应商。</w:t>
      </w:r>
    </w:p>
    <w:p>
      <w:pPr>
        <w:widowControl/>
        <w:shd w:val="clear"/>
        <w:snapToGrid w:val="0"/>
        <w:spacing w:line="480" w:lineRule="exact"/>
        <w:ind w:left="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7.2采购代理机构在采购人确认中标或成交供应商后2个工作日内发布中标公告。中标公告与采购公告发布网址一致。中标公告期限为一个工作日。</w:t>
      </w:r>
    </w:p>
    <w:p>
      <w:pPr>
        <w:shd w:val="clea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8.中标通知书的申领</w:t>
      </w:r>
    </w:p>
    <w:p>
      <w:pPr>
        <w:widowControl/>
        <w:shd w:val="clear"/>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8.1本项目采用的</w:t>
      </w:r>
      <w:r>
        <w:rPr>
          <w:rFonts w:hint="eastAsia" w:ascii="宋体" w:hAnsi="宋体" w:eastAsia="宋体" w:cs="宋体"/>
          <w:b/>
          <w:bCs/>
          <w:color w:val="auto"/>
          <w:kern w:val="0"/>
          <w:sz w:val="24"/>
          <w:highlight w:val="none"/>
        </w:rPr>
        <w:t>电子版中标通知书</w:t>
      </w:r>
      <w:r>
        <w:rPr>
          <w:rFonts w:hint="eastAsia" w:ascii="宋体" w:hAnsi="宋体" w:eastAsia="宋体" w:cs="宋体"/>
          <w:color w:val="auto"/>
          <w:kern w:val="0"/>
          <w:sz w:val="24"/>
          <w:highlight w:val="none"/>
        </w:rPr>
        <w:t>，中标供应商在政采云平台中登陆后领取（社会中介代理机构组织的政府采购项目另行规定）。</w:t>
      </w:r>
    </w:p>
    <w:p>
      <w:pPr>
        <w:widowControl/>
        <w:shd w:val="clear"/>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8.2中标通知书在中标公告发布的同时发出。</w:t>
      </w:r>
    </w:p>
    <w:p>
      <w:pPr>
        <w:widowControl/>
        <w:shd w:val="clear"/>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8.3中标通知书发出后，采购人不得违法改变中标结果，中标人无正当理由不得放弃中标。</w:t>
      </w:r>
    </w:p>
    <w:p>
      <w:pPr>
        <w:widowControl/>
        <w:shd w:val="clear"/>
        <w:snapToGrid w:val="0"/>
        <w:spacing w:line="48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hd w:val="clear"/>
        <w:snapToGrid w:val="0"/>
        <w:spacing w:line="48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9、中止电子交易的情形</w:t>
      </w:r>
    </w:p>
    <w:p>
      <w:pPr>
        <w:shd w:val="clear"/>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hd w:val="clea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9.1电子交易平台发生故障而无法完成采购活动的； </w:t>
      </w:r>
    </w:p>
    <w:p>
      <w:pPr>
        <w:shd w:val="clea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9.2电子交易平台应用或数据库出现错误，不能进行正常操作的；</w:t>
      </w:r>
    </w:p>
    <w:p>
      <w:pPr>
        <w:shd w:val="clea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9.3电子交易平台发现严重安全漏洞，有潜在泄密危险的；</w:t>
      </w:r>
    </w:p>
    <w:p>
      <w:pPr>
        <w:shd w:val="clea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9.4病毒发作导致不能进行正常操作的； </w:t>
      </w:r>
    </w:p>
    <w:p>
      <w:pPr>
        <w:shd w:val="clea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9.5其他无法保证电子交易的公平、公正和安全的情况。</w:t>
      </w:r>
    </w:p>
    <w:p>
      <w:pPr>
        <w:widowControl/>
        <w:shd w:val="clear"/>
        <w:snapToGrid w:val="0"/>
        <w:spacing w:line="480" w:lineRule="exact"/>
        <w:ind w:firstLine="488"/>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pPr>
        <w:pStyle w:val="4"/>
        <w:shd w:val="clear"/>
        <w:spacing w:line="415" w:lineRule="auto"/>
        <w:jc w:val="center"/>
        <w:rPr>
          <w:rFonts w:hint="eastAsia" w:ascii="宋体" w:hAnsi="宋体" w:eastAsia="宋体" w:cs="宋体"/>
          <w:color w:val="auto"/>
          <w:highlight w:val="none"/>
        </w:rPr>
      </w:pPr>
      <w:bookmarkStart w:id="35" w:name="_Toc1753"/>
      <w:r>
        <w:rPr>
          <w:rFonts w:hint="eastAsia" w:ascii="宋体" w:hAnsi="宋体" w:eastAsia="宋体" w:cs="宋体"/>
          <w:color w:val="auto"/>
          <w:highlight w:val="none"/>
        </w:rPr>
        <w:t>五、合同签订及履约</w:t>
      </w:r>
      <w:bookmarkEnd w:id="35"/>
    </w:p>
    <w:p>
      <w:pPr>
        <w:shd w:val="clea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1.合同签订</w:t>
      </w:r>
    </w:p>
    <w:p>
      <w:pPr>
        <w:widowControl/>
        <w:shd w:val="clear"/>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hd w:val="clear"/>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1.2采购人和中标人不得向对方提出任何不合理的要求作为签订合同的条件。</w:t>
      </w:r>
    </w:p>
    <w:p>
      <w:pPr>
        <w:widowControl/>
        <w:shd w:val="clear"/>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1.3采购人和中标人需在投标有效期内签订采购合同。投标有效期允许延长，但需征得中标人同意。</w:t>
      </w:r>
    </w:p>
    <w:p>
      <w:pPr>
        <w:shd w:val="clea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2．履约保证金</w:t>
      </w:r>
    </w:p>
    <w:p>
      <w:pPr>
        <w:widowControl/>
        <w:shd w:val="clear"/>
        <w:snapToGrid w:val="0"/>
        <w:spacing w:line="480" w:lineRule="exac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本项目</w:t>
      </w:r>
      <w:r>
        <w:rPr>
          <w:rFonts w:hint="eastAsia" w:ascii="宋体" w:hAnsi="宋体" w:eastAsia="宋体" w:cs="宋体"/>
          <w:color w:val="auto"/>
          <w:kern w:val="0"/>
          <w:sz w:val="24"/>
          <w:highlight w:val="none"/>
        </w:rPr>
        <w:t>不收取履约保证金</w:t>
      </w:r>
    </w:p>
    <w:p>
      <w:pPr>
        <w:shd w:val="clea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3．合同备案</w:t>
      </w:r>
    </w:p>
    <w:p>
      <w:pPr>
        <w:shd w:val="clear"/>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3.1中标人应当自采购合同签订之日起3个工作日内，将采购合同原件报采购代理机构备案存档。</w:t>
      </w:r>
    </w:p>
    <w:p>
      <w:pPr>
        <w:shd w:val="clea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4.履约验收</w:t>
      </w:r>
    </w:p>
    <w:p>
      <w:pPr>
        <w:shd w:val="clea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hd w:val="clea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hd w:val="clea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4.3采购人可以邀请参加本项目的其他投标人或者第三方机构参与验收。参与验收的投标人或者第三方机构的意见作为验收书的参考资料一并存档。</w:t>
      </w:r>
    </w:p>
    <w:p>
      <w:pPr>
        <w:shd w:val="clea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政府向社会公众提供的公共服务项目验收时应当邀请服务对象参与并出具意见，验收结果应当向社会公告。</w:t>
      </w:r>
    </w:p>
    <w:p>
      <w:pPr>
        <w:shd w:val="clea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4.5 采购合同的履行、违约责任和解决争议的方式等适用《中华人民共和国民法典》。</w:t>
      </w:r>
    </w:p>
    <w:p>
      <w:pPr>
        <w:shd w:val="clea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4.6供应商在履约过程中有政府采购法律法规规定的违法违规情形的，采购人应当及时报告本级财政部门。</w:t>
      </w:r>
    </w:p>
    <w:p>
      <w:pPr>
        <w:shd w:val="clea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5.履约检查</w:t>
      </w:r>
    </w:p>
    <w:p>
      <w:pPr>
        <w:shd w:val="clea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pPr>
        <w:widowControl/>
        <w:shd w:val="clear"/>
        <w:snapToGrid w:val="0"/>
        <w:spacing w:line="480" w:lineRule="exact"/>
        <w:rPr>
          <w:rFonts w:hint="eastAsia" w:ascii="宋体" w:hAnsi="宋体" w:eastAsia="宋体" w:cs="宋体"/>
          <w:color w:val="auto"/>
          <w:kern w:val="0"/>
          <w:sz w:val="24"/>
          <w:highlight w:val="none"/>
        </w:rPr>
      </w:pPr>
    </w:p>
    <w:p>
      <w:pPr>
        <w:pStyle w:val="3"/>
        <w:shd w:val="clear"/>
        <w:jc w:val="center"/>
        <w:rPr>
          <w:rFonts w:hint="eastAsia" w:ascii="宋体" w:hAnsi="宋体" w:eastAsia="宋体" w:cs="宋体"/>
          <w:color w:val="auto"/>
          <w:highlight w:val="none"/>
        </w:rPr>
      </w:pPr>
      <w:bookmarkStart w:id="36" w:name="_Toc3442"/>
    </w:p>
    <w:p>
      <w:pPr>
        <w:pStyle w:val="3"/>
        <w:shd w:val="clear"/>
        <w:jc w:val="center"/>
        <w:rPr>
          <w:rFonts w:hint="eastAsia" w:ascii="宋体" w:hAnsi="宋体" w:eastAsia="宋体" w:cs="宋体"/>
          <w:color w:val="auto"/>
          <w:highlight w:val="none"/>
        </w:rPr>
      </w:pPr>
    </w:p>
    <w:p>
      <w:pPr>
        <w:pStyle w:val="3"/>
        <w:shd w:val="clear"/>
        <w:jc w:val="center"/>
        <w:rPr>
          <w:rFonts w:hint="eastAsia" w:ascii="宋体" w:hAnsi="宋体" w:eastAsia="宋体" w:cs="宋体"/>
          <w:color w:val="auto"/>
          <w:highlight w:val="none"/>
        </w:rPr>
      </w:pPr>
    </w:p>
    <w:p>
      <w:pPr>
        <w:pStyle w:val="3"/>
        <w:shd w:val="clear"/>
        <w:jc w:val="center"/>
        <w:rPr>
          <w:rFonts w:hint="eastAsia" w:ascii="宋体" w:hAnsi="宋体" w:eastAsia="宋体" w:cs="宋体"/>
          <w:color w:val="auto"/>
          <w:sz w:val="21"/>
          <w:szCs w:val="21"/>
          <w:highlight w:val="none"/>
        </w:rPr>
      </w:pPr>
    </w:p>
    <w:p>
      <w:pPr>
        <w:shd w:val="clear"/>
        <w:rPr>
          <w:rFonts w:hint="eastAsia"/>
          <w:color w:val="auto"/>
          <w:highlight w:val="none"/>
        </w:rPr>
      </w:pPr>
    </w:p>
    <w:p>
      <w:pPr>
        <w:pStyle w:val="3"/>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第三章  采购需求</w:t>
      </w:r>
      <w:bookmarkEnd w:id="36"/>
    </w:p>
    <w:p>
      <w:pPr>
        <w:pStyle w:val="4"/>
        <w:keepNext/>
        <w:keepLines/>
        <w:pageBreakBefore w:val="0"/>
        <w:widowControl w:val="0"/>
        <w:suppressLineNumbers w:val="0"/>
        <w:shd w:val="clear"/>
        <w:suppressAutoHyphens w:val="0"/>
        <w:spacing w:line="415" w:lineRule="auto"/>
        <w:rPr>
          <w:rFonts w:hint="eastAsia" w:ascii="宋体" w:hAnsi="宋体" w:eastAsia="宋体" w:cs="宋体"/>
          <w:color w:val="auto"/>
          <w:highlight w:val="none"/>
        </w:rPr>
      </w:pPr>
      <w:bookmarkStart w:id="37" w:name="_Toc29517"/>
      <w:r>
        <w:rPr>
          <w:rFonts w:hint="eastAsia" w:ascii="宋体" w:hAnsi="宋体" w:eastAsia="宋体" w:cs="宋体"/>
          <w:color w:val="auto"/>
          <w:highlight w:val="none"/>
        </w:rPr>
        <w:t>一、服务清单及要求</w:t>
      </w:r>
      <w:bookmarkEnd w:id="37"/>
    </w:p>
    <w:p>
      <w:pPr>
        <w:pStyle w:val="4"/>
        <w:shd w:val="clear"/>
        <w:jc w:val="both"/>
        <w:rPr>
          <w:rFonts w:hint="eastAsia" w:ascii="宋体" w:hAnsi="宋体" w:eastAsia="宋体" w:cs="宋体"/>
          <w:color w:val="auto"/>
          <w:highlight w:val="none"/>
        </w:rPr>
      </w:pPr>
      <w:bookmarkStart w:id="38" w:name="_Toc93172440"/>
      <w:r>
        <w:rPr>
          <w:rFonts w:hint="eastAsia" w:ascii="宋体" w:hAnsi="宋体" w:eastAsia="宋体" w:cs="宋体"/>
          <w:color w:val="auto"/>
          <w:highlight w:val="none"/>
        </w:rPr>
        <w:t>（一）服务清单及要求</w:t>
      </w:r>
      <w:bookmarkEnd w:id="38"/>
    </w:p>
    <w:p>
      <w:pPr>
        <w:pStyle w:val="4"/>
        <w:shd w:val="clea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一、总体原则</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积极主动，维护要及时、快速、专业。</w:t>
      </w:r>
    </w:p>
    <w:p>
      <w:pPr>
        <w:pStyle w:val="4"/>
        <w:shd w:val="clea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二、服务总体需求</w:t>
      </w:r>
    </w:p>
    <w:p>
      <w:pPr>
        <w:widowControl/>
        <w:shd w:val="clea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乙方必须有</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人及以上的专门维护队伍，对在绍兴市越城区区域的</w:t>
      </w:r>
      <w:r>
        <w:rPr>
          <w:rFonts w:hint="eastAsia" w:ascii="宋体" w:hAnsi="宋体" w:eastAsia="宋体" w:cs="宋体"/>
          <w:color w:val="auto"/>
          <w:sz w:val="24"/>
          <w:szCs w:val="24"/>
          <w:highlight w:val="none"/>
          <w:lang w:val="en-US" w:eastAsia="zh-CN"/>
        </w:rPr>
        <w:t>159</w:t>
      </w:r>
      <w:r>
        <w:rPr>
          <w:rFonts w:hint="eastAsia" w:ascii="宋体" w:hAnsi="宋体" w:eastAsia="宋体" w:cs="宋体"/>
          <w:color w:val="auto"/>
          <w:sz w:val="24"/>
          <w:szCs w:val="24"/>
          <w:highlight w:val="none"/>
        </w:rPr>
        <w:t>个区域自动</w:t>
      </w:r>
      <w:r>
        <w:rPr>
          <w:rFonts w:hint="eastAsia" w:ascii="宋体" w:hAnsi="宋体" w:eastAsia="宋体" w:cs="宋体"/>
          <w:color w:val="auto"/>
          <w:sz w:val="24"/>
          <w:szCs w:val="24"/>
          <w:highlight w:val="none"/>
          <w:lang w:eastAsia="zh-CN"/>
        </w:rPr>
        <w:t>站（含</w:t>
      </w:r>
      <w:r>
        <w:rPr>
          <w:rFonts w:hint="eastAsia" w:ascii="宋体" w:hAnsi="宋体" w:eastAsia="宋体" w:cs="宋体"/>
          <w:color w:val="auto"/>
          <w:sz w:val="24"/>
          <w:szCs w:val="24"/>
          <w:highlight w:val="none"/>
          <w:lang w:val="en-US" w:eastAsia="zh-CN"/>
        </w:rPr>
        <w:t>76</w:t>
      </w:r>
      <w:r>
        <w:rPr>
          <w:rFonts w:hint="eastAsia" w:ascii="宋体" w:hAnsi="宋体" w:eastAsia="宋体" w:cs="宋体"/>
          <w:color w:val="auto"/>
          <w:sz w:val="24"/>
          <w:szCs w:val="24"/>
          <w:highlight w:val="none"/>
        </w:rPr>
        <w:t>常规多要素区域自动气象站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rPr>
        <w:t>个立杆式便捷气象站</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lang w:val="en-US" w:eastAsia="zh-CN"/>
        </w:rPr>
        <w:t>52特种气象站（含8个雪深站、8个农气站、10个交通站、13个能见度站、7个大气电场、4个负氧离子、2个固态降水站、1个酸雨站）进行日常场地巡检与维护、应急维修和仪器标校、对X波段双偏振相控阵天气雷达巡检维护（包括塔体维护；天线罩疏水涂层维护；雷达站环境巡检；数据信息资源；防雷巡检；</w:t>
      </w:r>
      <w:r>
        <w:rPr>
          <w:rFonts w:hint="eastAsia" w:ascii="宋体" w:hAnsi="宋体" w:eastAsia="宋体" w:cs="宋体"/>
          <w:color w:val="auto"/>
          <w:sz w:val="24"/>
          <w:szCs w:val="24"/>
          <w:highlight w:val="none"/>
        </w:rPr>
        <w:t>雷达标定</w:t>
      </w:r>
      <w:r>
        <w:rPr>
          <w:rFonts w:hint="eastAsia" w:ascii="宋体" w:hAnsi="宋体" w:eastAsia="宋体" w:cs="宋体"/>
          <w:color w:val="auto"/>
          <w:sz w:val="24"/>
          <w:szCs w:val="24"/>
          <w:highlight w:val="none"/>
          <w:lang w:eastAsia="zh-CN"/>
        </w:rPr>
        <w:t>）。</w:t>
      </w:r>
    </w:p>
    <w:p>
      <w:pPr>
        <w:shd w:val="clear"/>
        <w:snapToGri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表一 区域自动气象观测站信息表</w:t>
      </w:r>
    </w:p>
    <w:tbl>
      <w:tblPr>
        <w:tblStyle w:val="28"/>
        <w:tblW w:w="527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616"/>
        <w:gridCol w:w="816"/>
        <w:gridCol w:w="2616"/>
        <w:gridCol w:w="816"/>
        <w:gridCol w:w="4016"/>
        <w:gridCol w:w="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0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区站号</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站名</w:t>
            </w:r>
          </w:p>
        </w:tc>
        <w:tc>
          <w:tcPr>
            <w:tcW w:w="420" w:type="pct"/>
            <w:tcBorders>
              <w:tl2br w:val="nil"/>
              <w:tr2bl w:val="nil"/>
            </w:tcBorders>
            <w:shd w:val="clear" w:color="auto" w:fill="FFFFFF" w:themeFill="background1"/>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类型</w:t>
            </w:r>
          </w:p>
        </w:tc>
        <w:tc>
          <w:tcPr>
            <w:tcW w:w="2026" w:type="pct"/>
            <w:tcBorders>
              <w:tl2br w:val="nil"/>
              <w:tr2bl w:val="nil"/>
            </w:tcBorders>
            <w:shd w:val="clear" w:color="auto" w:fill="FFFFFF" w:themeFill="background1"/>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地址</w:t>
            </w:r>
          </w:p>
        </w:tc>
        <w:tc>
          <w:tcPr>
            <w:tcW w:w="489" w:type="pct"/>
            <w:tcBorders>
              <w:tl2br w:val="nil"/>
              <w:tr2bl w:val="nil"/>
            </w:tcBorders>
            <w:shd w:val="clear" w:color="auto" w:fill="FFFFFF" w:themeFill="background1"/>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要素量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K4005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沥海气象观测站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沥海街道九六丘村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K4006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越州中学气象观测站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斗门街道育贤社区越州中学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K4007</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奥体中心气象观测站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灵芝街道官渎社区奥体中心东侧</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K4008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棒垒球场气象观测站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东浦街道利华村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K4009</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浔阳气象观测站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陶堰街道浔阳村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K4010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龙虎山气象观测站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鉴湖街道芳泉村龙虎山茶场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K4012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金家气象观测站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东浦街道金家村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K4016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储墅气象观测站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马山街道储墅村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K4020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倪家溇气象观测站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富盛镇倪家溇村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K4022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永乐气象观测站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马山街道永乐村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K4023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阳明中学气象观测站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北海街道西湖社区阳明中学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K4024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绍兴文理学院气象观测站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城南街道华侨社区文理学院南山校区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K4025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稽山小学气象观测站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稽山街道禹陵社区稽山小学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K4026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东湖气象观测站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皋埠街道东湖村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K4033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孙端气象观测站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孙端街道孙端村又新小学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K4038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建功中学气象观测站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塔山街道塔山村建功中学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K4039</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镜湖中学气象观测站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灵芝街道凤林社区绍初镜湖校区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K4040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东湖中心小学气象观测站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东湖街道永宁村东湖中心小学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K4041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蕺山小学气象观测站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府山街道书圣故里社区蕺山小学书圣校区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K4042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鲁迅高级中学气象观测站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城南街道育才社区鲁迅高级中学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K4043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马山中心小学气象观测站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马山街道越英社区马山中心小学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K4044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运河园气象观测站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东浦街道鲁西村运河园</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K4045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红墅气象观测站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马山街道红墅村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K4046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袍江高速口气象观测站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斗门街道西堰社区杭甬高速绍兴管理处</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K4048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绿味农业气象观测站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陶堰街道茅洋村绿味现代生态农业科技公司</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K4051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绍兴高级中学气象观测站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迪荡街道世禾社区高级中学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K4052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富盛绍诸高速口气象观测站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富盛镇富盛村绍诸高速富盛管理站</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K4054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市委党校气象观测站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稽山街道敦煌社区市委党校</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K4055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诸葛山庄气象观测站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富盛镇诸葛山村诸葛山庄</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K4081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绍兴实验小学气象观测站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灵芝街道泗汇江社区绍兴市实验小学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K4082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张家岙气象观测站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陶堰街道张家岙村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K4083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皋埠中学气象观测站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皋埠街道银桥社区皋埠中学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K4084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王家葑气象观测站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鉴湖街道王家葑村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K4086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龙洲小学气象观测站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迪荡街道龙洲社区龙洲小学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K4087</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绿岛农业气象观测站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马山街道车家弄村绿岛蔬菜合作社</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K4092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凤凰山气象观测站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灵芝街道山泉村凤凰山顶</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K4097</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敬敷小学气象观测站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斗门街道敬敷社区敬敷小学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K4098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迪荡湖气象观测站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迪荡街道云东社区迪荡湖公园</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K4099</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大禹陵气象观测站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稽山街道禹陵社区大禹陵风景区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K4100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绍兴市气象局气象观测站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灵芝街道洋江社区绍兴市气象局</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K4118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皇甫庄气象观测站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孙端街道皇甫庄村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K4119</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上谢墅气象观测站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鉴湖街道上谢墅村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K4120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骆家葑气象观测站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鉴湖街道骆家葑村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K4121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青马气象观测站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富盛镇青马村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K4122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大皋埠气象观测站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东湖街道大皋埠村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K4162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秦望气象观测站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鉴湖街道马园里村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K4163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文山气象观测站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富盛镇文山村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K4164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金溪气象观测站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富盛镇金溪村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K4165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法印寺气象观测站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城南街道九里村九里蚕种场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K4166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下堡气象观测站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皋埠街道下堡村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K4181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乌石气象观测站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富盛镇乌石村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K4182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九级岭气象观测站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富盛镇凤旺村九级岭水库</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K4183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青龙山气象观测站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富盛镇富盛村青龙山水库</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K4184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孟湾气象观测站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城南街道凤凰村孟湾自然村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K4185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坡塘气象观测站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鉴湖街道坡塘村云松自然村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K4187</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凤旺气象观测站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富盛镇凤旺村乘凤自然村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K4188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义峰气象观测站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富盛镇义峰村方岙自然村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K4189</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吼山气象观测站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皋埠街道吼山村吼山风景区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K4190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海涂二号闸气象观测站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沥海街道海涂二号闸管理所</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K4191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陶堰街道横旦村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K4192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南湖气象观测站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陶堰街道南湖村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K4193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坝内气象观测站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皋埠街道坝内村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K4194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清水闸气象观测站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东浦街道清水闸村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K4195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朱家岙气象观测站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北海街道朱家岙村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K4196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镇塘殿气象观测站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孙端街道镇塘殿村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K4197</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榆林气象观测站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孙端街道榆林村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K4198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三条溇气象观测站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孙端街道三条溇村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K4411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沥东小学气象观测站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沥海街道沥东村沥东小学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K4416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滨海新城气象观测站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沥海街道南汇村锦华生态养殖有限公司</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K4461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沥海小学气象观测站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沥海街道舜海村滨海新城中心小学</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KD100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璜山南气象观测站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斗门街道璜山南村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KD101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百沥气象观测站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沥海街道百沥村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KD102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伟明气象观测站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沥海街道伟明村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KD103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牌口气象观测站</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皋埠街道牌口村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KD104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区皋埠街道东杨湾村</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皋埠街道东杨湾村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KD105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区皋埠街道皇埠村</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气象站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皋埠街道皇埠村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KQ100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红山（便捷）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富盛镇红山村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KQ101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东龙山（便捷）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皋埠街道东龙山村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KQ102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云松（便捷）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鉴湖街道云松村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KQ103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胡家塔（便捷）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鉴湖街道胡家塔村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KQ104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邹家葑（便捷）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城南街道邹家葑村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KQ106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青云（便捷）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灵芝街道青云村灵芝小学城北校区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KQ105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和平（便捷）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城南街道和平村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KQ107</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都泗（便捷）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迪荡街道都泗社区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KQ108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桐梧（便捷）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皋埠街道桐梧村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KQ109</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马山（便捷）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马山街道马山村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KQ110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盐仓溇（便捷）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斗门街道盐仓溇居柯灵小学斗门校区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KQ111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百盛（便捷）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斗门街道百盛社区柯灵小学百盛校区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KQ112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东浦（便捷）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东浦街道东浦村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KQ113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邵家溇（便捷）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陶堰街道邵家溇村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KQ114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费墅（便捷）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陶堰街道费墅村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KQ115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泾口（便捷）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陶堰街道径口村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KQ116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沥东（便捷）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沥海街道沥东村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KQ117</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一景牧场（便捷）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沥海街道南汇村一景牧场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KQ118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前孟葑（便捷）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皋埠街道前孟葑村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KQ119</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后堡（便捷）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东湖街道后堡村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KQ120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高平（便捷）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东湖街道高平村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KQ122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坝头山（便捷）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皋埠街道坝头山村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KQ123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胜利（便捷）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皋埠街道胜利村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KQ124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塘南社区（便捷）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越城区北海街道塘南社区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KQ125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越西社区（便捷）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越城区北海街道越西社区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KQ126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白塔头（便捷）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越城区陶堰街道白塔头村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KQ127</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亭山（便捷）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越城区陶堰街道亭山村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KQ128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方徐（便捷）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越城区斗门街道方徐村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KQ129</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坝头丁（便捷）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越城区斗门街道坝头丁村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KQ130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三江（便捷）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越城区斗门街道三江村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KQ131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斗门（便捷）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越城区斗门街道斗门村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KQ132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嘉会（便捷）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越城区灵芝街道嘉会村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KQ133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潞庄（便捷）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越城区灵芝街道潞庄村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KQ134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富盛（便捷）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越城区富盛镇富盛村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KQ135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前罗（便捷）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越城区灵芝街道前罗村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KQ136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央茶湖（便捷）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越城区灵芝街道央茶湖村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KQ137</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丰乐（便捷）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越城区鉴湖街道丰乐村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KQ138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芳泉（便捷）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越城区鉴湖街道芳泉村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KQ139</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塘湾（便捷）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越城区迪荡街道塘湾村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KQ140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南苑社区（便捷）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越城区城南街道南苑社区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KQ141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乐苑社区（便捷）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越城区迪荡街道乐苑社区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KQ142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花园社区（便捷）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越城区塔山街道花园社区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KQ143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后双盆（便捷）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越城区孙端街道后双盆村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KQ144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樊浦（便捷）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越城区孙端街道樊浦村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KQ145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村头（便捷）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越城区孙端街道村头村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KQ146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红鲍（便捷）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越城区孙端街道红鲍村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KQ147</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许家埭（便捷）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越城区孙端街道许家埭村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KQ148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潭许（便捷）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越城区沥海街道潭许村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KQ149</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渔村（便捷）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越城区沥海街道渔村村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KQ150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城西村（便捷）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越城区沥海街道城西村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75"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KQ151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四联（便捷）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越城区沥海街道四联村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KQ152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联谊（便捷）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越城区沥海街道联谊村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KQ153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新联（便捷）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越城区沥海街道新联村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KQ154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车家弄（便捷）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越城区马山街道车家弄村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KQ155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赏余（便捷）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越城区马山街道赏余村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KQ156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陆家埭（便捷）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越城区马山街道陆家埭村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KQ157</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徐潭（便捷）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越城区马山街道徐潭村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KQ158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宋家溇（便捷）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越城区马山街道宋家溇村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KQ159</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西豆姜（便捷）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越城区马山街道西豆姜村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KQ160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外山（便捷）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越城区城南街道外山村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KQ161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蔡家江（便捷）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越城区城南街道蔡家江村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KQ162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新村（便捷）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越城区城南街道新村村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KQ163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阳明社区（便捷）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越城区城南街道阳明社区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KQ164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上旺（便捷）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越城区富盛镇上旺村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KQ165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董溪（便捷）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越城区富盛镇董溪村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KQ166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夏葑（便捷）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越城区富盛镇夏葑村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KQ167</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后孟葑（便捷）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越城区皋埠街道后孟葑村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KQ168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藕泾（便捷）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越城区皋埠街道藕泾村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KQ169</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新桥（便捷）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越城区皋埠街道新桥村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KQ170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正平（便捷）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越城区皋埠街道正平村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KQ171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樊江（便捷）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越城区皋埠街道樊江村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KQ172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朱尉（便捷）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越城区东湖街道朱尉村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KQ173</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杨滨（便捷）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越城区东湖街道杨滨村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KQ174</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五和（便捷）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越城区东湖街道五和村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KQ175</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仁渎（便捷）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越城区东湖街道仁渎村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KQ176</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浪头湖（便捷）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越城区东湖街道浪头湖村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KQ177</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合心（便捷）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越城区东浦街道合心村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KQ178</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鉴湖村（便捷）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越城区东浦街道鉴湖村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KQ179</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鲁东（便捷）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越城区东浦街道鲁东村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KQ180</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南村（便捷）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越城区东浦街道南村村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KQ181</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王家（便捷）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越城区东浦街道王家村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KQ182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杨川（便捷）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越城区东浦街道杨川村</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KQ182</w:t>
            </w:r>
          </w:p>
        </w:tc>
        <w:tc>
          <w:tcPr>
            <w:tcW w:w="1322"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禹陵（便捷）</w:t>
            </w:r>
          </w:p>
        </w:tc>
        <w:tc>
          <w:tcPr>
            <w:tcW w:w="420"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应用站</w:t>
            </w:r>
          </w:p>
        </w:tc>
        <w:tc>
          <w:tcPr>
            <w:tcW w:w="2026"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越城区稽山街道禹陵社区</w:t>
            </w:r>
          </w:p>
        </w:tc>
        <w:tc>
          <w:tcPr>
            <w:tcW w:w="489" w:type="pct"/>
            <w:tcBorders>
              <w:tl2br w:val="nil"/>
              <w:tr2bl w:val="nil"/>
            </w:tcBorders>
            <w:shd w:val="clear" w:color="auto" w:fill="FFFFFF" w:themeFill="background1"/>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bl>
    <w:p>
      <w:pPr>
        <w:shd w:val="clear"/>
        <w:snapToGrid w:val="0"/>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表二 特种要素气象站信息表</w:t>
      </w:r>
    </w:p>
    <w:tbl>
      <w:tblPr>
        <w:tblStyle w:val="28"/>
        <w:tblW w:w="54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32"/>
        <w:gridCol w:w="3129"/>
        <w:gridCol w:w="846"/>
        <w:gridCol w:w="3684"/>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393" w:type="pct"/>
            <w:tcBorders>
              <w:tl2br w:val="nil"/>
              <w:tr2bl w:val="nil"/>
            </w:tcBorders>
            <w:shd w:val="clear" w:color="auto" w:fill="auto"/>
            <w:noWrap/>
            <w:vAlign w:val="center"/>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区站号</w:t>
            </w:r>
          </w:p>
        </w:tc>
        <w:tc>
          <w:tcPr>
            <w:tcW w:w="1681" w:type="pct"/>
            <w:tcBorders>
              <w:tl2br w:val="nil"/>
              <w:tr2bl w:val="nil"/>
            </w:tcBorders>
            <w:shd w:val="clear" w:color="auto" w:fill="auto"/>
            <w:noWrap/>
            <w:vAlign w:val="center"/>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站名</w:t>
            </w:r>
          </w:p>
        </w:tc>
        <w:tc>
          <w:tcPr>
            <w:tcW w:w="454" w:type="pct"/>
            <w:tcBorders>
              <w:tl2br w:val="nil"/>
              <w:tr2bl w:val="nil"/>
            </w:tcBorders>
            <w:shd w:val="clear" w:color="auto" w:fill="auto"/>
            <w:noWrap/>
            <w:vAlign w:val="center"/>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类型</w:t>
            </w:r>
          </w:p>
        </w:tc>
        <w:tc>
          <w:tcPr>
            <w:tcW w:w="1980" w:type="pct"/>
            <w:tcBorders>
              <w:tl2br w:val="nil"/>
              <w:tr2bl w:val="nil"/>
            </w:tcBorders>
            <w:shd w:val="clear" w:color="auto" w:fill="auto"/>
            <w:noWrap/>
            <w:vAlign w:val="center"/>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地址</w:t>
            </w:r>
          </w:p>
        </w:tc>
        <w:tc>
          <w:tcPr>
            <w:tcW w:w="241" w:type="pct"/>
            <w:tcBorders>
              <w:tl2br w:val="nil"/>
              <w:tr2bl w:val="nil"/>
            </w:tcBorders>
            <w:shd w:val="clear" w:color="auto" w:fill="auto"/>
            <w:noWrap/>
            <w:vAlign w:val="center"/>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要素量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K4056</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鲁迅高级中学应用气象观测站（雪深）</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城南街道育才社区鲁迅高级中学</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K4070</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东湖应用气象观测站（雪深）</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皋埠街道东湖村</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K4149</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绍兴高级中学应用气象观测站（雪深）</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迪荡街道世禾社区高级中学</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K4150</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阳明中学应用气象观测站（雪深）</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北海街道西湖社区阳明中学</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K4151</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越州中学应用气象观测站（雪深）</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斗门街道育贤社区越州中学</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K4152</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市委党校应用气象观测站（雪深）</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稽山街道敦煌社区市委党校</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K4170</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龙虎山应用气象观测站（雪深）</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鉴湖街道芳泉村龙虎山茶场</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K4446</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沥海应用气象观测站（雪深）</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沥海街道九六丘</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K4102</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御茶村应用气象观测站（农业）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富盛镇御茶村茶叶园</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K4103</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皋埠粮食应用气象观测站（农业）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皋埠街道上蒋村</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K4113</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一景乳业应用气象观测站（农业）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沥海街道南汇村一景牧场</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K4114</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斗门蔬菜应用气象观测站（农业）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斗门街道荷湖村</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K4115</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绿岛蔬菜应用气象观测站（农业）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马山街道车家弄村绿岛蔬菜合作社</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K4116</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树童部落应用气象观测站（农业）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孙端街道小库村</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K4117</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现代农业应用气象观测站（农业）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陶堰街道茅洋村现代农业</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K4177</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小库村应用气象观测站（农业）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孙端街道小库村</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KDT01</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半岛花园应用气象观测站（交通）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越城区东浦街道王城寺村山会高架</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KDT02</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梅山江大桥应用气象观测站（交通）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越城区灵芝街道天和社区梅山江大桥高架</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KDT03</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新桥江大桥应用气象观测站（交通）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越城区北海街道信达社区新桥江高架</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KDT00</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鉴湖大桥应用气象观测站（交通）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越城区北海街道树鹅王社区鉴湖大桥高架</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KDT04</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三江立交桥应用气象观测站（交通）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越城区斗门街道东偃居委会中科通信</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KDT05</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南横江应用气象观测站（交通）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越城区斗门街道敬敷社区南横江高架</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KDT06</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越东立交桥应用气象观测站（交通）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越城区东湖街道朱尉村</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KDT07</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东湖立交应用气象观测站（交通）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越城区迪荡街道革新村</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KDT08</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立岱大桥应用气象观测站（交通）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越城区灵芝街道立岱村立岱大桥</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KDT09</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宁桑大桥应用气象观测站（交通）</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越城区马山街道宁桑村宁桑大桥</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k4046</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袍江高速（能见度）</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杭绍高速袍江收费站</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K4052</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富盛高速（能见度）</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绍诸高速富盛收费站</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K4005</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沥海（能见度）</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沥海街道九六丘村</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K4010</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鉴湖（能见度）</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鉴湖街道芳泉村龙虎山茶场</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K4026</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东湖（能见度）</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皋埠街道东湖村</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K4033</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孙端（能见度）</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孙端街道孙端村又新小学</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K4041</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蕺山小学（能见度）</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府山街道书圣故里社区蕺山小学书圣校区</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K4044</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东浦（能见度）</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东浦街道鲁西村运河园</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K4051</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绍兴高级中学（能见度）</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迪荡街道世禾社区高级中学</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K4081</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镜湖小学（能见度）</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灵芝街道泗汇江社区镜湖小学</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K4086</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龙洲小学（能见度）</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迪荡街道龙洲社区龙洲小学</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K4092</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凤凰山（能见度）</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灵芝街道山泉村凤凰山顶</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K4099</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绍兴市气象局（能见度）</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灵芝街道洋江社区绍兴市气象局</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九六丘（大气电场）</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shd w:val="clear"/>
              <w:jc w:val="center"/>
              <w:rPr>
                <w:rFonts w:hint="eastAsia" w:ascii="宋体" w:hAnsi="宋体" w:eastAsia="宋体" w:cs="宋体"/>
                <w:color w:val="auto"/>
                <w:sz w:val="18"/>
                <w:szCs w:val="18"/>
                <w:highlight w:val="none"/>
              </w:rPr>
            </w:pP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K4121</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袍江（大气电场）</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马山街道越英社区马山中心小学</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K4123</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陶堰（大气电场）</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陶堰街道陶堰中学</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K4120</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鉴湖（大气电场）</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DCE6F1"/>
            <w:noWrap/>
            <w:vAlign w:val="bottom"/>
          </w:tcPr>
          <w:p>
            <w:pPr>
              <w:keepNext w:val="0"/>
              <w:keepLines w:val="0"/>
              <w:widowControl/>
              <w:suppressLineNumbers w:val="0"/>
              <w:shd w:val="clear"/>
              <w:jc w:val="center"/>
              <w:textAlignment w:val="bottom"/>
              <w:rPr>
                <w:rFonts w:hint="eastAsia" w:ascii="宋体" w:hAnsi="宋体" w:eastAsia="宋体" w:cs="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鉴湖街道芳泉村龙虎山茶场</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K4118</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东湖（大气电场）</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皋埠街道东湖村</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K4122</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孙端（大气电场）</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孙端街道孙端村又新小学</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K4118</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镜湖中学（大气电场）</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灵芝街道泗汇江社区绍兴市实验小学</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K4157</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大和鱼庄（负氧离子）</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灵芝街道大和鱼庄</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48</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K4158</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镜湖湿地（负氧离子）</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灵芝街道镜湖湿地</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K4172</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市委党校（负氧离子）</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稽山街道市委党校</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K4123</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横旦（负氧离子）</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陶堰街道横旦村</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51</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东湖（固态降水）</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皋埠街道东湖村</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鲁迅高级中学（固态降水）</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城南街道育才社区鲁迅高级中学</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8" w:type="pct"/>
            <w:tcBorders>
              <w:tl2br w:val="nil"/>
              <w:tr2bl w:val="nil"/>
            </w:tcBorders>
            <w:shd w:val="clear" w:color="auto" w:fill="auto"/>
            <w:noWrap/>
            <w:vAlign w:val="center"/>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w:t>
            </w:r>
          </w:p>
        </w:tc>
        <w:tc>
          <w:tcPr>
            <w:tcW w:w="393"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w:t>
            </w:r>
          </w:p>
        </w:tc>
        <w:tc>
          <w:tcPr>
            <w:tcW w:w="168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绍兴市气象局（酸雨）</w:t>
            </w:r>
          </w:p>
        </w:tc>
        <w:tc>
          <w:tcPr>
            <w:tcW w:w="454"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特种站</w:t>
            </w:r>
          </w:p>
        </w:tc>
        <w:tc>
          <w:tcPr>
            <w:tcW w:w="1980"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灵芝街道绍兴市气象局</w:t>
            </w:r>
          </w:p>
        </w:tc>
        <w:tc>
          <w:tcPr>
            <w:tcW w:w="241" w:type="pct"/>
            <w:tcBorders>
              <w:tl2br w:val="nil"/>
              <w:tr2bl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r>
    </w:tbl>
    <w:p>
      <w:pPr>
        <w:pStyle w:val="27"/>
        <w:shd w:val="clear"/>
        <w:rPr>
          <w:rFonts w:hint="eastAsia" w:ascii="宋体" w:hAnsi="宋体" w:eastAsia="宋体" w:cs="宋体"/>
          <w:color w:val="auto"/>
          <w:highlight w:val="none"/>
        </w:rPr>
      </w:pPr>
    </w:p>
    <w:p>
      <w:pPr>
        <w:pStyle w:val="4"/>
        <w:shd w:val="clear"/>
        <w:spacing w:line="360" w:lineRule="auto"/>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三、服务内容</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总体原则：积极主动，维护要及时，抢修要快速，标校要专业。</w:t>
      </w:r>
    </w:p>
    <w:p>
      <w:pPr>
        <w:shd w:val="clear"/>
        <w:snapToGrid w:val="0"/>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一）气象站</w:t>
      </w:r>
      <w:r>
        <w:rPr>
          <w:rFonts w:hint="eastAsia" w:ascii="宋体" w:hAnsi="宋体" w:eastAsia="宋体" w:cs="宋体"/>
          <w:b/>
          <w:bCs w:val="0"/>
          <w:color w:val="auto"/>
          <w:sz w:val="24"/>
          <w:szCs w:val="24"/>
          <w:highlight w:val="none"/>
        </w:rPr>
        <w:t>定期维护</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 基本要求</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（1）定期巡检</w:t>
      </w:r>
      <w:r>
        <w:rPr>
          <w:rFonts w:hint="eastAsia" w:ascii="宋体" w:hAnsi="宋体" w:eastAsia="宋体" w:cs="宋体"/>
          <w:b w:val="0"/>
          <w:bCs/>
          <w:color w:val="auto"/>
          <w:sz w:val="24"/>
          <w:szCs w:val="24"/>
          <w:highlight w:val="none"/>
          <w:lang w:val="en-US" w:eastAsia="zh-CN"/>
        </w:rPr>
        <w:t>159个区域</w:t>
      </w:r>
      <w:r>
        <w:rPr>
          <w:rFonts w:hint="eastAsia" w:ascii="宋体" w:hAnsi="宋体" w:eastAsia="宋体" w:cs="宋体"/>
          <w:b w:val="0"/>
          <w:bCs/>
          <w:color w:val="auto"/>
          <w:sz w:val="24"/>
          <w:szCs w:val="24"/>
          <w:highlight w:val="none"/>
        </w:rPr>
        <w:t>站点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8个农气站点、10个交通站点和4个负氧离子站点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汛期（</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-10月）每月1次、非汛期（1-</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月，11-12月）每两月1次；</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（2）合理安排每个月定期维护的站点，使得每个月的定期维护站点数基本相等；</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（3）定期维护不得造成错误数据上传，也不得造成小时资料缺测。</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（4）须在定期维护前后对自动站观测场全景分别拍照记录，定期维护完成后填写《自动站维护记录表》（见附录2）。相关照片和记录表应及时报送</w:t>
      </w:r>
      <w:r>
        <w:rPr>
          <w:rFonts w:hint="eastAsia" w:ascii="宋体" w:hAnsi="宋体" w:eastAsia="宋体" w:cs="宋体"/>
          <w:b w:val="0"/>
          <w:bCs/>
          <w:color w:val="auto"/>
          <w:sz w:val="24"/>
          <w:szCs w:val="24"/>
          <w:highlight w:val="none"/>
          <w:lang w:val="en-US" w:eastAsia="zh-CN"/>
        </w:rPr>
        <w:t>采购方</w:t>
      </w:r>
      <w:r>
        <w:rPr>
          <w:rFonts w:hint="eastAsia" w:ascii="宋体" w:hAnsi="宋体" w:eastAsia="宋体" w:cs="宋体"/>
          <w:b w:val="0"/>
          <w:bCs/>
          <w:color w:val="auto"/>
          <w:sz w:val="24"/>
          <w:szCs w:val="24"/>
          <w:highlight w:val="none"/>
          <w:lang w:eastAsia="zh-CN"/>
        </w:rPr>
        <w:t>或</w:t>
      </w:r>
      <w:r>
        <w:rPr>
          <w:rFonts w:hint="eastAsia" w:ascii="宋体" w:hAnsi="宋体" w:eastAsia="宋体" w:cs="宋体"/>
          <w:b w:val="0"/>
          <w:bCs/>
          <w:color w:val="auto"/>
          <w:sz w:val="24"/>
          <w:szCs w:val="24"/>
          <w:highlight w:val="none"/>
          <w:lang w:val="en-US" w:eastAsia="zh-CN"/>
        </w:rPr>
        <w:t>采购方</w:t>
      </w:r>
      <w:r>
        <w:rPr>
          <w:rFonts w:hint="eastAsia" w:ascii="宋体" w:hAnsi="宋体" w:eastAsia="宋体" w:cs="宋体"/>
          <w:b w:val="0"/>
          <w:bCs/>
          <w:color w:val="auto"/>
          <w:sz w:val="24"/>
          <w:szCs w:val="24"/>
          <w:highlight w:val="none"/>
          <w:lang w:eastAsia="zh-CN"/>
        </w:rPr>
        <w:t>指定核查部门</w:t>
      </w:r>
      <w:r>
        <w:rPr>
          <w:rFonts w:hint="eastAsia" w:ascii="宋体" w:hAnsi="宋体" w:eastAsia="宋体" w:cs="宋体"/>
          <w:b w:val="0"/>
          <w:bCs/>
          <w:color w:val="auto"/>
          <w:sz w:val="24"/>
          <w:szCs w:val="24"/>
          <w:highlight w:val="none"/>
        </w:rPr>
        <w:t>。</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 主要内容</w:t>
      </w:r>
    </w:p>
    <w:p>
      <w:pPr>
        <w:shd w:val="clear"/>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（1）观测环境勘察</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查看观测场周围环境有无变化、是否有产生影响观测质量的现象；</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查看观测场内自然环境有无变化；查看围栏有无损毁。</w:t>
      </w:r>
    </w:p>
    <w:p>
      <w:pPr>
        <w:shd w:val="clear"/>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（2）外观检查</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查看各类传感器是否正常、固定是否牢固；</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检查风杆及拉线、风向风速传感器横臂、雨量传感器底座、防辐射罩（或百叶箱）、设备箱（即电源箱、采集箱及内部设施等）及固定装置是否牢固、有无锈蚀和损毁；</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检查电源线、信号线、接插件等是否连接牢固；</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检查穿线管有无损毁；</w:t>
      </w:r>
    </w:p>
    <w:p>
      <w:pPr>
        <w:pStyle w:val="2"/>
        <w:shd w:val="clear"/>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sz w:val="24"/>
          <w:szCs w:val="24"/>
          <w:highlight w:val="none"/>
          <w:lang w:val="en-US" w:eastAsia="zh-CN"/>
        </w:rPr>
        <w:t>智慧快速路</w:t>
      </w:r>
      <w:r>
        <w:rPr>
          <w:rFonts w:hint="eastAsia" w:ascii="宋体" w:hAnsi="宋体" w:eastAsia="宋体" w:cs="宋体"/>
          <w:b/>
          <w:bCs w:val="0"/>
          <w:color w:val="auto"/>
          <w:sz w:val="24"/>
          <w:szCs w:val="24"/>
          <w:highlight w:val="none"/>
          <w:lang w:eastAsia="zh-CN"/>
        </w:rPr>
        <w:t>交通气象站是否牢固</w:t>
      </w:r>
      <w:r>
        <w:rPr>
          <w:rFonts w:hint="eastAsia" w:ascii="宋体" w:hAnsi="宋体" w:eastAsia="宋体" w:cs="宋体"/>
          <w:b/>
          <w:bCs w:val="0"/>
          <w:color w:val="auto"/>
          <w:sz w:val="24"/>
          <w:szCs w:val="24"/>
          <w:highlight w:val="none"/>
        </w:rPr>
        <w:t>。</w:t>
      </w:r>
    </w:p>
    <w:p>
      <w:pPr>
        <w:shd w:val="clear"/>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（3）运行情况检查</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现场检查采集数据并比对，检查自动站传感器性能；</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检查信号质量、通讯费用余额、校对通讯时钟；</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检查太阳能电池板、蓄电池供电性能是否下降。</w:t>
      </w:r>
    </w:p>
    <w:p>
      <w:pPr>
        <w:shd w:val="clear"/>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r>
        <w:rPr>
          <w:rFonts w:hint="eastAsia" w:ascii="宋体" w:hAnsi="宋体" w:eastAsia="宋体" w:cs="宋体"/>
          <w:b/>
          <w:bCs w:val="0"/>
          <w:color w:val="auto"/>
          <w:sz w:val="24"/>
          <w:szCs w:val="24"/>
          <w:highlight w:val="none"/>
          <w:lang w:eastAsia="zh-CN"/>
        </w:rPr>
        <w:t>仪器</w:t>
      </w:r>
      <w:r>
        <w:rPr>
          <w:rFonts w:hint="eastAsia" w:ascii="宋体" w:hAnsi="宋体" w:eastAsia="宋体" w:cs="宋体"/>
          <w:b/>
          <w:bCs w:val="0"/>
          <w:color w:val="auto"/>
          <w:sz w:val="24"/>
          <w:szCs w:val="24"/>
          <w:highlight w:val="none"/>
        </w:rPr>
        <w:t>清洁</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清洁传感器、采集器、太阳能电池板、蓄电池、防辐射罩（或百叶箱）；</w:t>
      </w:r>
    </w:p>
    <w:p>
      <w:pPr>
        <w:shd w:val="clear"/>
        <w:snapToGrid w:val="0"/>
        <w:spacing w:line="360" w:lineRule="auto"/>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5</w:t>
      </w:r>
      <w:r>
        <w:rPr>
          <w:rFonts w:hint="eastAsia" w:ascii="宋体" w:hAnsi="宋体" w:eastAsia="宋体" w:cs="宋体"/>
          <w:b w:val="0"/>
          <w:bCs/>
          <w:color w:val="auto"/>
          <w:sz w:val="24"/>
          <w:highlight w:val="none"/>
          <w:lang w:eastAsia="zh-CN"/>
        </w:rPr>
        <w:t>）</w:t>
      </w:r>
      <w:r>
        <w:rPr>
          <w:rFonts w:hint="eastAsia" w:ascii="宋体" w:hAnsi="宋体" w:eastAsia="宋体" w:cs="宋体"/>
          <w:b/>
          <w:bCs w:val="0"/>
          <w:color w:val="auto"/>
          <w:sz w:val="24"/>
          <w:szCs w:val="24"/>
          <w:highlight w:val="none"/>
        </w:rPr>
        <w:t>割草</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rPr>
        <w:t>修剪对场地有影响的植物、修剪场内草坪，自然植被的高度不超过裸地面20厘米</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szCs w:val="24"/>
          <w:highlight w:val="none"/>
          <w:lang w:val="en-US" w:eastAsia="zh-CN"/>
        </w:rPr>
        <w:t>其中东湖气象站（K4026）需按照国家一般站频次维护，即3-9月每月开展1次割草</w:t>
      </w:r>
      <w:r>
        <w:rPr>
          <w:rFonts w:hint="eastAsia" w:ascii="宋体" w:hAnsi="宋体" w:eastAsia="宋体" w:cs="宋体"/>
          <w:b w:val="0"/>
          <w:bCs/>
          <w:color w:val="auto"/>
          <w:sz w:val="24"/>
          <w:szCs w:val="24"/>
          <w:highlight w:val="none"/>
        </w:rPr>
        <w:t>。</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及时拔除非法在观测场地内种植的蔬菜等。</w:t>
      </w:r>
    </w:p>
    <w:p>
      <w:pPr>
        <w:shd w:val="clear"/>
        <w:snapToGrid w:val="0"/>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二）气象站</w:t>
      </w:r>
      <w:r>
        <w:rPr>
          <w:rFonts w:hint="eastAsia" w:ascii="宋体" w:hAnsi="宋体" w:eastAsia="宋体" w:cs="宋体"/>
          <w:b/>
          <w:bCs w:val="0"/>
          <w:color w:val="auto"/>
          <w:sz w:val="24"/>
          <w:szCs w:val="24"/>
          <w:highlight w:val="none"/>
        </w:rPr>
        <w:t>应急抢修</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.1 基本要求</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响应</w:t>
      </w:r>
      <w:r>
        <w:rPr>
          <w:rFonts w:hint="eastAsia" w:ascii="宋体" w:hAnsi="宋体" w:eastAsia="宋体" w:cs="宋体"/>
          <w:b w:val="0"/>
          <w:bCs/>
          <w:color w:val="auto"/>
          <w:sz w:val="24"/>
          <w:szCs w:val="24"/>
          <w:highlight w:val="none"/>
          <w:lang w:eastAsia="zh-CN"/>
        </w:rPr>
        <w:t>迅速。</w:t>
      </w:r>
      <w:r>
        <w:rPr>
          <w:rFonts w:hint="eastAsia" w:ascii="宋体" w:hAnsi="宋体" w:eastAsia="宋体" w:cs="宋体"/>
          <w:b w:val="0"/>
          <w:bCs/>
          <w:color w:val="auto"/>
          <w:sz w:val="24"/>
          <w:szCs w:val="24"/>
          <w:highlight w:val="none"/>
        </w:rPr>
        <w:t>半小时内做出回复响应，说明该故障的处理安排（拟派出人员、预计出发时间等）。</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）抢修及时。</w:t>
      </w:r>
      <w:r>
        <w:rPr>
          <w:rFonts w:hint="eastAsia" w:ascii="宋体" w:hAnsi="宋体" w:eastAsia="宋体" w:cs="宋体"/>
          <w:b w:val="0"/>
          <w:bCs/>
          <w:color w:val="auto"/>
          <w:sz w:val="24"/>
          <w:szCs w:val="24"/>
          <w:highlight w:val="none"/>
        </w:rPr>
        <w:t>收到故障信息后18小时内排除故障</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特殊天气或特殊情况致无法在18小时内排除故障的，经</w:t>
      </w:r>
      <w:r>
        <w:rPr>
          <w:rFonts w:hint="eastAsia" w:ascii="宋体" w:hAnsi="宋体" w:eastAsia="宋体" w:cs="宋体"/>
          <w:b w:val="0"/>
          <w:bCs/>
          <w:color w:val="auto"/>
          <w:sz w:val="24"/>
          <w:szCs w:val="24"/>
          <w:highlight w:val="none"/>
          <w:lang w:val="en-US" w:eastAsia="zh-CN"/>
        </w:rPr>
        <w:t>采购方</w:t>
      </w:r>
      <w:r>
        <w:rPr>
          <w:rFonts w:hint="eastAsia" w:ascii="宋体" w:hAnsi="宋体" w:eastAsia="宋体" w:cs="宋体"/>
          <w:b w:val="0"/>
          <w:bCs/>
          <w:color w:val="auto"/>
          <w:sz w:val="24"/>
          <w:szCs w:val="24"/>
          <w:highlight w:val="none"/>
          <w:lang w:eastAsia="zh-CN"/>
        </w:rPr>
        <w:t>或</w:t>
      </w:r>
      <w:r>
        <w:rPr>
          <w:rFonts w:hint="eastAsia" w:ascii="宋体" w:hAnsi="宋体" w:eastAsia="宋体" w:cs="宋体"/>
          <w:b w:val="0"/>
          <w:bCs/>
          <w:color w:val="auto"/>
          <w:sz w:val="24"/>
          <w:szCs w:val="24"/>
          <w:highlight w:val="none"/>
          <w:lang w:val="en-US" w:eastAsia="zh-CN"/>
        </w:rPr>
        <w:t>采购方</w:t>
      </w:r>
      <w:r>
        <w:rPr>
          <w:rFonts w:hint="eastAsia" w:ascii="宋体" w:hAnsi="宋体" w:eastAsia="宋体" w:cs="宋体"/>
          <w:b w:val="0"/>
          <w:bCs/>
          <w:color w:val="auto"/>
          <w:sz w:val="24"/>
          <w:szCs w:val="24"/>
          <w:highlight w:val="none"/>
          <w:lang w:eastAsia="zh-CN"/>
        </w:rPr>
        <w:t>指定核查部门</w:t>
      </w:r>
      <w:r>
        <w:rPr>
          <w:rFonts w:hint="eastAsia" w:ascii="宋体" w:hAnsi="宋体" w:eastAsia="宋体" w:cs="宋体"/>
          <w:b w:val="0"/>
          <w:bCs/>
          <w:color w:val="auto"/>
          <w:sz w:val="24"/>
          <w:szCs w:val="24"/>
          <w:highlight w:val="none"/>
        </w:rPr>
        <w:t>同意后，可延时排除故障（具体所延时间由</w:t>
      </w:r>
      <w:r>
        <w:rPr>
          <w:rFonts w:hint="eastAsia" w:ascii="宋体" w:hAnsi="宋体" w:eastAsia="宋体" w:cs="宋体"/>
          <w:b w:val="0"/>
          <w:bCs/>
          <w:color w:val="auto"/>
          <w:sz w:val="24"/>
          <w:szCs w:val="24"/>
          <w:highlight w:val="none"/>
          <w:lang w:val="en-US" w:eastAsia="zh-CN"/>
        </w:rPr>
        <w:t>采购方</w:t>
      </w:r>
      <w:r>
        <w:rPr>
          <w:rFonts w:hint="eastAsia" w:ascii="宋体" w:hAnsi="宋体" w:eastAsia="宋体" w:cs="宋体"/>
          <w:b w:val="0"/>
          <w:bCs/>
          <w:color w:val="auto"/>
          <w:sz w:val="24"/>
          <w:szCs w:val="24"/>
          <w:highlight w:val="none"/>
          <w:lang w:eastAsia="zh-CN"/>
        </w:rPr>
        <w:t>或</w:t>
      </w:r>
      <w:r>
        <w:rPr>
          <w:rFonts w:hint="eastAsia" w:ascii="宋体" w:hAnsi="宋体" w:eastAsia="宋体" w:cs="宋体"/>
          <w:b w:val="0"/>
          <w:bCs/>
          <w:color w:val="auto"/>
          <w:sz w:val="24"/>
          <w:szCs w:val="24"/>
          <w:highlight w:val="none"/>
          <w:lang w:val="en-US" w:eastAsia="zh-CN"/>
        </w:rPr>
        <w:t>采购方</w:t>
      </w:r>
      <w:r>
        <w:rPr>
          <w:rFonts w:hint="eastAsia" w:ascii="宋体" w:hAnsi="宋体" w:eastAsia="宋体" w:cs="宋体"/>
          <w:b w:val="0"/>
          <w:bCs/>
          <w:color w:val="auto"/>
          <w:sz w:val="24"/>
          <w:szCs w:val="24"/>
          <w:highlight w:val="none"/>
          <w:lang w:eastAsia="zh-CN"/>
        </w:rPr>
        <w:t>指定核查部门</w:t>
      </w:r>
      <w:r>
        <w:rPr>
          <w:rFonts w:hint="eastAsia" w:ascii="宋体" w:hAnsi="宋体" w:eastAsia="宋体" w:cs="宋体"/>
          <w:b w:val="0"/>
          <w:bCs/>
          <w:color w:val="auto"/>
          <w:sz w:val="24"/>
          <w:szCs w:val="24"/>
          <w:highlight w:val="none"/>
        </w:rPr>
        <w:t>确定）。</w:t>
      </w:r>
    </w:p>
    <w:p>
      <w:pPr>
        <w:numPr>
          <w:ilvl w:val="0"/>
          <w:numId w:val="0"/>
        </w:numPr>
        <w:shd w:val="clear"/>
        <w:snapToGrid w:val="0"/>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2.2 服务内容</w:t>
      </w:r>
    </w:p>
    <w:p>
      <w:pPr>
        <w:shd w:val="clear"/>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设置值班电话，24小时接收故障信息通知。</w:t>
      </w:r>
    </w:p>
    <w:p>
      <w:pPr>
        <w:numPr>
          <w:ilvl w:val="0"/>
          <w:numId w:val="0"/>
        </w:numPr>
        <w:shd w:val="clear"/>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须对应急维护前后的情况进行拍照、记录，故障排除后填写《自动站故障维修记录表》（录3）。相关照片和记录表应及时报送</w:t>
      </w:r>
      <w:r>
        <w:rPr>
          <w:rFonts w:hint="eastAsia" w:ascii="宋体" w:hAnsi="宋体" w:eastAsia="宋体" w:cs="宋体"/>
          <w:b w:val="0"/>
          <w:bCs/>
          <w:color w:val="auto"/>
          <w:sz w:val="24"/>
          <w:szCs w:val="24"/>
          <w:highlight w:val="none"/>
          <w:lang w:val="en-US" w:eastAsia="zh-CN"/>
        </w:rPr>
        <w:t>采购方</w:t>
      </w:r>
      <w:r>
        <w:rPr>
          <w:rFonts w:hint="eastAsia" w:ascii="宋体" w:hAnsi="宋体" w:eastAsia="宋体" w:cs="宋体"/>
          <w:b w:val="0"/>
          <w:bCs/>
          <w:color w:val="auto"/>
          <w:sz w:val="24"/>
          <w:szCs w:val="24"/>
          <w:highlight w:val="none"/>
        </w:rPr>
        <w:t>。</w:t>
      </w:r>
    </w:p>
    <w:p>
      <w:pPr>
        <w:shd w:val="clear"/>
        <w:snapToGrid w:val="0"/>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（三）气象站</w:t>
      </w:r>
      <w:r>
        <w:rPr>
          <w:rFonts w:hint="eastAsia" w:ascii="宋体" w:hAnsi="宋体" w:eastAsia="宋体" w:cs="宋体"/>
          <w:b/>
          <w:bCs w:val="0"/>
          <w:color w:val="auto"/>
          <w:sz w:val="24"/>
          <w:szCs w:val="24"/>
          <w:highlight w:val="none"/>
        </w:rPr>
        <w:t>仪器核查</w:t>
      </w:r>
    </w:p>
    <w:p>
      <w:pPr>
        <w:pStyle w:val="2"/>
        <w:keepNext w:val="0"/>
        <w:keepLines w:val="0"/>
        <w:pageBreakBefore w:val="0"/>
        <w:widowControl w:val="0"/>
        <w:shd w:val="clear"/>
        <w:kinsoku/>
        <w:wordWrap/>
        <w:overflowPunct/>
        <w:topLinePunct w:val="0"/>
        <w:autoSpaceDE/>
        <w:autoSpaceDN/>
        <w:bidi w:val="0"/>
        <w:adjustRightInd/>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3.1 基本要求</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对</w:t>
      </w:r>
      <w:r>
        <w:rPr>
          <w:rFonts w:hint="eastAsia" w:ascii="宋体" w:hAnsi="宋体" w:eastAsia="宋体" w:cs="宋体"/>
          <w:b w:val="0"/>
          <w:bCs/>
          <w:color w:val="auto"/>
          <w:sz w:val="24"/>
          <w:szCs w:val="24"/>
          <w:highlight w:val="none"/>
          <w:lang w:val="en-US" w:eastAsia="zh-CN"/>
        </w:rPr>
        <w:t>159</w:t>
      </w:r>
      <w:r>
        <w:rPr>
          <w:rFonts w:hint="eastAsia" w:ascii="宋体" w:hAnsi="宋体" w:eastAsia="宋体" w:cs="宋体"/>
          <w:b w:val="0"/>
          <w:bCs/>
          <w:color w:val="auto"/>
          <w:sz w:val="24"/>
          <w:szCs w:val="24"/>
          <w:highlight w:val="none"/>
        </w:rPr>
        <w:t>个区域自动气象站和</w:t>
      </w:r>
      <w:r>
        <w:rPr>
          <w:rFonts w:hint="eastAsia" w:ascii="宋体" w:hAnsi="宋体" w:eastAsia="宋体" w:cs="宋体"/>
          <w:b w:val="0"/>
          <w:bCs/>
          <w:color w:val="auto"/>
          <w:sz w:val="24"/>
          <w:szCs w:val="24"/>
          <w:highlight w:val="none"/>
          <w:lang w:val="en-US" w:eastAsia="zh-CN"/>
        </w:rPr>
        <w:t>13个</w:t>
      </w:r>
      <w:r>
        <w:rPr>
          <w:rFonts w:hint="eastAsia" w:ascii="宋体" w:hAnsi="宋体" w:eastAsia="宋体" w:cs="宋体"/>
          <w:b w:val="0"/>
          <w:bCs/>
          <w:color w:val="auto"/>
          <w:sz w:val="24"/>
          <w:szCs w:val="24"/>
          <w:highlight w:val="none"/>
        </w:rPr>
        <w:t>能见度、</w:t>
      </w:r>
      <w:r>
        <w:rPr>
          <w:rFonts w:hint="eastAsia" w:ascii="宋体" w:hAnsi="宋体" w:eastAsia="宋体" w:cs="宋体"/>
          <w:b w:val="0"/>
          <w:bCs/>
          <w:color w:val="auto"/>
          <w:sz w:val="24"/>
          <w:szCs w:val="24"/>
          <w:highlight w:val="none"/>
          <w:lang w:val="en-US" w:eastAsia="zh-CN"/>
        </w:rPr>
        <w:t>10个交通气象站、12个</w:t>
      </w:r>
      <w:r>
        <w:rPr>
          <w:rFonts w:hint="eastAsia" w:ascii="宋体" w:hAnsi="宋体" w:eastAsia="宋体" w:cs="宋体"/>
          <w:b w:val="0"/>
          <w:bCs/>
          <w:color w:val="auto"/>
          <w:sz w:val="24"/>
          <w:szCs w:val="24"/>
          <w:highlight w:val="none"/>
        </w:rPr>
        <w:t>雪深、</w:t>
      </w:r>
      <w:r>
        <w:rPr>
          <w:rFonts w:hint="eastAsia" w:ascii="宋体" w:hAnsi="宋体" w:eastAsia="宋体" w:cs="宋体"/>
          <w:b w:val="0"/>
          <w:bCs/>
          <w:color w:val="auto"/>
          <w:sz w:val="24"/>
          <w:szCs w:val="24"/>
          <w:highlight w:val="none"/>
          <w:lang w:val="en-US" w:eastAsia="zh-CN"/>
        </w:rPr>
        <w:t>2个</w:t>
      </w:r>
      <w:r>
        <w:rPr>
          <w:rFonts w:hint="eastAsia" w:ascii="宋体" w:hAnsi="宋体" w:eastAsia="宋体" w:cs="宋体"/>
          <w:b w:val="0"/>
          <w:bCs/>
          <w:color w:val="auto"/>
          <w:sz w:val="24"/>
          <w:szCs w:val="24"/>
          <w:highlight w:val="none"/>
          <w:lang w:eastAsia="zh-CN"/>
        </w:rPr>
        <w:t>固态降水气象站</w:t>
      </w:r>
      <w:r>
        <w:rPr>
          <w:rFonts w:hint="eastAsia" w:ascii="宋体" w:hAnsi="宋体" w:eastAsia="宋体" w:cs="宋体"/>
          <w:b w:val="0"/>
          <w:bCs/>
          <w:color w:val="auto"/>
          <w:sz w:val="24"/>
          <w:szCs w:val="24"/>
          <w:highlight w:val="none"/>
        </w:rPr>
        <w:t>等特种要素站设备进行核查</w:t>
      </w:r>
      <w:r>
        <w:rPr>
          <w:rFonts w:hint="eastAsia" w:ascii="宋体" w:hAnsi="宋体" w:eastAsia="宋体" w:cs="宋体"/>
          <w:b w:val="0"/>
          <w:bCs/>
          <w:color w:val="auto"/>
          <w:sz w:val="24"/>
          <w:szCs w:val="24"/>
          <w:highlight w:val="none"/>
          <w:lang w:eastAsia="zh-CN"/>
        </w:rPr>
        <w:t>和标校，</w:t>
      </w:r>
      <w:r>
        <w:rPr>
          <w:rFonts w:hint="eastAsia" w:ascii="宋体" w:hAnsi="宋体" w:eastAsia="宋体" w:cs="宋体"/>
          <w:b w:val="0"/>
          <w:bCs/>
          <w:color w:val="auto"/>
          <w:sz w:val="24"/>
          <w:szCs w:val="24"/>
          <w:highlight w:val="none"/>
        </w:rPr>
        <w:t>确保各要素观测数据的准确可靠</w:t>
      </w:r>
      <w:r>
        <w:rPr>
          <w:rFonts w:hint="eastAsia" w:ascii="宋体" w:hAnsi="宋体" w:eastAsia="宋体" w:cs="宋体"/>
          <w:b w:val="0"/>
          <w:bCs/>
          <w:color w:val="auto"/>
          <w:sz w:val="24"/>
          <w:szCs w:val="24"/>
          <w:highlight w:val="none"/>
          <w:lang w:eastAsia="zh-CN"/>
        </w:rPr>
        <w:t>；</w:t>
      </w:r>
    </w:p>
    <w:p>
      <w:pPr>
        <w:pStyle w:val="2"/>
        <w:keepNext w:val="0"/>
        <w:keepLines w:val="0"/>
        <w:pageBreakBefore w:val="0"/>
        <w:widowControl w:val="0"/>
        <w:shd w:val="clear"/>
        <w:kinsoku/>
        <w:wordWrap/>
        <w:overflowPunct/>
        <w:topLinePunct w:val="0"/>
        <w:autoSpaceDE/>
        <w:autoSpaceDN/>
        <w:bidi w:val="0"/>
        <w:adjustRightInd/>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（2）核查标校分为现场标校和实验室标校，现场标校在要求在现场完成设备标校，标校期间不得</w:t>
      </w:r>
      <w:r>
        <w:rPr>
          <w:rFonts w:hint="eastAsia" w:ascii="宋体" w:hAnsi="宋体" w:eastAsia="宋体" w:cs="宋体"/>
          <w:b w:val="0"/>
          <w:bCs/>
          <w:color w:val="auto"/>
          <w:sz w:val="24"/>
          <w:szCs w:val="24"/>
          <w:highlight w:val="none"/>
        </w:rPr>
        <w:t>错误数据上传，也不得造成小时资料缺测</w:t>
      </w:r>
      <w:r>
        <w:rPr>
          <w:rFonts w:hint="eastAsia" w:ascii="宋体" w:hAnsi="宋体" w:eastAsia="宋体" w:cs="宋体"/>
          <w:b w:val="0"/>
          <w:bCs/>
          <w:color w:val="auto"/>
          <w:kern w:val="2"/>
          <w:sz w:val="24"/>
          <w:szCs w:val="24"/>
          <w:highlight w:val="none"/>
          <w:lang w:val="en-US" w:eastAsia="zh-CN" w:bidi="ar-SA"/>
        </w:rPr>
        <w:t>；实验室标校周期不得超过5个工作日。</w:t>
      </w:r>
    </w:p>
    <w:p>
      <w:pPr>
        <w:pStyle w:val="2"/>
        <w:keepNext w:val="0"/>
        <w:keepLines w:val="0"/>
        <w:pageBreakBefore w:val="0"/>
        <w:widowControl w:val="0"/>
        <w:shd w:val="clear"/>
        <w:kinsoku/>
        <w:wordWrap/>
        <w:overflowPunct/>
        <w:topLinePunct w:val="0"/>
        <w:autoSpaceDE/>
        <w:autoSpaceDN/>
        <w:bidi w:val="0"/>
        <w:adjustRightInd/>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eastAsia="宋体" w:cs="宋体"/>
          <w:b w:val="0"/>
          <w:bCs/>
          <w:color w:val="auto"/>
          <w:sz w:val="24"/>
          <w:szCs w:val="24"/>
          <w:highlight w:val="none"/>
          <w:lang w:val="en-US" w:eastAsia="zh-CN"/>
        </w:rPr>
        <w:t>交通气象站</w:t>
      </w:r>
      <w:r>
        <w:rPr>
          <w:rFonts w:hint="eastAsia" w:ascii="宋体" w:hAnsi="宋体" w:eastAsia="宋体" w:cs="宋体"/>
          <w:b w:val="0"/>
          <w:bCs/>
          <w:color w:val="auto"/>
          <w:kern w:val="2"/>
          <w:sz w:val="24"/>
          <w:szCs w:val="24"/>
          <w:highlight w:val="none"/>
          <w:lang w:val="en-US" w:eastAsia="zh-CN" w:bidi="ar-SA"/>
        </w:rPr>
        <w:t>仪器核查时，中标方需提前向采购方提出申请，由采购方向智慧快速路单位进行对接，具体时间由采购方沟通后通知中标方再实施维保工作。</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3.2 主要内容</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区域站核查为降水、温度、风力、风向、湿度、气压等传感器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能见度</w:t>
      </w:r>
      <w:r>
        <w:rPr>
          <w:rFonts w:hint="eastAsia" w:ascii="宋体" w:hAnsi="宋体" w:eastAsia="宋体" w:cs="宋体"/>
          <w:b w:val="0"/>
          <w:bCs/>
          <w:color w:val="auto"/>
          <w:sz w:val="24"/>
          <w:szCs w:val="24"/>
          <w:highlight w:val="none"/>
          <w:lang w:eastAsia="zh-CN"/>
        </w:rPr>
        <w:t>站核对为能见度</w:t>
      </w:r>
      <w:r>
        <w:rPr>
          <w:rFonts w:hint="eastAsia" w:ascii="宋体" w:hAnsi="宋体" w:eastAsia="宋体" w:cs="宋体"/>
          <w:b w:val="0"/>
          <w:bCs/>
          <w:color w:val="auto"/>
          <w:sz w:val="24"/>
          <w:szCs w:val="24"/>
          <w:highlight w:val="none"/>
        </w:rPr>
        <w:t>传感器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交通气象站</w:t>
      </w:r>
      <w:r>
        <w:rPr>
          <w:rFonts w:hint="eastAsia" w:ascii="宋体" w:hAnsi="宋体" w:eastAsia="宋体" w:cs="宋体"/>
          <w:b w:val="0"/>
          <w:bCs/>
          <w:color w:val="auto"/>
          <w:sz w:val="24"/>
          <w:szCs w:val="24"/>
          <w:highlight w:val="none"/>
        </w:rPr>
        <w:t>核查为降水、温度、风力、风向、湿度、气压</w:t>
      </w:r>
      <w:r>
        <w:rPr>
          <w:rFonts w:hint="eastAsia" w:ascii="宋体" w:hAnsi="宋体" w:eastAsia="宋体" w:cs="宋体"/>
          <w:b w:val="0"/>
          <w:bCs/>
          <w:color w:val="auto"/>
          <w:sz w:val="24"/>
          <w:szCs w:val="24"/>
          <w:highlight w:val="none"/>
          <w:lang w:eastAsia="zh-CN"/>
        </w:rPr>
        <w:t>、红外地温、能见度等传感器，</w:t>
      </w:r>
      <w:r>
        <w:rPr>
          <w:rFonts w:hint="eastAsia" w:ascii="宋体" w:hAnsi="宋体" w:eastAsia="宋体" w:cs="宋体"/>
          <w:b w:val="0"/>
          <w:bCs/>
          <w:color w:val="auto"/>
          <w:sz w:val="24"/>
          <w:szCs w:val="24"/>
          <w:highlight w:val="none"/>
        </w:rPr>
        <w:t>雪深</w:t>
      </w:r>
      <w:r>
        <w:rPr>
          <w:rFonts w:hint="eastAsia" w:ascii="宋体" w:hAnsi="宋体" w:eastAsia="宋体" w:cs="宋体"/>
          <w:b w:val="0"/>
          <w:bCs/>
          <w:color w:val="auto"/>
          <w:sz w:val="24"/>
          <w:szCs w:val="24"/>
          <w:highlight w:val="none"/>
          <w:lang w:eastAsia="zh-CN"/>
        </w:rPr>
        <w:t>站</w:t>
      </w:r>
      <w:r>
        <w:rPr>
          <w:rFonts w:hint="eastAsia" w:ascii="宋体" w:hAnsi="宋体" w:eastAsia="宋体" w:cs="宋体"/>
          <w:b w:val="0"/>
          <w:bCs/>
          <w:color w:val="auto"/>
          <w:sz w:val="24"/>
          <w:szCs w:val="24"/>
          <w:highlight w:val="none"/>
        </w:rPr>
        <w:t>核查为</w:t>
      </w:r>
      <w:r>
        <w:rPr>
          <w:rFonts w:hint="eastAsia" w:ascii="宋体" w:hAnsi="宋体" w:eastAsia="宋体" w:cs="宋体"/>
          <w:b w:val="0"/>
          <w:bCs/>
          <w:color w:val="auto"/>
          <w:sz w:val="24"/>
          <w:szCs w:val="24"/>
          <w:highlight w:val="none"/>
          <w:lang w:eastAsia="zh-CN"/>
        </w:rPr>
        <w:t>红外雪深传感器，固态降水站</w:t>
      </w:r>
      <w:r>
        <w:rPr>
          <w:rFonts w:hint="eastAsia" w:ascii="宋体" w:hAnsi="宋体" w:eastAsia="宋体" w:cs="宋体"/>
          <w:b w:val="0"/>
          <w:bCs/>
          <w:color w:val="auto"/>
          <w:sz w:val="24"/>
          <w:szCs w:val="24"/>
          <w:highlight w:val="none"/>
        </w:rPr>
        <w:t>核查为称</w:t>
      </w:r>
      <w:r>
        <w:rPr>
          <w:rFonts w:hint="eastAsia" w:ascii="宋体" w:hAnsi="宋体" w:eastAsia="宋体" w:cs="宋体"/>
          <w:b w:val="0"/>
          <w:bCs/>
          <w:color w:val="auto"/>
          <w:sz w:val="24"/>
          <w:szCs w:val="24"/>
          <w:highlight w:val="none"/>
          <w:lang w:eastAsia="zh-CN"/>
        </w:rPr>
        <w:t>站</w:t>
      </w:r>
      <w:r>
        <w:rPr>
          <w:rFonts w:hint="eastAsia" w:ascii="宋体" w:hAnsi="宋体" w:eastAsia="宋体" w:cs="宋体"/>
          <w:b w:val="0"/>
          <w:bCs/>
          <w:color w:val="auto"/>
          <w:sz w:val="24"/>
          <w:szCs w:val="24"/>
          <w:highlight w:val="none"/>
        </w:rPr>
        <w:t>重雨量</w:t>
      </w:r>
      <w:r>
        <w:rPr>
          <w:rFonts w:hint="eastAsia" w:ascii="宋体" w:hAnsi="宋体" w:eastAsia="宋体" w:cs="宋体"/>
          <w:b w:val="0"/>
          <w:bCs/>
          <w:color w:val="auto"/>
          <w:sz w:val="24"/>
          <w:szCs w:val="24"/>
          <w:highlight w:val="none"/>
          <w:lang w:eastAsia="zh-CN"/>
        </w:rPr>
        <w:t>传感器；</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每个区域自动气象站核查次数每年不少于1次，</w:t>
      </w:r>
      <w:r>
        <w:rPr>
          <w:rFonts w:hint="eastAsia" w:ascii="宋体" w:hAnsi="宋体" w:eastAsia="宋体" w:cs="宋体"/>
          <w:b w:val="0"/>
          <w:bCs/>
          <w:color w:val="auto"/>
          <w:sz w:val="24"/>
          <w:szCs w:val="24"/>
          <w:highlight w:val="none"/>
          <w:lang w:val="en-US" w:eastAsia="zh-CN"/>
        </w:rPr>
        <w:t>交通气象站、</w:t>
      </w:r>
      <w:r>
        <w:rPr>
          <w:rFonts w:hint="eastAsia" w:ascii="宋体" w:hAnsi="宋体" w:eastAsia="宋体" w:cs="宋体"/>
          <w:b w:val="0"/>
          <w:bCs/>
          <w:color w:val="auto"/>
          <w:sz w:val="24"/>
          <w:szCs w:val="24"/>
          <w:highlight w:val="none"/>
        </w:rPr>
        <w:t>能见度</w:t>
      </w:r>
      <w:r>
        <w:rPr>
          <w:rFonts w:hint="eastAsia" w:ascii="宋体" w:hAnsi="宋体" w:eastAsia="宋体" w:cs="宋体"/>
          <w:b w:val="0"/>
          <w:bCs/>
          <w:color w:val="auto"/>
          <w:sz w:val="24"/>
          <w:szCs w:val="24"/>
          <w:highlight w:val="none"/>
          <w:lang w:eastAsia="zh-CN"/>
        </w:rPr>
        <w:t>站</w:t>
      </w:r>
      <w:r>
        <w:rPr>
          <w:rFonts w:hint="eastAsia" w:ascii="宋体" w:hAnsi="宋体" w:eastAsia="宋体" w:cs="宋体"/>
          <w:b w:val="0"/>
          <w:bCs/>
          <w:color w:val="auto"/>
          <w:sz w:val="24"/>
          <w:szCs w:val="24"/>
          <w:highlight w:val="none"/>
        </w:rPr>
        <w:t>核查不少于2次，</w:t>
      </w:r>
      <w:r>
        <w:rPr>
          <w:rFonts w:hint="eastAsia" w:ascii="宋体" w:hAnsi="宋体" w:eastAsia="宋体" w:cs="宋体"/>
          <w:b w:val="0"/>
          <w:bCs/>
          <w:color w:val="auto"/>
          <w:sz w:val="24"/>
          <w:szCs w:val="24"/>
          <w:highlight w:val="none"/>
          <w:lang w:eastAsia="zh-CN"/>
        </w:rPr>
        <w:t>固态降水站</w:t>
      </w:r>
      <w:r>
        <w:rPr>
          <w:rFonts w:hint="eastAsia" w:ascii="宋体" w:hAnsi="宋体" w:eastAsia="宋体" w:cs="宋体"/>
          <w:b w:val="0"/>
          <w:bCs/>
          <w:color w:val="auto"/>
          <w:sz w:val="24"/>
          <w:szCs w:val="24"/>
          <w:highlight w:val="none"/>
        </w:rPr>
        <w:t>每年不少于1次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雪深站按上级气象部门要求，11月底前完成巡检并校准一次</w:t>
      </w:r>
      <w:r>
        <w:rPr>
          <w:rFonts w:hint="eastAsia" w:ascii="宋体" w:hAnsi="宋体" w:eastAsia="宋体" w:cs="宋体"/>
          <w:b w:val="0"/>
          <w:bCs/>
          <w:color w:val="auto"/>
          <w:sz w:val="24"/>
          <w:szCs w:val="24"/>
          <w:highlight w:val="none"/>
          <w:lang w:eastAsia="zh-CN"/>
        </w:rPr>
        <w:t>；为</w:t>
      </w:r>
      <w:r>
        <w:rPr>
          <w:rFonts w:hint="eastAsia" w:ascii="宋体" w:hAnsi="宋体" w:eastAsia="宋体" w:cs="宋体"/>
          <w:b w:val="0"/>
          <w:bCs/>
          <w:color w:val="auto"/>
          <w:sz w:val="24"/>
          <w:szCs w:val="24"/>
          <w:highlight w:val="none"/>
        </w:rPr>
        <w:t>每次填写《核查记录原始表》（附录4-10）</w:t>
      </w:r>
      <w:r>
        <w:rPr>
          <w:rFonts w:hint="eastAsia" w:ascii="宋体" w:hAnsi="宋体" w:eastAsia="宋体" w:cs="宋体"/>
          <w:b w:val="0"/>
          <w:bCs/>
          <w:color w:val="auto"/>
          <w:sz w:val="24"/>
          <w:szCs w:val="24"/>
          <w:highlight w:val="none"/>
          <w:lang w:eastAsia="zh-CN"/>
        </w:rPr>
        <w:t>；</w:t>
      </w:r>
    </w:p>
    <w:p>
      <w:pPr>
        <w:shd w:val="clear"/>
        <w:snapToGrid w:val="0"/>
        <w:spacing w:line="360" w:lineRule="auto"/>
        <w:ind w:firstLine="480" w:firstLineChars="200"/>
        <w:jc w:val="left"/>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szCs w:val="24"/>
          <w:highlight w:val="none"/>
          <w:lang w:val="en-US" w:eastAsia="zh-CN"/>
        </w:rPr>
        <w:t>（3）核查结束，</w:t>
      </w:r>
      <w:r>
        <w:rPr>
          <w:rFonts w:hint="eastAsia" w:ascii="宋体" w:hAnsi="宋体" w:eastAsia="宋体" w:cs="宋体"/>
          <w:b w:val="0"/>
          <w:bCs/>
          <w:color w:val="auto"/>
          <w:sz w:val="24"/>
          <w:highlight w:val="none"/>
        </w:rPr>
        <w:t>对需要</w:t>
      </w:r>
      <w:r>
        <w:rPr>
          <w:rFonts w:hint="eastAsia" w:ascii="宋体" w:hAnsi="宋体" w:eastAsia="宋体" w:cs="宋体"/>
          <w:b w:val="0"/>
          <w:bCs/>
          <w:color w:val="auto"/>
          <w:sz w:val="24"/>
          <w:highlight w:val="none"/>
          <w:lang w:eastAsia="zh-CN"/>
        </w:rPr>
        <w:t>在</w:t>
      </w:r>
      <w:r>
        <w:rPr>
          <w:rFonts w:hint="eastAsia" w:ascii="宋体" w:hAnsi="宋体" w:eastAsia="宋体" w:cs="宋体"/>
          <w:b w:val="0"/>
          <w:bCs/>
          <w:color w:val="auto"/>
          <w:sz w:val="24"/>
          <w:highlight w:val="none"/>
          <w:lang w:val="en-US" w:eastAsia="zh-CN"/>
        </w:rPr>
        <w:t>3个工作日内将更换传感器编码、标校传感器结果报送</w:t>
      </w:r>
      <w:r>
        <w:rPr>
          <w:rFonts w:hint="eastAsia" w:ascii="宋体" w:hAnsi="宋体" w:eastAsia="宋体" w:cs="宋体"/>
          <w:b w:val="0"/>
          <w:bCs/>
          <w:color w:val="auto"/>
          <w:sz w:val="24"/>
          <w:szCs w:val="24"/>
          <w:highlight w:val="none"/>
          <w:lang w:val="en-US" w:eastAsia="zh-CN"/>
        </w:rPr>
        <w:t>采购方</w:t>
      </w:r>
      <w:r>
        <w:rPr>
          <w:rFonts w:hint="eastAsia" w:ascii="宋体" w:hAnsi="宋体" w:eastAsia="宋体" w:cs="宋体"/>
          <w:b w:val="0"/>
          <w:bCs/>
          <w:color w:val="auto"/>
          <w:sz w:val="24"/>
          <w:highlight w:val="none"/>
        </w:rPr>
        <w:t>，并按</w:t>
      </w:r>
      <w:r>
        <w:rPr>
          <w:rFonts w:hint="eastAsia" w:ascii="宋体" w:hAnsi="宋体" w:cs="宋体"/>
          <w:b w:val="0"/>
          <w:bCs/>
          <w:color w:val="auto"/>
          <w:sz w:val="24"/>
          <w:highlight w:val="none"/>
          <w:lang w:val="en-US" w:eastAsia="zh-CN"/>
        </w:rPr>
        <w:t>站点设备二维码报采购方，由采购方</w:t>
      </w:r>
      <w:r>
        <w:rPr>
          <w:rFonts w:hint="eastAsia" w:ascii="宋体" w:hAnsi="宋体" w:eastAsia="宋体" w:cs="宋体"/>
          <w:b w:val="0"/>
          <w:bCs/>
          <w:color w:val="auto"/>
          <w:sz w:val="24"/>
          <w:highlight w:val="none"/>
        </w:rPr>
        <w:t>在“综合气象观测业务运行信息化平台（天元）”（以下简称“天元”系统）做好记录</w:t>
      </w:r>
      <w:r>
        <w:rPr>
          <w:rFonts w:hint="eastAsia" w:ascii="宋体" w:hAnsi="宋体" w:eastAsia="宋体" w:cs="宋体"/>
          <w:b w:val="0"/>
          <w:bCs/>
          <w:color w:val="auto"/>
          <w:sz w:val="24"/>
          <w:highlight w:val="none"/>
          <w:lang w:eastAsia="zh-CN"/>
        </w:rPr>
        <w:t>；</w:t>
      </w:r>
    </w:p>
    <w:p>
      <w:pPr>
        <w:shd w:val="clear"/>
        <w:snapToGrid w:val="0"/>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（四） 气象站探测环境保护与改造</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4.1 基本内容</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）协助</w:t>
      </w:r>
      <w:r>
        <w:rPr>
          <w:rFonts w:hint="eastAsia" w:ascii="宋体" w:hAnsi="宋体" w:eastAsia="宋体" w:cs="宋体"/>
          <w:b w:val="0"/>
          <w:bCs/>
          <w:color w:val="auto"/>
          <w:sz w:val="24"/>
          <w:szCs w:val="24"/>
          <w:highlight w:val="none"/>
          <w:lang w:val="en-US" w:eastAsia="zh-CN"/>
        </w:rPr>
        <w:t>采购方</w:t>
      </w:r>
      <w:r>
        <w:rPr>
          <w:rFonts w:hint="eastAsia" w:ascii="宋体" w:hAnsi="宋体" w:eastAsia="宋体" w:cs="宋体"/>
          <w:b w:val="0"/>
          <w:bCs/>
          <w:color w:val="auto"/>
          <w:sz w:val="24"/>
          <w:szCs w:val="24"/>
          <w:highlight w:val="none"/>
          <w:lang w:eastAsia="zh-CN"/>
        </w:rPr>
        <w:t>做好探测环境保护工作；</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协助采购方</w:t>
      </w:r>
      <w:r>
        <w:rPr>
          <w:rFonts w:hint="eastAsia" w:ascii="宋体" w:hAnsi="宋体" w:eastAsia="宋体" w:cs="宋体"/>
          <w:b w:val="0"/>
          <w:bCs/>
          <w:color w:val="auto"/>
          <w:sz w:val="24"/>
          <w:szCs w:val="24"/>
          <w:highlight w:val="none"/>
          <w:lang w:eastAsia="zh-CN"/>
        </w:rPr>
        <w:t>对已遭受破坏的气象探测环境进行改造。</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4.2 主要内容</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协助</w:t>
      </w:r>
      <w:r>
        <w:rPr>
          <w:rFonts w:hint="eastAsia" w:ascii="宋体" w:hAnsi="宋体" w:eastAsia="宋体" w:cs="宋体"/>
          <w:b w:val="0"/>
          <w:bCs/>
          <w:color w:val="auto"/>
          <w:sz w:val="24"/>
          <w:szCs w:val="24"/>
          <w:highlight w:val="none"/>
          <w:lang w:val="en-US" w:eastAsia="zh-CN"/>
        </w:rPr>
        <w:t>采购方</w:t>
      </w:r>
      <w:r>
        <w:rPr>
          <w:rFonts w:hint="eastAsia" w:ascii="宋体" w:hAnsi="宋体" w:eastAsia="宋体" w:cs="宋体"/>
          <w:b w:val="0"/>
          <w:bCs/>
          <w:color w:val="auto"/>
          <w:sz w:val="24"/>
          <w:szCs w:val="24"/>
          <w:highlight w:val="none"/>
        </w:rPr>
        <w:t>对</w:t>
      </w:r>
      <w:r>
        <w:rPr>
          <w:rFonts w:hint="eastAsia" w:ascii="宋体" w:hAnsi="宋体" w:eastAsia="宋体" w:cs="宋体"/>
          <w:b w:val="0"/>
          <w:bCs/>
          <w:color w:val="auto"/>
          <w:sz w:val="24"/>
          <w:szCs w:val="24"/>
          <w:highlight w:val="none"/>
          <w:lang w:eastAsia="zh-CN"/>
        </w:rPr>
        <w:t>破坏气象</w:t>
      </w:r>
      <w:r>
        <w:rPr>
          <w:rFonts w:hint="eastAsia" w:ascii="宋体" w:hAnsi="宋体" w:eastAsia="宋体" w:cs="宋体"/>
          <w:b w:val="0"/>
          <w:bCs/>
          <w:color w:val="auto"/>
          <w:sz w:val="24"/>
          <w:szCs w:val="24"/>
          <w:highlight w:val="none"/>
        </w:rPr>
        <w:t>探测环境</w:t>
      </w:r>
      <w:r>
        <w:rPr>
          <w:rFonts w:hint="eastAsia" w:ascii="宋体" w:hAnsi="宋体" w:eastAsia="宋体" w:cs="宋体"/>
          <w:b w:val="0"/>
          <w:bCs/>
          <w:color w:val="auto"/>
          <w:sz w:val="24"/>
          <w:szCs w:val="24"/>
          <w:highlight w:val="none"/>
          <w:lang w:eastAsia="zh-CN"/>
        </w:rPr>
        <w:t>的行为进行现场劝导和制止；</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）协助</w:t>
      </w:r>
      <w:r>
        <w:rPr>
          <w:rFonts w:hint="eastAsia" w:ascii="宋体" w:hAnsi="宋体" w:eastAsia="宋体" w:cs="宋体"/>
          <w:b w:val="0"/>
          <w:bCs/>
          <w:color w:val="auto"/>
          <w:sz w:val="24"/>
          <w:szCs w:val="24"/>
          <w:highlight w:val="none"/>
          <w:lang w:val="en-US" w:eastAsia="zh-CN"/>
        </w:rPr>
        <w:t>采购方</w:t>
      </w:r>
      <w:r>
        <w:rPr>
          <w:rFonts w:hint="eastAsia" w:ascii="宋体" w:hAnsi="宋体" w:eastAsia="宋体" w:cs="宋体"/>
          <w:b w:val="0"/>
          <w:bCs/>
          <w:color w:val="auto"/>
          <w:sz w:val="24"/>
          <w:szCs w:val="24"/>
          <w:highlight w:val="none"/>
          <w:lang w:eastAsia="zh-CN"/>
        </w:rPr>
        <w:t>在气象站附近社区、学校等开展气象法制科普宣传；</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）协助</w:t>
      </w:r>
      <w:r>
        <w:rPr>
          <w:rFonts w:hint="eastAsia" w:ascii="宋体" w:hAnsi="宋体" w:eastAsia="宋体" w:cs="宋体"/>
          <w:b w:val="0"/>
          <w:bCs/>
          <w:color w:val="auto"/>
          <w:sz w:val="24"/>
          <w:szCs w:val="24"/>
          <w:highlight w:val="none"/>
          <w:lang w:val="en-US" w:eastAsia="zh-CN"/>
        </w:rPr>
        <w:t>采购方</w:t>
      </w:r>
      <w:r>
        <w:rPr>
          <w:rFonts w:hint="eastAsia" w:ascii="宋体" w:hAnsi="宋体" w:eastAsia="宋体" w:cs="宋体"/>
          <w:b w:val="0"/>
          <w:bCs/>
          <w:color w:val="auto"/>
          <w:sz w:val="24"/>
          <w:szCs w:val="24"/>
          <w:highlight w:val="none"/>
          <w:lang w:eastAsia="zh-CN"/>
        </w:rPr>
        <w:t>在必要区域张贴气象</w:t>
      </w:r>
      <w:r>
        <w:rPr>
          <w:rFonts w:hint="eastAsia" w:ascii="宋体" w:hAnsi="宋体" w:eastAsia="宋体" w:cs="宋体"/>
          <w:b w:val="0"/>
          <w:bCs/>
          <w:color w:val="auto"/>
          <w:sz w:val="24"/>
          <w:szCs w:val="24"/>
          <w:highlight w:val="none"/>
        </w:rPr>
        <w:t>探测环境</w:t>
      </w:r>
      <w:r>
        <w:rPr>
          <w:rFonts w:hint="eastAsia" w:ascii="宋体" w:hAnsi="宋体" w:eastAsia="宋体" w:cs="宋体"/>
          <w:b w:val="0"/>
          <w:bCs/>
          <w:color w:val="auto"/>
          <w:sz w:val="24"/>
          <w:szCs w:val="24"/>
          <w:highlight w:val="none"/>
          <w:lang w:eastAsia="zh-CN"/>
        </w:rPr>
        <w:t>保护警示牌；</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）对影响探测环境的树木进行必要的修剪</w:t>
      </w:r>
      <w:r>
        <w:rPr>
          <w:rFonts w:hint="eastAsia" w:ascii="宋体" w:hAnsi="宋体" w:cs="宋体"/>
          <w:b w:val="0"/>
          <w:bCs/>
          <w:color w:val="auto"/>
          <w:sz w:val="24"/>
          <w:szCs w:val="24"/>
          <w:highlight w:val="none"/>
          <w:lang w:eastAsia="zh-CN"/>
        </w:rPr>
        <w:t>。</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eastAsia="zh-CN"/>
        </w:rPr>
        <w:t>对不具备环境恢复条件的气象站或应</w:t>
      </w:r>
      <w:r>
        <w:rPr>
          <w:rFonts w:hint="eastAsia" w:ascii="宋体" w:hAnsi="宋体" w:eastAsia="宋体" w:cs="宋体"/>
          <w:b w:val="0"/>
          <w:bCs/>
          <w:color w:val="auto"/>
          <w:sz w:val="24"/>
          <w:szCs w:val="24"/>
          <w:highlight w:val="none"/>
        </w:rPr>
        <w:t>观测点所在单位</w:t>
      </w:r>
      <w:r>
        <w:rPr>
          <w:rFonts w:hint="eastAsia" w:ascii="宋体" w:hAnsi="宋体" w:eastAsia="宋体" w:cs="宋体"/>
          <w:b w:val="0"/>
          <w:bCs/>
          <w:color w:val="auto"/>
          <w:sz w:val="24"/>
          <w:szCs w:val="24"/>
          <w:highlight w:val="none"/>
          <w:lang w:eastAsia="zh-CN"/>
        </w:rPr>
        <w:t>提出需搬迁的气象站，</w:t>
      </w:r>
      <w:r>
        <w:rPr>
          <w:rFonts w:hint="eastAsia" w:ascii="宋体" w:hAnsi="宋体" w:eastAsia="宋体" w:cs="宋体"/>
          <w:b w:val="0"/>
          <w:bCs/>
          <w:color w:val="auto"/>
          <w:sz w:val="24"/>
          <w:szCs w:val="24"/>
          <w:highlight w:val="none"/>
        </w:rPr>
        <w:t>进行</w:t>
      </w:r>
      <w:r>
        <w:rPr>
          <w:rFonts w:hint="eastAsia" w:ascii="宋体" w:hAnsi="宋体" w:eastAsia="宋体" w:cs="宋体"/>
          <w:b w:val="0"/>
          <w:bCs/>
          <w:color w:val="auto"/>
          <w:sz w:val="24"/>
          <w:szCs w:val="24"/>
          <w:highlight w:val="none"/>
          <w:lang w:eastAsia="zh-CN"/>
        </w:rPr>
        <w:t>评估后</w:t>
      </w:r>
      <w:r>
        <w:rPr>
          <w:rFonts w:hint="eastAsia" w:ascii="宋体" w:hAnsi="宋体" w:eastAsia="宋体" w:cs="宋体"/>
          <w:b w:val="0"/>
          <w:bCs/>
          <w:color w:val="auto"/>
          <w:sz w:val="24"/>
          <w:szCs w:val="24"/>
          <w:highlight w:val="none"/>
        </w:rPr>
        <w:t>搬迁</w:t>
      </w:r>
      <w:r>
        <w:rPr>
          <w:rFonts w:hint="eastAsia" w:ascii="宋体" w:hAnsi="宋体" w:eastAsia="宋体" w:cs="宋体"/>
          <w:b w:val="0"/>
          <w:bCs/>
          <w:color w:val="auto"/>
          <w:sz w:val="24"/>
          <w:szCs w:val="24"/>
          <w:highlight w:val="none"/>
          <w:lang w:eastAsia="zh-CN"/>
        </w:rPr>
        <w:t>，包含人员和土建，数量不超过</w:t>
      </w:r>
      <w:r>
        <w:rPr>
          <w:rFonts w:hint="eastAsia" w:ascii="宋体" w:hAnsi="宋体" w:eastAsia="宋体" w:cs="宋体"/>
          <w:b w:val="0"/>
          <w:bCs/>
          <w:color w:val="auto"/>
          <w:sz w:val="24"/>
          <w:szCs w:val="24"/>
          <w:highlight w:val="none"/>
          <w:lang w:val="en-US" w:eastAsia="zh-CN"/>
        </w:rPr>
        <w:t>3个站点</w:t>
      </w:r>
      <w:r>
        <w:rPr>
          <w:rFonts w:hint="eastAsia" w:ascii="宋体" w:hAnsi="宋体" w:eastAsia="宋体" w:cs="宋体"/>
          <w:b w:val="0"/>
          <w:bCs/>
          <w:color w:val="auto"/>
          <w:sz w:val="24"/>
          <w:szCs w:val="24"/>
          <w:highlight w:val="none"/>
          <w:lang w:eastAsia="zh-CN"/>
        </w:rPr>
        <w:t>。</w:t>
      </w:r>
    </w:p>
    <w:p>
      <w:pPr>
        <w:shd w:val="clear"/>
        <w:snapToGrid w:val="0"/>
        <w:spacing w:line="360" w:lineRule="auto"/>
        <w:ind w:firstLine="480" w:firstLineChars="200"/>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（6）拆除5个水位站设备并回收。</w:t>
      </w:r>
    </w:p>
    <w:p>
      <w:pPr>
        <w:shd w:val="clear"/>
        <w:snapToGrid w:val="0"/>
        <w:spacing w:line="360" w:lineRule="auto"/>
        <w:ind w:firstLine="482" w:firstLineChars="200"/>
        <w:jc w:val="left"/>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五）气象站维护</w:t>
      </w:r>
      <w:r>
        <w:rPr>
          <w:rFonts w:hint="eastAsia" w:ascii="宋体" w:hAnsi="宋体" w:eastAsia="宋体" w:cs="宋体"/>
          <w:b/>
          <w:bCs w:val="0"/>
          <w:color w:val="auto"/>
          <w:sz w:val="24"/>
          <w:szCs w:val="24"/>
          <w:highlight w:val="none"/>
          <w:lang w:eastAsia="zh-CN"/>
        </w:rPr>
        <w:t>其他服务要求</w:t>
      </w:r>
    </w:p>
    <w:p>
      <w:pPr>
        <w:shd w:val="clear"/>
        <w:snapToGrid w:val="0"/>
        <w:spacing w:line="360" w:lineRule="auto"/>
        <w:ind w:firstLine="720" w:firstLineChars="3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设备备份</w:t>
      </w:r>
      <w:r>
        <w:rPr>
          <w:rFonts w:hint="eastAsia" w:ascii="宋体" w:hAnsi="宋体" w:eastAsia="宋体" w:cs="宋体"/>
          <w:b w:val="0"/>
          <w:bCs/>
          <w:color w:val="auto"/>
          <w:sz w:val="24"/>
          <w:szCs w:val="24"/>
          <w:highlight w:val="none"/>
          <w:lang w:val="en-US" w:eastAsia="zh-CN"/>
        </w:rPr>
        <w:t>要求</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巡检维护、维修、标校过程中所需的备件由乙方负责提供</w:t>
      </w:r>
      <w:r>
        <w:rPr>
          <w:rFonts w:hint="eastAsia" w:ascii="宋体" w:hAnsi="宋体" w:eastAsia="宋体" w:cs="宋体"/>
          <w:b w:val="0"/>
          <w:bCs/>
          <w:color w:val="auto"/>
          <w:sz w:val="24"/>
          <w:szCs w:val="24"/>
          <w:highlight w:val="none"/>
          <w:lang w:eastAsia="zh-CN"/>
        </w:rPr>
        <w:t>；</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为确保故障能得到及时排除，乙方需</w:t>
      </w:r>
      <w:r>
        <w:rPr>
          <w:rFonts w:hint="eastAsia" w:ascii="宋体" w:hAnsi="宋体" w:eastAsia="宋体" w:cs="宋体"/>
          <w:b w:val="0"/>
          <w:bCs/>
          <w:color w:val="auto"/>
          <w:sz w:val="24"/>
          <w:szCs w:val="24"/>
          <w:highlight w:val="none"/>
          <w:lang w:eastAsia="zh-CN"/>
        </w:rPr>
        <w:t>根据甲方在用设备等</w:t>
      </w:r>
      <w:r>
        <w:rPr>
          <w:rFonts w:hint="eastAsia" w:ascii="宋体" w:hAnsi="宋体" w:eastAsia="宋体" w:cs="宋体"/>
          <w:b w:val="0"/>
          <w:bCs/>
          <w:color w:val="auto"/>
          <w:sz w:val="24"/>
          <w:szCs w:val="24"/>
          <w:highlight w:val="none"/>
        </w:rPr>
        <w:t>建立</w:t>
      </w:r>
      <w:r>
        <w:rPr>
          <w:rFonts w:hint="eastAsia" w:ascii="宋体" w:hAnsi="宋体" w:eastAsia="宋体" w:cs="宋体"/>
          <w:b w:val="0"/>
          <w:bCs/>
          <w:color w:val="auto"/>
          <w:sz w:val="24"/>
          <w:szCs w:val="24"/>
          <w:highlight w:val="none"/>
          <w:lang w:eastAsia="zh-CN"/>
        </w:rPr>
        <w:t>匹配型号的传感器、采集器</w:t>
      </w:r>
      <w:r>
        <w:rPr>
          <w:rFonts w:hint="eastAsia" w:ascii="宋体" w:hAnsi="宋体" w:eastAsia="宋体" w:cs="宋体"/>
          <w:b w:val="0"/>
          <w:bCs/>
          <w:color w:val="auto"/>
          <w:sz w:val="24"/>
          <w:szCs w:val="24"/>
          <w:highlight w:val="none"/>
        </w:rPr>
        <w:t>备件库</w:t>
      </w:r>
      <w:r>
        <w:rPr>
          <w:rFonts w:hint="eastAsia" w:ascii="宋体" w:hAnsi="宋体" w:eastAsia="宋体" w:cs="宋体"/>
          <w:b w:val="0"/>
          <w:bCs/>
          <w:color w:val="auto"/>
          <w:sz w:val="24"/>
          <w:szCs w:val="24"/>
          <w:highlight w:val="none"/>
          <w:lang w:eastAsia="zh-CN"/>
        </w:rPr>
        <w:t>并报备甲方</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其中温度、湿度、雨量、风向、风速、气压传感器数量不得少于</w:t>
      </w:r>
      <w:r>
        <w:rPr>
          <w:rFonts w:hint="eastAsia" w:ascii="宋体" w:hAnsi="宋体" w:eastAsia="宋体" w:cs="宋体"/>
          <w:b w:val="0"/>
          <w:bCs/>
          <w:color w:val="auto"/>
          <w:sz w:val="24"/>
          <w:szCs w:val="24"/>
          <w:highlight w:val="none"/>
          <w:lang w:val="en-US" w:eastAsia="zh-CN"/>
        </w:rPr>
        <w:t>6个，能见度</w:t>
      </w:r>
      <w:r>
        <w:rPr>
          <w:rFonts w:hint="eastAsia" w:ascii="宋体" w:hAnsi="宋体" w:eastAsia="宋体" w:cs="宋体"/>
          <w:b w:val="0"/>
          <w:bCs/>
          <w:color w:val="auto"/>
          <w:sz w:val="24"/>
          <w:szCs w:val="24"/>
          <w:highlight w:val="none"/>
          <w:lang w:eastAsia="zh-CN"/>
        </w:rPr>
        <w:t>传感器数量</w:t>
      </w:r>
      <w:r>
        <w:rPr>
          <w:rFonts w:hint="eastAsia" w:ascii="宋体" w:hAnsi="宋体" w:eastAsia="宋体" w:cs="宋体"/>
          <w:b w:val="0"/>
          <w:bCs/>
          <w:color w:val="auto"/>
          <w:sz w:val="24"/>
          <w:szCs w:val="24"/>
          <w:highlight w:val="none"/>
          <w:lang w:val="en-US" w:eastAsia="zh-CN"/>
        </w:rPr>
        <w:t>不得少于2个，红外地温、表层地温、浅层地温</w:t>
      </w:r>
      <w:r>
        <w:rPr>
          <w:rFonts w:hint="eastAsia" w:ascii="宋体" w:hAnsi="宋体" w:eastAsia="宋体" w:cs="宋体"/>
          <w:b w:val="0"/>
          <w:bCs/>
          <w:color w:val="auto"/>
          <w:sz w:val="24"/>
          <w:szCs w:val="24"/>
          <w:highlight w:val="none"/>
          <w:lang w:eastAsia="zh-CN"/>
        </w:rPr>
        <w:t>传感器数量不得少于</w:t>
      </w:r>
      <w:r>
        <w:rPr>
          <w:rFonts w:hint="eastAsia" w:ascii="宋体" w:hAnsi="宋体" w:eastAsia="宋体" w:cs="宋体"/>
          <w:b w:val="0"/>
          <w:bCs/>
          <w:color w:val="auto"/>
          <w:sz w:val="24"/>
          <w:szCs w:val="24"/>
          <w:highlight w:val="none"/>
          <w:lang w:val="en-US" w:eastAsia="zh-CN"/>
        </w:rPr>
        <w:t>1个，BH2、BH6采集器不得少于1个。</w:t>
      </w:r>
    </w:p>
    <w:p>
      <w:pPr>
        <w:shd w:val="clea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lang w:val="en-US" w:eastAsia="zh-CN"/>
        </w:rPr>
        <w:t>（3）抢修、</w:t>
      </w:r>
      <w:r>
        <w:rPr>
          <w:rFonts w:hint="eastAsia" w:ascii="宋体" w:hAnsi="宋体" w:eastAsia="宋体" w:cs="宋体"/>
          <w:b w:val="0"/>
          <w:bCs/>
          <w:color w:val="auto"/>
          <w:sz w:val="24"/>
          <w:szCs w:val="24"/>
          <w:highlight w:val="none"/>
        </w:rPr>
        <w:t>标校过程中</w:t>
      </w:r>
      <w:r>
        <w:rPr>
          <w:rFonts w:hint="eastAsia" w:ascii="宋体" w:hAnsi="宋体" w:eastAsia="宋体" w:cs="宋体"/>
          <w:b w:val="0"/>
          <w:bCs/>
          <w:color w:val="auto"/>
          <w:sz w:val="24"/>
          <w:szCs w:val="24"/>
          <w:highlight w:val="none"/>
          <w:lang w:eastAsia="zh-CN"/>
        </w:rPr>
        <w:t>，需要从备件库提取或返回设备</w:t>
      </w:r>
      <w:r>
        <w:rPr>
          <w:rFonts w:hint="eastAsia" w:ascii="宋体" w:hAnsi="宋体" w:cs="宋体"/>
          <w:b w:val="0"/>
          <w:bCs/>
          <w:color w:val="auto"/>
          <w:sz w:val="24"/>
          <w:szCs w:val="24"/>
          <w:highlight w:val="none"/>
          <w:lang w:val="en-US" w:eastAsia="zh-CN"/>
        </w:rPr>
        <w:t>时</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highlight w:val="none"/>
        </w:rPr>
        <w:t>承接方填写《备件出入库记录表》，</w:t>
      </w:r>
      <w:r>
        <w:rPr>
          <w:rFonts w:hint="eastAsia" w:ascii="宋体" w:hAnsi="宋体" w:eastAsia="宋体" w:cs="宋体"/>
          <w:color w:val="auto"/>
          <w:sz w:val="24"/>
          <w:highlight w:val="none"/>
          <w:lang w:val="en-US" w:eastAsia="zh-CN"/>
        </w:rPr>
        <w:t>并</w:t>
      </w:r>
      <w:r>
        <w:rPr>
          <w:rFonts w:hint="eastAsia" w:ascii="宋体" w:hAnsi="宋体" w:eastAsia="宋体" w:cs="宋体"/>
          <w:color w:val="auto"/>
          <w:sz w:val="24"/>
          <w:highlight w:val="none"/>
        </w:rPr>
        <w:t>每月初将上月记录表发给采购方。</w:t>
      </w:r>
    </w:p>
    <w:p>
      <w:pPr>
        <w:shd w:val="clea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由承接方自行与自动站厂家联系并更换配件。完全报废的配件，填写《备件报废记录表》，每月初将上月记录发给采购方，定期将报废配件移交给采购方。</w:t>
      </w:r>
    </w:p>
    <w:p>
      <w:pPr>
        <w:shd w:val="clear"/>
        <w:snapToGrid w:val="0"/>
        <w:spacing w:line="360" w:lineRule="auto"/>
        <w:ind w:firstLine="720" w:firstLineChars="3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2.专业队伍要求</w:t>
      </w:r>
    </w:p>
    <w:p>
      <w:pPr>
        <w:shd w:val="clea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b w:val="0"/>
          <w:bCs/>
          <w:color w:val="auto"/>
          <w:sz w:val="24"/>
          <w:szCs w:val="24"/>
          <w:highlight w:val="none"/>
          <w:lang w:val="en-US" w:eastAsia="zh-CN"/>
        </w:rPr>
        <w:t>（1）组建有3人及以上的专业维护队伍，其中1名抢修人员需具气象相关专业</w:t>
      </w:r>
      <w:r>
        <w:rPr>
          <w:rFonts w:hint="eastAsia" w:ascii="宋体" w:hAnsi="宋体" w:eastAsia="宋体" w:cs="宋体"/>
          <w:color w:val="auto"/>
          <w:sz w:val="24"/>
          <w:highlight w:val="none"/>
          <w:lang w:val="en-US" w:eastAsia="zh-CN"/>
        </w:rPr>
        <w:t>学历及维保相关软件操作能力，登高维护人员需具备登高作业证。</w:t>
      </w:r>
    </w:p>
    <w:p>
      <w:pPr>
        <w:shd w:val="clear"/>
        <w:spacing w:line="40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highlight w:val="none"/>
          <w:lang w:val="en-US" w:eastAsia="zh-CN"/>
        </w:rPr>
        <w:t>（2）日常工作日，确保</w:t>
      </w:r>
      <w:r>
        <w:rPr>
          <w:rFonts w:hint="eastAsia" w:ascii="宋体" w:hAnsi="宋体" w:eastAsia="宋体" w:cs="宋体"/>
          <w:color w:val="auto"/>
          <w:sz w:val="24"/>
          <w:highlight w:val="none"/>
        </w:rPr>
        <w:t>至少1名维护人员在</w:t>
      </w:r>
      <w:r>
        <w:rPr>
          <w:rFonts w:hint="eastAsia" w:ascii="宋体" w:hAnsi="宋体" w:eastAsia="宋体" w:cs="宋体"/>
          <w:color w:val="auto"/>
          <w:sz w:val="24"/>
          <w:highlight w:val="none"/>
          <w:lang w:val="en-US" w:eastAsia="zh-CN"/>
        </w:rPr>
        <w:t>采购方</w:t>
      </w:r>
      <w:r>
        <w:rPr>
          <w:rFonts w:hint="eastAsia" w:ascii="宋体" w:hAnsi="宋体" w:eastAsia="宋体" w:cs="宋体"/>
          <w:color w:val="auto"/>
          <w:sz w:val="24"/>
          <w:highlight w:val="none"/>
        </w:rPr>
        <w:t>办公点备勤待命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出现应急情况，</w:t>
      </w:r>
      <w:r>
        <w:rPr>
          <w:rFonts w:hint="eastAsia" w:ascii="宋体" w:hAnsi="宋体" w:eastAsia="宋体" w:cs="宋体"/>
          <w:b w:val="0"/>
          <w:bCs/>
          <w:color w:val="auto"/>
          <w:sz w:val="24"/>
          <w:szCs w:val="24"/>
          <w:highlight w:val="none"/>
          <w:lang w:eastAsia="zh-CN"/>
        </w:rPr>
        <w:t>须</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小时内抵达现场抢修</w:t>
      </w:r>
      <w:r>
        <w:rPr>
          <w:rFonts w:hint="eastAsia" w:ascii="宋体" w:hAnsi="宋体" w:eastAsia="宋体" w:cs="宋体"/>
          <w:color w:val="auto"/>
          <w:sz w:val="24"/>
          <w:highlight w:val="none"/>
        </w:rPr>
        <w:t>。遇重大气象服务</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4 \* ROMAN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IV</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级及以上响应时，全部</w:t>
      </w:r>
      <w:r>
        <w:rPr>
          <w:rFonts w:hint="eastAsia" w:ascii="宋体" w:hAnsi="宋体" w:eastAsia="宋体" w:cs="宋体"/>
          <w:b w:val="0"/>
          <w:bCs/>
          <w:color w:val="auto"/>
          <w:sz w:val="24"/>
          <w:szCs w:val="24"/>
          <w:highlight w:val="none"/>
          <w:lang w:val="en-US" w:eastAsia="zh-CN"/>
        </w:rPr>
        <w:t>维护人员在采购方办公点待命，所有人员食宿自理。</w:t>
      </w:r>
    </w:p>
    <w:p>
      <w:pPr>
        <w:shd w:val="clear"/>
        <w:snapToGrid w:val="0"/>
        <w:spacing w:line="360" w:lineRule="auto"/>
        <w:ind w:firstLine="720" w:firstLineChars="3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3.服务方工具及交通要求</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（1）承接方须配备本项目服务所需的常用维护维修设备和常用工具。</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（2）承接方提供维保车辆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登高车辆</w:t>
      </w:r>
      <w:r>
        <w:rPr>
          <w:rFonts w:hint="eastAsia" w:ascii="宋体" w:hAnsi="宋体" w:eastAsia="宋体" w:cs="宋体"/>
          <w:b w:val="0"/>
          <w:bCs/>
          <w:color w:val="auto"/>
          <w:sz w:val="24"/>
          <w:szCs w:val="24"/>
          <w:highlight w:val="none"/>
        </w:rPr>
        <w:t>（包括燃油费、过路费、年检费、维护维修保养等费用），承接方提供驾驶人员，并做好日常清洗维护保养等工作。</w:t>
      </w:r>
    </w:p>
    <w:p>
      <w:pPr>
        <w:shd w:val="clear"/>
        <w:snapToGrid w:val="0"/>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4.服务安全要求</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（1）承接方必须按照国家有关劳动安全的规定为维护人员配备安</w:t>
      </w:r>
      <w:r>
        <w:rPr>
          <w:rFonts w:hint="eastAsia" w:ascii="宋体" w:hAnsi="宋体" w:eastAsia="宋体" w:cs="宋体"/>
          <w:color w:val="auto"/>
          <w:sz w:val="24"/>
          <w:szCs w:val="24"/>
          <w:highlight w:val="none"/>
        </w:rPr>
        <w:t>全作业防护用品，确保安全生产；</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（2）维护过程中的车辆及人身的安全由承接方负责，采购方不承担因意外伤亡而产生的任何法律责任和相关的费用；</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（3）在服务过程中，在采购方单位或观测点所在单位工作时，应遵守有关单位的相关规章制度。</w:t>
      </w:r>
    </w:p>
    <w:p>
      <w:pPr>
        <w:shd w:val="clear"/>
        <w:snapToGrid w:val="0"/>
        <w:spacing w:line="360" w:lineRule="auto"/>
        <w:ind w:firstLine="482" w:firstLineChars="200"/>
        <w:jc w:val="left"/>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六）X波段双偏振相控阵天气雷达</w:t>
      </w:r>
      <w:r>
        <w:rPr>
          <w:rFonts w:hint="eastAsia" w:ascii="宋体" w:hAnsi="宋体" w:eastAsia="宋体" w:cs="宋体"/>
          <w:b/>
          <w:bCs w:val="0"/>
          <w:color w:val="auto"/>
          <w:sz w:val="24"/>
          <w:szCs w:val="24"/>
          <w:highlight w:val="none"/>
          <w:lang w:eastAsia="zh-CN"/>
        </w:rPr>
        <w:t>维护内容</w:t>
      </w:r>
    </w:p>
    <w:p>
      <w:pPr>
        <w:pStyle w:val="2"/>
        <w:keepNext w:val="0"/>
        <w:keepLines w:val="0"/>
        <w:pageBreakBefore w:val="0"/>
        <w:widowControl w:val="0"/>
        <w:shd w:val="clear"/>
        <w:kinsoku/>
        <w:wordWrap/>
        <w:overflowPunct/>
        <w:topLinePunct w:val="0"/>
        <w:autoSpaceDE/>
        <w:autoSpaceDN/>
        <w:bidi w:val="0"/>
        <w:adjustRightInd/>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6.1 基本要求</w:t>
      </w:r>
    </w:p>
    <w:p>
      <w:pPr>
        <w:shd w:val="clear"/>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承接方保证雷达全年稳定运行率不低于90%（由于外市电故障、通信故障、巡检维护导致的雷达停机或数据停传不计入雷达稳定运行率的统计）</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2.</w:t>
      </w:r>
      <w:r>
        <w:rPr>
          <w:rFonts w:hint="eastAsia" w:ascii="宋体" w:hAnsi="宋体" w:eastAsia="宋体" w:cs="宋体"/>
          <w:color w:val="auto"/>
          <w:sz w:val="24"/>
          <w:szCs w:val="24"/>
          <w:highlight w:val="none"/>
        </w:rPr>
        <w:t>X波段双偏振相控阵天气雷达巡检维护每季度1次、每年4次；天线罩疏水涂层维护每年一次更新维护；防雷巡检每年1次；雷达标定每年1次。</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配套设备及机房电、网巡检维护每季度1次、每年4次；塔体维护每季度1次、每年4次；雷达站环境巡检每季度1次、每年4次；数据信息资源每月维护1次、每年12次；</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6.2 主要内容</w:t>
      </w:r>
    </w:p>
    <w:p>
      <w:pPr>
        <w:pStyle w:val="6"/>
        <w:shd w:val="clear"/>
        <w:bidi w:val="0"/>
        <w:ind w:firstLine="56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（1）天气雷达巡检维护</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清理雷达天线面、伺服灰尘，检查天线面的表皮有无变形开裂等现象出现；</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检查雷达侧盖、后盖、顶部、底部通风口是否有堵塞；</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拆雷达主机侧后盖检查各防尘网是否有灰尘凝结，有则清理；</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清理风扇叶上凝结灰尘，先断电检查风扇组件中的4个小风扇阻尼是否一致，通过按压测试确定风扇电机是否有问题，并通电检查风扇风力是否满足需求，如有异常则进行更换；</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通过上位机检查个组件的温度分布情况是否正常，有无温度异常组件，确认风扇是否能有效的将组件的热量散发出去以及散热通道有无堵塞现象；</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检查电箱到雷达的电源线、光纤线、接地线是否牢固，有无虚接，伺服GPS天线有无遮挡等；</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拆开主机两侧盖子检查各组件工作指示灯的显示是否工作正常，有无告警，有告警则根据雷达各组件维修方法进行故障排查；</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检查两侧各组件紧固螺丝伺服松动，用内六角力矩扳手进行合理的紧固；</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检查两侧的钢线、半钢线、屏蔽信号线SMA接头、时钟线是否松动用力矩扳手适当拧紧，线体是否破皮，有无明显拉扯或折痕，有则更换；（此项每年仅可检查一次，且仅可在定标前检查）</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检查两侧的光纤、光模块是否工作正常，通过后台检查是否符合10GE或40GE的工作模式；</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检查个组件的FPGA、DSP、USB等烧写器指示灯是否正常，通过后台查看是否在线；</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整理两侧的信号线与烧写线，将信号线与烧写线用带屏蔽的金属屏蔽材料进行隔离与分开，并用合适的扎带固定；</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根据研发下发的《变更通知确认需求书》升级需要升级组件程序，并记录升级时间与升级后的工作情况；</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拆开主机后盖通过检查通道检查背板各线与接头是否牢固，使用力矩扳手适当拧紧，线体是否破皮，有无明显拉扯或折痕，有则更换；</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通过主机后盖的检查通道检查频综到各组件间的时钟线是否紧固与稳定；</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通过主机后盖的检查通道检查背板或组件相连的光纤、光模块是否工作正常，通过后台检查是否符合10GE或40GE的工作模式；</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采用手持频谱仪检查时钟线的时钟信号是否符合要求；（此项每年仅可检查一次，且仅可在定标前检查）</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检查天线到TR收发单元的各线缆是否紧固；（此项每年仅可检查一次，且仅可在定标前检查）</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在上电状态下通过万用表检查极化开关工作电压是否符合要求；（此项每年仅可检查一次，且仅可在定标前检查）</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检查极化开关固定螺丝是否紧固；</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检查极化开关到TR收发单元的信号线是否正常，有无松动或没插紧的；（此项每年仅可检查一次，且仅可在定标前检查）</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检查主机GPS定位单元，工作是否正常，能否正常的获取到经纬度高度信息；</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整机电源电路检查：包含总开关电源通断测试，电压电流欠过压测试、一二次变压后的欠过压测试、电源检测上报信息检查、远程获取数据情况检查；</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风扇散热系统检查：伺服转台散热系统、主机对流散热系统、侧面辅助散热系统、各组件散热系统。检查各风扇电机的工作情况，风扇及防尘网灰尘的清理；</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检修工作完成后恢复雷达各侧盖、后盖、伺服侧后盖螺丝是否缺失；</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拆伺服侧盖检查伺服内部是否清洁，有无灰尘与蚊虫尸体影响电路使用；</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检查伺服排风扇防尘网有无灰尘，有则清理；</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断电检查伺服转台手动推是否能转动有无卡顿、异响、阻尼是否均匀；</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拆开伺服转盘检查是否生锈，并清理伺服各齿轮间不可用的润滑油，重新加注高温黄油，确保伺服转动工作正常； </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检查伺服电机、驱动器等电机固定螺丝是否稳固，有无缺失；</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检查伺服各电源线路是否紧固，利用万用表测量各线路电路是否正常，各电路板是否工作正常，有无告警；</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通电检查伺服电机是否有异响，转动时有无迟滞状态，是否转速稳定；</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使用伺服调试工具，下发匀速转动，运行20分钟检查是否有累计误差；</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检查伺服GPS是否工作正常，天线有无遮挡，接头处是否紧固；</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雷达检查完成后通电开机，对比检修前后回波的方向图确定雷达性能是否发生变化，如有变化则需进行对比分析，并进行雷达性能的重新标定；</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检修完成后检查雷达工作状态是否发生变化，如有变化则通过远场法补平法进行补平；</w:t>
      </w:r>
    </w:p>
    <w:p>
      <w:pPr>
        <w:pStyle w:val="6"/>
        <w:shd w:val="clea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（2）天线罩疏水涂层维护</w:t>
      </w:r>
    </w:p>
    <w:p>
      <w:pPr>
        <w:keepNext w:val="0"/>
        <w:keepLines w:val="0"/>
        <w:pageBreakBefore w:val="0"/>
        <w:widowControl w:val="0"/>
        <w:numPr>
          <w:ilvl w:val="0"/>
          <w:numId w:val="6"/>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检查天线罩外观有无破损开裂；</w:t>
      </w:r>
    </w:p>
    <w:p>
      <w:pPr>
        <w:keepNext w:val="0"/>
        <w:keepLines w:val="0"/>
        <w:pageBreakBefore w:val="0"/>
        <w:widowControl w:val="0"/>
        <w:numPr>
          <w:ilvl w:val="0"/>
          <w:numId w:val="6"/>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检查天线罩外观有无异物粘贴在上面，有无鸟粪等异物、外观有无厚重灰尘；</w:t>
      </w:r>
    </w:p>
    <w:p>
      <w:pPr>
        <w:keepNext w:val="0"/>
        <w:keepLines w:val="0"/>
        <w:pageBreakBefore w:val="0"/>
        <w:widowControl w:val="0"/>
        <w:numPr>
          <w:ilvl w:val="0"/>
          <w:numId w:val="6"/>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采用泼水方式测试天线罩有无形成水幕，泼水上去后是否有水珠凝结；</w:t>
      </w:r>
    </w:p>
    <w:p>
      <w:pPr>
        <w:keepNext w:val="0"/>
        <w:keepLines w:val="0"/>
        <w:pageBreakBefore w:val="0"/>
        <w:widowControl w:val="0"/>
        <w:numPr>
          <w:ilvl w:val="0"/>
          <w:numId w:val="6"/>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检查天线罩的疏水离去角，判断疏水离去角是否大于105°；</w:t>
      </w:r>
    </w:p>
    <w:p>
      <w:pPr>
        <w:keepNext w:val="0"/>
        <w:keepLines w:val="0"/>
        <w:pageBreakBefore w:val="0"/>
        <w:widowControl w:val="0"/>
        <w:numPr>
          <w:ilvl w:val="0"/>
          <w:numId w:val="6"/>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天线罩疏水涂层每年重新涂刷一次，以确保疏水性能。</w:t>
      </w:r>
    </w:p>
    <w:p>
      <w:pPr>
        <w:pStyle w:val="6"/>
        <w:shd w:val="clear"/>
        <w:bidi w:val="0"/>
        <w:ind w:firstLine="56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（3）防雷巡检</w:t>
      </w:r>
    </w:p>
    <w:p>
      <w:pPr>
        <w:keepNext w:val="0"/>
        <w:keepLines w:val="0"/>
        <w:pageBreakBefore w:val="0"/>
        <w:widowControl w:val="0"/>
        <w:numPr>
          <w:ilvl w:val="0"/>
          <w:numId w:val="7"/>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检查避雷针接地线的对地电阻是否小于4欧姆；</w:t>
      </w:r>
    </w:p>
    <w:p>
      <w:pPr>
        <w:keepNext w:val="0"/>
        <w:keepLines w:val="0"/>
        <w:pageBreakBefore w:val="0"/>
        <w:widowControl w:val="0"/>
        <w:numPr>
          <w:ilvl w:val="0"/>
          <w:numId w:val="7"/>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检查避雷针接地线与铁塔绝缘安装是否有接触点；</w:t>
      </w:r>
    </w:p>
    <w:p>
      <w:pPr>
        <w:keepNext w:val="0"/>
        <w:keepLines w:val="0"/>
        <w:pageBreakBefore w:val="0"/>
        <w:widowControl w:val="0"/>
        <w:numPr>
          <w:ilvl w:val="0"/>
          <w:numId w:val="7"/>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检查避雷针有无异物遮挡；</w:t>
      </w:r>
    </w:p>
    <w:p>
      <w:pPr>
        <w:keepNext w:val="0"/>
        <w:keepLines w:val="0"/>
        <w:pageBreakBefore w:val="0"/>
        <w:widowControl w:val="0"/>
        <w:numPr>
          <w:ilvl w:val="0"/>
          <w:numId w:val="7"/>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检查避雷针与接地线接头处有无生锈断开，烧坏等现象；</w:t>
      </w:r>
    </w:p>
    <w:p>
      <w:pPr>
        <w:keepNext w:val="0"/>
        <w:keepLines w:val="0"/>
        <w:pageBreakBefore w:val="0"/>
        <w:widowControl w:val="0"/>
        <w:numPr>
          <w:ilvl w:val="0"/>
          <w:numId w:val="7"/>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检查避雷针上有无接雷闪点；</w:t>
      </w:r>
    </w:p>
    <w:p>
      <w:pPr>
        <w:keepNext w:val="0"/>
        <w:keepLines w:val="0"/>
        <w:pageBreakBefore w:val="0"/>
        <w:widowControl w:val="0"/>
        <w:numPr>
          <w:ilvl w:val="0"/>
          <w:numId w:val="7"/>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防雷接地线套管是否开裂损坏；</w:t>
      </w:r>
    </w:p>
    <w:p>
      <w:pPr>
        <w:keepNext w:val="0"/>
        <w:keepLines w:val="0"/>
        <w:pageBreakBefore w:val="0"/>
        <w:widowControl w:val="0"/>
        <w:numPr>
          <w:ilvl w:val="0"/>
          <w:numId w:val="7"/>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防雷接地线套管固定是否牢固，有无松动；</w:t>
      </w:r>
    </w:p>
    <w:p>
      <w:pPr>
        <w:keepNext w:val="0"/>
        <w:keepLines w:val="0"/>
        <w:pageBreakBefore w:val="0"/>
        <w:widowControl w:val="0"/>
        <w:numPr>
          <w:ilvl w:val="0"/>
          <w:numId w:val="7"/>
        </w:numPr>
        <w:shd w:val="clear"/>
        <w:kinsoku/>
        <w:wordWrap/>
        <w:overflowPunct/>
        <w:topLinePunct w:val="0"/>
        <w:autoSpaceDE/>
        <w:autoSpaceDN/>
        <w:bidi w:val="0"/>
        <w:adjustRightInd/>
        <w:snapToGrid w:val="0"/>
        <w:spacing w:line="360" w:lineRule="auto"/>
        <w:ind w:left="84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铁塔防雷地阻测量；</w:t>
      </w:r>
    </w:p>
    <w:p>
      <w:pPr>
        <w:pStyle w:val="6"/>
        <w:shd w:val="clear"/>
        <w:bidi w:val="0"/>
        <w:ind w:firstLine="56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（4）雷达标定</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太阳法定标：利用太阳作为目标物检查雷达灵敏度，进行俯仰角和方位角的标定工作；</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金属球标定：用固定目标物回波 ,检查接收机的灵敏度。利用晴天进行一次定标测试观测并记录误差 ,将记录保存起来待日常校验用。</w:t>
      </w:r>
    </w:p>
    <w:p>
      <w:pPr>
        <w:pStyle w:val="6"/>
        <w:shd w:val="clear"/>
        <w:bidi w:val="0"/>
        <w:ind w:firstLine="56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（5）配套设备及机房电、网巡检维护</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机房内部有无临时走线、桥架线缆是否杂乱，如有杂乱则需要梳理与绑扎好线路，避免线路杂乱；</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机房内空调恒温设定是否正常；</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UPS进电电压测量；</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机房内雷达供电电箱进电电压测量；</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机房内雷达供电电箱漏电电流；</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机房内雷达供电电箱漏电次数；</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将雷达关机断电，检查雷达供电电箱各接线是否牢固无松动；</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使用万用表测量机房内雷达供电电箱各线路是否正常，有无串线、漏电现象；</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将雷达关机断电，检查UPS旁路切换以及正常工作状态切换是否正常；</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检查UPS的SNMP网卡上报信息是否正常有无告警通知；</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检查机房内雷达供电电箱中的网关工作时长，系统有无告警；</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检查塔下NVR硬盘是否正常，历史数据是否正常循环删除，硬盘有无告警或设置错误；</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通过萤石云检查摄像头有无变色或失联现象；</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检查塔下照电箱的摄像头工作是否正常，球型摄像头转动控制是否灵活，TF卡数据是否读取正常；</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检查机房内运营商给出的光纤线路是否正常，测试运营商的带宽是否满足站点合同要求；</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记录专线带宽速率，如无外网则传输数据到中心站服务器检查下上传与下载速率。</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检查塔上空调的温度控制功能是否正常；</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检查塔上空调制冷制热效果是否能满足需求，如果功能不行则需联系厂家进行调试；</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检查塔上空调外机有无灰尘，有无被损坏；</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检查塔上空调内机防尘网是否干净，空调吹风有无异味；</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检查塔上空调远程控制器连接是否正常；</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检查塔上各视频监控摄像头工作是否正常，照射角度有无死角，图像是否畸变，图像画面是否清晰，传输是否出现卡顿；</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检查塔上空气交换风机是否工作正常，有无异响、卡顿、抖动等现象；</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检查塔上照明灯是否正常，线路有无保护；</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检查塔上罩外设备的用电设备走线是否穿管走线，管体有无破损。</w:t>
      </w:r>
    </w:p>
    <w:p>
      <w:pPr>
        <w:pStyle w:val="42"/>
        <w:keepNext w:val="0"/>
        <w:keepLines w:val="0"/>
        <w:pageBreakBefore w:val="0"/>
        <w:numPr>
          <w:ilvl w:val="0"/>
          <w:numId w:val="8"/>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检查机房内消防灭火器、防毒面具等设施是否齐全，是否在有效期内，有无开封被使用。</w:t>
      </w:r>
    </w:p>
    <w:p>
      <w:pPr>
        <w:pStyle w:val="6"/>
        <w:shd w:val="clear"/>
        <w:bidi w:val="0"/>
        <w:ind w:firstLine="56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（6）数据信息资源维护</w:t>
      </w:r>
    </w:p>
    <w:p>
      <w:pPr>
        <w:pStyle w:val="42"/>
        <w:keepNext w:val="0"/>
        <w:keepLines w:val="0"/>
        <w:pageBreakBefore w:val="0"/>
        <w:numPr>
          <w:ilvl w:val="0"/>
          <w:numId w:val="9"/>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根据后期运行的情况，对软件进行协同同步扫描的维护检查；</w:t>
      </w:r>
    </w:p>
    <w:p>
      <w:pPr>
        <w:pStyle w:val="42"/>
        <w:keepNext w:val="0"/>
        <w:keepLines w:val="0"/>
        <w:pageBreakBefore w:val="0"/>
        <w:numPr>
          <w:ilvl w:val="0"/>
          <w:numId w:val="9"/>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检查存储服务器的空间剩余量和节点剩余量；检查历史降水数据的转移和备份是否正常；</w:t>
      </w:r>
    </w:p>
    <w:p>
      <w:pPr>
        <w:pStyle w:val="42"/>
        <w:keepNext w:val="0"/>
        <w:keepLines w:val="0"/>
        <w:pageBreakBefore w:val="0"/>
        <w:numPr>
          <w:ilvl w:val="0"/>
          <w:numId w:val="9"/>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查分布式任务运行状态，查看是否均正常运行；服务器资源检查，包括CPU、内存、带宽负载等的使用状况，查看是否有CPU和内存占用过高等异常情况；安装安全软件对服务器的文件进行安全扫描，定期杀毒；系统补丁更新，修复漏洞；</w:t>
      </w:r>
    </w:p>
    <w:p>
      <w:pPr>
        <w:pStyle w:val="42"/>
        <w:keepNext w:val="0"/>
        <w:keepLines w:val="0"/>
        <w:pageBreakBefore w:val="0"/>
        <w:numPr>
          <w:ilvl w:val="0"/>
          <w:numId w:val="9"/>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对软件各功能项进行检查，确认各功能正常运行及显示，并且对系统出现的缺陷和问题进行详细登记，根据缺陷问题的严重程度按照采购人的要求进行修复；</w:t>
      </w:r>
    </w:p>
    <w:p>
      <w:pPr>
        <w:pStyle w:val="42"/>
        <w:keepNext w:val="0"/>
        <w:keepLines w:val="0"/>
        <w:pageBreakBefore w:val="0"/>
        <w:numPr>
          <w:ilvl w:val="0"/>
          <w:numId w:val="9"/>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对软件系统进行升级更新和优化，确认软件正常工作，在升级前先向采购人进行汇报，并提供升级会产生的影响进行明确说明，得到采购人同意后再进行升级更新和优化；</w:t>
      </w:r>
    </w:p>
    <w:p>
      <w:pPr>
        <w:pStyle w:val="42"/>
        <w:keepNext w:val="0"/>
        <w:keepLines w:val="0"/>
        <w:pageBreakBefore w:val="0"/>
        <w:numPr>
          <w:ilvl w:val="0"/>
          <w:numId w:val="9"/>
        </w:numPr>
        <w:shd w:val="clear"/>
        <w:kinsoku/>
        <w:wordWrap/>
        <w:overflowPunct/>
        <w:topLinePunct w:val="0"/>
        <w:autoSpaceDE/>
        <w:autoSpaceDN/>
        <w:bidi w:val="0"/>
        <w:spacing w:line="480" w:lineRule="exact"/>
        <w:ind w:left="845" w:leftChars="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至少每月开展一次数据信息资源维护工作，向采购人提交维护记录。</w:t>
      </w:r>
    </w:p>
    <w:p>
      <w:pPr>
        <w:pStyle w:val="2"/>
        <w:shd w:val="clear"/>
        <w:rPr>
          <w:rFonts w:hint="eastAsia" w:ascii="宋体" w:hAnsi="宋体" w:eastAsia="宋体" w:cs="宋体"/>
          <w:color w:val="auto"/>
          <w:highlight w:val="none"/>
        </w:rPr>
      </w:pPr>
    </w:p>
    <w:p>
      <w:pPr>
        <w:widowControl/>
        <w:shd w:val="clear"/>
        <w:snapToGrid w:val="0"/>
        <w:spacing w:line="480" w:lineRule="exact"/>
        <w:ind w:firstLine="0"/>
        <w:rPr>
          <w:rFonts w:hint="eastAsia" w:ascii="宋体" w:hAnsi="宋体" w:eastAsia="宋体" w:cs="宋体"/>
          <w:b/>
          <w:bCs/>
          <w:color w:val="auto"/>
          <w:kern w:val="0"/>
          <w:sz w:val="24"/>
          <w:highlight w:val="none"/>
          <w:u w:val="single"/>
          <w:lang w:eastAsia="zh-CN"/>
        </w:rPr>
      </w:pPr>
    </w:p>
    <w:p>
      <w:pPr>
        <w:pStyle w:val="4"/>
        <w:keepNext/>
        <w:keepLines/>
        <w:pageBreakBefore w:val="0"/>
        <w:widowControl w:val="0"/>
        <w:suppressLineNumbers w:val="0"/>
        <w:shd w:val="clear"/>
        <w:suppressAutoHyphens w:val="0"/>
        <w:spacing w:line="415" w:lineRule="auto"/>
        <w:rPr>
          <w:rFonts w:hint="eastAsia" w:ascii="宋体" w:hAnsi="宋体" w:eastAsia="宋体" w:cs="宋体"/>
          <w:color w:val="auto"/>
          <w:highlight w:val="none"/>
        </w:rPr>
      </w:pPr>
      <w:bookmarkStart w:id="39" w:name="_Toc29878"/>
      <w:r>
        <w:rPr>
          <w:rFonts w:hint="eastAsia" w:ascii="宋体" w:hAnsi="宋体" w:eastAsia="宋体" w:cs="宋体"/>
          <w:color w:val="auto"/>
          <w:highlight w:val="none"/>
        </w:rPr>
        <w:t>二、商务要求</w:t>
      </w:r>
      <w:bookmarkEnd w:id="39"/>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2.1服务期限</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2.2售后服务</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设置值班电话，实现7×24小时响应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24小时接收故障信息通知，收到故障信息后半小时</w:t>
      </w:r>
      <w:r>
        <w:rPr>
          <w:rFonts w:hint="eastAsia" w:ascii="宋体" w:hAnsi="宋体" w:eastAsia="宋体" w:cs="宋体"/>
          <w:color w:val="auto"/>
          <w:sz w:val="24"/>
          <w:szCs w:val="24"/>
          <w:highlight w:val="none"/>
          <w:lang w:eastAsia="zh-CN"/>
        </w:rPr>
        <w:t>内</w:t>
      </w:r>
      <w:r>
        <w:rPr>
          <w:rFonts w:hint="eastAsia" w:ascii="宋体" w:hAnsi="宋体" w:eastAsia="宋体" w:cs="宋体"/>
          <w:color w:val="auto"/>
          <w:sz w:val="24"/>
          <w:szCs w:val="24"/>
          <w:highlight w:val="none"/>
        </w:rPr>
        <w:t>做出回复响应，</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小时内到达故障现场进行维修，无特殊情况18小时内排除故障。</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2.3付款方式</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合同签订后10日内支付</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%合同款项，</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2023年11月</w:t>
      </w:r>
      <w:r>
        <w:rPr>
          <w:rFonts w:hint="eastAsia" w:ascii="宋体" w:hAnsi="宋体" w:eastAsia="宋体" w:cs="宋体"/>
          <w:color w:val="auto"/>
          <w:sz w:val="24"/>
          <w:szCs w:val="24"/>
          <w:highlight w:val="none"/>
        </w:rPr>
        <w:t>支付剩余</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0%合同款项。</w:t>
      </w:r>
    </w:p>
    <w:p>
      <w:pPr>
        <w:pStyle w:val="4"/>
        <w:shd w:val="clear"/>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2.4考核</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.1考核方式</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（1）服务质量由招标单位负责考核；</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（2）按月进行定量考核，并按季度、年进行汇总。</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考核项目、内容和标准</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每月考核分满分为100分，考核项目与满分分值见表1。</w:t>
      </w:r>
    </w:p>
    <w:p>
      <w:pPr>
        <w:shd w:val="clear"/>
        <w:snapToGri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表1  考核项目与分值</w:t>
      </w:r>
    </w:p>
    <w:tbl>
      <w:tblPr>
        <w:tblStyle w:val="28"/>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7"/>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7" w:type="dxa"/>
            <w:shd w:val="clear" w:color="auto" w:fill="auto"/>
            <w:vAlign w:val="center"/>
          </w:tcPr>
          <w:p>
            <w:pPr>
              <w:shd w:val="clear"/>
              <w:snapToGrid w:val="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 核 项 目</w:t>
            </w:r>
          </w:p>
        </w:tc>
        <w:tc>
          <w:tcPr>
            <w:tcW w:w="3145" w:type="dxa"/>
            <w:shd w:val="clear" w:color="auto" w:fill="auto"/>
            <w:vAlign w:val="center"/>
          </w:tcPr>
          <w:p>
            <w:pPr>
              <w:shd w:val="clear"/>
              <w:snapToGrid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7" w:type="dxa"/>
            <w:shd w:val="clear" w:color="auto" w:fill="auto"/>
            <w:vAlign w:val="center"/>
          </w:tcPr>
          <w:p>
            <w:pPr>
              <w:shd w:val="clear"/>
              <w:snapToGrid w:val="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定期维护</w:t>
            </w:r>
          </w:p>
        </w:tc>
        <w:tc>
          <w:tcPr>
            <w:tcW w:w="3145" w:type="dxa"/>
            <w:shd w:val="clear" w:color="auto" w:fill="auto"/>
            <w:vAlign w:val="center"/>
          </w:tcPr>
          <w:p>
            <w:pPr>
              <w:shd w:val="clear"/>
              <w:snapToGrid w:val="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7" w:type="dxa"/>
            <w:shd w:val="clear" w:color="auto" w:fill="auto"/>
            <w:vAlign w:val="center"/>
          </w:tcPr>
          <w:p>
            <w:pPr>
              <w:shd w:val="clear"/>
              <w:snapToGrid w:val="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仪器核查</w:t>
            </w:r>
          </w:p>
        </w:tc>
        <w:tc>
          <w:tcPr>
            <w:tcW w:w="3145" w:type="dxa"/>
            <w:shd w:val="clear" w:color="auto" w:fill="auto"/>
            <w:vAlign w:val="center"/>
          </w:tcPr>
          <w:p>
            <w:pPr>
              <w:shd w:val="clear"/>
              <w:snapToGrid w:val="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7" w:type="dxa"/>
            <w:shd w:val="clear" w:color="auto" w:fill="auto"/>
            <w:vAlign w:val="center"/>
          </w:tcPr>
          <w:p>
            <w:pPr>
              <w:shd w:val="clear"/>
              <w:snapToGrid w:val="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应急维护及时率</w:t>
            </w:r>
          </w:p>
        </w:tc>
        <w:tc>
          <w:tcPr>
            <w:tcW w:w="3145" w:type="dxa"/>
            <w:shd w:val="clear" w:color="auto" w:fill="auto"/>
            <w:vAlign w:val="center"/>
          </w:tcPr>
          <w:p>
            <w:pPr>
              <w:shd w:val="clear"/>
              <w:snapToGrid w:val="0"/>
              <w:spacing w:line="56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7" w:type="dxa"/>
            <w:shd w:val="clear" w:color="auto" w:fill="auto"/>
            <w:vAlign w:val="center"/>
          </w:tcPr>
          <w:p>
            <w:pPr>
              <w:shd w:val="clear"/>
              <w:snapToGrid w:val="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信息、材料上报</w:t>
            </w:r>
          </w:p>
        </w:tc>
        <w:tc>
          <w:tcPr>
            <w:tcW w:w="3145" w:type="dxa"/>
            <w:shd w:val="clear" w:color="auto" w:fill="auto"/>
            <w:vAlign w:val="center"/>
          </w:tcPr>
          <w:p>
            <w:pPr>
              <w:shd w:val="clear"/>
              <w:snapToGrid w:val="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7" w:type="dxa"/>
            <w:shd w:val="clear" w:color="auto" w:fill="auto"/>
            <w:vAlign w:val="center"/>
          </w:tcPr>
          <w:p>
            <w:pPr>
              <w:shd w:val="clear"/>
              <w:snapToGrid w:val="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探测环境保护</w:t>
            </w:r>
          </w:p>
        </w:tc>
        <w:tc>
          <w:tcPr>
            <w:tcW w:w="3145" w:type="dxa"/>
            <w:shd w:val="clear" w:color="auto" w:fill="auto"/>
            <w:vAlign w:val="center"/>
          </w:tcPr>
          <w:p>
            <w:pPr>
              <w:shd w:val="clear"/>
              <w:snapToGrid w:val="0"/>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7" w:type="dxa"/>
            <w:shd w:val="clear" w:color="auto" w:fill="auto"/>
            <w:vAlign w:val="center"/>
          </w:tcPr>
          <w:p>
            <w:pPr>
              <w:shd w:val="clear"/>
              <w:snapToGrid w:val="0"/>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X波段双偏振相控阵天气雷达</w:t>
            </w:r>
            <w:r>
              <w:rPr>
                <w:rFonts w:hint="eastAsia" w:ascii="宋体" w:hAnsi="宋体" w:eastAsia="宋体" w:cs="宋体"/>
                <w:color w:val="auto"/>
                <w:sz w:val="24"/>
                <w:szCs w:val="24"/>
                <w:highlight w:val="none"/>
                <w:lang w:eastAsia="zh-CN"/>
              </w:rPr>
              <w:t>维护</w:t>
            </w:r>
          </w:p>
        </w:tc>
        <w:tc>
          <w:tcPr>
            <w:tcW w:w="3145" w:type="dxa"/>
            <w:shd w:val="clear" w:color="auto" w:fill="auto"/>
            <w:vAlign w:val="center"/>
          </w:tcPr>
          <w:p>
            <w:pPr>
              <w:shd w:val="clear"/>
              <w:snapToGrid w:val="0"/>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20分</w:t>
            </w:r>
          </w:p>
        </w:tc>
      </w:tr>
    </w:tbl>
    <w:p>
      <w:pPr>
        <w:keepNext w:val="0"/>
        <w:keepLines w:val="0"/>
        <w:pageBreakBefore w:val="0"/>
        <w:widowControl w:val="0"/>
        <w:shd w:val="clear"/>
        <w:kinsoku/>
        <w:wordWrap/>
        <w:overflowPunct/>
        <w:topLinePunct w:val="0"/>
        <w:autoSpaceDE/>
        <w:autoSpaceDN/>
        <w:bidi w:val="0"/>
        <w:adjustRightInd/>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.2.1 定期维护考核内容和标准</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对是否进行定期维护和定期维护后有否影响记录进行考核，每月满分为30分：</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（1）每少维护1个站扣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（2）因定期维护造成小时资料缺测的，每站每缺测1个时次扣0.4分（每站每月最多扣4分）；</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（3）因定期维护造成小时资料中有错误数据上传的，每站每错1个时次扣0.1分（每站每月最多扣4分）。</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.2.2 仪器核查考核内容和标准</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对是否进行仪器核查</w:t>
      </w:r>
      <w:r>
        <w:rPr>
          <w:rFonts w:hint="eastAsia" w:ascii="宋体" w:hAnsi="宋体" w:eastAsia="宋体" w:cs="宋体"/>
          <w:color w:val="auto"/>
          <w:sz w:val="24"/>
          <w:szCs w:val="24"/>
          <w:highlight w:val="none"/>
          <w:lang w:val="en-US" w:eastAsia="zh-CN"/>
        </w:rPr>
        <w:t>和标校</w:t>
      </w:r>
      <w:r>
        <w:rPr>
          <w:rFonts w:hint="eastAsia" w:ascii="宋体" w:hAnsi="宋体" w:eastAsia="宋体" w:cs="宋体"/>
          <w:color w:val="auto"/>
          <w:sz w:val="24"/>
          <w:szCs w:val="24"/>
          <w:highlight w:val="none"/>
        </w:rPr>
        <w:t>进行考核，每月满分为30分：</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（1）每少核查1个站扣1分；</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（2）因定核查检造成小时资料缺测的，每站每缺测1个时次扣0.4分（每站每月最多扣1分）；</w:t>
      </w:r>
    </w:p>
    <w:p>
      <w:pPr>
        <w:shd w:val="clear"/>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（3）因核查造成小时资料中有错误资料上传的，每站每错1个时次扣0.1分（每站每月最多扣1分）</w:t>
      </w:r>
      <w:r>
        <w:rPr>
          <w:rFonts w:hint="eastAsia" w:ascii="宋体" w:hAnsi="宋体" w:eastAsia="宋体" w:cs="宋体"/>
          <w:color w:val="auto"/>
          <w:sz w:val="24"/>
          <w:szCs w:val="24"/>
          <w:highlight w:val="none"/>
          <w:lang w:eastAsia="zh-CN"/>
        </w:rPr>
        <w:t>；</w:t>
      </w:r>
    </w:p>
    <w:p>
      <w:pPr>
        <w:shd w:val="clea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核查</w:t>
      </w:r>
      <w:r>
        <w:rPr>
          <w:rFonts w:hint="eastAsia" w:ascii="宋体" w:hAnsi="宋体" w:eastAsia="宋体" w:cs="宋体"/>
          <w:color w:val="auto"/>
          <w:sz w:val="24"/>
          <w:szCs w:val="24"/>
          <w:highlight w:val="none"/>
          <w:lang w:eastAsia="zh-CN"/>
        </w:rPr>
        <w:t>不到位（等）</w:t>
      </w:r>
      <w:r>
        <w:rPr>
          <w:rFonts w:hint="eastAsia" w:ascii="宋体" w:hAnsi="宋体" w:eastAsia="宋体" w:cs="宋体"/>
          <w:color w:val="auto"/>
          <w:sz w:val="24"/>
          <w:szCs w:val="24"/>
          <w:highlight w:val="none"/>
          <w:lang w:val="en-US" w:eastAsia="zh-CN"/>
        </w:rPr>
        <w:t>1个站扣1分；</w:t>
      </w:r>
    </w:p>
    <w:p>
      <w:pPr>
        <w:shd w:val="clear"/>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核查</w:t>
      </w:r>
      <w:r>
        <w:rPr>
          <w:rFonts w:hint="eastAsia" w:ascii="宋体" w:hAnsi="宋体" w:eastAsia="宋体" w:cs="宋体"/>
          <w:color w:val="auto"/>
          <w:sz w:val="24"/>
          <w:szCs w:val="24"/>
          <w:highlight w:val="none"/>
          <w:lang w:eastAsia="zh-CN"/>
        </w:rPr>
        <w:t>信息反馈不及时，</w:t>
      </w:r>
      <w:r>
        <w:rPr>
          <w:rFonts w:hint="eastAsia" w:ascii="宋体" w:hAnsi="宋体" w:eastAsia="宋体" w:cs="宋体"/>
          <w:color w:val="auto"/>
          <w:sz w:val="24"/>
          <w:szCs w:val="24"/>
          <w:highlight w:val="none"/>
        </w:rPr>
        <w:t>每站扣0.4分（每月最多扣1分）</w:t>
      </w:r>
      <w:r>
        <w:rPr>
          <w:rFonts w:hint="eastAsia" w:ascii="宋体" w:hAnsi="宋体" w:eastAsia="宋体" w:cs="宋体"/>
          <w:color w:val="auto"/>
          <w:sz w:val="24"/>
          <w:szCs w:val="24"/>
          <w:highlight w:val="none"/>
          <w:lang w:eastAsia="zh-CN"/>
        </w:rPr>
        <w:t>。</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.2.3 应急维护考核内容和标准</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对应急维护及时率进行考核，每月应急维护及时率达到100％时可得满分30分，每降低0.1％扣0.5分，直至不得分。</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应急维护及时率的算法为：</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m:oMathPara>
        <m:oMath>
          <m:r>
            <m:rPr>
              <m:sty m:val="p"/>
            </m:rPr>
            <w:rPr>
              <w:rFonts w:hint="eastAsia" w:ascii="Cambria Math" w:hAnsi="Cambria Math" w:eastAsia="宋体" w:cs="宋体"/>
              <w:color w:val="auto"/>
              <w:sz w:val="24"/>
              <w:szCs w:val="24"/>
              <w:highlight w:val="none"/>
            </w:rPr>
            <m:t>应急维护及时率=</m:t>
          </m:r>
          <m:f>
            <m:fPr>
              <m:ctrlPr>
                <w:rPr>
                  <w:rFonts w:hint="eastAsia" w:ascii="Cambria Math" w:hAnsi="Cambria Math" w:eastAsia="宋体" w:cs="宋体"/>
                  <w:color w:val="auto"/>
                  <w:sz w:val="24"/>
                  <w:szCs w:val="24"/>
                  <w:highlight w:val="none"/>
                </w:rPr>
              </m:ctrlPr>
            </m:fPr>
            <m:num>
              <m:r>
                <m:rPr>
                  <m:sty m:val="p"/>
                </m:rPr>
                <w:rPr>
                  <w:rFonts w:hint="eastAsia" w:ascii="Cambria Math" w:hAnsi="Cambria Math" w:eastAsia="宋体" w:cs="宋体"/>
                  <w:color w:val="auto"/>
                  <w:sz w:val="24"/>
                  <w:szCs w:val="24"/>
                  <w:highlight w:val="none"/>
                </w:rPr>
                <m:t>及时进行应急维护的次数</m:t>
              </m:r>
              <m:ctrlPr>
                <w:rPr>
                  <w:rFonts w:hint="eastAsia" w:ascii="Cambria Math" w:hAnsi="Cambria Math" w:eastAsia="宋体" w:cs="宋体"/>
                  <w:color w:val="auto"/>
                  <w:sz w:val="24"/>
                  <w:szCs w:val="24"/>
                  <w:highlight w:val="none"/>
                </w:rPr>
              </m:ctrlPr>
            </m:num>
            <m:den>
              <m:r>
                <m:rPr>
                  <m:sty m:val="p"/>
                </m:rPr>
                <w:rPr>
                  <w:rFonts w:hint="eastAsia" w:ascii="Cambria Math" w:hAnsi="Cambria Math" w:eastAsia="宋体" w:cs="宋体"/>
                  <w:color w:val="auto"/>
                  <w:sz w:val="24"/>
                  <w:szCs w:val="24"/>
                  <w:highlight w:val="none"/>
                </w:rPr>
                <m:t>应进行应急维护的总次数</m:t>
              </m:r>
              <m:ctrlPr>
                <w:rPr>
                  <w:rFonts w:hint="eastAsia" w:ascii="Cambria Math" w:hAnsi="Cambria Math" w:eastAsia="宋体" w:cs="宋体"/>
                  <w:color w:val="auto"/>
                  <w:sz w:val="24"/>
                  <w:szCs w:val="24"/>
                  <w:highlight w:val="none"/>
                </w:rPr>
              </m:ctrlPr>
            </m:den>
          </m:f>
          <m:r>
            <m:rPr>
              <m:sty m:val="p"/>
            </m:rPr>
            <w:rPr>
              <w:rFonts w:hint="eastAsia" w:ascii="Cambria Math" w:hAnsi="Cambria Math" w:eastAsia="宋体" w:cs="宋体"/>
              <w:color w:val="auto"/>
              <w:sz w:val="24"/>
              <w:szCs w:val="24"/>
              <w:highlight w:val="none"/>
            </w:rPr>
            <m:t>×100%</m:t>
          </m:r>
        </m:oMath>
      </m:oMathPara>
    </w:p>
    <w:p>
      <w:pPr>
        <w:shd w:val="clear"/>
        <w:snapToGrid w:val="0"/>
        <w:spacing w:line="360" w:lineRule="auto"/>
        <w:ind w:firstLine="480" w:firstLineChars="200"/>
        <w:jc w:val="left"/>
        <w:rPr>
          <w:rFonts w:hint="eastAsia" w:ascii="宋体" w:hAnsi="宋体" w:eastAsia="宋体" w:cs="宋体"/>
          <w:color w:val="auto"/>
          <w:sz w:val="24"/>
          <w:szCs w:val="24"/>
          <w:highlight w:val="none"/>
        </w:rPr>
      </w:pP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.2.4 信息、材料上报考核的内容和标准</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对是否按时按规定正确上报材料进行考核，每月满分为10分，其中材料及时上报的可得5分，内容符合规定的可得5分。</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b/>
          <w:bCs w:val="0"/>
          <w:color w:val="auto"/>
          <w:sz w:val="24"/>
          <w:szCs w:val="24"/>
          <w:highlight w:val="none"/>
          <w:lang w:val="en-US" w:eastAsia="zh-CN"/>
        </w:rPr>
        <w:t>探测环境保护</w:t>
      </w:r>
      <w:r>
        <w:rPr>
          <w:rFonts w:hint="eastAsia" w:ascii="宋体" w:hAnsi="宋体" w:eastAsia="宋体" w:cs="宋体"/>
          <w:color w:val="auto"/>
          <w:sz w:val="24"/>
          <w:szCs w:val="24"/>
          <w:highlight w:val="none"/>
        </w:rPr>
        <w:t>考核的内容和标准</w:t>
      </w:r>
    </w:p>
    <w:p>
      <w:pPr>
        <w:pStyle w:val="2"/>
        <w:shd w:val="clear"/>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）对</w:t>
      </w:r>
      <w:r>
        <w:rPr>
          <w:rFonts w:hint="eastAsia" w:ascii="宋体" w:hAnsi="宋体" w:eastAsia="宋体" w:cs="宋体"/>
          <w:b w:val="0"/>
          <w:bCs/>
          <w:color w:val="auto"/>
          <w:sz w:val="24"/>
          <w:szCs w:val="24"/>
          <w:highlight w:val="none"/>
          <w:lang w:eastAsia="zh-CN"/>
        </w:rPr>
        <w:t>破坏气象</w:t>
      </w:r>
      <w:r>
        <w:rPr>
          <w:rFonts w:hint="eastAsia" w:ascii="宋体" w:hAnsi="宋体" w:eastAsia="宋体" w:cs="宋体"/>
          <w:b w:val="0"/>
          <w:bCs/>
          <w:color w:val="auto"/>
          <w:sz w:val="24"/>
          <w:szCs w:val="24"/>
          <w:highlight w:val="none"/>
        </w:rPr>
        <w:t>探测环境</w:t>
      </w:r>
      <w:r>
        <w:rPr>
          <w:rFonts w:hint="eastAsia" w:ascii="宋体" w:hAnsi="宋体" w:eastAsia="宋体" w:cs="宋体"/>
          <w:b w:val="0"/>
          <w:bCs/>
          <w:color w:val="auto"/>
          <w:sz w:val="24"/>
          <w:szCs w:val="24"/>
          <w:highlight w:val="none"/>
          <w:lang w:eastAsia="zh-CN"/>
        </w:rPr>
        <w:t>的行为不报告、不制止，</w:t>
      </w:r>
      <w:r>
        <w:rPr>
          <w:rFonts w:hint="eastAsia" w:ascii="宋体" w:hAnsi="宋体" w:eastAsia="宋体" w:cs="宋体"/>
          <w:color w:val="auto"/>
          <w:sz w:val="24"/>
          <w:szCs w:val="24"/>
          <w:highlight w:val="none"/>
          <w:lang w:val="en-US" w:eastAsia="zh-CN"/>
        </w:rPr>
        <w:t>1个站扣2分</w:t>
      </w:r>
      <w:r>
        <w:rPr>
          <w:rFonts w:hint="eastAsia" w:ascii="宋体" w:hAnsi="宋体" w:eastAsia="宋体" w:cs="宋体"/>
          <w:b w:val="0"/>
          <w:bCs/>
          <w:color w:val="auto"/>
          <w:sz w:val="24"/>
          <w:szCs w:val="24"/>
          <w:highlight w:val="none"/>
          <w:lang w:eastAsia="zh-CN"/>
        </w:rPr>
        <w:t>；</w:t>
      </w:r>
    </w:p>
    <w:p>
      <w:pPr>
        <w:pStyle w:val="2"/>
        <w:shd w:val="clear"/>
        <w:rPr>
          <w:rFonts w:hint="eastAsia" w:ascii="宋体" w:hAnsi="宋体" w:eastAsia="宋体" w:cs="宋体"/>
          <w:color w:val="auto"/>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highlight w:val="none"/>
          <w:lang w:eastAsia="zh-CN"/>
        </w:rPr>
        <w:t>对影响探测环境的树木进行必要的</w:t>
      </w:r>
      <w:r>
        <w:rPr>
          <w:rFonts w:hint="eastAsia" w:ascii="宋体" w:hAnsi="宋体" w:eastAsia="宋体" w:cs="宋体"/>
          <w:b w:val="0"/>
          <w:bCs/>
          <w:color w:val="auto"/>
          <w:sz w:val="24"/>
          <w:szCs w:val="24"/>
          <w:highlight w:val="none"/>
          <w:lang w:eastAsia="zh-CN"/>
        </w:rPr>
        <w:t>不</w:t>
      </w:r>
      <w:r>
        <w:rPr>
          <w:rFonts w:hint="eastAsia" w:ascii="宋体" w:hAnsi="宋体" w:eastAsia="宋体" w:cs="宋体"/>
          <w:color w:val="auto"/>
          <w:highlight w:val="none"/>
          <w:lang w:eastAsia="zh-CN"/>
        </w:rPr>
        <w:t>修剪、迁移等，</w:t>
      </w:r>
      <w:r>
        <w:rPr>
          <w:rFonts w:hint="eastAsia" w:ascii="宋体" w:hAnsi="宋体" w:eastAsia="宋体" w:cs="宋体"/>
          <w:color w:val="auto"/>
          <w:sz w:val="24"/>
          <w:szCs w:val="24"/>
          <w:highlight w:val="none"/>
          <w:lang w:val="en-US" w:eastAsia="zh-CN"/>
        </w:rPr>
        <w:t>1个站扣2分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 xml:space="preserve"> </w:t>
      </w:r>
    </w:p>
    <w:p>
      <w:pPr>
        <w:pStyle w:val="2"/>
        <w:shd w:val="clear"/>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b w:val="0"/>
          <w:bCs/>
          <w:color w:val="auto"/>
          <w:sz w:val="24"/>
          <w:szCs w:val="24"/>
          <w:highlight w:val="none"/>
          <w:lang w:eastAsia="zh-CN"/>
        </w:rPr>
        <w:t>没按时完成气象站</w:t>
      </w:r>
      <w:r>
        <w:rPr>
          <w:rFonts w:hint="eastAsia" w:ascii="宋体" w:hAnsi="宋体" w:eastAsia="宋体" w:cs="宋体"/>
          <w:b w:val="0"/>
          <w:bCs/>
          <w:color w:val="auto"/>
          <w:sz w:val="24"/>
          <w:szCs w:val="24"/>
          <w:highlight w:val="none"/>
        </w:rPr>
        <w:t>搬迁</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lang w:val="en-US" w:eastAsia="zh-CN"/>
        </w:rPr>
        <w:t>1个站扣5分</w:t>
      </w:r>
      <w:r>
        <w:rPr>
          <w:rFonts w:hint="eastAsia" w:ascii="宋体" w:hAnsi="宋体" w:eastAsia="宋体" w:cs="宋体"/>
          <w:b w:val="0"/>
          <w:bCs/>
          <w:color w:val="auto"/>
          <w:sz w:val="24"/>
          <w:szCs w:val="24"/>
          <w:highlight w:val="none"/>
          <w:lang w:eastAsia="zh-CN"/>
        </w:rPr>
        <w:t>。</w:t>
      </w:r>
    </w:p>
    <w:p>
      <w:pPr>
        <w:pStyle w:val="2"/>
        <w:shd w:val="clear"/>
        <w:rPr>
          <w:rFonts w:hint="eastAsia" w:ascii="宋体" w:hAnsi="宋体" w:eastAsia="宋体" w:cs="宋体"/>
          <w:b w:val="0"/>
          <w:bCs/>
          <w:color w:val="auto"/>
          <w:sz w:val="24"/>
          <w:szCs w:val="24"/>
          <w:highlight w:val="none"/>
          <w:lang w:eastAsia="zh-CN"/>
        </w:rPr>
      </w:pP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X波段双偏振相控阵天气雷达</w:t>
      </w:r>
      <w:r>
        <w:rPr>
          <w:rFonts w:hint="eastAsia" w:ascii="宋体" w:hAnsi="宋体" w:eastAsia="宋体" w:cs="宋体"/>
          <w:color w:val="auto"/>
          <w:sz w:val="24"/>
          <w:szCs w:val="24"/>
          <w:highlight w:val="none"/>
          <w:lang w:eastAsia="zh-CN"/>
        </w:rPr>
        <w:t>维护</w:t>
      </w:r>
      <w:r>
        <w:rPr>
          <w:rFonts w:hint="eastAsia" w:ascii="宋体" w:hAnsi="宋体" w:eastAsia="宋体" w:cs="宋体"/>
          <w:color w:val="auto"/>
          <w:sz w:val="24"/>
          <w:szCs w:val="24"/>
          <w:highlight w:val="none"/>
        </w:rPr>
        <w:t>考核的内容和标准</w:t>
      </w:r>
    </w:p>
    <w:p>
      <w:pPr>
        <w:shd w:val="clear"/>
        <w:snapToGrid w:val="0"/>
        <w:spacing w:line="360" w:lineRule="auto"/>
        <w:ind w:firstLine="42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cs="宋体"/>
          <w:color w:val="auto"/>
          <w:sz w:val="24"/>
          <w:szCs w:val="24"/>
          <w:highlight w:val="none"/>
          <w:lang w:eastAsia="zh-CN"/>
        </w:rPr>
        <w:t>月度</w:t>
      </w:r>
      <w:r>
        <w:rPr>
          <w:rFonts w:hint="eastAsia" w:ascii="宋体" w:hAnsi="宋体" w:eastAsia="宋体" w:cs="宋体"/>
          <w:color w:val="auto"/>
          <w:sz w:val="24"/>
          <w:szCs w:val="24"/>
          <w:highlight w:val="none"/>
        </w:rPr>
        <w:t>稳定运行率不低于90%</w:t>
      </w:r>
      <w:r>
        <w:rPr>
          <w:rFonts w:hint="eastAsia" w:ascii="宋体" w:hAnsi="宋体" w:cs="宋体"/>
          <w:color w:val="auto"/>
          <w:sz w:val="24"/>
          <w:szCs w:val="24"/>
          <w:highlight w:val="none"/>
          <w:lang w:eastAsia="zh-CN"/>
        </w:rPr>
        <w:t>扣</w:t>
      </w:r>
      <w:r>
        <w:rPr>
          <w:rFonts w:hint="eastAsia" w:ascii="宋体" w:hAnsi="宋体" w:cs="宋体"/>
          <w:color w:val="auto"/>
          <w:sz w:val="24"/>
          <w:szCs w:val="24"/>
          <w:highlight w:val="none"/>
          <w:lang w:val="en-US" w:eastAsia="zh-CN"/>
        </w:rPr>
        <w:t>2分</w:t>
      </w:r>
      <w:r>
        <w:rPr>
          <w:rFonts w:hint="eastAsia" w:ascii="宋体" w:hAnsi="宋体" w:cs="宋体"/>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cs="宋体"/>
          <w:color w:val="auto"/>
          <w:sz w:val="24"/>
          <w:szCs w:val="24"/>
          <w:highlight w:val="none"/>
          <w:lang w:eastAsia="zh-CN"/>
        </w:rPr>
        <w:t>月度</w:t>
      </w:r>
      <w:r>
        <w:rPr>
          <w:rFonts w:hint="eastAsia" w:ascii="宋体" w:hAnsi="宋体" w:eastAsia="宋体" w:cs="宋体"/>
          <w:color w:val="auto"/>
          <w:sz w:val="24"/>
          <w:szCs w:val="24"/>
          <w:highlight w:val="none"/>
        </w:rPr>
        <w:t>X波段双偏振相控阵天气雷达巡检维护</w:t>
      </w:r>
      <w:r>
        <w:rPr>
          <w:rFonts w:hint="eastAsia" w:ascii="宋体" w:hAnsi="宋体" w:cs="宋体"/>
          <w:color w:val="auto"/>
          <w:sz w:val="24"/>
          <w:szCs w:val="24"/>
          <w:highlight w:val="none"/>
          <w:lang w:eastAsia="zh-CN"/>
        </w:rPr>
        <w:t>每漏</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项扣</w:t>
      </w:r>
      <w:r>
        <w:rPr>
          <w:rFonts w:hint="eastAsia" w:ascii="宋体" w:hAnsi="宋体" w:cs="宋体"/>
          <w:color w:val="auto"/>
          <w:sz w:val="24"/>
          <w:szCs w:val="24"/>
          <w:highlight w:val="none"/>
          <w:lang w:val="en-US" w:eastAsia="zh-CN"/>
        </w:rPr>
        <w:t>1分</w:t>
      </w:r>
      <w:r>
        <w:rPr>
          <w:rFonts w:hint="eastAsia" w:ascii="宋体" w:hAnsi="宋体" w:eastAsia="宋体" w:cs="宋体"/>
          <w:color w:val="auto"/>
          <w:sz w:val="24"/>
          <w:szCs w:val="24"/>
          <w:highlight w:val="none"/>
        </w:rPr>
        <w:t>；</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.3服务实际履行款</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服务期满后，按下式计算服务的实际履行款：</w:t>
      </w:r>
    </w:p>
    <w:p>
      <w:pPr>
        <w:shd w:val="clear"/>
        <w:snapToGrid w:val="0"/>
        <w:spacing w:line="360" w:lineRule="auto"/>
        <w:ind w:firstLine="480" w:firstLineChars="200"/>
        <w:jc w:val="left"/>
        <w:rPr>
          <w:rFonts w:hint="eastAsia" w:ascii="宋体" w:hAnsi="宋体" w:eastAsia="宋体" w:cs="宋体"/>
          <w:color w:val="auto"/>
          <w:sz w:val="24"/>
          <w:szCs w:val="24"/>
          <w:highlight w:val="none"/>
        </w:rPr>
      </w:pPr>
      <m:oMathPara>
        <m:oMath>
          <m:r>
            <m:rPr>
              <m:sty m:val="p"/>
            </m:rPr>
            <w:rPr>
              <w:rFonts w:hint="eastAsia" w:ascii="Cambria Math" w:hAnsi="Cambria Math" w:eastAsia="宋体" w:cs="宋体"/>
              <w:color w:val="auto"/>
              <w:sz w:val="24"/>
              <w:szCs w:val="24"/>
              <w:highlight w:val="none"/>
            </w:rPr>
            <m:t>服务实际履行款=</m:t>
          </m:r>
          <m:f>
            <m:fPr>
              <m:ctrlPr>
                <w:rPr>
                  <w:rFonts w:hint="eastAsia" w:ascii="Cambria Math" w:hAnsi="Cambria Math" w:eastAsia="宋体" w:cs="宋体"/>
                  <w:color w:val="auto"/>
                  <w:sz w:val="24"/>
                  <w:szCs w:val="24"/>
                  <w:highlight w:val="none"/>
                </w:rPr>
              </m:ctrlPr>
            </m:fPr>
            <m:num>
              <m:nary>
                <m:naryPr>
                  <m:chr m:val="∑"/>
                  <m:limLoc m:val="undOvr"/>
                  <m:subHide m:val="1"/>
                  <m:supHide m:val="1"/>
                  <m:ctrlPr>
                    <w:rPr>
                      <w:rFonts w:hint="eastAsia" w:ascii="Cambria Math" w:hAnsi="Cambria Math" w:eastAsia="宋体" w:cs="宋体"/>
                      <w:color w:val="auto"/>
                      <w:sz w:val="24"/>
                      <w:szCs w:val="24"/>
                      <w:highlight w:val="none"/>
                    </w:rPr>
                  </m:ctrlPr>
                </m:naryPr>
                <m:sub>
                  <m:ctrlPr>
                    <w:rPr>
                      <w:rFonts w:hint="eastAsia" w:ascii="Cambria Math" w:hAnsi="Cambria Math" w:eastAsia="宋体" w:cs="宋体"/>
                      <w:color w:val="auto"/>
                      <w:sz w:val="24"/>
                      <w:szCs w:val="24"/>
                      <w:highlight w:val="none"/>
                    </w:rPr>
                  </m:ctrlPr>
                </m:sub>
                <m:sup>
                  <m:ctrlPr>
                    <w:rPr>
                      <w:rFonts w:hint="eastAsia" w:ascii="Cambria Math" w:hAnsi="Cambria Math" w:eastAsia="宋体" w:cs="宋体"/>
                      <w:color w:val="auto"/>
                      <w:sz w:val="24"/>
                      <w:szCs w:val="24"/>
                      <w:highlight w:val="none"/>
                    </w:rPr>
                  </m:ctrlPr>
                </m:sup>
                <m:e>
                  <m:r>
                    <m:rPr>
                      <m:sty m:val="p"/>
                    </m:rPr>
                    <w:rPr>
                      <w:rFonts w:hint="eastAsia" w:ascii="Cambria Math" w:hAnsi="Cambria Math" w:eastAsia="宋体" w:cs="宋体"/>
                      <w:color w:val="auto"/>
                      <w:sz w:val="24"/>
                      <w:szCs w:val="24"/>
                      <w:highlight w:val="none"/>
                    </w:rPr>
                    <m:t>每月考核分</m:t>
                  </m:r>
                  <m:ctrlPr>
                    <w:rPr>
                      <w:rFonts w:hint="eastAsia" w:ascii="Cambria Math" w:hAnsi="Cambria Math" w:eastAsia="宋体" w:cs="宋体"/>
                      <w:color w:val="auto"/>
                      <w:sz w:val="24"/>
                      <w:szCs w:val="24"/>
                      <w:highlight w:val="none"/>
                    </w:rPr>
                  </m:ctrlPr>
                </m:e>
              </m:nary>
              <m:ctrlPr>
                <w:rPr>
                  <w:rFonts w:hint="eastAsia" w:ascii="Cambria Math" w:hAnsi="Cambria Math" w:eastAsia="宋体" w:cs="宋体"/>
                  <w:color w:val="auto"/>
                  <w:sz w:val="24"/>
                  <w:szCs w:val="24"/>
                  <w:highlight w:val="none"/>
                </w:rPr>
              </m:ctrlPr>
            </m:num>
            <m:den>
              <m:r>
                <m:rPr>
                  <m:sty m:val="p"/>
                </m:rPr>
                <w:rPr>
                  <w:rFonts w:hint="eastAsia" w:ascii="Cambria Math" w:hAnsi="Cambria Math" w:eastAsia="宋体" w:cs="宋体"/>
                  <w:color w:val="auto"/>
                  <w:sz w:val="24"/>
                  <w:szCs w:val="24"/>
                  <w:highlight w:val="none"/>
                </w:rPr>
                <m:t>服务期月份数×100</m:t>
              </m:r>
              <m:ctrlPr>
                <w:rPr>
                  <w:rFonts w:hint="eastAsia" w:ascii="Cambria Math" w:hAnsi="Cambria Math" w:eastAsia="宋体" w:cs="宋体"/>
                  <w:color w:val="auto"/>
                  <w:sz w:val="24"/>
                  <w:szCs w:val="24"/>
                  <w:highlight w:val="none"/>
                </w:rPr>
              </m:ctrlPr>
            </m:den>
          </m:f>
          <m:r>
            <m:rPr>
              <m:sty m:val="p"/>
            </m:rPr>
            <w:rPr>
              <w:rFonts w:hint="eastAsia" w:ascii="Cambria Math" w:hAnsi="Cambria Math" w:eastAsia="宋体" w:cs="宋体"/>
              <w:color w:val="auto"/>
              <w:sz w:val="24"/>
              <w:szCs w:val="24"/>
              <w:highlight w:val="none"/>
            </w:rPr>
            <m:t>×合同总价</m:t>
          </m:r>
        </m:oMath>
      </m:oMathPara>
    </w:p>
    <w:p>
      <w:pPr>
        <w:shd w:val="clear"/>
        <w:snapToGrid w:val="0"/>
        <w:spacing w:line="360" w:lineRule="auto"/>
        <w:jc w:val="left"/>
        <w:rPr>
          <w:rFonts w:hint="eastAsia" w:ascii="宋体" w:hAnsi="宋体" w:eastAsia="宋体" w:cs="宋体"/>
          <w:color w:val="auto"/>
          <w:sz w:val="24"/>
          <w:szCs w:val="24"/>
          <w:highlight w:val="none"/>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p>
      <w:pPr>
        <w:shd w:val="clear"/>
        <w:ind w:firstLine="280" w:firstLineChars="1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附录1</w:t>
      </w:r>
      <w:r>
        <w:rPr>
          <w:rFonts w:hint="eastAsia" w:ascii="宋体" w:hAnsi="宋体" w:cs="宋体"/>
          <w:color w:val="auto"/>
          <w:sz w:val="28"/>
          <w:szCs w:val="28"/>
          <w:highlight w:val="none"/>
          <w:lang w:val="en-US" w:eastAsia="zh-CN"/>
        </w:rPr>
        <w:t xml:space="preserve">                          </w:t>
      </w:r>
      <w:r>
        <w:rPr>
          <w:rFonts w:hAnsi="Arial" w:cs="Arial"/>
          <w:b/>
          <w:bCs/>
          <w:color w:val="auto"/>
          <w:sz w:val="32"/>
          <w:szCs w:val="32"/>
          <w:highlight w:val="none"/>
        </w:rPr>
        <w:t>区域自动气象站日常维护检测</w:t>
      </w:r>
      <w:r>
        <w:rPr>
          <w:rFonts w:hint="eastAsia" w:hAnsi="Arial" w:cs="Arial"/>
          <w:b/>
          <w:bCs/>
          <w:color w:val="auto"/>
          <w:sz w:val="32"/>
          <w:szCs w:val="32"/>
          <w:highlight w:val="none"/>
        </w:rPr>
        <w:t>表</w:t>
      </w:r>
    </w:p>
    <w:tbl>
      <w:tblPr>
        <w:tblStyle w:val="28"/>
        <w:tblW w:w="14529" w:type="dxa"/>
        <w:jc w:val="center"/>
        <w:tblLayout w:type="fixed"/>
        <w:tblCellMar>
          <w:top w:w="0" w:type="dxa"/>
          <w:left w:w="0" w:type="dxa"/>
          <w:bottom w:w="0" w:type="dxa"/>
          <w:right w:w="0" w:type="dxa"/>
        </w:tblCellMar>
      </w:tblPr>
      <w:tblGrid>
        <w:gridCol w:w="876"/>
        <w:gridCol w:w="709"/>
        <w:gridCol w:w="4320"/>
        <w:gridCol w:w="2268"/>
        <w:gridCol w:w="4111"/>
        <w:gridCol w:w="1134"/>
        <w:gridCol w:w="1111"/>
      </w:tblGrid>
      <w:tr>
        <w:tblPrEx>
          <w:tblCellMar>
            <w:top w:w="0" w:type="dxa"/>
            <w:left w:w="0" w:type="dxa"/>
            <w:bottom w:w="0" w:type="dxa"/>
            <w:right w:w="0" w:type="dxa"/>
          </w:tblCellMar>
        </w:tblPrEx>
        <w:trPr>
          <w:trHeight w:val="512" w:hRule="atLeast"/>
          <w:jc w:val="center"/>
        </w:trPr>
        <w:tc>
          <w:tcPr>
            <w:tcW w:w="14529"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76" w:lineRule="auto"/>
              <w:jc w:val="center"/>
              <w:rPr>
                <w:rFonts w:ascii="Arial" w:hAnsi="Arial" w:cs="Arial"/>
                <w:color w:val="auto"/>
                <w:kern w:val="0"/>
                <w:sz w:val="36"/>
                <w:szCs w:val="36"/>
                <w:highlight w:val="none"/>
              </w:rPr>
            </w:pPr>
            <w:r>
              <w:rPr>
                <w:rFonts w:hAnsi="Arial" w:cs="Arial"/>
                <w:b/>
                <w:bCs/>
                <w:color w:val="auto"/>
                <w:sz w:val="32"/>
                <w:szCs w:val="32"/>
                <w:highlight w:val="none"/>
              </w:rPr>
              <w:t>区域自动气象站日常维护检测</w:t>
            </w:r>
            <w:r>
              <w:rPr>
                <w:rFonts w:hint="eastAsia" w:hAnsi="Arial" w:cs="Arial"/>
                <w:b/>
                <w:bCs/>
                <w:color w:val="auto"/>
                <w:sz w:val="32"/>
                <w:szCs w:val="32"/>
                <w:highlight w:val="none"/>
              </w:rPr>
              <w:t xml:space="preserve">表  维护人： </w:t>
            </w:r>
          </w:p>
        </w:tc>
      </w:tr>
      <w:tr>
        <w:tblPrEx>
          <w:tblCellMar>
            <w:top w:w="0" w:type="dxa"/>
            <w:left w:w="0" w:type="dxa"/>
            <w:bottom w:w="0" w:type="dxa"/>
            <w:right w:w="0" w:type="dxa"/>
          </w:tblCellMar>
        </w:tblPrEx>
        <w:trPr>
          <w:trHeight w:val="321" w:hRule="atLeast"/>
          <w:jc w:val="center"/>
        </w:trPr>
        <w:tc>
          <w:tcPr>
            <w:tcW w:w="876"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vAlign w:val="center"/>
          </w:tcPr>
          <w:p>
            <w:pPr>
              <w:widowControl/>
              <w:shd w:val="clear"/>
              <w:spacing w:line="321" w:lineRule="atLeast"/>
              <w:jc w:val="center"/>
              <w:rPr>
                <w:rFonts w:ascii="Arial" w:hAnsi="Arial" w:cs="Arial"/>
                <w:color w:val="auto"/>
                <w:kern w:val="0"/>
                <w:szCs w:val="21"/>
                <w:highlight w:val="none"/>
              </w:rPr>
            </w:pPr>
            <w:r>
              <w:rPr>
                <w:rFonts w:hAnsi="Arial" w:cs="Arial"/>
                <w:b/>
                <w:bCs/>
                <w:color w:val="auto"/>
                <w:szCs w:val="21"/>
                <w:highlight w:val="none"/>
              </w:rPr>
              <w:t>类别</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321" w:lineRule="atLeast"/>
              <w:jc w:val="center"/>
              <w:rPr>
                <w:rFonts w:ascii="Arial" w:hAnsi="Arial" w:cs="Arial"/>
                <w:color w:val="auto"/>
                <w:kern w:val="0"/>
                <w:szCs w:val="21"/>
                <w:highlight w:val="none"/>
              </w:rPr>
            </w:pPr>
            <w:r>
              <w:rPr>
                <w:rFonts w:hAnsi="Arial" w:cs="Arial"/>
                <w:color w:val="auto"/>
                <w:szCs w:val="21"/>
                <w:highlight w:val="none"/>
              </w:rPr>
              <w:t>序号</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321" w:lineRule="atLeast"/>
              <w:jc w:val="center"/>
              <w:rPr>
                <w:rFonts w:ascii="Arial" w:hAnsi="Arial" w:cs="Arial"/>
                <w:color w:val="auto"/>
                <w:kern w:val="0"/>
                <w:szCs w:val="21"/>
                <w:highlight w:val="none"/>
              </w:rPr>
            </w:pPr>
            <w:r>
              <w:rPr>
                <w:rFonts w:hAnsi="Arial" w:cs="Arial"/>
                <w:color w:val="auto"/>
                <w:szCs w:val="21"/>
                <w:highlight w:val="none"/>
              </w:rPr>
              <w:t>项目（根据台站类型定）</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321" w:lineRule="atLeast"/>
              <w:jc w:val="center"/>
              <w:rPr>
                <w:rFonts w:ascii="Arial" w:hAnsi="Arial" w:cs="Arial"/>
                <w:color w:val="auto"/>
                <w:kern w:val="0"/>
                <w:szCs w:val="21"/>
                <w:highlight w:val="none"/>
              </w:rPr>
            </w:pPr>
            <w:r>
              <w:rPr>
                <w:rFonts w:hAnsi="Arial" w:cs="Arial"/>
                <w:color w:val="auto"/>
                <w:szCs w:val="21"/>
                <w:highlight w:val="none"/>
              </w:rPr>
              <w:t>目的</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321" w:lineRule="atLeast"/>
              <w:jc w:val="center"/>
              <w:rPr>
                <w:rFonts w:ascii="Arial" w:hAnsi="Arial" w:cs="Arial"/>
                <w:color w:val="auto"/>
                <w:kern w:val="0"/>
                <w:szCs w:val="21"/>
                <w:highlight w:val="none"/>
              </w:rPr>
            </w:pPr>
            <w:r>
              <w:rPr>
                <w:rFonts w:hAnsi="Arial" w:cs="Arial"/>
                <w:color w:val="auto"/>
                <w:szCs w:val="21"/>
                <w:highlight w:val="none"/>
              </w:rPr>
              <w:t>标准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321" w:lineRule="atLeast"/>
              <w:jc w:val="center"/>
              <w:rPr>
                <w:rFonts w:ascii="Arial" w:hAnsi="Arial" w:cs="Arial"/>
                <w:color w:val="auto"/>
                <w:kern w:val="0"/>
                <w:szCs w:val="21"/>
                <w:highlight w:val="none"/>
              </w:rPr>
            </w:pPr>
            <w:r>
              <w:rPr>
                <w:rFonts w:hAnsi="Arial" w:cs="Arial"/>
                <w:color w:val="auto"/>
                <w:szCs w:val="21"/>
                <w:highlight w:val="none"/>
              </w:rPr>
              <w:t>示值</w:t>
            </w:r>
            <w:r>
              <w:rPr>
                <w:rFonts w:cs="Arial"/>
                <w:color w:val="auto"/>
                <w:szCs w:val="21"/>
                <w:highlight w:val="none"/>
              </w:rPr>
              <w:t>/</w:t>
            </w:r>
            <w:r>
              <w:rPr>
                <w:rFonts w:hAnsi="Arial" w:cs="Arial"/>
                <w:color w:val="auto"/>
                <w:szCs w:val="21"/>
                <w:highlight w:val="none"/>
              </w:rPr>
              <w:t>现象</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321" w:lineRule="atLeast"/>
              <w:jc w:val="center"/>
              <w:rPr>
                <w:rFonts w:ascii="Arial" w:hAnsi="Arial" w:cs="Arial"/>
                <w:color w:val="auto"/>
                <w:kern w:val="0"/>
                <w:szCs w:val="21"/>
                <w:highlight w:val="none"/>
              </w:rPr>
            </w:pPr>
            <w:r>
              <w:rPr>
                <w:rFonts w:hAnsi="Arial" w:cs="Arial"/>
                <w:color w:val="auto"/>
                <w:szCs w:val="21"/>
                <w:highlight w:val="none"/>
              </w:rPr>
              <w:t>结论</w:t>
            </w:r>
            <w:r>
              <w:rPr>
                <w:rFonts w:cs="Arial"/>
                <w:color w:val="auto"/>
                <w:szCs w:val="21"/>
                <w:highlight w:val="none"/>
              </w:rPr>
              <w:t>/</w:t>
            </w:r>
            <w:r>
              <w:rPr>
                <w:rFonts w:hAnsi="Arial" w:cs="Arial"/>
                <w:color w:val="auto"/>
                <w:szCs w:val="21"/>
                <w:highlight w:val="none"/>
              </w:rPr>
              <w:t>措施</w:t>
            </w:r>
          </w:p>
        </w:tc>
      </w:tr>
      <w:tr>
        <w:tblPrEx>
          <w:tblCellMar>
            <w:top w:w="0" w:type="dxa"/>
            <w:left w:w="0" w:type="dxa"/>
            <w:bottom w:w="0" w:type="dxa"/>
            <w:right w:w="0" w:type="dxa"/>
          </w:tblCellMar>
        </w:tblPrEx>
        <w:trPr>
          <w:trHeight w:val="260" w:hRule="atLeast"/>
          <w:jc w:val="center"/>
        </w:trPr>
        <w:tc>
          <w:tcPr>
            <w:tcW w:w="87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vAlign w:val="center"/>
          </w:tcPr>
          <w:p>
            <w:pPr>
              <w:widowControl/>
              <w:shd w:val="clear"/>
              <w:spacing w:line="260" w:lineRule="atLeast"/>
              <w:jc w:val="center"/>
              <w:rPr>
                <w:rFonts w:ascii="Arial" w:hAnsi="Arial" w:cs="Arial"/>
                <w:color w:val="auto"/>
                <w:kern w:val="0"/>
                <w:szCs w:val="21"/>
                <w:highlight w:val="none"/>
              </w:rPr>
            </w:pPr>
            <w:r>
              <w:rPr>
                <w:rFonts w:hAnsi="Arial" w:cs="Arial"/>
                <w:b/>
                <w:bCs/>
                <w:color w:val="auto"/>
                <w:szCs w:val="21"/>
                <w:highlight w:val="none"/>
              </w:rPr>
              <w:t>整体检查</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jc w:val="left"/>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环境变化</w:t>
            </w:r>
          </w:p>
        </w:tc>
        <w:tc>
          <w:tcPr>
            <w:tcW w:w="22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保证观测数据的真实性和代表性</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cs="Arial"/>
                <w:color w:val="auto"/>
                <w:szCs w:val="21"/>
                <w:highlight w:val="none"/>
              </w:rPr>
              <w:t> </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p>
        </w:tc>
      </w:tr>
      <w:tr>
        <w:tblPrEx>
          <w:tblCellMar>
            <w:top w:w="0" w:type="dxa"/>
            <w:left w:w="0" w:type="dxa"/>
            <w:bottom w:w="0" w:type="dxa"/>
            <w:right w:w="0" w:type="dxa"/>
          </w:tblCellMar>
        </w:tblPrEx>
        <w:trPr>
          <w:trHeight w:val="260" w:hRule="atLeast"/>
          <w:jc w:val="center"/>
        </w:trPr>
        <w:tc>
          <w:tcPr>
            <w:tcW w:w="8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2</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观测场地清洁</w:t>
            </w:r>
          </w:p>
        </w:tc>
        <w:tc>
          <w:tcPr>
            <w:tcW w:w="22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vAlign w:val="center"/>
          </w:tcPr>
          <w:p>
            <w:pPr>
              <w:widowControl/>
              <w:shd w:val="clear"/>
              <w:jc w:val="left"/>
              <w:rPr>
                <w:rFonts w:ascii="Arial" w:hAnsi="Arial" w:cs="Arial"/>
                <w:color w:val="auto"/>
                <w:kern w:val="0"/>
                <w:szCs w:val="21"/>
                <w:highlight w:val="none"/>
              </w:rPr>
            </w:pP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无垃圾</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p>
        </w:tc>
      </w:tr>
      <w:tr>
        <w:tblPrEx>
          <w:tblCellMar>
            <w:top w:w="0" w:type="dxa"/>
            <w:left w:w="0" w:type="dxa"/>
            <w:bottom w:w="0" w:type="dxa"/>
            <w:right w:w="0" w:type="dxa"/>
          </w:tblCellMar>
        </w:tblPrEx>
        <w:trPr>
          <w:trHeight w:val="344" w:hRule="atLeast"/>
          <w:jc w:val="center"/>
        </w:trPr>
        <w:tc>
          <w:tcPr>
            <w:tcW w:w="8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3</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结构件松紧、腐蚀检查</w:t>
            </w:r>
          </w:p>
        </w:tc>
        <w:tc>
          <w:tcPr>
            <w:tcW w:w="22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vAlign w:val="center"/>
          </w:tcPr>
          <w:p>
            <w:pPr>
              <w:widowControl/>
              <w:shd w:val="clear"/>
              <w:jc w:val="left"/>
              <w:rPr>
                <w:rFonts w:ascii="Arial" w:hAnsi="Arial" w:cs="Arial"/>
                <w:color w:val="auto"/>
                <w:kern w:val="0"/>
                <w:szCs w:val="21"/>
                <w:highlight w:val="none"/>
              </w:rPr>
            </w:pP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结构无松动、无明显腐蚀现象</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cs="Arial"/>
                <w:color w:val="auto"/>
                <w:szCs w:val="21"/>
                <w:highlight w:val="none"/>
              </w:rPr>
              <w:t> </w:t>
            </w:r>
          </w:p>
        </w:tc>
      </w:tr>
      <w:tr>
        <w:tblPrEx>
          <w:tblCellMar>
            <w:top w:w="0" w:type="dxa"/>
            <w:left w:w="0" w:type="dxa"/>
            <w:bottom w:w="0" w:type="dxa"/>
            <w:right w:w="0" w:type="dxa"/>
          </w:tblCellMar>
        </w:tblPrEx>
        <w:trPr>
          <w:trHeight w:val="519" w:hRule="atLeast"/>
          <w:jc w:val="center"/>
        </w:trPr>
        <w:tc>
          <w:tcPr>
            <w:tcW w:w="87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vAlign w:val="center"/>
          </w:tcPr>
          <w:p>
            <w:pPr>
              <w:widowControl/>
              <w:shd w:val="clear"/>
              <w:jc w:val="center"/>
              <w:rPr>
                <w:rFonts w:ascii="Arial" w:hAnsi="Arial" w:cs="Arial"/>
                <w:color w:val="auto"/>
                <w:kern w:val="0"/>
                <w:szCs w:val="21"/>
                <w:highlight w:val="none"/>
              </w:rPr>
            </w:pPr>
            <w:r>
              <w:rPr>
                <w:rFonts w:hAnsi="Arial" w:cs="Arial"/>
                <w:b/>
                <w:bCs/>
                <w:color w:val="auto"/>
                <w:szCs w:val="21"/>
                <w:highlight w:val="none"/>
              </w:rPr>
              <w:t>主供电系统</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太阳能板输入电压</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判断充电条件</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晴天（</w:t>
            </w:r>
            <w:r>
              <w:rPr>
                <w:rFonts w:cs="Arial"/>
                <w:color w:val="auto"/>
                <w:szCs w:val="21"/>
                <w:highlight w:val="none"/>
              </w:rPr>
              <w:t>14-16V</w:t>
            </w:r>
            <w:r>
              <w:rPr>
                <w:rFonts w:hAnsi="Arial" w:cs="Arial"/>
                <w:color w:val="auto"/>
                <w:szCs w:val="21"/>
                <w:highlight w:val="none"/>
              </w:rPr>
              <w:t>）</w:t>
            </w:r>
          </w:p>
          <w:p>
            <w:pPr>
              <w:widowControl/>
              <w:shd w:val="clear"/>
              <w:rPr>
                <w:rFonts w:ascii="Arial" w:hAnsi="Arial" w:cs="Arial"/>
                <w:color w:val="auto"/>
                <w:kern w:val="0"/>
                <w:szCs w:val="21"/>
                <w:highlight w:val="none"/>
              </w:rPr>
            </w:pPr>
            <w:r>
              <w:rPr>
                <w:rFonts w:hAnsi="Arial" w:cs="Arial"/>
                <w:color w:val="auto"/>
                <w:szCs w:val="21"/>
                <w:highlight w:val="none"/>
              </w:rPr>
              <w:t>阴天（</w:t>
            </w:r>
            <w:r>
              <w:rPr>
                <w:rFonts w:cs="Arial"/>
                <w:color w:val="auto"/>
                <w:szCs w:val="21"/>
                <w:highlight w:val="none"/>
              </w:rPr>
              <w:t>13-15V</w:t>
            </w:r>
            <w:r>
              <w:rPr>
                <w:rFonts w:hAnsi="Arial" w:cs="Arial"/>
                <w:color w:val="auto"/>
                <w:szCs w:val="21"/>
                <w:highlight w:val="none"/>
              </w:rPr>
              <w:t>）</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cs="Arial"/>
                <w:color w:val="auto"/>
                <w:szCs w:val="21"/>
                <w:highlight w:val="none"/>
              </w:rPr>
              <w:t> </w:t>
            </w:r>
          </w:p>
        </w:tc>
      </w:tr>
      <w:tr>
        <w:tblPrEx>
          <w:tblCellMar>
            <w:top w:w="0" w:type="dxa"/>
            <w:left w:w="0" w:type="dxa"/>
            <w:bottom w:w="0" w:type="dxa"/>
            <w:right w:w="0" w:type="dxa"/>
          </w:tblCellMar>
        </w:tblPrEx>
        <w:trPr>
          <w:trHeight w:val="295" w:hRule="atLeast"/>
          <w:jc w:val="center"/>
        </w:trPr>
        <w:tc>
          <w:tcPr>
            <w:tcW w:w="8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2</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蓄电池电压</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判断持续供电时间</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cs="Arial"/>
                <w:color w:val="auto"/>
                <w:szCs w:val="21"/>
                <w:highlight w:val="none"/>
              </w:rPr>
              <w:t>12-14V</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cs="Arial"/>
                <w:color w:val="auto"/>
                <w:szCs w:val="21"/>
                <w:highlight w:val="none"/>
              </w:rPr>
              <w:t> </w:t>
            </w:r>
          </w:p>
        </w:tc>
      </w:tr>
      <w:tr>
        <w:tblPrEx>
          <w:tblCellMar>
            <w:top w:w="0" w:type="dxa"/>
            <w:left w:w="0" w:type="dxa"/>
            <w:bottom w:w="0" w:type="dxa"/>
            <w:right w:w="0" w:type="dxa"/>
          </w:tblCellMar>
        </w:tblPrEx>
        <w:trPr>
          <w:trHeight w:val="260" w:hRule="atLeast"/>
          <w:jc w:val="center"/>
        </w:trPr>
        <w:tc>
          <w:tcPr>
            <w:tcW w:w="8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3</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cs="Arial"/>
                <w:color w:val="auto"/>
                <w:szCs w:val="21"/>
                <w:highlight w:val="none"/>
              </w:rPr>
              <w:t>PV</w:t>
            </w:r>
            <w:r>
              <w:rPr>
                <w:rFonts w:hAnsi="Arial" w:cs="Arial"/>
                <w:color w:val="auto"/>
                <w:szCs w:val="21"/>
                <w:highlight w:val="none"/>
              </w:rPr>
              <w:t>输出电压</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判断供电稳定性</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cs="Arial"/>
                <w:color w:val="auto"/>
                <w:szCs w:val="21"/>
                <w:highlight w:val="none"/>
              </w:rPr>
              <w:t>12-14V</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p>
        </w:tc>
      </w:tr>
      <w:tr>
        <w:tblPrEx>
          <w:tblCellMar>
            <w:top w:w="0" w:type="dxa"/>
            <w:left w:w="0" w:type="dxa"/>
            <w:bottom w:w="0" w:type="dxa"/>
            <w:right w:w="0" w:type="dxa"/>
          </w:tblCellMar>
        </w:tblPrEx>
        <w:trPr>
          <w:trHeight w:val="519" w:hRule="atLeast"/>
          <w:jc w:val="center"/>
        </w:trPr>
        <w:tc>
          <w:tcPr>
            <w:tcW w:w="8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4</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清洁太阳能板</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保证太阳能板最大充电状态</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无灰尘和无污物</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cs="Arial"/>
                <w:color w:val="auto"/>
                <w:szCs w:val="21"/>
                <w:highlight w:val="none"/>
              </w:rPr>
              <w:t> </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cs="Arial"/>
                <w:color w:val="auto"/>
                <w:szCs w:val="21"/>
                <w:highlight w:val="none"/>
              </w:rPr>
              <w:t> </w:t>
            </w:r>
          </w:p>
        </w:tc>
      </w:tr>
      <w:tr>
        <w:tblPrEx>
          <w:tblCellMar>
            <w:top w:w="0" w:type="dxa"/>
            <w:left w:w="0" w:type="dxa"/>
            <w:bottom w:w="0" w:type="dxa"/>
            <w:right w:w="0" w:type="dxa"/>
          </w:tblCellMar>
        </w:tblPrEx>
        <w:trPr>
          <w:trHeight w:val="519" w:hRule="atLeast"/>
          <w:jc w:val="center"/>
        </w:trPr>
        <w:tc>
          <w:tcPr>
            <w:tcW w:w="8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5</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外观检查、清洁，线路是否有断裂、虚接等</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保证可靠性运行</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电缆无虚接、外观无破损、无明显污染</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cs="Arial"/>
                <w:color w:val="auto"/>
                <w:szCs w:val="21"/>
                <w:highlight w:val="none"/>
              </w:rPr>
              <w:t> </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cs="Arial"/>
                <w:color w:val="auto"/>
                <w:szCs w:val="21"/>
                <w:highlight w:val="none"/>
              </w:rPr>
              <w:t> </w:t>
            </w:r>
          </w:p>
        </w:tc>
      </w:tr>
      <w:tr>
        <w:tblPrEx>
          <w:tblCellMar>
            <w:top w:w="0" w:type="dxa"/>
            <w:left w:w="0" w:type="dxa"/>
            <w:bottom w:w="0" w:type="dxa"/>
            <w:right w:w="0" w:type="dxa"/>
          </w:tblCellMar>
        </w:tblPrEx>
        <w:trPr>
          <w:trHeight w:val="260" w:hRule="atLeast"/>
          <w:jc w:val="center"/>
        </w:trPr>
        <w:tc>
          <w:tcPr>
            <w:tcW w:w="87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vAlign w:val="center"/>
          </w:tcPr>
          <w:p>
            <w:pPr>
              <w:widowControl/>
              <w:shd w:val="clear"/>
              <w:spacing w:line="260" w:lineRule="atLeast"/>
              <w:jc w:val="center"/>
              <w:rPr>
                <w:rFonts w:ascii="Arial" w:hAnsi="Arial" w:cs="Arial"/>
                <w:color w:val="auto"/>
                <w:kern w:val="0"/>
                <w:szCs w:val="21"/>
                <w:highlight w:val="none"/>
              </w:rPr>
            </w:pPr>
            <w:r>
              <w:rPr>
                <w:rFonts w:hAnsi="Arial" w:cs="Arial"/>
                <w:b/>
                <w:bCs/>
                <w:color w:val="auto"/>
                <w:szCs w:val="21"/>
                <w:highlight w:val="none"/>
              </w:rPr>
              <w:t>主采集箱</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工作电源电压</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判断供电稳定性</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cs="Arial"/>
                <w:color w:val="auto"/>
                <w:szCs w:val="21"/>
                <w:highlight w:val="none"/>
              </w:rPr>
              <w:t>11.8-13.8V</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cs="Arial"/>
                <w:color w:val="auto"/>
                <w:szCs w:val="21"/>
                <w:highlight w:val="none"/>
              </w:rPr>
              <w:t> </w:t>
            </w:r>
          </w:p>
        </w:tc>
      </w:tr>
      <w:tr>
        <w:tblPrEx>
          <w:tblCellMar>
            <w:top w:w="0" w:type="dxa"/>
            <w:left w:w="0" w:type="dxa"/>
            <w:bottom w:w="0" w:type="dxa"/>
            <w:right w:w="0" w:type="dxa"/>
          </w:tblCellMar>
        </w:tblPrEx>
        <w:trPr>
          <w:trHeight w:val="260" w:hRule="atLeast"/>
          <w:jc w:val="center"/>
        </w:trPr>
        <w:tc>
          <w:tcPr>
            <w:tcW w:w="8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2</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采集器工作指示灯</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判断采集器工作状态</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秒闪</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cs="Arial"/>
                <w:color w:val="auto"/>
                <w:szCs w:val="21"/>
                <w:highlight w:val="none"/>
              </w:rPr>
              <w:t> </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cs="Arial"/>
                <w:color w:val="auto"/>
                <w:szCs w:val="21"/>
                <w:highlight w:val="none"/>
              </w:rPr>
              <w:t> </w:t>
            </w:r>
          </w:p>
        </w:tc>
      </w:tr>
      <w:tr>
        <w:tblPrEx>
          <w:tblCellMar>
            <w:top w:w="0" w:type="dxa"/>
            <w:left w:w="0" w:type="dxa"/>
            <w:bottom w:w="0" w:type="dxa"/>
            <w:right w:w="0" w:type="dxa"/>
          </w:tblCellMar>
        </w:tblPrEx>
        <w:trPr>
          <w:trHeight w:val="260" w:hRule="atLeast"/>
          <w:jc w:val="center"/>
        </w:trPr>
        <w:tc>
          <w:tcPr>
            <w:tcW w:w="8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3</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气压计工作指示灯</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判断气压计工作状态</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hAnsi="Arial" w:cs="Arial"/>
                <w:color w:val="auto"/>
                <w:szCs w:val="21"/>
                <w:highlight w:val="none"/>
              </w:rPr>
              <w:t>常亮</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cs="Arial"/>
                <w:color w:val="auto"/>
                <w:szCs w:val="21"/>
                <w:highlight w:val="none"/>
              </w:rPr>
              <w:t> </w:t>
            </w:r>
            <w:r>
              <w:rPr>
                <w:rFonts w:hint="eastAsia" w:cs="Arial"/>
                <w:color w:val="auto"/>
                <w:szCs w:val="21"/>
                <w:highlight w:val="none"/>
              </w:rPr>
              <w:t>------</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0" w:lineRule="atLeast"/>
              <w:rPr>
                <w:rFonts w:ascii="Arial" w:hAnsi="Arial" w:cs="Arial"/>
                <w:color w:val="auto"/>
                <w:kern w:val="0"/>
                <w:szCs w:val="21"/>
                <w:highlight w:val="none"/>
              </w:rPr>
            </w:pPr>
            <w:r>
              <w:rPr>
                <w:rFonts w:cs="Arial"/>
                <w:color w:val="auto"/>
                <w:szCs w:val="21"/>
                <w:highlight w:val="none"/>
              </w:rPr>
              <w:t> </w:t>
            </w:r>
            <w:r>
              <w:rPr>
                <w:rFonts w:hint="eastAsia" w:cs="Arial"/>
                <w:color w:val="auto"/>
                <w:szCs w:val="21"/>
                <w:highlight w:val="none"/>
              </w:rPr>
              <w:t>---------</w:t>
            </w:r>
          </w:p>
        </w:tc>
      </w:tr>
      <w:tr>
        <w:tblPrEx>
          <w:tblCellMar>
            <w:top w:w="0" w:type="dxa"/>
            <w:left w:w="0" w:type="dxa"/>
            <w:bottom w:w="0" w:type="dxa"/>
            <w:right w:w="0" w:type="dxa"/>
          </w:tblCellMar>
        </w:tblPrEx>
        <w:trPr>
          <w:trHeight w:val="519" w:hRule="atLeast"/>
          <w:jc w:val="center"/>
        </w:trPr>
        <w:tc>
          <w:tcPr>
            <w:tcW w:w="8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4</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外观检查、清洁，线路是否有断裂、虚接等</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保证可靠性运行</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电缆无虚接、外观无破损、无明显污染</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cs="Arial"/>
                <w:color w:val="auto"/>
                <w:szCs w:val="21"/>
                <w:highlight w:val="none"/>
              </w:rPr>
              <w:t> </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cs="Arial"/>
                <w:color w:val="auto"/>
                <w:szCs w:val="21"/>
                <w:highlight w:val="none"/>
              </w:rPr>
              <w:t> </w:t>
            </w:r>
          </w:p>
        </w:tc>
      </w:tr>
      <w:tr>
        <w:tblPrEx>
          <w:tblCellMar>
            <w:top w:w="0" w:type="dxa"/>
            <w:left w:w="0" w:type="dxa"/>
            <w:bottom w:w="0" w:type="dxa"/>
            <w:right w:w="0" w:type="dxa"/>
          </w:tblCellMar>
        </w:tblPrEx>
        <w:trPr>
          <w:trHeight w:val="519" w:hRule="atLeast"/>
          <w:jc w:val="center"/>
        </w:trPr>
        <w:tc>
          <w:tcPr>
            <w:tcW w:w="87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vAlign w:val="center"/>
          </w:tcPr>
          <w:p>
            <w:pPr>
              <w:widowControl/>
              <w:shd w:val="clear"/>
              <w:jc w:val="center"/>
              <w:rPr>
                <w:rFonts w:ascii="Arial" w:hAnsi="Arial" w:cs="Arial"/>
                <w:color w:val="auto"/>
                <w:kern w:val="0"/>
                <w:szCs w:val="21"/>
                <w:highlight w:val="none"/>
              </w:rPr>
            </w:pPr>
            <w:r>
              <w:rPr>
                <w:rFonts w:hAnsi="Arial" w:cs="Arial"/>
                <w:b/>
                <w:bCs/>
                <w:color w:val="auto"/>
                <w:szCs w:val="21"/>
                <w:highlight w:val="none"/>
              </w:rPr>
              <w:t>温、湿度</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温、湿度传感器安装高度</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符合规范</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敏感元件距地面</w:t>
            </w:r>
            <w:r>
              <w:rPr>
                <w:rFonts w:cs="Arial"/>
                <w:color w:val="auto"/>
                <w:szCs w:val="21"/>
                <w:highlight w:val="none"/>
              </w:rPr>
              <w:t>1.5</w:t>
            </w:r>
            <w:r>
              <w:rPr>
                <w:rFonts w:hAnsi="Arial" w:cs="Arial"/>
                <w:color w:val="auto"/>
                <w:szCs w:val="21"/>
                <w:highlight w:val="none"/>
              </w:rPr>
              <w:t>米</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cs="Arial"/>
                <w:color w:val="auto"/>
                <w:szCs w:val="21"/>
                <w:highlight w:val="none"/>
              </w:rPr>
              <w:t> </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cs="Arial"/>
                <w:color w:val="auto"/>
                <w:szCs w:val="21"/>
                <w:highlight w:val="none"/>
              </w:rPr>
              <w:t> </w:t>
            </w:r>
          </w:p>
        </w:tc>
      </w:tr>
      <w:tr>
        <w:tblPrEx>
          <w:tblCellMar>
            <w:top w:w="0" w:type="dxa"/>
            <w:left w:w="0" w:type="dxa"/>
            <w:bottom w:w="0" w:type="dxa"/>
            <w:right w:w="0" w:type="dxa"/>
          </w:tblCellMar>
        </w:tblPrEx>
        <w:trPr>
          <w:trHeight w:val="519" w:hRule="atLeast"/>
          <w:jc w:val="center"/>
        </w:trPr>
        <w:tc>
          <w:tcPr>
            <w:tcW w:w="8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2</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温湿度传感器保护罩外观检查、清洁</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保证测量数据质量</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无灰尘</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cs="Arial"/>
                <w:color w:val="auto"/>
                <w:szCs w:val="21"/>
                <w:highlight w:val="none"/>
              </w:rPr>
              <w:t> </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cs="Arial"/>
                <w:color w:val="auto"/>
                <w:szCs w:val="21"/>
                <w:highlight w:val="none"/>
              </w:rPr>
              <w:t> </w:t>
            </w:r>
          </w:p>
        </w:tc>
      </w:tr>
      <w:tr>
        <w:tblPrEx>
          <w:tblCellMar>
            <w:top w:w="0" w:type="dxa"/>
            <w:left w:w="0" w:type="dxa"/>
            <w:bottom w:w="0" w:type="dxa"/>
            <w:right w:w="0" w:type="dxa"/>
          </w:tblCellMar>
        </w:tblPrEx>
        <w:trPr>
          <w:trHeight w:val="519" w:hRule="atLeast"/>
          <w:jc w:val="center"/>
        </w:trPr>
        <w:tc>
          <w:tcPr>
            <w:tcW w:w="87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3</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外观检查、清洁，线路是否有断裂、虚接等</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保证可靠性运行</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电缆无虚接、外观无破损、无明显污染</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cs="Arial"/>
                <w:color w:val="auto"/>
                <w:szCs w:val="21"/>
                <w:highlight w:val="none"/>
              </w:rPr>
              <w:t> </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cs="Arial"/>
                <w:color w:val="auto"/>
                <w:szCs w:val="21"/>
                <w:highlight w:val="none"/>
              </w:rPr>
              <w:t> </w:t>
            </w:r>
          </w:p>
        </w:tc>
      </w:tr>
      <w:tr>
        <w:tblPrEx>
          <w:tblCellMar>
            <w:top w:w="0" w:type="dxa"/>
            <w:left w:w="0" w:type="dxa"/>
            <w:bottom w:w="0" w:type="dxa"/>
            <w:right w:w="0" w:type="dxa"/>
          </w:tblCellMar>
        </w:tblPrEx>
        <w:trPr>
          <w:trHeight w:val="519" w:hRule="atLeast"/>
          <w:jc w:val="center"/>
        </w:trPr>
        <w:tc>
          <w:tcPr>
            <w:tcW w:w="876" w:type="dxa"/>
            <w:vMerge w:val="restart"/>
            <w:tcBorders>
              <w:top w:val="single" w:color="000000" w:sz="8" w:space="0"/>
              <w:left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r>
              <w:rPr>
                <w:rFonts w:hAnsi="Arial" w:cs="Arial"/>
                <w:b/>
                <w:bCs/>
                <w:color w:val="auto"/>
                <w:szCs w:val="21"/>
                <w:highlight w:val="none"/>
              </w:rPr>
              <w:t>风</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目测启动风速</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保证测量数据质量</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微风下能启动（结合调试数据）</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p>
        </w:tc>
      </w:tr>
      <w:tr>
        <w:tblPrEx>
          <w:tblCellMar>
            <w:top w:w="0" w:type="dxa"/>
            <w:left w:w="0" w:type="dxa"/>
            <w:bottom w:w="0" w:type="dxa"/>
            <w:right w:w="0" w:type="dxa"/>
          </w:tblCellMar>
        </w:tblPrEx>
        <w:trPr>
          <w:trHeight w:val="519" w:hRule="atLeast"/>
          <w:jc w:val="center"/>
        </w:trPr>
        <w:tc>
          <w:tcPr>
            <w:tcW w:w="876" w:type="dxa"/>
            <w:vMerge w:val="continue"/>
            <w:tcBorders>
              <w:left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2</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目测风向转动</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保证测量数据质量</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转动灵活</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cs="Arial"/>
                <w:color w:val="auto"/>
                <w:szCs w:val="21"/>
                <w:highlight w:val="none"/>
              </w:rPr>
            </w:pP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p>
        </w:tc>
      </w:tr>
      <w:tr>
        <w:tblPrEx>
          <w:tblCellMar>
            <w:top w:w="0" w:type="dxa"/>
            <w:left w:w="0" w:type="dxa"/>
            <w:bottom w:w="0" w:type="dxa"/>
            <w:right w:w="0" w:type="dxa"/>
          </w:tblCellMar>
        </w:tblPrEx>
        <w:trPr>
          <w:trHeight w:val="519" w:hRule="atLeast"/>
          <w:jc w:val="center"/>
        </w:trPr>
        <w:tc>
          <w:tcPr>
            <w:tcW w:w="876" w:type="dxa"/>
            <w:vMerge w:val="continue"/>
            <w:tcBorders>
              <w:left w:val="single" w:color="000000" w:sz="8" w:space="0"/>
              <w:bottom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3</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外观检查、清洁，线路是否有断裂、虚接等</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保证可靠性运行</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电缆无虚接、外观无破损、无明显污染</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p>
        </w:tc>
      </w:tr>
      <w:tr>
        <w:tblPrEx>
          <w:tblCellMar>
            <w:top w:w="0" w:type="dxa"/>
            <w:left w:w="0" w:type="dxa"/>
            <w:bottom w:w="0" w:type="dxa"/>
            <w:right w:w="0" w:type="dxa"/>
          </w:tblCellMar>
        </w:tblPrEx>
        <w:trPr>
          <w:trHeight w:val="107" w:hRule="atLeast"/>
          <w:jc w:val="center"/>
        </w:trPr>
        <w:tc>
          <w:tcPr>
            <w:tcW w:w="876" w:type="dxa"/>
            <w:vMerge w:val="restart"/>
            <w:tcBorders>
              <w:top w:val="single" w:color="000000" w:sz="8" w:space="0"/>
              <w:left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r>
              <w:rPr>
                <w:rFonts w:hAnsi="Arial" w:cs="Arial"/>
                <w:b/>
                <w:bCs/>
                <w:color w:val="auto"/>
                <w:szCs w:val="21"/>
                <w:highlight w:val="none"/>
              </w:rPr>
              <w:t>雨量</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翻斗翻动灵活检查</w:t>
            </w:r>
          </w:p>
        </w:tc>
        <w:tc>
          <w:tcPr>
            <w:tcW w:w="2268" w:type="dxa"/>
            <w:vMerge w:val="restart"/>
            <w:tcBorders>
              <w:top w:val="single" w:color="000000" w:sz="8" w:space="0"/>
              <w:left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保证测量数据质量</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翻动灵活</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cs="Arial"/>
                <w:color w:val="auto"/>
                <w:szCs w:val="21"/>
                <w:highlight w:val="none"/>
              </w:rPr>
            </w:pP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p>
        </w:tc>
      </w:tr>
      <w:tr>
        <w:tblPrEx>
          <w:tblCellMar>
            <w:top w:w="0" w:type="dxa"/>
            <w:left w:w="0" w:type="dxa"/>
            <w:bottom w:w="0" w:type="dxa"/>
            <w:right w:w="0" w:type="dxa"/>
          </w:tblCellMar>
        </w:tblPrEx>
        <w:trPr>
          <w:trHeight w:val="152" w:hRule="atLeast"/>
          <w:jc w:val="center"/>
        </w:trPr>
        <w:tc>
          <w:tcPr>
            <w:tcW w:w="876" w:type="dxa"/>
            <w:vMerge w:val="continue"/>
            <w:tcBorders>
              <w:left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2</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漏斗堵塞检查</w:t>
            </w:r>
          </w:p>
        </w:tc>
        <w:tc>
          <w:tcPr>
            <w:tcW w:w="2268" w:type="dxa"/>
            <w:vMerge w:val="continue"/>
            <w:tcBorders>
              <w:left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hAnsi="Arial" w:cs="Arial"/>
                <w:color w:val="auto"/>
                <w:szCs w:val="21"/>
                <w:highlight w:val="none"/>
              </w:rPr>
            </w:pP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无堵塞</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cs="Arial"/>
                <w:color w:val="auto"/>
                <w:szCs w:val="21"/>
                <w:highlight w:val="none"/>
              </w:rPr>
            </w:pP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p>
        </w:tc>
      </w:tr>
      <w:tr>
        <w:tblPrEx>
          <w:tblCellMar>
            <w:top w:w="0" w:type="dxa"/>
            <w:left w:w="0" w:type="dxa"/>
            <w:bottom w:w="0" w:type="dxa"/>
            <w:right w:w="0" w:type="dxa"/>
          </w:tblCellMar>
        </w:tblPrEx>
        <w:trPr>
          <w:trHeight w:val="87" w:hRule="atLeast"/>
          <w:jc w:val="center"/>
        </w:trPr>
        <w:tc>
          <w:tcPr>
            <w:tcW w:w="876" w:type="dxa"/>
            <w:vMerge w:val="continue"/>
            <w:tcBorders>
              <w:left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3</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干簧管通断检测</w:t>
            </w:r>
          </w:p>
        </w:tc>
        <w:tc>
          <w:tcPr>
            <w:tcW w:w="2268" w:type="dxa"/>
            <w:vMerge w:val="continue"/>
            <w:tcBorders>
              <w:left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hAnsi="Arial" w:cs="Arial"/>
                <w:color w:val="auto"/>
                <w:szCs w:val="21"/>
                <w:highlight w:val="none"/>
              </w:rPr>
            </w:pP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翻动能导通</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cs="Arial"/>
                <w:color w:val="auto"/>
                <w:szCs w:val="21"/>
                <w:highlight w:val="none"/>
              </w:rPr>
            </w:pP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p>
        </w:tc>
      </w:tr>
      <w:tr>
        <w:tblPrEx>
          <w:tblCellMar>
            <w:top w:w="0" w:type="dxa"/>
            <w:left w:w="0" w:type="dxa"/>
            <w:bottom w:w="0" w:type="dxa"/>
            <w:right w:w="0" w:type="dxa"/>
          </w:tblCellMar>
        </w:tblPrEx>
        <w:trPr>
          <w:trHeight w:val="176" w:hRule="atLeast"/>
          <w:jc w:val="center"/>
        </w:trPr>
        <w:tc>
          <w:tcPr>
            <w:tcW w:w="876" w:type="dxa"/>
            <w:vMerge w:val="continue"/>
            <w:tcBorders>
              <w:left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4</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安装水平检查</w:t>
            </w:r>
          </w:p>
        </w:tc>
        <w:tc>
          <w:tcPr>
            <w:tcW w:w="2268" w:type="dxa"/>
            <w:vMerge w:val="continue"/>
            <w:tcBorders>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hAnsi="Arial" w:cs="Arial"/>
                <w:color w:val="auto"/>
                <w:szCs w:val="21"/>
                <w:highlight w:val="none"/>
              </w:rPr>
            </w:pP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水平泡居中</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cs="Arial"/>
                <w:color w:val="auto"/>
                <w:szCs w:val="21"/>
                <w:highlight w:val="none"/>
              </w:rPr>
            </w:pP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p>
        </w:tc>
      </w:tr>
      <w:tr>
        <w:tblPrEx>
          <w:tblCellMar>
            <w:top w:w="0" w:type="dxa"/>
            <w:left w:w="0" w:type="dxa"/>
            <w:bottom w:w="0" w:type="dxa"/>
            <w:right w:w="0" w:type="dxa"/>
          </w:tblCellMar>
        </w:tblPrEx>
        <w:trPr>
          <w:trHeight w:val="519" w:hRule="atLeast"/>
          <w:jc w:val="center"/>
        </w:trPr>
        <w:tc>
          <w:tcPr>
            <w:tcW w:w="876" w:type="dxa"/>
            <w:vMerge w:val="continue"/>
            <w:tcBorders>
              <w:left w:val="single" w:color="000000" w:sz="8" w:space="0"/>
              <w:bottom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5</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外观检查、清洁，线路是否有断裂、虚接等</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hAnsi="Arial" w:cs="Arial"/>
                <w:color w:val="auto"/>
                <w:szCs w:val="21"/>
                <w:highlight w:val="none"/>
              </w:rPr>
            </w:pPr>
            <w:r>
              <w:rPr>
                <w:rFonts w:hAnsi="Arial" w:cs="Arial"/>
                <w:color w:val="auto"/>
                <w:szCs w:val="21"/>
                <w:highlight w:val="none"/>
              </w:rPr>
              <w:t>保证可靠性运行</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电缆无虚接、外观无破损、无明显污染</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p>
        </w:tc>
      </w:tr>
      <w:tr>
        <w:tblPrEx>
          <w:tblCellMar>
            <w:top w:w="0" w:type="dxa"/>
            <w:left w:w="0" w:type="dxa"/>
            <w:bottom w:w="0" w:type="dxa"/>
            <w:right w:w="0" w:type="dxa"/>
          </w:tblCellMar>
        </w:tblPrEx>
        <w:trPr>
          <w:trHeight w:val="519" w:hRule="atLeast"/>
          <w:jc w:val="center"/>
        </w:trPr>
        <w:tc>
          <w:tcPr>
            <w:tcW w:w="876" w:type="dxa"/>
            <w:vMerge w:val="restart"/>
            <w:tcBorders>
              <w:left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r>
              <w:rPr>
                <w:rFonts w:hAnsi="Arial" w:cs="Arial"/>
                <w:b/>
                <w:bCs/>
                <w:color w:val="auto"/>
                <w:szCs w:val="21"/>
                <w:highlight w:val="none"/>
              </w:rPr>
              <w:t>能见度</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太阳能板供电电压</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判断充电条件</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晴天（</w:t>
            </w:r>
            <w:r>
              <w:rPr>
                <w:rFonts w:cs="Arial"/>
                <w:color w:val="auto"/>
                <w:szCs w:val="21"/>
                <w:highlight w:val="none"/>
              </w:rPr>
              <w:t>14-16V</w:t>
            </w:r>
            <w:r>
              <w:rPr>
                <w:rFonts w:hAnsi="Arial" w:cs="Arial"/>
                <w:color w:val="auto"/>
                <w:szCs w:val="21"/>
                <w:highlight w:val="none"/>
              </w:rPr>
              <w:t>）</w:t>
            </w:r>
          </w:p>
          <w:p>
            <w:pPr>
              <w:widowControl/>
              <w:shd w:val="clear"/>
              <w:rPr>
                <w:rFonts w:ascii="Arial" w:hAnsi="Arial" w:cs="Arial"/>
                <w:color w:val="auto"/>
                <w:kern w:val="0"/>
                <w:szCs w:val="21"/>
                <w:highlight w:val="none"/>
              </w:rPr>
            </w:pPr>
            <w:r>
              <w:rPr>
                <w:rFonts w:hAnsi="Arial" w:cs="Arial"/>
                <w:color w:val="auto"/>
                <w:szCs w:val="21"/>
                <w:highlight w:val="none"/>
              </w:rPr>
              <w:t>阴天（</w:t>
            </w:r>
            <w:r>
              <w:rPr>
                <w:rFonts w:cs="Arial"/>
                <w:color w:val="auto"/>
                <w:szCs w:val="21"/>
                <w:highlight w:val="none"/>
              </w:rPr>
              <w:t>13-15V</w:t>
            </w:r>
            <w:r>
              <w:rPr>
                <w:rFonts w:hAnsi="Arial" w:cs="Arial"/>
                <w:color w:val="auto"/>
                <w:szCs w:val="21"/>
                <w:highlight w:val="none"/>
              </w:rPr>
              <w:t>）</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r>
      <w:tr>
        <w:tblPrEx>
          <w:tblCellMar>
            <w:top w:w="0" w:type="dxa"/>
            <w:left w:w="0" w:type="dxa"/>
            <w:bottom w:w="0" w:type="dxa"/>
            <w:right w:w="0" w:type="dxa"/>
          </w:tblCellMar>
        </w:tblPrEx>
        <w:trPr>
          <w:trHeight w:val="214" w:hRule="atLeast"/>
          <w:jc w:val="center"/>
        </w:trPr>
        <w:tc>
          <w:tcPr>
            <w:tcW w:w="876" w:type="dxa"/>
            <w:vMerge w:val="continue"/>
            <w:tcBorders>
              <w:left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2</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蓄电池电压</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判断持续供电时间</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cs="Arial"/>
                <w:color w:val="auto"/>
                <w:szCs w:val="21"/>
                <w:highlight w:val="none"/>
              </w:rPr>
              <w:t>12-14V</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r>
      <w:tr>
        <w:tblPrEx>
          <w:tblCellMar>
            <w:top w:w="0" w:type="dxa"/>
            <w:left w:w="0" w:type="dxa"/>
            <w:bottom w:w="0" w:type="dxa"/>
            <w:right w:w="0" w:type="dxa"/>
          </w:tblCellMar>
        </w:tblPrEx>
        <w:trPr>
          <w:trHeight w:val="148" w:hRule="atLeast"/>
          <w:jc w:val="center"/>
        </w:trPr>
        <w:tc>
          <w:tcPr>
            <w:tcW w:w="876" w:type="dxa"/>
            <w:vMerge w:val="continue"/>
            <w:tcBorders>
              <w:left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3</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cs="Arial"/>
                <w:color w:val="auto"/>
                <w:szCs w:val="21"/>
                <w:highlight w:val="none"/>
              </w:rPr>
              <w:t>PV</w:t>
            </w:r>
            <w:r>
              <w:rPr>
                <w:rFonts w:hAnsi="Arial" w:cs="Arial"/>
                <w:color w:val="auto"/>
                <w:szCs w:val="21"/>
                <w:highlight w:val="none"/>
              </w:rPr>
              <w:t>输出电压</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判断供电稳定性</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cs="Arial"/>
                <w:color w:val="auto"/>
                <w:szCs w:val="21"/>
                <w:highlight w:val="none"/>
              </w:rPr>
              <w:t>12-14V</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r>
      <w:tr>
        <w:tblPrEx>
          <w:tblCellMar>
            <w:top w:w="0" w:type="dxa"/>
            <w:left w:w="0" w:type="dxa"/>
            <w:bottom w:w="0" w:type="dxa"/>
            <w:right w:w="0" w:type="dxa"/>
          </w:tblCellMar>
        </w:tblPrEx>
        <w:trPr>
          <w:trHeight w:val="83" w:hRule="atLeast"/>
          <w:jc w:val="center"/>
        </w:trPr>
        <w:tc>
          <w:tcPr>
            <w:tcW w:w="876" w:type="dxa"/>
            <w:vMerge w:val="continue"/>
            <w:tcBorders>
              <w:left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4</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镜头清洁（定期</w:t>
            </w:r>
            <w:r>
              <w:rPr>
                <w:rFonts w:cs="Arial"/>
                <w:color w:val="auto"/>
                <w:szCs w:val="21"/>
                <w:highlight w:val="none"/>
              </w:rPr>
              <w:t>CLEAN</w:t>
            </w:r>
            <w:r>
              <w:rPr>
                <w:rFonts w:hAnsi="Arial" w:cs="Arial"/>
                <w:color w:val="auto"/>
                <w:szCs w:val="21"/>
                <w:highlight w:val="none"/>
              </w:rPr>
              <w:t>操作）</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保证测量数据质量</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镜头无灰尘和无污物</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r>
      <w:tr>
        <w:tblPrEx>
          <w:tblCellMar>
            <w:top w:w="0" w:type="dxa"/>
            <w:left w:w="0" w:type="dxa"/>
            <w:bottom w:w="0" w:type="dxa"/>
            <w:right w:w="0" w:type="dxa"/>
          </w:tblCellMar>
        </w:tblPrEx>
        <w:trPr>
          <w:trHeight w:val="527" w:hRule="atLeast"/>
          <w:jc w:val="center"/>
        </w:trPr>
        <w:tc>
          <w:tcPr>
            <w:tcW w:w="876" w:type="dxa"/>
            <w:vMerge w:val="continue"/>
            <w:tcBorders>
              <w:left w:val="single" w:color="000000" w:sz="8" w:space="0"/>
              <w:bottom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5</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外观检查、清洁，线路是否有断裂、虚接等</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保证可靠性运行</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电缆无虚接、外观无破损、无明显污染</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r>
      <w:tr>
        <w:tblPrEx>
          <w:tblCellMar>
            <w:top w:w="0" w:type="dxa"/>
            <w:left w:w="0" w:type="dxa"/>
            <w:bottom w:w="0" w:type="dxa"/>
            <w:right w:w="0" w:type="dxa"/>
          </w:tblCellMar>
        </w:tblPrEx>
        <w:trPr>
          <w:trHeight w:val="196" w:hRule="atLeast"/>
          <w:jc w:val="center"/>
        </w:trPr>
        <w:tc>
          <w:tcPr>
            <w:tcW w:w="876" w:type="dxa"/>
            <w:vMerge w:val="restart"/>
            <w:tcBorders>
              <w:top w:val="single" w:color="000000" w:sz="8" w:space="0"/>
              <w:left w:val="single" w:color="000000" w:sz="8" w:space="0"/>
              <w:right w:val="single" w:color="000000" w:sz="8" w:space="0"/>
            </w:tcBorders>
            <w:shd w:val="clear" w:color="auto" w:fill="auto"/>
            <w:vAlign w:val="center"/>
          </w:tcPr>
          <w:p>
            <w:pPr>
              <w:widowControl/>
              <w:shd w:val="clear"/>
              <w:jc w:val="center"/>
              <w:rPr>
                <w:rFonts w:ascii="Arial" w:hAnsi="Arial" w:cs="Arial"/>
                <w:color w:val="auto"/>
                <w:kern w:val="0"/>
                <w:szCs w:val="21"/>
                <w:highlight w:val="none"/>
              </w:rPr>
            </w:pPr>
            <w:r>
              <w:rPr>
                <w:rFonts w:hAnsi="Arial" w:cs="Arial"/>
                <w:b/>
                <w:bCs/>
                <w:color w:val="auto"/>
                <w:szCs w:val="21"/>
                <w:highlight w:val="none"/>
              </w:rPr>
              <w:t>地温</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采集器工作电源电压</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判断供电稳定性</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cs="Arial"/>
                <w:color w:val="auto"/>
                <w:szCs w:val="21"/>
                <w:highlight w:val="none"/>
              </w:rPr>
              <w:t>11.8-13.8V</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r>
      <w:tr>
        <w:tblPrEx>
          <w:tblCellMar>
            <w:top w:w="0" w:type="dxa"/>
            <w:left w:w="0" w:type="dxa"/>
            <w:bottom w:w="0" w:type="dxa"/>
            <w:right w:w="0" w:type="dxa"/>
          </w:tblCellMar>
        </w:tblPrEx>
        <w:trPr>
          <w:trHeight w:val="145" w:hRule="atLeast"/>
          <w:jc w:val="center"/>
        </w:trPr>
        <w:tc>
          <w:tcPr>
            <w:tcW w:w="876" w:type="dxa"/>
            <w:vMerge w:val="continue"/>
            <w:tcBorders>
              <w:left w:val="single" w:color="000000" w:sz="8" w:space="0"/>
              <w:right w:val="single" w:color="000000" w:sz="8" w:space="0"/>
            </w:tcBorders>
            <w:shd w:val="clear" w:color="auto" w:fill="auto"/>
            <w:vAlign w:val="center"/>
          </w:tcPr>
          <w:p>
            <w:pPr>
              <w:widowControl/>
              <w:shd w:val="clear"/>
              <w:jc w:val="left"/>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2</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采集器工作指示灯</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判断采集器工作状态</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spacing w:line="263" w:lineRule="atLeast"/>
              <w:rPr>
                <w:rFonts w:ascii="Arial" w:hAnsi="Arial" w:cs="Arial"/>
                <w:color w:val="auto"/>
                <w:kern w:val="0"/>
                <w:szCs w:val="21"/>
                <w:highlight w:val="none"/>
              </w:rPr>
            </w:pPr>
            <w:r>
              <w:rPr>
                <w:rFonts w:hAnsi="Arial" w:cs="Arial"/>
                <w:color w:val="auto"/>
                <w:szCs w:val="21"/>
                <w:highlight w:val="none"/>
              </w:rPr>
              <w:t>秒闪</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r>
      <w:tr>
        <w:tblPrEx>
          <w:tblCellMar>
            <w:top w:w="0" w:type="dxa"/>
            <w:left w:w="0" w:type="dxa"/>
            <w:bottom w:w="0" w:type="dxa"/>
            <w:right w:w="0" w:type="dxa"/>
          </w:tblCellMar>
        </w:tblPrEx>
        <w:trPr>
          <w:trHeight w:val="429" w:hRule="atLeast"/>
          <w:jc w:val="center"/>
        </w:trPr>
        <w:tc>
          <w:tcPr>
            <w:tcW w:w="876" w:type="dxa"/>
            <w:vMerge w:val="continue"/>
            <w:tcBorders>
              <w:left w:val="single" w:color="000000" w:sz="8" w:space="0"/>
              <w:right w:val="single" w:color="000000" w:sz="8" w:space="0"/>
            </w:tcBorders>
            <w:shd w:val="clear" w:color="auto" w:fill="auto"/>
            <w:vAlign w:val="center"/>
          </w:tcPr>
          <w:p>
            <w:pPr>
              <w:widowControl/>
              <w:shd w:val="clear"/>
              <w:jc w:val="left"/>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3</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外观检查、清洁，线路是否有断裂、虚接等</w:t>
            </w: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保证可靠性运行</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电缆无虚接、外观无破损、无明显污染</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r>
      <w:tr>
        <w:tblPrEx>
          <w:tblCellMar>
            <w:top w:w="0" w:type="dxa"/>
            <w:left w:w="0" w:type="dxa"/>
            <w:bottom w:w="0" w:type="dxa"/>
            <w:right w:w="0" w:type="dxa"/>
          </w:tblCellMar>
        </w:tblPrEx>
        <w:trPr>
          <w:trHeight w:val="546" w:hRule="atLeast"/>
          <w:jc w:val="center"/>
        </w:trPr>
        <w:tc>
          <w:tcPr>
            <w:tcW w:w="876" w:type="dxa"/>
            <w:vMerge w:val="continue"/>
            <w:tcBorders>
              <w:left w:val="single" w:color="000000" w:sz="8" w:space="0"/>
              <w:bottom w:val="single" w:color="000000" w:sz="8" w:space="0"/>
              <w:right w:val="single" w:color="000000" w:sz="8" w:space="0"/>
            </w:tcBorders>
            <w:shd w:val="clear" w:color="auto" w:fill="auto"/>
            <w:vAlign w:val="center"/>
          </w:tcPr>
          <w:p>
            <w:pPr>
              <w:widowControl/>
              <w:shd w:val="clear"/>
              <w:jc w:val="left"/>
              <w:rPr>
                <w:rFonts w:ascii="Arial" w:hAnsi="Arial" w:cs="Arial"/>
                <w:color w:val="auto"/>
                <w:kern w:val="0"/>
                <w:szCs w:val="21"/>
                <w:highlight w:val="none"/>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int="eastAsia" w:ascii="Arial" w:hAnsi="Arial" w:cs="Arial"/>
                <w:color w:val="auto"/>
                <w:kern w:val="0"/>
                <w:szCs w:val="21"/>
                <w:highlight w:val="none"/>
              </w:rPr>
              <w:t>4</w:t>
            </w:r>
          </w:p>
        </w:tc>
        <w:tc>
          <w:tcPr>
            <w:tcW w:w="4320"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p>
        </w:tc>
        <w:tc>
          <w:tcPr>
            <w:tcW w:w="2268"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保证测量数据质量</w:t>
            </w:r>
          </w:p>
        </w:tc>
        <w:tc>
          <w:tcPr>
            <w:tcW w:w="4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ascii="Arial" w:hAnsi="Arial" w:cs="Arial"/>
                <w:color w:val="auto"/>
                <w:kern w:val="0"/>
                <w:szCs w:val="21"/>
                <w:highlight w:val="none"/>
              </w:rPr>
            </w:pPr>
            <w:r>
              <w:rPr>
                <w:rFonts w:hAnsi="Arial" w:cs="Arial"/>
                <w:color w:val="auto"/>
                <w:szCs w:val="21"/>
                <w:highlight w:val="none"/>
              </w:rPr>
              <w:t>地表温传感器一半露出地面</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c>
          <w:tcPr>
            <w:tcW w:w="1111" w:type="dxa"/>
            <w:tcBorders>
              <w:top w:val="single" w:color="000000" w:sz="8" w:space="0"/>
              <w:left w:val="single" w:color="000000" w:sz="8" w:space="0"/>
              <w:bottom w:val="single" w:color="000000" w:sz="8" w:space="0"/>
              <w:right w:val="single" w:color="000000" w:sz="8" w:space="0"/>
            </w:tcBorders>
            <w:shd w:val="clear" w:color="auto" w:fill="auto"/>
            <w:tcMar>
              <w:top w:w="15" w:type="dxa"/>
              <w:left w:w="95" w:type="dxa"/>
              <w:bottom w:w="0" w:type="dxa"/>
              <w:right w:w="95" w:type="dxa"/>
            </w:tcMar>
          </w:tcPr>
          <w:p>
            <w:pPr>
              <w:widowControl/>
              <w:shd w:val="clear"/>
              <w:rPr>
                <w:rFonts w:cs="Arial"/>
                <w:color w:val="auto"/>
                <w:szCs w:val="21"/>
                <w:highlight w:val="none"/>
              </w:rPr>
            </w:pPr>
            <w:r>
              <w:rPr>
                <w:rFonts w:hint="eastAsia" w:cs="Arial"/>
                <w:color w:val="auto"/>
                <w:szCs w:val="21"/>
                <w:highlight w:val="none"/>
              </w:rPr>
              <w:t>----------</w:t>
            </w:r>
          </w:p>
        </w:tc>
      </w:tr>
    </w:tbl>
    <w:p>
      <w:pPr>
        <w:pStyle w:val="2"/>
        <w:shd w:val="clear"/>
        <w:rPr>
          <w:color w:val="auto"/>
          <w:highlight w:val="none"/>
        </w:rPr>
        <w:sectPr>
          <w:footerReference r:id="rId7" w:type="default"/>
          <w:pgSz w:w="16838" w:h="11906" w:orient="landscape"/>
          <w:pgMar w:top="1797" w:right="1077" w:bottom="1797" w:left="1134" w:header="851" w:footer="992" w:gutter="0"/>
          <w:cols w:space="720" w:num="1"/>
          <w:docGrid w:type="linesAndChars" w:linePitch="312" w:charSpace="0"/>
        </w:sectPr>
      </w:pPr>
    </w:p>
    <w:p>
      <w:pPr>
        <w:shd w:val="clear"/>
        <w:ind w:firstLine="240" w:firstLineChars="100"/>
        <w:rPr>
          <w:rFonts w:hint="eastAsia" w:ascii="宋体" w:hAnsi="宋体" w:eastAsia="宋体" w:cs="宋体"/>
          <w:color w:val="auto"/>
          <w:sz w:val="24"/>
          <w:szCs w:val="24"/>
          <w:highlight w:val="none"/>
        </w:rPr>
      </w:pPr>
    </w:p>
    <w:p>
      <w:pPr>
        <w:shd w:val="clea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附录2 </w:t>
      </w:r>
    </w:p>
    <w:p>
      <w:pPr>
        <w:shd w:val="clea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区域自动气象站维修记录表</w:t>
      </w:r>
    </w:p>
    <w:p>
      <w:pPr>
        <w:shd w:val="clear"/>
        <w:spacing w:line="50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填表人：             填表时间：     年   月  日  时</w:t>
      </w:r>
    </w:p>
    <w:tbl>
      <w:tblPr>
        <w:tblStyle w:val="2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1561"/>
        <w:gridCol w:w="2270"/>
        <w:gridCol w:w="3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接警时间</w:t>
            </w:r>
          </w:p>
        </w:tc>
        <w:tc>
          <w:tcPr>
            <w:tcW w:w="4105" w:type="pct"/>
            <w:gridSpan w:val="3"/>
            <w:vAlign w:val="center"/>
          </w:tcPr>
          <w:p>
            <w:pPr>
              <w:shd w:val="clear"/>
              <w:spacing w:line="500" w:lineRule="exact"/>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Merge w:val="restar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告警来源</w:t>
            </w:r>
          </w:p>
        </w:tc>
        <w:tc>
          <w:tcPr>
            <w:tcW w:w="915" w:type="pc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331" w:type="pc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859" w:type="pc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Merge w:val="continue"/>
            <w:vAlign w:val="center"/>
          </w:tcPr>
          <w:p>
            <w:pPr>
              <w:shd w:val="clear"/>
              <w:spacing w:line="500" w:lineRule="exact"/>
              <w:rPr>
                <w:rFonts w:hint="eastAsia" w:ascii="宋体" w:hAnsi="宋体" w:eastAsia="宋体" w:cs="宋体"/>
                <w:color w:val="auto"/>
                <w:sz w:val="24"/>
                <w:szCs w:val="24"/>
                <w:highlight w:val="none"/>
              </w:rPr>
            </w:pPr>
          </w:p>
        </w:tc>
        <w:tc>
          <w:tcPr>
            <w:tcW w:w="915" w:type="pct"/>
            <w:vAlign w:val="center"/>
          </w:tcPr>
          <w:p>
            <w:pPr>
              <w:shd w:val="clear"/>
              <w:spacing w:line="500" w:lineRule="exact"/>
              <w:rPr>
                <w:rFonts w:hint="eastAsia" w:ascii="宋体" w:hAnsi="宋体" w:eastAsia="宋体" w:cs="宋体"/>
                <w:color w:val="auto"/>
                <w:sz w:val="24"/>
                <w:szCs w:val="24"/>
                <w:highlight w:val="none"/>
              </w:rPr>
            </w:pPr>
          </w:p>
        </w:tc>
        <w:tc>
          <w:tcPr>
            <w:tcW w:w="1331" w:type="pct"/>
            <w:vAlign w:val="center"/>
          </w:tcPr>
          <w:p>
            <w:pPr>
              <w:shd w:val="clear"/>
              <w:spacing w:line="500" w:lineRule="exact"/>
              <w:rPr>
                <w:rFonts w:hint="eastAsia" w:ascii="宋体" w:hAnsi="宋体" w:eastAsia="宋体" w:cs="宋体"/>
                <w:color w:val="auto"/>
                <w:sz w:val="24"/>
                <w:szCs w:val="24"/>
                <w:highlight w:val="none"/>
              </w:rPr>
            </w:pPr>
          </w:p>
        </w:tc>
        <w:tc>
          <w:tcPr>
            <w:tcW w:w="1859" w:type="pct"/>
            <w:vAlign w:val="center"/>
          </w:tcPr>
          <w:p>
            <w:pPr>
              <w:shd w:val="clear"/>
              <w:spacing w:line="500" w:lineRule="exact"/>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Merge w:val="restar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告警事项</w:t>
            </w:r>
          </w:p>
        </w:tc>
        <w:tc>
          <w:tcPr>
            <w:tcW w:w="915" w:type="pc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站名</w:t>
            </w:r>
          </w:p>
        </w:tc>
        <w:tc>
          <w:tcPr>
            <w:tcW w:w="1331" w:type="pc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区站号</w:t>
            </w:r>
          </w:p>
        </w:tc>
        <w:tc>
          <w:tcPr>
            <w:tcW w:w="1859" w:type="pc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Merge w:val="continue"/>
            <w:vAlign w:val="center"/>
          </w:tcPr>
          <w:p>
            <w:pPr>
              <w:shd w:val="clear"/>
              <w:spacing w:line="500" w:lineRule="exact"/>
              <w:rPr>
                <w:rFonts w:hint="eastAsia" w:ascii="宋体" w:hAnsi="宋体" w:eastAsia="宋体" w:cs="宋体"/>
                <w:color w:val="auto"/>
                <w:sz w:val="24"/>
                <w:szCs w:val="24"/>
                <w:highlight w:val="none"/>
              </w:rPr>
            </w:pPr>
          </w:p>
        </w:tc>
        <w:tc>
          <w:tcPr>
            <w:tcW w:w="915" w:type="pct"/>
            <w:vAlign w:val="center"/>
          </w:tcPr>
          <w:p>
            <w:pPr>
              <w:shd w:val="clear"/>
              <w:spacing w:line="500" w:lineRule="exact"/>
              <w:rPr>
                <w:rFonts w:hint="eastAsia" w:ascii="宋体" w:hAnsi="宋体" w:eastAsia="宋体" w:cs="宋体"/>
                <w:color w:val="auto"/>
                <w:sz w:val="24"/>
                <w:szCs w:val="24"/>
                <w:highlight w:val="none"/>
              </w:rPr>
            </w:pPr>
          </w:p>
          <w:p>
            <w:pPr>
              <w:shd w:val="clear"/>
              <w:spacing w:line="500" w:lineRule="exact"/>
              <w:rPr>
                <w:rFonts w:hint="eastAsia" w:ascii="宋体" w:hAnsi="宋体" w:eastAsia="宋体" w:cs="宋体"/>
                <w:color w:val="auto"/>
                <w:sz w:val="24"/>
                <w:szCs w:val="24"/>
                <w:highlight w:val="none"/>
              </w:rPr>
            </w:pPr>
          </w:p>
        </w:tc>
        <w:tc>
          <w:tcPr>
            <w:tcW w:w="1331" w:type="pct"/>
            <w:vAlign w:val="center"/>
          </w:tcPr>
          <w:p>
            <w:pPr>
              <w:shd w:val="clear"/>
              <w:spacing w:line="500" w:lineRule="exact"/>
              <w:rPr>
                <w:rFonts w:hint="eastAsia" w:ascii="宋体" w:hAnsi="宋体" w:eastAsia="宋体" w:cs="宋体"/>
                <w:color w:val="auto"/>
                <w:sz w:val="24"/>
                <w:szCs w:val="24"/>
                <w:highlight w:val="none"/>
              </w:rPr>
            </w:pPr>
          </w:p>
        </w:tc>
        <w:tc>
          <w:tcPr>
            <w:tcW w:w="1859" w:type="pct"/>
            <w:vAlign w:val="center"/>
          </w:tcPr>
          <w:p>
            <w:pPr>
              <w:shd w:val="clear"/>
              <w:spacing w:line="500" w:lineRule="exact"/>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Merge w:val="restar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现场情况</w:t>
            </w:r>
          </w:p>
        </w:tc>
        <w:tc>
          <w:tcPr>
            <w:tcW w:w="915" w:type="pc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到达时间</w:t>
            </w:r>
          </w:p>
        </w:tc>
        <w:tc>
          <w:tcPr>
            <w:tcW w:w="1331" w:type="pc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现场分析</w:t>
            </w:r>
          </w:p>
        </w:tc>
        <w:tc>
          <w:tcPr>
            <w:tcW w:w="1859" w:type="pc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Merge w:val="continue"/>
            <w:vAlign w:val="center"/>
          </w:tcPr>
          <w:p>
            <w:pPr>
              <w:shd w:val="clear"/>
              <w:spacing w:line="500" w:lineRule="exact"/>
              <w:rPr>
                <w:rFonts w:hint="eastAsia" w:ascii="宋体" w:hAnsi="宋体" w:eastAsia="宋体" w:cs="宋体"/>
                <w:color w:val="auto"/>
                <w:sz w:val="24"/>
                <w:szCs w:val="24"/>
                <w:highlight w:val="none"/>
              </w:rPr>
            </w:pPr>
          </w:p>
        </w:tc>
        <w:tc>
          <w:tcPr>
            <w:tcW w:w="915" w:type="pct"/>
            <w:tcBorders>
              <w:right w:val="single" w:color="auto" w:sz="4" w:space="0"/>
            </w:tcBorders>
            <w:vAlign w:val="center"/>
          </w:tcPr>
          <w:p>
            <w:pPr>
              <w:shd w:val="clear"/>
              <w:spacing w:line="500" w:lineRule="exact"/>
              <w:rPr>
                <w:rFonts w:hint="eastAsia" w:ascii="宋体" w:hAnsi="宋体" w:eastAsia="宋体" w:cs="宋体"/>
                <w:color w:val="auto"/>
                <w:sz w:val="24"/>
                <w:szCs w:val="24"/>
                <w:highlight w:val="none"/>
              </w:rPr>
            </w:pPr>
          </w:p>
          <w:p>
            <w:pPr>
              <w:shd w:val="clear"/>
              <w:spacing w:line="500" w:lineRule="exact"/>
              <w:rPr>
                <w:rFonts w:hint="eastAsia" w:ascii="宋体" w:hAnsi="宋体" w:eastAsia="宋体" w:cs="宋体"/>
                <w:color w:val="auto"/>
                <w:sz w:val="24"/>
                <w:szCs w:val="24"/>
                <w:highlight w:val="none"/>
              </w:rPr>
            </w:pPr>
          </w:p>
        </w:tc>
        <w:tc>
          <w:tcPr>
            <w:tcW w:w="1331" w:type="pct"/>
            <w:tcBorders>
              <w:left w:val="single" w:color="auto" w:sz="4" w:space="0"/>
            </w:tcBorders>
            <w:vAlign w:val="center"/>
          </w:tcPr>
          <w:p>
            <w:pPr>
              <w:shd w:val="clear"/>
              <w:spacing w:line="500" w:lineRule="exact"/>
              <w:rPr>
                <w:rFonts w:hint="eastAsia" w:ascii="宋体" w:hAnsi="宋体" w:eastAsia="宋体" w:cs="宋体"/>
                <w:color w:val="auto"/>
                <w:sz w:val="24"/>
                <w:szCs w:val="24"/>
                <w:highlight w:val="none"/>
              </w:rPr>
            </w:pPr>
          </w:p>
        </w:tc>
        <w:tc>
          <w:tcPr>
            <w:tcW w:w="1859" w:type="pct"/>
            <w:vAlign w:val="center"/>
          </w:tcPr>
          <w:p>
            <w:pPr>
              <w:shd w:val="clear"/>
              <w:spacing w:line="500" w:lineRule="exact"/>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Merge w:val="restar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维修结果</w:t>
            </w:r>
          </w:p>
        </w:tc>
        <w:tc>
          <w:tcPr>
            <w:tcW w:w="915" w:type="pct"/>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排除时间</w:t>
            </w:r>
          </w:p>
        </w:tc>
        <w:tc>
          <w:tcPr>
            <w:tcW w:w="3190" w:type="pct"/>
            <w:gridSpan w:val="2"/>
            <w:vAlign w:val="center"/>
          </w:tcPr>
          <w:p>
            <w:pPr>
              <w:shd w:val="clear"/>
              <w:spacing w:line="500" w:lineRule="exact"/>
              <w:ind w:left="53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8" w:hRule="atLeast"/>
        </w:trPr>
        <w:tc>
          <w:tcPr>
            <w:tcW w:w="895" w:type="pct"/>
            <w:vMerge w:val="continue"/>
            <w:vAlign w:val="center"/>
          </w:tcPr>
          <w:p>
            <w:pPr>
              <w:shd w:val="clear"/>
              <w:spacing w:line="500" w:lineRule="exact"/>
              <w:rPr>
                <w:rFonts w:hint="eastAsia" w:ascii="宋体" w:hAnsi="宋体" w:eastAsia="宋体" w:cs="宋体"/>
                <w:color w:val="auto"/>
                <w:sz w:val="24"/>
                <w:szCs w:val="24"/>
                <w:highlight w:val="none"/>
              </w:rPr>
            </w:pPr>
          </w:p>
        </w:tc>
        <w:tc>
          <w:tcPr>
            <w:tcW w:w="4105" w:type="pct"/>
            <w:gridSpan w:val="3"/>
            <w:vAlign w:val="center"/>
          </w:tcPr>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（故障排除前照片）</w:t>
            </w:r>
          </w:p>
          <w:p>
            <w:pPr>
              <w:shd w:val="clear"/>
              <w:spacing w:line="500" w:lineRule="exact"/>
              <w:rPr>
                <w:rFonts w:hint="eastAsia" w:ascii="宋体" w:hAnsi="宋体" w:eastAsia="宋体" w:cs="宋体"/>
                <w:color w:val="auto"/>
                <w:sz w:val="24"/>
                <w:szCs w:val="24"/>
                <w:highlight w:val="none"/>
              </w:rPr>
            </w:pPr>
          </w:p>
          <w:p>
            <w:pPr>
              <w:shd w:val="clear"/>
              <w:spacing w:line="500" w:lineRule="exact"/>
              <w:rPr>
                <w:rFonts w:hint="eastAsia" w:ascii="宋体" w:hAnsi="宋体" w:eastAsia="宋体" w:cs="宋体"/>
                <w:color w:val="auto"/>
                <w:sz w:val="24"/>
                <w:szCs w:val="24"/>
                <w:highlight w:val="none"/>
              </w:rPr>
            </w:pPr>
          </w:p>
          <w:p>
            <w:pPr>
              <w:shd w:val="clear"/>
              <w:spacing w:line="500" w:lineRule="exact"/>
              <w:rPr>
                <w:rFonts w:hint="eastAsia" w:ascii="宋体" w:hAnsi="宋体" w:eastAsia="宋体" w:cs="宋体"/>
                <w:color w:val="auto"/>
                <w:sz w:val="24"/>
                <w:szCs w:val="24"/>
                <w:highlight w:val="none"/>
              </w:rPr>
            </w:pPr>
          </w:p>
          <w:p>
            <w:pPr>
              <w:shd w:val="clear"/>
              <w:spacing w:line="500" w:lineRule="exact"/>
              <w:rPr>
                <w:rFonts w:hint="eastAsia" w:ascii="宋体" w:hAnsi="宋体" w:eastAsia="宋体" w:cs="宋体"/>
                <w:color w:val="auto"/>
                <w:sz w:val="24"/>
                <w:szCs w:val="24"/>
                <w:highlight w:val="none"/>
              </w:rPr>
            </w:pPr>
          </w:p>
          <w:p>
            <w:pPr>
              <w:shd w:val="clea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（故障排除后照片）</w:t>
            </w:r>
          </w:p>
          <w:p>
            <w:pPr>
              <w:shd w:val="clear"/>
              <w:spacing w:line="500" w:lineRule="exact"/>
              <w:rPr>
                <w:rFonts w:hint="eastAsia" w:ascii="宋体" w:hAnsi="宋体" w:eastAsia="宋体" w:cs="宋体"/>
                <w:color w:val="auto"/>
                <w:sz w:val="24"/>
                <w:szCs w:val="24"/>
                <w:highlight w:val="none"/>
              </w:rPr>
            </w:pPr>
          </w:p>
          <w:p>
            <w:pPr>
              <w:shd w:val="clear"/>
              <w:spacing w:line="500" w:lineRule="exact"/>
              <w:rPr>
                <w:rFonts w:hint="eastAsia" w:ascii="宋体" w:hAnsi="宋体" w:eastAsia="宋体" w:cs="宋体"/>
                <w:color w:val="auto"/>
                <w:sz w:val="24"/>
                <w:szCs w:val="24"/>
                <w:highlight w:val="none"/>
              </w:rPr>
            </w:pPr>
          </w:p>
          <w:p>
            <w:pPr>
              <w:shd w:val="clear"/>
              <w:spacing w:line="500" w:lineRule="exact"/>
              <w:rPr>
                <w:rFonts w:hint="eastAsia" w:ascii="宋体" w:hAnsi="宋体" w:eastAsia="宋体" w:cs="宋体"/>
                <w:color w:val="auto"/>
                <w:sz w:val="24"/>
                <w:szCs w:val="24"/>
                <w:highlight w:val="none"/>
              </w:rPr>
            </w:pPr>
          </w:p>
          <w:p>
            <w:pPr>
              <w:shd w:val="clear"/>
              <w:spacing w:line="500" w:lineRule="exact"/>
              <w:rPr>
                <w:rFonts w:hint="eastAsia" w:ascii="宋体" w:hAnsi="宋体" w:eastAsia="宋体" w:cs="宋体"/>
                <w:color w:val="auto"/>
                <w:sz w:val="24"/>
                <w:szCs w:val="24"/>
                <w:highlight w:val="none"/>
              </w:rPr>
            </w:pPr>
          </w:p>
        </w:tc>
      </w:tr>
    </w:tbl>
    <w:p>
      <w:pPr>
        <w:shd w:val="clear"/>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注：表内时间精确到分钟。</w:t>
      </w:r>
    </w:p>
    <w:p>
      <w:pPr>
        <w:shd w:val="clear"/>
        <w:spacing w:line="500" w:lineRule="exact"/>
        <w:jc w:val="left"/>
        <w:rPr>
          <w:rFonts w:hint="eastAsia" w:ascii="宋体" w:hAnsi="宋体" w:eastAsia="宋体" w:cs="宋体"/>
          <w:color w:val="auto"/>
          <w:sz w:val="24"/>
          <w:szCs w:val="24"/>
          <w:highlight w:val="none"/>
        </w:rPr>
      </w:pPr>
    </w:p>
    <w:p>
      <w:pPr>
        <w:shd w:val="clear"/>
        <w:spacing w:line="500" w:lineRule="exact"/>
        <w:jc w:val="left"/>
        <w:rPr>
          <w:rFonts w:hint="eastAsia" w:ascii="宋体" w:hAnsi="宋体" w:eastAsia="宋体" w:cs="宋体"/>
          <w:color w:val="auto"/>
          <w:sz w:val="28"/>
          <w:szCs w:val="28"/>
          <w:highlight w:val="none"/>
        </w:rPr>
      </w:pPr>
    </w:p>
    <w:p>
      <w:pPr>
        <w:shd w:val="clear"/>
        <w:ind w:firstLine="240" w:firstLineChars="100"/>
        <w:rPr>
          <w:rFonts w:hint="eastAsia" w:ascii="宋体" w:hAnsi="宋体" w:eastAsia="宋体" w:cs="宋体"/>
          <w:color w:val="auto"/>
          <w:sz w:val="24"/>
          <w:szCs w:val="24"/>
          <w:highlight w:val="none"/>
        </w:rPr>
      </w:pPr>
    </w:p>
    <w:p>
      <w:pPr>
        <w:shd w:val="clea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附录3</w:t>
      </w:r>
    </w:p>
    <w:p>
      <w:pPr>
        <w:shd w:val="clear"/>
        <w:spacing w:line="30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雨量核查记录表</w:t>
      </w:r>
    </w:p>
    <w:p>
      <w:pPr>
        <w:shd w:val="clear"/>
        <w:wordWrap w:val="0"/>
        <w:spacing w:line="300" w:lineRule="auto"/>
        <w:jc w:val="right"/>
        <w:rPr>
          <w:rFonts w:hint="eastAsia" w:ascii="宋体" w:hAnsi="宋体" w:eastAsia="宋体" w:cs="宋体"/>
          <w:b/>
          <w:bCs/>
          <w:color w:val="auto"/>
          <w:highlight w:val="none"/>
        </w:rPr>
      </w:pPr>
      <w:r>
        <w:rPr>
          <w:rFonts w:hint="eastAsia" w:ascii="宋体" w:hAnsi="宋体" w:eastAsia="宋体" w:cs="宋体"/>
          <w:color w:val="auto"/>
          <w:highlight w:val="none"/>
        </w:rPr>
        <w:t xml:space="preserve">记录编号：          </w:t>
      </w:r>
    </w:p>
    <w:tbl>
      <w:tblPr>
        <w:tblStyle w:val="28"/>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095"/>
        <w:gridCol w:w="932"/>
        <w:gridCol w:w="676"/>
        <w:gridCol w:w="603"/>
        <w:gridCol w:w="117"/>
        <w:gridCol w:w="360"/>
        <w:gridCol w:w="1033"/>
        <w:gridCol w:w="1274"/>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113" w:type="dxa"/>
            <w:tcBorders>
              <w:bottom w:val="single" w:color="auto" w:sz="4" w:space="0"/>
              <w:right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核查环境</w:t>
            </w:r>
          </w:p>
        </w:tc>
        <w:tc>
          <w:tcPr>
            <w:tcW w:w="7305" w:type="dxa"/>
            <w:gridSpan w:val="9"/>
            <w:tcBorders>
              <w:left w:val="single" w:color="auto" w:sz="6" w:space="0"/>
              <w:bottom w:val="single" w:color="auto" w:sz="4" w:space="0"/>
            </w:tcBorders>
            <w:vAlign w:val="center"/>
          </w:tcPr>
          <w:p>
            <w:pPr>
              <w:shd w:val="clear"/>
              <w:spacing w:line="300" w:lineRule="exact"/>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气温:     ℃；湿度:      ℅RH；   风速: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113" w:type="dxa"/>
            <w:tcBorders>
              <w:bottom w:val="single" w:color="auto" w:sz="4" w:space="0"/>
              <w:right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开始时间</w:t>
            </w:r>
          </w:p>
        </w:tc>
        <w:tc>
          <w:tcPr>
            <w:tcW w:w="2703" w:type="dxa"/>
            <w:gridSpan w:val="3"/>
            <w:tcBorders>
              <w:left w:val="single" w:color="auto" w:sz="6" w:space="0"/>
              <w:bottom w:val="single" w:color="auto" w:sz="4" w:space="0"/>
            </w:tcBorders>
            <w:vAlign w:val="center"/>
          </w:tcPr>
          <w:p>
            <w:pPr>
              <w:shd w:val="clear"/>
              <w:spacing w:line="300" w:lineRule="exact"/>
              <w:ind w:firstLine="525" w:firstLineChars="250"/>
              <w:rPr>
                <w:rFonts w:hint="eastAsia" w:ascii="宋体" w:hAnsi="宋体" w:eastAsia="宋体" w:cs="宋体"/>
                <w:color w:val="auto"/>
                <w:highlight w:val="none"/>
              </w:rPr>
            </w:pPr>
          </w:p>
        </w:tc>
        <w:tc>
          <w:tcPr>
            <w:tcW w:w="1080" w:type="dxa"/>
            <w:gridSpan w:val="3"/>
            <w:tcBorders>
              <w:left w:val="single" w:color="auto" w:sz="6" w:space="0"/>
              <w:bottom w:val="single" w:color="auto" w:sz="4" w:space="0"/>
            </w:tcBorders>
            <w:vAlign w:val="center"/>
          </w:tcPr>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结束时间</w:t>
            </w:r>
          </w:p>
        </w:tc>
        <w:tc>
          <w:tcPr>
            <w:tcW w:w="3522" w:type="dxa"/>
            <w:gridSpan w:val="3"/>
            <w:tcBorders>
              <w:left w:val="single" w:color="auto" w:sz="6" w:space="0"/>
              <w:bottom w:val="single" w:color="auto" w:sz="4" w:space="0"/>
            </w:tcBorders>
            <w:vAlign w:val="center"/>
          </w:tcPr>
          <w:p>
            <w:pPr>
              <w:shd w:val="clear"/>
              <w:spacing w:line="300" w:lineRule="exact"/>
              <w:ind w:firstLine="525" w:firstLineChars="25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13" w:type="dxa"/>
            <w:vMerge w:val="restart"/>
            <w:tcBorders>
              <w:top w:val="single" w:color="auto" w:sz="4" w:space="0"/>
              <w:bottom w:val="single" w:color="auto" w:sz="4" w:space="0"/>
              <w:right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设备信息</w:t>
            </w:r>
          </w:p>
        </w:tc>
        <w:tc>
          <w:tcPr>
            <w:tcW w:w="3423" w:type="dxa"/>
            <w:gridSpan w:val="5"/>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标准器</w:t>
            </w:r>
          </w:p>
        </w:tc>
        <w:tc>
          <w:tcPr>
            <w:tcW w:w="3882" w:type="dxa"/>
            <w:gridSpan w:val="4"/>
            <w:tcBorders>
              <w:top w:val="single" w:color="auto" w:sz="4" w:space="0"/>
              <w:left w:val="single" w:color="auto" w:sz="4" w:space="0"/>
              <w:bottom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被核查器具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tcBorders>
              <w:top w:val="single" w:color="auto" w:sz="4" w:space="0"/>
              <w:bottom w:val="single" w:color="auto" w:sz="4" w:space="0"/>
              <w:right w:val="single" w:color="auto" w:sz="4" w:space="0"/>
            </w:tcBorders>
          </w:tcPr>
          <w:p>
            <w:pPr>
              <w:shd w:val="clear"/>
              <w:ind w:firstLine="105" w:firstLineChars="50"/>
              <w:rPr>
                <w:rFonts w:hint="eastAsia" w:ascii="宋体" w:hAnsi="宋体" w:eastAsia="宋体" w:cs="宋体"/>
                <w:color w:val="auto"/>
                <w:highlight w:val="none"/>
              </w:rPr>
            </w:pPr>
          </w:p>
        </w:tc>
        <w:tc>
          <w:tcPr>
            <w:tcW w:w="3423" w:type="dxa"/>
            <w:gridSpan w:val="5"/>
            <w:tcBorders>
              <w:top w:val="single" w:color="auto" w:sz="4" w:space="0"/>
              <w:left w:val="single" w:color="auto" w:sz="4" w:space="0"/>
              <w:bottom w:val="single" w:color="auto" w:sz="4" w:space="0"/>
              <w:right w:val="single" w:color="auto" w:sz="4" w:space="0"/>
            </w:tcBorders>
          </w:tcPr>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名称：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生产厂：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型号： </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 xml:space="preserve">证书编号： </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 xml:space="preserve">检定/校准日期： </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 xml:space="preserve">有效期至： </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 xml:space="preserve">不确定度/最大允许误差：      </w:t>
            </w:r>
          </w:p>
        </w:tc>
        <w:tc>
          <w:tcPr>
            <w:tcW w:w="3882" w:type="dxa"/>
            <w:gridSpan w:val="4"/>
            <w:tcBorders>
              <w:top w:val="single" w:color="auto" w:sz="4" w:space="0"/>
              <w:left w:val="single" w:color="auto" w:sz="4" w:space="0"/>
              <w:bottom w:val="single" w:color="auto" w:sz="4" w:space="0"/>
            </w:tcBorders>
          </w:tcPr>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使用单位：本级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器具名称：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生产厂：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型号： 1 </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最大允许误差：±0.4mm</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自动站型号：</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区站号：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13" w:type="dxa"/>
            <w:tcBorders>
              <w:top w:val="single" w:color="auto" w:sz="4" w:space="0"/>
              <w:bottom w:val="single" w:color="auto" w:sz="4" w:space="0"/>
              <w:right w:val="single" w:color="auto" w:sz="4" w:space="0"/>
            </w:tcBorders>
            <w:vAlign w:val="center"/>
          </w:tcPr>
          <w:p>
            <w:pPr>
              <w:shd w:val="clear"/>
              <w:rPr>
                <w:rFonts w:hint="eastAsia" w:ascii="宋体" w:hAnsi="宋体" w:eastAsia="宋体" w:cs="宋体"/>
                <w:color w:val="auto"/>
                <w:highlight w:val="none"/>
              </w:rPr>
            </w:pPr>
            <w:r>
              <w:rPr>
                <w:rFonts w:hint="eastAsia" w:ascii="宋体" w:hAnsi="宋体" w:eastAsia="宋体" w:cs="宋体"/>
                <w:color w:val="auto"/>
                <w:highlight w:val="none"/>
              </w:rPr>
              <w:t>外观检查</w:t>
            </w:r>
          </w:p>
        </w:tc>
        <w:tc>
          <w:tcPr>
            <w:tcW w:w="7305" w:type="dxa"/>
            <w:gridSpan w:val="9"/>
            <w:tcBorders>
              <w:top w:val="single" w:color="auto" w:sz="4" w:space="0"/>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合格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13" w:type="dxa"/>
            <w:tcBorders>
              <w:top w:val="single" w:color="auto" w:sz="4" w:space="0"/>
              <w:bottom w:val="single" w:color="auto" w:sz="4" w:space="0"/>
              <w:right w:val="single" w:color="auto" w:sz="4" w:space="0"/>
            </w:tcBorders>
            <w:vAlign w:val="center"/>
          </w:tcPr>
          <w:p>
            <w:pPr>
              <w:shd w:val="clear"/>
              <w:ind w:firstLine="105" w:firstLineChars="50"/>
              <w:jc w:val="center"/>
              <w:rPr>
                <w:rFonts w:hint="eastAsia" w:ascii="宋体" w:hAnsi="宋体" w:eastAsia="宋体" w:cs="宋体"/>
                <w:color w:val="auto"/>
                <w:highlight w:val="none"/>
              </w:rPr>
            </w:pPr>
            <w:r>
              <w:rPr>
                <w:rFonts w:hint="eastAsia" w:ascii="宋体" w:hAnsi="宋体" w:eastAsia="宋体" w:cs="宋体"/>
                <w:color w:val="auto"/>
                <w:highlight w:val="none"/>
              </w:rPr>
              <w:t>降水量</w:t>
            </w:r>
          </w:p>
          <w:p>
            <w:pPr>
              <w:shd w:val="clear"/>
              <w:ind w:firstLine="105" w:firstLineChars="50"/>
              <w:jc w:val="center"/>
              <w:rPr>
                <w:rFonts w:hint="eastAsia" w:ascii="宋体" w:hAnsi="宋体" w:eastAsia="宋体" w:cs="宋体"/>
                <w:color w:val="auto"/>
                <w:highlight w:val="none"/>
              </w:rPr>
            </w:pPr>
            <w:r>
              <w:rPr>
                <w:rFonts w:hint="eastAsia" w:ascii="宋体" w:hAnsi="宋体" w:eastAsia="宋体" w:cs="宋体"/>
                <w:color w:val="auto"/>
                <w:highlight w:val="none"/>
              </w:rPr>
              <w:t>（mm）</w:t>
            </w:r>
          </w:p>
        </w:tc>
        <w:tc>
          <w:tcPr>
            <w:tcW w:w="1095" w:type="dxa"/>
            <w:tcBorders>
              <w:top w:val="single" w:color="auto" w:sz="4" w:space="0"/>
              <w:left w:val="single" w:color="auto" w:sz="4" w:space="0"/>
              <w:bottom w:val="single" w:color="auto" w:sz="4" w:space="0"/>
              <w:right w:val="single" w:color="auto" w:sz="4" w:space="0"/>
            </w:tcBorders>
            <w:vAlign w:val="center"/>
          </w:tcPr>
          <w:p>
            <w:pPr>
              <w:shd w:val="clear"/>
              <w:ind w:left="419" w:leftChars="35" w:hanging="346" w:hangingChars="165"/>
              <w:jc w:val="center"/>
              <w:rPr>
                <w:rFonts w:hint="eastAsia" w:ascii="宋体" w:hAnsi="宋体" w:eastAsia="宋体" w:cs="宋体"/>
                <w:color w:val="auto"/>
                <w:highlight w:val="none"/>
              </w:rPr>
            </w:pPr>
            <w:r>
              <w:rPr>
                <w:rFonts w:hint="eastAsia" w:ascii="宋体" w:hAnsi="宋体" w:eastAsia="宋体" w:cs="宋体"/>
                <w:color w:val="auto"/>
                <w:highlight w:val="none"/>
              </w:rPr>
              <w:t>雨强</w:t>
            </w:r>
          </w:p>
          <w:p>
            <w:pPr>
              <w:shd w:val="clear"/>
              <w:ind w:left="418" w:leftChars="-44" w:hanging="510" w:hangingChars="243"/>
              <w:jc w:val="center"/>
              <w:rPr>
                <w:rFonts w:hint="eastAsia" w:ascii="宋体" w:hAnsi="宋体" w:eastAsia="宋体" w:cs="宋体"/>
                <w:color w:val="auto"/>
                <w:highlight w:val="none"/>
              </w:rPr>
            </w:pPr>
            <w:r>
              <w:rPr>
                <w:rFonts w:hint="eastAsia" w:ascii="宋体" w:hAnsi="宋体" w:eastAsia="宋体" w:cs="宋体"/>
                <w:color w:val="auto"/>
                <w:highlight w:val="none"/>
              </w:rPr>
              <w:t>（mm/min）</w:t>
            </w:r>
          </w:p>
        </w:tc>
        <w:tc>
          <w:tcPr>
            <w:tcW w:w="932"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标准值</w:t>
            </w:r>
          </w:p>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（mm）</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被核查示值</w:t>
            </w:r>
          </w:p>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（mm）</w:t>
            </w:r>
          </w:p>
        </w:tc>
        <w:tc>
          <w:tcPr>
            <w:tcW w:w="1510" w:type="dxa"/>
            <w:gridSpan w:val="3"/>
            <w:tcBorders>
              <w:top w:val="single" w:color="auto" w:sz="4" w:space="0"/>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被核查示值</w:t>
            </w:r>
          </w:p>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算术平均（mm）</w:t>
            </w:r>
          </w:p>
        </w:tc>
        <w:tc>
          <w:tcPr>
            <w:tcW w:w="1274" w:type="dxa"/>
            <w:tcBorders>
              <w:top w:val="single" w:color="auto" w:sz="4" w:space="0"/>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示值误差</w:t>
            </w:r>
          </w:p>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绝对值（mm）</w:t>
            </w:r>
          </w:p>
        </w:tc>
        <w:tc>
          <w:tcPr>
            <w:tcW w:w="1215" w:type="dxa"/>
            <w:tcBorders>
              <w:top w:val="single" w:color="auto" w:sz="4" w:space="0"/>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13" w:type="dxa"/>
            <w:vMerge w:val="restart"/>
            <w:tcBorders>
              <w:top w:val="single" w:color="auto" w:sz="4" w:space="0"/>
              <w:right w:val="single" w:color="auto" w:sz="4" w:space="0"/>
            </w:tcBorders>
            <w:vAlign w:val="center"/>
          </w:tcPr>
          <w:p>
            <w:pPr>
              <w:shd w:val="clear"/>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095" w:type="dxa"/>
            <w:vMerge w:val="restart"/>
            <w:tcBorders>
              <w:top w:val="single" w:color="auto" w:sz="4" w:space="0"/>
              <w:left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32" w:type="dxa"/>
            <w:vMerge w:val="restart"/>
            <w:tcBorders>
              <w:top w:val="single" w:color="auto" w:sz="4" w:space="0"/>
              <w:left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1279" w:type="dxa"/>
            <w:gridSpan w:val="2"/>
            <w:tcBorders>
              <w:top w:val="single" w:color="auto" w:sz="4" w:space="0"/>
              <w:left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510" w:type="dxa"/>
            <w:gridSpan w:val="3"/>
            <w:vMerge w:val="restart"/>
            <w:tcBorders>
              <w:top w:val="single" w:color="auto" w:sz="4" w:space="0"/>
              <w:left w:val="single" w:color="auto" w:sz="4" w:space="0"/>
            </w:tcBorders>
            <w:vAlign w:val="center"/>
          </w:tcPr>
          <w:p>
            <w:pPr>
              <w:shd w:val="clear"/>
              <w:jc w:val="center"/>
              <w:rPr>
                <w:rFonts w:hint="eastAsia" w:ascii="宋体" w:hAnsi="宋体" w:eastAsia="宋体" w:cs="宋体"/>
                <w:color w:val="auto"/>
                <w:highlight w:val="none"/>
              </w:rPr>
            </w:pPr>
          </w:p>
        </w:tc>
        <w:tc>
          <w:tcPr>
            <w:tcW w:w="1274" w:type="dxa"/>
            <w:vMerge w:val="restart"/>
            <w:tcBorders>
              <w:top w:val="single" w:color="auto" w:sz="4" w:space="0"/>
              <w:left w:val="single" w:color="auto" w:sz="4" w:space="0"/>
            </w:tcBorders>
            <w:vAlign w:val="center"/>
          </w:tcPr>
          <w:p>
            <w:pPr>
              <w:shd w:val="clear"/>
              <w:jc w:val="center"/>
              <w:rPr>
                <w:rFonts w:hint="eastAsia" w:ascii="宋体" w:hAnsi="宋体" w:eastAsia="宋体" w:cs="宋体"/>
                <w:color w:val="auto"/>
                <w:highlight w:val="none"/>
              </w:rPr>
            </w:pPr>
          </w:p>
        </w:tc>
        <w:tc>
          <w:tcPr>
            <w:tcW w:w="1215" w:type="dxa"/>
            <w:vMerge w:val="restart"/>
            <w:tcBorders>
              <w:top w:val="single" w:color="auto" w:sz="4" w:space="0"/>
              <w:lef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填写故障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13" w:type="dxa"/>
            <w:vMerge w:val="continue"/>
            <w:tcBorders>
              <w:top w:val="single" w:color="auto" w:sz="4" w:space="0"/>
              <w:right w:val="single" w:color="auto" w:sz="4" w:space="0"/>
            </w:tcBorders>
            <w:vAlign w:val="center"/>
          </w:tcPr>
          <w:p>
            <w:pPr>
              <w:shd w:val="clear"/>
              <w:ind w:firstLine="315" w:firstLineChars="150"/>
              <w:rPr>
                <w:rFonts w:hint="eastAsia" w:ascii="宋体" w:hAnsi="宋体" w:eastAsia="宋体" w:cs="宋体"/>
                <w:color w:val="auto"/>
                <w:highlight w:val="none"/>
              </w:rPr>
            </w:pPr>
          </w:p>
        </w:tc>
        <w:tc>
          <w:tcPr>
            <w:tcW w:w="1095" w:type="dxa"/>
            <w:vMerge w:val="continue"/>
            <w:tcBorders>
              <w:top w:val="single" w:color="auto" w:sz="4" w:space="0"/>
              <w:left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932" w:type="dxa"/>
            <w:vMerge w:val="continue"/>
            <w:tcBorders>
              <w:top w:val="single" w:color="auto" w:sz="4" w:space="0"/>
              <w:left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279" w:type="dxa"/>
            <w:gridSpan w:val="2"/>
            <w:tcBorders>
              <w:top w:val="single" w:color="auto" w:sz="4" w:space="0"/>
              <w:left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510" w:type="dxa"/>
            <w:gridSpan w:val="3"/>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c>
          <w:tcPr>
            <w:tcW w:w="1274" w:type="dxa"/>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c>
          <w:tcPr>
            <w:tcW w:w="1215" w:type="dxa"/>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113" w:type="dxa"/>
            <w:vMerge w:val="continue"/>
            <w:tcBorders>
              <w:top w:val="single" w:color="auto" w:sz="4" w:space="0"/>
              <w:bottom w:val="single" w:color="auto" w:sz="4" w:space="0"/>
              <w:right w:val="single" w:color="auto" w:sz="4" w:space="0"/>
            </w:tcBorders>
            <w:vAlign w:val="center"/>
          </w:tcPr>
          <w:p>
            <w:pPr>
              <w:shd w:val="clear"/>
              <w:ind w:firstLine="315" w:firstLineChars="150"/>
              <w:rPr>
                <w:rFonts w:hint="eastAsia" w:ascii="宋体" w:hAnsi="宋体" w:eastAsia="宋体" w:cs="宋体"/>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510" w:type="dxa"/>
            <w:gridSpan w:val="3"/>
            <w:vMerge w:val="continue"/>
            <w:tcBorders>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p>
        </w:tc>
        <w:tc>
          <w:tcPr>
            <w:tcW w:w="1274" w:type="dxa"/>
            <w:vMerge w:val="continue"/>
            <w:tcBorders>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p>
        </w:tc>
        <w:tc>
          <w:tcPr>
            <w:tcW w:w="1215" w:type="dxa"/>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13" w:type="dxa"/>
            <w:vMerge w:val="continue"/>
            <w:tcBorders>
              <w:bottom w:val="single" w:color="auto" w:sz="4" w:space="0"/>
              <w:right w:val="single" w:color="auto" w:sz="4" w:space="0"/>
            </w:tcBorders>
            <w:vAlign w:val="center"/>
          </w:tcPr>
          <w:p>
            <w:pPr>
              <w:shd w:val="clear"/>
              <w:ind w:firstLine="315" w:firstLineChars="150"/>
              <w:rPr>
                <w:rFonts w:hint="eastAsia" w:ascii="宋体" w:hAnsi="宋体" w:eastAsia="宋体" w:cs="宋体"/>
                <w:color w:val="auto"/>
                <w:highlight w:val="none"/>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932"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510" w:type="dxa"/>
            <w:gridSpan w:val="3"/>
            <w:vMerge w:val="restart"/>
            <w:tcBorders>
              <w:top w:val="single" w:color="auto" w:sz="4" w:space="0"/>
              <w:left w:val="single" w:color="auto" w:sz="4" w:space="0"/>
            </w:tcBorders>
            <w:vAlign w:val="center"/>
          </w:tcPr>
          <w:p>
            <w:pPr>
              <w:shd w:val="clear"/>
              <w:jc w:val="center"/>
              <w:rPr>
                <w:rFonts w:hint="eastAsia" w:ascii="宋体" w:hAnsi="宋体" w:eastAsia="宋体" w:cs="宋体"/>
                <w:color w:val="auto"/>
                <w:highlight w:val="none"/>
              </w:rPr>
            </w:pPr>
          </w:p>
        </w:tc>
        <w:tc>
          <w:tcPr>
            <w:tcW w:w="1274" w:type="dxa"/>
            <w:vMerge w:val="restart"/>
            <w:tcBorders>
              <w:top w:val="single" w:color="auto" w:sz="4" w:space="0"/>
              <w:left w:val="single" w:color="auto" w:sz="4" w:space="0"/>
            </w:tcBorders>
            <w:vAlign w:val="center"/>
          </w:tcPr>
          <w:p>
            <w:pPr>
              <w:shd w:val="clear"/>
              <w:jc w:val="center"/>
              <w:rPr>
                <w:rFonts w:hint="eastAsia" w:ascii="宋体" w:hAnsi="宋体" w:eastAsia="宋体" w:cs="宋体"/>
                <w:color w:val="auto"/>
                <w:highlight w:val="none"/>
              </w:rPr>
            </w:pPr>
          </w:p>
        </w:tc>
        <w:tc>
          <w:tcPr>
            <w:tcW w:w="1215" w:type="dxa"/>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13" w:type="dxa"/>
            <w:vMerge w:val="continue"/>
            <w:tcBorders>
              <w:top w:val="single" w:color="auto" w:sz="4" w:space="0"/>
              <w:bottom w:val="single" w:color="auto" w:sz="4" w:space="0"/>
              <w:right w:val="single" w:color="auto" w:sz="4" w:space="0"/>
            </w:tcBorders>
            <w:vAlign w:val="center"/>
          </w:tcPr>
          <w:p>
            <w:pPr>
              <w:shd w:val="clear"/>
              <w:ind w:firstLine="315" w:firstLineChars="150"/>
              <w:rPr>
                <w:rFonts w:hint="eastAsia" w:ascii="宋体" w:hAnsi="宋体" w:eastAsia="宋体" w:cs="宋体"/>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510" w:type="dxa"/>
            <w:gridSpan w:val="3"/>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c>
          <w:tcPr>
            <w:tcW w:w="1274" w:type="dxa"/>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c>
          <w:tcPr>
            <w:tcW w:w="1215" w:type="dxa"/>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3" w:type="dxa"/>
            <w:vMerge w:val="continue"/>
            <w:tcBorders>
              <w:top w:val="single" w:color="auto" w:sz="4" w:space="0"/>
              <w:bottom w:val="single" w:color="auto" w:sz="4" w:space="0"/>
              <w:right w:val="single" w:color="auto" w:sz="4" w:space="0"/>
            </w:tcBorders>
            <w:vAlign w:val="center"/>
          </w:tcPr>
          <w:p>
            <w:pPr>
              <w:shd w:val="clear"/>
              <w:ind w:firstLine="315" w:firstLineChars="150"/>
              <w:rPr>
                <w:rFonts w:hint="eastAsia" w:ascii="宋体" w:hAnsi="宋体" w:eastAsia="宋体" w:cs="宋体"/>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510" w:type="dxa"/>
            <w:gridSpan w:val="3"/>
            <w:vMerge w:val="continue"/>
            <w:tcBorders>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p>
        </w:tc>
        <w:tc>
          <w:tcPr>
            <w:tcW w:w="1274" w:type="dxa"/>
            <w:vMerge w:val="continue"/>
            <w:tcBorders>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p>
        </w:tc>
        <w:tc>
          <w:tcPr>
            <w:tcW w:w="1215" w:type="dxa"/>
            <w:vMerge w:val="continue"/>
            <w:tcBorders>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3" w:type="dxa"/>
            <w:vMerge w:val="restart"/>
            <w:tcBorders>
              <w:top w:val="single" w:color="auto" w:sz="4" w:space="0"/>
              <w:bottom w:val="single" w:color="auto" w:sz="4" w:space="0"/>
              <w:right w:val="single" w:color="auto" w:sz="4" w:space="0"/>
            </w:tcBorders>
            <w:vAlign w:val="center"/>
          </w:tcPr>
          <w:p>
            <w:pPr>
              <w:shd w:val="clear"/>
              <w:ind w:firstLine="315" w:firstLineChars="150"/>
              <w:rPr>
                <w:rFonts w:hint="eastAsia" w:ascii="宋体" w:hAnsi="宋体" w:eastAsia="宋体" w:cs="宋体"/>
                <w:color w:val="auto"/>
                <w:highlight w:val="none"/>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932"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510" w:type="dxa"/>
            <w:gridSpan w:val="3"/>
            <w:vMerge w:val="restart"/>
            <w:tcBorders>
              <w:top w:val="single" w:color="auto" w:sz="4" w:space="0"/>
              <w:left w:val="single" w:color="auto" w:sz="4" w:space="0"/>
            </w:tcBorders>
            <w:vAlign w:val="center"/>
          </w:tcPr>
          <w:p>
            <w:pPr>
              <w:shd w:val="clear"/>
              <w:jc w:val="center"/>
              <w:rPr>
                <w:rFonts w:hint="eastAsia" w:ascii="宋体" w:hAnsi="宋体" w:eastAsia="宋体" w:cs="宋体"/>
                <w:color w:val="auto"/>
                <w:highlight w:val="none"/>
              </w:rPr>
            </w:pPr>
          </w:p>
        </w:tc>
        <w:tc>
          <w:tcPr>
            <w:tcW w:w="1274" w:type="dxa"/>
            <w:vMerge w:val="restart"/>
            <w:tcBorders>
              <w:top w:val="single" w:color="auto" w:sz="4" w:space="0"/>
              <w:left w:val="single" w:color="auto" w:sz="4" w:space="0"/>
            </w:tcBorders>
            <w:vAlign w:val="center"/>
          </w:tcPr>
          <w:p>
            <w:pPr>
              <w:shd w:val="clear"/>
              <w:jc w:val="center"/>
              <w:rPr>
                <w:rFonts w:hint="eastAsia" w:ascii="宋体" w:hAnsi="宋体" w:eastAsia="宋体" w:cs="宋体"/>
                <w:color w:val="auto"/>
                <w:highlight w:val="none"/>
              </w:rPr>
            </w:pPr>
          </w:p>
        </w:tc>
        <w:tc>
          <w:tcPr>
            <w:tcW w:w="1215" w:type="dxa"/>
            <w:vMerge w:val="restart"/>
            <w:tcBorders>
              <w:top w:val="single" w:color="auto" w:sz="4" w:space="0"/>
              <w:lef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13" w:type="dxa"/>
            <w:vMerge w:val="continue"/>
            <w:tcBorders>
              <w:top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510" w:type="dxa"/>
            <w:gridSpan w:val="3"/>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c>
          <w:tcPr>
            <w:tcW w:w="1274" w:type="dxa"/>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c>
          <w:tcPr>
            <w:tcW w:w="1215" w:type="dxa"/>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13" w:type="dxa"/>
            <w:vMerge w:val="continue"/>
            <w:tcBorders>
              <w:top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510" w:type="dxa"/>
            <w:gridSpan w:val="3"/>
            <w:vMerge w:val="continue"/>
            <w:tcBorders>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p>
        </w:tc>
        <w:tc>
          <w:tcPr>
            <w:tcW w:w="1274" w:type="dxa"/>
            <w:vMerge w:val="continue"/>
            <w:tcBorders>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p>
        </w:tc>
        <w:tc>
          <w:tcPr>
            <w:tcW w:w="1215" w:type="dxa"/>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113" w:type="dxa"/>
            <w:vMerge w:val="continue"/>
            <w:tcBorders>
              <w:top w:val="single" w:color="auto" w:sz="4" w:space="0"/>
              <w:bottom w:val="single" w:color="auto" w:sz="4" w:space="0"/>
              <w:right w:val="single" w:color="auto" w:sz="4" w:space="0"/>
            </w:tcBorders>
            <w:vAlign w:val="center"/>
          </w:tcPr>
          <w:p>
            <w:pPr>
              <w:shd w:val="clear"/>
              <w:ind w:firstLine="315" w:firstLineChars="150"/>
              <w:rPr>
                <w:rFonts w:hint="eastAsia" w:ascii="宋体" w:hAnsi="宋体" w:eastAsia="宋体" w:cs="宋体"/>
                <w:color w:val="auto"/>
                <w:highlight w:val="none"/>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932"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510" w:type="dxa"/>
            <w:gridSpan w:val="3"/>
            <w:vMerge w:val="restart"/>
            <w:tcBorders>
              <w:top w:val="single" w:color="auto" w:sz="4" w:space="0"/>
              <w:left w:val="single" w:color="auto" w:sz="4" w:space="0"/>
            </w:tcBorders>
            <w:vAlign w:val="center"/>
          </w:tcPr>
          <w:p>
            <w:pPr>
              <w:shd w:val="clear"/>
              <w:jc w:val="center"/>
              <w:rPr>
                <w:rFonts w:hint="eastAsia" w:ascii="宋体" w:hAnsi="宋体" w:eastAsia="宋体" w:cs="宋体"/>
                <w:color w:val="auto"/>
                <w:highlight w:val="none"/>
              </w:rPr>
            </w:pPr>
          </w:p>
        </w:tc>
        <w:tc>
          <w:tcPr>
            <w:tcW w:w="1274" w:type="dxa"/>
            <w:vMerge w:val="restart"/>
            <w:tcBorders>
              <w:top w:val="single" w:color="auto" w:sz="4" w:space="0"/>
              <w:left w:val="single" w:color="auto" w:sz="4" w:space="0"/>
            </w:tcBorders>
            <w:vAlign w:val="center"/>
          </w:tcPr>
          <w:p>
            <w:pPr>
              <w:shd w:val="clear"/>
              <w:jc w:val="center"/>
              <w:rPr>
                <w:rFonts w:hint="eastAsia" w:ascii="宋体" w:hAnsi="宋体" w:eastAsia="宋体" w:cs="宋体"/>
                <w:color w:val="auto"/>
                <w:highlight w:val="none"/>
              </w:rPr>
            </w:pPr>
          </w:p>
        </w:tc>
        <w:tc>
          <w:tcPr>
            <w:tcW w:w="1215" w:type="dxa"/>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3" w:type="dxa"/>
            <w:vMerge w:val="continue"/>
            <w:tcBorders>
              <w:top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510" w:type="dxa"/>
            <w:gridSpan w:val="3"/>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c>
          <w:tcPr>
            <w:tcW w:w="1274" w:type="dxa"/>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c>
          <w:tcPr>
            <w:tcW w:w="1215" w:type="dxa"/>
            <w:vMerge w:val="continue"/>
            <w:tcBorders>
              <w:left w:val="single" w:color="auto" w:sz="4" w:space="0"/>
            </w:tcBorders>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13" w:type="dxa"/>
            <w:vMerge w:val="continue"/>
            <w:tcBorders>
              <w:top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1510" w:type="dxa"/>
            <w:gridSpan w:val="3"/>
            <w:vMerge w:val="continue"/>
            <w:tcBorders>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p>
        </w:tc>
        <w:tc>
          <w:tcPr>
            <w:tcW w:w="1274" w:type="dxa"/>
            <w:vMerge w:val="continue"/>
            <w:tcBorders>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p>
        </w:tc>
        <w:tc>
          <w:tcPr>
            <w:tcW w:w="1215" w:type="dxa"/>
            <w:vMerge w:val="continue"/>
            <w:tcBorders>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08" w:type="dxa"/>
            <w:gridSpan w:val="2"/>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核查结果</w:t>
            </w:r>
          </w:p>
        </w:tc>
        <w:tc>
          <w:tcPr>
            <w:tcW w:w="6210" w:type="dxa"/>
            <w:gridSpan w:val="8"/>
            <w:tcBorders>
              <w:top w:val="single" w:color="auto" w:sz="4" w:space="0"/>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08" w:type="dxa"/>
            <w:gridSpan w:val="2"/>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核查依据</w:t>
            </w:r>
          </w:p>
        </w:tc>
        <w:tc>
          <w:tcPr>
            <w:tcW w:w="6210" w:type="dxa"/>
            <w:gridSpan w:val="8"/>
            <w:tcBorders>
              <w:top w:val="single" w:color="auto" w:sz="4" w:space="0"/>
              <w:left w:val="single" w:color="auto" w:sz="4" w:space="0"/>
              <w:bottom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《区域自动气象站现场核查方法（试行）》（气测函〔2014〕108号）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208" w:type="dxa"/>
            <w:gridSpan w:val="2"/>
            <w:tcBorders>
              <w:top w:val="single" w:color="auto" w:sz="4" w:space="0"/>
              <w:bottom w:val="single" w:color="auto" w:sz="4" w:space="0"/>
              <w:right w:val="single" w:color="auto" w:sz="6"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是否符合要求</w:t>
            </w:r>
          </w:p>
        </w:tc>
        <w:tc>
          <w:tcPr>
            <w:tcW w:w="6210" w:type="dxa"/>
            <w:gridSpan w:val="8"/>
            <w:tcBorders>
              <w:top w:val="single" w:color="auto" w:sz="4" w:space="0"/>
              <w:left w:val="single" w:color="auto" w:sz="6"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是        □ 否</w:t>
            </w:r>
          </w:p>
        </w:tc>
      </w:tr>
    </w:tbl>
    <w:p>
      <w:pPr>
        <w:shd w:val="clear"/>
        <w:ind w:firstLine="105" w:firstLineChars="50"/>
        <w:rPr>
          <w:rFonts w:hint="eastAsia" w:ascii="宋体" w:hAnsi="宋体" w:eastAsia="宋体" w:cs="宋体"/>
          <w:color w:val="auto"/>
          <w:highlight w:val="none"/>
        </w:rPr>
      </w:pPr>
      <w:r>
        <w:rPr>
          <w:rFonts w:hint="eastAsia" w:ascii="宋体" w:hAnsi="宋体" w:eastAsia="宋体" w:cs="宋体"/>
          <w:color w:val="auto"/>
          <w:highlight w:val="none"/>
        </w:rPr>
        <w:t>核查：               核验：            核查时间：  2020 年     月     日</w:t>
      </w:r>
    </w:p>
    <w:p>
      <w:pPr>
        <w:shd w:val="clear"/>
        <w:rPr>
          <w:rFonts w:hint="eastAsia" w:ascii="宋体" w:hAnsi="宋体" w:eastAsia="宋体" w:cs="宋体"/>
          <w:color w:val="auto"/>
          <w:highlight w:val="none"/>
        </w:rPr>
      </w:pPr>
    </w:p>
    <w:p>
      <w:pPr>
        <w:shd w:val="clear"/>
        <w:rPr>
          <w:rFonts w:hint="eastAsia" w:ascii="宋体" w:hAnsi="宋体" w:eastAsia="宋体" w:cs="宋体"/>
          <w:color w:val="auto"/>
          <w:sz w:val="28"/>
          <w:szCs w:val="28"/>
          <w:highlight w:val="none"/>
        </w:rPr>
      </w:pPr>
      <w:r>
        <w:rPr>
          <w:rFonts w:hint="eastAsia" w:ascii="宋体" w:hAnsi="宋体" w:eastAsia="宋体" w:cs="宋体"/>
          <w:color w:val="auto"/>
          <w:highlight w:val="none"/>
        </w:rPr>
        <w:t>注：记录编号：核查要素（2位拼音首字母大写）年（4位）月（2位）日（2位）序号（3位）要素数（2位）BJ（标识符）</w:t>
      </w:r>
    </w:p>
    <w:p>
      <w:pPr>
        <w:shd w:val="clear"/>
        <w:ind w:firstLine="280" w:firstLineChars="100"/>
        <w:rPr>
          <w:rFonts w:hint="eastAsia" w:ascii="宋体" w:hAnsi="宋体" w:eastAsia="宋体" w:cs="宋体"/>
          <w:color w:val="auto"/>
          <w:sz w:val="28"/>
          <w:szCs w:val="28"/>
          <w:highlight w:val="none"/>
        </w:rPr>
      </w:pPr>
    </w:p>
    <w:p>
      <w:pPr>
        <w:shd w:val="clear"/>
        <w:spacing w:line="400" w:lineRule="exact"/>
        <w:rPr>
          <w:rFonts w:hint="eastAsia" w:ascii="宋体" w:hAnsi="宋体" w:eastAsia="宋体" w:cs="宋体"/>
          <w:color w:val="auto"/>
          <w:sz w:val="24"/>
          <w:szCs w:val="24"/>
          <w:highlight w:val="none"/>
        </w:rPr>
      </w:pPr>
    </w:p>
    <w:p>
      <w:pPr>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附录4</w:t>
      </w:r>
    </w:p>
    <w:p>
      <w:pPr>
        <w:shd w:val="clear"/>
        <w:spacing w:line="30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气温核查记录表</w:t>
      </w:r>
    </w:p>
    <w:p>
      <w:pPr>
        <w:shd w:val="clear"/>
        <w:wordWrap w:val="0"/>
        <w:spacing w:line="30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记录编号:           </w:t>
      </w:r>
    </w:p>
    <w:tbl>
      <w:tblPr>
        <w:tblStyle w:val="28"/>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04"/>
        <w:gridCol w:w="437"/>
        <w:gridCol w:w="1279"/>
        <w:gridCol w:w="104"/>
        <w:gridCol w:w="976"/>
        <w:gridCol w:w="360"/>
        <w:gridCol w:w="456"/>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188" w:type="dxa"/>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核查环境</w:t>
            </w:r>
          </w:p>
        </w:tc>
        <w:tc>
          <w:tcPr>
            <w:tcW w:w="7116" w:type="dxa"/>
            <w:gridSpan w:val="9"/>
            <w:vAlign w:val="center"/>
          </w:tcPr>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气温：     ℃；  湿度：    ℅RH；      风速：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188" w:type="dxa"/>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开始时间</w:t>
            </w:r>
          </w:p>
        </w:tc>
        <w:tc>
          <w:tcPr>
            <w:tcW w:w="2624" w:type="dxa"/>
            <w:gridSpan w:val="4"/>
            <w:vAlign w:val="center"/>
          </w:tcPr>
          <w:p>
            <w:pPr>
              <w:shd w:val="clear"/>
              <w:spacing w:line="300" w:lineRule="exact"/>
              <w:jc w:val="center"/>
              <w:rPr>
                <w:rFonts w:hint="eastAsia" w:ascii="宋体" w:hAnsi="宋体" w:eastAsia="宋体" w:cs="宋体"/>
                <w:color w:val="auto"/>
                <w:highlight w:val="none"/>
              </w:rPr>
            </w:pPr>
          </w:p>
        </w:tc>
        <w:tc>
          <w:tcPr>
            <w:tcW w:w="1336" w:type="dxa"/>
            <w:gridSpan w:val="2"/>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结束时间</w:t>
            </w:r>
          </w:p>
        </w:tc>
        <w:tc>
          <w:tcPr>
            <w:tcW w:w="3156" w:type="dxa"/>
            <w:gridSpan w:val="3"/>
            <w:vAlign w:val="center"/>
          </w:tcPr>
          <w:p>
            <w:pPr>
              <w:shd w:val="clear"/>
              <w:spacing w:line="3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1188" w:type="dxa"/>
            <w:vMerge w:val="restart"/>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设备信息</w:t>
            </w:r>
          </w:p>
        </w:tc>
        <w:tc>
          <w:tcPr>
            <w:tcW w:w="3600" w:type="dxa"/>
            <w:gridSpan w:val="5"/>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标准器</w:t>
            </w:r>
          </w:p>
        </w:tc>
        <w:tc>
          <w:tcPr>
            <w:tcW w:w="3516" w:type="dxa"/>
            <w:gridSpan w:val="4"/>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被核查器具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1188" w:type="dxa"/>
            <w:vMerge w:val="continue"/>
          </w:tcPr>
          <w:p>
            <w:pPr>
              <w:shd w:val="clear"/>
              <w:ind w:firstLine="105" w:firstLineChars="50"/>
              <w:rPr>
                <w:rFonts w:hint="eastAsia" w:ascii="宋体" w:hAnsi="宋体" w:eastAsia="宋体" w:cs="宋体"/>
                <w:color w:val="auto"/>
                <w:highlight w:val="none"/>
              </w:rPr>
            </w:pPr>
          </w:p>
        </w:tc>
        <w:tc>
          <w:tcPr>
            <w:tcW w:w="3600" w:type="dxa"/>
            <w:gridSpan w:val="5"/>
          </w:tcPr>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名称：</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生产厂：</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型号：</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编号：</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证书编号：</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检定/校准日期：</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有效期至：</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不确定度/最大允许误差：</w:t>
            </w:r>
          </w:p>
        </w:tc>
        <w:tc>
          <w:tcPr>
            <w:tcW w:w="3516" w:type="dxa"/>
            <w:gridSpan w:val="4"/>
          </w:tcPr>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使用单位： 本级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器具名称：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生产厂： </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型号： </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最大允许误差：±0.2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自动站型号：</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区站号：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8" w:type="dxa"/>
          </w:tcPr>
          <w:p>
            <w:pPr>
              <w:shd w:val="clea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外观检查</w:t>
            </w:r>
          </w:p>
        </w:tc>
        <w:tc>
          <w:tcPr>
            <w:tcW w:w="7116" w:type="dxa"/>
            <w:gridSpan w:val="9"/>
          </w:tcPr>
          <w:p>
            <w:pPr>
              <w:pStyle w:val="42"/>
              <w:shd w:val="clear"/>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合格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188" w:type="dxa"/>
            <w:vAlign w:val="center"/>
          </w:tcPr>
          <w:p>
            <w:pPr>
              <w:shd w:val="clear"/>
              <w:ind w:firstLine="105" w:firstLineChars="50"/>
              <w:jc w:val="center"/>
              <w:rPr>
                <w:rFonts w:hint="eastAsia" w:ascii="宋体" w:hAnsi="宋体" w:eastAsia="宋体" w:cs="宋体"/>
                <w:color w:val="auto"/>
                <w:highlight w:val="none"/>
              </w:rPr>
            </w:pPr>
            <w:r>
              <w:rPr>
                <w:rFonts w:hint="eastAsia" w:ascii="宋体" w:hAnsi="宋体" w:eastAsia="宋体" w:cs="宋体"/>
                <w:color w:val="auto"/>
                <w:highlight w:val="none"/>
              </w:rPr>
              <w:t>核查点</w:t>
            </w:r>
          </w:p>
        </w:tc>
        <w:tc>
          <w:tcPr>
            <w:tcW w:w="1241" w:type="dxa"/>
            <w:gridSpan w:val="2"/>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标准值（</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p>
        </w:tc>
        <w:tc>
          <w:tcPr>
            <w:tcW w:w="1279"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修正值（</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p>
        </w:tc>
        <w:tc>
          <w:tcPr>
            <w:tcW w:w="1896" w:type="dxa"/>
            <w:gridSpan w:val="4"/>
            <w:vAlign w:val="center"/>
          </w:tcPr>
          <w:p>
            <w:pPr>
              <w:shd w:val="clear"/>
              <w:rPr>
                <w:rFonts w:hint="eastAsia" w:ascii="宋体" w:hAnsi="宋体" w:eastAsia="宋体" w:cs="宋体"/>
                <w:color w:val="auto"/>
                <w:highlight w:val="none"/>
              </w:rPr>
            </w:pPr>
            <w:r>
              <w:rPr>
                <w:rFonts w:hint="eastAsia" w:ascii="宋体" w:hAnsi="宋体" w:eastAsia="宋体" w:cs="宋体"/>
                <w:color w:val="auto"/>
                <w:highlight w:val="none"/>
              </w:rPr>
              <w:t>标准值算术平均</w:t>
            </w:r>
          </w:p>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p>
        </w:tc>
        <w:tc>
          <w:tcPr>
            <w:tcW w:w="1440" w:type="dxa"/>
            <w:vAlign w:val="center"/>
          </w:tcPr>
          <w:p>
            <w:pPr>
              <w:shd w:val="clear"/>
              <w:ind w:left="-107" w:leftChars="-51"/>
              <w:jc w:val="center"/>
              <w:rPr>
                <w:rFonts w:hint="eastAsia" w:ascii="宋体" w:hAnsi="宋体" w:eastAsia="宋体" w:cs="宋体"/>
                <w:color w:val="auto"/>
                <w:highlight w:val="none"/>
              </w:rPr>
            </w:pPr>
            <w:r>
              <w:rPr>
                <w:rFonts w:hint="eastAsia" w:ascii="宋体" w:hAnsi="宋体" w:eastAsia="宋体" w:cs="宋体"/>
                <w:color w:val="auto"/>
                <w:highlight w:val="none"/>
              </w:rPr>
              <w:t>被核查示值（</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p>
        </w:tc>
        <w:tc>
          <w:tcPr>
            <w:tcW w:w="1260"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示值误差（</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88" w:type="dxa"/>
            <w:vMerge w:val="restart"/>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当前环境气温</w:t>
            </w:r>
          </w:p>
        </w:tc>
        <w:tc>
          <w:tcPr>
            <w:tcW w:w="1241" w:type="dxa"/>
            <w:gridSpan w:val="2"/>
            <w:vAlign w:val="center"/>
          </w:tcPr>
          <w:p>
            <w:pPr>
              <w:shd w:val="clear"/>
              <w:jc w:val="center"/>
              <w:rPr>
                <w:rFonts w:hint="eastAsia" w:ascii="宋体" w:hAnsi="宋体" w:eastAsia="宋体" w:cs="宋体"/>
                <w:color w:val="auto"/>
                <w:highlight w:val="none"/>
              </w:rPr>
            </w:pPr>
          </w:p>
        </w:tc>
        <w:tc>
          <w:tcPr>
            <w:tcW w:w="1279" w:type="dxa"/>
            <w:vAlign w:val="center"/>
          </w:tcPr>
          <w:p>
            <w:pPr>
              <w:shd w:val="clear"/>
              <w:jc w:val="center"/>
              <w:rPr>
                <w:rFonts w:hint="eastAsia" w:ascii="宋体" w:hAnsi="宋体" w:eastAsia="宋体" w:cs="宋体"/>
                <w:color w:val="auto"/>
                <w:highlight w:val="none"/>
              </w:rPr>
            </w:pPr>
          </w:p>
        </w:tc>
        <w:tc>
          <w:tcPr>
            <w:tcW w:w="1896" w:type="dxa"/>
            <w:gridSpan w:val="4"/>
            <w:vAlign w:val="center"/>
          </w:tcPr>
          <w:p>
            <w:pPr>
              <w:shd w:val="clear"/>
              <w:jc w:val="center"/>
              <w:rPr>
                <w:rFonts w:hint="eastAsia" w:ascii="宋体" w:hAnsi="宋体" w:eastAsia="宋体" w:cs="宋体"/>
                <w:color w:val="auto"/>
                <w:highlight w:val="none"/>
              </w:rPr>
            </w:pPr>
          </w:p>
        </w:tc>
        <w:tc>
          <w:tcPr>
            <w:tcW w:w="1440" w:type="dxa"/>
            <w:vAlign w:val="center"/>
          </w:tcPr>
          <w:p>
            <w:pPr>
              <w:shd w:val="clear"/>
              <w:jc w:val="center"/>
              <w:rPr>
                <w:rFonts w:hint="eastAsia" w:ascii="宋体" w:hAnsi="宋体" w:eastAsia="宋体" w:cs="宋体"/>
                <w:color w:val="auto"/>
                <w:highlight w:val="none"/>
              </w:rPr>
            </w:pPr>
          </w:p>
        </w:tc>
        <w:tc>
          <w:tcPr>
            <w:tcW w:w="1260" w:type="dxa"/>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88" w:type="dxa"/>
            <w:vMerge w:val="continue"/>
            <w:vAlign w:val="center"/>
          </w:tcPr>
          <w:p>
            <w:pPr>
              <w:shd w:val="clear"/>
              <w:jc w:val="center"/>
              <w:rPr>
                <w:rFonts w:hint="eastAsia" w:ascii="宋体" w:hAnsi="宋体" w:eastAsia="宋体" w:cs="宋体"/>
                <w:color w:val="auto"/>
                <w:highlight w:val="none"/>
              </w:rPr>
            </w:pPr>
          </w:p>
        </w:tc>
        <w:tc>
          <w:tcPr>
            <w:tcW w:w="1241" w:type="dxa"/>
            <w:gridSpan w:val="2"/>
            <w:vAlign w:val="center"/>
          </w:tcPr>
          <w:p>
            <w:pPr>
              <w:shd w:val="clear"/>
              <w:jc w:val="center"/>
              <w:rPr>
                <w:rFonts w:hint="eastAsia" w:ascii="宋体" w:hAnsi="宋体" w:eastAsia="宋体" w:cs="宋体"/>
                <w:color w:val="auto"/>
                <w:highlight w:val="none"/>
              </w:rPr>
            </w:pPr>
          </w:p>
        </w:tc>
        <w:tc>
          <w:tcPr>
            <w:tcW w:w="1279" w:type="dxa"/>
            <w:vAlign w:val="center"/>
          </w:tcPr>
          <w:p>
            <w:pPr>
              <w:shd w:val="clear"/>
              <w:jc w:val="center"/>
              <w:rPr>
                <w:rFonts w:hint="eastAsia" w:ascii="宋体" w:hAnsi="宋体" w:eastAsia="宋体" w:cs="宋体"/>
                <w:color w:val="auto"/>
                <w:highlight w:val="none"/>
              </w:rPr>
            </w:pPr>
          </w:p>
        </w:tc>
        <w:tc>
          <w:tcPr>
            <w:tcW w:w="1896" w:type="dxa"/>
            <w:gridSpan w:val="4"/>
            <w:vAlign w:val="center"/>
          </w:tcPr>
          <w:p>
            <w:pPr>
              <w:shd w:val="clear"/>
              <w:jc w:val="center"/>
              <w:rPr>
                <w:rFonts w:hint="eastAsia" w:ascii="宋体" w:hAnsi="宋体" w:eastAsia="宋体" w:cs="宋体"/>
                <w:color w:val="auto"/>
                <w:highlight w:val="none"/>
              </w:rPr>
            </w:pPr>
          </w:p>
        </w:tc>
        <w:tc>
          <w:tcPr>
            <w:tcW w:w="1440" w:type="dxa"/>
            <w:vAlign w:val="center"/>
          </w:tcPr>
          <w:p>
            <w:pPr>
              <w:shd w:val="clear"/>
              <w:jc w:val="center"/>
              <w:rPr>
                <w:rFonts w:hint="eastAsia" w:ascii="宋体" w:hAnsi="宋体" w:eastAsia="宋体" w:cs="宋体"/>
                <w:color w:val="auto"/>
                <w:highlight w:val="none"/>
              </w:rPr>
            </w:pPr>
          </w:p>
        </w:tc>
        <w:tc>
          <w:tcPr>
            <w:tcW w:w="1260" w:type="dxa"/>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88" w:type="dxa"/>
            <w:vMerge w:val="continue"/>
            <w:vAlign w:val="center"/>
          </w:tcPr>
          <w:p>
            <w:pPr>
              <w:shd w:val="clear"/>
              <w:jc w:val="center"/>
              <w:rPr>
                <w:rFonts w:hint="eastAsia" w:ascii="宋体" w:hAnsi="宋体" w:eastAsia="宋体" w:cs="宋体"/>
                <w:color w:val="auto"/>
                <w:highlight w:val="none"/>
              </w:rPr>
            </w:pPr>
          </w:p>
        </w:tc>
        <w:tc>
          <w:tcPr>
            <w:tcW w:w="1241" w:type="dxa"/>
            <w:gridSpan w:val="2"/>
            <w:vAlign w:val="center"/>
          </w:tcPr>
          <w:p>
            <w:pPr>
              <w:shd w:val="clear"/>
              <w:jc w:val="center"/>
              <w:rPr>
                <w:rFonts w:hint="eastAsia" w:ascii="宋体" w:hAnsi="宋体" w:eastAsia="宋体" w:cs="宋体"/>
                <w:color w:val="auto"/>
                <w:highlight w:val="none"/>
              </w:rPr>
            </w:pPr>
          </w:p>
        </w:tc>
        <w:tc>
          <w:tcPr>
            <w:tcW w:w="1279" w:type="dxa"/>
            <w:vAlign w:val="center"/>
          </w:tcPr>
          <w:p>
            <w:pPr>
              <w:shd w:val="clear"/>
              <w:jc w:val="center"/>
              <w:rPr>
                <w:rFonts w:hint="eastAsia" w:ascii="宋体" w:hAnsi="宋体" w:eastAsia="宋体" w:cs="宋体"/>
                <w:color w:val="auto"/>
                <w:highlight w:val="none"/>
              </w:rPr>
            </w:pPr>
          </w:p>
        </w:tc>
        <w:tc>
          <w:tcPr>
            <w:tcW w:w="1896" w:type="dxa"/>
            <w:gridSpan w:val="4"/>
            <w:vAlign w:val="center"/>
          </w:tcPr>
          <w:p>
            <w:pPr>
              <w:shd w:val="clear"/>
              <w:jc w:val="center"/>
              <w:rPr>
                <w:rFonts w:hint="eastAsia" w:ascii="宋体" w:hAnsi="宋体" w:eastAsia="宋体" w:cs="宋体"/>
                <w:color w:val="auto"/>
                <w:highlight w:val="none"/>
              </w:rPr>
            </w:pPr>
          </w:p>
        </w:tc>
        <w:tc>
          <w:tcPr>
            <w:tcW w:w="1440" w:type="dxa"/>
            <w:vAlign w:val="center"/>
          </w:tcPr>
          <w:p>
            <w:pPr>
              <w:shd w:val="clear"/>
              <w:jc w:val="center"/>
              <w:rPr>
                <w:rFonts w:hint="eastAsia" w:ascii="宋体" w:hAnsi="宋体" w:eastAsia="宋体" w:cs="宋体"/>
                <w:color w:val="auto"/>
                <w:highlight w:val="none"/>
              </w:rPr>
            </w:pPr>
          </w:p>
        </w:tc>
        <w:tc>
          <w:tcPr>
            <w:tcW w:w="1260" w:type="dxa"/>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992" w:type="dxa"/>
            <w:gridSpan w:val="2"/>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核查结果</w:t>
            </w:r>
          </w:p>
        </w:tc>
        <w:tc>
          <w:tcPr>
            <w:tcW w:w="6312" w:type="dxa"/>
            <w:gridSpan w:val="8"/>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992" w:type="dxa"/>
            <w:gridSpan w:val="2"/>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核查依据</w:t>
            </w:r>
          </w:p>
        </w:tc>
        <w:tc>
          <w:tcPr>
            <w:tcW w:w="6312" w:type="dxa"/>
            <w:gridSpan w:val="8"/>
            <w:vAlign w:val="center"/>
          </w:tcPr>
          <w:p>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《区域自动气象站现场核查方法（试行）》（气测函〔2014〕108号）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992" w:type="dxa"/>
            <w:gridSpan w:val="2"/>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是否符合要求</w:t>
            </w:r>
          </w:p>
        </w:tc>
        <w:tc>
          <w:tcPr>
            <w:tcW w:w="6312" w:type="dxa"/>
            <w:gridSpan w:val="8"/>
            <w:vAlign w:val="center"/>
          </w:tcPr>
          <w:p>
            <w:pPr>
              <w:pStyle w:val="42"/>
              <w:shd w:val="clea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是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否</w:t>
            </w:r>
          </w:p>
        </w:tc>
      </w:tr>
    </w:tbl>
    <w:p>
      <w:pPr>
        <w:shd w:val="clea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核查：     　 核验：           核查时间： 2020 年  月 日</w:t>
      </w:r>
    </w:p>
    <w:p>
      <w:pPr>
        <w:shd w:val="clear"/>
        <w:autoSpaceDE w:val="0"/>
        <w:autoSpaceDN w:val="0"/>
        <w:adjustRightInd w:val="0"/>
        <w:spacing w:line="360" w:lineRule="auto"/>
        <w:rPr>
          <w:rFonts w:hint="eastAsia" w:ascii="宋体" w:hAnsi="宋体" w:eastAsia="宋体" w:cs="宋体"/>
          <w:bCs/>
          <w:color w:val="auto"/>
          <w:sz w:val="28"/>
          <w:szCs w:val="28"/>
          <w:highlight w:val="none"/>
        </w:rPr>
      </w:pPr>
    </w:p>
    <w:p>
      <w:pPr>
        <w:shd w:val="clear"/>
        <w:rPr>
          <w:rFonts w:hint="eastAsia" w:ascii="宋体" w:hAnsi="宋体" w:eastAsia="宋体" w:cs="宋体"/>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color w:val="auto"/>
          <w:highlight w:val="none"/>
        </w:rPr>
        <w:t>注：记录编号：核查要素（2位拼音首字母大写）年（4位）月（2位）日（2位）序号（3位）要素数（2位）BJ（标识符）</w:t>
      </w:r>
    </w:p>
    <w:p>
      <w:pPr>
        <w:shd w:val="clea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附录5</w:t>
      </w:r>
    </w:p>
    <w:p>
      <w:pPr>
        <w:shd w:val="clear"/>
        <w:spacing w:line="30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湿度核查记录表</w:t>
      </w:r>
    </w:p>
    <w:p>
      <w:pPr>
        <w:shd w:val="clear"/>
        <w:wordWrap w:val="0"/>
        <w:spacing w:line="30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记录编号：          </w:t>
      </w:r>
    </w:p>
    <w:tbl>
      <w:tblPr>
        <w:tblStyle w:val="28"/>
        <w:tblW w:w="8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079"/>
        <w:gridCol w:w="1222"/>
        <w:gridCol w:w="792"/>
        <w:gridCol w:w="963"/>
        <w:gridCol w:w="133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599" w:type="dxa"/>
            <w:tcBorders>
              <w:bottom w:val="single" w:color="auto" w:sz="6" w:space="0"/>
              <w:right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核查环境</w:t>
            </w:r>
          </w:p>
        </w:tc>
        <w:tc>
          <w:tcPr>
            <w:tcW w:w="6502" w:type="dxa"/>
            <w:gridSpan w:val="6"/>
            <w:tcBorders>
              <w:bottom w:val="single" w:color="auto" w:sz="6" w:space="0"/>
            </w:tcBorders>
            <w:vAlign w:val="center"/>
          </w:tcPr>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气温：   ℃；湿度：   ℅RH；风速：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599" w:type="dxa"/>
            <w:tcBorders>
              <w:bottom w:val="single" w:color="auto" w:sz="6" w:space="0"/>
              <w:right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开始时间</w:t>
            </w:r>
          </w:p>
        </w:tc>
        <w:tc>
          <w:tcPr>
            <w:tcW w:w="2301" w:type="dxa"/>
            <w:gridSpan w:val="2"/>
            <w:tcBorders>
              <w:bottom w:val="single" w:color="auto" w:sz="6" w:space="0"/>
            </w:tcBorders>
            <w:vAlign w:val="center"/>
          </w:tcPr>
          <w:p>
            <w:pPr>
              <w:shd w:val="clear"/>
              <w:spacing w:line="300" w:lineRule="exact"/>
              <w:jc w:val="center"/>
              <w:rPr>
                <w:rFonts w:hint="eastAsia" w:ascii="宋体" w:hAnsi="宋体" w:eastAsia="宋体" w:cs="宋体"/>
                <w:color w:val="auto"/>
                <w:highlight w:val="none"/>
              </w:rPr>
            </w:pPr>
          </w:p>
        </w:tc>
        <w:tc>
          <w:tcPr>
            <w:tcW w:w="1755" w:type="dxa"/>
            <w:gridSpan w:val="2"/>
            <w:tcBorders>
              <w:bottom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结束时间</w:t>
            </w:r>
          </w:p>
        </w:tc>
        <w:tc>
          <w:tcPr>
            <w:tcW w:w="2446" w:type="dxa"/>
            <w:gridSpan w:val="2"/>
            <w:tcBorders>
              <w:left w:val="single" w:color="auto" w:sz="4" w:space="0"/>
              <w:bottom w:val="single" w:color="auto" w:sz="6" w:space="0"/>
            </w:tcBorders>
            <w:vAlign w:val="center"/>
          </w:tcPr>
          <w:p>
            <w:pPr>
              <w:shd w:val="clear"/>
              <w:spacing w:line="3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599" w:type="dxa"/>
            <w:vMerge w:val="restart"/>
            <w:tcBorders>
              <w:top w:val="single" w:color="auto" w:sz="6" w:space="0"/>
              <w:right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设备信息</w:t>
            </w:r>
          </w:p>
        </w:tc>
        <w:tc>
          <w:tcPr>
            <w:tcW w:w="3093" w:type="dxa"/>
            <w:gridSpan w:val="3"/>
            <w:tcBorders>
              <w:top w:val="single" w:color="auto" w:sz="6" w:space="0"/>
              <w:bottom w:val="single" w:color="auto" w:sz="4" w:space="0"/>
              <w:right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标准器</w:t>
            </w:r>
          </w:p>
        </w:tc>
        <w:tc>
          <w:tcPr>
            <w:tcW w:w="3409" w:type="dxa"/>
            <w:gridSpan w:val="3"/>
            <w:tcBorders>
              <w:left w:val="single" w:color="auto" w:sz="4" w:space="0"/>
              <w:bottom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被核查器具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99" w:type="dxa"/>
            <w:vMerge w:val="continue"/>
            <w:tcBorders>
              <w:bottom w:val="single" w:color="auto" w:sz="4" w:space="0"/>
              <w:right w:val="single" w:color="auto" w:sz="4" w:space="0"/>
            </w:tcBorders>
          </w:tcPr>
          <w:p>
            <w:pPr>
              <w:shd w:val="clear"/>
              <w:ind w:firstLine="105" w:firstLineChars="50"/>
              <w:rPr>
                <w:rFonts w:hint="eastAsia" w:ascii="宋体" w:hAnsi="宋体" w:eastAsia="宋体" w:cs="宋体"/>
                <w:color w:val="auto"/>
                <w:highlight w:val="none"/>
              </w:rPr>
            </w:pPr>
          </w:p>
        </w:tc>
        <w:tc>
          <w:tcPr>
            <w:tcW w:w="3093" w:type="dxa"/>
            <w:gridSpan w:val="3"/>
            <w:tcBorders>
              <w:top w:val="single" w:color="auto" w:sz="4" w:space="0"/>
              <w:bottom w:val="single" w:color="auto" w:sz="4" w:space="0"/>
              <w:right w:val="single" w:color="auto" w:sz="4" w:space="0"/>
            </w:tcBorders>
          </w:tcPr>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名称：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生产厂：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型号： </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 xml:space="preserve">证书编号： </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 xml:space="preserve">检定/校准日期： </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 xml:space="preserve">有效期至： </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 xml:space="preserve">不确定度/最大允许误差：     </w:t>
            </w:r>
          </w:p>
        </w:tc>
        <w:tc>
          <w:tcPr>
            <w:tcW w:w="3409" w:type="dxa"/>
            <w:gridSpan w:val="3"/>
            <w:tcBorders>
              <w:top w:val="single" w:color="auto" w:sz="4" w:space="0"/>
              <w:left w:val="single" w:color="auto" w:sz="4" w:space="0"/>
              <w:bottom w:val="single" w:color="auto" w:sz="6" w:space="0"/>
            </w:tcBorders>
          </w:tcPr>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使用单位：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器具名称：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生产厂： </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型号： </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最大允许误差：±4%</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自动站型号：</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区站号：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99" w:type="dxa"/>
            <w:tcBorders>
              <w:top w:val="single" w:color="auto" w:sz="4" w:space="0"/>
              <w:bottom w:val="single" w:color="auto" w:sz="6"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外观检查</w:t>
            </w:r>
          </w:p>
        </w:tc>
        <w:tc>
          <w:tcPr>
            <w:tcW w:w="6502" w:type="dxa"/>
            <w:gridSpan w:val="6"/>
            <w:tcBorders>
              <w:top w:val="single" w:color="auto" w:sz="4" w:space="0"/>
              <w:left w:val="single" w:color="auto" w:sz="4" w:space="0"/>
              <w:bottom w:val="single" w:color="auto" w:sz="6" w:space="0"/>
            </w:tcBorders>
            <w:vAlign w:val="center"/>
          </w:tcPr>
          <w:p>
            <w:pPr>
              <w:shd w:val="clear"/>
              <w:ind w:firstLine="1575" w:firstLineChars="750"/>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合格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99" w:type="dxa"/>
            <w:tcBorders>
              <w:top w:val="single" w:color="auto" w:sz="4" w:space="0"/>
              <w:bottom w:val="single" w:color="auto" w:sz="6"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核查点</w:t>
            </w:r>
          </w:p>
        </w:tc>
        <w:tc>
          <w:tcPr>
            <w:tcW w:w="1079" w:type="dxa"/>
            <w:tcBorders>
              <w:top w:val="single" w:color="auto" w:sz="4" w:space="0"/>
              <w:bottom w:val="single" w:color="auto" w:sz="6" w:space="0"/>
              <w:right w:val="single" w:color="auto" w:sz="4" w:space="0"/>
            </w:tcBorders>
            <w:vAlign w:val="center"/>
          </w:tcPr>
          <w:p>
            <w:pPr>
              <w:widowControl/>
              <w:shd w:val="clear"/>
              <w:spacing w:line="78"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标准值</w:t>
            </w:r>
          </w:p>
          <w:p>
            <w:pPr>
              <w:widowControl/>
              <w:shd w:val="clear"/>
              <w:spacing w:line="78" w:lineRule="atLeast"/>
              <w:jc w:val="center"/>
              <w:rPr>
                <w:rFonts w:hint="eastAsia" w:ascii="宋体" w:hAnsi="宋体" w:eastAsia="宋体" w:cs="宋体"/>
                <w:color w:val="auto"/>
                <w:kern w:val="0"/>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%RH</w:t>
            </w:r>
            <w:r>
              <w:rPr>
                <w:rFonts w:hint="eastAsia" w:ascii="宋体" w:hAnsi="宋体" w:eastAsia="宋体" w:cs="宋体"/>
                <w:color w:val="auto"/>
                <w:highlight w:val="none"/>
              </w:rPr>
              <w:t>）</w:t>
            </w:r>
          </w:p>
        </w:tc>
        <w:tc>
          <w:tcPr>
            <w:tcW w:w="1222" w:type="dxa"/>
            <w:tcBorders>
              <w:top w:val="single" w:color="auto" w:sz="4" w:space="0"/>
              <w:left w:val="single" w:color="auto" w:sz="4" w:space="0"/>
              <w:bottom w:val="single" w:color="auto" w:sz="6" w:space="0"/>
              <w:right w:val="single" w:color="auto" w:sz="6" w:space="0"/>
            </w:tcBorders>
            <w:vAlign w:val="center"/>
          </w:tcPr>
          <w:p>
            <w:pPr>
              <w:widowControl/>
              <w:shd w:val="clear"/>
              <w:spacing w:line="78" w:lineRule="atLeast"/>
              <w:jc w:val="center"/>
              <w:rPr>
                <w:rFonts w:hint="eastAsia" w:ascii="宋体" w:hAnsi="宋体" w:eastAsia="宋体" w:cs="宋体"/>
                <w:color w:val="auto"/>
                <w:kern w:val="0"/>
                <w:highlight w:val="none"/>
              </w:rPr>
            </w:pPr>
            <w:r>
              <w:rPr>
                <w:rFonts w:hint="eastAsia" w:ascii="宋体" w:hAnsi="宋体" w:eastAsia="宋体" w:cs="宋体"/>
                <w:color w:val="auto"/>
                <w:highlight w:val="none"/>
              </w:rPr>
              <w:t>修正值（</w:t>
            </w:r>
            <w:r>
              <w:rPr>
                <w:rFonts w:hint="eastAsia" w:ascii="宋体" w:hAnsi="宋体" w:eastAsia="宋体" w:cs="宋体"/>
                <w:color w:val="auto"/>
                <w:sz w:val="24"/>
                <w:highlight w:val="none"/>
              </w:rPr>
              <w:t>%RH</w:t>
            </w:r>
            <w:r>
              <w:rPr>
                <w:rFonts w:hint="eastAsia" w:ascii="宋体" w:hAnsi="宋体" w:eastAsia="宋体" w:cs="宋体"/>
                <w:color w:val="auto"/>
                <w:highlight w:val="none"/>
              </w:rPr>
              <w:t>）</w:t>
            </w:r>
          </w:p>
        </w:tc>
        <w:tc>
          <w:tcPr>
            <w:tcW w:w="1755" w:type="dxa"/>
            <w:gridSpan w:val="2"/>
            <w:tcBorders>
              <w:top w:val="single" w:color="auto" w:sz="4" w:space="0"/>
              <w:left w:val="single" w:color="auto" w:sz="6" w:space="0"/>
              <w:bottom w:val="single" w:color="auto" w:sz="6" w:space="0"/>
              <w:right w:val="single" w:color="auto" w:sz="6" w:space="0"/>
            </w:tcBorders>
            <w:vAlign w:val="center"/>
          </w:tcPr>
          <w:p>
            <w:pPr>
              <w:widowControl/>
              <w:shd w:val="clear"/>
              <w:spacing w:line="78" w:lineRule="atLeast"/>
              <w:jc w:val="center"/>
              <w:rPr>
                <w:rFonts w:hint="eastAsia" w:ascii="宋体" w:hAnsi="宋体" w:eastAsia="宋体" w:cs="宋体"/>
                <w:color w:val="auto"/>
                <w:kern w:val="0"/>
                <w:highlight w:val="none"/>
              </w:rPr>
            </w:pPr>
            <w:r>
              <w:rPr>
                <w:rFonts w:hint="eastAsia" w:ascii="宋体" w:hAnsi="宋体" w:eastAsia="宋体" w:cs="宋体"/>
                <w:color w:val="auto"/>
                <w:highlight w:val="none"/>
              </w:rPr>
              <w:t>标准值算术平均（</w:t>
            </w:r>
            <w:r>
              <w:rPr>
                <w:rFonts w:hint="eastAsia" w:ascii="宋体" w:hAnsi="宋体" w:eastAsia="宋体" w:cs="宋体"/>
                <w:color w:val="auto"/>
                <w:sz w:val="24"/>
                <w:highlight w:val="none"/>
              </w:rPr>
              <w:t>%RH</w:t>
            </w:r>
            <w:r>
              <w:rPr>
                <w:rFonts w:hint="eastAsia" w:ascii="宋体" w:hAnsi="宋体" w:eastAsia="宋体" w:cs="宋体"/>
                <w:color w:val="auto"/>
                <w:highlight w:val="none"/>
              </w:rPr>
              <w:t>）</w:t>
            </w:r>
          </w:p>
        </w:tc>
        <w:tc>
          <w:tcPr>
            <w:tcW w:w="1334" w:type="dxa"/>
            <w:tcBorders>
              <w:top w:val="single" w:color="auto" w:sz="4" w:space="0"/>
              <w:left w:val="single" w:color="auto" w:sz="6" w:space="0"/>
              <w:bottom w:val="single" w:color="auto" w:sz="6" w:space="0"/>
              <w:right w:val="single" w:color="auto" w:sz="6"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被核查示值（</w:t>
            </w:r>
            <w:r>
              <w:rPr>
                <w:rFonts w:hint="eastAsia" w:ascii="宋体" w:hAnsi="宋体" w:eastAsia="宋体" w:cs="宋体"/>
                <w:color w:val="auto"/>
                <w:sz w:val="24"/>
                <w:highlight w:val="none"/>
              </w:rPr>
              <w:t>%RH</w:t>
            </w:r>
            <w:r>
              <w:rPr>
                <w:rFonts w:hint="eastAsia" w:ascii="宋体" w:hAnsi="宋体" w:eastAsia="宋体" w:cs="宋体"/>
                <w:color w:val="auto"/>
                <w:highlight w:val="none"/>
              </w:rPr>
              <w:t>）</w:t>
            </w:r>
          </w:p>
        </w:tc>
        <w:tc>
          <w:tcPr>
            <w:tcW w:w="1112" w:type="dxa"/>
            <w:tcBorders>
              <w:top w:val="single" w:color="auto" w:sz="6" w:space="0"/>
              <w:left w:val="single" w:color="auto" w:sz="6" w:space="0"/>
              <w:bottom w:val="single" w:color="auto" w:sz="6"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示值误差</w:t>
            </w:r>
          </w:p>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%RH</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599" w:type="dxa"/>
            <w:vMerge w:val="restart"/>
            <w:tcBorders>
              <w:top w:val="single" w:color="auto" w:sz="6" w:space="0"/>
              <w:right w:val="single" w:color="auto" w:sz="4"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当前环境湿度</w:t>
            </w:r>
          </w:p>
        </w:tc>
        <w:tc>
          <w:tcPr>
            <w:tcW w:w="1079" w:type="dxa"/>
            <w:tcBorders>
              <w:top w:val="single" w:color="auto" w:sz="6" w:space="0"/>
              <w:bottom w:val="single" w:color="auto" w:sz="6" w:space="0"/>
              <w:right w:val="single" w:color="auto" w:sz="4" w:space="0"/>
            </w:tcBorders>
            <w:vAlign w:val="center"/>
          </w:tcPr>
          <w:p>
            <w:pPr>
              <w:shd w:val="clear"/>
              <w:spacing w:line="500" w:lineRule="exact"/>
              <w:jc w:val="center"/>
              <w:rPr>
                <w:rFonts w:hint="eastAsia" w:ascii="宋体" w:hAnsi="宋体" w:eastAsia="宋体" w:cs="宋体"/>
                <w:color w:val="auto"/>
                <w:highlight w:val="none"/>
              </w:rPr>
            </w:pPr>
          </w:p>
        </w:tc>
        <w:tc>
          <w:tcPr>
            <w:tcW w:w="1222" w:type="dxa"/>
            <w:tcBorders>
              <w:top w:val="single" w:color="auto" w:sz="6" w:space="0"/>
              <w:left w:val="single" w:color="auto" w:sz="4"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755" w:type="dxa"/>
            <w:gridSpan w:val="2"/>
            <w:tcBorders>
              <w:top w:val="single" w:color="auto" w:sz="6" w:space="0"/>
              <w:left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334" w:type="dxa"/>
            <w:tcBorders>
              <w:top w:val="single" w:color="auto" w:sz="6" w:space="0"/>
              <w:left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112" w:type="dxa"/>
            <w:tcBorders>
              <w:top w:val="single" w:color="auto" w:sz="6" w:space="0"/>
              <w:left w:val="single" w:color="auto" w:sz="6" w:space="0"/>
            </w:tcBorders>
            <w:vAlign w:val="center"/>
          </w:tcPr>
          <w:p>
            <w:pPr>
              <w:shd w:val="clear"/>
              <w:spacing w:line="5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599" w:type="dxa"/>
            <w:vMerge w:val="continue"/>
            <w:tcBorders>
              <w:right w:val="single" w:color="auto" w:sz="4" w:space="0"/>
            </w:tcBorders>
            <w:vAlign w:val="center"/>
          </w:tcPr>
          <w:p>
            <w:pPr>
              <w:shd w:val="clear"/>
              <w:spacing w:line="500" w:lineRule="exact"/>
              <w:jc w:val="center"/>
              <w:rPr>
                <w:rFonts w:hint="eastAsia" w:ascii="宋体" w:hAnsi="宋体" w:eastAsia="宋体" w:cs="宋体"/>
                <w:color w:val="auto"/>
                <w:highlight w:val="none"/>
              </w:rPr>
            </w:pPr>
          </w:p>
        </w:tc>
        <w:tc>
          <w:tcPr>
            <w:tcW w:w="1079" w:type="dxa"/>
            <w:tcBorders>
              <w:top w:val="single" w:color="auto" w:sz="6" w:space="0"/>
              <w:bottom w:val="single" w:color="auto" w:sz="6" w:space="0"/>
              <w:right w:val="single" w:color="auto" w:sz="4" w:space="0"/>
            </w:tcBorders>
            <w:vAlign w:val="center"/>
          </w:tcPr>
          <w:p>
            <w:pPr>
              <w:shd w:val="clear"/>
              <w:spacing w:line="500" w:lineRule="exact"/>
              <w:jc w:val="center"/>
              <w:rPr>
                <w:rFonts w:hint="eastAsia" w:ascii="宋体" w:hAnsi="宋体" w:eastAsia="宋体" w:cs="宋体"/>
                <w:color w:val="auto"/>
                <w:highlight w:val="none"/>
              </w:rPr>
            </w:pPr>
          </w:p>
        </w:tc>
        <w:tc>
          <w:tcPr>
            <w:tcW w:w="1222" w:type="dxa"/>
            <w:tcBorders>
              <w:top w:val="single" w:color="auto" w:sz="6" w:space="0"/>
              <w:left w:val="single" w:color="auto" w:sz="4"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755" w:type="dxa"/>
            <w:gridSpan w:val="2"/>
            <w:tcBorders>
              <w:top w:val="single" w:color="auto" w:sz="6" w:space="0"/>
              <w:left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334" w:type="dxa"/>
            <w:tcBorders>
              <w:top w:val="single" w:color="auto" w:sz="6" w:space="0"/>
              <w:left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112" w:type="dxa"/>
            <w:tcBorders>
              <w:top w:val="single" w:color="auto" w:sz="6" w:space="0"/>
              <w:left w:val="single" w:color="auto" w:sz="6" w:space="0"/>
            </w:tcBorders>
            <w:vAlign w:val="center"/>
          </w:tcPr>
          <w:p>
            <w:pPr>
              <w:shd w:val="clear"/>
              <w:spacing w:line="5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599" w:type="dxa"/>
            <w:vMerge w:val="continue"/>
            <w:tcBorders>
              <w:right w:val="single" w:color="auto" w:sz="4" w:space="0"/>
            </w:tcBorders>
            <w:vAlign w:val="center"/>
          </w:tcPr>
          <w:p>
            <w:pPr>
              <w:shd w:val="clear"/>
              <w:spacing w:line="500" w:lineRule="exact"/>
              <w:jc w:val="center"/>
              <w:rPr>
                <w:rFonts w:hint="eastAsia" w:ascii="宋体" w:hAnsi="宋体" w:eastAsia="宋体" w:cs="宋体"/>
                <w:color w:val="auto"/>
                <w:highlight w:val="none"/>
              </w:rPr>
            </w:pPr>
          </w:p>
        </w:tc>
        <w:tc>
          <w:tcPr>
            <w:tcW w:w="1079" w:type="dxa"/>
            <w:tcBorders>
              <w:top w:val="single" w:color="auto" w:sz="6" w:space="0"/>
              <w:bottom w:val="single" w:color="auto" w:sz="6" w:space="0"/>
              <w:right w:val="single" w:color="auto" w:sz="4" w:space="0"/>
            </w:tcBorders>
            <w:vAlign w:val="center"/>
          </w:tcPr>
          <w:p>
            <w:pPr>
              <w:shd w:val="clear"/>
              <w:spacing w:line="500" w:lineRule="exact"/>
              <w:jc w:val="center"/>
              <w:rPr>
                <w:rFonts w:hint="eastAsia" w:ascii="宋体" w:hAnsi="宋体" w:eastAsia="宋体" w:cs="宋体"/>
                <w:color w:val="auto"/>
                <w:highlight w:val="none"/>
              </w:rPr>
            </w:pPr>
          </w:p>
        </w:tc>
        <w:tc>
          <w:tcPr>
            <w:tcW w:w="1222" w:type="dxa"/>
            <w:tcBorders>
              <w:top w:val="single" w:color="auto" w:sz="6" w:space="0"/>
              <w:left w:val="single" w:color="auto" w:sz="4"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755" w:type="dxa"/>
            <w:gridSpan w:val="2"/>
            <w:tcBorders>
              <w:top w:val="single" w:color="auto" w:sz="6" w:space="0"/>
              <w:left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334" w:type="dxa"/>
            <w:tcBorders>
              <w:top w:val="single" w:color="auto" w:sz="6" w:space="0"/>
              <w:left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112" w:type="dxa"/>
            <w:tcBorders>
              <w:top w:val="single" w:color="auto" w:sz="6" w:space="0"/>
              <w:left w:val="single" w:color="auto" w:sz="6" w:space="0"/>
            </w:tcBorders>
            <w:vAlign w:val="center"/>
          </w:tcPr>
          <w:p>
            <w:pPr>
              <w:shd w:val="clear"/>
              <w:spacing w:line="5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9" w:type="dxa"/>
            <w:tcBorders>
              <w:top w:val="single" w:color="auto" w:sz="6" w:space="0"/>
              <w:bottom w:val="single" w:color="auto" w:sz="6" w:space="0"/>
              <w:right w:val="single" w:color="auto" w:sz="4"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核查结果</w:t>
            </w:r>
          </w:p>
        </w:tc>
        <w:tc>
          <w:tcPr>
            <w:tcW w:w="6502" w:type="dxa"/>
            <w:gridSpan w:val="6"/>
            <w:tcBorders>
              <w:top w:val="single" w:color="auto" w:sz="6" w:space="0"/>
              <w:left w:val="single" w:color="auto" w:sz="4" w:space="0"/>
              <w:bottom w:val="single" w:color="auto" w:sz="6" w:space="0"/>
            </w:tcBorders>
            <w:vAlign w:val="center"/>
          </w:tcPr>
          <w:p>
            <w:pPr>
              <w:shd w:val="clear"/>
              <w:spacing w:line="5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9" w:type="dxa"/>
            <w:tcBorders>
              <w:top w:val="single" w:color="auto" w:sz="6" w:space="0"/>
              <w:bottom w:val="single" w:color="auto" w:sz="6" w:space="0"/>
              <w:right w:val="single" w:color="auto" w:sz="4"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核查依据</w:t>
            </w:r>
          </w:p>
        </w:tc>
        <w:tc>
          <w:tcPr>
            <w:tcW w:w="6502" w:type="dxa"/>
            <w:gridSpan w:val="6"/>
            <w:tcBorders>
              <w:top w:val="single" w:color="auto" w:sz="6" w:space="0"/>
              <w:left w:val="single" w:color="auto" w:sz="4" w:space="0"/>
              <w:bottom w:val="single" w:color="auto" w:sz="6"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《区域自动气象站现场核查方法（试行）》（气测函〔2014〕108号）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599" w:type="dxa"/>
            <w:tcBorders>
              <w:top w:val="single" w:color="auto" w:sz="6" w:space="0"/>
              <w:bottom w:val="single" w:color="auto" w:sz="6" w:space="0"/>
              <w:right w:val="single" w:color="auto" w:sz="4"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是否符合要求</w:t>
            </w:r>
          </w:p>
        </w:tc>
        <w:tc>
          <w:tcPr>
            <w:tcW w:w="6502" w:type="dxa"/>
            <w:gridSpan w:val="6"/>
            <w:tcBorders>
              <w:top w:val="single" w:color="auto" w:sz="6" w:space="0"/>
              <w:left w:val="single" w:color="auto" w:sz="4" w:space="0"/>
              <w:bottom w:val="single" w:color="auto" w:sz="6"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是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否</w:t>
            </w:r>
          </w:p>
        </w:tc>
      </w:tr>
    </w:tbl>
    <w:p>
      <w:pPr>
        <w:shd w:val="clear"/>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核查：             　　核验：            核查时间：  2020 年    月     日</w:t>
      </w:r>
    </w:p>
    <w:p>
      <w:pPr>
        <w:shd w:val="clear"/>
        <w:ind w:firstLine="210" w:firstLineChars="100"/>
        <w:rPr>
          <w:rFonts w:hint="eastAsia" w:ascii="宋体" w:hAnsi="宋体" w:eastAsia="宋体" w:cs="宋体"/>
          <w:color w:val="auto"/>
          <w:highlight w:val="none"/>
        </w:rPr>
      </w:pPr>
    </w:p>
    <w:p>
      <w:pPr>
        <w:shd w:val="clear"/>
        <w:rPr>
          <w:rFonts w:hint="eastAsia" w:ascii="宋体" w:hAnsi="宋体" w:eastAsia="宋体" w:cs="宋体"/>
          <w:color w:val="auto"/>
          <w:highlight w:val="none"/>
        </w:rPr>
      </w:pPr>
      <w:r>
        <w:rPr>
          <w:rFonts w:hint="eastAsia" w:ascii="宋体" w:hAnsi="宋体" w:eastAsia="宋体" w:cs="宋体"/>
          <w:color w:val="auto"/>
          <w:highlight w:val="none"/>
        </w:rPr>
        <w:t>注：记录编号：核查要素（2位拼音首字母大写）年（4位）月（2位）日（2位）序号（3位）要素数（2位）BJ（标识符）</w:t>
      </w:r>
    </w:p>
    <w:p>
      <w:pPr>
        <w:shd w:val="clear"/>
        <w:ind w:firstLine="210" w:firstLineChars="100"/>
        <w:rPr>
          <w:rFonts w:hint="eastAsia" w:ascii="宋体" w:hAnsi="宋体" w:eastAsia="宋体" w:cs="宋体"/>
          <w:color w:val="auto"/>
          <w:highlight w:val="none"/>
        </w:rPr>
      </w:pPr>
    </w:p>
    <w:p>
      <w:pPr>
        <w:shd w:val="clear"/>
        <w:rPr>
          <w:rFonts w:hint="eastAsia" w:ascii="宋体" w:hAnsi="宋体" w:eastAsia="宋体" w:cs="宋体"/>
          <w:color w:val="auto"/>
          <w:sz w:val="28"/>
          <w:szCs w:val="28"/>
          <w:highlight w:val="none"/>
        </w:rPr>
      </w:pPr>
    </w:p>
    <w:p>
      <w:pPr>
        <w:shd w:val="clear"/>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附录6</w:t>
      </w:r>
    </w:p>
    <w:p>
      <w:pPr>
        <w:shd w:val="clear"/>
        <w:spacing w:line="30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起动风速核查记录表</w:t>
      </w:r>
    </w:p>
    <w:p>
      <w:pPr>
        <w:shd w:val="clear"/>
        <w:wordWrap w:val="0"/>
        <w:spacing w:line="30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记录编号：          </w:t>
      </w:r>
    </w:p>
    <w:tbl>
      <w:tblPr>
        <w:tblStyle w:val="28"/>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379"/>
        <w:gridCol w:w="1037"/>
        <w:gridCol w:w="210"/>
        <w:gridCol w:w="1133"/>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核查环境</w:t>
            </w:r>
          </w:p>
        </w:tc>
        <w:tc>
          <w:tcPr>
            <w:tcW w:w="6656" w:type="dxa"/>
            <w:gridSpan w:val="5"/>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气温:     ℃；湿度:    ℅RH；风速：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开始时间</w:t>
            </w:r>
          </w:p>
        </w:tc>
        <w:tc>
          <w:tcPr>
            <w:tcW w:w="23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2380"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结束时间</w:t>
            </w:r>
          </w:p>
        </w:tc>
        <w:tc>
          <w:tcPr>
            <w:tcW w:w="18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24" w:type="dxa"/>
            <w:vMerge w:val="restart"/>
            <w:tcBorders>
              <w:top w:val="single" w:color="auto" w:sz="4" w:space="0"/>
              <w:left w:val="single" w:color="auto" w:sz="4" w:space="0"/>
              <w:right w:val="single" w:color="auto" w:sz="4" w:space="0"/>
            </w:tcBorders>
            <w:vAlign w:val="center"/>
          </w:tcPr>
          <w:p>
            <w:pPr>
              <w:shd w:val="clear"/>
              <w:ind w:left="95" w:leftChars="9" w:hanging="76"/>
              <w:jc w:val="center"/>
              <w:rPr>
                <w:rFonts w:hint="eastAsia" w:ascii="宋体" w:hAnsi="宋体" w:eastAsia="宋体" w:cs="宋体"/>
                <w:color w:val="auto"/>
                <w:highlight w:val="none"/>
              </w:rPr>
            </w:pPr>
            <w:r>
              <w:rPr>
                <w:rFonts w:hint="eastAsia" w:ascii="宋体" w:hAnsi="宋体" w:eastAsia="宋体" w:cs="宋体"/>
                <w:color w:val="auto"/>
                <w:highlight w:val="none"/>
              </w:rPr>
              <w:t>设备信息</w:t>
            </w:r>
          </w:p>
        </w:tc>
        <w:tc>
          <w:tcPr>
            <w:tcW w:w="3626"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标准器</w:t>
            </w:r>
          </w:p>
        </w:tc>
        <w:tc>
          <w:tcPr>
            <w:tcW w:w="303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被核查器具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624" w:type="dxa"/>
            <w:vMerge w:val="continue"/>
            <w:tcBorders>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p>
        </w:tc>
        <w:tc>
          <w:tcPr>
            <w:tcW w:w="3626" w:type="dxa"/>
            <w:gridSpan w:val="3"/>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名称：</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生产厂：</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型号：</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编号：</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证书编号：</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检定/校准日期：</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有效期至：</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扩展不确定度/最大允许误差：</w:t>
            </w:r>
          </w:p>
        </w:tc>
        <w:tc>
          <w:tcPr>
            <w:tcW w:w="3030"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使用单位：本级</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设备名称：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生产厂：</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型号： </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pPr>
              <w:shd w:val="clear"/>
              <w:rPr>
                <w:rFonts w:hint="eastAsia" w:ascii="宋体" w:hAnsi="宋体" w:eastAsia="宋体" w:cs="宋体"/>
                <w:color w:val="auto"/>
                <w:sz w:val="24"/>
                <w:highlight w:val="none"/>
              </w:rPr>
            </w:pPr>
            <w:r>
              <w:rPr>
                <w:rFonts w:hint="eastAsia" w:ascii="宋体" w:hAnsi="宋体" w:eastAsia="宋体" w:cs="宋体"/>
                <w:color w:val="auto"/>
                <w:highlight w:val="none"/>
              </w:rPr>
              <w:t>最大允许误差：</w:t>
            </w:r>
            <w:r>
              <w:rPr>
                <w:rFonts w:hint="eastAsia" w:ascii="宋体" w:hAnsi="宋体" w:eastAsia="宋体" w:cs="宋体"/>
                <w:color w:val="auto"/>
                <w:sz w:val="24"/>
                <w:highlight w:val="none"/>
              </w:rPr>
              <w:t>≤0.5m/s</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自动站型号：</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区站号：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外观检查</w:t>
            </w:r>
          </w:p>
        </w:tc>
        <w:tc>
          <w:tcPr>
            <w:tcW w:w="6656" w:type="dxa"/>
            <w:gridSpan w:val="5"/>
            <w:tcBorders>
              <w:top w:val="single" w:color="auto" w:sz="4" w:space="0"/>
              <w:left w:val="single" w:color="auto" w:sz="4" w:space="0"/>
              <w:bottom w:val="single" w:color="auto" w:sz="4" w:space="0"/>
              <w:right w:val="single" w:color="auto" w:sz="4" w:space="0"/>
            </w:tcBorders>
            <w:vAlign w:val="center"/>
          </w:tcPr>
          <w:p>
            <w:pPr>
              <w:pStyle w:val="42"/>
              <w:shd w:val="clear"/>
              <w:spacing w:line="3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合格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416" w:type="dxa"/>
            <w:gridSpan w:val="2"/>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标准值</w:t>
            </w:r>
          </w:p>
        </w:tc>
        <w:tc>
          <w:tcPr>
            <w:tcW w:w="3240" w:type="dxa"/>
            <w:gridSpan w:val="3"/>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核查结果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416" w:type="dxa"/>
            <w:gridSpan w:val="2"/>
            <w:vAlign w:val="center"/>
          </w:tcPr>
          <w:p>
            <w:pPr>
              <w:shd w:val="clear"/>
              <w:jc w:val="center"/>
              <w:rPr>
                <w:rFonts w:hint="eastAsia" w:ascii="宋体" w:hAnsi="宋体" w:eastAsia="宋体" w:cs="宋体"/>
                <w:color w:val="auto"/>
                <w:highlight w:val="none"/>
              </w:rPr>
            </w:pPr>
          </w:p>
        </w:tc>
        <w:tc>
          <w:tcPr>
            <w:tcW w:w="3240" w:type="dxa"/>
            <w:gridSpan w:val="3"/>
            <w:vMerge w:val="restart"/>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416" w:type="dxa"/>
            <w:gridSpan w:val="2"/>
            <w:vAlign w:val="center"/>
          </w:tcPr>
          <w:p>
            <w:pPr>
              <w:shd w:val="clear"/>
              <w:jc w:val="center"/>
              <w:rPr>
                <w:rFonts w:hint="eastAsia" w:ascii="宋体" w:hAnsi="宋体" w:eastAsia="宋体" w:cs="宋体"/>
                <w:color w:val="auto"/>
                <w:highlight w:val="none"/>
              </w:rPr>
            </w:pPr>
          </w:p>
        </w:tc>
        <w:tc>
          <w:tcPr>
            <w:tcW w:w="3240" w:type="dxa"/>
            <w:gridSpan w:val="3"/>
            <w:vMerge w:val="continue"/>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416" w:type="dxa"/>
            <w:gridSpan w:val="2"/>
            <w:vAlign w:val="center"/>
          </w:tcPr>
          <w:p>
            <w:pPr>
              <w:shd w:val="clear"/>
              <w:jc w:val="center"/>
              <w:rPr>
                <w:rFonts w:hint="eastAsia" w:ascii="宋体" w:hAnsi="宋体" w:eastAsia="宋体" w:cs="宋体"/>
                <w:color w:val="auto"/>
                <w:highlight w:val="none"/>
              </w:rPr>
            </w:pPr>
          </w:p>
        </w:tc>
        <w:tc>
          <w:tcPr>
            <w:tcW w:w="3240" w:type="dxa"/>
            <w:gridSpan w:val="3"/>
            <w:vMerge w:val="continue"/>
            <w:vAlign w:val="center"/>
          </w:tcPr>
          <w:p>
            <w:pPr>
              <w:shd w:val="clea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最大允许值</w:t>
            </w:r>
          </w:p>
        </w:tc>
        <w:tc>
          <w:tcPr>
            <w:tcW w:w="6656" w:type="dxa"/>
            <w:gridSpan w:val="5"/>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0.5</w:t>
            </w:r>
            <w:r>
              <w:rPr>
                <w:rFonts w:hint="eastAsia" w:ascii="宋体" w:hAnsi="宋体" w:eastAsia="宋体" w:cs="宋体"/>
                <w:color w:val="auto"/>
                <w:sz w:val="24"/>
                <w:highlight w:val="none"/>
              </w:rPr>
              <w:t xml:space="preserve">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核查依据</w:t>
            </w:r>
          </w:p>
        </w:tc>
        <w:tc>
          <w:tcPr>
            <w:tcW w:w="6656" w:type="dxa"/>
            <w:gridSpan w:val="5"/>
            <w:vAlign w:val="center"/>
          </w:tcPr>
          <w:p>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《区域自动气象站现场核查方法（试行）》（气测函〔2014〕108号）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4"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是否符合要求</w:t>
            </w:r>
          </w:p>
        </w:tc>
        <w:tc>
          <w:tcPr>
            <w:tcW w:w="6656" w:type="dxa"/>
            <w:gridSpan w:val="5"/>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是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否</w:t>
            </w:r>
          </w:p>
        </w:tc>
      </w:tr>
    </w:tbl>
    <w:p>
      <w:pPr>
        <w:shd w:val="clear"/>
        <w:rPr>
          <w:rFonts w:hint="eastAsia" w:ascii="宋体" w:hAnsi="宋体" w:eastAsia="宋体" w:cs="宋体"/>
          <w:color w:val="auto"/>
          <w:highlight w:val="none"/>
        </w:rPr>
      </w:pPr>
      <w:r>
        <w:rPr>
          <w:rFonts w:hint="eastAsia" w:ascii="宋体" w:hAnsi="宋体" w:eastAsia="宋体" w:cs="宋体"/>
          <w:color w:val="auto"/>
          <w:highlight w:val="none"/>
        </w:rPr>
        <w:t>核查：              核验：                核查日期：  2020年   月    日</w:t>
      </w:r>
    </w:p>
    <w:p>
      <w:pPr>
        <w:shd w:val="clear"/>
        <w:rPr>
          <w:rFonts w:hint="eastAsia" w:ascii="宋体" w:hAnsi="宋体" w:eastAsia="宋体" w:cs="宋体"/>
          <w:color w:val="auto"/>
          <w:sz w:val="24"/>
          <w:highlight w:val="none"/>
        </w:rPr>
      </w:pPr>
    </w:p>
    <w:p>
      <w:pPr>
        <w:shd w:val="clear"/>
        <w:rPr>
          <w:rFonts w:hint="eastAsia" w:ascii="宋体" w:hAnsi="宋体" w:eastAsia="宋体" w:cs="宋体"/>
          <w:color w:val="auto"/>
          <w:sz w:val="24"/>
          <w:highlight w:val="none"/>
        </w:rPr>
      </w:pPr>
    </w:p>
    <w:p>
      <w:pPr>
        <w:shd w:val="clear"/>
        <w:rPr>
          <w:rFonts w:hint="eastAsia" w:ascii="宋体" w:hAnsi="宋体" w:eastAsia="宋体" w:cs="宋体"/>
          <w:color w:val="auto"/>
          <w:highlight w:val="none"/>
        </w:rPr>
      </w:pPr>
      <w:r>
        <w:rPr>
          <w:rFonts w:hint="eastAsia" w:ascii="宋体" w:hAnsi="宋体" w:eastAsia="宋体" w:cs="宋体"/>
          <w:color w:val="auto"/>
          <w:highlight w:val="none"/>
        </w:rPr>
        <w:t>注：表中最大允许值是指起动风速最大允许值对应标准器的表示值，具体见标准器使用说明。</w:t>
      </w: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color w:val="auto"/>
          <w:highlight w:val="none"/>
        </w:rPr>
        <w:t>记录编号：核查要素（2位拼音首字母大写）年（4位）月（2位）日（2位）序号（3位）要素数（2位）BJ（标识符）</w:t>
      </w:r>
    </w:p>
    <w:p>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附录7</w:t>
      </w:r>
    </w:p>
    <w:p>
      <w:pPr>
        <w:shd w:val="clear"/>
        <w:spacing w:line="30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风速核查记录表</w:t>
      </w:r>
    </w:p>
    <w:p>
      <w:pPr>
        <w:shd w:val="clear"/>
        <w:wordWrap w:val="0"/>
        <w:spacing w:line="30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记录编号：          </w:t>
      </w:r>
    </w:p>
    <w:tbl>
      <w:tblPr>
        <w:tblStyle w:val="28"/>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22"/>
        <w:gridCol w:w="694"/>
        <w:gridCol w:w="925"/>
        <w:gridCol w:w="249"/>
        <w:gridCol w:w="415"/>
        <w:gridCol w:w="1149"/>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668" w:type="dxa"/>
            <w:tcBorders>
              <w:bottom w:val="single" w:color="auto" w:sz="6" w:space="0"/>
              <w:right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核查环境</w:t>
            </w:r>
          </w:p>
        </w:tc>
        <w:tc>
          <w:tcPr>
            <w:tcW w:w="6731" w:type="dxa"/>
            <w:gridSpan w:val="7"/>
            <w:tcBorders>
              <w:left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气温:    ℃；湿度:     ℅RH；风速：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668" w:type="dxa"/>
            <w:tcBorders>
              <w:bottom w:val="single" w:color="auto" w:sz="6" w:space="0"/>
              <w:right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开始时间</w:t>
            </w:r>
          </w:p>
        </w:tc>
        <w:tc>
          <w:tcPr>
            <w:tcW w:w="2416" w:type="dxa"/>
            <w:gridSpan w:val="2"/>
            <w:tcBorders>
              <w:left w:val="single" w:color="auto" w:sz="6" w:space="0"/>
            </w:tcBorders>
            <w:vAlign w:val="center"/>
          </w:tcPr>
          <w:p>
            <w:pPr>
              <w:shd w:val="clear"/>
              <w:spacing w:line="300" w:lineRule="exact"/>
              <w:jc w:val="center"/>
              <w:rPr>
                <w:rFonts w:hint="eastAsia" w:ascii="宋体" w:hAnsi="宋体" w:eastAsia="宋体" w:cs="宋体"/>
                <w:color w:val="auto"/>
                <w:highlight w:val="none"/>
              </w:rPr>
            </w:pPr>
          </w:p>
        </w:tc>
        <w:tc>
          <w:tcPr>
            <w:tcW w:w="1589" w:type="dxa"/>
            <w:gridSpan w:val="3"/>
            <w:tcBorders>
              <w:left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结束时间</w:t>
            </w:r>
          </w:p>
        </w:tc>
        <w:tc>
          <w:tcPr>
            <w:tcW w:w="2726" w:type="dxa"/>
            <w:gridSpan w:val="2"/>
            <w:tcBorders>
              <w:left w:val="single" w:color="auto" w:sz="6" w:space="0"/>
            </w:tcBorders>
            <w:vAlign w:val="center"/>
          </w:tcPr>
          <w:p>
            <w:pPr>
              <w:shd w:val="clear"/>
              <w:spacing w:line="3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668" w:type="dxa"/>
            <w:vMerge w:val="restart"/>
            <w:tcBorders>
              <w:top w:val="single" w:color="auto" w:sz="6" w:space="0"/>
              <w:right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设备信息</w:t>
            </w:r>
          </w:p>
        </w:tc>
        <w:tc>
          <w:tcPr>
            <w:tcW w:w="3341" w:type="dxa"/>
            <w:gridSpan w:val="3"/>
            <w:tcBorders>
              <w:left w:val="single" w:color="auto" w:sz="6" w:space="0"/>
              <w:bottom w:val="single" w:color="auto" w:sz="6" w:space="0"/>
              <w:right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标准器</w:t>
            </w:r>
          </w:p>
        </w:tc>
        <w:tc>
          <w:tcPr>
            <w:tcW w:w="3390" w:type="dxa"/>
            <w:gridSpan w:val="4"/>
            <w:tcBorders>
              <w:left w:val="single" w:color="auto" w:sz="4" w:space="0"/>
              <w:bottom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被核查器具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Merge w:val="continue"/>
            <w:tcBorders>
              <w:bottom w:val="single" w:color="auto" w:sz="4" w:space="0"/>
              <w:right w:val="single" w:color="auto" w:sz="6" w:space="0"/>
            </w:tcBorders>
          </w:tcPr>
          <w:p>
            <w:pPr>
              <w:shd w:val="clear"/>
              <w:ind w:firstLine="105" w:firstLineChars="50"/>
              <w:rPr>
                <w:rFonts w:hint="eastAsia" w:ascii="宋体" w:hAnsi="宋体" w:eastAsia="宋体" w:cs="宋体"/>
                <w:color w:val="auto"/>
                <w:highlight w:val="none"/>
              </w:rPr>
            </w:pPr>
          </w:p>
        </w:tc>
        <w:tc>
          <w:tcPr>
            <w:tcW w:w="3341" w:type="dxa"/>
            <w:gridSpan w:val="3"/>
            <w:tcBorders>
              <w:top w:val="single" w:color="auto" w:sz="6" w:space="0"/>
              <w:left w:val="single" w:color="auto" w:sz="6" w:space="0"/>
              <w:bottom w:val="single" w:color="auto" w:sz="4" w:space="0"/>
              <w:right w:val="single" w:color="auto" w:sz="4" w:space="0"/>
            </w:tcBorders>
          </w:tcPr>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名称：风向校验仪</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生产厂：中环天仪（天津）气象仪器</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型号：JJE10</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编号：18051030028</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证书编号：GFJGJL1001181713058</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检定/校准日期：2018年5月27日</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有效期至：</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扩展不确定度/最大允许误差：6´</w:t>
            </w:r>
          </w:p>
        </w:tc>
        <w:tc>
          <w:tcPr>
            <w:tcW w:w="3390" w:type="dxa"/>
            <w:gridSpan w:val="4"/>
            <w:tcBorders>
              <w:top w:val="single" w:color="auto" w:sz="6" w:space="0"/>
              <w:left w:val="single" w:color="auto" w:sz="4" w:space="0"/>
              <w:bottom w:val="single" w:color="auto" w:sz="6" w:space="0"/>
            </w:tcBorders>
            <w:vAlign w:val="center"/>
          </w:tcPr>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使用单位：</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设备名称：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生产厂：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型号：</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最大允许误差：±（0.5 m/s +0.03V）（V为指示风速值）</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自动站型号：</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区站号：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68"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核查点（m/s）</w:t>
            </w:r>
          </w:p>
        </w:tc>
        <w:tc>
          <w:tcPr>
            <w:tcW w:w="1722"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标准值</w:t>
            </w:r>
          </w:p>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（m/s）</w:t>
            </w:r>
          </w:p>
        </w:tc>
        <w:tc>
          <w:tcPr>
            <w:tcW w:w="1868" w:type="dxa"/>
            <w:gridSpan w:val="3"/>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被核查示值</w:t>
            </w:r>
          </w:p>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（m/s）</w:t>
            </w:r>
          </w:p>
        </w:tc>
        <w:tc>
          <w:tcPr>
            <w:tcW w:w="1564" w:type="dxa"/>
            <w:gridSpan w:val="2"/>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示值误差（m/s）</w:t>
            </w:r>
          </w:p>
        </w:tc>
        <w:tc>
          <w:tcPr>
            <w:tcW w:w="1577"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核查结果（m/s）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8"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30</w:t>
            </w:r>
          </w:p>
        </w:tc>
        <w:tc>
          <w:tcPr>
            <w:tcW w:w="1722"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1868" w:type="dxa"/>
            <w:gridSpan w:val="3"/>
            <w:vAlign w:val="center"/>
          </w:tcPr>
          <w:p>
            <w:pPr>
              <w:shd w:val="clear"/>
              <w:jc w:val="center"/>
              <w:rPr>
                <w:rFonts w:hint="eastAsia" w:ascii="宋体" w:hAnsi="宋体" w:eastAsia="宋体" w:cs="宋体"/>
                <w:color w:val="auto"/>
                <w:highlight w:val="none"/>
              </w:rPr>
            </w:pPr>
          </w:p>
        </w:tc>
        <w:tc>
          <w:tcPr>
            <w:tcW w:w="1564" w:type="dxa"/>
            <w:gridSpan w:val="2"/>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0.0</w:t>
            </w:r>
          </w:p>
        </w:tc>
        <w:tc>
          <w:tcPr>
            <w:tcW w:w="1577"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核查依据</w:t>
            </w:r>
          </w:p>
        </w:tc>
        <w:tc>
          <w:tcPr>
            <w:tcW w:w="6731" w:type="dxa"/>
            <w:gridSpan w:val="7"/>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《区域自动气象站现场核查方法（试行）》（气测函〔2014〕108号）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是否符合要求</w:t>
            </w:r>
          </w:p>
        </w:tc>
        <w:tc>
          <w:tcPr>
            <w:tcW w:w="6731" w:type="dxa"/>
            <w:gridSpan w:val="7"/>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 xml:space="preserve"> 是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否</w:t>
            </w:r>
          </w:p>
        </w:tc>
      </w:tr>
    </w:tbl>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核查：           核验：              核查日期： 2020 年    月     日</w:t>
      </w:r>
    </w:p>
    <w:p>
      <w:pPr>
        <w:shd w:val="clear"/>
        <w:rPr>
          <w:rFonts w:hint="eastAsia" w:ascii="宋体" w:hAnsi="宋体" w:eastAsia="宋体" w:cs="宋体"/>
          <w:b/>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r>
        <w:rPr>
          <w:rFonts w:hint="eastAsia" w:ascii="宋体" w:hAnsi="宋体" w:eastAsia="宋体" w:cs="宋体"/>
          <w:color w:val="auto"/>
          <w:highlight w:val="none"/>
        </w:rPr>
        <w:t>注：记录编号 核查要素（2位拼音首字母大写）年（4位）月（2位）日（2位）序号（3位）要素数（2位）BJ（标识符）</w:t>
      </w: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pStyle w:val="13"/>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附录8</w:t>
      </w:r>
    </w:p>
    <w:p>
      <w:pPr>
        <w:shd w:val="clear"/>
        <w:spacing w:line="30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风向核查记录表</w:t>
      </w:r>
    </w:p>
    <w:p>
      <w:pPr>
        <w:shd w:val="clear"/>
        <w:wordWrap w:val="0"/>
        <w:spacing w:line="30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记录编号：            </w:t>
      </w:r>
    </w:p>
    <w:tbl>
      <w:tblPr>
        <w:tblStyle w:val="28"/>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99"/>
        <w:gridCol w:w="340"/>
        <w:gridCol w:w="1305"/>
        <w:gridCol w:w="155"/>
        <w:gridCol w:w="78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809" w:type="dxa"/>
            <w:tcBorders>
              <w:bottom w:val="single" w:color="auto" w:sz="6" w:space="0"/>
              <w:right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核查环境</w:t>
            </w:r>
          </w:p>
        </w:tc>
        <w:tc>
          <w:tcPr>
            <w:tcW w:w="6399" w:type="dxa"/>
            <w:gridSpan w:val="6"/>
            <w:tcBorders>
              <w:left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气温:     ℃；湿度:    ℅RH；风速：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809" w:type="dxa"/>
            <w:tcBorders>
              <w:bottom w:val="single" w:color="auto" w:sz="6" w:space="0"/>
              <w:right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开始时间</w:t>
            </w:r>
          </w:p>
        </w:tc>
        <w:tc>
          <w:tcPr>
            <w:tcW w:w="2239" w:type="dxa"/>
            <w:gridSpan w:val="2"/>
            <w:tcBorders>
              <w:left w:val="single" w:color="auto" w:sz="6" w:space="0"/>
            </w:tcBorders>
            <w:vAlign w:val="center"/>
          </w:tcPr>
          <w:p>
            <w:pPr>
              <w:shd w:val="clear"/>
              <w:spacing w:line="300" w:lineRule="exact"/>
              <w:jc w:val="center"/>
              <w:rPr>
                <w:rFonts w:hint="eastAsia" w:ascii="宋体" w:hAnsi="宋体" w:eastAsia="宋体" w:cs="宋体"/>
                <w:color w:val="auto"/>
                <w:highlight w:val="none"/>
              </w:rPr>
            </w:pPr>
          </w:p>
        </w:tc>
        <w:tc>
          <w:tcPr>
            <w:tcW w:w="2240" w:type="dxa"/>
            <w:gridSpan w:val="3"/>
            <w:tcBorders>
              <w:left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结束时间</w:t>
            </w:r>
          </w:p>
        </w:tc>
        <w:tc>
          <w:tcPr>
            <w:tcW w:w="1920" w:type="dxa"/>
            <w:tcBorders>
              <w:left w:val="single" w:color="auto" w:sz="6" w:space="0"/>
            </w:tcBorders>
            <w:vAlign w:val="center"/>
          </w:tcPr>
          <w:p>
            <w:pPr>
              <w:shd w:val="clear"/>
              <w:spacing w:line="3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809" w:type="dxa"/>
            <w:vMerge w:val="restart"/>
            <w:tcBorders>
              <w:top w:val="single" w:color="auto" w:sz="6" w:space="0"/>
              <w:right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设备信息</w:t>
            </w:r>
          </w:p>
        </w:tc>
        <w:tc>
          <w:tcPr>
            <w:tcW w:w="3544" w:type="dxa"/>
            <w:gridSpan w:val="3"/>
            <w:tcBorders>
              <w:left w:val="single" w:color="auto" w:sz="6" w:space="0"/>
              <w:bottom w:val="single" w:color="auto" w:sz="6" w:space="0"/>
              <w:right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标准器</w:t>
            </w:r>
          </w:p>
        </w:tc>
        <w:tc>
          <w:tcPr>
            <w:tcW w:w="2855" w:type="dxa"/>
            <w:gridSpan w:val="3"/>
            <w:tcBorders>
              <w:left w:val="single" w:color="auto" w:sz="4" w:space="0"/>
              <w:bottom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被核查器具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Borders>
              <w:bottom w:val="single" w:color="auto" w:sz="4" w:space="0"/>
              <w:right w:val="single" w:color="auto" w:sz="6" w:space="0"/>
            </w:tcBorders>
          </w:tcPr>
          <w:p>
            <w:pPr>
              <w:shd w:val="clear"/>
              <w:ind w:firstLine="105" w:firstLineChars="50"/>
              <w:rPr>
                <w:rFonts w:hint="eastAsia" w:ascii="宋体" w:hAnsi="宋体" w:eastAsia="宋体" w:cs="宋体"/>
                <w:color w:val="auto"/>
                <w:highlight w:val="none"/>
              </w:rPr>
            </w:pPr>
          </w:p>
        </w:tc>
        <w:tc>
          <w:tcPr>
            <w:tcW w:w="3544" w:type="dxa"/>
            <w:gridSpan w:val="3"/>
            <w:tcBorders>
              <w:top w:val="single" w:color="auto" w:sz="6" w:space="0"/>
              <w:left w:val="single" w:color="auto" w:sz="6" w:space="0"/>
              <w:bottom w:val="single" w:color="auto" w:sz="4" w:space="0"/>
              <w:right w:val="single" w:color="auto" w:sz="4" w:space="0"/>
            </w:tcBorders>
          </w:tcPr>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名称：</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生产厂：</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型号：</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编号：</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证书编号：</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检定/校准日期：</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有效期至：</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扩展不确定度/最大允许误差：´</w:t>
            </w:r>
          </w:p>
        </w:tc>
        <w:tc>
          <w:tcPr>
            <w:tcW w:w="2855" w:type="dxa"/>
            <w:gridSpan w:val="3"/>
            <w:tcBorders>
              <w:top w:val="single" w:color="auto" w:sz="6" w:space="0"/>
              <w:left w:val="single" w:color="auto" w:sz="4" w:space="0"/>
              <w:bottom w:val="single" w:color="auto" w:sz="6" w:space="0"/>
            </w:tcBorders>
          </w:tcPr>
          <w:p>
            <w:pPr>
              <w:shd w:val="clear"/>
              <w:rPr>
                <w:rFonts w:hint="eastAsia" w:ascii="宋体" w:hAnsi="宋体" w:eastAsia="宋体" w:cs="宋体"/>
                <w:color w:val="auto"/>
                <w:highlight w:val="none"/>
              </w:rPr>
            </w:pPr>
            <w:r>
              <w:rPr>
                <w:rFonts w:hint="eastAsia" w:ascii="宋体" w:hAnsi="宋体" w:eastAsia="宋体" w:cs="宋体"/>
                <w:color w:val="auto"/>
                <w:highlight w:val="none"/>
              </w:rPr>
              <w:t>使用单位： 本级</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设备名称：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生产厂：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型号： </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最大允许误差：±5°</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自动站型号：</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区站号：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tcBorders>
              <w:top w:val="single" w:color="auto" w:sz="4" w:space="0"/>
              <w:bottom w:val="single" w:color="auto" w:sz="6" w:space="0"/>
              <w:right w:val="single" w:color="auto" w:sz="6" w:space="0"/>
            </w:tcBorders>
            <w:vAlign w:val="center"/>
          </w:tcPr>
          <w:p>
            <w:pPr>
              <w:shd w:val="clear"/>
              <w:ind w:firstLine="105" w:firstLineChars="50"/>
              <w:jc w:val="center"/>
              <w:rPr>
                <w:rFonts w:hint="eastAsia" w:ascii="宋体" w:hAnsi="宋体" w:eastAsia="宋体" w:cs="宋体"/>
                <w:color w:val="auto"/>
                <w:highlight w:val="none"/>
              </w:rPr>
            </w:pPr>
            <w:r>
              <w:rPr>
                <w:rFonts w:hint="eastAsia" w:ascii="宋体" w:hAnsi="宋体" w:eastAsia="宋体" w:cs="宋体"/>
                <w:color w:val="auto"/>
                <w:highlight w:val="none"/>
              </w:rPr>
              <w:t>外观检查</w:t>
            </w:r>
          </w:p>
        </w:tc>
        <w:tc>
          <w:tcPr>
            <w:tcW w:w="6399" w:type="dxa"/>
            <w:gridSpan w:val="6"/>
            <w:tcBorders>
              <w:top w:val="single" w:color="auto" w:sz="4" w:space="0"/>
              <w:left w:val="single" w:color="auto" w:sz="6" w:space="0"/>
              <w:bottom w:val="single" w:color="auto" w:sz="6" w:space="0"/>
            </w:tcBorders>
            <w:vAlign w:val="center"/>
          </w:tcPr>
          <w:p>
            <w:pPr>
              <w:pStyle w:val="42"/>
              <w:shd w:val="clear"/>
              <w:tabs>
                <w:tab w:val="left" w:pos="1759"/>
                <w:tab w:val="center" w:pos="3331"/>
              </w:tabs>
              <w:ind w:firstLine="2310" w:firstLineChars="1100"/>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合格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tcPr>
          <w:p>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标准值（°）</w:t>
            </w:r>
          </w:p>
        </w:tc>
        <w:tc>
          <w:tcPr>
            <w:tcW w:w="1899" w:type="dxa"/>
          </w:tcPr>
          <w:p>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被核查示值（°）</w:t>
            </w:r>
          </w:p>
        </w:tc>
        <w:tc>
          <w:tcPr>
            <w:tcW w:w="1800" w:type="dxa"/>
            <w:gridSpan w:val="3"/>
          </w:tcPr>
          <w:p>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示值误差（°）</w:t>
            </w:r>
          </w:p>
        </w:tc>
        <w:tc>
          <w:tcPr>
            <w:tcW w:w="2700" w:type="dxa"/>
            <w:gridSpan w:val="2"/>
          </w:tcPr>
          <w:p>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示值误差绝对值（°）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vAlign w:val="center"/>
          </w:tcPr>
          <w:p>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1899" w:type="dxa"/>
            <w:vAlign w:val="center"/>
          </w:tcPr>
          <w:p>
            <w:pPr>
              <w:shd w:val="clear"/>
              <w:spacing w:line="360" w:lineRule="auto"/>
              <w:jc w:val="center"/>
              <w:rPr>
                <w:rFonts w:hint="eastAsia" w:ascii="宋体" w:hAnsi="宋体" w:eastAsia="宋体" w:cs="宋体"/>
                <w:color w:val="auto"/>
                <w:highlight w:val="none"/>
              </w:rPr>
            </w:pPr>
          </w:p>
        </w:tc>
        <w:tc>
          <w:tcPr>
            <w:tcW w:w="1800" w:type="dxa"/>
            <w:gridSpan w:val="3"/>
            <w:vAlign w:val="center"/>
          </w:tcPr>
          <w:p>
            <w:pPr>
              <w:shd w:val="clear"/>
              <w:spacing w:line="360" w:lineRule="auto"/>
              <w:jc w:val="center"/>
              <w:rPr>
                <w:rFonts w:hint="eastAsia" w:ascii="宋体" w:hAnsi="宋体" w:eastAsia="宋体" w:cs="宋体"/>
                <w:color w:val="auto"/>
                <w:highlight w:val="none"/>
              </w:rPr>
            </w:pPr>
          </w:p>
        </w:tc>
        <w:tc>
          <w:tcPr>
            <w:tcW w:w="2700" w:type="dxa"/>
            <w:gridSpan w:val="2"/>
            <w:vAlign w:val="center"/>
          </w:tcPr>
          <w:p>
            <w:pPr>
              <w:shd w:val="clea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809" w:type="dxa"/>
            <w:vAlign w:val="center"/>
          </w:tcPr>
          <w:p>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1899" w:type="dxa"/>
            <w:vAlign w:val="center"/>
          </w:tcPr>
          <w:p>
            <w:pPr>
              <w:shd w:val="clear"/>
              <w:spacing w:line="360" w:lineRule="auto"/>
              <w:jc w:val="center"/>
              <w:rPr>
                <w:rFonts w:hint="eastAsia" w:ascii="宋体" w:hAnsi="宋体" w:eastAsia="宋体" w:cs="宋体"/>
                <w:color w:val="auto"/>
                <w:highlight w:val="none"/>
              </w:rPr>
            </w:pPr>
          </w:p>
        </w:tc>
        <w:tc>
          <w:tcPr>
            <w:tcW w:w="1800" w:type="dxa"/>
            <w:gridSpan w:val="3"/>
            <w:vAlign w:val="center"/>
          </w:tcPr>
          <w:p>
            <w:pPr>
              <w:shd w:val="clear"/>
              <w:spacing w:line="360" w:lineRule="auto"/>
              <w:jc w:val="center"/>
              <w:rPr>
                <w:rFonts w:hint="eastAsia" w:ascii="宋体" w:hAnsi="宋体" w:eastAsia="宋体" w:cs="宋体"/>
                <w:color w:val="auto"/>
                <w:highlight w:val="none"/>
              </w:rPr>
            </w:pPr>
          </w:p>
        </w:tc>
        <w:tc>
          <w:tcPr>
            <w:tcW w:w="2700" w:type="dxa"/>
            <w:gridSpan w:val="2"/>
            <w:vAlign w:val="center"/>
          </w:tcPr>
          <w:p>
            <w:pPr>
              <w:shd w:val="clea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vAlign w:val="center"/>
          </w:tcPr>
          <w:p>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239</w:t>
            </w:r>
          </w:p>
        </w:tc>
        <w:tc>
          <w:tcPr>
            <w:tcW w:w="1899" w:type="dxa"/>
            <w:vAlign w:val="center"/>
          </w:tcPr>
          <w:p>
            <w:pPr>
              <w:shd w:val="clear"/>
              <w:spacing w:line="360" w:lineRule="auto"/>
              <w:jc w:val="center"/>
              <w:rPr>
                <w:rFonts w:hint="eastAsia" w:ascii="宋体" w:hAnsi="宋体" w:eastAsia="宋体" w:cs="宋体"/>
                <w:color w:val="auto"/>
                <w:highlight w:val="none"/>
              </w:rPr>
            </w:pPr>
          </w:p>
        </w:tc>
        <w:tc>
          <w:tcPr>
            <w:tcW w:w="1800" w:type="dxa"/>
            <w:gridSpan w:val="3"/>
            <w:vAlign w:val="center"/>
          </w:tcPr>
          <w:p>
            <w:pPr>
              <w:shd w:val="clear"/>
              <w:spacing w:line="360" w:lineRule="auto"/>
              <w:jc w:val="center"/>
              <w:rPr>
                <w:rFonts w:hint="eastAsia" w:ascii="宋体" w:hAnsi="宋体" w:eastAsia="宋体" w:cs="宋体"/>
                <w:color w:val="auto"/>
                <w:highlight w:val="none"/>
              </w:rPr>
            </w:pPr>
          </w:p>
        </w:tc>
        <w:tc>
          <w:tcPr>
            <w:tcW w:w="2700" w:type="dxa"/>
            <w:gridSpan w:val="2"/>
            <w:vAlign w:val="center"/>
          </w:tcPr>
          <w:p>
            <w:pPr>
              <w:shd w:val="clea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vAlign w:val="center"/>
          </w:tcPr>
          <w:p>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核查结果</w:t>
            </w:r>
          </w:p>
        </w:tc>
        <w:tc>
          <w:tcPr>
            <w:tcW w:w="6399" w:type="dxa"/>
            <w:gridSpan w:val="6"/>
            <w:vAlign w:val="center"/>
          </w:tcPr>
          <w:p>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vAlign w:val="center"/>
          </w:tcPr>
          <w:p>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核查依据</w:t>
            </w:r>
          </w:p>
        </w:tc>
        <w:tc>
          <w:tcPr>
            <w:tcW w:w="6399" w:type="dxa"/>
            <w:gridSpan w:val="6"/>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t>《区域自动气象站现场核查方法（试行）》（气测函〔2014〕108号）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9" w:type="dxa"/>
            <w:vAlign w:val="center"/>
          </w:tcPr>
          <w:p>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是否符合要求</w:t>
            </w:r>
          </w:p>
        </w:tc>
        <w:tc>
          <w:tcPr>
            <w:tcW w:w="6399" w:type="dxa"/>
            <w:gridSpan w:val="6"/>
          </w:tcPr>
          <w:p>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是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否</w:t>
            </w:r>
          </w:p>
        </w:tc>
      </w:tr>
    </w:tbl>
    <w:p>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核查：            核验：            核查日期： 2020 年   月   日</w:t>
      </w:r>
    </w:p>
    <w:p>
      <w:pPr>
        <w:shd w:val="clear"/>
        <w:jc w:val="left"/>
        <w:rPr>
          <w:rFonts w:hint="eastAsia" w:ascii="宋体" w:hAnsi="宋体" w:eastAsia="宋体" w:cs="宋体"/>
          <w:color w:val="auto"/>
          <w:sz w:val="24"/>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r>
        <w:rPr>
          <w:rFonts w:hint="eastAsia" w:ascii="宋体" w:hAnsi="宋体" w:eastAsia="宋体" w:cs="宋体"/>
          <w:color w:val="auto"/>
          <w:highlight w:val="none"/>
        </w:rPr>
        <w:t>注：记录编号：核查要素（2位拼音首字母大写）年（4位）月（2位）日（2位）序号（3位）要素数（2位）BJ（标识符）</w:t>
      </w: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spacing w:line="48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附录9</w:t>
      </w:r>
    </w:p>
    <w:p>
      <w:pPr>
        <w:shd w:val="clear"/>
        <w:spacing w:line="30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气压核查记录表</w:t>
      </w:r>
    </w:p>
    <w:p>
      <w:pPr>
        <w:shd w:val="clear"/>
        <w:wordWrap w:val="0"/>
        <w:spacing w:line="30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记录编号：          </w:t>
      </w:r>
    </w:p>
    <w:tbl>
      <w:tblPr>
        <w:tblStyle w:val="28"/>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080"/>
        <w:gridCol w:w="1260"/>
        <w:gridCol w:w="358"/>
        <w:gridCol w:w="722"/>
        <w:gridCol w:w="641"/>
        <w:gridCol w:w="79"/>
        <w:gridCol w:w="1440"/>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40" w:type="dxa"/>
            <w:tcBorders>
              <w:bottom w:val="single" w:color="auto" w:sz="6" w:space="0"/>
              <w:right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核查环境</w:t>
            </w:r>
          </w:p>
        </w:tc>
        <w:tc>
          <w:tcPr>
            <w:tcW w:w="7031" w:type="dxa"/>
            <w:gridSpan w:val="8"/>
            <w:tcBorders>
              <w:bottom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气温：20  ℃；湿度：60 ℅RH；风速：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240" w:type="dxa"/>
            <w:tcBorders>
              <w:bottom w:val="single" w:color="auto" w:sz="6" w:space="0"/>
              <w:right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开始时间</w:t>
            </w:r>
          </w:p>
        </w:tc>
        <w:tc>
          <w:tcPr>
            <w:tcW w:w="2698" w:type="dxa"/>
            <w:gridSpan w:val="3"/>
            <w:tcBorders>
              <w:bottom w:val="single" w:color="auto" w:sz="6" w:space="0"/>
            </w:tcBorders>
            <w:vAlign w:val="center"/>
          </w:tcPr>
          <w:p>
            <w:pPr>
              <w:shd w:val="clear"/>
              <w:spacing w:line="300" w:lineRule="exact"/>
              <w:jc w:val="center"/>
              <w:rPr>
                <w:rFonts w:hint="eastAsia" w:ascii="宋体" w:hAnsi="宋体" w:eastAsia="宋体" w:cs="宋体"/>
                <w:color w:val="auto"/>
                <w:highlight w:val="none"/>
              </w:rPr>
            </w:pPr>
          </w:p>
        </w:tc>
        <w:tc>
          <w:tcPr>
            <w:tcW w:w="1442" w:type="dxa"/>
            <w:gridSpan w:val="3"/>
            <w:tcBorders>
              <w:bottom w:val="single" w:color="auto" w:sz="6"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结束时间</w:t>
            </w:r>
          </w:p>
        </w:tc>
        <w:tc>
          <w:tcPr>
            <w:tcW w:w="2891" w:type="dxa"/>
            <w:gridSpan w:val="2"/>
            <w:tcBorders>
              <w:left w:val="single" w:color="auto" w:sz="4" w:space="0"/>
              <w:bottom w:val="single" w:color="auto" w:sz="6" w:space="0"/>
            </w:tcBorders>
            <w:vAlign w:val="center"/>
          </w:tcPr>
          <w:p>
            <w:pPr>
              <w:shd w:val="clear"/>
              <w:spacing w:line="3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40" w:type="dxa"/>
            <w:vMerge w:val="restart"/>
            <w:tcBorders>
              <w:top w:val="single" w:color="auto" w:sz="6" w:space="0"/>
              <w:right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设备信息</w:t>
            </w:r>
          </w:p>
        </w:tc>
        <w:tc>
          <w:tcPr>
            <w:tcW w:w="3420" w:type="dxa"/>
            <w:gridSpan w:val="4"/>
            <w:tcBorders>
              <w:top w:val="single" w:color="auto" w:sz="6" w:space="0"/>
              <w:bottom w:val="single" w:color="auto" w:sz="4" w:space="0"/>
              <w:right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标准器</w:t>
            </w:r>
          </w:p>
        </w:tc>
        <w:tc>
          <w:tcPr>
            <w:tcW w:w="3611" w:type="dxa"/>
            <w:gridSpan w:val="4"/>
            <w:tcBorders>
              <w:left w:val="single" w:color="auto" w:sz="4" w:space="0"/>
              <w:bottom w:val="single" w:color="auto" w:sz="4" w:space="0"/>
            </w:tcBorders>
            <w:vAlign w:val="center"/>
          </w:tcPr>
          <w:p>
            <w:pPr>
              <w:shd w:val="clea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被核查器具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40" w:type="dxa"/>
            <w:vMerge w:val="continue"/>
            <w:tcBorders>
              <w:bottom w:val="single" w:color="auto" w:sz="4" w:space="0"/>
              <w:right w:val="single" w:color="auto" w:sz="4" w:space="0"/>
            </w:tcBorders>
          </w:tcPr>
          <w:p>
            <w:pPr>
              <w:shd w:val="clear"/>
              <w:ind w:firstLine="105" w:firstLineChars="50"/>
              <w:rPr>
                <w:rFonts w:hint="eastAsia" w:ascii="宋体" w:hAnsi="宋体" w:eastAsia="宋体" w:cs="宋体"/>
                <w:color w:val="auto"/>
                <w:highlight w:val="none"/>
              </w:rPr>
            </w:pPr>
          </w:p>
        </w:tc>
        <w:tc>
          <w:tcPr>
            <w:tcW w:w="3420" w:type="dxa"/>
            <w:gridSpan w:val="4"/>
            <w:tcBorders>
              <w:top w:val="single" w:color="auto" w:sz="4" w:space="0"/>
              <w:bottom w:val="single" w:color="auto" w:sz="4" w:space="0"/>
              <w:right w:val="single" w:color="auto" w:sz="4" w:space="0"/>
            </w:tcBorders>
          </w:tcPr>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名称：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生产厂：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型号： </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编号：</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 xml:space="preserve">证书编号： </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 xml:space="preserve">检定/校准日期： </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 xml:space="preserve">有效期至： </w:t>
            </w:r>
          </w:p>
          <w:p>
            <w:pPr>
              <w:shd w:val="clear"/>
              <w:spacing w:line="300" w:lineRule="exact"/>
              <w:ind w:left="105" w:hanging="105" w:hangingChars="50"/>
              <w:rPr>
                <w:rFonts w:hint="eastAsia" w:ascii="宋体" w:hAnsi="宋体" w:eastAsia="宋体" w:cs="宋体"/>
                <w:color w:val="auto"/>
                <w:highlight w:val="none"/>
              </w:rPr>
            </w:pPr>
            <w:r>
              <w:rPr>
                <w:rFonts w:hint="eastAsia" w:ascii="宋体" w:hAnsi="宋体" w:eastAsia="宋体" w:cs="宋体"/>
                <w:color w:val="auto"/>
                <w:highlight w:val="none"/>
              </w:rPr>
              <w:t xml:space="preserve">不确定度/最大允许误差： </w:t>
            </w:r>
          </w:p>
        </w:tc>
        <w:tc>
          <w:tcPr>
            <w:tcW w:w="3611" w:type="dxa"/>
            <w:gridSpan w:val="4"/>
            <w:tcBorders>
              <w:top w:val="single" w:color="auto" w:sz="4" w:space="0"/>
              <w:left w:val="single" w:color="auto" w:sz="4" w:space="0"/>
              <w:bottom w:val="single" w:color="auto" w:sz="6" w:space="0"/>
            </w:tcBorders>
          </w:tcPr>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使用单位：本级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器具名称：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生产厂：  </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型号： </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pPr>
              <w:shd w:val="clear"/>
              <w:rPr>
                <w:rFonts w:hint="eastAsia" w:ascii="宋体" w:hAnsi="宋体" w:eastAsia="宋体" w:cs="宋体"/>
                <w:color w:val="auto"/>
                <w:highlight w:val="none"/>
              </w:rPr>
            </w:pPr>
            <w:r>
              <w:rPr>
                <w:rFonts w:hint="eastAsia" w:ascii="宋体" w:hAnsi="宋体" w:eastAsia="宋体" w:cs="宋体"/>
                <w:color w:val="auto"/>
                <w:highlight w:val="none"/>
              </w:rPr>
              <w:t>最大允许误差：±0.3</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自动站型号：</w:t>
            </w:r>
          </w:p>
          <w:p>
            <w:pPr>
              <w:shd w:val="clea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区站号：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0" w:type="dxa"/>
            <w:tcBorders>
              <w:top w:val="single" w:color="auto" w:sz="4" w:space="0"/>
              <w:bottom w:val="single" w:color="auto" w:sz="6"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外观检查</w:t>
            </w:r>
          </w:p>
        </w:tc>
        <w:tc>
          <w:tcPr>
            <w:tcW w:w="7031" w:type="dxa"/>
            <w:gridSpan w:val="8"/>
            <w:tcBorders>
              <w:top w:val="single" w:color="auto" w:sz="4" w:space="0"/>
              <w:left w:val="single" w:color="auto" w:sz="4" w:space="0"/>
              <w:bottom w:val="single" w:color="auto" w:sz="6" w:space="0"/>
            </w:tcBorders>
            <w:vAlign w:val="center"/>
          </w:tcPr>
          <w:p>
            <w:pPr>
              <w:shd w:val="clear"/>
              <w:ind w:firstLine="1575" w:firstLineChars="750"/>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合格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40" w:type="dxa"/>
            <w:tcBorders>
              <w:top w:val="single" w:color="auto" w:sz="4" w:space="0"/>
              <w:bottom w:val="single" w:color="auto" w:sz="6"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核查点</w:t>
            </w:r>
          </w:p>
        </w:tc>
        <w:tc>
          <w:tcPr>
            <w:tcW w:w="1080" w:type="dxa"/>
            <w:tcBorders>
              <w:top w:val="single" w:color="auto" w:sz="4" w:space="0"/>
              <w:bottom w:val="single" w:color="auto" w:sz="6" w:space="0"/>
              <w:right w:val="single" w:color="auto" w:sz="4"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标准值（hPa）</w:t>
            </w:r>
          </w:p>
        </w:tc>
        <w:tc>
          <w:tcPr>
            <w:tcW w:w="1260" w:type="dxa"/>
            <w:tcBorders>
              <w:top w:val="single" w:color="auto" w:sz="4" w:space="0"/>
              <w:left w:val="single" w:color="auto" w:sz="4" w:space="0"/>
              <w:bottom w:val="single" w:color="auto" w:sz="6" w:space="0"/>
              <w:right w:val="single" w:color="auto" w:sz="6"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修正值（hPa</w:t>
            </w:r>
            <w:r>
              <w:rPr>
                <w:rFonts w:hint="eastAsia" w:ascii="宋体" w:hAnsi="宋体" w:eastAsia="宋体" w:cs="宋体"/>
                <w:color w:val="auto"/>
                <w:sz w:val="24"/>
                <w:highlight w:val="none"/>
              </w:rPr>
              <w:t>）</w:t>
            </w:r>
          </w:p>
        </w:tc>
        <w:tc>
          <w:tcPr>
            <w:tcW w:w="1721" w:type="dxa"/>
            <w:gridSpan w:val="3"/>
            <w:tcBorders>
              <w:top w:val="single" w:color="auto" w:sz="4" w:space="0"/>
              <w:left w:val="single" w:color="auto" w:sz="6" w:space="0"/>
              <w:bottom w:val="single" w:color="auto" w:sz="6" w:space="0"/>
              <w:right w:val="single" w:color="auto" w:sz="6"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标准值算术平均</w:t>
            </w:r>
          </w:p>
          <w:p>
            <w:pPr>
              <w:shd w:val="clear"/>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highlight w:val="none"/>
              </w:rPr>
              <w:t>hPa）</w:t>
            </w:r>
          </w:p>
        </w:tc>
        <w:tc>
          <w:tcPr>
            <w:tcW w:w="1519" w:type="dxa"/>
            <w:gridSpan w:val="2"/>
            <w:tcBorders>
              <w:top w:val="single" w:color="auto" w:sz="4" w:space="0"/>
              <w:left w:val="single" w:color="auto" w:sz="6" w:space="0"/>
              <w:bottom w:val="single" w:color="auto" w:sz="6" w:space="0"/>
              <w:right w:val="single" w:color="auto" w:sz="6"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被核查示值</w:t>
            </w:r>
          </w:p>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（hPa）</w:t>
            </w:r>
          </w:p>
        </w:tc>
        <w:tc>
          <w:tcPr>
            <w:tcW w:w="1451" w:type="dxa"/>
            <w:tcBorders>
              <w:top w:val="single" w:color="auto" w:sz="6" w:space="0"/>
              <w:left w:val="single" w:color="auto" w:sz="6" w:space="0"/>
              <w:bottom w:val="single" w:color="auto" w:sz="6" w:space="0"/>
            </w:tcBorders>
            <w:vAlign w:val="center"/>
          </w:tcPr>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示值误差</w:t>
            </w:r>
          </w:p>
          <w:p>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40" w:type="dxa"/>
            <w:vMerge w:val="restart"/>
            <w:tcBorders>
              <w:top w:val="single" w:color="auto" w:sz="6" w:space="0"/>
              <w:right w:val="single" w:color="auto" w:sz="4"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当前环境气压</w:t>
            </w:r>
          </w:p>
        </w:tc>
        <w:tc>
          <w:tcPr>
            <w:tcW w:w="1080" w:type="dxa"/>
            <w:tcBorders>
              <w:top w:val="single" w:color="auto" w:sz="6" w:space="0"/>
              <w:right w:val="single" w:color="auto" w:sz="4"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950.0</w:t>
            </w:r>
          </w:p>
        </w:tc>
        <w:tc>
          <w:tcPr>
            <w:tcW w:w="1260" w:type="dxa"/>
            <w:tcBorders>
              <w:top w:val="single" w:color="auto" w:sz="6" w:space="0"/>
              <w:left w:val="single" w:color="auto" w:sz="4"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721" w:type="dxa"/>
            <w:gridSpan w:val="3"/>
            <w:tcBorders>
              <w:top w:val="single" w:color="auto" w:sz="6" w:space="0"/>
              <w:left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519" w:type="dxa"/>
            <w:gridSpan w:val="2"/>
            <w:tcBorders>
              <w:top w:val="single" w:color="auto" w:sz="6" w:space="0"/>
              <w:left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451" w:type="dxa"/>
            <w:tcBorders>
              <w:top w:val="single" w:color="auto" w:sz="6" w:space="0"/>
              <w:left w:val="single" w:color="auto" w:sz="6" w:space="0"/>
            </w:tcBorders>
            <w:vAlign w:val="center"/>
          </w:tcPr>
          <w:p>
            <w:pPr>
              <w:shd w:val="clear"/>
              <w:spacing w:line="5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40" w:type="dxa"/>
            <w:vMerge w:val="continue"/>
            <w:tcBorders>
              <w:right w:val="single" w:color="auto" w:sz="4" w:space="0"/>
            </w:tcBorders>
            <w:vAlign w:val="center"/>
          </w:tcPr>
          <w:p>
            <w:pPr>
              <w:shd w:val="clear"/>
              <w:spacing w:line="500" w:lineRule="exact"/>
              <w:jc w:val="center"/>
              <w:rPr>
                <w:rFonts w:hint="eastAsia" w:ascii="宋体" w:hAnsi="宋体" w:eastAsia="宋体" w:cs="宋体"/>
                <w:color w:val="auto"/>
                <w:highlight w:val="none"/>
              </w:rPr>
            </w:pPr>
          </w:p>
        </w:tc>
        <w:tc>
          <w:tcPr>
            <w:tcW w:w="1080" w:type="dxa"/>
            <w:tcBorders>
              <w:top w:val="single" w:color="auto" w:sz="6" w:space="0"/>
              <w:right w:val="single" w:color="auto" w:sz="4"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1000.0</w:t>
            </w:r>
          </w:p>
        </w:tc>
        <w:tc>
          <w:tcPr>
            <w:tcW w:w="1260" w:type="dxa"/>
            <w:tcBorders>
              <w:top w:val="single" w:color="auto" w:sz="6" w:space="0"/>
              <w:left w:val="single" w:color="auto" w:sz="4"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721" w:type="dxa"/>
            <w:gridSpan w:val="3"/>
            <w:tcBorders>
              <w:top w:val="single" w:color="auto" w:sz="6" w:space="0"/>
              <w:left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519" w:type="dxa"/>
            <w:gridSpan w:val="2"/>
            <w:tcBorders>
              <w:top w:val="single" w:color="auto" w:sz="6" w:space="0"/>
              <w:left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451" w:type="dxa"/>
            <w:tcBorders>
              <w:top w:val="single" w:color="auto" w:sz="6" w:space="0"/>
              <w:left w:val="single" w:color="auto" w:sz="6" w:space="0"/>
            </w:tcBorders>
            <w:vAlign w:val="center"/>
          </w:tcPr>
          <w:p>
            <w:pPr>
              <w:shd w:val="clear"/>
              <w:spacing w:line="5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240" w:type="dxa"/>
            <w:vMerge w:val="continue"/>
            <w:tcBorders>
              <w:right w:val="single" w:color="auto" w:sz="4" w:space="0"/>
            </w:tcBorders>
            <w:vAlign w:val="center"/>
          </w:tcPr>
          <w:p>
            <w:pPr>
              <w:shd w:val="clear"/>
              <w:spacing w:line="500" w:lineRule="exact"/>
              <w:jc w:val="center"/>
              <w:rPr>
                <w:rFonts w:hint="eastAsia" w:ascii="宋体" w:hAnsi="宋体" w:eastAsia="宋体" w:cs="宋体"/>
                <w:color w:val="auto"/>
                <w:highlight w:val="none"/>
              </w:rPr>
            </w:pPr>
          </w:p>
        </w:tc>
        <w:tc>
          <w:tcPr>
            <w:tcW w:w="1080" w:type="dxa"/>
            <w:tcBorders>
              <w:top w:val="single" w:color="auto" w:sz="6" w:space="0"/>
              <w:right w:val="single" w:color="auto" w:sz="4"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1050.0</w:t>
            </w:r>
          </w:p>
        </w:tc>
        <w:tc>
          <w:tcPr>
            <w:tcW w:w="1260" w:type="dxa"/>
            <w:tcBorders>
              <w:top w:val="single" w:color="auto" w:sz="6" w:space="0"/>
              <w:left w:val="single" w:color="auto" w:sz="4"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721" w:type="dxa"/>
            <w:gridSpan w:val="3"/>
            <w:tcBorders>
              <w:top w:val="single" w:color="auto" w:sz="6" w:space="0"/>
              <w:left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519" w:type="dxa"/>
            <w:gridSpan w:val="2"/>
            <w:tcBorders>
              <w:top w:val="single" w:color="auto" w:sz="6" w:space="0"/>
              <w:left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p>
        </w:tc>
        <w:tc>
          <w:tcPr>
            <w:tcW w:w="1451" w:type="dxa"/>
            <w:tcBorders>
              <w:top w:val="single" w:color="auto" w:sz="6" w:space="0"/>
              <w:left w:val="single" w:color="auto" w:sz="6" w:space="0"/>
            </w:tcBorders>
            <w:vAlign w:val="center"/>
          </w:tcPr>
          <w:p>
            <w:pPr>
              <w:shd w:val="clear"/>
              <w:spacing w:line="5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580" w:type="dxa"/>
            <w:gridSpan w:val="3"/>
            <w:tcBorders>
              <w:top w:val="single" w:color="auto" w:sz="6" w:space="0"/>
              <w:bottom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核查结果</w:t>
            </w:r>
          </w:p>
        </w:tc>
        <w:tc>
          <w:tcPr>
            <w:tcW w:w="4691" w:type="dxa"/>
            <w:gridSpan w:val="6"/>
            <w:tcBorders>
              <w:left w:val="single" w:color="auto" w:sz="6" w:space="0"/>
            </w:tcBorders>
            <w:vAlign w:val="center"/>
          </w:tcPr>
          <w:p>
            <w:pPr>
              <w:shd w:val="clear"/>
              <w:spacing w:line="5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580" w:type="dxa"/>
            <w:gridSpan w:val="3"/>
            <w:tcBorders>
              <w:top w:val="single" w:color="auto" w:sz="6" w:space="0"/>
              <w:bottom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核查依据</w:t>
            </w:r>
          </w:p>
        </w:tc>
        <w:tc>
          <w:tcPr>
            <w:tcW w:w="4691" w:type="dxa"/>
            <w:gridSpan w:val="6"/>
            <w:tcBorders>
              <w:left w:val="single" w:color="auto" w:sz="6"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JJG（气象）001 自动气象站气压传感器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580" w:type="dxa"/>
            <w:gridSpan w:val="3"/>
            <w:tcBorders>
              <w:top w:val="single" w:color="auto" w:sz="6" w:space="0"/>
              <w:bottom w:val="single" w:color="auto" w:sz="6" w:space="0"/>
              <w:right w:val="single" w:color="auto" w:sz="6"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是否符合要求</w:t>
            </w:r>
          </w:p>
        </w:tc>
        <w:tc>
          <w:tcPr>
            <w:tcW w:w="4691" w:type="dxa"/>
            <w:gridSpan w:val="6"/>
            <w:tcBorders>
              <w:left w:val="single" w:color="auto" w:sz="6" w:space="0"/>
            </w:tcBorders>
            <w:vAlign w:val="center"/>
          </w:tcPr>
          <w:p>
            <w:pPr>
              <w:shd w:val="clea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是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否</w:t>
            </w:r>
          </w:p>
        </w:tc>
      </w:tr>
    </w:tbl>
    <w:p>
      <w:pPr>
        <w:shd w:val="clear"/>
        <w:rPr>
          <w:rFonts w:hint="eastAsia" w:ascii="宋体" w:hAnsi="宋体" w:eastAsia="宋体" w:cs="宋体"/>
          <w:color w:val="auto"/>
          <w:highlight w:val="none"/>
        </w:rPr>
      </w:pPr>
      <w:r>
        <w:rPr>
          <w:rFonts w:hint="eastAsia" w:ascii="宋体" w:hAnsi="宋体" w:eastAsia="宋体" w:cs="宋体"/>
          <w:color w:val="auto"/>
          <w:highlight w:val="none"/>
        </w:rPr>
        <w:t>核查：          　　核验：             核查时间：2020 年    月  日</w:t>
      </w: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highlight w:val="none"/>
        </w:rPr>
        <w:t>注：记录编号：核查要素（2位拼音首字母大写）年（4位）月（2位）日（2位）序号（3位）要素数（2位）BJ（标识符）</w:t>
      </w:r>
    </w:p>
    <w:p>
      <w:pPr>
        <w:pStyle w:val="3"/>
        <w:keepNext/>
        <w:keepLines/>
        <w:pageBreakBefore w:val="0"/>
        <w:widowControl w:val="0"/>
        <w:suppressLineNumbers w:val="0"/>
        <w:shd w:val="clear"/>
        <w:suppressAutoHyphens w:val="0"/>
        <w:spacing w:line="578" w:lineRule="auto"/>
        <w:jc w:val="center"/>
        <w:rPr>
          <w:rFonts w:hint="eastAsia" w:ascii="宋体" w:hAnsi="宋体" w:eastAsia="宋体" w:cs="宋体"/>
          <w:color w:val="auto"/>
          <w:highlight w:val="none"/>
        </w:rPr>
      </w:pPr>
      <w:bookmarkStart w:id="40" w:name="_Toc14268"/>
      <w:r>
        <w:rPr>
          <w:rFonts w:hint="eastAsia" w:ascii="宋体" w:hAnsi="宋体" w:eastAsia="宋体" w:cs="宋体"/>
          <w:color w:val="auto"/>
          <w:highlight w:val="none"/>
        </w:rPr>
        <w:t>第四章  拟签订合同的主要条款</w:t>
      </w:r>
      <w:bookmarkEnd w:id="40"/>
    </w:p>
    <w:p>
      <w:pPr>
        <w:widowControl/>
        <w:shd w:val="clear"/>
        <w:snapToGrid w:val="0"/>
        <w:spacing w:line="480" w:lineRule="exact"/>
        <w:ind w:left="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（合同按采购文件及中标供应商投标文件的内容制定，以下仅为部分主要条款）</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                                     合同编号：</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                                     确认书号：</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甲方（采购人）： </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乙方（供应商）： </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甲、乙双方根据</w:t>
      </w:r>
      <w:r>
        <w:rPr>
          <w:rFonts w:hint="eastAsia" w:ascii="宋体" w:hAnsi="宋体" w:eastAsia="宋体" w:cs="宋体"/>
          <w:color w:val="auto"/>
          <w:kern w:val="0"/>
          <w:sz w:val="24"/>
          <w:highlight w:val="none"/>
          <w:u w:val="single"/>
        </w:rPr>
        <w:t xml:space="preserve">    （填写采购代理机构名称）   </w:t>
      </w:r>
      <w:r>
        <w:rPr>
          <w:rFonts w:hint="eastAsia" w:ascii="宋体" w:hAnsi="宋体" w:eastAsia="宋体" w:cs="宋体"/>
          <w:color w:val="auto"/>
          <w:kern w:val="0"/>
          <w:sz w:val="24"/>
          <w:highlight w:val="none"/>
          <w:u w:val="none"/>
        </w:rPr>
        <w:t>项目编号为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rPr>
        <w:t>的</w:t>
      </w:r>
      <w:r>
        <w:rPr>
          <w:rFonts w:hint="eastAsia" w:ascii="宋体" w:hAnsi="宋体" w:eastAsia="宋体" w:cs="宋体"/>
          <w:color w:val="auto"/>
          <w:kern w:val="0"/>
          <w:sz w:val="24"/>
          <w:highlight w:val="none"/>
          <w:u w:val="single"/>
        </w:rPr>
        <w:t>（标项及名称）</w:t>
      </w:r>
      <w:r>
        <w:rPr>
          <w:rFonts w:hint="eastAsia" w:ascii="宋体" w:hAnsi="宋体" w:eastAsia="宋体" w:cs="宋体"/>
          <w:color w:val="auto"/>
          <w:kern w:val="0"/>
          <w:sz w:val="24"/>
          <w:highlight w:val="none"/>
          <w:u w:val="none"/>
        </w:rPr>
        <w:t>项目的政府采购交易结果，签署本合同。</w:t>
      </w:r>
    </w:p>
    <w:p>
      <w:pPr>
        <w:widowControl/>
        <w:numPr>
          <w:ilvl w:val="0"/>
          <w:numId w:val="10"/>
        </w:numPr>
        <w:shd w:val="clear"/>
        <w:snapToGrid w:val="0"/>
        <w:spacing w:line="480" w:lineRule="exact"/>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服务内容及标准</w:t>
      </w:r>
    </w:p>
    <w:p>
      <w:pPr>
        <w:widowControl/>
        <w:shd w:val="clear"/>
        <w:snapToGrid w:val="0"/>
        <w:spacing w:line="480" w:lineRule="exact"/>
        <w:ind w:left="480" w:firstLine="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（按采购需求及投标文件的内容填写）</w:t>
      </w:r>
    </w:p>
    <w:p>
      <w:pPr>
        <w:widowControl/>
        <w:numPr>
          <w:ilvl w:val="0"/>
          <w:numId w:val="10"/>
        </w:numPr>
        <w:shd w:val="clear"/>
        <w:snapToGrid w:val="0"/>
        <w:spacing w:line="480" w:lineRule="exact"/>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服务价格</w:t>
      </w:r>
    </w:p>
    <w:p>
      <w:pPr>
        <w:widowControl/>
        <w:shd w:val="clear"/>
        <w:snapToGrid w:val="0"/>
        <w:spacing w:line="480" w:lineRule="exact"/>
        <w:ind w:left="480" w:firstLine="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（有服务分项的，需报分项价格和总价）</w:t>
      </w:r>
    </w:p>
    <w:p>
      <w:pPr>
        <w:widowControl/>
        <w:shd w:val="clear"/>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三、技术资料</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1.乙方应按采购文件规定的时间向甲方提供与本项目有关的技术资料。</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hd w:val="clear"/>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四、知识产权</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1、乙方应保证所提供的货物与服务均不会侵犯任何第三方的知识产权。</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2、乙方保证所交付的服务的所有权完全属于乙方且无任何抵押、查封等产权瑕疵。</w:t>
      </w:r>
    </w:p>
    <w:p>
      <w:pPr>
        <w:widowControl/>
        <w:shd w:val="clear"/>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五、转包或分包</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不允许转包。</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允许分包部分               。</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如乙方将项目转包或将不允许分包部分进行了分包，甲方有权解除合同，并追究乙方的违约责任。</w:t>
      </w:r>
    </w:p>
    <w:p>
      <w:pPr>
        <w:widowControl/>
        <w:shd w:val="clear"/>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六、履约保证金</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1.履约保证金</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0</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rPr>
        <w:t>元。[履约保证金交至采购人处，服务完成并验收通过后（   ）个工作日内无息退还。]</w:t>
      </w:r>
    </w:p>
    <w:p>
      <w:pPr>
        <w:widowControl/>
        <w:shd w:val="clear"/>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七、项目服务期限及实施地点</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1.服务期限：</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2.实施地点：</w:t>
      </w:r>
    </w:p>
    <w:p>
      <w:pPr>
        <w:widowControl/>
        <w:shd w:val="clear"/>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八、付款</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 付款方式：</w:t>
      </w:r>
    </w:p>
    <w:p>
      <w:pPr>
        <w:shd w:val="clear"/>
        <w:snapToGrid w:val="0"/>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九、商品包装和快递包装要求</w:t>
      </w:r>
    </w:p>
    <w:p>
      <w:pPr>
        <w:shd w:val="clea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本次项目采购所涉及的商品包装和快递包装建议按《关于印发《商品包装政府采购需求标准（试行）》、 《快递包装政府采购需求标准（试行）》的通知》（财办库〔2020〕123号）文件要求执行。</w:t>
      </w:r>
    </w:p>
    <w:p>
      <w:pPr>
        <w:widowControl/>
        <w:shd w:val="clear"/>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十、税费</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本合同执行中相关的一切税费均由乙方负担。</w:t>
      </w:r>
    </w:p>
    <w:p>
      <w:pPr>
        <w:widowControl/>
        <w:shd w:val="clear"/>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十一、违约责任</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1.甲方无正当理由拒绝验收项目的，甲方向乙方偿付拒收合同总价的百分之五违约金。</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2.甲方无故逾期验收和办理合同款项支付手续的,甲方应按逾期付款总额每日万分之五向乙方支付违约金。</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4.乙方所履行的服务质量或服务数量不符合合同规定及采购文件规定的，甲方有权中止接受服务，单方面解除合同，且相关损失由乙方承担。</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5.解除合同应按《浙江省合同管理办法》向财政备案。</w:t>
      </w:r>
    </w:p>
    <w:p>
      <w:pPr>
        <w:widowControl/>
        <w:shd w:val="clear"/>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十二、不可抗力事件处理</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1.在合同有效期内，任何一方因不可抗力事件导致不能履行合同，则合同履行期可延长，其延长期与不可抗力影响期相同。</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2.不可抗力事件发生后，应立即通知对方，并寄送有关权威机构出具的证明。</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3.不可抗力事件延续120天以上，双方应通过友好协商，确定是否继续履行合同。</w:t>
      </w:r>
    </w:p>
    <w:p>
      <w:pPr>
        <w:widowControl/>
        <w:shd w:val="clear"/>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十三、诉讼</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双方在执行合同中所发生的一切争议，应通过协商解决。如协商不成，可向甲方所在地法院起诉。</w:t>
      </w:r>
    </w:p>
    <w:p>
      <w:pPr>
        <w:widowControl/>
        <w:shd w:val="clear"/>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十四、合同生效及其他</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1.合同经甲、乙双方签名并加盖单位公章后生效。</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3.采购文件、投标文件与本合同具有同等法律效力。</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4.本合同未尽事宜，遵照《民法典》有关条文执行。</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5.本合同一式五份，具有同等法律效力，甲、乙双方各执二份，采购代理机构一份。</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甲方（盖章）：                                   </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地址：                                   </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法定（授权）代表人：                   </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签名日期：     年   月   日           </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乙方（盖章）：</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地址： </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开户行：</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开户账号：</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法定（授权）代表人：</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签名日期：      年   月   日</w:t>
      </w:r>
    </w:p>
    <w:p>
      <w:pPr>
        <w:pStyle w:val="3"/>
        <w:keepNext/>
        <w:keepLines/>
        <w:pageBreakBefore w:val="0"/>
        <w:widowControl w:val="0"/>
        <w:suppressLineNumbers w:val="0"/>
        <w:shd w:val="clear"/>
        <w:suppressAutoHyphens w:val="0"/>
        <w:spacing w:line="578" w:lineRule="auto"/>
        <w:jc w:val="center"/>
        <w:rPr>
          <w:rFonts w:hint="eastAsia" w:ascii="宋体" w:hAnsi="宋体" w:eastAsia="宋体" w:cs="宋体"/>
          <w:color w:val="auto"/>
          <w:highlight w:val="none"/>
        </w:rPr>
      </w:pPr>
      <w:bookmarkStart w:id="41" w:name="_Toc14424"/>
      <w:r>
        <w:rPr>
          <w:rFonts w:hint="eastAsia" w:ascii="宋体" w:hAnsi="宋体" w:eastAsia="宋体" w:cs="宋体"/>
          <w:color w:val="auto"/>
          <w:highlight w:val="none"/>
        </w:rPr>
        <w:t>第五章  评标办法及标准</w:t>
      </w:r>
      <w:bookmarkEnd w:id="41"/>
    </w:p>
    <w:p>
      <w:pPr>
        <w:shd w:val="clea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特别条款：</w:t>
      </w:r>
    </w:p>
    <w:p>
      <w:pPr>
        <w:shd w:val="clear"/>
        <w:spacing w:line="44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A.使用综合评分法的采购项目，提供</w:t>
      </w:r>
      <w:r>
        <w:rPr>
          <w:rFonts w:hint="eastAsia" w:ascii="宋体" w:hAnsi="宋体" w:eastAsia="宋体" w:cs="宋体"/>
          <w:b/>
          <w:color w:val="auto"/>
          <w:sz w:val="24"/>
          <w:highlight w:val="none"/>
          <w:bdr w:val="single" w:color="000000" w:sz="4" w:space="0"/>
        </w:rPr>
        <w:t>相同品牌</w:t>
      </w:r>
      <w:r>
        <w:rPr>
          <w:rFonts w:hint="eastAsia" w:ascii="宋体" w:hAnsi="宋体" w:eastAsia="宋体" w:cs="宋体"/>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hd w:val="clear"/>
        <w:spacing w:line="44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hd w:val="clea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1、评标方法：</w:t>
      </w:r>
    </w:p>
    <w:p>
      <w:pPr>
        <w:shd w:val="clea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pPr>
        <w:widowControl/>
        <w:shd w:val="clear"/>
        <w:snapToGrid w:val="0"/>
        <w:spacing w:line="480" w:lineRule="exact"/>
        <w:ind w:left="0"/>
        <w:rPr>
          <w:rFonts w:hint="eastAsia" w:ascii="宋体" w:hAnsi="宋体" w:eastAsia="宋体" w:cs="宋体"/>
          <w:color w:val="auto"/>
          <w:kern w:val="0"/>
          <w:sz w:val="24"/>
          <w:highlight w:val="none"/>
          <w:u w:val="none"/>
        </w:rPr>
      </w:pPr>
      <w:r>
        <w:rPr>
          <w:rFonts w:hint="eastAsia" w:ascii="宋体" w:hAnsi="宋体" w:eastAsia="宋体" w:cs="宋体"/>
          <w:b/>
          <w:color w:val="auto"/>
          <w:sz w:val="24"/>
          <w:highlight w:val="none"/>
        </w:rPr>
        <w:t>2.评分标准：</w:t>
      </w:r>
      <w:r>
        <w:rPr>
          <w:rFonts w:hint="eastAsia" w:ascii="宋体" w:hAnsi="宋体" w:eastAsia="宋体" w:cs="宋体"/>
          <w:color w:val="auto"/>
          <w:sz w:val="24"/>
          <w:highlight w:val="none"/>
        </w:rPr>
        <w:t>总分100分，其中商务技术分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80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分，价格分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分。下述所列为评分依据，分值如下（计算分值时，按其算术平均值保留小数2位）。</w:t>
      </w:r>
    </w:p>
    <w:p>
      <w:pPr>
        <w:widowControl/>
        <w:shd w:val="clear"/>
        <w:snapToGrid w:val="0"/>
        <w:spacing w:line="480" w:lineRule="exact"/>
        <w:ind w:left="0"/>
        <w:rPr>
          <w:rFonts w:hint="eastAsia" w:ascii="宋体" w:hAnsi="宋体" w:eastAsia="宋体" w:cs="宋体"/>
          <w:b/>
          <w:bCs/>
          <w:color w:val="auto"/>
          <w:kern w:val="0"/>
          <w:sz w:val="24"/>
          <w:highlight w:val="none"/>
          <w:u w:val="none"/>
        </w:rPr>
      </w:pPr>
      <w:r>
        <w:rPr>
          <w:rFonts w:hint="eastAsia" w:ascii="宋体" w:hAnsi="宋体" w:eastAsia="宋体" w:cs="宋体"/>
          <w:b/>
          <w:bCs/>
          <w:color w:val="auto"/>
          <w:sz w:val="24"/>
          <w:highlight w:val="none"/>
          <w:bdr w:val="single" w:color="auto" w:sz="4" w:space="0"/>
        </w:rPr>
        <w:t>01标</w:t>
      </w:r>
      <w:r>
        <w:rPr>
          <w:rFonts w:hint="eastAsia" w:ascii="宋体" w:hAnsi="宋体" w:eastAsia="宋体" w:cs="宋体"/>
          <w:b/>
          <w:bCs/>
          <w:color w:val="auto"/>
          <w:kern w:val="0"/>
          <w:sz w:val="24"/>
          <w:highlight w:val="none"/>
          <w:u w:val="none"/>
        </w:rPr>
        <w:t>商务技术分：</w:t>
      </w:r>
    </w:p>
    <w:tbl>
      <w:tblPr>
        <w:tblStyle w:val="28"/>
        <w:tblW w:w="8835" w:type="dxa"/>
        <w:jc w:val="center"/>
        <w:tblLayout w:type="fixed"/>
        <w:tblCellMar>
          <w:top w:w="0" w:type="dxa"/>
          <w:left w:w="108" w:type="dxa"/>
          <w:bottom w:w="0" w:type="dxa"/>
          <w:right w:w="108" w:type="dxa"/>
        </w:tblCellMar>
      </w:tblPr>
      <w:tblGrid>
        <w:gridCol w:w="690"/>
        <w:gridCol w:w="1335"/>
        <w:gridCol w:w="5975"/>
        <w:gridCol w:w="835"/>
      </w:tblGrid>
      <w:tr>
        <w:tblPrEx>
          <w:tblCellMar>
            <w:top w:w="0" w:type="dxa"/>
            <w:left w:w="108" w:type="dxa"/>
            <w:bottom w:w="0" w:type="dxa"/>
            <w:right w:w="108" w:type="dxa"/>
          </w:tblCellMar>
        </w:tblPrEx>
        <w:trPr>
          <w:trHeight w:val="60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35" w:type="dxa"/>
            <w:tcBorders>
              <w:top w:val="single" w:color="auto" w:sz="4" w:space="0"/>
              <w:left w:val="nil"/>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5975" w:type="dxa"/>
            <w:tcBorders>
              <w:top w:val="single" w:color="auto" w:sz="4" w:space="0"/>
              <w:left w:val="nil"/>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评审细则</w:t>
            </w:r>
          </w:p>
        </w:tc>
        <w:tc>
          <w:tcPr>
            <w:tcW w:w="835" w:type="dxa"/>
            <w:tcBorders>
              <w:top w:val="single" w:color="auto" w:sz="4" w:space="0"/>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tblPrEx>
          <w:tblCellMar>
            <w:top w:w="0" w:type="dxa"/>
            <w:left w:w="108" w:type="dxa"/>
            <w:bottom w:w="0" w:type="dxa"/>
            <w:right w:w="108" w:type="dxa"/>
          </w:tblCellMar>
        </w:tblPrEx>
        <w:trPr>
          <w:trHeight w:val="98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重难点分析</w:t>
            </w:r>
          </w:p>
        </w:tc>
        <w:tc>
          <w:tcPr>
            <w:tcW w:w="5975" w:type="dxa"/>
            <w:tcBorders>
              <w:top w:val="nil"/>
              <w:left w:val="nil"/>
              <w:bottom w:val="single" w:color="auto" w:sz="4" w:space="0"/>
              <w:right w:val="single" w:color="auto" w:sz="4" w:space="0"/>
            </w:tcBorders>
            <w:vAlign w:val="center"/>
          </w:tcPr>
          <w:p>
            <w:pPr>
              <w:widowControl/>
              <w:shd w:val="clear"/>
              <w:spacing w:line="3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评委根据投标人对整个项目的重难点分析的符合程度及全面性进行打分</w:t>
            </w:r>
            <w:r>
              <w:rPr>
                <w:rFonts w:hint="eastAsia" w:ascii="宋体" w:hAnsi="宋体" w:eastAsia="宋体" w:cs="宋体"/>
                <w:color w:val="auto"/>
                <w:sz w:val="24"/>
                <w:highlight w:val="none"/>
                <w:lang w:eastAsia="zh-CN"/>
              </w:rPr>
              <w:t>，优秀</w:t>
            </w:r>
            <w:r>
              <w:rPr>
                <w:rFonts w:hint="eastAsia" w:ascii="宋体" w:hAnsi="宋体" w:eastAsia="宋体" w:cs="宋体"/>
                <w:color w:val="auto"/>
                <w:sz w:val="24"/>
                <w:highlight w:val="none"/>
                <w:lang w:val="en-US" w:eastAsia="zh-CN"/>
              </w:rPr>
              <w:t>5-6分，良好3-4分，一般0-2分。</w:t>
            </w:r>
          </w:p>
        </w:tc>
        <w:tc>
          <w:tcPr>
            <w:tcW w:w="835" w:type="dxa"/>
            <w:tcBorders>
              <w:top w:val="nil"/>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tblPrEx>
          <w:tblCellMar>
            <w:top w:w="0" w:type="dxa"/>
            <w:left w:w="108" w:type="dxa"/>
            <w:bottom w:w="0" w:type="dxa"/>
            <w:right w:w="108" w:type="dxa"/>
          </w:tblCellMar>
        </w:tblPrEx>
        <w:trPr>
          <w:trHeight w:val="832" w:hRule="atLeast"/>
          <w:jc w:val="center"/>
        </w:trPr>
        <w:tc>
          <w:tcPr>
            <w:tcW w:w="690" w:type="dxa"/>
            <w:tcBorders>
              <w:top w:val="nil"/>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35" w:type="dxa"/>
            <w:tcBorders>
              <w:top w:val="nil"/>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供应商情况</w:t>
            </w:r>
          </w:p>
        </w:tc>
        <w:tc>
          <w:tcPr>
            <w:tcW w:w="5975" w:type="dxa"/>
            <w:tcBorders>
              <w:top w:val="nil"/>
              <w:left w:val="nil"/>
              <w:bottom w:val="single" w:color="auto" w:sz="4" w:space="0"/>
              <w:right w:val="single" w:color="auto" w:sz="4" w:space="0"/>
            </w:tcBorders>
            <w:vAlign w:val="center"/>
          </w:tcPr>
          <w:p>
            <w:pPr>
              <w:widowControl/>
              <w:shd w:val="clear"/>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根据供应商企业情况（包括体系认证，获奖情况，制度等）进行综合评分，</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3分。</w:t>
            </w:r>
          </w:p>
        </w:tc>
        <w:tc>
          <w:tcPr>
            <w:tcW w:w="835" w:type="dxa"/>
            <w:tcBorders>
              <w:top w:val="nil"/>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CellMar>
            <w:top w:w="0" w:type="dxa"/>
            <w:left w:w="108" w:type="dxa"/>
            <w:bottom w:w="0" w:type="dxa"/>
            <w:right w:w="108" w:type="dxa"/>
          </w:tblCellMar>
        </w:tblPrEx>
        <w:trPr>
          <w:trHeight w:val="2204" w:hRule="atLeast"/>
          <w:jc w:val="center"/>
        </w:trPr>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35"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项目组成人员</w:t>
            </w:r>
          </w:p>
        </w:tc>
        <w:tc>
          <w:tcPr>
            <w:tcW w:w="5975" w:type="dxa"/>
            <w:tcBorders>
              <w:top w:val="nil"/>
              <w:left w:val="nil"/>
              <w:bottom w:val="single" w:color="auto" w:sz="4" w:space="0"/>
              <w:right w:val="single" w:color="auto" w:sz="4" w:space="0"/>
            </w:tcBorders>
            <w:vAlign w:val="center"/>
          </w:tcPr>
          <w:p>
            <w:pPr>
              <w:widowControl/>
              <w:shd w:val="clear"/>
              <w:spacing w:line="3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本项目负责人具有气象相关专业中级以上职称的得1分，具有高级以上职称的得3分。</w:t>
            </w:r>
          </w:p>
          <w:p>
            <w:pPr>
              <w:widowControl/>
              <w:shd w:val="clear"/>
              <w:spacing w:line="3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项目负责人具有省级主管部门或以上部门核发的相关气象装备保障上岗证的，得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pStyle w:val="27"/>
              <w:shd w:val="clear"/>
              <w:ind w:left="0" w:leftChars="0" w:firstLine="0" w:firstLineChars="0"/>
              <w:jc w:val="left"/>
              <w:rPr>
                <w:rFonts w:hint="eastAsia" w:ascii="宋体" w:hAnsi="宋体" w:eastAsia="宋体" w:cs="宋体"/>
                <w:color w:val="auto"/>
                <w:highlight w:val="none"/>
              </w:rPr>
            </w:pPr>
            <w:r>
              <w:rPr>
                <w:rFonts w:hint="eastAsia" w:ascii="宋体" w:hAnsi="宋体" w:eastAsia="宋体" w:cs="宋体"/>
                <w:b/>
                <w:bCs/>
                <w:color w:val="auto"/>
                <w:sz w:val="24"/>
                <w:highlight w:val="none"/>
              </w:rPr>
              <w:t>提供证书复印件、投标人为其缴纳的近3个月社保缴纳证明并加盖投标人公章</w:t>
            </w:r>
          </w:p>
        </w:tc>
        <w:tc>
          <w:tcPr>
            <w:tcW w:w="835" w:type="dxa"/>
            <w:tcBorders>
              <w:top w:val="nil"/>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tblPrEx>
          <w:tblCellMar>
            <w:top w:w="0" w:type="dxa"/>
            <w:left w:w="108" w:type="dxa"/>
            <w:bottom w:w="0" w:type="dxa"/>
            <w:right w:w="108" w:type="dxa"/>
          </w:tblCellMar>
        </w:tblPrEx>
        <w:trPr>
          <w:trHeight w:val="537" w:hRule="atLeast"/>
          <w:jc w:val="center"/>
        </w:trPr>
        <w:tc>
          <w:tcPr>
            <w:tcW w:w="690" w:type="dxa"/>
            <w:vMerge w:val="continue"/>
            <w:tcBorders>
              <w:left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p>
        </w:tc>
        <w:tc>
          <w:tcPr>
            <w:tcW w:w="1335" w:type="dxa"/>
            <w:vMerge w:val="continue"/>
            <w:tcBorders>
              <w:left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p>
        </w:tc>
        <w:tc>
          <w:tcPr>
            <w:tcW w:w="5975" w:type="dxa"/>
            <w:tcBorders>
              <w:top w:val="nil"/>
              <w:left w:val="nil"/>
              <w:bottom w:val="single" w:color="auto" w:sz="4" w:space="0"/>
              <w:right w:val="single" w:color="auto" w:sz="4" w:space="0"/>
            </w:tcBorders>
            <w:vAlign w:val="center"/>
          </w:tcPr>
          <w:p>
            <w:pPr>
              <w:widowControl/>
              <w:shd w:val="clea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项目组人员（项目负责人除外）中具有省级主管部门或以上部门核发的相关气象装备保障上岗证的，每有一人得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分。具备特种作业操作证（高处作业），每有一人得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须提供相应人员对应证明材料及最近三个月的社保缴纳证明并加盖公章</w:t>
            </w:r>
          </w:p>
        </w:tc>
        <w:tc>
          <w:tcPr>
            <w:tcW w:w="835" w:type="dxa"/>
            <w:tcBorders>
              <w:top w:val="nil"/>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r>
      <w:tr>
        <w:tblPrEx>
          <w:tblCellMar>
            <w:top w:w="0" w:type="dxa"/>
            <w:left w:w="108" w:type="dxa"/>
            <w:bottom w:w="0" w:type="dxa"/>
            <w:right w:w="108" w:type="dxa"/>
          </w:tblCellMar>
        </w:tblPrEx>
        <w:trPr>
          <w:trHeight w:val="987" w:hRule="atLeast"/>
          <w:jc w:val="center"/>
        </w:trPr>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35" w:type="dxa"/>
            <w:vMerge w:val="restart"/>
            <w:tcBorders>
              <w:top w:val="single" w:color="auto" w:sz="4" w:space="0"/>
              <w:left w:val="single" w:color="auto" w:sz="4" w:space="0"/>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w:t>
            </w:r>
          </w:p>
        </w:tc>
        <w:tc>
          <w:tcPr>
            <w:tcW w:w="5975" w:type="dxa"/>
            <w:tcBorders>
              <w:top w:val="nil"/>
              <w:left w:val="nil"/>
              <w:bottom w:val="single" w:color="auto" w:sz="4" w:space="0"/>
              <w:right w:val="single" w:color="auto" w:sz="4" w:space="0"/>
            </w:tcBorders>
            <w:vAlign w:val="center"/>
          </w:tcPr>
          <w:p>
            <w:pPr>
              <w:widowControl/>
              <w:shd w:val="clea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实施方案科学性、合理性、规范性、可操作性（含售后服务团队配置及联系方式等，是否能够快速提供良好的售后服务支持，如有故障发生是否具备立即响应的能力等情况），横向比较打分</w:t>
            </w:r>
            <w:r>
              <w:rPr>
                <w:rFonts w:hint="eastAsia" w:ascii="宋体" w:hAnsi="宋体" w:eastAsia="宋体" w:cs="宋体"/>
                <w:color w:val="auto"/>
                <w:sz w:val="24"/>
                <w:highlight w:val="none"/>
                <w:lang w:eastAsia="zh-CN"/>
              </w:rPr>
              <w:t>，优秀</w:t>
            </w:r>
            <w:r>
              <w:rPr>
                <w:rFonts w:hint="eastAsia" w:ascii="宋体" w:hAnsi="宋体" w:eastAsia="宋体" w:cs="宋体"/>
                <w:color w:val="auto"/>
                <w:sz w:val="24"/>
                <w:highlight w:val="none"/>
                <w:lang w:val="en-US" w:eastAsia="zh-CN"/>
              </w:rPr>
              <w:t>5-6分，良好3-4分，一般0-2分。</w:t>
            </w:r>
          </w:p>
        </w:tc>
        <w:tc>
          <w:tcPr>
            <w:tcW w:w="835" w:type="dxa"/>
            <w:tcBorders>
              <w:top w:val="nil"/>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tblPrEx>
          <w:tblCellMar>
            <w:top w:w="0" w:type="dxa"/>
            <w:left w:w="108" w:type="dxa"/>
            <w:bottom w:w="0" w:type="dxa"/>
            <w:right w:w="108" w:type="dxa"/>
          </w:tblCellMar>
        </w:tblPrEx>
        <w:trPr>
          <w:trHeight w:val="987"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p>
        </w:tc>
        <w:tc>
          <w:tcPr>
            <w:tcW w:w="1335" w:type="dxa"/>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rPr>
            </w:pPr>
          </w:p>
        </w:tc>
        <w:tc>
          <w:tcPr>
            <w:tcW w:w="5975" w:type="dxa"/>
            <w:tcBorders>
              <w:top w:val="nil"/>
              <w:left w:val="nil"/>
              <w:bottom w:val="single" w:color="auto" w:sz="4" w:space="0"/>
              <w:right w:val="single" w:color="auto" w:sz="4" w:space="0"/>
            </w:tcBorders>
            <w:vAlign w:val="center"/>
          </w:tcPr>
          <w:p>
            <w:pPr>
              <w:widowControl/>
              <w:shd w:val="clea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提供本地备件库得2分；</w:t>
            </w:r>
          </w:p>
          <w:p>
            <w:pPr>
              <w:widowControl/>
              <w:shd w:val="clea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提供仪器标校装置得2分；</w:t>
            </w:r>
          </w:p>
          <w:p>
            <w:pPr>
              <w:widowControl/>
              <w:shd w:val="clea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提供专用维保车辆得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widowControl/>
              <w:shd w:val="clea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提供其他与本项目相关的专业装备得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widowControl/>
              <w:shd w:val="clear"/>
              <w:spacing w:line="38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提供相关证明材料并加盖公章</w:t>
            </w:r>
          </w:p>
        </w:tc>
        <w:tc>
          <w:tcPr>
            <w:tcW w:w="835" w:type="dxa"/>
            <w:tcBorders>
              <w:top w:val="nil"/>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r>
      <w:tr>
        <w:tblPrEx>
          <w:tblCellMar>
            <w:top w:w="0" w:type="dxa"/>
            <w:left w:w="108" w:type="dxa"/>
            <w:bottom w:w="0" w:type="dxa"/>
            <w:right w:w="108" w:type="dxa"/>
          </w:tblCellMar>
        </w:tblPrEx>
        <w:trPr>
          <w:trHeight w:val="987"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p>
        </w:tc>
        <w:tc>
          <w:tcPr>
            <w:tcW w:w="1335" w:type="dxa"/>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rPr>
            </w:pPr>
          </w:p>
        </w:tc>
        <w:tc>
          <w:tcPr>
            <w:tcW w:w="5975" w:type="dxa"/>
            <w:tcBorders>
              <w:top w:val="nil"/>
              <w:left w:val="nil"/>
              <w:bottom w:val="single" w:color="auto" w:sz="4" w:space="0"/>
              <w:right w:val="single" w:color="auto" w:sz="4" w:space="0"/>
            </w:tcBorders>
            <w:vAlign w:val="center"/>
          </w:tcPr>
          <w:p>
            <w:pPr>
              <w:widowControl/>
              <w:shd w:val="clear"/>
              <w:spacing w:line="38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根据供应商企业设备储备及存放的科学性、合理性进行综合评分，横向比较打分</w:t>
            </w:r>
            <w:r>
              <w:rPr>
                <w:rFonts w:hint="eastAsia" w:ascii="宋体" w:hAnsi="宋体" w:eastAsia="宋体" w:cs="宋体"/>
                <w:color w:val="auto"/>
                <w:sz w:val="24"/>
                <w:highlight w:val="none"/>
                <w:lang w:eastAsia="zh-CN"/>
              </w:rPr>
              <w:t>，优秀</w:t>
            </w:r>
            <w:r>
              <w:rPr>
                <w:rFonts w:hint="eastAsia" w:ascii="宋体" w:hAnsi="宋体" w:eastAsia="宋体" w:cs="宋体"/>
                <w:color w:val="auto"/>
                <w:sz w:val="24"/>
                <w:highlight w:val="none"/>
                <w:lang w:val="en-US" w:eastAsia="zh-CN"/>
              </w:rPr>
              <w:t>5-6分，良好3-4分，一般0-2分。</w:t>
            </w:r>
          </w:p>
        </w:tc>
        <w:tc>
          <w:tcPr>
            <w:tcW w:w="835" w:type="dxa"/>
            <w:tcBorders>
              <w:top w:val="nil"/>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tblPrEx>
          <w:tblCellMar>
            <w:top w:w="0" w:type="dxa"/>
            <w:left w:w="108" w:type="dxa"/>
            <w:bottom w:w="0" w:type="dxa"/>
            <w:right w:w="108" w:type="dxa"/>
          </w:tblCellMar>
        </w:tblPrEx>
        <w:trPr>
          <w:trHeight w:val="987"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p>
        </w:tc>
        <w:tc>
          <w:tcPr>
            <w:tcW w:w="1335" w:type="dxa"/>
            <w:vMerge w:val="continue"/>
            <w:tcBorders>
              <w:top w:val="single" w:color="auto" w:sz="4" w:space="0"/>
              <w:left w:val="single" w:color="auto" w:sz="4" w:space="0"/>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rPr>
            </w:pPr>
          </w:p>
        </w:tc>
        <w:tc>
          <w:tcPr>
            <w:tcW w:w="5975" w:type="dxa"/>
            <w:tcBorders>
              <w:top w:val="nil"/>
              <w:left w:val="nil"/>
              <w:bottom w:val="single" w:color="auto" w:sz="4" w:space="0"/>
              <w:right w:val="single" w:color="auto" w:sz="4" w:space="0"/>
            </w:tcBorders>
            <w:vAlign w:val="center"/>
          </w:tcPr>
          <w:p>
            <w:pPr>
              <w:widowControl/>
              <w:shd w:val="clear"/>
              <w:spacing w:line="38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根据供应商企业对气象设备核查标校综合能力进行综合评分，横向比较打分</w:t>
            </w:r>
            <w:r>
              <w:rPr>
                <w:rFonts w:hint="eastAsia" w:ascii="宋体" w:hAnsi="宋体" w:eastAsia="宋体" w:cs="宋体"/>
                <w:color w:val="auto"/>
                <w:sz w:val="24"/>
                <w:highlight w:val="none"/>
                <w:lang w:eastAsia="zh-CN"/>
              </w:rPr>
              <w:t>，优秀</w:t>
            </w:r>
            <w:r>
              <w:rPr>
                <w:rFonts w:hint="eastAsia" w:ascii="宋体" w:hAnsi="宋体" w:eastAsia="宋体" w:cs="宋体"/>
                <w:color w:val="auto"/>
                <w:sz w:val="24"/>
                <w:highlight w:val="none"/>
                <w:lang w:val="en-US" w:eastAsia="zh-CN"/>
              </w:rPr>
              <w:t>6-8分，良好3-5分，一般0-2分。</w:t>
            </w:r>
          </w:p>
        </w:tc>
        <w:tc>
          <w:tcPr>
            <w:tcW w:w="835" w:type="dxa"/>
            <w:tcBorders>
              <w:top w:val="nil"/>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tblPrEx>
          <w:tblCellMar>
            <w:top w:w="0" w:type="dxa"/>
            <w:left w:w="108" w:type="dxa"/>
            <w:bottom w:w="0" w:type="dxa"/>
            <w:right w:w="108" w:type="dxa"/>
          </w:tblCellMar>
        </w:tblPrEx>
        <w:trPr>
          <w:trHeight w:val="497"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80" w:lineRule="exact"/>
              <w:jc w:val="left"/>
              <w:rPr>
                <w:rFonts w:hint="eastAsia" w:ascii="宋体" w:hAnsi="宋体" w:eastAsia="宋体" w:cs="宋体"/>
                <w:color w:val="auto"/>
                <w:sz w:val="24"/>
                <w:szCs w:val="24"/>
                <w:highlight w:val="none"/>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80" w:lineRule="exact"/>
              <w:jc w:val="left"/>
              <w:rPr>
                <w:rFonts w:hint="eastAsia" w:ascii="宋体" w:hAnsi="宋体" w:eastAsia="宋体" w:cs="宋体"/>
                <w:color w:val="auto"/>
                <w:sz w:val="24"/>
                <w:szCs w:val="24"/>
                <w:highlight w:val="none"/>
              </w:rPr>
            </w:pPr>
          </w:p>
        </w:tc>
        <w:tc>
          <w:tcPr>
            <w:tcW w:w="5975" w:type="dxa"/>
            <w:tcBorders>
              <w:top w:val="nil"/>
              <w:left w:val="nil"/>
              <w:bottom w:val="single" w:color="auto" w:sz="4" w:space="0"/>
              <w:right w:val="single" w:color="auto" w:sz="4" w:space="0"/>
            </w:tcBorders>
            <w:vAlign w:val="center"/>
          </w:tcPr>
          <w:p>
            <w:pPr>
              <w:widowControl/>
              <w:shd w:val="clea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有现场管理专用App，可将维保工作现场情况（图片、数据、视频等）实时上传和反馈，横向比较打分</w:t>
            </w:r>
            <w:r>
              <w:rPr>
                <w:rFonts w:hint="eastAsia" w:ascii="宋体" w:hAnsi="宋体" w:eastAsia="宋体" w:cs="宋体"/>
                <w:color w:val="auto"/>
                <w:sz w:val="24"/>
                <w:highlight w:val="none"/>
                <w:lang w:eastAsia="zh-CN"/>
              </w:rPr>
              <w:t>，优秀</w:t>
            </w:r>
            <w:r>
              <w:rPr>
                <w:rFonts w:hint="eastAsia" w:ascii="宋体" w:hAnsi="宋体" w:eastAsia="宋体" w:cs="宋体"/>
                <w:color w:val="auto"/>
                <w:sz w:val="24"/>
                <w:highlight w:val="none"/>
                <w:lang w:val="en-US" w:eastAsia="zh-CN"/>
              </w:rPr>
              <w:t>6-7分，良好3-5分，一般0-2分。</w:t>
            </w:r>
          </w:p>
        </w:tc>
        <w:tc>
          <w:tcPr>
            <w:tcW w:w="835" w:type="dxa"/>
            <w:tcBorders>
              <w:top w:val="nil"/>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tblPrEx>
          <w:tblCellMar>
            <w:top w:w="0" w:type="dxa"/>
            <w:left w:w="108" w:type="dxa"/>
            <w:bottom w:w="0" w:type="dxa"/>
            <w:right w:w="108" w:type="dxa"/>
          </w:tblCellMar>
        </w:tblPrEx>
        <w:trPr>
          <w:trHeight w:val="12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35" w:type="dxa"/>
            <w:tcBorders>
              <w:top w:val="single" w:color="auto" w:sz="4" w:space="0"/>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w:t>
            </w:r>
          </w:p>
        </w:tc>
        <w:tc>
          <w:tcPr>
            <w:tcW w:w="5975" w:type="dxa"/>
            <w:tcBorders>
              <w:top w:val="nil"/>
              <w:left w:val="nil"/>
              <w:bottom w:val="single" w:color="auto" w:sz="4" w:space="0"/>
              <w:right w:val="single" w:color="auto" w:sz="4" w:space="0"/>
            </w:tcBorders>
            <w:vAlign w:val="center"/>
          </w:tcPr>
          <w:p>
            <w:pPr>
              <w:widowControl/>
              <w:shd w:val="clea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承接方建立运行服务保障应急预案，方案对系统实施可能遇到的问题及其应对措施的考虑情况，在维保服务期间巡检、故障处理的组织和联系机制的合理性、有效性横向比较打分</w:t>
            </w:r>
            <w:r>
              <w:rPr>
                <w:rFonts w:hint="eastAsia" w:ascii="宋体" w:hAnsi="宋体" w:eastAsia="宋体" w:cs="宋体"/>
                <w:color w:val="auto"/>
                <w:sz w:val="24"/>
                <w:highlight w:val="none"/>
                <w:lang w:eastAsia="zh-CN"/>
              </w:rPr>
              <w:t>，优秀</w:t>
            </w:r>
            <w:r>
              <w:rPr>
                <w:rFonts w:hint="eastAsia" w:ascii="宋体" w:hAnsi="宋体" w:eastAsia="宋体" w:cs="宋体"/>
                <w:color w:val="auto"/>
                <w:sz w:val="24"/>
                <w:highlight w:val="none"/>
                <w:lang w:val="en-US" w:eastAsia="zh-CN"/>
              </w:rPr>
              <w:t>6-7分，良好3-5分，一般0-2分。</w:t>
            </w:r>
          </w:p>
        </w:tc>
        <w:tc>
          <w:tcPr>
            <w:tcW w:w="835" w:type="dxa"/>
            <w:tcBorders>
              <w:top w:val="nil"/>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tblPrEx>
          <w:tblCellMar>
            <w:top w:w="0" w:type="dxa"/>
            <w:left w:w="108" w:type="dxa"/>
            <w:bottom w:w="0" w:type="dxa"/>
            <w:right w:w="108" w:type="dxa"/>
          </w:tblCellMar>
        </w:tblPrEx>
        <w:trPr>
          <w:trHeight w:val="1225" w:hRule="atLeast"/>
          <w:jc w:val="center"/>
        </w:trPr>
        <w:tc>
          <w:tcPr>
            <w:tcW w:w="690" w:type="dxa"/>
            <w:tcBorders>
              <w:top w:val="nil"/>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35" w:type="dxa"/>
            <w:tcBorders>
              <w:top w:val="nil"/>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5975" w:type="dxa"/>
            <w:tcBorders>
              <w:top w:val="nil"/>
              <w:left w:val="nil"/>
              <w:bottom w:val="single" w:color="auto" w:sz="4" w:space="0"/>
              <w:right w:val="single" w:color="auto" w:sz="4" w:space="0"/>
            </w:tcBorders>
            <w:vAlign w:val="center"/>
          </w:tcPr>
          <w:p>
            <w:pPr>
              <w:widowControl/>
              <w:shd w:val="clea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承诺在非工作时间半小时内响应，</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小时内到达故障现场进行维修的得2分。</w:t>
            </w:r>
          </w:p>
          <w:p>
            <w:pPr>
              <w:widowControl/>
              <w:shd w:val="clear"/>
              <w:spacing w:line="380" w:lineRule="exact"/>
              <w:jc w:val="left"/>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提供相应的承诺函并加盖公章</w:t>
            </w:r>
          </w:p>
        </w:tc>
        <w:tc>
          <w:tcPr>
            <w:tcW w:w="835" w:type="dxa"/>
            <w:tcBorders>
              <w:top w:val="nil"/>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CellMar>
            <w:top w:w="0" w:type="dxa"/>
            <w:left w:w="108" w:type="dxa"/>
            <w:bottom w:w="0" w:type="dxa"/>
            <w:right w:w="108" w:type="dxa"/>
          </w:tblCellMar>
        </w:tblPrEx>
        <w:trPr>
          <w:trHeight w:val="76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35" w:type="dxa"/>
            <w:tcBorders>
              <w:top w:val="single" w:color="auto" w:sz="4" w:space="0"/>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组织实施方案</w:t>
            </w:r>
          </w:p>
        </w:tc>
        <w:tc>
          <w:tcPr>
            <w:tcW w:w="5975" w:type="dxa"/>
            <w:tcBorders>
              <w:top w:val="single" w:color="auto" w:sz="4" w:space="0"/>
              <w:left w:val="nil"/>
              <w:bottom w:val="single" w:color="auto" w:sz="4" w:space="0"/>
              <w:right w:val="single" w:color="auto" w:sz="4" w:space="0"/>
            </w:tcBorders>
            <w:vAlign w:val="center"/>
          </w:tcPr>
          <w:p>
            <w:pPr>
              <w:widowControl/>
              <w:shd w:val="clea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接方组织实施方案的科学性、合理性、规范性和可操作性：包括资产建档、运行维护、风险评估、定期巡检、运维管理培训、日常运行维护培训等内容，以及工作时间进度表、工作程序和步骤、协调方法、关键步骤的思路和要点等，横向比较打分</w:t>
            </w:r>
            <w:r>
              <w:rPr>
                <w:rFonts w:hint="eastAsia" w:ascii="宋体" w:hAnsi="宋体" w:eastAsia="宋体" w:cs="宋体"/>
                <w:color w:val="auto"/>
                <w:sz w:val="24"/>
                <w:highlight w:val="none"/>
                <w:lang w:eastAsia="zh-CN"/>
              </w:rPr>
              <w:t>，优秀</w:t>
            </w:r>
            <w:r>
              <w:rPr>
                <w:rFonts w:hint="eastAsia" w:ascii="宋体" w:hAnsi="宋体" w:eastAsia="宋体" w:cs="宋体"/>
                <w:color w:val="auto"/>
                <w:sz w:val="24"/>
                <w:highlight w:val="none"/>
                <w:lang w:val="en-US" w:eastAsia="zh-CN"/>
              </w:rPr>
              <w:t>5-7分，良好3-4分，一般0-2分。</w:t>
            </w:r>
          </w:p>
        </w:tc>
        <w:tc>
          <w:tcPr>
            <w:tcW w:w="835" w:type="dxa"/>
            <w:tcBorders>
              <w:top w:val="single" w:color="auto" w:sz="4" w:space="0"/>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r>
      <w:tr>
        <w:tblPrEx>
          <w:tblCellMar>
            <w:top w:w="0" w:type="dxa"/>
            <w:left w:w="108" w:type="dxa"/>
            <w:bottom w:w="0" w:type="dxa"/>
            <w:right w:w="108" w:type="dxa"/>
          </w:tblCellMar>
        </w:tblPrEx>
        <w:trPr>
          <w:trHeight w:val="112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35" w:type="dxa"/>
            <w:tcBorders>
              <w:top w:val="single" w:color="auto" w:sz="4" w:space="0"/>
              <w:left w:val="nil"/>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成功案例及业绩</w:t>
            </w:r>
          </w:p>
        </w:tc>
        <w:tc>
          <w:tcPr>
            <w:tcW w:w="5975" w:type="dxa"/>
            <w:tcBorders>
              <w:top w:val="single" w:color="auto" w:sz="4" w:space="0"/>
              <w:left w:val="nil"/>
              <w:bottom w:val="single" w:color="auto" w:sz="4" w:space="0"/>
              <w:right w:val="single" w:color="auto" w:sz="4" w:space="0"/>
            </w:tcBorders>
            <w:vAlign w:val="center"/>
          </w:tcPr>
          <w:p>
            <w:pPr>
              <w:widowControl/>
              <w:shd w:val="clea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2019年以来有过同类项目的业绩，每提供1个得1分，最多得2分。</w:t>
            </w:r>
          </w:p>
          <w:p>
            <w:pPr>
              <w:widowControl/>
              <w:shd w:val="clea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须同时提供合同及中标通知书并加盖公章</w:t>
            </w:r>
          </w:p>
        </w:tc>
        <w:tc>
          <w:tcPr>
            <w:tcW w:w="835" w:type="dxa"/>
            <w:tcBorders>
              <w:top w:val="nil"/>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CellMar>
            <w:top w:w="0" w:type="dxa"/>
            <w:left w:w="108" w:type="dxa"/>
            <w:bottom w:w="0" w:type="dxa"/>
            <w:right w:w="108" w:type="dxa"/>
          </w:tblCellMar>
        </w:tblPrEx>
        <w:trPr>
          <w:trHeight w:val="742" w:hRule="atLeast"/>
          <w:jc w:val="center"/>
        </w:trPr>
        <w:tc>
          <w:tcPr>
            <w:tcW w:w="690" w:type="dxa"/>
            <w:tcBorders>
              <w:top w:val="nil"/>
              <w:left w:val="single" w:color="auto" w:sz="4" w:space="0"/>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35" w:type="dxa"/>
            <w:tcBorders>
              <w:top w:val="nil"/>
              <w:left w:val="nil"/>
              <w:bottom w:val="single" w:color="auto" w:sz="4" w:space="0"/>
              <w:right w:val="single" w:color="auto" w:sz="4" w:space="0"/>
            </w:tcBorders>
            <w:vAlign w:val="center"/>
          </w:tcPr>
          <w:p>
            <w:pPr>
              <w:widowControl/>
              <w:shd w:val="clea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tc>
        <w:tc>
          <w:tcPr>
            <w:tcW w:w="5975" w:type="dxa"/>
            <w:tcBorders>
              <w:top w:val="nil"/>
              <w:left w:val="nil"/>
              <w:bottom w:val="single" w:color="auto" w:sz="4" w:space="0"/>
              <w:right w:val="single" w:color="auto" w:sz="4" w:space="0"/>
            </w:tcBorders>
            <w:vAlign w:val="center"/>
          </w:tcPr>
          <w:p>
            <w:pPr>
              <w:widowControl/>
              <w:shd w:val="clea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投标人承诺合同期内针对本项目提供其他增值服务中临时增加1次免费维护（所有站点）得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widowControl/>
              <w:shd w:val="clea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提供承诺书并加盖公章，未提供不得分</w:t>
            </w:r>
          </w:p>
        </w:tc>
        <w:tc>
          <w:tcPr>
            <w:tcW w:w="835" w:type="dxa"/>
            <w:tcBorders>
              <w:top w:val="nil"/>
              <w:left w:val="nil"/>
              <w:bottom w:val="single" w:color="auto" w:sz="4" w:space="0"/>
              <w:right w:val="single" w:color="auto" w:sz="4" w:space="0"/>
            </w:tcBorders>
            <w:noWrap/>
            <w:vAlign w:val="center"/>
          </w:tcPr>
          <w:p>
            <w:pPr>
              <w:widowControl/>
              <w:shd w:val="clear"/>
              <w:spacing w:line="3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bl>
    <w:p>
      <w:pPr>
        <w:shd w:val="clear"/>
        <w:spacing w:line="500" w:lineRule="exact"/>
        <w:jc w:val="left"/>
        <w:rPr>
          <w:rFonts w:hint="eastAsia" w:ascii="宋体" w:hAnsi="宋体" w:eastAsia="宋体" w:cs="宋体"/>
          <w:color w:val="auto"/>
          <w:sz w:val="24"/>
          <w:highlight w:val="none"/>
        </w:rPr>
      </w:pPr>
      <w:r>
        <w:rPr>
          <w:rFonts w:hint="eastAsia" w:ascii="宋体" w:hAnsi="宋体" w:eastAsia="宋体" w:cs="宋体"/>
          <w:b/>
          <w:bCs/>
          <w:iCs/>
          <w:color w:val="auto"/>
          <w:sz w:val="24"/>
          <w:highlight w:val="none"/>
        </w:rPr>
        <w:t>注：所有证书都应在有效期内，逾期不得分。</w:t>
      </w:r>
      <w:r>
        <w:rPr>
          <w:rFonts w:hint="eastAsia" w:ascii="宋体" w:hAnsi="宋体" w:eastAsia="宋体" w:cs="宋体"/>
          <w:color w:val="auto"/>
          <w:sz w:val="24"/>
          <w:highlight w:val="none"/>
        </w:rPr>
        <w:t xml:space="preserve"> </w:t>
      </w:r>
    </w:p>
    <w:p>
      <w:pPr>
        <w:shd w:val="clear"/>
        <w:spacing w:line="400" w:lineRule="exact"/>
        <w:rPr>
          <w:rFonts w:hint="eastAsia" w:ascii="宋体" w:hAnsi="宋体" w:eastAsia="宋体" w:cs="宋体"/>
          <w:b/>
          <w:bCs/>
          <w:iCs/>
          <w:color w:val="auto"/>
          <w:sz w:val="24"/>
          <w:highlight w:val="none"/>
        </w:rPr>
      </w:pPr>
      <w:r>
        <w:rPr>
          <w:rFonts w:hint="eastAsia" w:ascii="宋体" w:hAnsi="宋体" w:eastAsia="宋体" w:cs="宋体"/>
          <w:b/>
          <w:color w:val="auto"/>
          <w:sz w:val="24"/>
          <w:highlight w:val="none"/>
          <w:bdr w:val="single" w:color="auto" w:sz="4" w:space="0"/>
        </w:rPr>
        <w:t>01标</w:t>
      </w:r>
      <w:r>
        <w:rPr>
          <w:rFonts w:hint="eastAsia" w:ascii="宋体" w:hAnsi="宋体" w:eastAsia="宋体" w:cs="宋体"/>
          <w:b/>
          <w:bCs/>
          <w:iCs/>
          <w:color w:val="auto"/>
          <w:sz w:val="24"/>
          <w:highlight w:val="none"/>
        </w:rPr>
        <w:t>价格分：</w:t>
      </w:r>
    </w:p>
    <w:p>
      <w:pPr>
        <w:shd w:val="clear"/>
        <w:spacing w:line="40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2.2.1评标基准价：即满足采购文件要求且投标报价最低的投标报价为评标基准价，其价格分为满分。</w:t>
      </w:r>
    </w:p>
    <w:p>
      <w:pPr>
        <w:shd w:val="clear"/>
        <w:spacing w:line="40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2.2.2其他投标人的价格分统一按照下列公式计算：</w:t>
      </w:r>
    </w:p>
    <w:p>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投标报价得分=(评标基准价／投标报价)×价格权值×100</w:t>
      </w:r>
    </w:p>
    <w:p>
      <w:pPr>
        <w:widowControl/>
        <w:shd w:val="clear"/>
        <w:snapToGrid w:val="0"/>
        <w:spacing w:line="480" w:lineRule="exact"/>
        <w:ind w:left="0"/>
        <w:rPr>
          <w:rFonts w:hint="eastAsia" w:ascii="宋体" w:hAnsi="宋体" w:eastAsia="宋体" w:cs="宋体"/>
          <w:bCs/>
          <w:iCs/>
          <w:color w:val="auto"/>
          <w:sz w:val="24"/>
          <w:highlight w:val="none"/>
          <w:u w:val="single"/>
        </w:rPr>
      </w:pPr>
      <w:r>
        <w:rPr>
          <w:rFonts w:hint="eastAsia" w:ascii="宋体" w:hAnsi="宋体" w:eastAsia="宋体" w:cs="宋体"/>
          <w:bCs/>
          <w:iCs/>
          <w:color w:val="auto"/>
          <w:sz w:val="24"/>
          <w:highlight w:val="none"/>
        </w:rPr>
        <w:t>即：投标报价得分=(评标基准价／投标报价)×</w:t>
      </w:r>
      <w:r>
        <w:rPr>
          <w:rFonts w:hint="eastAsia" w:ascii="宋体" w:hAnsi="宋体" w:eastAsia="宋体" w:cs="宋体"/>
          <w:bCs/>
          <w:iCs/>
          <w:color w:val="auto"/>
          <w:sz w:val="24"/>
          <w:highlight w:val="none"/>
          <w:u w:val="single"/>
        </w:rPr>
        <w:t xml:space="preserve">  </w:t>
      </w:r>
      <w:r>
        <w:rPr>
          <w:rFonts w:hint="eastAsia" w:ascii="宋体" w:hAnsi="宋体" w:eastAsia="宋体" w:cs="宋体"/>
          <w:bCs/>
          <w:iCs/>
          <w:color w:val="auto"/>
          <w:sz w:val="24"/>
          <w:highlight w:val="none"/>
          <w:u w:val="single"/>
          <w:lang w:val="en-US" w:eastAsia="zh-CN"/>
        </w:rPr>
        <w:t>20</w:t>
      </w:r>
      <w:r>
        <w:rPr>
          <w:rFonts w:hint="eastAsia" w:ascii="宋体" w:hAnsi="宋体" w:eastAsia="宋体" w:cs="宋体"/>
          <w:bCs/>
          <w:iCs/>
          <w:color w:val="auto"/>
          <w:sz w:val="24"/>
          <w:highlight w:val="none"/>
          <w:u w:val="single"/>
        </w:rPr>
        <w:t xml:space="preserve"> </w:t>
      </w:r>
    </w:p>
    <w:p>
      <w:pPr>
        <w:widowControl/>
        <w:shd w:val="clear"/>
        <w:snapToGrid w:val="0"/>
        <w:spacing w:line="480" w:lineRule="exact"/>
        <w:ind w:left="0"/>
        <w:rPr>
          <w:rFonts w:hint="eastAsia" w:ascii="宋体" w:hAnsi="宋体" w:eastAsia="宋体" w:cs="宋体"/>
          <w:bCs/>
          <w:iCs/>
          <w:color w:val="auto"/>
          <w:sz w:val="24"/>
          <w:highlight w:val="none"/>
          <w:u w:val="single"/>
        </w:rPr>
      </w:pPr>
    </w:p>
    <w:p>
      <w:pPr>
        <w:pStyle w:val="3"/>
        <w:keepNext/>
        <w:keepLines/>
        <w:pageBreakBefore w:val="0"/>
        <w:widowControl w:val="0"/>
        <w:suppressLineNumbers w:val="0"/>
        <w:shd w:val="clear"/>
        <w:suppressAutoHyphens w:val="0"/>
        <w:spacing w:line="578" w:lineRule="auto"/>
        <w:jc w:val="center"/>
        <w:rPr>
          <w:rFonts w:hint="eastAsia" w:ascii="宋体" w:hAnsi="宋体" w:eastAsia="宋体" w:cs="宋体"/>
          <w:color w:val="auto"/>
          <w:highlight w:val="none"/>
        </w:rPr>
      </w:pPr>
      <w:bookmarkStart w:id="42" w:name="_Toc15148"/>
    </w:p>
    <w:p>
      <w:pPr>
        <w:pStyle w:val="3"/>
        <w:keepNext/>
        <w:keepLines/>
        <w:pageBreakBefore w:val="0"/>
        <w:widowControl w:val="0"/>
        <w:suppressLineNumbers w:val="0"/>
        <w:shd w:val="clear"/>
        <w:suppressAutoHyphens w:val="0"/>
        <w:spacing w:line="578" w:lineRule="auto"/>
        <w:jc w:val="center"/>
        <w:rPr>
          <w:rFonts w:hint="eastAsia" w:ascii="宋体" w:hAnsi="宋体" w:eastAsia="宋体" w:cs="宋体"/>
          <w:color w:val="auto"/>
          <w:highlight w:val="none"/>
        </w:rPr>
      </w:pPr>
    </w:p>
    <w:p>
      <w:pPr>
        <w:pStyle w:val="3"/>
        <w:keepNext/>
        <w:keepLines/>
        <w:pageBreakBefore w:val="0"/>
        <w:widowControl w:val="0"/>
        <w:suppressLineNumbers w:val="0"/>
        <w:shd w:val="clear"/>
        <w:suppressAutoHyphens w:val="0"/>
        <w:spacing w:line="578" w:lineRule="auto"/>
        <w:jc w:val="center"/>
        <w:rPr>
          <w:rFonts w:hint="eastAsia" w:ascii="宋体" w:hAnsi="宋体" w:eastAsia="宋体" w:cs="宋体"/>
          <w:color w:val="auto"/>
          <w:highlight w:val="none"/>
        </w:rPr>
      </w:pPr>
    </w:p>
    <w:p>
      <w:pPr>
        <w:pStyle w:val="3"/>
        <w:keepNext/>
        <w:keepLines/>
        <w:pageBreakBefore w:val="0"/>
        <w:widowControl w:val="0"/>
        <w:suppressLineNumbers w:val="0"/>
        <w:shd w:val="clear"/>
        <w:suppressAutoHyphens w:val="0"/>
        <w:spacing w:line="578" w:lineRule="auto"/>
        <w:jc w:val="center"/>
        <w:rPr>
          <w:rFonts w:hint="eastAsia" w:ascii="宋体" w:hAnsi="宋体" w:eastAsia="宋体" w:cs="宋体"/>
          <w:color w:val="auto"/>
          <w:highlight w:val="none"/>
        </w:rPr>
      </w:pPr>
    </w:p>
    <w:p>
      <w:pPr>
        <w:pStyle w:val="3"/>
        <w:keepNext/>
        <w:keepLines/>
        <w:pageBreakBefore w:val="0"/>
        <w:widowControl w:val="0"/>
        <w:suppressLineNumbers w:val="0"/>
        <w:shd w:val="clear"/>
        <w:suppressAutoHyphens w:val="0"/>
        <w:spacing w:line="578" w:lineRule="auto"/>
        <w:jc w:val="center"/>
        <w:rPr>
          <w:rFonts w:hint="eastAsia" w:ascii="宋体" w:hAnsi="宋体" w:eastAsia="宋体" w:cs="宋体"/>
          <w:color w:val="auto"/>
          <w:sz w:val="21"/>
          <w:szCs w:val="21"/>
          <w:highlight w:val="none"/>
        </w:rPr>
      </w:pPr>
    </w:p>
    <w:p>
      <w:pPr>
        <w:shd w:val="clear"/>
        <w:rPr>
          <w:rFonts w:hint="eastAsia"/>
          <w:color w:val="auto"/>
          <w:highlight w:val="none"/>
        </w:rPr>
      </w:pPr>
    </w:p>
    <w:p>
      <w:pPr>
        <w:pStyle w:val="3"/>
        <w:keepNext/>
        <w:keepLines/>
        <w:pageBreakBefore w:val="0"/>
        <w:widowControl w:val="0"/>
        <w:suppressLineNumbers w:val="0"/>
        <w:shd w:val="clear"/>
        <w:suppressAutoHyphens w:val="0"/>
        <w:spacing w:line="57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第六章  投标文件格式附件</w:t>
      </w:r>
      <w:bookmarkEnd w:id="42"/>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投标文件制作请按照本采购文件“第二章 投标人须知”第三部分“投标文件”的规定制作，有关格式附件如下：</w:t>
      </w: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widowControl/>
        <w:shd w:val="clear"/>
        <w:snapToGrid w:val="0"/>
        <w:spacing w:line="480" w:lineRule="exact"/>
        <w:ind w:firstLine="480" w:firstLineChars="200"/>
        <w:rPr>
          <w:rFonts w:hint="eastAsia" w:ascii="宋体" w:hAnsi="宋体" w:eastAsia="宋体" w:cs="宋体"/>
          <w:color w:val="auto"/>
          <w:kern w:val="0"/>
          <w:sz w:val="24"/>
          <w:highlight w:val="none"/>
          <w:u w:val="none"/>
        </w:rPr>
      </w:pPr>
    </w:p>
    <w:p>
      <w:pPr>
        <w:shd w:val="clear"/>
        <w:snapToGrid w:val="0"/>
        <w:spacing w:before="156" w:beforeLines="50" w:after="50"/>
        <w:jc w:val="left"/>
        <w:rPr>
          <w:rFonts w:hint="eastAsia" w:ascii="宋体" w:hAnsi="宋体" w:eastAsia="宋体" w:cs="宋体"/>
          <w:b/>
          <w:bCs/>
          <w:color w:val="auto"/>
          <w:sz w:val="30"/>
          <w:szCs w:val="30"/>
          <w:highlight w:val="none"/>
        </w:rPr>
      </w:pPr>
    </w:p>
    <w:p>
      <w:pPr>
        <w:shd w:val="clear"/>
        <w:snapToGrid w:val="0"/>
        <w:spacing w:before="156" w:beforeLines="50" w:after="50"/>
        <w:jc w:val="left"/>
        <w:rPr>
          <w:rFonts w:hint="eastAsia" w:ascii="宋体" w:hAnsi="宋体" w:eastAsia="宋体" w:cs="宋体"/>
          <w:b/>
          <w:bCs/>
          <w:color w:val="auto"/>
          <w:sz w:val="30"/>
          <w:szCs w:val="30"/>
          <w:highlight w:val="none"/>
        </w:rPr>
      </w:pPr>
    </w:p>
    <w:p>
      <w:pPr>
        <w:shd w:val="clear"/>
        <w:snapToGrid w:val="0"/>
        <w:spacing w:before="156" w:beforeLines="50" w:after="50"/>
        <w:jc w:val="left"/>
        <w:rPr>
          <w:rFonts w:hint="eastAsia" w:ascii="宋体" w:hAnsi="宋体" w:eastAsia="宋体" w:cs="宋体"/>
          <w:b/>
          <w:bCs/>
          <w:color w:val="auto"/>
          <w:sz w:val="30"/>
          <w:szCs w:val="30"/>
          <w:highlight w:val="none"/>
        </w:rPr>
      </w:pPr>
    </w:p>
    <w:p>
      <w:pPr>
        <w:shd w:val="clear"/>
        <w:snapToGrid w:val="0"/>
        <w:spacing w:before="156" w:beforeLines="50" w:after="50"/>
        <w:jc w:val="left"/>
        <w:rPr>
          <w:rFonts w:hint="eastAsia" w:ascii="宋体" w:hAnsi="宋体" w:eastAsia="宋体" w:cs="宋体"/>
          <w:b/>
          <w:bCs/>
          <w:color w:val="auto"/>
          <w:sz w:val="30"/>
          <w:szCs w:val="30"/>
          <w:highlight w:val="none"/>
        </w:rPr>
      </w:pPr>
    </w:p>
    <w:p>
      <w:pPr>
        <w:shd w:val="clear"/>
        <w:snapToGrid w:val="0"/>
        <w:spacing w:before="156" w:beforeLines="50" w:after="50"/>
        <w:jc w:val="left"/>
        <w:rPr>
          <w:rFonts w:hint="eastAsia" w:ascii="宋体" w:hAnsi="宋体" w:eastAsia="宋体" w:cs="宋体"/>
          <w:b/>
          <w:bCs/>
          <w:color w:val="auto"/>
          <w:sz w:val="30"/>
          <w:szCs w:val="30"/>
          <w:highlight w:val="none"/>
        </w:rPr>
      </w:pPr>
    </w:p>
    <w:p>
      <w:pPr>
        <w:shd w:val="clear"/>
        <w:snapToGrid w:val="0"/>
        <w:spacing w:before="156" w:beforeLines="50" w:after="50"/>
        <w:jc w:val="left"/>
        <w:rPr>
          <w:rFonts w:hint="eastAsia" w:ascii="宋体" w:hAnsi="宋体" w:eastAsia="宋体" w:cs="宋体"/>
          <w:b/>
          <w:bCs/>
          <w:color w:val="auto"/>
          <w:sz w:val="30"/>
          <w:szCs w:val="30"/>
          <w:highlight w:val="none"/>
        </w:rPr>
      </w:pPr>
    </w:p>
    <w:p>
      <w:pPr>
        <w:shd w:val="clear"/>
        <w:snapToGrid w:val="0"/>
        <w:spacing w:before="156" w:beforeLines="50" w:after="50"/>
        <w:jc w:val="left"/>
        <w:rPr>
          <w:rFonts w:hint="eastAsia" w:ascii="宋体" w:hAnsi="宋体" w:eastAsia="宋体" w:cs="宋体"/>
          <w:b/>
          <w:bCs/>
          <w:color w:val="auto"/>
          <w:sz w:val="30"/>
          <w:szCs w:val="30"/>
          <w:highlight w:val="none"/>
        </w:rPr>
      </w:pPr>
    </w:p>
    <w:p>
      <w:pPr>
        <w:shd w:val="clear"/>
        <w:snapToGrid w:val="0"/>
        <w:spacing w:before="156" w:beforeLines="50" w:after="50"/>
        <w:jc w:val="left"/>
        <w:rPr>
          <w:rFonts w:hint="eastAsia" w:ascii="宋体" w:hAnsi="宋体" w:eastAsia="宋体" w:cs="宋体"/>
          <w:b/>
          <w:bCs/>
          <w:color w:val="auto"/>
          <w:sz w:val="30"/>
          <w:szCs w:val="30"/>
          <w:highlight w:val="none"/>
        </w:rPr>
      </w:pPr>
    </w:p>
    <w:p>
      <w:pPr>
        <w:shd w:val="clear"/>
        <w:snapToGrid w:val="0"/>
        <w:spacing w:before="156" w:beforeLines="50" w:after="50"/>
        <w:jc w:val="left"/>
        <w:rPr>
          <w:rFonts w:hint="eastAsia" w:ascii="宋体" w:hAnsi="宋体" w:eastAsia="宋体" w:cs="宋体"/>
          <w:b/>
          <w:bCs/>
          <w:color w:val="auto"/>
          <w:sz w:val="30"/>
          <w:szCs w:val="30"/>
          <w:highlight w:val="none"/>
        </w:rPr>
      </w:pPr>
    </w:p>
    <w:p>
      <w:pPr>
        <w:shd w:val="clear"/>
        <w:snapToGrid w:val="0"/>
        <w:spacing w:before="156" w:beforeLines="50" w:after="50"/>
        <w:jc w:val="left"/>
        <w:rPr>
          <w:rFonts w:hint="eastAsia" w:ascii="宋体" w:hAnsi="宋体" w:eastAsia="宋体" w:cs="宋体"/>
          <w:b/>
          <w:bCs/>
          <w:color w:val="auto"/>
          <w:sz w:val="30"/>
          <w:szCs w:val="30"/>
          <w:highlight w:val="none"/>
        </w:rPr>
      </w:pPr>
    </w:p>
    <w:p>
      <w:pPr>
        <w:shd w:val="clear"/>
        <w:snapToGrid w:val="0"/>
        <w:spacing w:before="156" w:beforeLines="50" w:after="50"/>
        <w:jc w:val="left"/>
        <w:rPr>
          <w:rFonts w:hint="eastAsia" w:ascii="宋体" w:hAnsi="宋体" w:eastAsia="宋体" w:cs="宋体"/>
          <w:b/>
          <w:bCs/>
          <w:color w:val="auto"/>
          <w:sz w:val="30"/>
          <w:szCs w:val="30"/>
          <w:highlight w:val="none"/>
        </w:rPr>
      </w:pPr>
    </w:p>
    <w:p>
      <w:pPr>
        <w:shd w:val="clear"/>
        <w:snapToGrid w:val="0"/>
        <w:spacing w:before="156" w:beforeLines="50" w:after="50"/>
        <w:jc w:val="left"/>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color w:val="auto"/>
          <w:sz w:val="30"/>
          <w:szCs w:val="30"/>
          <w:highlight w:val="none"/>
        </w:rPr>
        <w:t>资格文件封面</w:t>
      </w:r>
    </w:p>
    <w:p>
      <w:pPr>
        <w:shd w:val="clear"/>
        <w:snapToGrid w:val="0"/>
        <w:spacing w:before="156" w:beforeLines="50" w:after="50"/>
        <w:jc w:val="right"/>
        <w:rPr>
          <w:rFonts w:hint="eastAsia" w:ascii="宋体" w:hAnsi="宋体" w:eastAsia="宋体" w:cs="宋体"/>
          <w:b/>
          <w:color w:val="auto"/>
          <w:sz w:val="30"/>
          <w:szCs w:val="30"/>
          <w:highlight w:val="none"/>
        </w:rPr>
      </w:pPr>
    </w:p>
    <w:p>
      <w:pPr>
        <w:shd w:val="clear"/>
        <w:snapToGrid w:val="0"/>
        <w:spacing w:before="156" w:beforeLines="50" w:after="50"/>
        <w:jc w:val="right"/>
        <w:rPr>
          <w:rFonts w:hint="eastAsia" w:ascii="宋体" w:hAnsi="宋体" w:eastAsia="宋体" w:cs="宋体"/>
          <w:bCs/>
          <w:color w:val="auto"/>
          <w:sz w:val="30"/>
          <w:szCs w:val="30"/>
          <w:highlight w:val="none"/>
        </w:rPr>
      </w:pPr>
    </w:p>
    <w:p>
      <w:pPr>
        <w:shd w:val="clea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项目名称：</w:t>
      </w:r>
      <w:r>
        <w:rPr>
          <w:rFonts w:hint="eastAsia" w:ascii="宋体" w:hAnsi="宋体" w:eastAsia="宋体" w:cs="宋体"/>
          <w:color w:val="auto"/>
          <w:spacing w:val="40"/>
          <w:sz w:val="30"/>
          <w:szCs w:val="30"/>
          <w:highlight w:val="none"/>
          <w:u w:val="single"/>
        </w:rPr>
        <w:t xml:space="preserve">           </w:t>
      </w:r>
    </w:p>
    <w:p>
      <w:pPr>
        <w:shd w:val="clear"/>
        <w:spacing w:before="312" w:beforeLines="100" w:line="40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u w:val="single"/>
        </w:rPr>
        <w:t xml:space="preserve">                   </w:t>
      </w:r>
    </w:p>
    <w:p>
      <w:pPr>
        <w:shd w:val="clear"/>
        <w:spacing w:before="312" w:beforeLines="100"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标项：</w:t>
      </w:r>
      <w:r>
        <w:rPr>
          <w:rFonts w:hint="eastAsia" w:ascii="宋体" w:hAnsi="宋体" w:eastAsia="宋体" w:cs="宋体"/>
          <w:color w:val="auto"/>
          <w:sz w:val="30"/>
          <w:szCs w:val="30"/>
          <w:highlight w:val="none"/>
          <w:u w:val="single"/>
        </w:rPr>
        <w:t xml:space="preserve">                    </w:t>
      </w:r>
    </w:p>
    <w:p>
      <w:pPr>
        <w:shd w:val="clear"/>
        <w:spacing w:line="1200" w:lineRule="exact"/>
        <w:ind w:right="6"/>
        <w:jc w:val="center"/>
        <w:rPr>
          <w:rFonts w:hint="eastAsia" w:ascii="宋体" w:hAnsi="宋体" w:eastAsia="宋体" w:cs="宋体"/>
          <w:color w:val="auto"/>
          <w:sz w:val="72"/>
          <w:szCs w:val="72"/>
          <w:highlight w:val="none"/>
        </w:rPr>
      </w:pPr>
    </w:p>
    <w:p>
      <w:pPr>
        <w:shd w:val="clear"/>
        <w:spacing w:line="1200" w:lineRule="exact"/>
        <w:ind w:right="6"/>
        <w:jc w:val="center"/>
        <w:rPr>
          <w:rFonts w:hint="eastAsia" w:ascii="宋体" w:hAnsi="宋体" w:eastAsia="宋体" w:cs="宋体"/>
          <w:color w:val="auto"/>
          <w:sz w:val="72"/>
          <w:szCs w:val="72"/>
          <w:highlight w:val="none"/>
        </w:rPr>
      </w:pP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资</w:t>
      </w: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格</w:t>
      </w: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pPr>
        <w:shd w:val="clear"/>
        <w:spacing w:line="1200" w:lineRule="exact"/>
        <w:ind w:right="6"/>
        <w:jc w:val="center"/>
        <w:rPr>
          <w:rFonts w:hint="eastAsia" w:ascii="宋体" w:hAnsi="宋体" w:eastAsia="宋体" w:cs="宋体"/>
          <w:color w:val="auto"/>
          <w:sz w:val="72"/>
          <w:szCs w:val="72"/>
          <w:highlight w:val="none"/>
        </w:rPr>
      </w:pPr>
    </w:p>
    <w:p>
      <w:pPr>
        <w:shd w:val="clear"/>
        <w:spacing w:line="500" w:lineRule="exact"/>
        <w:ind w:right="7"/>
        <w:jc w:val="center"/>
        <w:rPr>
          <w:rFonts w:hint="eastAsia" w:ascii="宋体" w:hAnsi="宋体" w:eastAsia="宋体" w:cs="宋体"/>
          <w:color w:val="auto"/>
          <w:sz w:val="36"/>
          <w:szCs w:val="36"/>
          <w:highlight w:val="none"/>
        </w:rPr>
      </w:pPr>
    </w:p>
    <w:p>
      <w:pPr>
        <w:shd w:val="clear"/>
        <w:spacing w:line="500" w:lineRule="exact"/>
        <w:ind w:right="7"/>
        <w:jc w:val="center"/>
        <w:rPr>
          <w:rFonts w:hint="eastAsia" w:ascii="宋体" w:hAnsi="宋体" w:eastAsia="宋体" w:cs="宋体"/>
          <w:color w:val="auto"/>
          <w:sz w:val="36"/>
          <w:szCs w:val="36"/>
          <w:highlight w:val="none"/>
        </w:rPr>
      </w:pPr>
    </w:p>
    <w:p>
      <w:pPr>
        <w:shd w:val="clea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投标人名称（盖章）：</w:t>
      </w:r>
    </w:p>
    <w:p>
      <w:pPr>
        <w:shd w:val="clea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地    址：</w:t>
      </w:r>
    </w:p>
    <w:p>
      <w:pPr>
        <w:shd w:val="clea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日    期：</w:t>
      </w:r>
    </w:p>
    <w:p>
      <w:pPr>
        <w:shd w:val="clea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附件2：资格文件目录</w:t>
      </w:r>
    </w:p>
    <w:p>
      <w:pPr>
        <w:shd w:val="clear"/>
        <w:snapToGrid w:val="0"/>
        <w:spacing w:before="156" w:beforeLines="50" w:after="50"/>
        <w:jc w:val="center"/>
        <w:rPr>
          <w:rFonts w:hint="eastAsia" w:ascii="宋体" w:hAnsi="宋体" w:eastAsia="宋体" w:cs="宋体"/>
          <w:color w:val="auto"/>
          <w:sz w:val="30"/>
          <w:szCs w:val="30"/>
          <w:highlight w:val="none"/>
        </w:rPr>
      </w:pPr>
      <w:bookmarkStart w:id="43" w:name="_Toc64369786"/>
      <w:r>
        <w:rPr>
          <w:rFonts w:hint="eastAsia" w:ascii="宋体" w:hAnsi="宋体" w:eastAsia="宋体" w:cs="宋体"/>
          <w:color w:val="auto"/>
          <w:sz w:val="30"/>
          <w:szCs w:val="30"/>
          <w:highlight w:val="none"/>
        </w:rPr>
        <w:t>目 录</w:t>
      </w:r>
      <w:bookmarkEnd w:id="43"/>
    </w:p>
    <w:p>
      <w:pPr>
        <w:pStyle w:val="40"/>
        <w:shd w:val="clear"/>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1.投标声明函 …………………………………………………………………（页码）</w:t>
      </w:r>
    </w:p>
    <w:p>
      <w:pPr>
        <w:pStyle w:val="40"/>
        <w:shd w:val="clear"/>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2.联合体协议书（如有）</w:t>
      </w:r>
      <w:r>
        <w:rPr>
          <w:rFonts w:hint="eastAsia" w:ascii="宋体" w:hAnsi="宋体" w:eastAsia="宋体" w:cs="宋体"/>
          <w:color w:val="auto"/>
          <w:highlight w:val="none"/>
        </w:rPr>
        <w:t>……………………………………………………（页码）</w:t>
      </w:r>
    </w:p>
    <w:p>
      <w:pPr>
        <w:pStyle w:val="40"/>
        <w:shd w:val="clear"/>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3.法定代表人授权委托书……………………………………………………（页码）</w:t>
      </w:r>
    </w:p>
    <w:p>
      <w:pPr>
        <w:pStyle w:val="40"/>
        <w:shd w:val="clear"/>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4.法定代表人及其授权代表身份证…………………………………………（页码）</w:t>
      </w:r>
    </w:p>
    <w:p>
      <w:pPr>
        <w:pStyle w:val="40"/>
        <w:shd w:val="clear"/>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5.资格条件证明材料</w:t>
      </w:r>
    </w:p>
    <w:p>
      <w:pPr>
        <w:pStyle w:val="40"/>
        <w:shd w:val="clear"/>
        <w:spacing w:line="360" w:lineRule="auto"/>
        <w:ind w:firstLine="240" w:firstLineChars="100"/>
        <w:jc w:val="left"/>
        <w:rPr>
          <w:rFonts w:hint="eastAsia" w:ascii="宋体" w:hAnsi="宋体" w:eastAsia="宋体" w:cs="宋体"/>
          <w:color w:val="auto"/>
          <w:highlight w:val="none"/>
        </w:rPr>
      </w:pPr>
      <w:bookmarkStart w:id="44" w:name="_Toc64369787"/>
      <w:r>
        <w:rPr>
          <w:rFonts w:hint="eastAsia" w:ascii="宋体" w:hAnsi="宋体" w:eastAsia="宋体" w:cs="宋体"/>
          <w:color w:val="auto"/>
          <w:highlight w:val="none"/>
        </w:rPr>
        <w:t>5.1营业执照(或事业法人登记证书)………………………………………（页码）</w:t>
      </w:r>
      <w:bookmarkEnd w:id="44"/>
    </w:p>
    <w:p>
      <w:pPr>
        <w:pStyle w:val="40"/>
        <w:shd w:val="clear"/>
        <w:spacing w:line="360" w:lineRule="auto"/>
        <w:ind w:firstLine="24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5.2</w:t>
      </w:r>
      <w:bookmarkStart w:id="45" w:name="_Toc64369788"/>
      <w:r>
        <w:rPr>
          <w:rFonts w:hint="eastAsia" w:ascii="宋体" w:hAnsi="宋体" w:eastAsia="宋体" w:cs="宋体"/>
          <w:color w:val="auto"/>
          <w:highlight w:val="none"/>
        </w:rPr>
        <w:t>特定资格条件的有关证明材料（如有）………………………………（页码）</w:t>
      </w:r>
      <w:bookmarkEnd w:id="45"/>
    </w:p>
    <w:p>
      <w:pPr>
        <w:pStyle w:val="40"/>
        <w:shd w:val="clear"/>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6.中小企业声明函（如有）…………………………………………………（页码）</w:t>
      </w:r>
    </w:p>
    <w:p>
      <w:pPr>
        <w:pStyle w:val="40"/>
        <w:shd w:val="clear"/>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7.残疾人福利性单位声明函（如有）………………………………………（页码）</w:t>
      </w:r>
    </w:p>
    <w:p>
      <w:pPr>
        <w:shd w:val="clear"/>
        <w:spacing w:line="360" w:lineRule="auto"/>
        <w:jc w:val="left"/>
        <w:rPr>
          <w:rFonts w:hint="eastAsia" w:ascii="宋体" w:hAnsi="宋体" w:eastAsia="宋体" w:cs="宋体"/>
          <w:b/>
          <w:bCs/>
          <w:color w:val="auto"/>
          <w:sz w:val="24"/>
          <w:highlight w:val="none"/>
        </w:rPr>
      </w:pPr>
    </w:p>
    <w:p>
      <w:pPr>
        <w:shd w:val="clea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注：以上文件按采购文件提供的格式制作，投标供应商根据内容做好加密电子投标文件的关联点设置。</w:t>
      </w:r>
    </w:p>
    <w:p>
      <w:pPr>
        <w:pageBreakBefore/>
        <w:widowControl w:val="0"/>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附件3：投标声明函</w:t>
      </w:r>
    </w:p>
    <w:p>
      <w:pPr>
        <w:pStyle w:val="35"/>
        <w:shd w:val="clear"/>
        <w:spacing w:after="50" w:afterLines="0" w:line="440" w:lineRule="exact"/>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 xml:space="preserve"> （填写采购代理机构或采购人名称） </w:t>
      </w:r>
      <w:r>
        <w:rPr>
          <w:rFonts w:hint="eastAsia" w:ascii="宋体" w:hAnsi="宋体" w:eastAsia="宋体" w:cs="宋体"/>
          <w:color w:val="auto"/>
          <w:szCs w:val="24"/>
          <w:highlight w:val="none"/>
        </w:rPr>
        <w:t xml:space="preserve">： </w:t>
      </w:r>
    </w:p>
    <w:p>
      <w:pPr>
        <w:pStyle w:val="35"/>
        <w:shd w:val="clear"/>
        <w:spacing w:after="50" w:afterLines="0" w:line="440" w:lineRule="exact"/>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w:t>
      </w:r>
      <w:r>
        <w:rPr>
          <w:rFonts w:hint="eastAsia" w:ascii="宋体" w:hAnsi="宋体" w:eastAsia="宋体" w:cs="宋体"/>
          <w:color w:val="auto"/>
          <w:szCs w:val="24"/>
          <w:highlight w:val="none"/>
          <w:u w:val="single"/>
        </w:rPr>
        <w:t xml:space="preserve">  （填写投标人全称；联合体投标的写全部联合体成员）   </w:t>
      </w:r>
      <w:r>
        <w:rPr>
          <w:rFonts w:hint="eastAsia" w:ascii="宋体" w:hAnsi="宋体" w:eastAsia="宋体" w:cs="宋体"/>
          <w:color w:val="auto"/>
          <w:szCs w:val="24"/>
          <w:highlight w:val="none"/>
        </w:rPr>
        <w:t>愿意参加贵方组织的</w:t>
      </w:r>
      <w:r>
        <w:rPr>
          <w:rFonts w:hint="eastAsia" w:ascii="宋体" w:hAnsi="宋体" w:eastAsia="宋体" w:cs="宋体"/>
          <w:color w:val="auto"/>
          <w:szCs w:val="24"/>
          <w:highlight w:val="none"/>
          <w:u w:val="single"/>
        </w:rPr>
        <w:t>（填写招标项目名称）（采购编号：    ）</w:t>
      </w:r>
      <w:r>
        <w:rPr>
          <w:rFonts w:hint="eastAsia" w:ascii="宋体" w:hAnsi="宋体" w:eastAsia="宋体" w:cs="宋体"/>
          <w:color w:val="auto"/>
          <w:szCs w:val="24"/>
          <w:highlight w:val="none"/>
        </w:rPr>
        <w:t>的投标，为此，我方就本次投标有关事项郑重声明如下：</w:t>
      </w:r>
    </w:p>
    <w:p>
      <w:pPr>
        <w:pStyle w:val="35"/>
        <w:shd w:val="clear"/>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1.我方已详细审查全部采购文件，同意采购文件的各项要求。</w:t>
      </w:r>
    </w:p>
    <w:p>
      <w:pPr>
        <w:pStyle w:val="7"/>
        <w:shd w:val="clear"/>
        <w:tabs>
          <w:tab w:val="clear" w:pos="1697"/>
        </w:tabs>
        <w:spacing w:after="50" w:afterLines="0" w:line="440" w:lineRule="exact"/>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2.若我方中标，承诺按采购文件、投标文件和合同的规定履行责任和义务。</w:t>
      </w:r>
    </w:p>
    <w:p>
      <w:pPr>
        <w:pStyle w:val="35"/>
        <w:shd w:val="clear"/>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b/>
          <w:bCs/>
          <w:color w:val="auto"/>
          <w:sz w:val="24"/>
          <w:highlight w:val="none"/>
          <w:lang w:val="zh-CN"/>
        </w:rPr>
        <w:t>我方</w:t>
      </w:r>
      <w:r>
        <w:rPr>
          <w:rFonts w:hint="eastAsia" w:ascii="宋体" w:hAnsi="宋体" w:eastAsia="宋体" w:cs="宋体"/>
          <w:b/>
          <w:bCs/>
          <w:color w:val="auto"/>
          <w:sz w:val="24"/>
          <w:highlight w:val="none"/>
        </w:rPr>
        <w:t>声明参加本次政府采购活动前三年内，在经营活动中没有重大违法记录</w:t>
      </w:r>
      <w:r>
        <w:rPr>
          <w:rFonts w:hint="eastAsia" w:ascii="宋体" w:hAnsi="宋体" w:eastAsia="宋体" w:cs="宋体"/>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pPr>
        <w:pStyle w:val="35"/>
        <w:shd w:val="clear"/>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5"/>
        <w:shd w:val="clear"/>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5.我方保证所供货物质量符合国家强制性规范和标准，达到采购文件规定的要求；</w:t>
      </w:r>
    </w:p>
    <w:p>
      <w:pPr>
        <w:pStyle w:val="7"/>
        <w:shd w:val="clear"/>
        <w:tabs>
          <w:tab w:val="clear" w:pos="1697"/>
        </w:tabs>
        <w:spacing w:after="50" w:afterLines="0" w:line="440" w:lineRule="exact"/>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6.</w:t>
      </w:r>
      <w:r>
        <w:rPr>
          <w:rFonts w:hint="eastAsia" w:ascii="宋体" w:hAnsi="宋体" w:eastAsia="宋体" w:cs="宋体"/>
          <w:color w:val="auto"/>
          <w:szCs w:val="24"/>
          <w:highlight w:val="none"/>
        </w:rPr>
        <w:t>我方承诺具备良好的财务制度并且没有税收缴纳、社会保障等方面的失信记录。</w:t>
      </w:r>
    </w:p>
    <w:p>
      <w:pPr>
        <w:pStyle w:val="35"/>
        <w:shd w:val="clear"/>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hd w:val="clear"/>
        <w:snapToGrid w:val="0"/>
        <w:spacing w:line="440" w:lineRule="exact"/>
        <w:ind w:firstLine="480" w:firstLineChars="200"/>
        <w:rPr>
          <w:rFonts w:hint="eastAsia" w:ascii="宋体" w:hAnsi="宋体" w:eastAsia="宋体" w:cs="宋体"/>
          <w:color w:val="auto"/>
          <w:sz w:val="30"/>
          <w:szCs w:val="30"/>
          <w:highlight w:val="none"/>
        </w:rPr>
      </w:pPr>
      <w:r>
        <w:rPr>
          <w:rFonts w:hint="eastAsia" w:ascii="宋体" w:hAnsi="宋体" w:eastAsia="宋体" w:cs="宋体"/>
          <w:color w:val="auto"/>
          <w:sz w:val="24"/>
          <w:highlight w:val="none"/>
        </w:rPr>
        <w:t>8.我方承诺若违反《中华人民共和国政府采购法》第七十七条规定，愿接受依法处理。</w:t>
      </w:r>
    </w:p>
    <w:p>
      <w:pPr>
        <w:pStyle w:val="35"/>
        <w:shd w:val="clear"/>
        <w:spacing w:after="50" w:afterLines="0" w:line="440" w:lineRule="exact"/>
        <w:rPr>
          <w:rFonts w:hint="eastAsia" w:ascii="宋体" w:hAnsi="宋体" w:eastAsia="宋体" w:cs="宋体"/>
          <w:color w:val="auto"/>
          <w:szCs w:val="24"/>
          <w:highlight w:val="none"/>
        </w:rPr>
      </w:pPr>
    </w:p>
    <w:p>
      <w:pPr>
        <w:pStyle w:val="35"/>
        <w:shd w:val="clear"/>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法定代表人或其授权代表(签字或签章)：</w:t>
      </w:r>
    </w:p>
    <w:p>
      <w:pPr>
        <w:pStyle w:val="35"/>
        <w:shd w:val="clear"/>
        <w:spacing w:after="50" w:afterLines="0" w:line="440" w:lineRule="exact"/>
        <w:rPr>
          <w:rFonts w:hint="eastAsia" w:ascii="宋体" w:hAnsi="宋体" w:eastAsia="宋体" w:cs="宋体"/>
          <w:color w:val="auto"/>
          <w:szCs w:val="24"/>
          <w:highlight w:val="none"/>
        </w:rPr>
      </w:pPr>
    </w:p>
    <w:p>
      <w:pPr>
        <w:pStyle w:val="35"/>
        <w:shd w:val="clear"/>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投标人(盖章)：　　　　　　　　　　　　　　　　　　　　日期：     </w:t>
      </w:r>
    </w:p>
    <w:p>
      <w:pPr>
        <w:pStyle w:val="35"/>
        <w:shd w:val="clear"/>
        <w:spacing w:after="50" w:afterLines="0" w:line="440" w:lineRule="exact"/>
        <w:rPr>
          <w:rFonts w:hint="eastAsia" w:ascii="宋体" w:hAnsi="宋体" w:eastAsia="宋体" w:cs="宋体"/>
          <w:color w:val="auto"/>
          <w:szCs w:val="24"/>
          <w:highlight w:val="none"/>
        </w:rPr>
      </w:pPr>
    </w:p>
    <w:p>
      <w:pPr>
        <w:pStyle w:val="35"/>
        <w:shd w:val="clear"/>
        <w:spacing w:after="50" w:afterLines="0" w:line="440" w:lineRule="exact"/>
        <w:rPr>
          <w:rFonts w:hint="eastAsia" w:ascii="宋体" w:hAnsi="宋体" w:eastAsia="宋体" w:cs="宋体"/>
          <w:color w:val="auto"/>
          <w:szCs w:val="24"/>
          <w:highlight w:val="none"/>
        </w:rPr>
      </w:pPr>
    </w:p>
    <w:p>
      <w:pPr>
        <w:pStyle w:val="35"/>
        <w:shd w:val="clear"/>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附件4：联合体协议书（如有）</w:t>
      </w:r>
    </w:p>
    <w:p>
      <w:pPr>
        <w:pStyle w:val="9"/>
        <w:shd w:val="clear"/>
        <w:overflowPunct w:val="0"/>
        <w:spacing w:line="360" w:lineRule="auto"/>
        <w:ind w:firstLine="0"/>
        <w:jc w:val="center"/>
        <w:rPr>
          <w:rFonts w:hint="eastAsia" w:ascii="宋体" w:hAnsi="宋体" w:eastAsia="宋体" w:cs="宋体"/>
          <w:b/>
          <w:color w:val="auto"/>
          <w:spacing w:val="40"/>
          <w:kern w:val="0"/>
          <w:sz w:val="24"/>
          <w:szCs w:val="24"/>
          <w:highlight w:val="none"/>
        </w:rPr>
      </w:pPr>
      <w:r>
        <w:rPr>
          <w:rFonts w:hint="eastAsia" w:ascii="宋体" w:hAnsi="宋体" w:eastAsia="宋体" w:cs="宋体"/>
          <w:b/>
          <w:color w:val="auto"/>
          <w:spacing w:val="40"/>
          <w:kern w:val="0"/>
          <w:sz w:val="24"/>
          <w:szCs w:val="24"/>
          <w:highlight w:val="none"/>
        </w:rPr>
        <w:t>联合体协议书</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（如果有的话，可按甲、乙、丙、丁…序列增加）</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各方经协商，就响应 </w:t>
      </w:r>
      <w:r>
        <w:rPr>
          <w:rFonts w:hint="eastAsia" w:ascii="宋体" w:hAnsi="宋体" w:eastAsia="宋体" w:cs="宋体"/>
          <w:color w:val="auto"/>
          <w:sz w:val="24"/>
          <w:szCs w:val="24"/>
          <w:highlight w:val="none"/>
          <w:u w:val="single"/>
        </w:rPr>
        <w:t xml:space="preserve">  （填写采购代理机构名称）         </w:t>
      </w:r>
      <w:r>
        <w:rPr>
          <w:rFonts w:hint="eastAsia" w:ascii="宋体" w:hAnsi="宋体" w:eastAsia="宋体" w:cs="宋体"/>
          <w:color w:val="auto"/>
          <w:sz w:val="24"/>
          <w:szCs w:val="24"/>
          <w:highlight w:val="none"/>
        </w:rPr>
        <w:t>组织实施的</w:t>
      </w:r>
      <w:r>
        <w:rPr>
          <w:rFonts w:hint="eastAsia" w:ascii="宋体" w:hAnsi="宋体" w:eastAsia="宋体" w:cs="宋体"/>
          <w:color w:val="auto"/>
          <w:sz w:val="24"/>
          <w:szCs w:val="24"/>
          <w:highlight w:val="none"/>
          <w:u w:val="single"/>
        </w:rPr>
        <w:t xml:space="preserve"> （填写项目名称）  </w:t>
      </w:r>
      <w:r>
        <w:rPr>
          <w:rFonts w:hint="eastAsia" w:ascii="宋体" w:hAnsi="宋体" w:eastAsia="宋体" w:cs="宋体"/>
          <w:color w:val="auto"/>
          <w:sz w:val="24"/>
          <w:szCs w:val="24"/>
          <w:highlight w:val="none"/>
        </w:rPr>
        <w:t>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的招标活动联合进行投标之事宜，达成如下协议：</w:t>
      </w:r>
    </w:p>
    <w:p>
      <w:pPr>
        <w:pStyle w:val="9"/>
        <w:numPr>
          <w:ilvl w:val="0"/>
          <w:numId w:val="11"/>
        </w:numPr>
        <w:shd w:val="clear"/>
        <w:overflowPunct w:val="0"/>
        <w:spacing w:line="460" w:lineRule="exact"/>
        <w:ind w:left="0" w:firstLine="5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各方一致决定组成一个联合体，以一个供应商的身份共同参加本项目政府采购。</w:t>
      </w:r>
    </w:p>
    <w:p>
      <w:pPr>
        <w:pStyle w:val="9"/>
        <w:numPr>
          <w:ilvl w:val="0"/>
          <w:numId w:val="11"/>
        </w:numPr>
        <w:shd w:val="clear"/>
        <w:overflowPunct w:val="0"/>
        <w:spacing w:line="460" w:lineRule="exact"/>
        <w:ind w:left="0" w:firstLine="5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 </w:t>
      </w:r>
      <w:r>
        <w:rPr>
          <w:rFonts w:hint="eastAsia" w:ascii="宋体" w:hAnsi="宋体" w:eastAsia="宋体" w:cs="宋体"/>
          <w:color w:val="auto"/>
          <w:sz w:val="24"/>
          <w:szCs w:val="24"/>
          <w:highlight w:val="none"/>
          <w:u w:val="single"/>
        </w:rPr>
        <w:t xml:space="preserve">  （填写联合体牵头人名称）  </w:t>
      </w:r>
      <w:r>
        <w:rPr>
          <w:rFonts w:hint="eastAsia" w:ascii="宋体" w:hAnsi="宋体" w:eastAsia="宋体" w:cs="宋体"/>
          <w:color w:val="auto"/>
          <w:sz w:val="24"/>
          <w:szCs w:val="24"/>
          <w:highlight w:val="none"/>
        </w:rPr>
        <w:t xml:space="preserve"> 为联合体牵头人，负责包括但不仅限于投标、配合处理质疑投诉等一切和采购活动相关的事宜。</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三、联合体各方对投标响应文件及开标过程中的各种书面承诺、澄清等均予以认可，对联合投标各方均产生约束力。</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四、如果中标，联合投标各方共同与采购人签订采购合同，共同履行对采购人所负有的全部义务并就采购合同约定的事项对采购人承担连带责任。</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五、联合体各方不再单独参加或与其他供应商另外组成联合体参加同一标项（项目）的政府采购活动，否则均被视为无效投标。</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六、如果中标，联合体各方在项目实施过程中承担的</w:t>
      </w:r>
      <w:r>
        <w:rPr>
          <w:rFonts w:hint="eastAsia" w:ascii="宋体" w:hAnsi="宋体" w:eastAsia="宋体" w:cs="宋体"/>
          <w:color w:val="auto"/>
          <w:sz w:val="24"/>
          <w:szCs w:val="24"/>
          <w:highlight w:val="none"/>
          <w:lang w:eastAsia="zh-CN"/>
        </w:rPr>
        <w:t>货物和服务</w:t>
      </w:r>
      <w:r>
        <w:rPr>
          <w:rFonts w:hint="eastAsia" w:ascii="宋体" w:hAnsi="宋体" w:eastAsia="宋体" w:cs="宋体"/>
          <w:color w:val="auto"/>
          <w:sz w:val="24"/>
          <w:szCs w:val="24"/>
          <w:highlight w:val="none"/>
        </w:rPr>
        <w:t>为：</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乙方：…</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9"/>
        <w:shd w:val="clear"/>
        <w:overflowPunct w:val="0"/>
        <w:spacing w:line="460" w:lineRule="exact"/>
        <w:ind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七、联合体各方在本项目实施过程中承担的</w:t>
      </w:r>
      <w:r>
        <w:rPr>
          <w:rFonts w:hint="eastAsia" w:ascii="宋体" w:hAnsi="宋体" w:eastAsia="宋体" w:cs="宋体"/>
          <w:color w:val="auto"/>
          <w:sz w:val="24"/>
          <w:highlight w:val="none"/>
        </w:rPr>
        <w:t>合同比例分别为：</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乙方：…</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八、本协议签约各方各持一份，并作为投标文件的一部分。</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       （公章）</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（签章）</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tc>
        <w:tc>
          <w:tcPr>
            <w:tcW w:w="4264" w:type="dxa"/>
            <w:tcBorders>
              <w:top w:val="nil"/>
              <w:left w:val="nil"/>
              <w:bottom w:val="nil"/>
              <w:right w:val="nil"/>
            </w:tcBorders>
            <w:noWrap/>
          </w:tcPr>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乙方单位：       （公章）</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（签章）</w:t>
            </w:r>
          </w:p>
          <w:p>
            <w:pPr>
              <w:pStyle w:val="9"/>
              <w:shd w:val="clear"/>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tc>
      </w:tr>
    </w:tbl>
    <w:p>
      <w:pPr>
        <w:pStyle w:val="35"/>
        <w:shd w:val="clear"/>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附件5：法定代表人授权委托书</w:t>
      </w:r>
    </w:p>
    <w:p>
      <w:pPr>
        <w:shd w:val="clear"/>
        <w:snapToGrid w:val="0"/>
        <w:spacing w:before="50" w:after="50"/>
        <w:jc w:val="center"/>
        <w:rPr>
          <w:rFonts w:hint="eastAsia" w:ascii="宋体" w:hAnsi="宋体" w:eastAsia="宋体" w:cs="宋体"/>
          <w:b/>
          <w:color w:val="auto"/>
          <w:sz w:val="36"/>
          <w:szCs w:val="36"/>
          <w:highlight w:val="none"/>
        </w:rPr>
      </w:pPr>
    </w:p>
    <w:p>
      <w:pPr>
        <w:shd w:val="clear"/>
        <w:snapToGrid w:val="0"/>
        <w:spacing w:before="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法定代表人授权委托书</w:t>
      </w:r>
    </w:p>
    <w:p>
      <w:pPr>
        <w:shd w:val="clear"/>
        <w:snapToGrid w:val="0"/>
        <w:spacing w:before="156" w:beforeLines="50" w:after="50" w:line="460" w:lineRule="exac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（采购代理机构或采购人名称）</w:t>
      </w:r>
      <w:r>
        <w:rPr>
          <w:rFonts w:hint="eastAsia" w:ascii="宋体" w:hAnsi="宋体" w:eastAsia="宋体" w:cs="宋体"/>
          <w:bCs/>
          <w:color w:val="auto"/>
          <w:sz w:val="24"/>
          <w:szCs w:val="24"/>
          <w:highlight w:val="none"/>
        </w:rPr>
        <w:t>：</w:t>
      </w:r>
    </w:p>
    <w:p>
      <w:pPr>
        <w:shd w:val="clear"/>
        <w:snapToGrid w:val="0"/>
        <w:spacing w:before="156" w:beforeLines="50" w:after="50" w:line="4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（投标人或联合体牵头人全称） </w:t>
      </w:r>
      <w:r>
        <w:rPr>
          <w:rFonts w:hint="eastAsia" w:ascii="宋体" w:hAnsi="宋体" w:eastAsia="宋体" w:cs="宋体"/>
          <w:color w:val="auto"/>
          <w:sz w:val="24"/>
          <w:szCs w:val="24"/>
          <w:highlight w:val="none"/>
        </w:rPr>
        <w:t xml:space="preserve">的法定代表人，现授权委托 </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为授权代表，以我方的名义参加</w:t>
      </w:r>
      <w:r>
        <w:rPr>
          <w:rFonts w:hint="eastAsia" w:ascii="宋体" w:hAnsi="宋体" w:eastAsia="宋体" w:cs="宋体"/>
          <w:color w:val="auto"/>
          <w:sz w:val="24"/>
          <w:szCs w:val="24"/>
          <w:highlight w:val="none"/>
          <w:u w:val="single"/>
        </w:rPr>
        <w:t xml:space="preserve">   （项目名称及编号）    </w:t>
      </w:r>
      <w:r>
        <w:rPr>
          <w:rFonts w:hint="eastAsia" w:ascii="宋体" w:hAnsi="宋体" w:eastAsia="宋体" w:cs="宋体"/>
          <w:color w:val="auto"/>
          <w:sz w:val="24"/>
          <w:szCs w:val="24"/>
          <w:highlight w:val="none"/>
        </w:rPr>
        <w:t>的投标活动，并代表我方全权办理针对上述项目的投标、开标、评标、签约等具体事务和签署相关文件。我方对授权代表的签名事项负全部认可并承担责任。</w:t>
      </w:r>
    </w:p>
    <w:p>
      <w:pPr>
        <w:shd w:val="clear"/>
        <w:snapToGrid w:val="0"/>
        <w:spacing w:before="156" w:beforeLines="50" w:after="50"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pPr>
        <w:shd w:val="clear"/>
        <w:snapToGrid w:val="0"/>
        <w:spacing w:before="156" w:beforeLines="50" w:after="50"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pPr>
        <w:shd w:val="clear"/>
        <w:snapToGrid w:val="0"/>
        <w:spacing w:before="156" w:beforeLines="50" w:after="50" w:line="460" w:lineRule="exact"/>
        <w:ind w:firstLine="480"/>
        <w:rPr>
          <w:rFonts w:hint="eastAsia" w:ascii="宋体" w:hAnsi="宋体" w:eastAsia="宋体" w:cs="宋体"/>
          <w:color w:val="auto"/>
          <w:sz w:val="24"/>
          <w:szCs w:val="24"/>
          <w:highlight w:val="none"/>
        </w:rPr>
      </w:pPr>
    </w:p>
    <w:p>
      <w:pPr>
        <w:shd w:val="clea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授权代表签字（或盖章）：      </w:t>
      </w:r>
    </w:p>
    <w:p>
      <w:pPr>
        <w:shd w:val="clea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hd w:val="clear"/>
        <w:snapToGrid w:val="0"/>
        <w:spacing w:before="156" w:beforeLines="50" w:after="50" w:line="460" w:lineRule="exact"/>
        <w:rPr>
          <w:rFonts w:hint="eastAsia" w:ascii="宋体" w:hAnsi="宋体" w:eastAsia="宋体" w:cs="宋体"/>
          <w:color w:val="auto"/>
          <w:sz w:val="24"/>
          <w:szCs w:val="24"/>
          <w:highlight w:val="none"/>
        </w:rPr>
      </w:pPr>
    </w:p>
    <w:p>
      <w:pPr>
        <w:shd w:val="clear"/>
        <w:snapToGrid w:val="0"/>
        <w:spacing w:before="156" w:beforeLines="50" w:after="50"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p>
    <w:p>
      <w:pPr>
        <w:shd w:val="clea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p>
    <w:p>
      <w:pPr>
        <w:shd w:val="clear"/>
        <w:snapToGrid w:val="0"/>
        <w:spacing w:before="156" w:beforeLines="50" w:after="50" w:line="460" w:lineRule="exact"/>
        <w:rPr>
          <w:rFonts w:hint="eastAsia" w:ascii="宋体" w:hAnsi="宋体" w:eastAsia="宋体" w:cs="宋体"/>
          <w:color w:val="auto"/>
          <w:sz w:val="24"/>
          <w:szCs w:val="24"/>
          <w:highlight w:val="none"/>
        </w:rPr>
      </w:pPr>
    </w:p>
    <w:p>
      <w:pPr>
        <w:shd w:val="clea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hd w:val="clear"/>
        <w:snapToGrid w:val="0"/>
        <w:spacing w:before="156" w:beforeLines="50" w:after="50"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投标人全称（盖公章）：            日  期：</w:t>
      </w:r>
      <w:r>
        <w:rPr>
          <w:rFonts w:hint="eastAsia" w:ascii="宋体" w:hAnsi="宋体" w:eastAsia="宋体" w:cs="宋体"/>
          <w:color w:val="auto"/>
          <w:sz w:val="24"/>
          <w:szCs w:val="24"/>
          <w:highlight w:val="none"/>
          <w:u w:val="single"/>
        </w:rPr>
        <w:t xml:space="preserve">     年   月  日</w:t>
      </w:r>
    </w:p>
    <w:p>
      <w:pPr>
        <w:widowControl/>
        <w:shd w:val="clear"/>
        <w:jc w:val="left"/>
        <w:rPr>
          <w:rFonts w:hint="eastAsia" w:ascii="宋体" w:hAnsi="宋体" w:eastAsia="宋体" w:cs="宋体"/>
          <w:color w:val="auto"/>
          <w:sz w:val="24"/>
          <w:szCs w:val="24"/>
          <w:highlight w:val="none"/>
          <w:u w:val="single"/>
        </w:rPr>
      </w:pPr>
    </w:p>
    <w:p>
      <w:pPr>
        <w:shd w:val="clear"/>
        <w:snapToGrid w:val="0"/>
        <w:spacing w:before="50" w:after="5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友情提示：</w:t>
      </w:r>
      <w:r>
        <w:rPr>
          <w:rFonts w:hint="eastAsia" w:ascii="宋体" w:hAnsi="宋体" w:eastAsia="宋体" w:cs="宋体"/>
          <w:b/>
          <w:bCs/>
          <w:color w:val="auto"/>
          <w:sz w:val="24"/>
          <w:szCs w:val="24"/>
          <w:highlight w:val="none"/>
          <w:u w:val="single"/>
        </w:rPr>
        <w:t>1、请仔细核对身份证号码，若填写错误，作无效投标处理。</w:t>
      </w:r>
    </w:p>
    <w:p>
      <w:pPr>
        <w:shd w:val="clear"/>
        <w:snapToGrid w:val="0"/>
        <w:spacing w:before="50" w:after="50"/>
        <w:ind w:left="1558" w:leftChars="570" w:hanging="361" w:hangingChars="15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2、联合体投标的，需提供联合体牵头人的法定代表人授权委托书，否则作无效投标处理。</w:t>
      </w:r>
    </w:p>
    <w:p>
      <w:pPr>
        <w:shd w:val="clear"/>
        <w:snapToGrid w:val="0"/>
        <w:spacing w:before="50" w:after="50"/>
        <w:jc w:val="left"/>
        <w:rPr>
          <w:rFonts w:hint="eastAsia" w:ascii="宋体" w:hAnsi="宋体" w:eastAsia="宋体" w:cs="宋体"/>
          <w:b/>
          <w:color w:val="auto"/>
          <w:sz w:val="36"/>
          <w:szCs w:val="36"/>
          <w:highlight w:val="none"/>
        </w:rPr>
      </w:pPr>
    </w:p>
    <w:p>
      <w:pPr>
        <w:shd w:val="clear"/>
        <w:snapToGrid w:val="0"/>
        <w:spacing w:before="50" w:after="50"/>
        <w:jc w:val="left"/>
        <w:rPr>
          <w:rFonts w:hint="eastAsia" w:ascii="宋体" w:hAnsi="宋体" w:eastAsia="宋体" w:cs="宋体"/>
          <w:b/>
          <w:color w:val="auto"/>
          <w:sz w:val="36"/>
          <w:szCs w:val="36"/>
          <w:highlight w:val="none"/>
        </w:rPr>
      </w:pPr>
    </w:p>
    <w:p>
      <w:pPr>
        <w:pStyle w:val="35"/>
        <w:shd w:val="clear"/>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附件6：法定代表人及其授权代表身份证</w:t>
      </w:r>
    </w:p>
    <w:p>
      <w:pPr>
        <w:pStyle w:val="35"/>
        <w:shd w:val="clear"/>
        <w:spacing w:after="50" w:afterLines="0" w:line="440" w:lineRule="exact"/>
        <w:ind w:left="0" w:firstLine="0" w:firstLineChars="0"/>
        <w:rPr>
          <w:rFonts w:hint="eastAsia" w:ascii="宋体" w:hAnsi="宋体" w:eastAsia="宋体" w:cs="宋体"/>
          <w:b/>
          <w:bCs/>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b/>
          <w:bCs/>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制作说明：</w:t>
      </w:r>
    </w:p>
    <w:p>
      <w:pPr>
        <w:pStyle w:val="35"/>
        <w:numPr>
          <w:ilvl w:val="0"/>
          <w:numId w:val="12"/>
        </w:numPr>
        <w:shd w:val="clear"/>
        <w:spacing w:after="50" w:afterLines="0" w:line="44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提供身份证原件正反两面的彩色图片，内容清晰可辨，加盖单位CA签章，否则视为无效投标。</w:t>
      </w:r>
    </w:p>
    <w:p>
      <w:pPr>
        <w:pStyle w:val="35"/>
        <w:numPr>
          <w:ilvl w:val="0"/>
          <w:numId w:val="12"/>
        </w:numPr>
        <w:shd w:val="clear"/>
        <w:spacing w:after="50" w:afterLines="0" w:line="44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联合体投标的，提供联合体牵头人的法定代表人及其授权代表身份证。</w:t>
      </w:r>
    </w:p>
    <w:p>
      <w:pPr>
        <w:pStyle w:val="35"/>
        <w:numPr>
          <w:ilvl w:val="0"/>
          <w:numId w:val="12"/>
        </w:numPr>
        <w:shd w:val="clear"/>
        <w:spacing w:after="50" w:afterLines="0" w:line="44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个体工商户参与投标的提供经营者本人的身份证。</w:t>
      </w: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pStyle w:val="35"/>
        <w:shd w:val="clear"/>
        <w:spacing w:after="50" w:afterLines="0" w:line="440" w:lineRule="exact"/>
        <w:ind w:left="0" w:firstLine="0" w:firstLineChars="0"/>
        <w:rPr>
          <w:rFonts w:hint="eastAsia" w:ascii="宋体" w:hAnsi="宋体" w:eastAsia="宋体" w:cs="宋体"/>
          <w:color w:val="auto"/>
          <w:sz w:val="28"/>
          <w:szCs w:val="28"/>
          <w:highlight w:val="none"/>
        </w:rPr>
      </w:pPr>
    </w:p>
    <w:p>
      <w:pPr>
        <w:shd w:val="clea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b/>
          <w:bCs/>
          <w:color w:val="auto"/>
          <w:sz w:val="30"/>
          <w:szCs w:val="30"/>
          <w:highlight w:val="none"/>
        </w:rPr>
        <w:t>附件7（如有）：</w:t>
      </w:r>
    </w:p>
    <w:p>
      <w:pPr>
        <w:shd w:val="clear"/>
        <w:snapToGrid w:val="0"/>
        <w:spacing w:before="50" w:after="50"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p>
    <w:p>
      <w:pPr>
        <w:shd w:val="clea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pPr>
        <w:shd w:val="clea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（采购文件中明确的所属行业）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      </w:t>
      </w:r>
      <w:r>
        <w:rPr>
          <w:rFonts w:hint="eastAsia" w:ascii="宋体" w:hAnsi="宋体" w:eastAsia="宋体" w:cs="宋体"/>
          <w:color w:val="auto"/>
          <w:sz w:val="24"/>
          <w:szCs w:val="24"/>
          <w:highlight w:val="none"/>
        </w:rPr>
        <w:t xml:space="preserve"> ；</w:t>
      </w:r>
    </w:p>
    <w:p>
      <w:pPr>
        <w:shd w:val="clea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（采购文件中明确的所属行业）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   </w:t>
      </w:r>
      <w:r>
        <w:rPr>
          <w:rFonts w:hint="eastAsia" w:ascii="宋体" w:hAnsi="宋体" w:eastAsia="宋体" w:cs="宋体"/>
          <w:color w:val="auto"/>
          <w:sz w:val="24"/>
          <w:szCs w:val="24"/>
          <w:highlight w:val="none"/>
        </w:rPr>
        <w:t xml:space="preserve"> ；</w:t>
      </w:r>
    </w:p>
    <w:p>
      <w:pPr>
        <w:shd w:val="clea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hd w:val="clea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shd w:val="clea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hd w:val="clear"/>
        <w:snapToGrid w:val="0"/>
        <w:spacing w:before="50" w:after="50" w:line="360" w:lineRule="auto"/>
        <w:ind w:firstLine="480" w:firstLineChars="200"/>
        <w:jc w:val="left"/>
        <w:rPr>
          <w:rFonts w:hint="eastAsia" w:ascii="宋体" w:hAnsi="宋体" w:eastAsia="宋体" w:cs="宋体"/>
          <w:color w:val="auto"/>
          <w:sz w:val="24"/>
          <w:szCs w:val="24"/>
          <w:highlight w:val="none"/>
        </w:rPr>
      </w:pPr>
    </w:p>
    <w:p>
      <w:pPr>
        <w:shd w:val="clear"/>
        <w:snapToGrid w:val="0"/>
        <w:spacing w:before="50" w:after="50" w:line="360" w:lineRule="auto"/>
        <w:ind w:firstLine="480" w:firstLineChars="200"/>
        <w:jc w:val="left"/>
        <w:rPr>
          <w:rFonts w:hint="eastAsia" w:ascii="宋体" w:hAnsi="宋体" w:eastAsia="宋体" w:cs="宋体"/>
          <w:color w:val="auto"/>
          <w:sz w:val="24"/>
          <w:szCs w:val="24"/>
          <w:highlight w:val="none"/>
        </w:rPr>
      </w:pPr>
    </w:p>
    <w:p>
      <w:pPr>
        <w:shd w:val="clear"/>
        <w:snapToGrid w:val="0"/>
        <w:spacing w:before="50" w:after="50" w:line="360" w:lineRule="auto"/>
        <w:ind w:firstLine="480" w:firstLineChars="200"/>
        <w:jc w:val="left"/>
        <w:rPr>
          <w:rFonts w:hint="eastAsia" w:ascii="宋体" w:hAnsi="宋体" w:eastAsia="宋体" w:cs="宋体"/>
          <w:color w:val="auto"/>
          <w:sz w:val="24"/>
          <w:szCs w:val="24"/>
          <w:highlight w:val="none"/>
        </w:rPr>
      </w:pPr>
    </w:p>
    <w:p>
      <w:pPr>
        <w:shd w:val="clea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pPr>
        <w:shd w:val="clea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hd w:val="clear"/>
        <w:snapToGrid w:val="0"/>
        <w:spacing w:before="50" w:after="50"/>
        <w:jc w:val="left"/>
        <w:rPr>
          <w:rFonts w:hint="eastAsia" w:ascii="宋体" w:hAnsi="宋体" w:eastAsia="宋体" w:cs="宋体"/>
          <w:b/>
          <w:bCs/>
          <w:color w:val="auto"/>
          <w:sz w:val="24"/>
          <w:szCs w:val="24"/>
          <w:highlight w:val="none"/>
        </w:rPr>
      </w:pPr>
    </w:p>
    <w:p>
      <w:pPr>
        <w:shd w:val="clear"/>
        <w:snapToGrid w:val="0"/>
        <w:spacing w:before="50" w:after="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pPr>
        <w:numPr>
          <w:ilvl w:val="0"/>
          <w:numId w:val="13"/>
        </w:numPr>
        <w:shd w:val="clear"/>
        <w:snapToGrid w:val="0"/>
        <w:spacing w:before="50" w:after="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规模划分按《工信部关于印发中小企业划型标准规定的通知（工信部联企业〔2011〕300号）》文件执行，</w:t>
      </w:r>
      <w:r>
        <w:rPr>
          <w:rFonts w:hint="eastAsia" w:ascii="宋体" w:hAnsi="宋体" w:eastAsia="宋体" w:cs="宋体"/>
          <w:b/>
          <w:bCs/>
          <w:color w:val="auto"/>
          <w:sz w:val="24"/>
          <w:szCs w:val="24"/>
          <w:highlight w:val="none"/>
        </w:rPr>
        <w:t>从业人员、营业收入、资产总额填报上一年度数据，无上一年度数据的新成立企业可不填报。</w:t>
      </w:r>
    </w:p>
    <w:p>
      <w:pPr>
        <w:numPr>
          <w:ilvl w:val="0"/>
          <w:numId w:val="13"/>
        </w:numPr>
        <w:shd w:val="clear"/>
        <w:snapToGrid w:val="0"/>
        <w:spacing w:before="50" w:after="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本函与中标（成交）公告同时发布，接受社会监督。</w:t>
      </w:r>
    </w:p>
    <w:p>
      <w:pPr>
        <w:numPr>
          <w:ilvl w:val="0"/>
          <w:numId w:val="13"/>
        </w:numPr>
        <w:shd w:val="clear"/>
        <w:snapToGrid w:val="0"/>
        <w:spacing w:before="50" w:after="50" w:line="240" w:lineRule="auto"/>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highlight w:val="none"/>
          <w:u w:val="single"/>
          <w:lang w:eastAsia="zh-CN"/>
        </w:rPr>
        <w:t>“标的名称”、“所属行业”按前附表所列填写，否则资格审查不通过。</w:t>
      </w:r>
    </w:p>
    <w:p>
      <w:pPr>
        <w:shd w:val="clear"/>
        <w:snapToGrid w:val="0"/>
        <w:spacing w:before="50" w:after="50"/>
        <w:ind w:left="840"/>
        <w:jc w:val="left"/>
        <w:rPr>
          <w:rFonts w:hint="eastAsia" w:ascii="宋体" w:hAnsi="宋体" w:eastAsia="宋体" w:cs="宋体"/>
          <w:b/>
          <w:bCs/>
          <w:color w:val="auto"/>
          <w:sz w:val="24"/>
          <w:szCs w:val="24"/>
          <w:highlight w:val="none"/>
        </w:rPr>
      </w:pPr>
    </w:p>
    <w:p>
      <w:pPr>
        <w:shd w:val="clear"/>
        <w:spacing w:line="588" w:lineRule="exact"/>
        <w:rPr>
          <w:rFonts w:hint="eastAsia" w:ascii="宋体" w:hAnsi="宋体" w:eastAsia="宋体" w:cs="宋体"/>
          <w:b/>
          <w:color w:val="auto"/>
          <w:spacing w:val="6"/>
          <w:sz w:val="30"/>
          <w:szCs w:val="30"/>
          <w:highlight w:val="none"/>
        </w:rPr>
      </w:pPr>
      <w:bookmarkStart w:id="46" w:name="_Hlk523382353"/>
      <w:r>
        <w:rPr>
          <w:rFonts w:hint="eastAsia" w:ascii="宋体" w:hAnsi="宋体" w:eastAsia="宋体" w:cs="宋体"/>
          <w:b/>
          <w:color w:val="auto"/>
          <w:spacing w:val="6"/>
          <w:sz w:val="30"/>
          <w:szCs w:val="30"/>
          <w:highlight w:val="none"/>
        </w:rPr>
        <w:t>附件8（如有）：</w:t>
      </w:r>
    </w:p>
    <w:bookmarkEnd w:id="46"/>
    <w:p>
      <w:pPr>
        <w:shd w:val="clear"/>
        <w:spacing w:line="588" w:lineRule="exact"/>
        <w:ind w:firstLine="667"/>
        <w:jc w:val="center"/>
        <w:rPr>
          <w:rFonts w:hint="eastAsia" w:ascii="宋体" w:hAnsi="宋体" w:eastAsia="宋体" w:cs="宋体"/>
          <w:b/>
          <w:color w:val="auto"/>
          <w:spacing w:val="6"/>
          <w:sz w:val="32"/>
          <w:szCs w:val="32"/>
          <w:highlight w:val="none"/>
        </w:rPr>
      </w:pPr>
    </w:p>
    <w:p>
      <w:pPr>
        <w:shd w:val="clear"/>
        <w:spacing w:line="588" w:lineRule="exact"/>
        <w:ind w:firstLine="667"/>
        <w:jc w:val="center"/>
        <w:rPr>
          <w:rFonts w:hint="eastAsia" w:ascii="宋体" w:hAnsi="宋体" w:eastAsia="宋体" w:cs="宋体"/>
          <w:b/>
          <w:color w:val="auto"/>
          <w:spacing w:val="6"/>
          <w:sz w:val="36"/>
          <w:szCs w:val="36"/>
          <w:highlight w:val="none"/>
        </w:rPr>
      </w:pPr>
      <w:r>
        <w:rPr>
          <w:rFonts w:hint="eastAsia" w:ascii="宋体" w:hAnsi="宋体" w:eastAsia="宋体" w:cs="宋体"/>
          <w:b/>
          <w:color w:val="auto"/>
          <w:spacing w:val="6"/>
          <w:sz w:val="36"/>
          <w:szCs w:val="36"/>
          <w:highlight w:val="none"/>
        </w:rPr>
        <w:t>残疾人福利性单位声明函</w:t>
      </w:r>
    </w:p>
    <w:p>
      <w:pPr>
        <w:shd w:val="clear"/>
        <w:spacing w:line="588" w:lineRule="exact"/>
        <w:ind w:firstLine="626"/>
        <w:rPr>
          <w:rFonts w:hint="eastAsia" w:ascii="宋体" w:hAnsi="宋体" w:eastAsia="宋体" w:cs="宋体"/>
          <w:b/>
          <w:color w:val="auto"/>
          <w:spacing w:val="6"/>
          <w:sz w:val="30"/>
          <w:szCs w:val="30"/>
          <w:highlight w:val="none"/>
        </w:rPr>
      </w:pPr>
    </w:p>
    <w:p>
      <w:pPr>
        <w:shd w:val="clear"/>
        <w:spacing w:line="588"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（请填写采购人名称）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（请填写项目名称）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hd w:val="clear"/>
        <w:spacing w:line="588"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hd w:val="clear"/>
        <w:spacing w:line="588" w:lineRule="exact"/>
        <w:ind w:firstLine="480"/>
        <w:rPr>
          <w:rFonts w:hint="eastAsia" w:ascii="宋体" w:hAnsi="宋体" w:eastAsia="宋体" w:cs="宋体"/>
          <w:color w:val="auto"/>
          <w:sz w:val="24"/>
          <w:highlight w:val="none"/>
        </w:rPr>
      </w:pPr>
    </w:p>
    <w:p>
      <w:pPr>
        <w:shd w:val="clear"/>
        <w:spacing w:line="588" w:lineRule="exact"/>
        <w:ind w:firstLine="480"/>
        <w:rPr>
          <w:rFonts w:hint="eastAsia" w:ascii="宋体" w:hAnsi="宋体" w:eastAsia="宋体" w:cs="宋体"/>
          <w:color w:val="auto"/>
          <w:sz w:val="24"/>
          <w:highlight w:val="none"/>
        </w:rPr>
      </w:pPr>
    </w:p>
    <w:p>
      <w:pPr>
        <w:shd w:val="clear"/>
        <w:spacing w:line="588" w:lineRule="exact"/>
        <w:ind w:firstLine="480"/>
        <w:rPr>
          <w:rFonts w:hint="eastAsia" w:ascii="宋体" w:hAnsi="宋体" w:eastAsia="宋体" w:cs="宋体"/>
          <w:color w:val="auto"/>
          <w:sz w:val="24"/>
          <w:highlight w:val="none"/>
        </w:rPr>
      </w:pPr>
    </w:p>
    <w:p>
      <w:pPr>
        <w:shd w:val="clear"/>
        <w:spacing w:line="588" w:lineRule="exact"/>
        <w:ind w:firstLine="480"/>
        <w:rPr>
          <w:rFonts w:hint="eastAsia" w:ascii="宋体" w:hAnsi="宋体" w:eastAsia="宋体" w:cs="宋体"/>
          <w:color w:val="auto"/>
          <w:sz w:val="24"/>
          <w:highlight w:val="none"/>
        </w:rPr>
      </w:pPr>
    </w:p>
    <w:p>
      <w:pPr>
        <w:shd w:val="clear"/>
        <w:spacing w:line="588" w:lineRule="exact"/>
        <w:ind w:firstLine="480"/>
        <w:rPr>
          <w:rFonts w:hint="eastAsia" w:ascii="宋体" w:hAnsi="宋体" w:eastAsia="宋体" w:cs="宋体"/>
          <w:color w:val="auto"/>
          <w:sz w:val="24"/>
          <w:highlight w:val="none"/>
        </w:rPr>
      </w:pPr>
    </w:p>
    <w:p>
      <w:pPr>
        <w:shd w:val="clear"/>
        <w:tabs>
          <w:tab w:val="left" w:pos="4860"/>
        </w:tabs>
        <w:spacing w:line="588" w:lineRule="exact"/>
        <w:ind w:right="156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单位名称（盖章）：</w:t>
      </w:r>
    </w:p>
    <w:p>
      <w:pPr>
        <w:shd w:val="clear"/>
        <w:spacing w:line="48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hd w:val="clear"/>
        <w:ind w:firstLine="480"/>
        <w:rPr>
          <w:rFonts w:hint="eastAsia" w:ascii="宋体" w:hAnsi="宋体" w:eastAsia="宋体" w:cs="宋体"/>
          <w:color w:val="auto"/>
          <w:sz w:val="24"/>
          <w:highlight w:val="none"/>
        </w:rPr>
      </w:pPr>
    </w:p>
    <w:p>
      <w:pPr>
        <w:shd w:val="clear"/>
        <w:ind w:firstLine="420"/>
        <w:rPr>
          <w:rFonts w:hint="eastAsia" w:ascii="宋体" w:hAnsi="宋体" w:eastAsia="宋体" w:cs="宋体"/>
          <w:color w:val="auto"/>
          <w:highlight w:val="none"/>
        </w:rPr>
      </w:pPr>
    </w:p>
    <w:p>
      <w:pPr>
        <w:shd w:val="clear"/>
        <w:ind w:firstLine="420"/>
        <w:rPr>
          <w:rFonts w:hint="eastAsia" w:ascii="宋体" w:hAnsi="宋体" w:eastAsia="宋体" w:cs="宋体"/>
          <w:color w:val="auto"/>
          <w:highlight w:val="none"/>
        </w:rPr>
      </w:pPr>
    </w:p>
    <w:p>
      <w:pPr>
        <w:shd w:val="clear"/>
        <w:ind w:firstLine="420"/>
        <w:rPr>
          <w:rFonts w:hint="eastAsia" w:ascii="宋体" w:hAnsi="宋体" w:eastAsia="宋体" w:cs="宋体"/>
          <w:color w:val="auto"/>
          <w:highlight w:val="none"/>
        </w:rPr>
      </w:pPr>
    </w:p>
    <w:p>
      <w:pPr>
        <w:shd w:val="clear"/>
        <w:ind w:firstLine="420"/>
        <w:rPr>
          <w:rFonts w:hint="eastAsia" w:ascii="宋体" w:hAnsi="宋体" w:eastAsia="宋体" w:cs="宋体"/>
          <w:color w:val="auto"/>
          <w:highlight w:val="none"/>
        </w:rPr>
      </w:pPr>
    </w:p>
    <w:p>
      <w:pPr>
        <w:shd w:val="clear"/>
        <w:ind w:firstLine="420"/>
        <w:rPr>
          <w:rFonts w:hint="eastAsia" w:ascii="宋体" w:hAnsi="宋体" w:eastAsia="宋体" w:cs="宋体"/>
          <w:color w:val="auto"/>
          <w:highlight w:val="none"/>
        </w:rPr>
      </w:pPr>
    </w:p>
    <w:p>
      <w:pPr>
        <w:shd w:val="clear"/>
        <w:ind w:firstLine="420"/>
        <w:rPr>
          <w:rFonts w:hint="eastAsia" w:ascii="宋体" w:hAnsi="宋体" w:eastAsia="宋体" w:cs="宋体"/>
          <w:color w:val="auto"/>
          <w:highlight w:val="none"/>
        </w:rPr>
      </w:pPr>
    </w:p>
    <w:p>
      <w:pPr>
        <w:shd w:val="clear"/>
        <w:ind w:firstLine="482" w:firstLineChars="200"/>
        <w:rPr>
          <w:rFonts w:hint="eastAsia" w:ascii="宋体" w:hAnsi="宋体" w:eastAsia="宋体" w:cs="宋体"/>
          <w:b/>
          <w:color w:val="auto"/>
          <w:kern w:val="0"/>
          <w:sz w:val="24"/>
          <w:highlight w:val="none"/>
          <w:u w:val="single"/>
          <w:lang w:val="zh-CN"/>
        </w:rPr>
      </w:pPr>
      <w:r>
        <w:rPr>
          <w:rFonts w:hint="eastAsia" w:ascii="宋体" w:hAnsi="宋体" w:eastAsia="宋体" w:cs="宋体"/>
          <w:b/>
          <w:color w:val="auto"/>
          <w:kern w:val="0"/>
          <w:sz w:val="24"/>
          <w:highlight w:val="none"/>
          <w:u w:val="single"/>
          <w:lang w:val="zh-CN"/>
        </w:rPr>
        <w:t>特别提示：采购机构将在中标公告中公布中标人的《残疾人福利性单位声明函》，接受社会监督。</w:t>
      </w:r>
    </w:p>
    <w:p>
      <w:pPr>
        <w:shd w:val="clear"/>
        <w:ind w:firstLine="420"/>
        <w:rPr>
          <w:rFonts w:hint="eastAsia" w:ascii="宋体" w:hAnsi="宋体" w:eastAsia="宋体" w:cs="宋体"/>
          <w:color w:val="auto"/>
          <w:highlight w:val="none"/>
        </w:rPr>
      </w:pPr>
    </w:p>
    <w:p>
      <w:pPr>
        <w:shd w:val="clear"/>
        <w:snapToGrid w:val="0"/>
        <w:spacing w:before="156" w:beforeLines="50" w:after="50"/>
        <w:jc w:val="left"/>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附件9</w:t>
      </w:r>
      <w:r>
        <w:rPr>
          <w:rFonts w:hint="eastAsia" w:ascii="宋体" w:hAnsi="宋体" w:eastAsia="宋体" w:cs="宋体"/>
          <w:b/>
          <w:color w:val="auto"/>
          <w:sz w:val="30"/>
          <w:szCs w:val="30"/>
          <w:highlight w:val="none"/>
        </w:rPr>
        <w:t>：商务和技术文件封面</w:t>
      </w:r>
    </w:p>
    <w:p>
      <w:pPr>
        <w:shd w:val="clear"/>
        <w:snapToGrid w:val="0"/>
        <w:spacing w:before="156" w:beforeLines="50" w:after="50"/>
        <w:jc w:val="center"/>
        <w:rPr>
          <w:rFonts w:hint="eastAsia" w:ascii="宋体" w:hAnsi="宋体" w:eastAsia="宋体" w:cs="宋体"/>
          <w:b/>
          <w:color w:val="auto"/>
          <w:sz w:val="30"/>
          <w:szCs w:val="30"/>
          <w:highlight w:val="none"/>
        </w:rPr>
      </w:pPr>
    </w:p>
    <w:p>
      <w:pPr>
        <w:shd w:val="clear"/>
        <w:snapToGrid w:val="0"/>
        <w:spacing w:before="156" w:beforeLines="50" w:after="50"/>
        <w:jc w:val="right"/>
        <w:rPr>
          <w:rFonts w:hint="eastAsia" w:ascii="宋体" w:hAnsi="宋体" w:eastAsia="宋体" w:cs="宋体"/>
          <w:bCs/>
          <w:color w:val="auto"/>
          <w:sz w:val="30"/>
          <w:szCs w:val="30"/>
          <w:highlight w:val="none"/>
        </w:rPr>
      </w:pPr>
    </w:p>
    <w:p>
      <w:pPr>
        <w:shd w:val="clea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项目名称：</w:t>
      </w:r>
    </w:p>
    <w:p>
      <w:pPr>
        <w:shd w:val="clear"/>
        <w:spacing w:before="312" w:beforeLines="100" w:line="40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项目编号：</w:t>
      </w:r>
    </w:p>
    <w:p>
      <w:pPr>
        <w:shd w:val="clear"/>
        <w:spacing w:before="312" w:beforeLines="100"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标项：</w:t>
      </w: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商</w:t>
      </w: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务</w:t>
      </w: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和</w:t>
      </w: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技</w:t>
      </w: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术</w:t>
      </w: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pPr>
        <w:shd w:val="clear"/>
        <w:spacing w:line="500" w:lineRule="exact"/>
        <w:ind w:right="7"/>
        <w:jc w:val="center"/>
        <w:rPr>
          <w:rFonts w:hint="eastAsia" w:ascii="宋体" w:hAnsi="宋体" w:eastAsia="宋体" w:cs="宋体"/>
          <w:color w:val="auto"/>
          <w:sz w:val="36"/>
          <w:szCs w:val="36"/>
          <w:highlight w:val="none"/>
        </w:rPr>
      </w:pPr>
    </w:p>
    <w:p>
      <w:pPr>
        <w:shd w:val="clea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投标人名称（盖章）：</w:t>
      </w:r>
    </w:p>
    <w:p>
      <w:pPr>
        <w:shd w:val="clea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地    址：</w:t>
      </w:r>
    </w:p>
    <w:p>
      <w:pPr>
        <w:shd w:val="clea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日期：</w:t>
      </w:r>
    </w:p>
    <w:p>
      <w:pPr>
        <w:shd w:val="clea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附件10：商务和技术文件目录</w:t>
      </w:r>
    </w:p>
    <w:p>
      <w:pPr>
        <w:shd w:val="clear"/>
        <w:snapToGrid w:val="0"/>
        <w:spacing w:before="156" w:beforeLines="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目 录</w:t>
      </w:r>
    </w:p>
    <w:p>
      <w:pPr>
        <w:pStyle w:val="40"/>
        <w:shd w:val="clear"/>
        <w:spacing w:line="360" w:lineRule="auto"/>
        <w:ind w:firstLine="0" w:firstLineChars="0"/>
        <w:jc w:val="left"/>
        <w:rPr>
          <w:rFonts w:hint="eastAsia" w:ascii="宋体" w:hAnsi="宋体" w:eastAsia="宋体" w:cs="宋体"/>
          <w:color w:val="auto"/>
          <w:highlight w:val="none"/>
        </w:rPr>
      </w:pPr>
      <w:bookmarkStart w:id="47" w:name="_Toc64369789"/>
      <w:r>
        <w:rPr>
          <w:rFonts w:hint="eastAsia" w:ascii="宋体" w:hAnsi="宋体" w:eastAsia="宋体" w:cs="宋体"/>
          <w:color w:val="auto"/>
          <w:highlight w:val="none"/>
        </w:rPr>
        <w:t>1.项目明细清单……………………………………………………</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47"/>
    </w:p>
    <w:p>
      <w:pPr>
        <w:pStyle w:val="40"/>
        <w:shd w:val="clear"/>
        <w:spacing w:line="360" w:lineRule="auto"/>
        <w:ind w:firstLine="0" w:firstLineChars="0"/>
        <w:jc w:val="left"/>
        <w:rPr>
          <w:rFonts w:hint="eastAsia" w:ascii="宋体" w:hAnsi="宋体" w:eastAsia="宋体" w:cs="宋体"/>
          <w:color w:val="auto"/>
          <w:highlight w:val="none"/>
        </w:rPr>
      </w:pPr>
      <w:bookmarkStart w:id="48" w:name="_Toc64369790"/>
      <w:r>
        <w:rPr>
          <w:rFonts w:hint="eastAsia" w:ascii="宋体" w:hAnsi="宋体" w:eastAsia="宋体" w:cs="宋体"/>
          <w:color w:val="auto"/>
          <w:highlight w:val="none"/>
        </w:rPr>
        <w:t>2.技术响应表…………………………………………………………………（页码）</w:t>
      </w:r>
      <w:bookmarkEnd w:id="48"/>
    </w:p>
    <w:p>
      <w:pPr>
        <w:pStyle w:val="40"/>
        <w:shd w:val="clear"/>
        <w:spacing w:line="360" w:lineRule="auto"/>
        <w:ind w:firstLine="0" w:firstLineChars="0"/>
        <w:jc w:val="left"/>
        <w:rPr>
          <w:rFonts w:hint="eastAsia" w:ascii="宋体" w:hAnsi="宋体" w:eastAsia="宋体" w:cs="宋体"/>
          <w:color w:val="auto"/>
          <w:highlight w:val="none"/>
        </w:rPr>
      </w:pPr>
      <w:bookmarkStart w:id="49" w:name="_Toc64369791"/>
      <w:r>
        <w:rPr>
          <w:rFonts w:hint="eastAsia" w:ascii="宋体" w:hAnsi="宋体" w:eastAsia="宋体" w:cs="宋体"/>
          <w:color w:val="auto"/>
          <w:highlight w:val="none"/>
        </w:rPr>
        <w:t>3.商务响应表…………………………………………………………………（页码）</w:t>
      </w:r>
      <w:bookmarkEnd w:id="49"/>
    </w:p>
    <w:p>
      <w:pPr>
        <w:pStyle w:val="40"/>
        <w:shd w:val="clear"/>
        <w:spacing w:line="360" w:lineRule="auto"/>
        <w:ind w:firstLine="0" w:firstLineChars="0"/>
        <w:jc w:val="left"/>
        <w:rPr>
          <w:rFonts w:hint="eastAsia" w:ascii="宋体" w:hAnsi="宋体" w:eastAsia="宋体" w:cs="宋体"/>
          <w:color w:val="auto"/>
          <w:highlight w:val="none"/>
        </w:rPr>
      </w:pPr>
      <w:bookmarkStart w:id="50" w:name="_Toc64369792"/>
      <w:r>
        <w:rPr>
          <w:rFonts w:hint="eastAsia" w:ascii="宋体" w:hAnsi="宋体" w:eastAsia="宋体" w:cs="宋体"/>
          <w:color w:val="auto"/>
          <w:highlight w:val="none"/>
        </w:rPr>
        <w:t>4.项目实施方案……………………………………………………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0"/>
    </w:p>
    <w:p>
      <w:pPr>
        <w:pStyle w:val="40"/>
        <w:shd w:val="clear"/>
        <w:spacing w:line="360" w:lineRule="auto"/>
        <w:ind w:firstLine="0" w:firstLineChars="0"/>
        <w:jc w:val="left"/>
        <w:rPr>
          <w:rFonts w:hint="eastAsia" w:ascii="宋体" w:hAnsi="宋体" w:eastAsia="宋体" w:cs="宋体"/>
          <w:color w:val="auto"/>
          <w:highlight w:val="none"/>
        </w:rPr>
      </w:pPr>
      <w:bookmarkStart w:id="51" w:name="_Toc64369793"/>
      <w:r>
        <w:rPr>
          <w:rFonts w:hint="eastAsia" w:ascii="宋体" w:hAnsi="宋体" w:eastAsia="宋体" w:cs="宋体"/>
          <w:color w:val="auto"/>
          <w:highlight w:val="none"/>
        </w:rPr>
        <w:t>5.项目实施人员清单………………………………………………</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1"/>
    </w:p>
    <w:p>
      <w:pPr>
        <w:pStyle w:val="40"/>
        <w:shd w:val="clear"/>
        <w:spacing w:line="360" w:lineRule="auto"/>
        <w:ind w:firstLine="0" w:firstLineChars="0"/>
        <w:jc w:val="left"/>
        <w:rPr>
          <w:rFonts w:hint="eastAsia" w:ascii="宋体" w:hAnsi="宋体" w:eastAsia="宋体" w:cs="宋体"/>
          <w:color w:val="auto"/>
          <w:highlight w:val="none"/>
        </w:rPr>
      </w:pPr>
      <w:bookmarkStart w:id="52" w:name="_Toc64369796"/>
      <w:r>
        <w:rPr>
          <w:rFonts w:hint="eastAsia" w:ascii="宋体" w:hAnsi="宋体" w:eastAsia="宋体" w:cs="宋体"/>
          <w:color w:val="auto"/>
          <w:highlight w:val="none"/>
        </w:rPr>
        <w:t>6.类似业绩一览表（附业绩证明材料）</w:t>
      </w:r>
      <w:r>
        <w:rPr>
          <w:rFonts w:hint="eastAsia" w:ascii="宋体" w:hAnsi="宋体" w:eastAsia="宋体" w:cs="宋体"/>
          <w:color w:val="auto"/>
          <w:szCs w:val="20"/>
          <w:highlight w:val="none"/>
        </w:rPr>
        <w:t>（如有）</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2"/>
    </w:p>
    <w:p>
      <w:pPr>
        <w:pStyle w:val="38"/>
        <w:numPr>
          <w:ilvl w:val="0"/>
          <w:numId w:val="0"/>
        </w:numPr>
        <w:shd w:val="clear"/>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7.享受政府采购政策性规定情况表（如有）……………………………………（页码）</w:t>
      </w:r>
    </w:p>
    <w:p>
      <w:pPr>
        <w:pStyle w:val="40"/>
        <w:shd w:val="clear"/>
        <w:spacing w:line="360" w:lineRule="auto"/>
        <w:ind w:firstLine="0" w:firstLineChars="0"/>
        <w:jc w:val="left"/>
        <w:rPr>
          <w:rFonts w:hint="eastAsia" w:ascii="宋体" w:hAnsi="宋体" w:eastAsia="宋体" w:cs="宋体"/>
          <w:color w:val="auto"/>
          <w:highlight w:val="none"/>
        </w:rPr>
      </w:pPr>
      <w:bookmarkStart w:id="53" w:name="_Toc64369797"/>
      <w:r>
        <w:rPr>
          <w:rFonts w:hint="eastAsia" w:ascii="宋体" w:hAnsi="宋体" w:eastAsia="宋体" w:cs="宋体"/>
          <w:color w:val="auto"/>
          <w:highlight w:val="none"/>
          <w:lang w:val="zh-CN"/>
        </w:rPr>
        <w:t>8.优惠条件及其他额外承诺………………………………</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3"/>
    </w:p>
    <w:p>
      <w:pPr>
        <w:pStyle w:val="40"/>
        <w:shd w:val="clear"/>
        <w:spacing w:line="360" w:lineRule="auto"/>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w:t>
      </w:r>
      <w:r>
        <w:rPr>
          <w:rFonts w:hint="eastAsia" w:ascii="宋体" w:hAnsi="宋体" w:eastAsia="宋体" w:cs="宋体"/>
          <w:bCs/>
          <w:color w:val="auto"/>
          <w:sz w:val="24"/>
          <w:szCs w:val="24"/>
          <w:highlight w:val="none"/>
          <w:lang w:val="zh-CN"/>
        </w:rPr>
        <w:t>评分细则中要求提供的其他资料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40"/>
        <w:shd w:val="clear"/>
        <w:spacing w:line="360" w:lineRule="auto"/>
        <w:ind w:firstLine="0" w:firstLineChars="0"/>
        <w:jc w:val="left"/>
        <w:rPr>
          <w:rFonts w:hint="eastAsia" w:ascii="宋体" w:hAnsi="宋体" w:eastAsia="宋体" w:cs="宋体"/>
          <w:color w:val="auto"/>
          <w:highlight w:val="none"/>
        </w:rPr>
      </w:pPr>
      <w:bookmarkStart w:id="54" w:name="_Toc64369798"/>
      <w:r>
        <w:rPr>
          <w:rFonts w:hint="eastAsia" w:ascii="宋体" w:hAnsi="宋体" w:eastAsia="宋体" w:cs="宋体"/>
          <w:color w:val="auto"/>
          <w:highlight w:val="none"/>
          <w:lang w:val="zh-CN"/>
        </w:rPr>
        <w:t>10.其他商务技术（资信）文件或说明……………………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4"/>
    </w:p>
    <w:p>
      <w:pPr>
        <w:pStyle w:val="38"/>
        <w:numPr>
          <w:ilvl w:val="0"/>
          <w:numId w:val="0"/>
        </w:numPr>
        <w:shd w:val="clear"/>
        <w:spacing w:line="240" w:lineRule="auto"/>
        <w:ind w:left="0" w:firstLine="0"/>
        <w:rPr>
          <w:rFonts w:hint="eastAsia" w:ascii="宋体" w:hAnsi="宋体" w:eastAsia="宋体" w:cs="宋体"/>
          <w:color w:val="auto"/>
          <w:highlight w:val="none"/>
        </w:rPr>
      </w:pPr>
    </w:p>
    <w:p>
      <w:pPr>
        <w:shd w:val="clea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注：以上文件投标供应商可以在本采购文件提供的格式范本基础上适当微调，使得内容更加完备。制作加密电子投标文件时做好关联点设置。</w:t>
      </w: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pStyle w:val="35"/>
        <w:shd w:val="clear"/>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附件11：项目明细清单</w:t>
      </w:r>
    </w:p>
    <w:p>
      <w:pPr>
        <w:shd w:val="clear"/>
        <w:snapToGrid w:val="0"/>
        <w:spacing w:before="50" w:after="156" w:afterLines="50"/>
        <w:jc w:val="center"/>
        <w:rPr>
          <w:rFonts w:hint="eastAsia" w:ascii="宋体" w:hAnsi="宋体" w:eastAsia="宋体" w:cs="宋体"/>
          <w:b/>
          <w:color w:val="auto"/>
          <w:spacing w:val="40"/>
          <w:kern w:val="0"/>
          <w:sz w:val="36"/>
          <w:szCs w:val="36"/>
          <w:highlight w:val="none"/>
        </w:rPr>
      </w:pPr>
      <w:r>
        <w:rPr>
          <w:rFonts w:hint="eastAsia" w:ascii="宋体" w:hAnsi="宋体" w:eastAsia="宋体" w:cs="宋体"/>
          <w:b/>
          <w:color w:val="auto"/>
          <w:spacing w:val="40"/>
          <w:kern w:val="0"/>
          <w:sz w:val="36"/>
          <w:szCs w:val="36"/>
          <w:highlight w:val="none"/>
        </w:rPr>
        <w:t>项目明细清单</w:t>
      </w:r>
    </w:p>
    <w:p>
      <w:pPr>
        <w:shd w:val="clear"/>
        <w:snapToGrid w:val="0"/>
        <w:spacing w:before="50" w:after="156" w:afterLines="50"/>
        <w:jc w:val="center"/>
        <w:rPr>
          <w:rFonts w:hint="eastAsia" w:ascii="宋体" w:hAnsi="宋体" w:eastAsia="宋体" w:cs="宋体"/>
          <w:b/>
          <w:color w:val="auto"/>
          <w:spacing w:val="40"/>
          <w:kern w:val="0"/>
          <w:sz w:val="36"/>
          <w:szCs w:val="36"/>
          <w:highlight w:val="none"/>
        </w:rPr>
      </w:pPr>
    </w:p>
    <w:p>
      <w:pPr>
        <w:pStyle w:val="10"/>
        <w:shd w:val="clear"/>
        <w:snapToGrid w:val="0"/>
        <w:rPr>
          <w:rFonts w:hint="eastAsia" w:ascii="宋体" w:hAnsi="宋体" w:eastAsia="宋体" w:cs="宋体"/>
          <w:color w:val="auto"/>
          <w:kern w:val="0"/>
          <w:sz w:val="30"/>
          <w:szCs w:val="30"/>
          <w:highlight w:val="none"/>
          <w:u w:val="single"/>
        </w:rPr>
      </w:pPr>
      <w:r>
        <w:rPr>
          <w:rFonts w:hint="eastAsia" w:ascii="宋体" w:hAnsi="宋体" w:eastAsia="宋体" w:cs="宋体"/>
          <w:color w:val="auto"/>
          <w:sz w:val="30"/>
          <w:szCs w:val="30"/>
          <w:highlight w:val="none"/>
        </w:rPr>
        <w:t>投标人全称（公章）：</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标项：</w:t>
      </w:r>
      <w:r>
        <w:rPr>
          <w:rFonts w:hint="eastAsia" w:ascii="宋体" w:hAnsi="宋体" w:eastAsia="宋体" w:cs="宋体"/>
          <w:color w:val="auto"/>
          <w:sz w:val="30"/>
          <w:szCs w:val="30"/>
          <w:highlight w:val="none"/>
          <w:u w:val="single"/>
        </w:rPr>
        <w:t xml:space="preserve">    </w:t>
      </w:r>
    </w:p>
    <w:p>
      <w:pPr>
        <w:shd w:val="clea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服务人员</w:t>
            </w:r>
          </w:p>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ind w:left="480" w:hanging="480"/>
              <w:jc w:val="center"/>
              <w:rPr>
                <w:rFonts w:hint="eastAsia" w:ascii="宋体" w:hAnsi="宋体" w:eastAsia="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ind w:left="480" w:hanging="480"/>
              <w:jc w:val="center"/>
              <w:rPr>
                <w:rFonts w:hint="eastAsia" w:ascii="宋体" w:hAnsi="宋体" w:eastAsia="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ind w:left="480" w:hanging="480"/>
              <w:jc w:val="center"/>
              <w:rPr>
                <w:rFonts w:hint="eastAsia" w:ascii="宋体" w:hAnsi="宋体" w:eastAsia="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r>
    </w:tbl>
    <w:p>
      <w:pPr>
        <w:pStyle w:val="10"/>
        <w:shd w:val="clear"/>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规格</w:t>
            </w:r>
          </w:p>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单位及</w:t>
            </w:r>
          </w:p>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ind w:left="480" w:hanging="480"/>
              <w:jc w:val="center"/>
              <w:rPr>
                <w:rFonts w:hint="eastAsia" w:ascii="宋体" w:hAnsi="宋体" w:eastAsia="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ind w:left="480" w:hanging="480"/>
              <w:jc w:val="center"/>
              <w:rPr>
                <w:rFonts w:hint="eastAsia" w:ascii="宋体" w:hAnsi="宋体" w:eastAsia="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ind w:left="480" w:hanging="480"/>
              <w:jc w:val="center"/>
              <w:rPr>
                <w:rFonts w:hint="eastAsia" w:ascii="宋体" w:hAnsi="宋体" w:eastAsia="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z w:val="30"/>
                <w:szCs w:val="30"/>
                <w:highlight w:val="none"/>
              </w:rPr>
            </w:pPr>
          </w:p>
        </w:tc>
      </w:tr>
    </w:tbl>
    <w:p>
      <w:pPr>
        <w:shd w:val="clea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注：在填写时，如上表不适合本项目的实际情况，可在确保内容完整的情况下，对上表进行细化。</w:t>
      </w:r>
    </w:p>
    <w:p>
      <w:pPr>
        <w:shd w:val="clear"/>
        <w:snapToGrid w:val="0"/>
        <w:spacing w:before="156" w:beforeLines="50"/>
        <w:rPr>
          <w:rFonts w:hint="eastAsia" w:ascii="宋体" w:hAnsi="宋体" w:eastAsia="宋体" w:cs="宋体"/>
          <w:color w:val="auto"/>
          <w:sz w:val="30"/>
          <w:szCs w:val="30"/>
          <w:highlight w:val="none"/>
        </w:rPr>
      </w:pPr>
    </w:p>
    <w:p>
      <w:pPr>
        <w:shd w:val="clea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法定代表人或其授权代表（签字或盖章）：          </w:t>
      </w:r>
    </w:p>
    <w:p>
      <w:pPr>
        <w:shd w:val="clea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日期： </w:t>
      </w:r>
    </w:p>
    <w:p>
      <w:pPr>
        <w:shd w:val="clear"/>
        <w:snapToGrid w:val="0"/>
        <w:spacing w:before="50" w:after="50"/>
        <w:rPr>
          <w:rFonts w:hint="eastAsia" w:ascii="宋体" w:hAnsi="宋体" w:eastAsia="宋体" w:cs="宋体"/>
          <w:color w:val="auto"/>
          <w:spacing w:val="20"/>
          <w:sz w:val="30"/>
          <w:szCs w:val="30"/>
          <w:highlight w:val="none"/>
        </w:rPr>
      </w:pPr>
    </w:p>
    <w:p>
      <w:pPr>
        <w:shd w:val="clear"/>
        <w:snapToGrid w:val="0"/>
        <w:spacing w:before="50" w:after="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附件12：技术响应表</w:t>
      </w:r>
    </w:p>
    <w:p>
      <w:pPr>
        <w:shd w:val="clear"/>
        <w:snapToGrid w:val="0"/>
        <w:spacing w:before="50" w:after="50"/>
        <w:rPr>
          <w:rFonts w:hint="eastAsia" w:ascii="宋体" w:hAnsi="宋体" w:eastAsia="宋体" w:cs="宋体"/>
          <w:b/>
          <w:bCs/>
          <w:color w:val="auto"/>
          <w:sz w:val="30"/>
          <w:szCs w:val="30"/>
          <w:highlight w:val="none"/>
        </w:rPr>
      </w:pPr>
    </w:p>
    <w:p>
      <w:pPr>
        <w:shd w:val="clear"/>
        <w:snapToGrid w:val="0"/>
        <w:spacing w:before="50" w:after="156" w:afterLines="50"/>
        <w:jc w:val="center"/>
        <w:rPr>
          <w:rFonts w:hint="eastAsia" w:ascii="宋体" w:hAnsi="宋体" w:eastAsia="宋体" w:cs="宋体"/>
          <w:b/>
          <w:color w:val="auto"/>
          <w:spacing w:val="40"/>
          <w:kern w:val="0"/>
          <w:sz w:val="36"/>
          <w:szCs w:val="36"/>
          <w:highlight w:val="none"/>
        </w:rPr>
      </w:pPr>
      <w:r>
        <w:rPr>
          <w:rFonts w:hint="eastAsia" w:ascii="宋体" w:hAnsi="宋体" w:eastAsia="宋体" w:cs="宋体"/>
          <w:b/>
          <w:color w:val="auto"/>
          <w:spacing w:val="40"/>
          <w:kern w:val="0"/>
          <w:sz w:val="36"/>
          <w:szCs w:val="36"/>
          <w:highlight w:val="none"/>
        </w:rPr>
        <w:t>技 术 响 应 表</w:t>
      </w:r>
    </w:p>
    <w:p>
      <w:pPr>
        <w:shd w:val="clear"/>
        <w:snapToGrid w:val="0"/>
        <w:spacing w:before="50" w:after="156" w:afterLines="50"/>
        <w:jc w:val="center"/>
        <w:rPr>
          <w:rFonts w:hint="eastAsia" w:ascii="宋体" w:hAnsi="宋体" w:eastAsia="宋体" w:cs="宋体"/>
          <w:b/>
          <w:color w:val="auto"/>
          <w:spacing w:val="40"/>
          <w:kern w:val="0"/>
          <w:sz w:val="36"/>
          <w:szCs w:val="36"/>
          <w:highlight w:val="none"/>
        </w:rPr>
      </w:pPr>
    </w:p>
    <w:p>
      <w:pPr>
        <w:pStyle w:val="10"/>
        <w:shd w:val="clear"/>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投标人全称（公章）：</w:t>
      </w:r>
      <w:r>
        <w:rPr>
          <w:rFonts w:hint="eastAsia" w:ascii="宋体" w:hAnsi="宋体" w:eastAsia="宋体" w:cs="宋体"/>
          <w:color w:val="auto"/>
          <w:sz w:val="30"/>
          <w:szCs w:val="30"/>
          <w:highlight w:val="none"/>
          <w:u w:val="single"/>
        </w:rPr>
        <w:t xml:space="preserve">            </w:t>
      </w:r>
    </w:p>
    <w:p>
      <w:pPr>
        <w:pStyle w:val="10"/>
        <w:shd w:val="clear"/>
        <w:snapToGrid w:val="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标项：</w:t>
      </w:r>
      <w:r>
        <w:rPr>
          <w:rFonts w:hint="eastAsia" w:ascii="宋体" w:hAnsi="宋体" w:eastAsia="宋体" w:cs="宋体"/>
          <w:color w:val="auto"/>
          <w:sz w:val="30"/>
          <w:szCs w:val="30"/>
          <w:highlight w:val="none"/>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bookmarkStart w:id="55" w:name="_Toc64369807"/>
            <w:r>
              <w:rPr>
                <w:rFonts w:hint="eastAsia" w:ascii="宋体" w:hAnsi="宋体" w:eastAsia="宋体" w:cs="宋体"/>
                <w:color w:val="auto"/>
                <w:spacing w:val="20"/>
                <w:sz w:val="24"/>
                <w:szCs w:val="24"/>
                <w:highlight w:val="none"/>
              </w:rPr>
              <w:t>服务部分</w:t>
            </w:r>
            <w:bookmarkEnd w:id="5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pacing w:val="20"/>
                <w:sz w:val="24"/>
                <w:szCs w:val="24"/>
                <w:highlight w:val="none"/>
              </w:rPr>
            </w:pPr>
            <w:bookmarkStart w:id="56" w:name="_Toc64369800"/>
            <w:r>
              <w:rPr>
                <w:rFonts w:hint="eastAsia" w:ascii="宋体" w:hAnsi="宋体" w:eastAsia="宋体" w:cs="宋体"/>
                <w:color w:val="auto"/>
                <w:spacing w:val="20"/>
                <w:sz w:val="24"/>
                <w:szCs w:val="24"/>
                <w:highlight w:val="none"/>
              </w:rPr>
              <w:t>序号</w:t>
            </w:r>
            <w:bookmarkEnd w:id="56"/>
          </w:p>
        </w:tc>
        <w:tc>
          <w:tcPr>
            <w:tcW w:w="1861"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pacing w:val="20"/>
                <w:sz w:val="24"/>
                <w:szCs w:val="24"/>
                <w:highlight w:val="none"/>
              </w:rPr>
            </w:pPr>
            <w:bookmarkStart w:id="57" w:name="_Toc64369801"/>
            <w:bookmarkStart w:id="58" w:name="_Toc64369802"/>
            <w:r>
              <w:rPr>
                <w:rFonts w:hint="eastAsia" w:ascii="宋体" w:hAnsi="宋体" w:eastAsia="宋体" w:cs="宋体"/>
                <w:color w:val="auto"/>
                <w:spacing w:val="20"/>
                <w:sz w:val="24"/>
                <w:szCs w:val="24"/>
                <w:highlight w:val="none"/>
              </w:rPr>
              <w:t>采购文件</w:t>
            </w:r>
          </w:p>
          <w:p>
            <w:pPr>
              <w:shd w:val="clea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要求</w:t>
            </w:r>
            <w:bookmarkEnd w:id="57"/>
          </w:p>
        </w:tc>
        <w:tc>
          <w:tcPr>
            <w:tcW w:w="2105"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投标文件</w:t>
            </w:r>
          </w:p>
          <w:p>
            <w:pPr>
              <w:shd w:val="clea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响应</w:t>
            </w:r>
            <w:bookmarkEnd w:id="58"/>
          </w:p>
        </w:tc>
        <w:tc>
          <w:tcPr>
            <w:tcW w:w="1396"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pacing w:val="20"/>
                <w:sz w:val="24"/>
                <w:szCs w:val="24"/>
                <w:highlight w:val="none"/>
              </w:rPr>
            </w:pPr>
            <w:bookmarkStart w:id="59" w:name="_Toc64369803"/>
            <w:r>
              <w:rPr>
                <w:rFonts w:hint="eastAsia" w:ascii="宋体" w:hAnsi="宋体" w:eastAsia="宋体" w:cs="宋体"/>
                <w:color w:val="auto"/>
                <w:spacing w:val="20"/>
                <w:sz w:val="24"/>
                <w:szCs w:val="24"/>
                <w:highlight w:val="none"/>
              </w:rPr>
              <w:t>偏离</w:t>
            </w:r>
          </w:p>
          <w:p>
            <w:pPr>
              <w:shd w:val="clea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情况</w:t>
            </w:r>
            <w:bookmarkEnd w:id="5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bookmarkStart w:id="60" w:name="_Toc64369804"/>
            <w:r>
              <w:rPr>
                <w:rFonts w:hint="eastAsia" w:ascii="宋体" w:hAnsi="宋体" w:eastAsia="宋体" w:cs="宋体"/>
                <w:color w:val="auto"/>
                <w:spacing w:val="20"/>
                <w:sz w:val="24"/>
                <w:szCs w:val="24"/>
                <w:highlight w:val="none"/>
              </w:rPr>
              <w:t>1</w:t>
            </w:r>
            <w:bookmarkEnd w:id="60"/>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bookmarkStart w:id="61" w:name="_Toc64369805"/>
            <w:r>
              <w:rPr>
                <w:rFonts w:hint="eastAsia" w:ascii="宋体" w:hAnsi="宋体" w:eastAsia="宋体" w:cs="宋体"/>
                <w:color w:val="auto"/>
                <w:spacing w:val="20"/>
                <w:sz w:val="24"/>
                <w:szCs w:val="24"/>
                <w:highlight w:val="none"/>
              </w:rPr>
              <w:t>2</w:t>
            </w:r>
            <w:bookmarkEnd w:id="61"/>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hd w:val="clear"/>
              <w:rPr>
                <w:rFonts w:hint="eastAsia" w:ascii="宋体" w:hAnsi="宋体" w:eastAsia="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bookmarkStart w:id="62" w:name="_Toc64369806"/>
            <w:bookmarkEnd w:id="62"/>
            <w:r>
              <w:rPr>
                <w:rFonts w:hint="eastAsia" w:ascii="宋体" w:hAnsi="宋体" w:eastAsia="宋体" w:cs="宋体"/>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hd w:val="clear"/>
              <w:rPr>
                <w:rFonts w:hint="eastAsia" w:ascii="宋体" w:hAnsi="宋体" w:eastAsia="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bookmarkStart w:id="63" w:name="_Toc64369799"/>
            <w:r>
              <w:rPr>
                <w:rFonts w:hint="eastAsia" w:ascii="宋体" w:hAnsi="宋体" w:eastAsia="宋体" w:cs="宋体"/>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hd w:val="clear"/>
              <w:rPr>
                <w:rFonts w:hint="eastAsia" w:ascii="宋体" w:hAnsi="宋体" w:eastAsia="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hd w:val="clear"/>
              <w:rPr>
                <w:rFonts w:hint="eastAsia" w:ascii="宋体" w:hAnsi="宋体" w:eastAsia="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货物部分</w:t>
            </w:r>
            <w:bookmarkEnd w:id="63"/>
            <w:r>
              <w:rPr>
                <w:rFonts w:hint="eastAsia" w:ascii="宋体" w:hAnsi="宋体" w:eastAsia="宋体" w:cs="宋体"/>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pacing w:val="20"/>
                <w:sz w:val="24"/>
                <w:szCs w:val="24"/>
                <w:highlight w:val="none"/>
              </w:rPr>
            </w:pPr>
            <w:bookmarkStart w:id="64" w:name="_Toc64369808"/>
            <w:r>
              <w:rPr>
                <w:rFonts w:hint="eastAsia" w:ascii="宋体" w:hAnsi="宋体" w:eastAsia="宋体" w:cs="宋体"/>
                <w:color w:val="auto"/>
                <w:spacing w:val="20"/>
                <w:sz w:val="24"/>
                <w:szCs w:val="24"/>
                <w:highlight w:val="none"/>
              </w:rPr>
              <w:t>序号</w:t>
            </w:r>
            <w:bookmarkEnd w:id="64"/>
          </w:p>
        </w:tc>
        <w:tc>
          <w:tcPr>
            <w:tcW w:w="1861"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pacing w:val="20"/>
                <w:sz w:val="24"/>
                <w:szCs w:val="24"/>
                <w:highlight w:val="none"/>
              </w:rPr>
            </w:pPr>
            <w:bookmarkStart w:id="65" w:name="_Toc64369809"/>
            <w:bookmarkStart w:id="66" w:name="_Toc64369810"/>
            <w:r>
              <w:rPr>
                <w:rFonts w:hint="eastAsia" w:ascii="宋体" w:hAnsi="宋体" w:eastAsia="宋体" w:cs="宋体"/>
                <w:color w:val="auto"/>
                <w:spacing w:val="20"/>
                <w:sz w:val="24"/>
                <w:szCs w:val="24"/>
                <w:highlight w:val="none"/>
              </w:rPr>
              <w:t>采购文件</w:t>
            </w:r>
          </w:p>
          <w:p>
            <w:pPr>
              <w:shd w:val="clea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要求</w:t>
            </w:r>
            <w:bookmarkEnd w:id="65"/>
          </w:p>
        </w:tc>
        <w:tc>
          <w:tcPr>
            <w:tcW w:w="2105"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投标文件</w:t>
            </w:r>
          </w:p>
          <w:p>
            <w:pPr>
              <w:shd w:val="clea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响应</w:t>
            </w:r>
            <w:bookmarkEnd w:id="66"/>
          </w:p>
        </w:tc>
        <w:tc>
          <w:tcPr>
            <w:tcW w:w="1396"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jc w:val="center"/>
              <w:rPr>
                <w:rFonts w:hint="eastAsia" w:ascii="宋体" w:hAnsi="宋体" w:eastAsia="宋体" w:cs="宋体"/>
                <w:color w:val="auto"/>
                <w:spacing w:val="20"/>
                <w:sz w:val="24"/>
                <w:szCs w:val="24"/>
                <w:highlight w:val="none"/>
              </w:rPr>
            </w:pPr>
            <w:bookmarkStart w:id="67" w:name="_Toc64369811"/>
            <w:r>
              <w:rPr>
                <w:rFonts w:hint="eastAsia" w:ascii="宋体" w:hAnsi="宋体" w:eastAsia="宋体" w:cs="宋体"/>
                <w:color w:val="auto"/>
                <w:spacing w:val="20"/>
                <w:sz w:val="24"/>
                <w:szCs w:val="24"/>
                <w:highlight w:val="none"/>
              </w:rPr>
              <w:t>偏离</w:t>
            </w:r>
          </w:p>
          <w:p>
            <w:pPr>
              <w:shd w:val="clea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情况</w:t>
            </w:r>
            <w:bookmarkEnd w:id="6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bookmarkStart w:id="68" w:name="_Toc64369814"/>
            <w:r>
              <w:rPr>
                <w:rFonts w:hint="eastAsia" w:ascii="宋体" w:hAnsi="宋体" w:eastAsia="宋体" w:cs="宋体"/>
                <w:color w:val="auto"/>
                <w:spacing w:val="20"/>
                <w:sz w:val="24"/>
                <w:szCs w:val="24"/>
                <w:highlight w:val="none"/>
              </w:rPr>
              <w:t>…</w:t>
            </w:r>
            <w:bookmarkEnd w:id="68"/>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hd w:val="clear"/>
              <w:snapToGrid w:val="0"/>
              <w:spacing w:before="50" w:after="50"/>
              <w:rPr>
                <w:rFonts w:hint="eastAsia" w:ascii="宋体" w:hAnsi="宋体" w:eastAsia="宋体" w:cs="宋体"/>
                <w:color w:val="auto"/>
                <w:spacing w:val="20"/>
                <w:sz w:val="24"/>
                <w:szCs w:val="24"/>
                <w:highlight w:val="none"/>
              </w:rPr>
            </w:pPr>
          </w:p>
        </w:tc>
      </w:tr>
    </w:tbl>
    <w:p>
      <w:pPr>
        <w:pStyle w:val="12"/>
        <w:shd w:val="clear"/>
        <w:rPr>
          <w:rFonts w:hint="eastAsia" w:ascii="宋体" w:hAnsi="宋体" w:eastAsia="宋体" w:cs="宋体"/>
          <w:b w:val="0"/>
          <w:bCs w:val="0"/>
          <w:color w:val="auto"/>
          <w:spacing w:val="20"/>
          <w:kern w:val="0"/>
          <w:szCs w:val="24"/>
          <w:highlight w:val="none"/>
        </w:rPr>
      </w:pPr>
      <w:r>
        <w:rPr>
          <w:rFonts w:hint="eastAsia" w:ascii="宋体" w:hAnsi="宋体" w:eastAsia="宋体" w:cs="宋体"/>
          <w:b w:val="0"/>
          <w:bCs w:val="0"/>
          <w:color w:val="auto"/>
          <w:szCs w:val="24"/>
          <w:highlight w:val="none"/>
        </w:rPr>
        <w:t>注：1、投标人应对照采购文件要求和投标文件响应情况在“偏离情况”栏注明“正偏离”、“负偏离”或“无偏离”。若正偏离的，需详细说明或提供证明材料。</w:t>
      </w:r>
    </w:p>
    <w:p>
      <w:pPr>
        <w:shd w:val="clea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2、“采购文件要求”一列按采购需求中的“服务清单及要求”填写。</w:t>
      </w:r>
    </w:p>
    <w:p>
      <w:pPr>
        <w:shd w:val="clear"/>
        <w:snapToGrid w:val="0"/>
        <w:spacing w:before="50" w:after="50"/>
        <w:rPr>
          <w:rFonts w:hint="eastAsia" w:ascii="宋体" w:hAnsi="宋体" w:eastAsia="宋体" w:cs="宋体"/>
          <w:color w:val="auto"/>
          <w:spacing w:val="20"/>
          <w:sz w:val="30"/>
          <w:szCs w:val="30"/>
          <w:highlight w:val="none"/>
        </w:rPr>
      </w:pPr>
    </w:p>
    <w:p>
      <w:pPr>
        <w:shd w:val="clear"/>
        <w:snapToGrid w:val="0"/>
        <w:spacing w:before="50" w:after="50"/>
        <w:rPr>
          <w:rFonts w:hint="eastAsia" w:ascii="宋体" w:hAnsi="宋体" w:eastAsia="宋体" w:cs="宋体"/>
          <w:color w:val="auto"/>
          <w:spacing w:val="20"/>
          <w:sz w:val="30"/>
          <w:szCs w:val="30"/>
          <w:highlight w:val="none"/>
        </w:rPr>
      </w:pPr>
    </w:p>
    <w:p>
      <w:pPr>
        <w:shd w:val="clear"/>
        <w:snapToGrid w:val="0"/>
        <w:spacing w:before="156"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法定代表人或其授权代表（签字或盖章）：          </w:t>
      </w:r>
    </w:p>
    <w:p>
      <w:pPr>
        <w:shd w:val="clear"/>
        <w:snapToGrid w:val="0"/>
        <w:spacing w:before="156"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hd w:val="clear"/>
        <w:snapToGrid w:val="0"/>
        <w:spacing w:before="156" w:beforeLines="50"/>
        <w:rPr>
          <w:rFonts w:hint="eastAsia" w:ascii="宋体" w:hAnsi="宋体" w:eastAsia="宋体" w:cs="宋体"/>
          <w:color w:val="auto"/>
          <w:sz w:val="24"/>
          <w:szCs w:val="24"/>
          <w:highlight w:val="none"/>
        </w:rPr>
      </w:pPr>
    </w:p>
    <w:p>
      <w:pPr>
        <w:shd w:val="clear"/>
        <w:snapToGrid w:val="0"/>
        <w:spacing w:before="156" w:beforeLines="50"/>
        <w:rPr>
          <w:rFonts w:hint="eastAsia" w:ascii="宋体" w:hAnsi="宋体" w:eastAsia="宋体" w:cs="宋体"/>
          <w:color w:val="auto"/>
          <w:sz w:val="24"/>
          <w:szCs w:val="24"/>
          <w:highlight w:val="none"/>
        </w:rPr>
      </w:pPr>
    </w:p>
    <w:p>
      <w:pPr>
        <w:shd w:val="clear"/>
        <w:snapToGrid w:val="0"/>
        <w:spacing w:before="50" w:after="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附件13：商务响应表</w:t>
      </w:r>
    </w:p>
    <w:p>
      <w:pPr>
        <w:shd w:val="clear"/>
        <w:snapToGrid w:val="0"/>
        <w:spacing w:before="50" w:after="156" w:afterLines="50"/>
        <w:jc w:val="center"/>
        <w:rPr>
          <w:rFonts w:hint="eastAsia" w:ascii="宋体" w:hAnsi="宋体" w:eastAsia="宋体" w:cs="宋体"/>
          <w:b/>
          <w:color w:val="auto"/>
          <w:spacing w:val="40"/>
          <w:kern w:val="0"/>
          <w:sz w:val="36"/>
          <w:szCs w:val="36"/>
          <w:highlight w:val="none"/>
        </w:rPr>
      </w:pPr>
    </w:p>
    <w:p>
      <w:pPr>
        <w:shd w:val="clear"/>
        <w:snapToGrid w:val="0"/>
        <w:spacing w:before="50" w:after="156" w:afterLines="50"/>
        <w:jc w:val="center"/>
        <w:rPr>
          <w:rFonts w:hint="eastAsia" w:ascii="宋体" w:hAnsi="宋体" w:eastAsia="宋体" w:cs="宋体"/>
          <w:b/>
          <w:color w:val="auto"/>
          <w:spacing w:val="40"/>
          <w:kern w:val="0"/>
          <w:sz w:val="36"/>
          <w:szCs w:val="36"/>
          <w:highlight w:val="none"/>
        </w:rPr>
      </w:pPr>
      <w:r>
        <w:rPr>
          <w:rFonts w:hint="eastAsia" w:ascii="宋体" w:hAnsi="宋体" w:eastAsia="宋体" w:cs="宋体"/>
          <w:b/>
          <w:color w:val="auto"/>
          <w:spacing w:val="40"/>
          <w:kern w:val="0"/>
          <w:sz w:val="36"/>
          <w:szCs w:val="36"/>
          <w:highlight w:val="none"/>
        </w:rPr>
        <w:t>商 务 响 应 表</w:t>
      </w:r>
    </w:p>
    <w:p>
      <w:pPr>
        <w:shd w:val="clear"/>
        <w:snapToGrid w:val="0"/>
        <w:spacing w:before="50" w:after="156" w:afterLines="50"/>
        <w:jc w:val="center"/>
        <w:rPr>
          <w:rFonts w:hint="eastAsia" w:ascii="宋体" w:hAnsi="宋体" w:eastAsia="宋体" w:cs="宋体"/>
          <w:b/>
          <w:color w:val="auto"/>
          <w:sz w:val="32"/>
          <w:szCs w:val="32"/>
          <w:highlight w:val="none"/>
        </w:rPr>
      </w:pPr>
    </w:p>
    <w:p>
      <w:pPr>
        <w:pStyle w:val="10"/>
        <w:shd w:val="clear"/>
        <w:snapToGri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r>
        <w:rPr>
          <w:rFonts w:hint="eastAsia" w:ascii="宋体" w:hAnsi="宋体" w:eastAsia="宋体" w:cs="宋体"/>
          <w:color w:val="auto"/>
          <w:sz w:val="28"/>
          <w:szCs w:val="28"/>
          <w:highlight w:val="none"/>
          <w:u w:val="single"/>
        </w:rPr>
        <w:t xml:space="preserve">            </w:t>
      </w:r>
    </w:p>
    <w:p>
      <w:pPr>
        <w:pStyle w:val="10"/>
        <w:shd w:val="clear"/>
        <w:snapToGrid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r>
        <w:rPr>
          <w:rFonts w:hint="eastAsia" w:ascii="宋体" w:hAnsi="宋体" w:eastAsia="宋体" w:cs="宋体"/>
          <w:color w:val="auto"/>
          <w:sz w:val="28"/>
          <w:szCs w:val="28"/>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jc w:val="center"/>
              <w:rPr>
                <w:rFonts w:hint="eastAsia" w:ascii="宋体" w:hAnsi="宋体" w:eastAsia="宋体" w:cs="宋体"/>
                <w:color w:val="auto"/>
                <w:spacing w:val="20"/>
                <w:sz w:val="28"/>
                <w:szCs w:val="28"/>
                <w:highlight w:val="none"/>
              </w:rPr>
            </w:pPr>
            <w:bookmarkStart w:id="69" w:name="_Toc64369815"/>
            <w:r>
              <w:rPr>
                <w:rFonts w:hint="eastAsia" w:ascii="宋体" w:hAnsi="宋体" w:eastAsia="宋体" w:cs="宋体"/>
                <w:color w:val="auto"/>
                <w:spacing w:val="20"/>
                <w:sz w:val="28"/>
                <w:szCs w:val="28"/>
                <w:highlight w:val="none"/>
              </w:rPr>
              <w:t>类别</w:t>
            </w:r>
            <w:bookmarkEnd w:id="69"/>
          </w:p>
        </w:tc>
        <w:tc>
          <w:tcPr>
            <w:tcW w:w="2626"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156" w:beforeLines="50" w:after="50"/>
              <w:jc w:val="center"/>
              <w:rPr>
                <w:rFonts w:hint="eastAsia" w:ascii="宋体" w:hAnsi="宋体" w:eastAsia="宋体" w:cs="宋体"/>
                <w:color w:val="auto"/>
                <w:sz w:val="30"/>
                <w:szCs w:val="30"/>
                <w:highlight w:val="none"/>
              </w:rPr>
            </w:pPr>
            <w:bookmarkStart w:id="70" w:name="_Toc64369816"/>
            <w:r>
              <w:rPr>
                <w:rFonts w:hint="eastAsia" w:ascii="宋体" w:hAnsi="宋体" w:eastAsia="宋体" w:cs="宋体"/>
                <w:color w:val="auto"/>
                <w:sz w:val="30"/>
                <w:szCs w:val="30"/>
                <w:highlight w:val="none"/>
              </w:rPr>
              <w:t>采购文件要求</w:t>
            </w:r>
            <w:bookmarkEnd w:id="70"/>
          </w:p>
        </w:tc>
        <w:tc>
          <w:tcPr>
            <w:tcW w:w="2737"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156" w:beforeLines="50" w:after="50"/>
              <w:jc w:val="center"/>
              <w:rPr>
                <w:rFonts w:hint="eastAsia" w:ascii="宋体" w:hAnsi="宋体" w:eastAsia="宋体" w:cs="宋体"/>
                <w:color w:val="auto"/>
                <w:sz w:val="30"/>
                <w:szCs w:val="30"/>
                <w:highlight w:val="none"/>
              </w:rPr>
            </w:pPr>
            <w:bookmarkStart w:id="71" w:name="_Toc64369817"/>
            <w:r>
              <w:rPr>
                <w:rFonts w:hint="eastAsia" w:ascii="宋体" w:hAnsi="宋体" w:eastAsia="宋体" w:cs="宋体"/>
                <w:color w:val="auto"/>
                <w:sz w:val="30"/>
                <w:szCs w:val="30"/>
                <w:highlight w:val="none"/>
              </w:rPr>
              <w:t>投标文件响应</w:t>
            </w:r>
            <w:bookmarkEnd w:id="71"/>
          </w:p>
        </w:tc>
        <w:tc>
          <w:tcPr>
            <w:tcW w:w="1886"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156" w:beforeLines="50" w:after="50"/>
              <w:jc w:val="center"/>
              <w:rPr>
                <w:rFonts w:hint="eastAsia" w:ascii="宋体" w:hAnsi="宋体" w:eastAsia="宋体" w:cs="宋体"/>
                <w:color w:val="auto"/>
                <w:sz w:val="30"/>
                <w:szCs w:val="30"/>
                <w:highlight w:val="none"/>
              </w:rPr>
            </w:pPr>
            <w:bookmarkStart w:id="72" w:name="_Toc64369818"/>
            <w:r>
              <w:rPr>
                <w:rFonts w:hint="eastAsia" w:ascii="宋体" w:hAnsi="宋体" w:eastAsia="宋体" w:cs="宋体"/>
                <w:color w:val="auto"/>
                <w:sz w:val="30"/>
                <w:szCs w:val="30"/>
                <w:highlight w:val="none"/>
              </w:rPr>
              <w:t>偏离情况</w:t>
            </w:r>
            <w:bookmarkEnd w:id="7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rPr>
                <w:rFonts w:hint="eastAsia" w:ascii="宋体" w:hAnsi="宋体" w:eastAsia="宋体" w:cs="宋体"/>
                <w:color w:val="auto"/>
                <w:spacing w:val="20"/>
                <w:sz w:val="28"/>
                <w:szCs w:val="28"/>
                <w:highlight w:val="none"/>
              </w:rPr>
            </w:pPr>
            <w:bookmarkStart w:id="73" w:name="_Toc64369819"/>
            <w:bookmarkStart w:id="74" w:name="_Toc64369823"/>
            <w:r>
              <w:rPr>
                <w:rFonts w:hint="eastAsia" w:ascii="宋体" w:hAnsi="宋体" w:eastAsia="宋体" w:cs="宋体"/>
                <w:color w:val="auto"/>
                <w:spacing w:val="20"/>
                <w:sz w:val="28"/>
                <w:szCs w:val="28"/>
                <w:highlight w:val="none"/>
              </w:rPr>
              <w:t>付款方式</w:t>
            </w:r>
            <w:bookmarkEnd w:id="73"/>
            <w:bookmarkEnd w:id="74"/>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hd w:val="clear"/>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hd w:val="clear"/>
              <w:snapToGrid w:val="0"/>
              <w:spacing w:before="120" w:after="120"/>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8"/>
              <w:shd w:val="clear"/>
              <w:snapToGrid w:val="0"/>
              <w:spacing w:before="120" w:after="120"/>
              <w:outlineLvl w:val="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hd w:val="clear"/>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hd w:val="clear"/>
              <w:snapToGrid w:val="0"/>
              <w:spacing w:before="120" w:after="120" w:line="240" w:lineRule="auto"/>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8"/>
              <w:shd w:val="clear"/>
              <w:snapToGrid w:val="0"/>
              <w:spacing w:before="120" w:after="120" w:line="240" w:lineRule="auto"/>
              <w:outlineLvl w:val="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hd w:val="clear"/>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hd w:val="clear"/>
              <w:snapToGrid w:val="0"/>
              <w:spacing w:before="120" w:after="120" w:line="240" w:lineRule="auto"/>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8"/>
              <w:shd w:val="clear"/>
              <w:snapToGrid w:val="0"/>
              <w:spacing w:before="120" w:after="120" w:line="240" w:lineRule="auto"/>
              <w:outlineLvl w:val="0"/>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50" w:after="50"/>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hd w:val="clear"/>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hd w:val="clear"/>
              <w:snapToGrid w:val="0"/>
              <w:spacing w:before="120" w:after="120"/>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8"/>
              <w:shd w:val="clear"/>
              <w:snapToGrid w:val="0"/>
              <w:spacing w:before="120" w:after="120"/>
              <w:outlineLvl w:val="0"/>
              <w:rPr>
                <w:rFonts w:hint="eastAsia" w:ascii="宋体" w:hAnsi="宋体" w:eastAsia="宋体" w:cs="宋体"/>
                <w:color w:val="auto"/>
                <w:sz w:val="28"/>
                <w:szCs w:val="28"/>
                <w:highlight w:val="none"/>
              </w:rPr>
            </w:pPr>
          </w:p>
        </w:tc>
      </w:tr>
    </w:tbl>
    <w:p>
      <w:pPr>
        <w:pStyle w:val="12"/>
        <w:shd w:val="clear"/>
        <w:rPr>
          <w:rFonts w:hint="eastAsia" w:ascii="宋体" w:hAnsi="宋体" w:eastAsia="宋体" w:cs="宋体"/>
          <w:b w:val="0"/>
          <w:bCs w:val="0"/>
          <w:color w:val="auto"/>
          <w:spacing w:val="20"/>
          <w:kern w:val="0"/>
          <w:sz w:val="28"/>
          <w:szCs w:val="28"/>
          <w:highlight w:val="none"/>
        </w:rPr>
      </w:pPr>
      <w:r>
        <w:rPr>
          <w:rFonts w:hint="eastAsia" w:ascii="宋体" w:hAnsi="宋体" w:eastAsia="宋体" w:cs="宋体"/>
          <w:b w:val="0"/>
          <w:bCs w:val="0"/>
          <w:color w:val="auto"/>
          <w:sz w:val="28"/>
          <w:szCs w:val="28"/>
          <w:highlight w:val="none"/>
        </w:rPr>
        <w:t>注：1、投标人应对照采购文件要求和投标文件响应情况在“偏离情况”栏注明“正偏离”、“负偏离”或“无偏离”。若正偏离的，需详细说明或提供证明材料。</w:t>
      </w:r>
    </w:p>
    <w:p>
      <w:pPr>
        <w:shd w:val="clear"/>
        <w:snapToGrid w:val="0"/>
        <w:spacing w:before="50" w:after="50"/>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2、“类别”一栏按采购文件第三章中商务要求的分类填写。</w:t>
      </w:r>
    </w:p>
    <w:p>
      <w:pPr>
        <w:shd w:val="clear"/>
        <w:snapToGrid w:val="0"/>
        <w:spacing w:before="50" w:after="50"/>
        <w:rPr>
          <w:rFonts w:hint="eastAsia" w:ascii="宋体" w:hAnsi="宋体" w:eastAsia="宋体" w:cs="宋体"/>
          <w:color w:val="auto"/>
          <w:spacing w:val="20"/>
          <w:sz w:val="28"/>
          <w:szCs w:val="28"/>
          <w:highlight w:val="none"/>
        </w:rPr>
      </w:pPr>
    </w:p>
    <w:p>
      <w:pPr>
        <w:shd w:val="clear"/>
        <w:snapToGrid w:val="0"/>
        <w:spacing w:before="50" w:after="50"/>
        <w:rPr>
          <w:rFonts w:hint="eastAsia" w:ascii="宋体" w:hAnsi="宋体" w:eastAsia="宋体" w:cs="宋体"/>
          <w:color w:val="auto"/>
          <w:spacing w:val="20"/>
          <w:sz w:val="28"/>
          <w:szCs w:val="28"/>
          <w:highlight w:val="none"/>
        </w:rPr>
      </w:pPr>
    </w:p>
    <w:p>
      <w:pPr>
        <w:shd w:val="clear"/>
        <w:snapToGrid w:val="0"/>
        <w:spacing w:before="50" w:after="50"/>
        <w:rPr>
          <w:rFonts w:hint="eastAsia" w:ascii="宋体" w:hAnsi="宋体" w:eastAsia="宋体" w:cs="宋体"/>
          <w:color w:val="auto"/>
          <w:spacing w:val="20"/>
          <w:sz w:val="28"/>
          <w:szCs w:val="28"/>
          <w:highlight w:val="none"/>
        </w:rPr>
      </w:pPr>
    </w:p>
    <w:p>
      <w:pPr>
        <w:shd w:val="clear"/>
        <w:snapToGrid w:val="0"/>
        <w:spacing w:before="50" w:after="50"/>
        <w:rPr>
          <w:rFonts w:hint="eastAsia" w:ascii="宋体" w:hAnsi="宋体" w:eastAsia="宋体" w:cs="宋体"/>
          <w:color w:val="auto"/>
          <w:spacing w:val="20"/>
          <w:sz w:val="28"/>
          <w:szCs w:val="28"/>
          <w:highlight w:val="none"/>
        </w:rPr>
      </w:pPr>
    </w:p>
    <w:p>
      <w:pPr>
        <w:shd w:val="clea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法定代表人或其授权代表（签字或盖章）：          </w:t>
      </w:r>
    </w:p>
    <w:p>
      <w:pPr>
        <w:shd w:val="clea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shd w:val="clear"/>
        <w:snapToGrid w:val="0"/>
        <w:spacing w:before="156" w:beforeLines="50"/>
        <w:rPr>
          <w:rFonts w:hint="eastAsia" w:ascii="宋体" w:hAnsi="宋体" w:eastAsia="宋体" w:cs="宋体"/>
          <w:color w:val="auto"/>
          <w:sz w:val="28"/>
          <w:szCs w:val="28"/>
          <w:highlight w:val="none"/>
        </w:rPr>
      </w:pPr>
    </w:p>
    <w:p>
      <w:pPr>
        <w:shd w:val="clear"/>
        <w:snapToGrid w:val="0"/>
        <w:spacing w:before="156" w:beforeLines="50"/>
        <w:rPr>
          <w:rFonts w:hint="eastAsia" w:ascii="宋体" w:hAnsi="宋体" w:eastAsia="宋体" w:cs="宋体"/>
          <w:color w:val="auto"/>
          <w:sz w:val="28"/>
          <w:szCs w:val="28"/>
          <w:highlight w:val="none"/>
        </w:rPr>
      </w:pPr>
    </w:p>
    <w:p>
      <w:pPr>
        <w:shd w:val="clea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附件14：项目实施人员清单</w:t>
      </w:r>
    </w:p>
    <w:p>
      <w:pPr>
        <w:shd w:val="clear"/>
        <w:snapToGrid w:val="0"/>
        <w:spacing w:before="50" w:after="156" w:afterLines="50"/>
        <w:jc w:val="center"/>
        <w:rPr>
          <w:rFonts w:hint="eastAsia" w:ascii="宋体" w:hAnsi="宋体" w:eastAsia="宋体" w:cs="宋体"/>
          <w:b/>
          <w:color w:val="auto"/>
          <w:kern w:val="0"/>
          <w:sz w:val="36"/>
          <w:szCs w:val="36"/>
          <w:highlight w:val="none"/>
        </w:rPr>
      </w:pPr>
    </w:p>
    <w:p>
      <w:pPr>
        <w:shd w:val="clear"/>
        <w:snapToGrid w:val="0"/>
        <w:spacing w:before="50" w:after="156" w:afterLines="5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项目实施人员清单</w:t>
      </w:r>
    </w:p>
    <w:p>
      <w:pPr>
        <w:pStyle w:val="10"/>
        <w:shd w:val="clear"/>
        <w:snapToGri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r>
        <w:rPr>
          <w:rFonts w:hint="eastAsia" w:ascii="宋体" w:hAnsi="宋体" w:eastAsia="宋体" w:cs="宋体"/>
          <w:color w:val="auto"/>
          <w:sz w:val="28"/>
          <w:szCs w:val="28"/>
          <w:highlight w:val="none"/>
          <w:u w:val="single"/>
        </w:rPr>
        <w:t xml:space="preserve">                           </w:t>
      </w:r>
    </w:p>
    <w:p>
      <w:pPr>
        <w:pStyle w:val="10"/>
        <w:shd w:val="clear"/>
        <w:snapToGrid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r>
        <w:rPr>
          <w:rFonts w:hint="eastAsia" w:ascii="宋体" w:hAnsi="宋体" w:eastAsia="宋体" w:cs="宋体"/>
          <w:color w:val="auto"/>
          <w:sz w:val="28"/>
          <w:szCs w:val="28"/>
          <w:highlight w:val="none"/>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156" w:beforeLines="50" w:after="50" w:line="460" w:lineRule="exact"/>
              <w:ind w:right="-11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专业技术</w:t>
            </w:r>
          </w:p>
          <w:p>
            <w:pPr>
              <w:shd w:val="clea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hd w:val="clea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9"/>
              <w:shd w:val="clea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hd w:val="clear"/>
              <w:snapToGrid w:val="0"/>
              <w:spacing w:before="156" w:beforeLines="50" w:after="50" w:line="460" w:lineRule="exact"/>
              <w:rPr>
                <w:rFonts w:hint="eastAsia" w:ascii="宋体" w:hAnsi="宋体" w:eastAsia="宋体" w:cs="宋体"/>
                <w:color w:val="auto"/>
                <w:sz w:val="28"/>
                <w:szCs w:val="28"/>
                <w:highlight w:val="none"/>
              </w:rPr>
            </w:pPr>
          </w:p>
        </w:tc>
      </w:tr>
    </w:tbl>
    <w:p>
      <w:pPr>
        <w:shd w:val="clear"/>
        <w:snapToGrid w:val="0"/>
        <w:spacing w:before="50" w:after="156" w:afterLines="50" w:line="4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注：在填写时，如本表格不适合投标单位的实际情况，可根据本表格式自行划表填写。 </w:t>
      </w:r>
    </w:p>
    <w:p>
      <w:pPr>
        <w:shd w:val="clear"/>
        <w:snapToGrid w:val="0"/>
        <w:spacing w:before="50" w:after="156" w:afterLines="50" w:line="460" w:lineRule="exact"/>
        <w:jc w:val="left"/>
        <w:rPr>
          <w:rFonts w:hint="eastAsia" w:ascii="宋体" w:hAnsi="宋体" w:eastAsia="宋体" w:cs="宋体"/>
          <w:color w:val="auto"/>
          <w:sz w:val="28"/>
          <w:szCs w:val="28"/>
          <w:highlight w:val="none"/>
        </w:rPr>
      </w:pPr>
    </w:p>
    <w:p>
      <w:pPr>
        <w:shd w:val="clea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法定代表人或其授权代表（签字或盖章）：          </w:t>
      </w:r>
    </w:p>
    <w:p>
      <w:pPr>
        <w:shd w:val="clea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shd w:val="clear"/>
        <w:snapToGrid w:val="0"/>
        <w:spacing w:before="50" w:after="156" w:afterLines="50" w:line="460" w:lineRule="exact"/>
        <w:jc w:val="left"/>
        <w:rPr>
          <w:rFonts w:hint="eastAsia" w:ascii="宋体" w:hAnsi="宋体" w:eastAsia="宋体" w:cs="宋体"/>
          <w:color w:val="auto"/>
          <w:sz w:val="28"/>
          <w:szCs w:val="28"/>
          <w:highlight w:val="none"/>
        </w:rPr>
      </w:pPr>
    </w:p>
    <w:p>
      <w:pPr>
        <w:shd w:val="clear"/>
        <w:rPr>
          <w:rFonts w:hint="eastAsia" w:ascii="宋体" w:hAnsi="宋体" w:eastAsia="宋体" w:cs="宋体"/>
          <w:color w:val="auto"/>
          <w:sz w:val="28"/>
          <w:szCs w:val="28"/>
          <w:highlight w:val="none"/>
        </w:rPr>
      </w:pPr>
    </w:p>
    <w:p>
      <w:pPr>
        <w:shd w:val="clea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附件15：类似业绩一览表（如有）</w:t>
      </w:r>
    </w:p>
    <w:p>
      <w:pPr>
        <w:shd w:val="clear"/>
        <w:snapToGrid w:val="0"/>
        <w:spacing w:before="50" w:after="50"/>
        <w:jc w:val="left"/>
        <w:rPr>
          <w:rFonts w:hint="eastAsia" w:ascii="宋体" w:hAnsi="宋体" w:eastAsia="宋体" w:cs="宋体"/>
          <w:color w:val="auto"/>
          <w:sz w:val="30"/>
          <w:szCs w:val="30"/>
          <w:highlight w:val="none"/>
        </w:rPr>
      </w:pPr>
    </w:p>
    <w:p>
      <w:pPr>
        <w:shd w:val="clear"/>
        <w:snapToGrid w:val="0"/>
        <w:spacing w:before="50" w:after="156" w:afterLines="5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类似业绩一览表</w:t>
      </w:r>
    </w:p>
    <w:p>
      <w:pPr>
        <w:pStyle w:val="10"/>
        <w:shd w:val="clea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r>
        <w:rPr>
          <w:rFonts w:hint="eastAsia" w:ascii="宋体" w:hAnsi="宋体" w:eastAsia="宋体" w:cs="宋体"/>
          <w:color w:val="auto"/>
          <w:sz w:val="24"/>
          <w:szCs w:val="24"/>
          <w:highlight w:val="none"/>
          <w:u w:val="single"/>
        </w:rPr>
        <w:t xml:space="preserve">                           </w:t>
      </w:r>
    </w:p>
    <w:p>
      <w:pPr>
        <w:pStyle w:val="10"/>
        <w:shd w:val="clear"/>
        <w:snapToGrid w:val="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u w:val="single"/>
        </w:rPr>
        <w:t xml:space="preserve">                           </w:t>
      </w:r>
    </w:p>
    <w:p>
      <w:pPr>
        <w:shd w:val="clear"/>
        <w:rPr>
          <w:rFonts w:hint="eastAsia" w:ascii="宋体" w:hAnsi="宋体" w:eastAsia="宋体" w:cs="宋体"/>
          <w:color w:val="auto"/>
          <w:highlight w:val="none"/>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合同</w:t>
            </w:r>
          </w:p>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验收报告</w:t>
            </w:r>
          </w:p>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jc w:val="center"/>
              <w:rPr>
                <w:rFonts w:hint="eastAsia" w:ascii="宋体" w:hAnsi="宋体" w:eastAsia="宋体" w:cs="宋体"/>
                <w:color w:val="auto"/>
                <w:kern w:val="2"/>
                <w:sz w:val="24"/>
                <w:szCs w:val="20"/>
                <w:highlight w:val="none"/>
                <w:u w:val="none"/>
              </w:rPr>
            </w:pPr>
          </w:p>
        </w:tc>
      </w:tr>
    </w:tbl>
    <w:p>
      <w:pPr>
        <w:shd w:val="clea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备注：</w:t>
      </w:r>
    </w:p>
    <w:p>
      <w:pPr>
        <w:numPr>
          <w:ilvl w:val="0"/>
          <w:numId w:val="14"/>
        </w:numPr>
        <w:shd w:val="clea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请在此表后附上类似业绩的合同、验收报告原件扫描件或彩色图片（如有）。</w:t>
      </w:r>
    </w:p>
    <w:p>
      <w:pPr>
        <w:numPr>
          <w:ilvl w:val="0"/>
          <w:numId w:val="14"/>
        </w:num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pPr>
        <w:shd w:val="clear"/>
        <w:rPr>
          <w:rFonts w:hint="eastAsia" w:ascii="宋体" w:hAnsi="宋体" w:eastAsia="宋体" w:cs="宋体"/>
          <w:color w:val="auto"/>
          <w:kern w:val="2"/>
          <w:sz w:val="24"/>
          <w:szCs w:val="20"/>
          <w:highlight w:val="none"/>
          <w:u w:val="none"/>
        </w:rPr>
      </w:pPr>
    </w:p>
    <w:p>
      <w:pPr>
        <w:shd w:val="clear"/>
        <w:rPr>
          <w:rFonts w:hint="eastAsia" w:ascii="宋体" w:hAnsi="宋体" w:eastAsia="宋体" w:cs="宋体"/>
          <w:color w:val="auto"/>
          <w:kern w:val="2"/>
          <w:sz w:val="24"/>
          <w:szCs w:val="20"/>
          <w:highlight w:val="none"/>
          <w:u w:val="none"/>
        </w:rPr>
      </w:pPr>
    </w:p>
    <w:p>
      <w:pPr>
        <w:shd w:val="clear"/>
        <w:rPr>
          <w:rFonts w:hint="eastAsia" w:ascii="宋体" w:hAnsi="宋体" w:eastAsia="宋体" w:cs="宋体"/>
          <w:color w:val="auto"/>
          <w:kern w:val="2"/>
          <w:sz w:val="24"/>
          <w:szCs w:val="20"/>
          <w:highlight w:val="none"/>
          <w:u w:val="none"/>
        </w:rPr>
      </w:pPr>
    </w:p>
    <w:p>
      <w:pPr>
        <w:shd w:val="clear"/>
        <w:rPr>
          <w:rFonts w:hint="eastAsia" w:ascii="宋体" w:hAnsi="宋体" w:eastAsia="宋体" w:cs="宋体"/>
          <w:color w:val="auto"/>
          <w:kern w:val="2"/>
          <w:sz w:val="24"/>
          <w:szCs w:val="20"/>
          <w:highlight w:val="none"/>
          <w:u w:val="none"/>
        </w:rPr>
      </w:pPr>
    </w:p>
    <w:p>
      <w:pPr>
        <w:shd w:val="clear"/>
        <w:rPr>
          <w:rFonts w:hint="eastAsia" w:ascii="宋体" w:hAnsi="宋体" w:eastAsia="宋体" w:cs="宋体"/>
          <w:color w:val="auto"/>
          <w:kern w:val="2"/>
          <w:sz w:val="24"/>
          <w:szCs w:val="20"/>
          <w:highlight w:val="none"/>
          <w:u w:val="none"/>
        </w:rPr>
      </w:pPr>
    </w:p>
    <w:p>
      <w:pPr>
        <w:shd w:val="clear"/>
        <w:rPr>
          <w:rFonts w:hint="eastAsia" w:ascii="宋体" w:hAnsi="宋体" w:eastAsia="宋体" w:cs="宋体"/>
          <w:color w:val="auto"/>
          <w:kern w:val="2"/>
          <w:sz w:val="24"/>
          <w:szCs w:val="20"/>
          <w:highlight w:val="none"/>
          <w:u w:val="none"/>
        </w:rPr>
      </w:pPr>
    </w:p>
    <w:p>
      <w:pPr>
        <w:shd w:val="clear"/>
        <w:rPr>
          <w:rFonts w:hint="eastAsia" w:ascii="宋体" w:hAnsi="宋体" w:eastAsia="宋体" w:cs="宋体"/>
          <w:color w:val="auto"/>
          <w:kern w:val="2"/>
          <w:sz w:val="24"/>
          <w:szCs w:val="20"/>
          <w:highlight w:val="none"/>
          <w:u w:val="none"/>
        </w:rPr>
      </w:pPr>
    </w:p>
    <w:p>
      <w:pPr>
        <w:shd w:val="clear"/>
        <w:rPr>
          <w:rFonts w:hint="eastAsia" w:ascii="宋体" w:hAnsi="宋体" w:eastAsia="宋体" w:cs="宋体"/>
          <w:color w:val="auto"/>
          <w:kern w:val="2"/>
          <w:sz w:val="24"/>
          <w:szCs w:val="20"/>
          <w:highlight w:val="none"/>
          <w:u w:val="none"/>
        </w:rPr>
      </w:pPr>
    </w:p>
    <w:p>
      <w:pPr>
        <w:shd w:val="clear"/>
        <w:rPr>
          <w:rFonts w:hint="eastAsia" w:ascii="宋体" w:hAnsi="宋体" w:eastAsia="宋体" w:cs="宋体"/>
          <w:color w:val="auto"/>
          <w:kern w:val="2"/>
          <w:sz w:val="24"/>
          <w:szCs w:val="20"/>
          <w:highlight w:val="none"/>
          <w:u w:val="none"/>
        </w:rPr>
      </w:pPr>
    </w:p>
    <w:p>
      <w:pPr>
        <w:shd w:val="clea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法定代表人或其授权代表（签字或盖章）：          </w:t>
      </w:r>
    </w:p>
    <w:p>
      <w:pPr>
        <w:shd w:val="clea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shd w:val="clear"/>
        <w:rPr>
          <w:rFonts w:hint="eastAsia" w:ascii="宋体" w:hAnsi="宋体" w:eastAsia="宋体" w:cs="宋体"/>
          <w:color w:val="auto"/>
          <w:kern w:val="2"/>
          <w:sz w:val="24"/>
          <w:szCs w:val="20"/>
          <w:highlight w:val="none"/>
          <w:u w:val="none"/>
        </w:rPr>
      </w:pPr>
    </w:p>
    <w:p>
      <w:pPr>
        <w:shd w:val="clear"/>
        <w:rPr>
          <w:rFonts w:hint="eastAsia" w:ascii="宋体" w:hAnsi="宋体" w:eastAsia="宋体" w:cs="宋体"/>
          <w:color w:val="auto"/>
          <w:kern w:val="2"/>
          <w:sz w:val="24"/>
          <w:szCs w:val="20"/>
          <w:highlight w:val="none"/>
          <w:u w:val="none"/>
        </w:rPr>
      </w:pPr>
    </w:p>
    <w:p>
      <w:pPr>
        <w:shd w:val="clear"/>
        <w:snapToGrid w:val="0"/>
        <w:spacing w:before="50" w:after="50"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附件16（如有）：</w:t>
      </w:r>
    </w:p>
    <w:p>
      <w:pPr>
        <w:shd w:val="clear"/>
        <w:snapToGrid w:val="0"/>
        <w:spacing w:before="50" w:after="5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享受政府采购政策性规定情况表</w:t>
      </w:r>
    </w:p>
    <w:p>
      <w:pPr>
        <w:pStyle w:val="18"/>
        <w:shd w:val="clea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投标人名称：</w:t>
      </w:r>
    </w:p>
    <w:p>
      <w:pPr>
        <w:shd w:val="clea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核心产品</w:t>
            </w:r>
          </w:p>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hd w:val="clea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hd w:val="clea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节能认证</w:t>
            </w:r>
          </w:p>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hd w:val="clea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hd w:val="clea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环境标</w:t>
            </w:r>
          </w:p>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环境标志认</w:t>
            </w:r>
          </w:p>
          <w:p>
            <w:pPr>
              <w:pStyle w:val="41"/>
              <w:shd w:val="clear"/>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hd w:val="clea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hd w:val="clea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shd w:val="clear"/>
              <w:tabs>
                <w:tab w:val="left" w:pos="1260"/>
              </w:tabs>
              <w:snapToGrid w:val="0"/>
              <w:spacing w:line="360" w:lineRule="auto"/>
              <w:jc w:val="center"/>
              <w:rPr>
                <w:rFonts w:hint="eastAsia" w:ascii="宋体" w:hAnsi="宋体" w:eastAsia="宋体" w:cs="宋体"/>
                <w:color w:val="auto"/>
                <w:sz w:val="24"/>
                <w:highlight w:val="none"/>
                <w:lang w:val="en-GB"/>
              </w:rPr>
            </w:pPr>
          </w:p>
        </w:tc>
      </w:tr>
    </w:tbl>
    <w:p>
      <w:pPr>
        <w:shd w:val="clear"/>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备注：1、本表的产品名称、品牌型号、制造商应与《开标一览表》、《项目明细清单》中的相应产品一致。</w:t>
      </w:r>
    </w:p>
    <w:p>
      <w:pPr>
        <w:shd w:val="clear"/>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2、享受政府采购政策性规定的需要提供相关证明材料，具体详见第二章“投标人须知”第二部分“采购文件”，否则不予认可。</w:t>
      </w:r>
    </w:p>
    <w:p>
      <w:pPr>
        <w:pStyle w:val="18"/>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特别提示：供应商务必仔细阅读采购文件“政府采购政策性规定”中关于无效投标的内容。 </w:t>
      </w:r>
    </w:p>
    <w:p>
      <w:pPr>
        <w:shd w:val="clear"/>
        <w:rPr>
          <w:rFonts w:hint="eastAsia" w:ascii="宋体" w:hAnsi="宋体" w:eastAsia="宋体" w:cs="宋体"/>
          <w:color w:val="auto"/>
          <w:spacing w:val="20"/>
          <w:sz w:val="24"/>
          <w:szCs w:val="24"/>
          <w:highlight w:val="none"/>
        </w:rPr>
      </w:pPr>
    </w:p>
    <w:p>
      <w:pPr>
        <w:shd w:val="clear"/>
        <w:rPr>
          <w:rFonts w:hint="eastAsia" w:ascii="宋体" w:hAnsi="宋体" w:eastAsia="宋体" w:cs="宋体"/>
          <w:color w:val="auto"/>
          <w:spacing w:val="20"/>
          <w:sz w:val="24"/>
          <w:szCs w:val="24"/>
          <w:highlight w:val="none"/>
        </w:rPr>
      </w:pPr>
    </w:p>
    <w:p>
      <w:pPr>
        <w:shd w:val="clear"/>
        <w:rPr>
          <w:rFonts w:hint="eastAsia" w:ascii="宋体" w:hAnsi="宋体" w:eastAsia="宋体" w:cs="宋体"/>
          <w:color w:val="auto"/>
          <w:spacing w:val="20"/>
          <w:sz w:val="24"/>
          <w:szCs w:val="24"/>
          <w:highlight w:val="none"/>
        </w:rPr>
      </w:pPr>
    </w:p>
    <w:p>
      <w:pPr>
        <w:shd w:val="clear"/>
        <w:rPr>
          <w:rFonts w:hint="eastAsia" w:ascii="宋体" w:hAnsi="宋体" w:eastAsia="宋体" w:cs="宋体"/>
          <w:color w:val="auto"/>
          <w:spacing w:val="20"/>
          <w:sz w:val="24"/>
          <w:szCs w:val="24"/>
          <w:highlight w:val="none"/>
        </w:rPr>
      </w:pPr>
    </w:p>
    <w:p>
      <w:pPr>
        <w:shd w:val="clear"/>
        <w:rPr>
          <w:rFonts w:hint="eastAsia" w:ascii="宋体" w:hAnsi="宋体" w:eastAsia="宋体" w:cs="宋体"/>
          <w:color w:val="auto"/>
          <w:spacing w:val="20"/>
          <w:sz w:val="24"/>
          <w:szCs w:val="24"/>
          <w:highlight w:val="none"/>
        </w:rPr>
      </w:pPr>
    </w:p>
    <w:p>
      <w:pPr>
        <w:shd w:val="clear"/>
        <w:rPr>
          <w:rFonts w:hint="eastAsia" w:ascii="宋体" w:hAnsi="宋体" w:eastAsia="宋体" w:cs="宋体"/>
          <w:color w:val="auto"/>
          <w:spacing w:val="20"/>
          <w:sz w:val="24"/>
          <w:szCs w:val="24"/>
          <w:highlight w:val="none"/>
        </w:rPr>
      </w:pPr>
    </w:p>
    <w:p>
      <w:pPr>
        <w:shd w:val="clear"/>
        <w:rPr>
          <w:rFonts w:hint="eastAsia" w:ascii="宋体" w:hAnsi="宋体" w:eastAsia="宋体" w:cs="宋体"/>
          <w:color w:val="auto"/>
          <w:spacing w:val="20"/>
          <w:sz w:val="24"/>
          <w:szCs w:val="24"/>
          <w:highlight w:val="none"/>
        </w:rPr>
      </w:pPr>
    </w:p>
    <w:p>
      <w:pPr>
        <w:shd w:val="clear"/>
        <w:rPr>
          <w:rFonts w:hint="eastAsia" w:ascii="宋体" w:hAnsi="宋体" w:eastAsia="宋体" w:cs="宋体"/>
          <w:color w:val="auto"/>
          <w:spacing w:val="20"/>
          <w:sz w:val="24"/>
          <w:szCs w:val="24"/>
          <w:highlight w:val="none"/>
        </w:rPr>
      </w:pPr>
    </w:p>
    <w:p>
      <w:pPr>
        <w:shd w:val="clear"/>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pacing w:val="20"/>
          <w:sz w:val="24"/>
          <w:szCs w:val="24"/>
          <w:highlight w:val="none"/>
        </w:rPr>
        <w:t>签名：</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w:t>
      </w:r>
    </w:p>
    <w:p>
      <w:pPr>
        <w:shd w:val="clear"/>
        <w:rPr>
          <w:rFonts w:hint="eastAsia" w:ascii="宋体" w:hAnsi="宋体" w:eastAsia="宋体" w:cs="宋体"/>
          <w:color w:val="auto"/>
          <w:spacing w:val="20"/>
          <w:sz w:val="24"/>
          <w:szCs w:val="24"/>
          <w:highlight w:val="none"/>
        </w:rPr>
      </w:pPr>
    </w:p>
    <w:p>
      <w:pPr>
        <w:shd w:val="clear"/>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日  期：</w:t>
      </w:r>
      <w:r>
        <w:rPr>
          <w:rFonts w:hint="eastAsia" w:ascii="宋体" w:hAnsi="宋体" w:eastAsia="宋体" w:cs="宋体"/>
          <w:color w:val="auto"/>
          <w:spacing w:val="20"/>
          <w:sz w:val="24"/>
          <w:szCs w:val="24"/>
          <w:highlight w:val="none"/>
          <w:u w:val="single"/>
        </w:rPr>
        <w:t xml:space="preserve">         </w:t>
      </w:r>
    </w:p>
    <w:p>
      <w:pPr>
        <w:shd w:val="clear"/>
        <w:rPr>
          <w:rFonts w:hint="eastAsia" w:ascii="宋体" w:hAnsi="宋体" w:eastAsia="宋体" w:cs="宋体"/>
          <w:color w:val="auto"/>
          <w:spacing w:val="20"/>
          <w:sz w:val="24"/>
          <w:szCs w:val="24"/>
          <w:highlight w:val="none"/>
          <w:u w:val="single"/>
        </w:rPr>
      </w:pPr>
    </w:p>
    <w:p>
      <w:pPr>
        <w:shd w:val="clea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附件17：报价文件封面</w:t>
      </w:r>
    </w:p>
    <w:p>
      <w:pPr>
        <w:shd w:val="clear"/>
        <w:snapToGrid w:val="0"/>
        <w:spacing w:before="156" w:beforeLines="50" w:after="50"/>
        <w:jc w:val="right"/>
        <w:rPr>
          <w:rFonts w:hint="eastAsia" w:ascii="宋体" w:hAnsi="宋体" w:eastAsia="宋体" w:cs="宋体"/>
          <w:b/>
          <w:color w:val="auto"/>
          <w:sz w:val="30"/>
          <w:szCs w:val="30"/>
          <w:highlight w:val="none"/>
        </w:rPr>
      </w:pPr>
    </w:p>
    <w:p>
      <w:pPr>
        <w:shd w:val="clear"/>
        <w:snapToGrid w:val="0"/>
        <w:spacing w:before="156" w:beforeLines="50" w:after="50"/>
        <w:jc w:val="right"/>
        <w:rPr>
          <w:rFonts w:hint="eastAsia" w:ascii="宋体" w:hAnsi="宋体" w:eastAsia="宋体" w:cs="宋体"/>
          <w:bCs/>
          <w:color w:val="auto"/>
          <w:sz w:val="30"/>
          <w:szCs w:val="30"/>
          <w:highlight w:val="none"/>
        </w:rPr>
      </w:pPr>
    </w:p>
    <w:p>
      <w:pPr>
        <w:shd w:val="clea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项目名称：</w:t>
      </w:r>
      <w:r>
        <w:rPr>
          <w:rFonts w:hint="eastAsia" w:ascii="宋体" w:hAnsi="宋体" w:eastAsia="宋体" w:cs="宋体"/>
          <w:color w:val="auto"/>
          <w:spacing w:val="40"/>
          <w:sz w:val="30"/>
          <w:szCs w:val="30"/>
          <w:highlight w:val="none"/>
          <w:u w:val="single"/>
        </w:rPr>
        <w:t xml:space="preserve">           </w:t>
      </w:r>
    </w:p>
    <w:p>
      <w:pPr>
        <w:shd w:val="clear"/>
        <w:spacing w:before="312" w:beforeLines="100" w:line="40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u w:val="single"/>
        </w:rPr>
        <w:t xml:space="preserve">                   </w:t>
      </w:r>
    </w:p>
    <w:p>
      <w:pPr>
        <w:shd w:val="clear"/>
        <w:spacing w:before="312" w:beforeLines="100"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标项：</w:t>
      </w:r>
      <w:r>
        <w:rPr>
          <w:rFonts w:hint="eastAsia" w:ascii="宋体" w:hAnsi="宋体" w:eastAsia="宋体" w:cs="宋体"/>
          <w:color w:val="auto"/>
          <w:sz w:val="30"/>
          <w:szCs w:val="30"/>
          <w:highlight w:val="none"/>
          <w:u w:val="single"/>
        </w:rPr>
        <w:t xml:space="preserve">                    </w:t>
      </w:r>
    </w:p>
    <w:p>
      <w:pPr>
        <w:shd w:val="clear"/>
        <w:spacing w:line="1200" w:lineRule="exact"/>
        <w:ind w:right="6"/>
        <w:jc w:val="center"/>
        <w:rPr>
          <w:rFonts w:hint="eastAsia" w:ascii="宋体" w:hAnsi="宋体" w:eastAsia="宋体" w:cs="宋体"/>
          <w:color w:val="auto"/>
          <w:sz w:val="72"/>
          <w:szCs w:val="72"/>
          <w:highlight w:val="none"/>
        </w:rPr>
      </w:pP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w:t>
      </w: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价</w:t>
      </w: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pPr>
        <w:shd w:val="clea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pPr>
        <w:shd w:val="clear"/>
        <w:spacing w:line="1200" w:lineRule="exact"/>
        <w:ind w:right="6"/>
        <w:jc w:val="center"/>
        <w:rPr>
          <w:rFonts w:hint="eastAsia" w:ascii="宋体" w:hAnsi="宋体" w:eastAsia="宋体" w:cs="宋体"/>
          <w:color w:val="auto"/>
          <w:sz w:val="72"/>
          <w:szCs w:val="72"/>
          <w:highlight w:val="none"/>
        </w:rPr>
      </w:pPr>
    </w:p>
    <w:p>
      <w:pPr>
        <w:shd w:val="clear"/>
        <w:spacing w:line="1200" w:lineRule="exact"/>
        <w:ind w:right="6"/>
        <w:jc w:val="center"/>
        <w:rPr>
          <w:rFonts w:hint="eastAsia" w:ascii="宋体" w:hAnsi="宋体" w:eastAsia="宋体" w:cs="宋体"/>
          <w:color w:val="auto"/>
          <w:sz w:val="72"/>
          <w:szCs w:val="72"/>
          <w:highlight w:val="none"/>
        </w:rPr>
      </w:pPr>
    </w:p>
    <w:p>
      <w:pPr>
        <w:shd w:val="clear"/>
        <w:spacing w:line="360" w:lineRule="auto"/>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投标人名称（盖章）：</w:t>
      </w:r>
    </w:p>
    <w:p>
      <w:pPr>
        <w:shd w:val="clear"/>
        <w:spacing w:line="360" w:lineRule="auto"/>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地    址：</w:t>
      </w:r>
    </w:p>
    <w:p>
      <w:pPr>
        <w:shd w:val="clear"/>
        <w:spacing w:line="360" w:lineRule="auto"/>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日    期：</w:t>
      </w:r>
    </w:p>
    <w:p>
      <w:pPr>
        <w:shd w:val="clear"/>
        <w:rPr>
          <w:rFonts w:hint="eastAsia" w:ascii="宋体" w:hAnsi="宋体" w:eastAsia="宋体" w:cs="宋体"/>
          <w:color w:val="auto"/>
          <w:kern w:val="2"/>
          <w:sz w:val="24"/>
          <w:szCs w:val="20"/>
          <w:highlight w:val="none"/>
          <w:u w:val="none"/>
        </w:rPr>
      </w:pPr>
    </w:p>
    <w:p>
      <w:pPr>
        <w:shd w:val="clea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附件18：报价文件目录</w:t>
      </w:r>
    </w:p>
    <w:p>
      <w:pPr>
        <w:shd w:val="clear"/>
        <w:snapToGrid w:val="0"/>
        <w:spacing w:before="156" w:beforeLines="50" w:after="50"/>
        <w:jc w:val="left"/>
        <w:rPr>
          <w:rFonts w:hint="eastAsia" w:ascii="宋体" w:hAnsi="宋体" w:eastAsia="宋体" w:cs="宋体"/>
          <w:color w:val="auto"/>
          <w:sz w:val="30"/>
          <w:szCs w:val="30"/>
          <w:highlight w:val="none"/>
        </w:rPr>
      </w:pPr>
    </w:p>
    <w:p>
      <w:pPr>
        <w:pStyle w:val="40"/>
        <w:shd w:val="clear"/>
        <w:spacing w:line="360" w:lineRule="auto"/>
        <w:ind w:firstLine="0" w:firstLineChars="0"/>
        <w:jc w:val="center"/>
        <w:rPr>
          <w:rFonts w:hint="eastAsia" w:ascii="宋体" w:hAnsi="宋体" w:eastAsia="宋体" w:cs="宋体"/>
          <w:color w:val="auto"/>
          <w:highlight w:val="none"/>
        </w:rPr>
      </w:pPr>
      <w:bookmarkStart w:id="75" w:name="_Toc64369825"/>
      <w:r>
        <w:rPr>
          <w:rFonts w:hint="eastAsia" w:ascii="宋体" w:hAnsi="宋体" w:eastAsia="宋体" w:cs="宋体"/>
          <w:color w:val="auto"/>
          <w:highlight w:val="none"/>
        </w:rPr>
        <w:t>目 录</w:t>
      </w:r>
      <w:bookmarkEnd w:id="75"/>
    </w:p>
    <w:p>
      <w:pPr>
        <w:pStyle w:val="40"/>
        <w:shd w:val="clear"/>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1.开标一览表 …………………………………………………………………（页码）</w:t>
      </w:r>
    </w:p>
    <w:p>
      <w:pPr>
        <w:pStyle w:val="40"/>
        <w:shd w:val="clear"/>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2.关于报价的其他说明（如有，自拟）……………………………………（页码）</w:t>
      </w:r>
    </w:p>
    <w:p>
      <w:pPr>
        <w:shd w:val="clear"/>
        <w:snapToGrid w:val="0"/>
        <w:spacing w:before="50" w:after="50"/>
        <w:jc w:val="left"/>
        <w:rPr>
          <w:rFonts w:hint="eastAsia" w:ascii="宋体" w:hAnsi="宋体" w:eastAsia="宋体" w:cs="宋体"/>
          <w:b/>
          <w:color w:val="auto"/>
          <w:sz w:val="36"/>
          <w:szCs w:val="36"/>
          <w:highlight w:val="none"/>
        </w:rPr>
      </w:pPr>
    </w:p>
    <w:p>
      <w:pPr>
        <w:shd w:val="clear"/>
        <w:snapToGrid w:val="0"/>
        <w:spacing w:before="50" w:after="50"/>
        <w:jc w:val="left"/>
        <w:rPr>
          <w:rFonts w:hint="eastAsia" w:ascii="宋体" w:hAnsi="宋体" w:eastAsia="宋体" w:cs="宋体"/>
          <w:b/>
          <w:color w:val="auto"/>
          <w:sz w:val="36"/>
          <w:szCs w:val="36"/>
          <w:highlight w:val="none"/>
        </w:rPr>
      </w:pPr>
    </w:p>
    <w:p>
      <w:pPr>
        <w:shd w:val="clear"/>
        <w:snapToGrid w:val="0"/>
        <w:spacing w:before="50" w:after="50"/>
        <w:jc w:val="left"/>
        <w:rPr>
          <w:rFonts w:hint="eastAsia" w:ascii="宋体" w:hAnsi="宋体" w:eastAsia="宋体" w:cs="宋体"/>
          <w:b/>
          <w:color w:val="auto"/>
          <w:sz w:val="36"/>
          <w:szCs w:val="36"/>
          <w:highlight w:val="none"/>
        </w:rPr>
      </w:pPr>
    </w:p>
    <w:p>
      <w:pPr>
        <w:shd w:val="clear"/>
        <w:snapToGrid w:val="0"/>
        <w:spacing w:before="50" w:after="50"/>
        <w:jc w:val="left"/>
        <w:rPr>
          <w:rFonts w:hint="eastAsia" w:ascii="宋体" w:hAnsi="宋体" w:eastAsia="宋体" w:cs="宋体"/>
          <w:b/>
          <w:color w:val="auto"/>
          <w:sz w:val="36"/>
          <w:szCs w:val="36"/>
          <w:highlight w:val="none"/>
        </w:rPr>
      </w:pPr>
    </w:p>
    <w:p>
      <w:pPr>
        <w:shd w:val="clear"/>
        <w:snapToGrid w:val="0"/>
        <w:spacing w:before="50" w:after="50"/>
        <w:jc w:val="left"/>
        <w:rPr>
          <w:rFonts w:hint="eastAsia" w:ascii="宋体" w:hAnsi="宋体" w:eastAsia="宋体" w:cs="宋体"/>
          <w:b/>
          <w:color w:val="auto"/>
          <w:sz w:val="36"/>
          <w:szCs w:val="36"/>
          <w:highlight w:val="none"/>
        </w:rPr>
      </w:pPr>
    </w:p>
    <w:p>
      <w:pPr>
        <w:shd w:val="clear"/>
        <w:snapToGrid w:val="0"/>
        <w:spacing w:before="50" w:after="50"/>
        <w:jc w:val="left"/>
        <w:rPr>
          <w:rFonts w:hint="eastAsia" w:ascii="宋体" w:hAnsi="宋体" w:eastAsia="宋体" w:cs="宋体"/>
          <w:b/>
          <w:color w:val="auto"/>
          <w:sz w:val="36"/>
          <w:szCs w:val="36"/>
          <w:highlight w:val="none"/>
        </w:rPr>
      </w:pPr>
    </w:p>
    <w:p>
      <w:pPr>
        <w:shd w:val="clear"/>
        <w:snapToGrid w:val="0"/>
        <w:spacing w:before="50" w:after="50"/>
        <w:jc w:val="left"/>
        <w:rPr>
          <w:rFonts w:hint="eastAsia" w:ascii="宋体" w:hAnsi="宋体" w:eastAsia="宋体" w:cs="宋体"/>
          <w:b/>
          <w:color w:val="auto"/>
          <w:sz w:val="36"/>
          <w:szCs w:val="36"/>
          <w:highlight w:val="none"/>
        </w:rPr>
      </w:pPr>
    </w:p>
    <w:p>
      <w:pPr>
        <w:shd w:val="clear"/>
        <w:snapToGrid w:val="0"/>
        <w:spacing w:before="50" w:after="50"/>
        <w:jc w:val="left"/>
        <w:rPr>
          <w:rFonts w:hint="eastAsia" w:ascii="宋体" w:hAnsi="宋体" w:eastAsia="宋体" w:cs="宋体"/>
          <w:b/>
          <w:color w:val="auto"/>
          <w:sz w:val="36"/>
          <w:szCs w:val="36"/>
          <w:highlight w:val="none"/>
        </w:rPr>
      </w:pPr>
    </w:p>
    <w:p>
      <w:pPr>
        <w:shd w:val="clear"/>
        <w:snapToGrid w:val="0"/>
        <w:spacing w:before="50" w:after="50"/>
        <w:jc w:val="left"/>
        <w:rPr>
          <w:rFonts w:hint="eastAsia" w:ascii="宋体" w:hAnsi="宋体" w:eastAsia="宋体" w:cs="宋体"/>
          <w:b/>
          <w:color w:val="auto"/>
          <w:sz w:val="36"/>
          <w:szCs w:val="36"/>
          <w:highlight w:val="none"/>
        </w:rPr>
      </w:pPr>
    </w:p>
    <w:p>
      <w:pPr>
        <w:shd w:val="clear"/>
        <w:snapToGrid w:val="0"/>
        <w:spacing w:before="50" w:after="50"/>
        <w:jc w:val="left"/>
        <w:rPr>
          <w:rFonts w:hint="eastAsia" w:ascii="宋体" w:hAnsi="宋体" w:eastAsia="宋体" w:cs="宋体"/>
          <w:b/>
          <w:color w:val="auto"/>
          <w:sz w:val="36"/>
          <w:szCs w:val="36"/>
          <w:highlight w:val="none"/>
        </w:rPr>
      </w:pPr>
    </w:p>
    <w:p>
      <w:pPr>
        <w:shd w:val="clea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hd w:val="clear"/>
        <w:snapToGrid w:val="0"/>
        <w:spacing w:before="50" w:after="50"/>
        <w:jc w:val="left"/>
        <w:rPr>
          <w:rFonts w:hint="eastAsia" w:ascii="宋体" w:hAnsi="宋体" w:eastAsia="宋体" w:cs="宋体"/>
          <w:b/>
          <w:color w:val="auto"/>
          <w:sz w:val="36"/>
          <w:szCs w:val="36"/>
          <w:highlight w:val="none"/>
        </w:rPr>
        <w:sectPr>
          <w:footerReference r:id="rId9" w:type="default"/>
          <w:pgSz w:w="11907" w:h="16840"/>
          <w:pgMar w:top="1440" w:right="1463" w:bottom="1440" w:left="1803" w:header="851" w:footer="992" w:gutter="0"/>
          <w:cols w:space="720" w:num="1"/>
          <w:docGrid w:type="lines" w:linePitch="312" w:charSpace="0"/>
        </w:sectPr>
      </w:pPr>
    </w:p>
    <w:p>
      <w:pPr>
        <w:shd w:val="clea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附件19：</w:t>
      </w:r>
    </w:p>
    <w:p>
      <w:pPr>
        <w:shd w:val="clear"/>
        <w:snapToGrid w:val="0"/>
        <w:spacing w:before="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开标一览表</w:t>
      </w:r>
    </w:p>
    <w:p>
      <w:pPr>
        <w:shd w:val="clea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投标人地址：</w:t>
      </w:r>
      <w:r>
        <w:rPr>
          <w:rFonts w:hint="eastAsia" w:ascii="宋体" w:hAnsi="宋体" w:eastAsia="宋体" w:cs="宋体"/>
          <w:color w:val="auto"/>
          <w:sz w:val="24"/>
          <w:highlight w:val="none"/>
          <w:u w:val="single"/>
        </w:rPr>
        <w:t xml:space="preserve">                                    </w:t>
      </w:r>
    </w:p>
    <w:p>
      <w:pPr>
        <w:shd w:val="clear"/>
        <w:snapToGrid w:val="0"/>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u w:val="single"/>
        </w:rPr>
        <w:t xml:space="preserve">                                      </w:t>
      </w:r>
    </w:p>
    <w:tbl>
      <w:tblPr>
        <w:tblStyle w:val="2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p>
            <w:pPr>
              <w:pBdr>
                <w:top w:val="none" w:color="auto" w:sz="0" w:space="0"/>
                <w:left w:val="none" w:color="auto" w:sz="0" w:space="0"/>
                <w:bottom w:val="none" w:color="auto" w:sz="0" w:space="0"/>
                <w:right w:val="none" w:color="auto" w:sz="0" w:space="0"/>
              </w:pBdr>
              <w:shd w:val="clea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snapToGrid w:val="0"/>
              <w:spacing w:before="50" w:after="5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金额</w:t>
            </w:r>
          </w:p>
          <w:p>
            <w:pPr>
              <w:pBdr>
                <w:top w:val="none" w:color="auto" w:sz="0" w:space="0"/>
                <w:left w:val="none" w:color="auto" w:sz="0" w:space="0"/>
                <w:bottom w:val="none" w:color="auto" w:sz="0" w:space="0"/>
                <w:right w:val="none" w:color="auto" w:sz="0" w:space="0"/>
              </w:pBdr>
              <w:shd w:val="clea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hd w:val="clea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pPr>
              <w:shd w:val="clear"/>
              <w:rPr>
                <w:rFonts w:hint="eastAsia" w:ascii="宋体" w:hAnsi="宋体" w:eastAsia="宋体" w:cs="宋体"/>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hd w:val="clear"/>
              <w:snapToGrid w:val="0"/>
              <w:spacing w:before="50" w:after="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r>
    </w:tbl>
    <w:p>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 1.报价一经涂改，应在涂改处加盖单位公章或者由法定代表人或其授权代表签字或盖章，否则其投标作无效投标处理。</w:t>
      </w:r>
    </w:p>
    <w:p>
      <w:pPr>
        <w:shd w:val="clear"/>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2.招标人不接受2个(含)以上的报价或方案，若投标人在此表中有2个（含）以上的报价或方案，其投标作无效投标处理。</w:t>
      </w:r>
    </w:p>
    <w:p>
      <w:pPr>
        <w:shd w:val="clear"/>
        <w:snapToGrid w:val="0"/>
        <w:ind w:left="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3.有关本项目的招投标及项目实施所涉及的一切费用均计入投标报价。</w:t>
      </w:r>
    </w:p>
    <w:p>
      <w:pPr>
        <w:shd w:val="clear"/>
        <w:ind w:firstLine="482" w:firstLineChars="200"/>
        <w:rPr>
          <w:rFonts w:hint="eastAsia" w:ascii="宋体" w:hAnsi="宋体" w:eastAsia="宋体" w:cs="宋体"/>
          <w:b/>
          <w:color w:val="auto"/>
          <w:kern w:val="0"/>
          <w:sz w:val="24"/>
          <w:highlight w:val="none"/>
          <w:u w:val="single"/>
          <w:lang w:val="zh-CN"/>
        </w:rPr>
      </w:pPr>
      <w:r>
        <w:rPr>
          <w:rFonts w:hint="eastAsia" w:ascii="宋体" w:hAnsi="宋体" w:eastAsia="宋体" w:cs="宋体"/>
          <w:b/>
          <w:color w:val="auto"/>
          <w:sz w:val="24"/>
          <w:highlight w:val="none"/>
          <w:u w:val="single"/>
        </w:rPr>
        <w:t>4、</w:t>
      </w:r>
      <w:r>
        <w:rPr>
          <w:rFonts w:hint="eastAsia" w:ascii="宋体" w:hAnsi="宋体" w:eastAsia="宋体" w:cs="宋体"/>
          <w:b/>
          <w:color w:val="auto"/>
          <w:kern w:val="0"/>
          <w:sz w:val="24"/>
          <w:highlight w:val="none"/>
          <w:u w:val="single"/>
          <w:lang w:val="zh-CN"/>
        </w:rPr>
        <w:t>特别提示：采购机构将在中标公告中公布中标人的《开标一览表》，接受社会监督。</w:t>
      </w:r>
    </w:p>
    <w:p>
      <w:pPr>
        <w:shd w:val="clear"/>
        <w:ind w:firstLine="482" w:firstLineChars="200"/>
        <w:rPr>
          <w:rFonts w:hint="eastAsia" w:ascii="宋体" w:hAnsi="宋体" w:eastAsia="宋体" w:cs="宋体"/>
          <w:b/>
          <w:color w:val="auto"/>
          <w:kern w:val="0"/>
          <w:sz w:val="24"/>
          <w:highlight w:val="none"/>
          <w:u w:val="single"/>
          <w:lang w:val="zh-CN"/>
        </w:rPr>
      </w:pPr>
    </w:p>
    <w:p>
      <w:pPr>
        <w:shd w:val="clear"/>
        <w:snapToGrid w:val="0"/>
        <w:ind w:firstLine="480" w:firstLineChars="200"/>
        <w:jc w:val="left"/>
        <w:rPr>
          <w:rFonts w:hint="eastAsia" w:ascii="宋体" w:hAnsi="宋体" w:eastAsia="宋体" w:cs="宋体"/>
          <w:color w:val="auto"/>
          <w:sz w:val="24"/>
          <w:highlight w:val="none"/>
        </w:rPr>
      </w:pPr>
      <w:bookmarkStart w:id="76" w:name="_Toc64369826"/>
      <w:r>
        <w:rPr>
          <w:rFonts w:hint="eastAsia" w:ascii="宋体" w:hAnsi="宋体" w:eastAsia="宋体" w:cs="宋体"/>
          <w:color w:val="auto"/>
          <w:sz w:val="24"/>
          <w:highlight w:val="none"/>
        </w:rPr>
        <w:t xml:space="preserve">法定代表人或其授权代表签字（或盖章）：            </w:t>
      </w:r>
      <w:bookmarkEnd w:id="76"/>
    </w:p>
    <w:p>
      <w:pPr>
        <w:shd w:val="clear"/>
        <w:spacing w:line="360" w:lineRule="auto"/>
        <w:jc w:val="left"/>
        <w:outlineLvl w:val="0"/>
        <w:rPr>
          <w:rFonts w:hint="eastAsia" w:ascii="宋体" w:hAnsi="宋体" w:eastAsia="宋体" w:cs="宋体"/>
          <w:color w:val="auto"/>
          <w:sz w:val="24"/>
          <w:highlight w:val="none"/>
        </w:rPr>
      </w:pPr>
    </w:p>
    <w:p>
      <w:pPr>
        <w:shd w:val="clear"/>
        <w:snapToGrid w:val="0"/>
        <w:ind w:firstLine="480" w:firstLineChars="200"/>
        <w:jc w:val="left"/>
        <w:rPr>
          <w:rFonts w:hint="eastAsia" w:ascii="宋体" w:hAnsi="宋体" w:eastAsia="宋体" w:cs="宋体"/>
          <w:color w:val="auto"/>
          <w:sz w:val="24"/>
          <w:highlight w:val="none"/>
        </w:rPr>
      </w:pPr>
      <w:bookmarkStart w:id="77" w:name="_Toc64369827"/>
      <w:r>
        <w:rPr>
          <w:rFonts w:hint="eastAsia" w:ascii="宋体" w:hAnsi="宋体" w:eastAsia="宋体" w:cs="宋体"/>
          <w:color w:val="auto"/>
          <w:sz w:val="24"/>
          <w:highlight w:val="none"/>
        </w:rPr>
        <w:t>日期：    年   月   日</w:t>
      </w:r>
      <w:bookmarkEnd w:id="77"/>
    </w:p>
    <w:p>
      <w:pPr>
        <w:shd w:val="clear"/>
        <w:snapToGrid w:val="0"/>
        <w:ind w:firstLine="480" w:firstLineChars="200"/>
        <w:jc w:val="left"/>
        <w:rPr>
          <w:rFonts w:hint="eastAsia" w:ascii="宋体" w:hAnsi="宋体" w:eastAsia="宋体" w:cs="宋体"/>
          <w:color w:val="auto"/>
          <w:sz w:val="24"/>
          <w:highlight w:val="none"/>
        </w:rPr>
        <w:sectPr>
          <w:pgSz w:w="16840" w:h="11907" w:orient="landscape"/>
          <w:pgMar w:top="1803" w:right="1440" w:bottom="1236" w:left="1440" w:header="851" w:footer="992" w:gutter="0"/>
          <w:cols w:space="720" w:num="1"/>
          <w:docGrid w:type="lines" w:linePitch="312" w:charSpace="0"/>
        </w:sectPr>
      </w:pPr>
    </w:p>
    <w:p>
      <w:pPr>
        <w:pStyle w:val="3"/>
        <w:keepNext/>
        <w:keepLines/>
        <w:pageBreakBefore w:val="0"/>
        <w:widowControl w:val="0"/>
        <w:suppressLineNumbers w:val="0"/>
        <w:shd w:val="clear"/>
        <w:suppressAutoHyphens w:val="0"/>
        <w:spacing w:line="578" w:lineRule="auto"/>
        <w:jc w:val="center"/>
        <w:rPr>
          <w:rFonts w:hint="eastAsia" w:ascii="宋体" w:hAnsi="宋体" w:eastAsia="宋体" w:cs="宋体"/>
          <w:color w:val="auto"/>
          <w:highlight w:val="none"/>
        </w:rPr>
      </w:pPr>
      <w:bookmarkStart w:id="78" w:name="_Toc16291"/>
      <w:r>
        <w:rPr>
          <w:rFonts w:hint="eastAsia" w:ascii="宋体" w:hAnsi="宋体" w:eastAsia="宋体" w:cs="宋体"/>
          <w:color w:val="auto"/>
          <w:highlight w:val="none"/>
        </w:rPr>
        <w:t>第七章  询问、质疑及投诉</w:t>
      </w:r>
      <w:bookmarkEnd w:id="78"/>
    </w:p>
    <w:p>
      <w:pPr>
        <w:pStyle w:val="18"/>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4"/>
        <w:shd w:val="clear"/>
        <w:spacing w:line="415" w:lineRule="auto"/>
        <w:jc w:val="center"/>
        <w:rPr>
          <w:rFonts w:hint="eastAsia" w:ascii="宋体" w:hAnsi="宋体" w:eastAsia="宋体" w:cs="宋体"/>
          <w:color w:val="auto"/>
          <w:highlight w:val="none"/>
        </w:rPr>
      </w:pPr>
      <w:bookmarkStart w:id="79" w:name="_Toc31383"/>
      <w:r>
        <w:rPr>
          <w:rFonts w:hint="eastAsia" w:ascii="宋体" w:hAnsi="宋体" w:eastAsia="宋体" w:cs="宋体"/>
          <w:color w:val="auto"/>
          <w:highlight w:val="none"/>
        </w:rPr>
        <w:t>一、供应商询问</w:t>
      </w:r>
      <w:bookmarkEnd w:id="79"/>
    </w:p>
    <w:p>
      <w:pPr>
        <w:pStyle w:val="18"/>
        <w:shd w:val="clear"/>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pPr>
        <w:pStyle w:val="18"/>
        <w:shd w:val="clear"/>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1.2采购机构一般通过与询问相同的形式答复。</w:t>
      </w:r>
    </w:p>
    <w:p>
      <w:pPr>
        <w:pStyle w:val="4"/>
        <w:shd w:val="clear"/>
        <w:spacing w:line="415" w:lineRule="auto"/>
        <w:jc w:val="center"/>
        <w:rPr>
          <w:rFonts w:hint="eastAsia" w:ascii="宋体" w:hAnsi="宋体" w:eastAsia="宋体" w:cs="宋体"/>
          <w:color w:val="auto"/>
          <w:highlight w:val="none"/>
        </w:rPr>
      </w:pPr>
      <w:bookmarkStart w:id="80" w:name="_Toc25373"/>
      <w:r>
        <w:rPr>
          <w:rFonts w:hint="eastAsia" w:ascii="宋体" w:hAnsi="宋体" w:eastAsia="宋体" w:cs="宋体"/>
          <w:color w:val="auto"/>
          <w:highlight w:val="none"/>
        </w:rPr>
        <w:t>二、供应商质疑</w:t>
      </w:r>
      <w:bookmarkEnd w:id="80"/>
    </w:p>
    <w:p>
      <w:pPr>
        <w:pStyle w:val="18"/>
        <w:shd w:val="clear"/>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2.1质疑有效期：</w:t>
      </w:r>
    </w:p>
    <w:p>
      <w:pPr>
        <w:pStyle w:val="18"/>
        <w:shd w:val="clea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供应商可以在知道或者应知其权益受到损害之日起七个工作日内，以加盖供应商电子签章的数据电文形式，在政采云系统内向采购机构提出在线质疑：</w:t>
      </w:r>
    </w:p>
    <w:p>
      <w:pPr>
        <w:pStyle w:val="18"/>
        <w:shd w:val="clea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（1）采购公告中的资格条件、获取采购文件时间设定等不符合有关规定，致使供应商不能参与本项目采购活动的，质疑期限自采购公告发布之日起计算。</w:t>
      </w:r>
    </w:p>
    <w:p>
      <w:pPr>
        <w:pStyle w:val="18"/>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8"/>
        <w:shd w:val="clea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（3）对采购过程提出质疑的，质疑期限为各采购程序环节结束之日起计算。</w:t>
      </w:r>
    </w:p>
    <w:p>
      <w:pPr>
        <w:pStyle w:val="18"/>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（4）对采购结果提出质疑的，质疑期限自采购结果公告（包括公示、预公告、结果更正公告等）期限届满之日起计算。</w:t>
      </w:r>
    </w:p>
    <w:p>
      <w:pPr>
        <w:pStyle w:val="18"/>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（5）供应商应在法定质疑期内一次性提出针对同一采购程序环节的质疑。提供新的事实或证据的除外。</w:t>
      </w:r>
    </w:p>
    <w:p>
      <w:pPr>
        <w:pStyle w:val="18"/>
        <w:shd w:val="clear"/>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2.2质疑主体的有效性：</w:t>
      </w:r>
    </w:p>
    <w:p>
      <w:pPr>
        <w:pStyle w:val="18"/>
        <w:shd w:val="clear"/>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2.2.1提出质疑的供应商应当是参与所质疑项目采购活动的供应商。</w:t>
      </w:r>
    </w:p>
    <w:p>
      <w:pPr>
        <w:pStyle w:val="18"/>
        <w:shd w:val="clear"/>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2.2.2质疑人应当与质疑事项存在利害关系,不得提出“自杀式质疑”。</w:t>
      </w:r>
    </w:p>
    <w:p>
      <w:pPr>
        <w:pStyle w:val="18"/>
        <w:shd w:val="clear"/>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2.3质疑的答复</w:t>
      </w:r>
    </w:p>
    <w:p>
      <w:pPr>
        <w:pStyle w:val="18"/>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采购机构将在收到供应商的质疑后七个工作日内作出答复，但答复的内容不得涉及商业秘密。采购机构视情以变更公告等形式通知其他与质疑处理结果有利害关系的政府采购当事人。</w:t>
      </w:r>
    </w:p>
    <w:p>
      <w:pPr>
        <w:pStyle w:val="18"/>
        <w:shd w:val="clea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询问或者质疑事项可能影响采购结果的，采购人应当暂停签订合同，已经签订合同的，应当中止履行合同。</w:t>
      </w:r>
    </w:p>
    <w:p>
      <w:pPr>
        <w:pStyle w:val="18"/>
        <w:shd w:val="clear"/>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2.4质疑的撤回</w:t>
      </w:r>
    </w:p>
    <w:p>
      <w:pPr>
        <w:widowControl/>
        <w:shd w:val="clear"/>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供应商可以通过政采云系统撤回已经被受理的质疑书。</w:t>
      </w:r>
    </w:p>
    <w:p>
      <w:pPr>
        <w:pStyle w:val="4"/>
        <w:keepNext/>
        <w:keepLines/>
        <w:pageBreakBefore w:val="0"/>
        <w:widowControl w:val="0"/>
        <w:suppressLineNumbers w:val="0"/>
        <w:shd w:val="clear"/>
        <w:suppressAutoHyphens w:val="0"/>
        <w:spacing w:line="415" w:lineRule="auto"/>
        <w:rPr>
          <w:rFonts w:hint="eastAsia" w:ascii="宋体" w:hAnsi="宋体" w:eastAsia="宋体" w:cs="宋体"/>
          <w:color w:val="auto"/>
          <w:highlight w:val="none"/>
        </w:rPr>
      </w:pPr>
      <w:bookmarkStart w:id="81" w:name="_Toc17941"/>
      <w:r>
        <w:rPr>
          <w:rFonts w:hint="eastAsia" w:ascii="宋体" w:hAnsi="宋体" w:eastAsia="宋体" w:cs="宋体"/>
          <w:color w:val="auto"/>
          <w:highlight w:val="none"/>
        </w:rPr>
        <w:t>三、供应商投诉</w:t>
      </w:r>
      <w:bookmarkEnd w:id="81"/>
    </w:p>
    <w:p>
      <w:pPr>
        <w:widowControl/>
        <w:shd w:val="clear"/>
        <w:snapToGrid w:val="0"/>
        <w:spacing w:line="48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3.1投诉有效期</w:t>
      </w:r>
    </w:p>
    <w:p>
      <w:pPr>
        <w:widowControl/>
        <w:shd w:val="clear"/>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hd w:val="clear"/>
        <w:snapToGrid w:val="0"/>
        <w:spacing w:line="480" w:lineRule="exact"/>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特别提醒：质疑是投诉的前置程序，供应商必须先质疑后投诉。</w:t>
      </w:r>
    </w:p>
    <w:p>
      <w:pPr>
        <w:widowControl/>
        <w:shd w:val="clear"/>
        <w:snapToGrid w:val="0"/>
        <w:spacing w:line="48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3.2投诉内容</w:t>
      </w:r>
    </w:p>
    <w:p>
      <w:pPr>
        <w:widowControl/>
        <w:shd w:val="clear"/>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供应商投诉的事项不得超出已质疑事项的范围，但基于质疑答复内容提出的投诉事项除外。</w:t>
      </w:r>
    </w:p>
    <w:p>
      <w:pPr>
        <w:widowControl/>
        <w:shd w:val="clear"/>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投诉书需包括以下内容：</w:t>
      </w:r>
    </w:p>
    <w:p>
      <w:pPr>
        <w:widowControl/>
        <w:shd w:val="clear"/>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（一）投诉人和被投诉人的姓名或者名称、通讯地址、邮编、联系人及联系电话；</w:t>
      </w:r>
    </w:p>
    <w:p>
      <w:pPr>
        <w:widowControl/>
        <w:shd w:val="clear"/>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（二）质疑和质疑答复情况说明及相关证明材料；</w:t>
      </w:r>
    </w:p>
    <w:p>
      <w:pPr>
        <w:widowControl/>
        <w:shd w:val="clear"/>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（三）具体、明确的投诉事项和与投诉事项相关的投诉请求；</w:t>
      </w:r>
    </w:p>
    <w:p>
      <w:pPr>
        <w:widowControl/>
        <w:shd w:val="clear"/>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（四）事实依据；</w:t>
      </w:r>
    </w:p>
    <w:p>
      <w:pPr>
        <w:widowControl/>
        <w:shd w:val="clear"/>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（五）法律依据；</w:t>
      </w:r>
    </w:p>
    <w:p>
      <w:pPr>
        <w:widowControl/>
        <w:shd w:val="clear"/>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（六）提起投诉的日期。</w:t>
      </w:r>
    </w:p>
    <w:p>
      <w:pPr>
        <w:widowControl/>
        <w:shd w:val="clear"/>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投诉人为自然人的，应当由本人签字；投诉人为法人或者其他组织的，应当由法定代表人、主要负责人，或者其授权代表签字或者盖章，并加盖公章。</w:t>
      </w: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color w:val="auto"/>
          <w:kern w:val="0"/>
          <w:sz w:val="24"/>
          <w:highlight w:val="none"/>
        </w:rPr>
      </w:pPr>
    </w:p>
    <w:p>
      <w:pPr>
        <w:widowControl/>
        <w:shd w:val="clear"/>
        <w:snapToGrid w:val="0"/>
        <w:spacing w:line="48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附件：质疑函范本</w:t>
      </w:r>
    </w:p>
    <w:p>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w:t>
      </w:r>
    </w:p>
    <w:p>
      <w:pPr>
        <w:shd w:val="clear"/>
        <w:adjustRightInd w:val="0"/>
        <w:snapToGrid w:val="0"/>
        <w:spacing w:before="312"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single"/>
        </w:rPr>
        <w:t xml:space="preserve">                                        </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u w:val="single"/>
        </w:rPr>
        <w:t xml:space="preserve">                                      </w:t>
      </w:r>
    </w:p>
    <w:p>
      <w:pPr>
        <w:shd w:val="clea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single"/>
        </w:rPr>
        <w:t xml:space="preserve">                                      </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u w:val="single"/>
        </w:rPr>
        <w:t xml:space="preserve">                 </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rPr>
        <w:t xml:space="preserve">                                         </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single"/>
        </w:rPr>
        <w:t xml:space="preserve">                                           </w:t>
      </w:r>
    </w:p>
    <w:p>
      <w:pPr>
        <w:shd w:val="clea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single"/>
        </w:rPr>
        <w:t xml:space="preserve">                                         </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single"/>
        </w:rPr>
        <w:t xml:space="preserve">                                          </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hd w:val="clea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四、与质疑事项相关的请求</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请求1：</w:t>
      </w:r>
      <w:r>
        <w:rPr>
          <w:rFonts w:hint="eastAsia" w:ascii="宋体" w:hAnsi="宋体" w:eastAsia="宋体" w:cs="宋体"/>
          <w:color w:val="auto"/>
          <w:sz w:val="24"/>
          <w:szCs w:val="24"/>
          <w:highlight w:val="none"/>
          <w:u w:val="single"/>
        </w:rPr>
        <w:t xml:space="preserve">                                               </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请求2：</w:t>
      </w:r>
      <w:r>
        <w:rPr>
          <w:rFonts w:hint="eastAsia" w:ascii="宋体" w:hAnsi="宋体" w:eastAsia="宋体" w:cs="宋体"/>
          <w:color w:val="auto"/>
          <w:sz w:val="24"/>
          <w:szCs w:val="24"/>
          <w:highlight w:val="none"/>
          <w:u w:val="single"/>
        </w:rPr>
        <w:t xml:space="preserve">                                            </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hd w:val="clea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本公司承诺接受数据电文形式的质疑答复，视为书面答复。</w:t>
      </w:r>
    </w:p>
    <w:p>
      <w:pPr>
        <w:shd w:val="clear"/>
        <w:adjustRightInd w:val="0"/>
        <w:snapToGrid w:val="0"/>
        <w:spacing w:line="360" w:lineRule="auto"/>
        <w:rPr>
          <w:rFonts w:hint="eastAsia" w:ascii="宋体" w:hAnsi="宋体" w:eastAsia="宋体" w:cs="宋体"/>
          <w:b/>
          <w:bCs/>
          <w:color w:val="auto"/>
          <w:sz w:val="24"/>
          <w:szCs w:val="24"/>
          <w:highlight w:val="none"/>
          <w:u w:val="double"/>
          <w:lang w:eastAsia="zh-CN"/>
        </w:rPr>
      </w:pPr>
      <w:r>
        <w:rPr>
          <w:rFonts w:hint="eastAsia" w:ascii="宋体" w:hAnsi="宋体" w:eastAsia="宋体" w:cs="宋体"/>
          <w:b/>
          <w:bCs/>
          <w:color w:val="auto"/>
          <w:sz w:val="24"/>
          <w:szCs w:val="24"/>
          <w:highlight w:val="none"/>
          <w:u w:val="double"/>
          <w:lang w:eastAsia="zh-CN"/>
        </w:rPr>
        <w:t>（需附供应商法定代表人的授权委托书，以委托授权代表提出质疑，格式自拟）</w:t>
      </w:r>
    </w:p>
    <w:p>
      <w:pPr>
        <w:shd w:val="clear"/>
        <w:adjustRightInd w:val="0"/>
        <w:snapToGrid w:val="0"/>
        <w:spacing w:line="360" w:lineRule="auto"/>
        <w:rPr>
          <w:rFonts w:hint="eastAsia" w:ascii="宋体" w:hAnsi="宋体" w:eastAsia="宋体" w:cs="宋体"/>
          <w:color w:val="auto"/>
          <w:sz w:val="24"/>
          <w:szCs w:val="24"/>
          <w:highlight w:val="none"/>
          <w:u w:val="dotted"/>
        </w:rPr>
      </w:pPr>
    </w:p>
    <w:p>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授权代表签字(签章)：                 投标人签章：                      </w:t>
      </w:r>
    </w:p>
    <w:p>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hd w:val="clear"/>
        <w:adjustRightInd w:val="0"/>
        <w:snapToGrid w:val="0"/>
        <w:spacing w:line="360" w:lineRule="auto"/>
        <w:rPr>
          <w:rFonts w:hint="eastAsia" w:ascii="宋体" w:hAnsi="宋体" w:eastAsia="宋体" w:cs="宋体"/>
          <w:color w:val="auto"/>
          <w:sz w:val="24"/>
          <w:szCs w:val="24"/>
          <w:highlight w:val="none"/>
        </w:rPr>
      </w:pPr>
    </w:p>
    <w:p>
      <w:pPr>
        <w:shd w:val="clear"/>
        <w:adjustRightInd w:val="0"/>
        <w:snapToGrid w:val="0"/>
        <w:spacing w:line="360" w:lineRule="auto"/>
        <w:rPr>
          <w:rFonts w:hint="eastAsia" w:ascii="宋体" w:hAnsi="宋体" w:eastAsia="宋体" w:cs="宋体"/>
          <w:color w:val="auto"/>
          <w:kern w:val="0"/>
          <w:sz w:val="24"/>
          <w:szCs w:val="24"/>
          <w:highlight w:val="none"/>
        </w:rPr>
      </w:pPr>
    </w:p>
    <w:p>
      <w:pPr>
        <w:shd w:val="clear"/>
        <w:adjustRightInd w:val="0"/>
        <w:snapToGrid w:val="0"/>
        <w:spacing w:line="360" w:lineRule="auto"/>
        <w:rPr>
          <w:rFonts w:hint="eastAsia" w:ascii="宋体" w:hAnsi="宋体" w:eastAsia="宋体"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5E0F5BF"/>
    <w:multiLevelType w:val="singleLevel"/>
    <w:tmpl w:val="A5E0F5BF"/>
    <w:lvl w:ilvl="0" w:tentative="0">
      <w:start w:val="1"/>
      <w:numFmt w:val="decimal"/>
      <w:lvlText w:val="%1)"/>
      <w:lvlJc w:val="left"/>
      <w:pPr>
        <w:tabs>
          <w:tab w:val="left" w:pos="420"/>
        </w:tabs>
        <w:ind w:left="845" w:hanging="425"/>
      </w:pPr>
      <w:rPr>
        <w:rFonts w:hint="default"/>
      </w:rPr>
    </w:lvl>
  </w:abstractNum>
  <w:abstractNum w:abstractNumId="2">
    <w:nsid w:val="A5EBC20B"/>
    <w:multiLevelType w:val="singleLevel"/>
    <w:tmpl w:val="A5EBC20B"/>
    <w:lvl w:ilvl="0" w:tentative="0">
      <w:start w:val="1"/>
      <w:numFmt w:val="decimal"/>
      <w:lvlText w:val="%1)"/>
      <w:lvlJc w:val="left"/>
      <w:pPr>
        <w:tabs>
          <w:tab w:val="left" w:pos="420"/>
        </w:tabs>
        <w:ind w:left="845" w:hanging="425"/>
      </w:pPr>
      <w:rPr>
        <w:rFonts w:hint="default"/>
      </w:rPr>
    </w:lvl>
  </w:abstractNum>
  <w:abstractNum w:abstractNumId="3">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C8B93C49"/>
    <w:multiLevelType w:val="singleLevel"/>
    <w:tmpl w:val="C8B93C49"/>
    <w:lvl w:ilvl="0" w:tentative="0">
      <w:start w:val="1"/>
      <w:numFmt w:val="decimal"/>
      <w:lvlText w:val="%1)"/>
      <w:lvlJc w:val="left"/>
      <w:pPr>
        <w:tabs>
          <w:tab w:val="left" w:pos="420"/>
        </w:tabs>
        <w:ind w:left="845" w:hanging="425"/>
      </w:pPr>
      <w:rPr>
        <w:rFonts w:hint="default"/>
      </w:rPr>
    </w:lvl>
  </w:abstractNum>
  <w:abstractNum w:abstractNumId="6">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7">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8">
    <w:nsid w:val="0BBA2841"/>
    <w:multiLevelType w:val="singleLevel"/>
    <w:tmpl w:val="0BBA2841"/>
    <w:lvl w:ilvl="0" w:tentative="0">
      <w:start w:val="1"/>
      <w:numFmt w:val="decimal"/>
      <w:lvlText w:val="%1)"/>
      <w:lvlJc w:val="left"/>
      <w:pPr>
        <w:tabs>
          <w:tab w:val="left" w:pos="420"/>
        </w:tabs>
        <w:ind w:left="845" w:hanging="425"/>
      </w:pPr>
      <w:rPr>
        <w:rFonts w:hint="default"/>
      </w:rPr>
    </w:lvl>
  </w:abstractNum>
  <w:abstractNum w:abstractNumId="9">
    <w:nsid w:val="0C345CEB"/>
    <w:multiLevelType w:val="singleLevel"/>
    <w:tmpl w:val="0C345CEB"/>
    <w:lvl w:ilvl="0" w:tentative="0">
      <w:start w:val="1"/>
      <w:numFmt w:val="decimal"/>
      <w:lvlText w:val="%1)"/>
      <w:lvlJc w:val="left"/>
      <w:pPr>
        <w:tabs>
          <w:tab w:val="left" w:pos="420"/>
        </w:tabs>
        <w:ind w:left="845" w:hanging="425"/>
      </w:pPr>
      <w:rPr>
        <w:rFonts w:hint="default"/>
      </w:rPr>
    </w:lvl>
  </w:abstractNum>
  <w:abstractNum w:abstractNumId="10">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11">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2">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3">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0"/>
  </w:num>
  <w:num w:numId="2">
    <w:abstractNumId w:val="4"/>
  </w:num>
  <w:num w:numId="3">
    <w:abstractNumId w:val="3"/>
  </w:num>
  <w:num w:numId="4">
    <w:abstractNumId w:val="12"/>
  </w:num>
  <w:num w:numId="5">
    <w:abstractNumId w:val="8"/>
  </w:num>
  <w:num w:numId="6">
    <w:abstractNumId w:val="9"/>
  </w:num>
  <w:num w:numId="7">
    <w:abstractNumId w:val="2"/>
  </w:num>
  <w:num w:numId="8">
    <w:abstractNumId w:val="5"/>
  </w:num>
  <w:num w:numId="9">
    <w:abstractNumId w:val="1"/>
  </w:num>
  <w:num w:numId="10">
    <w:abstractNumId w:val="6"/>
  </w:num>
  <w:num w:numId="11">
    <w:abstractNumId w:val="7"/>
  </w:num>
  <w:num w:numId="12">
    <w:abstractNumId w:val="1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ZTRiOWM5ZDhmNjAxNTQxNWU2MTdmNWViMGExZDJjMmEifQ=="/>
  </w:docVars>
  <w:rsids>
    <w:rsidRoot w:val="00000000"/>
    <w:rsid w:val="02155A94"/>
    <w:rsid w:val="07334CB8"/>
    <w:rsid w:val="076D469F"/>
    <w:rsid w:val="07C3353B"/>
    <w:rsid w:val="081A1545"/>
    <w:rsid w:val="09E34BDB"/>
    <w:rsid w:val="0A836945"/>
    <w:rsid w:val="0A983074"/>
    <w:rsid w:val="0C232D87"/>
    <w:rsid w:val="0E0B4BC2"/>
    <w:rsid w:val="147E276B"/>
    <w:rsid w:val="153A3A07"/>
    <w:rsid w:val="19CF3227"/>
    <w:rsid w:val="1C660C85"/>
    <w:rsid w:val="1F4F3C8C"/>
    <w:rsid w:val="21CB0B20"/>
    <w:rsid w:val="24FC31DA"/>
    <w:rsid w:val="28D03941"/>
    <w:rsid w:val="298E3F12"/>
    <w:rsid w:val="2BA0119A"/>
    <w:rsid w:val="2BC576F6"/>
    <w:rsid w:val="2DE5307A"/>
    <w:rsid w:val="35173D58"/>
    <w:rsid w:val="360858DC"/>
    <w:rsid w:val="391815C9"/>
    <w:rsid w:val="3B386EBF"/>
    <w:rsid w:val="428464C5"/>
    <w:rsid w:val="46D46ADF"/>
    <w:rsid w:val="46D729A5"/>
    <w:rsid w:val="4AD819EC"/>
    <w:rsid w:val="4BD616FB"/>
    <w:rsid w:val="52687899"/>
    <w:rsid w:val="536F510F"/>
    <w:rsid w:val="56D03E0D"/>
    <w:rsid w:val="57357126"/>
    <w:rsid w:val="584667E1"/>
    <w:rsid w:val="59817451"/>
    <w:rsid w:val="5C957F91"/>
    <w:rsid w:val="5EE270CE"/>
    <w:rsid w:val="62B63E12"/>
    <w:rsid w:val="62E6604F"/>
    <w:rsid w:val="68D335F2"/>
    <w:rsid w:val="6972446D"/>
    <w:rsid w:val="6A88233D"/>
    <w:rsid w:val="6ACD4147"/>
    <w:rsid w:val="6D5E733D"/>
    <w:rsid w:val="6DC7531B"/>
    <w:rsid w:val="6F7A6951"/>
    <w:rsid w:val="7BDE0C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customStyle="1" w:styleId="2">
    <w:name w:val="正文（首行缩进2字符）"/>
    <w:basedOn w:val="1"/>
    <w:qFormat/>
    <w:uiPriority w:val="0"/>
    <w:pPr>
      <w:spacing w:line="360" w:lineRule="auto"/>
      <w:ind w:firstLine="480" w:firstLineChars="200"/>
    </w:pPr>
    <w:rPr>
      <w:sz w:val="24"/>
      <w:szCs w:val="20"/>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w:basedOn w:val="1"/>
    <w:next w:val="1"/>
    <w:qFormat/>
    <w:uiPriority w:val="0"/>
    <w:pPr>
      <w:spacing w:after="120"/>
    </w:pPr>
  </w:style>
  <w:style w:type="paragraph" w:styleId="14">
    <w:name w:val="Body Text Indent"/>
    <w:basedOn w:val="1"/>
    <w:next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Block Text"/>
    <w:basedOn w:val="1"/>
    <w:qFormat/>
    <w:uiPriority w:val="99"/>
    <w:pPr>
      <w:spacing w:beforeLines="50" w:afterLines="50"/>
      <w:ind w:left="426" w:right="-11" w:hanging="426" w:hangingChars="203"/>
    </w:pPr>
    <w:rPr>
      <w:rFonts w:eastAsia="楷体_GB2312"/>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annotation subject"/>
    <w:basedOn w:val="11"/>
    <w:next w:val="11"/>
    <w:qFormat/>
    <w:uiPriority w:val="0"/>
    <w:rPr>
      <w:b/>
    </w:rPr>
  </w:style>
  <w:style w:type="paragraph" w:styleId="27">
    <w:name w:val="Body Text First Indent 2"/>
    <w:basedOn w:val="14"/>
    <w:qFormat/>
    <w:uiPriority w:val="0"/>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6">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77</Pages>
  <Words>35732</Words>
  <Characters>39089</Characters>
  <Lines>1498</Lines>
  <Paragraphs>801</Paragraphs>
  <TotalTime>41</TotalTime>
  <ScaleCrop>false</ScaleCrop>
  <LinksUpToDate>false</LinksUpToDate>
  <CharactersWithSpaces>41979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娜娜</cp:lastModifiedBy>
  <cp:lastPrinted>2020-02-27T03:07:00Z</cp:lastPrinted>
  <dcterms:modified xsi:type="dcterms:W3CDTF">2023-07-25T12:30:12Z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3C2ADC9FE0094AC8A7ECC6ECCC1254C0_13</vt:lpwstr>
  </property>
</Properties>
</file>