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color w:val="auto"/>
          <w:spacing w:val="-12"/>
          <w:sz w:val="48"/>
          <w:szCs w:val="48"/>
        </w:rPr>
      </w:pPr>
    </w:p>
    <w:p>
      <w:pPr>
        <w:spacing w:beforeLines="50" w:afterLines="50" w:line="360" w:lineRule="auto"/>
        <w:jc w:val="center"/>
        <w:outlineLvl w:val="0"/>
        <w:rPr>
          <w:rFonts w:ascii="仿宋" w:hAnsi="仿宋" w:eastAsia="仿宋" w:cs="仿宋"/>
          <w:b/>
          <w:color w:val="auto"/>
          <w:spacing w:val="-12"/>
          <w:sz w:val="48"/>
          <w:szCs w:val="48"/>
        </w:rPr>
      </w:pPr>
      <w:r>
        <w:rPr>
          <w:rFonts w:hint="eastAsia" w:ascii="仿宋" w:hAnsi="仿宋" w:eastAsia="仿宋" w:cs="仿宋"/>
          <w:b/>
          <w:color w:val="auto"/>
          <w:spacing w:val="-12"/>
          <w:sz w:val="48"/>
          <w:szCs w:val="48"/>
        </w:rPr>
        <w:t>绍兴市防汛防旱应急保障中心水资源管理与调配及市级九龙联动治水应用项目</w:t>
      </w:r>
    </w:p>
    <w:p>
      <w:pPr>
        <w:outlineLvl w:val="0"/>
        <w:rPr>
          <w:rFonts w:ascii="仿宋" w:hAnsi="仿宋" w:eastAsia="仿宋" w:cs="仿宋"/>
          <w:color w:val="auto"/>
          <w:sz w:val="44"/>
        </w:rPr>
      </w:pPr>
    </w:p>
    <w:p>
      <w:pPr>
        <w:outlineLvl w:val="0"/>
        <w:rPr>
          <w:rFonts w:ascii="仿宋" w:hAnsi="仿宋" w:eastAsia="仿宋" w:cs="仿宋"/>
          <w:color w:val="auto"/>
          <w:sz w:val="44"/>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jc w:val="center"/>
        <w:outlineLvl w:val="0"/>
        <w:rPr>
          <w:rFonts w:ascii="仿宋" w:hAnsi="仿宋" w:eastAsia="仿宋" w:cs="仿宋"/>
          <w:color w:val="auto"/>
          <w:sz w:val="44"/>
        </w:rPr>
      </w:pPr>
      <w:r>
        <w:rPr>
          <w:rFonts w:hint="eastAsia" w:ascii="仿宋" w:hAnsi="仿宋" w:eastAsia="仿宋" w:cs="仿宋"/>
          <w:color w:val="auto"/>
          <w:sz w:val="44"/>
        </w:rPr>
        <w:t>（电子招投标）</w:t>
      </w:r>
    </w:p>
    <w:p>
      <w:pPr>
        <w:jc w:val="center"/>
        <w:outlineLvl w:val="0"/>
        <w:rPr>
          <w:rFonts w:ascii="仿宋" w:hAnsi="仿宋" w:eastAsia="仿宋" w:cs="仿宋"/>
          <w:color w:val="auto"/>
          <w:sz w:val="44"/>
        </w:rPr>
      </w:pPr>
    </w:p>
    <w:p>
      <w:pPr>
        <w:jc w:val="center"/>
        <w:rPr>
          <w:rFonts w:ascii="仿宋" w:hAnsi="仿宋" w:eastAsia="仿宋" w:cs="仿宋"/>
          <w:b/>
          <w:color w:val="auto"/>
          <w:sz w:val="28"/>
          <w:szCs w:val="28"/>
        </w:rPr>
      </w:pPr>
      <w:r>
        <w:rPr>
          <w:rFonts w:hint="eastAsia" w:ascii="仿宋" w:hAnsi="仿宋" w:eastAsia="仿宋" w:cs="仿宋"/>
          <w:b/>
          <w:color w:val="auto"/>
          <w:sz w:val="28"/>
          <w:szCs w:val="28"/>
        </w:rPr>
        <w:t>招标编号:ZJXSC-2023-042</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7"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绍兴市防汛防旱应急保障中心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389240316"/>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浙江翔实建设项目管理有限公司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二○二三年四月</w:t>
            </w:r>
          </w:p>
        </w:tc>
      </w:tr>
    </w:tbl>
    <w:p>
      <w:pPr>
        <w:pStyle w:val="2"/>
        <w:rPr>
          <w:color w:val="auto"/>
        </w:rPr>
        <w:sectPr>
          <w:headerReference r:id="rId4" w:type="first"/>
          <w:footerReference r:id="rId6" w:type="first"/>
          <w:headerReference r:id="rId3" w:type="default"/>
          <w:footerReference r:id="rId5" w:type="default"/>
          <w:pgSz w:w="11906" w:h="16838"/>
          <w:pgMar w:top="1440" w:right="1558" w:bottom="1246" w:left="1758" w:header="1021" w:footer="902" w:gutter="0"/>
          <w:pgNumType w:fmt="decimal" w:start="1"/>
          <w:cols w:space="425" w:num="1"/>
          <w:titlePg/>
          <w:docGrid w:type="lines" w:linePitch="312" w:charSpace="0"/>
        </w:sectPr>
      </w:pPr>
    </w:p>
    <w:p>
      <w:pPr>
        <w:pStyle w:val="2"/>
        <w:rPr>
          <w:color w:val="auto"/>
        </w:rPr>
      </w:pPr>
    </w:p>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ascii="仿宋" w:hAnsi="仿宋" w:eastAsia="仿宋" w:cs="仿宋"/>
          <w:b/>
          <w:color w:val="auto"/>
          <w:sz w:val="44"/>
          <w:szCs w:val="44"/>
        </w:rPr>
      </w:pPr>
    </w:p>
    <w:p>
      <w:pPr>
        <w:jc w:val="center"/>
        <w:rPr>
          <w:rFonts w:ascii="仿宋" w:hAnsi="仿宋" w:eastAsia="仿宋" w:cs="仿宋"/>
          <w:color w:val="auto"/>
        </w:rPr>
      </w:pP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pageBreakBefore/>
        <w:widowControl/>
        <w:jc w:val="center"/>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13141" w:hRule="atLeast"/>
        </w:trPr>
        <w:tc>
          <w:tcPr>
            <w:tcW w:w="8789" w:type="dxa"/>
            <w:vAlign w:val="center"/>
          </w:tcPr>
          <w:p>
            <w:pPr>
              <w:rPr>
                <w:rFonts w:ascii="仿宋" w:hAnsi="仿宋" w:eastAsia="仿宋" w:cs="仿宋"/>
                <w:color w:val="auto"/>
              </w:rPr>
            </w:pPr>
            <w:r>
              <w:rPr>
                <w:rFonts w:hint="eastAsia" w:ascii="仿宋" w:hAnsi="仿宋" w:eastAsia="仿宋" w:cs="仿宋"/>
                <w:color w:val="auto"/>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项目概况：</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绍兴市防汛防旱应急保障中心水资源管理与调配及市级九龙联动治水应用项目的潜在投标人应在</w:t>
                  </w:r>
                  <w:r>
                    <w:rPr>
                      <w:rStyle w:val="278"/>
                      <w:rFonts w:hint="eastAsia" w:ascii="仿宋" w:hAnsi="仿宋" w:eastAsia="仿宋" w:cs="仿宋"/>
                      <w:color w:val="auto"/>
                      <w:sz w:val="27"/>
                      <w:szCs w:val="27"/>
                    </w:rPr>
                    <w:t>https://www.zcygov.cn</w:t>
                  </w:r>
                  <w:r>
                    <w:rPr>
                      <w:rFonts w:hint="eastAsia" w:ascii="仿宋" w:hAnsi="仿宋" w:eastAsia="仿宋" w:cs="仿宋"/>
                      <w:color w:val="auto"/>
                      <w:szCs w:val="24"/>
                    </w:rPr>
                    <w:t>获取（下载）招标文件，并于2023年</w:t>
                  </w:r>
                  <w:r>
                    <w:rPr>
                      <w:rFonts w:hint="eastAsia" w:ascii="仿宋" w:hAnsi="仿宋" w:eastAsia="仿宋" w:cs="仿宋"/>
                      <w:color w:val="auto"/>
                      <w:szCs w:val="24"/>
                      <w:lang w:val="en-US" w:eastAsia="zh-CN"/>
                    </w:rPr>
                    <w:t>5</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8</w:t>
                  </w:r>
                  <w:r>
                    <w:rPr>
                      <w:rFonts w:hint="eastAsia" w:ascii="仿宋" w:hAnsi="仿宋" w:eastAsia="仿宋" w:cs="仿宋"/>
                      <w:color w:val="auto"/>
                      <w:szCs w:val="24"/>
                    </w:rPr>
                    <w:t>日 09:00（北京时间）前递交（上传）投标文件。</w:t>
                  </w:r>
                </w:p>
              </w:tc>
            </w:tr>
          </w:tbl>
          <w:p>
            <w:pPr>
              <w:pStyle w:val="70"/>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一、项目基本情况</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项目编号：ZJXSC-2023-042</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项目名称：水资源管理与调配及市级九龙联动治水应用项目</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采购方式：公开招标</w:t>
            </w:r>
          </w:p>
          <w:p>
            <w:pPr>
              <w:pStyle w:val="70"/>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预算金额（元）：</w:t>
            </w:r>
            <w:r>
              <w:rPr>
                <w:rFonts w:hint="eastAsia" w:ascii="仿宋" w:hAnsi="仿宋" w:eastAsia="仿宋" w:cs="仿宋"/>
                <w:color w:val="auto"/>
                <w:szCs w:val="24"/>
                <w:lang w:eastAsia="zh-CN"/>
              </w:rPr>
              <w:t>1995000</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最高限价（元）：1995000</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采购需求：</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标项一:</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标项名称:水资源管理与调配及市级九龙联动治水应用项目</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数量:1</w:t>
            </w:r>
          </w:p>
          <w:p>
            <w:pPr>
              <w:pStyle w:val="70"/>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预算金额（元）:</w:t>
            </w:r>
            <w:r>
              <w:rPr>
                <w:rFonts w:hint="eastAsia" w:ascii="仿宋" w:hAnsi="仿宋" w:eastAsia="仿宋" w:cs="仿宋"/>
                <w:color w:val="auto"/>
                <w:szCs w:val="24"/>
                <w:lang w:eastAsia="zh-CN"/>
              </w:rPr>
              <w:t>1995000</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简要规格描述或项目基本概况介绍、用途：详见采购文件</w:t>
            </w:r>
            <w:r>
              <w:rPr>
                <w:rFonts w:hint="eastAsia" w:ascii="仿宋" w:hAnsi="仿宋" w:eastAsia="仿宋" w:cs="仿宋"/>
                <w:color w:val="auto"/>
                <w:szCs w:val="24"/>
                <w:lang w:eastAsia="zh-CN"/>
              </w:rPr>
              <w:t>。</w:t>
            </w:r>
            <w:r>
              <w:rPr>
                <w:rFonts w:hint="eastAsia" w:ascii="仿宋" w:hAnsi="仿宋" w:eastAsia="仿宋" w:cs="仿宋"/>
                <w:color w:val="auto"/>
                <w:szCs w:val="24"/>
              </w:rPr>
              <w:t>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备注：无。</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本项目（否）接受联合体投标。</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二、申请人的资格要求：</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2.落实政府采购政策需满足的资格要求：无。</w:t>
            </w:r>
          </w:p>
          <w:p>
            <w:pPr>
              <w:pStyle w:val="70"/>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3.本项目的特定资格要求：无。</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三、获取招标文件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时间：/至2023年</w:t>
            </w:r>
            <w:r>
              <w:rPr>
                <w:rFonts w:hint="eastAsia" w:ascii="仿宋" w:hAnsi="仿宋" w:eastAsia="仿宋" w:cs="仿宋"/>
                <w:color w:val="auto"/>
                <w:szCs w:val="24"/>
                <w:lang w:val="en-US" w:eastAsia="zh-CN"/>
              </w:rPr>
              <w:t>5</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8</w:t>
            </w:r>
            <w:r>
              <w:rPr>
                <w:rFonts w:hint="eastAsia" w:ascii="仿宋" w:hAnsi="仿宋" w:eastAsia="仿宋" w:cs="仿宋"/>
                <w:color w:val="auto"/>
                <w:szCs w:val="24"/>
              </w:rPr>
              <w:t>日，每天上午00:00至12:00 ，下午12:00至23:59（北京时间，线上获取法定节假日均可，线下获取文件法定节假日除外）</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地点（网址）：</w:t>
            </w:r>
            <w:r>
              <w:rPr>
                <w:rFonts w:hint="eastAsia" w:ascii="仿宋" w:hAnsi="仿宋" w:eastAsia="仿宋" w:cs="仿宋"/>
                <w:bCs/>
                <w:color w:val="auto"/>
              </w:rPr>
              <w:t>http://www.zcygov.cn/</w:t>
            </w:r>
            <w:r>
              <w:rPr>
                <w:rFonts w:hint="eastAsia" w:ascii="仿宋" w:hAnsi="仿宋" w:eastAsia="仿宋" w:cs="仿宋"/>
                <w:color w:val="auto"/>
                <w:szCs w:val="24"/>
              </w:rPr>
              <w:t>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方式：</w:t>
            </w:r>
            <w:r>
              <w:rPr>
                <w:rFonts w:hint="eastAsia" w:ascii="仿宋" w:hAnsi="仿宋" w:eastAsia="仿宋" w:cs="仿宋"/>
                <w:bCs/>
                <w:color w:val="auto"/>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售价（元）：0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四、提交投标文件截止时间、开标时间和地点</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提交投标文件截止时间：2023年</w:t>
            </w:r>
            <w:r>
              <w:rPr>
                <w:rFonts w:hint="eastAsia" w:ascii="仿宋" w:hAnsi="仿宋" w:eastAsia="仿宋" w:cs="仿宋"/>
                <w:color w:val="auto"/>
                <w:szCs w:val="24"/>
                <w:lang w:val="en-US" w:eastAsia="zh-CN"/>
              </w:rPr>
              <w:t>5</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8</w:t>
            </w:r>
            <w:r>
              <w:rPr>
                <w:rFonts w:hint="eastAsia" w:ascii="仿宋" w:hAnsi="仿宋" w:eastAsia="仿宋" w:cs="仿宋"/>
                <w:color w:val="auto"/>
                <w:szCs w:val="24"/>
              </w:rPr>
              <w:t>日 09:00（北京时间）</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投标地点（网址）：政采云平台</w:t>
            </w:r>
            <w:r>
              <w:rPr>
                <w:rFonts w:hint="eastAsia" w:ascii="仿宋" w:hAnsi="仿宋" w:eastAsia="仿宋" w:cs="仿宋"/>
                <w:bCs/>
                <w:color w:val="auto"/>
              </w:rPr>
              <w:t>http://www.zcygov.cn/</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开标时间：2023年</w:t>
            </w:r>
            <w:r>
              <w:rPr>
                <w:rFonts w:hint="eastAsia" w:ascii="仿宋" w:hAnsi="仿宋" w:eastAsia="仿宋" w:cs="仿宋"/>
                <w:color w:val="auto"/>
                <w:szCs w:val="24"/>
                <w:lang w:val="en-US" w:eastAsia="zh-CN"/>
              </w:rPr>
              <w:t>5</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8</w:t>
            </w:r>
            <w:r>
              <w:rPr>
                <w:rFonts w:hint="eastAsia" w:ascii="仿宋" w:hAnsi="仿宋" w:eastAsia="仿宋" w:cs="仿宋"/>
                <w:color w:val="auto"/>
                <w:szCs w:val="24"/>
              </w:rPr>
              <w:t>日 09:00</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开标地点（网址）：绍兴市越城区阳明北路692号浙江翔实建设项目管理有限公司一楼开标室，在政府采购云平台（www.zcygov.cn）上开启响应文件。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五、公告期限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自本公告发布之日起5个工作日。</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六、其他补充事宜</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2.其他事项：（1）需要落实的政府采购政策：包括节约资源、保护环境、支持创新、促进中小企业发展等。详见招标文件的第二部分总则。（2）</w:t>
            </w:r>
            <w:r>
              <w:rPr>
                <w:rFonts w:hint="eastAsia" w:ascii="仿宋" w:hAnsi="仿宋" w:eastAsia="仿宋" w:cs="仿宋"/>
                <w:color w:va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rPr>
              <w:t>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七、对本次采购提出询问、质疑、投诉，请按以下方式联系</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1.采购人信息</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名称：绍兴市防汛防旱应急保障中心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地址：绍兴市洋江西路589号9号楼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项目联系人（询问）：代俊玲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项目联系方式（询问）：0575-85179623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质疑联系人：徐侃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质疑联系方式：0575-851677572</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2.采购代理机构信息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名称：浙江翔实建设项目管理有限公司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地址：绍兴市越城区阳明北路692号</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项目联系人（询问）：丁诗哲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项目联系方式（询问）：0575-88682896</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质疑联系人：孙莉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质疑联系方式：0575-88976639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3.同级政府采购监督管理部门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名称：绍兴市财政局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地址：绍兴市越城区凤林西路151号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传真：0575-85209806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联系人 ：吴滟      </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监督投诉电话：0575-85209645         </w:t>
            </w:r>
          </w:p>
          <w:p>
            <w:pPr>
              <w:pStyle w:val="70"/>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r>
        <w:tblPrEx>
          <w:tblCellMar>
            <w:top w:w="0" w:type="dxa"/>
            <w:left w:w="0" w:type="dxa"/>
            <w:bottom w:w="0" w:type="dxa"/>
            <w:right w:w="0" w:type="dxa"/>
          </w:tblCellMar>
        </w:tblPrEx>
        <w:tc>
          <w:tcPr>
            <w:tcW w:w="8789" w:type="dxa"/>
            <w:vAlign w:val="center"/>
          </w:tcPr>
          <w:p>
            <w:pPr>
              <w:rPr>
                <w:rFonts w:ascii="仿宋" w:hAnsi="仿宋" w:eastAsia="仿宋" w:cs="仿宋"/>
                <w:color w:val="auto"/>
              </w:rPr>
            </w:pPr>
            <w:r>
              <w:rPr>
                <w:rFonts w:hint="eastAsia" w:ascii="仿宋" w:hAnsi="仿宋" w:eastAsia="仿宋" w:cs="仿宋"/>
                <w:color w:val="auto"/>
              </w:rPr>
              <w:t>·</w:t>
            </w:r>
          </w:p>
        </w:tc>
      </w:tr>
    </w:tbl>
    <w:p>
      <w:pPr>
        <w:widowControl/>
        <w:jc w:val="left"/>
        <w:rPr>
          <w:rFonts w:ascii="仿宋" w:hAnsi="仿宋" w:eastAsia="仿宋" w:cs="仿宋"/>
          <w:color w:val="auto"/>
          <w:kern w:val="0"/>
          <w:sz w:val="24"/>
        </w:rPr>
      </w:pPr>
      <w:r>
        <w:rPr>
          <w:rFonts w:hint="eastAsia" w:ascii="仿宋" w:hAnsi="仿宋" w:eastAsia="仿宋" w:cs="仿宋"/>
          <w:color w:val="auto"/>
        </w:rPr>
        <w:br w:type="page"/>
      </w:r>
    </w:p>
    <w:p>
      <w:pPr>
        <w:pageBreakBefore/>
        <w:ind w:left="238"/>
        <w:jc w:val="center"/>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ascii="仿宋" w:hAnsi="仿宋" w:eastAsia="仿宋" w:cs="仿宋"/>
          <w:b/>
          <w:color w:val="auto"/>
          <w:sz w:val="30"/>
          <w:szCs w:val="36"/>
        </w:rPr>
      </w:pPr>
      <w:bookmarkStart w:id="0" w:name="_Hlk47616320"/>
      <w:r>
        <w:rPr>
          <w:rFonts w:hint="eastAsia" w:ascii="仿宋" w:hAnsi="仿宋" w:eastAsia="仿宋" w:cs="仿宋"/>
          <w:b/>
          <w:color w:val="auto"/>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311"/>
        <w:gridCol w:w="7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491" w:type="dxa"/>
            <w:gridSpan w:val="2"/>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491" w:type="dxa"/>
            <w:gridSpan w:val="2"/>
            <w:vAlign w:val="center"/>
          </w:tcPr>
          <w:p>
            <w:pPr>
              <w:snapToGrid w:val="0"/>
              <w:spacing w:line="40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0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491" w:type="dxa"/>
            <w:gridSpan w:val="2"/>
            <w:vAlign w:val="center"/>
          </w:tcPr>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491" w:type="dxa"/>
            <w:gridSpan w:val="2"/>
            <w:vAlign w:val="center"/>
          </w:tcPr>
          <w:p>
            <w:pPr>
              <w:autoSpaceDE w:val="0"/>
              <w:autoSpaceDN w:val="0"/>
              <w:spacing w:line="40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491" w:type="dxa"/>
            <w:gridSpan w:val="2"/>
            <w:vAlign w:val="center"/>
          </w:tcPr>
          <w:p>
            <w:pPr>
              <w:spacing w:line="40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491" w:type="dxa"/>
            <w:gridSpan w:val="2"/>
            <w:vAlign w:val="center"/>
          </w:tcPr>
          <w:p>
            <w:pPr>
              <w:spacing w:line="400" w:lineRule="exact"/>
              <w:rPr>
                <w:rFonts w:ascii="仿宋" w:hAnsi="仿宋" w:eastAsia="仿宋" w:cs="仿宋"/>
                <w:b/>
                <w:color w:val="auto"/>
                <w:sz w:val="24"/>
              </w:rPr>
            </w:pPr>
            <w:r>
              <w:rPr>
                <w:rFonts w:hint="eastAsia" w:ascii="仿宋" w:hAnsi="仿宋" w:eastAsia="仿宋" w:cs="仿宋"/>
                <w:b/>
                <w:color w:val="auto"/>
                <w:sz w:val="24"/>
              </w:rPr>
              <w:t>分包：</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491" w:type="dxa"/>
            <w:gridSpan w:val="2"/>
            <w:vAlign w:val="center"/>
          </w:tcPr>
          <w:p>
            <w:pPr>
              <w:spacing w:line="40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491" w:type="dxa"/>
            <w:gridSpan w:val="2"/>
            <w:vAlign w:val="center"/>
          </w:tcPr>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开标前现场考察：</w:t>
            </w:r>
            <w:r>
              <w:rPr>
                <w:rFonts w:hint="eastAsia" w:ascii="仿宋" w:hAnsi="仿宋" w:eastAsia="仿宋" w:cs="仿宋"/>
                <w:color w:val="auto"/>
                <w:sz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491" w:type="dxa"/>
            <w:gridSpan w:val="2"/>
            <w:vAlign w:val="center"/>
          </w:tcPr>
          <w:p>
            <w:pPr>
              <w:spacing w:line="400" w:lineRule="exact"/>
              <w:rPr>
                <w:rFonts w:ascii="仿宋" w:hAnsi="仿宋" w:eastAsia="仿宋" w:cs="仿宋"/>
                <w:b/>
                <w:color w:val="auto"/>
                <w:sz w:val="24"/>
              </w:rPr>
            </w:pPr>
            <w:r>
              <w:rPr>
                <w:rFonts w:hint="eastAsia" w:ascii="仿宋" w:hAnsi="仿宋" w:eastAsia="仿宋" w:cs="仿宋"/>
                <w:b/>
                <w:color w:val="auto"/>
                <w:sz w:val="24"/>
              </w:rPr>
              <w:t>样品提供：</w:t>
            </w:r>
            <w:r>
              <w:rPr>
                <w:rFonts w:hint="eastAsia" w:ascii="仿宋" w:hAnsi="仿宋" w:eastAsia="仿宋" w:cs="仿宋"/>
                <w:color w:val="auto"/>
                <w:sz w:val="24"/>
              </w:rPr>
              <w:t>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491" w:type="dxa"/>
            <w:gridSpan w:val="2"/>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方案讲解阐述：有方案讲解演示：</w:t>
            </w:r>
          </w:p>
          <w:p>
            <w:pPr>
              <w:spacing w:line="360" w:lineRule="auto"/>
              <w:rPr>
                <w:rFonts w:ascii="仿宋_GB2312" w:hAnsi="仿宋" w:eastAsia="仿宋_GB2312"/>
                <w:color w:val="auto"/>
                <w:sz w:val="24"/>
              </w:rPr>
            </w:pPr>
            <w:r>
              <w:rPr>
                <w:rFonts w:hint="eastAsia" w:ascii="仿宋_GB2312" w:hAnsi="仿宋" w:eastAsia="仿宋_GB2312"/>
                <w:color w:val="auto"/>
                <w:sz w:val="24"/>
              </w:rPr>
              <w:t>1、演示内容详见商务技术评分要求。</w:t>
            </w:r>
          </w:p>
          <w:p>
            <w:pPr>
              <w:spacing w:line="360" w:lineRule="auto"/>
              <w:rPr>
                <w:rFonts w:ascii="仿宋_GB2312" w:hAnsi="仿宋" w:eastAsia="仿宋_GB2312"/>
                <w:color w:val="auto"/>
                <w:sz w:val="24"/>
              </w:rPr>
            </w:pPr>
            <w:r>
              <w:rPr>
                <w:rFonts w:hint="eastAsia" w:ascii="仿宋_GB2312" w:hAnsi="仿宋" w:eastAsia="仿宋_GB2312"/>
                <w:color w:val="auto"/>
                <w:sz w:val="24"/>
              </w:rPr>
              <w:t>2、演示次序以政府采购云平台（https://www.zcygov.cn）中投标人解密顺序顺序为准。</w:t>
            </w:r>
          </w:p>
          <w:p>
            <w:pPr>
              <w:spacing w:line="360" w:lineRule="auto"/>
              <w:rPr>
                <w:rFonts w:ascii="仿宋_GB2312" w:hAnsi="仿宋" w:eastAsia="仿宋_GB2312"/>
                <w:color w:val="auto"/>
                <w:sz w:val="24"/>
              </w:rPr>
            </w:pPr>
            <w:r>
              <w:rPr>
                <w:rFonts w:hint="eastAsia" w:ascii="仿宋_GB2312" w:hAnsi="仿宋" w:eastAsia="仿宋_GB2312"/>
                <w:color w:val="auto"/>
                <w:sz w:val="24"/>
              </w:rPr>
              <w:t>3、演示时间：演示时间最长不超过15分钟。</w:t>
            </w:r>
          </w:p>
          <w:p>
            <w:pPr>
              <w:spacing w:line="360" w:lineRule="auto"/>
              <w:rPr>
                <w:rFonts w:ascii="仿宋_GB2312" w:hAnsi="仿宋" w:eastAsia="仿宋_GB2312"/>
                <w:color w:val="auto"/>
                <w:sz w:val="24"/>
              </w:rPr>
            </w:pPr>
            <w:r>
              <w:rPr>
                <w:rFonts w:hint="eastAsia" w:ascii="仿宋_GB2312" w:hAnsi="仿宋" w:eastAsia="仿宋_GB2312"/>
                <w:color w:val="auto"/>
                <w:sz w:val="24"/>
              </w:rPr>
              <w:t>4、演示设备：可自行携带也可使用开标现场工作人员笔记本。</w:t>
            </w:r>
          </w:p>
          <w:p>
            <w:pPr>
              <w:spacing w:line="360" w:lineRule="auto"/>
              <w:rPr>
                <w:rFonts w:ascii="仿宋_GB2312" w:hAnsi="仿宋" w:eastAsia="仿宋_GB2312"/>
                <w:color w:val="auto"/>
                <w:sz w:val="24"/>
              </w:rPr>
            </w:pPr>
            <w:r>
              <w:rPr>
                <w:rFonts w:hint="eastAsia" w:ascii="仿宋_GB2312" w:hAnsi="仿宋" w:eastAsia="仿宋_GB2312"/>
                <w:color w:val="auto"/>
                <w:sz w:val="24"/>
              </w:rPr>
              <w:t>5、演示方式：</w:t>
            </w:r>
          </w:p>
          <w:p>
            <w:pPr>
              <w:spacing w:line="360" w:lineRule="auto"/>
              <w:rPr>
                <w:rFonts w:ascii="仿宋_GB2312" w:hAnsi="仿宋" w:eastAsia="仿宋_GB2312"/>
                <w:color w:val="auto"/>
                <w:sz w:val="24"/>
              </w:rPr>
            </w:pPr>
            <w:r>
              <w:rPr>
                <w:rFonts w:hint="eastAsia" w:ascii="仿宋_GB2312" w:hAnsi="仿宋" w:eastAsia="仿宋_GB2312"/>
                <w:color w:val="auto"/>
                <w:sz w:val="24"/>
              </w:rPr>
              <w:t>（1）可以到开标现场演示，项目采用投标人现场演示的，演示人员须携带授权委托书；演示人员到场截止时间通投标文件上传截止时间。</w:t>
            </w:r>
          </w:p>
          <w:p>
            <w:pPr>
              <w:spacing w:line="360" w:lineRule="auto"/>
              <w:rPr>
                <w:rFonts w:ascii="仿宋_GB2312" w:hAnsi="仿宋" w:eastAsia="仿宋_GB2312"/>
                <w:color w:val="auto"/>
                <w:sz w:val="24"/>
              </w:rPr>
            </w:pPr>
            <w:r>
              <w:rPr>
                <w:rFonts w:hint="eastAsia" w:ascii="仿宋_GB2312" w:hAnsi="仿宋" w:eastAsia="仿宋_GB2312"/>
                <w:color w:val="auto"/>
                <w:sz w:val="24"/>
              </w:rPr>
              <w:t>（2）也可以通过录制视频以U盘存储形式提交（提交方式采用邮寄或现场即交即走）：</w:t>
            </w:r>
          </w:p>
          <w:p>
            <w:pPr>
              <w:spacing w:line="360" w:lineRule="auto"/>
              <w:rPr>
                <w:rFonts w:ascii="仿宋_GB2312" w:hAnsi="仿宋" w:eastAsia="仿宋_GB2312"/>
                <w:color w:val="auto"/>
                <w:sz w:val="24"/>
              </w:rPr>
            </w:pPr>
            <w:r>
              <w:rPr>
                <w:rFonts w:ascii="仿宋_GB2312" w:hAnsi="仿宋" w:eastAsia="仿宋_GB2312"/>
                <w:color w:val="auto"/>
                <w:sz w:val="24"/>
              </w:rPr>
              <w:t>①</w:t>
            </w:r>
            <w:r>
              <w:rPr>
                <w:rFonts w:hint="eastAsia" w:ascii="仿宋_GB2312" w:hAnsi="仿宋" w:eastAsia="仿宋_GB2312"/>
                <w:color w:val="auto"/>
                <w:sz w:val="24"/>
              </w:rPr>
              <w:t>投标人应于2023年</w:t>
            </w:r>
            <w:r>
              <w:rPr>
                <w:rFonts w:hint="eastAsia" w:ascii="仿宋_GB2312" w:hAnsi="仿宋" w:eastAsia="仿宋_GB2312"/>
                <w:color w:val="auto"/>
                <w:sz w:val="24"/>
                <w:lang w:val="en-US" w:eastAsia="zh-CN"/>
              </w:rPr>
              <w:t>5</w:t>
            </w:r>
            <w:r>
              <w:rPr>
                <w:rFonts w:hint="eastAsia" w:ascii="仿宋_GB2312" w:hAnsi="仿宋" w:eastAsia="仿宋_GB2312"/>
                <w:color w:val="auto"/>
                <w:sz w:val="24"/>
              </w:rPr>
              <w:t>月</w:t>
            </w:r>
            <w:r>
              <w:rPr>
                <w:rFonts w:hint="eastAsia" w:ascii="仿宋_GB2312" w:hAnsi="仿宋" w:eastAsia="仿宋_GB2312"/>
                <w:color w:val="auto"/>
                <w:sz w:val="24"/>
                <w:lang w:val="en-US" w:eastAsia="zh-CN"/>
              </w:rPr>
              <w:t>8</w:t>
            </w:r>
            <w:r>
              <w:rPr>
                <w:rFonts w:hint="eastAsia" w:ascii="仿宋_GB2312" w:hAnsi="仿宋" w:eastAsia="仿宋_GB2312"/>
                <w:color w:val="auto"/>
                <w:sz w:val="24"/>
              </w:rPr>
              <w:t>日</w:t>
            </w:r>
            <w:r>
              <w:rPr>
                <w:rFonts w:hint="eastAsia" w:ascii="仿宋_GB2312" w:hAnsi="仿宋" w:eastAsia="仿宋_GB2312"/>
                <w:color w:val="auto"/>
                <w:sz w:val="24"/>
                <w:lang w:val="en-US" w:eastAsia="zh-CN"/>
              </w:rPr>
              <w:t>09</w:t>
            </w:r>
            <w:r>
              <w:rPr>
                <w:rFonts w:hint="eastAsia" w:ascii="仿宋_GB2312" w:hAnsi="仿宋" w:eastAsia="仿宋_GB2312"/>
                <w:color w:val="auto"/>
                <w:sz w:val="24"/>
              </w:rPr>
              <w:t>时</w:t>
            </w:r>
            <w:r>
              <w:rPr>
                <w:rFonts w:hint="eastAsia" w:ascii="仿宋_GB2312" w:hAnsi="仿宋" w:eastAsia="仿宋_GB2312"/>
                <w:color w:val="auto"/>
                <w:sz w:val="24"/>
                <w:lang w:val="en-US" w:eastAsia="zh-CN"/>
              </w:rPr>
              <w:t>00</w:t>
            </w:r>
            <w:r>
              <w:rPr>
                <w:rFonts w:hint="eastAsia" w:ascii="仿宋_GB2312" w:hAnsi="仿宋" w:eastAsia="仿宋_GB2312"/>
                <w:color w:val="auto"/>
                <w:sz w:val="24"/>
              </w:rPr>
              <w:t>分之前将演示录制视频存储U盘密封以邮寄方式送达至绍兴市阳明北路692号浙江翔实建设项目管理有限公司一楼政府采购部，收件人：丁诗哲，联系电话：13857501150，邮政编码：312000，如采用邮寄的，请寄件人在邮件外包装注明投标项目名称，投标供应商名称，被授权人姓名及联系电话，接收邮寄快递包裹的时间为工作日9:00-17:00，邮寄以签收时间为准，逾期送达或未密封将予以拒收。</w:t>
            </w:r>
          </w:p>
          <w:p>
            <w:pPr>
              <w:spacing w:line="400" w:lineRule="exact"/>
              <w:rPr>
                <w:rFonts w:ascii="仿宋_GB2312" w:hAnsi="仿宋" w:eastAsia="仿宋_GB2312"/>
                <w:color w:val="auto"/>
                <w:sz w:val="24"/>
              </w:rPr>
            </w:pPr>
            <w:r>
              <w:rPr>
                <w:rFonts w:ascii="仿宋_GB2312" w:hAnsi="仿宋" w:eastAsia="仿宋_GB2312"/>
                <w:color w:val="auto"/>
                <w:sz w:val="24"/>
              </w:rPr>
              <w:t>②</w:t>
            </w:r>
            <w:r>
              <w:rPr>
                <w:rFonts w:hint="eastAsia" w:ascii="仿宋_GB2312" w:hAnsi="仿宋" w:eastAsia="仿宋_GB2312"/>
                <w:color w:val="auto"/>
                <w:sz w:val="24"/>
              </w:rPr>
              <w:t>现场即交即走的接收截止时间与递交地址同上。</w:t>
            </w:r>
          </w:p>
          <w:p>
            <w:pPr>
              <w:spacing w:line="400" w:lineRule="exact"/>
              <w:rPr>
                <w:rFonts w:ascii="仿宋" w:hAnsi="仿宋" w:eastAsia="仿宋" w:cs="仿宋"/>
                <w:color w:val="auto"/>
                <w:sz w:val="24"/>
              </w:rPr>
            </w:pPr>
            <w:r>
              <w:rPr>
                <w:rFonts w:hint="eastAsia" w:ascii="仿宋_GB2312" w:hAnsi="仿宋" w:eastAsia="仿宋_GB2312"/>
                <w:color w:val="auto"/>
                <w:kern w:val="0"/>
                <w:sz w:val="24"/>
              </w:rPr>
              <w:t>注：</w:t>
            </w:r>
            <w:r>
              <w:rPr>
                <w:rFonts w:hint="eastAsia" w:ascii="仿宋_GB2312" w:hAnsi="仿宋" w:eastAsia="仿宋_GB2312"/>
                <w:color w:val="auto"/>
                <w:kern w:val="0"/>
                <w:sz w:val="24"/>
                <w:lang w:val="zh-CN"/>
              </w:rPr>
              <w:t>自行检查是否刻录成功，若评审现场无法读取视为0分。</w:t>
            </w:r>
            <w:r>
              <w:rPr>
                <w:rFonts w:hint="eastAsia" w:ascii="仿宋_GB2312" w:hAnsi="仿宋" w:eastAsia="仿宋_GB2312"/>
                <w:color w:val="auto"/>
                <w:kern w:val="0"/>
                <w:sz w:val="24"/>
              </w:rPr>
              <w:t>因供应商自身原因导致无法讲解演示或者讲解演示效果不理想的，责任自负。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1311" w:type="dxa"/>
            <w:vAlign w:val="center"/>
          </w:tcPr>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180" w:type="dxa"/>
            <w:vAlign w:val="center"/>
          </w:tcPr>
          <w:p>
            <w:pPr>
              <w:snapToGrid w:val="0"/>
              <w:spacing w:line="400" w:lineRule="exact"/>
              <w:rPr>
                <w:rFonts w:ascii="仿宋" w:hAnsi="仿宋" w:eastAsia="仿宋" w:cs="仿宋"/>
                <w:b/>
                <w:color w:val="auto"/>
                <w:sz w:val="24"/>
              </w:rPr>
            </w:pPr>
            <w:r>
              <w:rPr>
                <w:rFonts w:hint="eastAsia" w:ascii="仿宋" w:hAnsi="仿宋" w:eastAsia="仿宋" w:cs="仿宋"/>
                <w:color w:val="auto"/>
                <w:kern w:val="0"/>
                <w:sz w:val="24"/>
              </w:rPr>
              <w:t>本项目不允许采购进口产品。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1311" w:type="dxa"/>
            <w:vAlign w:val="center"/>
          </w:tcPr>
          <w:p>
            <w:pPr>
              <w:snapToGrid w:val="0"/>
              <w:spacing w:line="400" w:lineRule="exact"/>
              <w:ind w:leftChars="-8" w:right="-50" w:rightChars="-24" w:hanging="17" w:hangingChars="7"/>
              <w:rPr>
                <w:rFonts w:ascii="仿宋" w:hAnsi="仿宋" w:eastAsia="仿宋" w:cs="仿宋"/>
                <w:b/>
                <w:color w:val="auto"/>
                <w:spacing w:val="-20"/>
                <w:sz w:val="24"/>
              </w:rPr>
            </w:pPr>
            <w:r>
              <w:rPr>
                <w:rFonts w:hint="eastAsia" w:ascii="仿宋" w:hAnsi="仿宋" w:eastAsia="仿宋" w:cs="仿宋"/>
                <w:b/>
                <w:color w:val="auto"/>
                <w:sz w:val="24"/>
              </w:rPr>
              <w:t>项目属性与核心产品</w:t>
            </w:r>
          </w:p>
        </w:tc>
        <w:tc>
          <w:tcPr>
            <w:tcW w:w="7180" w:type="dxa"/>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本项目为服务类。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1311" w:type="dxa"/>
            <w:vAlign w:val="center"/>
          </w:tcPr>
          <w:p>
            <w:pPr>
              <w:snapToGrid w:val="0"/>
              <w:spacing w:line="400" w:lineRule="exact"/>
              <w:ind w:left="-18" w:leftChars="-9" w:right="-50" w:rightChars="-24" w:hanging="1"/>
              <w:jc w:val="center"/>
              <w:rPr>
                <w:rFonts w:ascii="仿宋" w:hAnsi="仿宋" w:eastAsia="仿宋" w:cs="仿宋"/>
                <w:b/>
                <w:color w:val="auto"/>
                <w:kern w:val="0"/>
                <w:sz w:val="24"/>
              </w:rPr>
            </w:pPr>
            <w:r>
              <w:rPr>
                <w:rFonts w:hint="eastAsia" w:ascii="仿宋" w:hAnsi="仿宋" w:eastAsia="仿宋" w:cs="仿宋"/>
                <w:b/>
                <w:color w:val="auto"/>
                <w:kern w:val="0"/>
                <w:sz w:val="24"/>
              </w:rPr>
              <w:t>采购标的对应的中小企业划分标准所属行业</w:t>
            </w:r>
          </w:p>
        </w:tc>
        <w:tc>
          <w:tcPr>
            <w:tcW w:w="7180" w:type="dxa"/>
            <w:vAlign w:val="center"/>
          </w:tcPr>
          <w:p>
            <w:pPr>
              <w:snapToGrid w:val="0"/>
              <w:spacing w:line="400" w:lineRule="exact"/>
              <w:rPr>
                <w:rFonts w:ascii="仿宋" w:hAnsi="仿宋" w:eastAsia="仿宋" w:cs="仿宋"/>
                <w:color w:val="auto"/>
                <w:kern w:val="0"/>
                <w:sz w:val="24"/>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水资源管理与调配及市级九龙联动治水应用项目</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软件和信息技术服务业</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49" w:type="dxa"/>
            <w:vMerge w:val="restart"/>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1311" w:type="dxa"/>
            <w:vMerge w:val="restart"/>
            <w:vAlign w:val="center"/>
          </w:tcPr>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180" w:type="dxa"/>
            <w:vAlign w:val="center"/>
          </w:tcPr>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49" w:type="dxa"/>
            <w:vMerge w:val="continue"/>
            <w:vAlign w:val="center"/>
          </w:tcPr>
          <w:p>
            <w:pPr>
              <w:spacing w:line="400" w:lineRule="exact"/>
              <w:jc w:val="center"/>
              <w:rPr>
                <w:rFonts w:ascii="仿宋" w:hAnsi="仿宋" w:eastAsia="仿宋" w:cs="仿宋"/>
                <w:color w:val="auto"/>
                <w:sz w:val="24"/>
              </w:rPr>
            </w:pPr>
          </w:p>
        </w:tc>
        <w:tc>
          <w:tcPr>
            <w:tcW w:w="1311" w:type="dxa"/>
            <w:vMerge w:val="continue"/>
            <w:vAlign w:val="center"/>
          </w:tcPr>
          <w:p>
            <w:pPr>
              <w:snapToGrid w:val="0"/>
              <w:spacing w:line="400" w:lineRule="exact"/>
              <w:rPr>
                <w:rFonts w:ascii="仿宋" w:hAnsi="仿宋" w:eastAsia="仿宋" w:cs="仿宋"/>
                <w:b/>
                <w:color w:val="auto"/>
                <w:sz w:val="24"/>
              </w:rPr>
            </w:pPr>
          </w:p>
        </w:tc>
        <w:tc>
          <w:tcPr>
            <w:tcW w:w="7180" w:type="dxa"/>
            <w:vAlign w:val="center"/>
          </w:tcPr>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49" w:type="dxa"/>
            <w:vMerge w:val="continue"/>
            <w:vAlign w:val="center"/>
          </w:tcPr>
          <w:p>
            <w:pPr>
              <w:spacing w:line="400" w:lineRule="exact"/>
              <w:jc w:val="center"/>
              <w:rPr>
                <w:rFonts w:ascii="仿宋" w:hAnsi="仿宋" w:eastAsia="仿宋" w:cs="仿宋"/>
                <w:color w:val="auto"/>
                <w:sz w:val="24"/>
              </w:rPr>
            </w:pPr>
          </w:p>
        </w:tc>
        <w:tc>
          <w:tcPr>
            <w:tcW w:w="1311" w:type="dxa"/>
            <w:vMerge w:val="continue"/>
            <w:vAlign w:val="center"/>
          </w:tcPr>
          <w:p>
            <w:pPr>
              <w:snapToGrid w:val="0"/>
              <w:spacing w:line="400" w:lineRule="exact"/>
              <w:rPr>
                <w:rFonts w:ascii="仿宋" w:hAnsi="仿宋" w:eastAsia="仿宋" w:cs="仿宋"/>
                <w:b/>
                <w:color w:val="auto"/>
                <w:sz w:val="24"/>
              </w:rPr>
            </w:pPr>
          </w:p>
        </w:tc>
        <w:tc>
          <w:tcPr>
            <w:tcW w:w="7180" w:type="dxa"/>
            <w:vAlign w:val="center"/>
          </w:tcPr>
          <w:p>
            <w:pPr>
              <w:snapToGrid w:val="0"/>
              <w:spacing w:line="40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0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491" w:type="dxa"/>
            <w:gridSpan w:val="2"/>
            <w:vAlign w:val="center"/>
          </w:tcPr>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491" w:type="dxa"/>
            <w:gridSpan w:val="2"/>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491" w:type="dxa"/>
            <w:gridSpan w:val="2"/>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491" w:type="dxa"/>
            <w:gridSpan w:val="2"/>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9" w:type="dxa"/>
            <w:vMerge w:val="restart"/>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18</w:t>
            </w:r>
          </w:p>
        </w:tc>
        <w:tc>
          <w:tcPr>
            <w:tcW w:w="8491" w:type="dxa"/>
            <w:gridSpan w:val="2"/>
            <w:vAlign w:val="center"/>
          </w:tcPr>
          <w:p>
            <w:pPr>
              <w:spacing w:line="40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0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9" w:type="dxa"/>
            <w:vMerge w:val="continue"/>
            <w:vAlign w:val="center"/>
          </w:tcPr>
          <w:p>
            <w:pPr>
              <w:spacing w:line="400" w:lineRule="exact"/>
              <w:rPr>
                <w:rFonts w:ascii="仿宋" w:hAnsi="仿宋" w:eastAsia="仿宋" w:cs="仿宋"/>
                <w:color w:val="auto"/>
                <w:sz w:val="24"/>
              </w:rPr>
            </w:pPr>
          </w:p>
        </w:tc>
        <w:tc>
          <w:tcPr>
            <w:tcW w:w="8491" w:type="dxa"/>
            <w:gridSpan w:val="2"/>
            <w:vAlign w:val="center"/>
          </w:tcPr>
          <w:p>
            <w:pPr>
              <w:adjustRightInd w:val="0"/>
              <w:spacing w:line="400" w:lineRule="exact"/>
              <w:rPr>
                <w:rFonts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0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19</w:t>
            </w:r>
          </w:p>
        </w:tc>
        <w:tc>
          <w:tcPr>
            <w:tcW w:w="8491"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bCs/>
                <w:color w:val="auto"/>
                <w:sz w:val="24"/>
              </w:rPr>
              <w:t>采购代理服务费：</w:t>
            </w:r>
            <w:r>
              <w:rPr>
                <w:rFonts w:hint="eastAsia" w:ascii="仿宋" w:hAnsi="仿宋" w:eastAsia="仿宋" w:cs="仿宋"/>
                <w:color w:val="auto"/>
                <w:sz w:val="24"/>
              </w:rPr>
              <w:t>中标人须向采购代理机构按如下标准和规定交纳代理服务费，并在投标报价中自行考虑：</w:t>
            </w:r>
          </w:p>
          <w:p>
            <w:pPr>
              <w:spacing w:line="440" w:lineRule="exact"/>
              <w:rPr>
                <w:rFonts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（1）以中标通知书中确定的中标金额作为服务费的计算基数，具体比例参照《国家计委关于印发&lt;招标代理服务收费管理暂行办法&gt;的通知》（计价格[2002]1980号）文件收费标准执行，不足5000元按5000元计取。</w:t>
            </w:r>
          </w:p>
          <w:p>
            <w:pPr>
              <w:spacing w:line="4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pPr>
              <w:spacing w:line="4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440" w:lineRule="exact"/>
              <w:rPr>
                <w:rFonts w:ascii="仿宋" w:hAnsi="仿宋" w:eastAsia="仿宋" w:cs="仿宋"/>
                <w:color w:val="auto"/>
                <w:sz w:val="24"/>
              </w:rPr>
            </w:pPr>
            <w:r>
              <w:rPr>
                <w:rFonts w:hint="eastAsia" w:ascii="仿宋" w:hAnsi="仿宋" w:eastAsia="仿宋" w:cs="仿宋"/>
                <w:color w:val="auto"/>
                <w:sz w:val="24"/>
              </w:rPr>
              <w:t>公司名称：浙江翔实建设项目管理有限公司</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开户行：建行绍兴越城支行 </w:t>
            </w:r>
          </w:p>
          <w:p>
            <w:pPr>
              <w:spacing w:line="440" w:lineRule="exact"/>
              <w:rPr>
                <w:rFonts w:ascii="仿宋" w:hAnsi="仿宋" w:eastAsia="仿宋" w:cs="仿宋"/>
                <w:color w:val="auto"/>
                <w:sz w:val="24"/>
              </w:rPr>
            </w:pPr>
            <w:r>
              <w:rPr>
                <w:rFonts w:hint="eastAsia" w:ascii="仿宋" w:hAnsi="仿宋" w:eastAsia="仿宋" w:cs="仿宋"/>
                <w:color w:val="auto"/>
                <w:sz w:val="24"/>
              </w:rPr>
              <w:t>账  号：33001653549053003519</w:t>
            </w:r>
          </w:p>
          <w:p>
            <w:pPr>
              <w:spacing w:line="400" w:lineRule="exact"/>
              <w:rPr>
                <w:rFonts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2.1政府采购当事人及监管部门</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2.1.1“采购人”系指采购公告中载明的本项目的采购人，即绍兴市防汛防旱应急保障中心（合同中的甲方）。</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2.1.2“采购代理机构”系指采购公告中载明的本项目的分散采购机构，即浙江翔实建设项目管理有限公司。</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2.1.4“监督单位”系指政府采购法定义监督管理部门，即绍兴市财政局。</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2.6“电子交易平台”是指本项目政府采购活动所依托的政府采购云平台（https://www.zcygov.cn/）。</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 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2.8因特殊原因需要使用冠以法定名称的业务专用章的，投标时须提供《业务专用章使用说明函》(详见附件)。</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 修缮、装修类项目采购建材的，采购人应将绿色建筑和绿色建材性能、指标等作为实质性条件纳入招标文件和合同。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color w:val="auto"/>
          <w:sz w:val="24"/>
        </w:rPr>
      </w:pPr>
      <w:r>
        <w:rPr>
          <w:rFonts w:hint="eastAsia" w:ascii="仿宋" w:hAnsi="仿宋" w:eastAsia="仿宋" w:cs="仿宋"/>
          <w:b/>
          <w:color w:val="auto"/>
          <w:sz w:val="24"/>
        </w:rPr>
        <w:t>2.授权委托</w:t>
      </w:r>
    </w:p>
    <w:p>
      <w:pPr>
        <w:pStyle w:val="15"/>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5"/>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5"/>
        <w:widowControl w:val="0"/>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 xml:space="preserve">4.2招标文件的澄清 </w:t>
      </w:r>
    </w:p>
    <w:p>
      <w:pPr>
        <w:pStyle w:val="15"/>
        <w:widowControl w:val="0"/>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4.3招标文件的修改</w:t>
      </w:r>
    </w:p>
    <w:p>
      <w:pPr>
        <w:pStyle w:val="15"/>
        <w:widowControl w:val="0"/>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6"/>
        </w:num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投标文件的语言、计量单位、形式及效力</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472" w:firstLineChars="196"/>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投标文件由“报价文件资料”、“商务技术（资信）文件资料”两部分组成，其中</w:t>
      </w:r>
      <w:r>
        <w:rPr>
          <w:rFonts w:hint="eastAsia" w:ascii="仿宋" w:hAnsi="仿宋" w:eastAsia="仿宋" w:cs="仿宋"/>
          <w:b/>
          <w:color w:val="auto"/>
          <w:sz w:val="24"/>
        </w:rPr>
        <w:t>电子投标文件中所须加盖公章部分均应采用电子签章。</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2.1 “报价文件资料”应包含以下内容：</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pStyle w:val="25"/>
        <w:spacing w:line="440" w:lineRule="exact"/>
        <w:rPr>
          <w:rFonts w:ascii="仿宋" w:hAnsi="仿宋" w:eastAsia="仿宋" w:cs="仿宋"/>
          <w:b w:val="0"/>
          <w:bCs/>
          <w:color w:val="auto"/>
          <w:sz w:val="24"/>
        </w:rPr>
      </w:pPr>
      <w:r>
        <w:rPr>
          <w:rFonts w:hint="eastAsia" w:ascii="仿宋" w:hAnsi="仿宋" w:eastAsia="仿宋" w:cs="仿宋"/>
          <w:b w:val="0"/>
          <w:bCs/>
          <w:color w:val="auto"/>
          <w:sz w:val="24"/>
        </w:rPr>
        <w:t>2.1.2开标一览表（格式见第六部分附件）；</w:t>
      </w:r>
    </w:p>
    <w:p>
      <w:pPr>
        <w:rPr>
          <w:rFonts w:eastAsia="仿宋"/>
          <w:color w:val="auto"/>
        </w:rPr>
      </w:pPr>
      <w:r>
        <w:rPr>
          <w:rFonts w:hint="eastAsia" w:ascii="仿宋" w:hAnsi="仿宋" w:eastAsia="仿宋" w:cs="仿宋"/>
          <w:bCs/>
          <w:color w:val="auto"/>
          <w:sz w:val="24"/>
        </w:rPr>
        <w:t>2.1.3中小企业声明函（如有，格式见第六部分附件）。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 “商务技术（资信）文件资料”应包括以下内容（正本用原件）：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2.2.1营业执照（复印件）(格式见第六部分附件</w:t>
      </w:r>
      <w:r>
        <w:rPr>
          <w:rFonts w:hint="eastAsia" w:ascii="仿宋" w:hAnsi="仿宋" w:eastAsia="仿宋" w:cs="仿宋"/>
          <w:color w:val="auto"/>
          <w:sz w:val="24"/>
          <w:lang w:val="en-US" w:eastAsia="zh-CN"/>
        </w:rPr>
        <w:t>)</w:t>
      </w:r>
      <w:r>
        <w:rPr>
          <w:rFonts w:hint="eastAsia" w:ascii="仿宋" w:hAnsi="仿宋" w:eastAsia="仿宋" w:cs="仿宋"/>
          <w:color w:val="auto"/>
          <w:sz w:val="24"/>
        </w:rPr>
        <w:t>；</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2.2.2法定代表人授权委托书(格式见第六部分附件)；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2.2.3授权代表社保证明（格式见第六部分附件）；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2.2.4法定代表人及其授权代表身份证复印件（格式见第六部分附件）；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2.2.5法定代表人身份证明书（格式见第六部分附件）；</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sz w:val="24"/>
        </w:rPr>
        <w:t>2.2.6</w:t>
      </w:r>
      <w:r>
        <w:rPr>
          <w:rFonts w:hint="eastAsia" w:ascii="仿宋" w:hAnsi="仿宋" w:eastAsia="仿宋" w:cs="仿宋"/>
          <w:color w:val="auto"/>
          <w:kern w:val="0"/>
          <w:sz w:val="24"/>
        </w:rPr>
        <w:t>供应商基本资格条件</w:t>
      </w:r>
      <w:r>
        <w:rPr>
          <w:rFonts w:hint="eastAsia" w:ascii="仿宋" w:hAnsi="仿宋" w:eastAsia="仿宋" w:cs="仿宋"/>
          <w:color w:val="auto"/>
          <w:sz w:val="24"/>
        </w:rPr>
        <w:t>书面承诺函（格式见第六部分附件）</w:t>
      </w:r>
      <w:r>
        <w:rPr>
          <w:rFonts w:hint="eastAsia" w:ascii="仿宋" w:hAnsi="仿宋" w:eastAsia="仿宋" w:cs="仿宋"/>
          <w:color w:val="auto"/>
          <w:kern w:val="0"/>
          <w:sz w:val="24"/>
        </w:rPr>
        <w:t>；</w:t>
      </w:r>
    </w:p>
    <w:p>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2.2.7供应商</w:t>
      </w:r>
      <w:r>
        <w:rPr>
          <w:rFonts w:hint="eastAsia" w:ascii="仿宋" w:hAnsi="仿宋" w:eastAsia="仿宋" w:cs="仿宋"/>
          <w:color w:val="auto"/>
          <w:sz w:val="24"/>
        </w:rPr>
        <w:t>特定资格条件（如有项目有要求）的有关证明材料（复印件）；</w:t>
      </w:r>
    </w:p>
    <w:p>
      <w:pPr>
        <w:pStyle w:val="24"/>
        <w:snapToGrid w:val="0"/>
        <w:spacing w:line="440" w:lineRule="exact"/>
        <w:rPr>
          <w:rFonts w:ascii="仿宋" w:hAnsi="仿宋" w:eastAsia="仿宋" w:cs="仿宋"/>
          <w:color w:val="auto"/>
          <w:sz w:val="24"/>
          <w:lang w:val="zh-CN"/>
        </w:rPr>
      </w:pPr>
      <w:bookmarkStart w:id="1" w:name="_Hlt68073093"/>
      <w:bookmarkEnd w:id="1"/>
      <w:bookmarkStart w:id="2" w:name="_Hlt68403820"/>
      <w:bookmarkEnd w:id="2"/>
      <w:bookmarkStart w:id="3" w:name="_Hlt68072998"/>
      <w:bookmarkEnd w:id="3"/>
      <w:r>
        <w:rPr>
          <w:rFonts w:hint="eastAsia" w:ascii="仿宋" w:hAnsi="仿宋" w:eastAsia="仿宋" w:cs="仿宋"/>
          <w:color w:val="auto"/>
          <w:sz w:val="24"/>
        </w:rPr>
        <w:t>2.2.8</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rPr>
        <w:t>2.2.11</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3</w:t>
      </w:r>
      <w:r>
        <w:rPr>
          <w:rFonts w:hint="eastAsia" w:ascii="仿宋" w:hAnsi="仿宋" w:eastAsia="仿宋" w:cs="仿宋"/>
          <w:color w:val="auto"/>
          <w:kern w:val="0"/>
          <w:sz w:val="24"/>
          <w:lang w:val="zh-CN"/>
        </w:rPr>
        <w:t>项目验收之前、验收之后的维护方案；针对本项目的维护方案，包括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5</w:t>
      </w:r>
      <w:r>
        <w:rPr>
          <w:rFonts w:hint="eastAsia" w:ascii="仿宋" w:hAnsi="仿宋" w:eastAsia="仿宋" w:cs="仿宋"/>
          <w:color w:val="auto"/>
          <w:kern w:val="0"/>
          <w:sz w:val="24"/>
          <w:lang w:val="zh-CN"/>
        </w:rPr>
        <w:t xml:space="preserve">培训计划（如有）； </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6</w:t>
      </w:r>
      <w:r>
        <w:rPr>
          <w:rFonts w:hint="eastAsia" w:ascii="仿宋" w:hAnsi="仿宋" w:eastAsia="仿宋" w:cs="仿宋"/>
          <w:color w:val="auto"/>
          <w:kern w:val="0"/>
          <w:sz w:val="24"/>
          <w:lang w:val="zh-CN"/>
        </w:rPr>
        <w:t>验收方案；</w:t>
      </w:r>
    </w:p>
    <w:p>
      <w:pPr>
        <w:snapToGrid w:val="0"/>
        <w:spacing w:line="440" w:lineRule="exact"/>
        <w:rPr>
          <w:rFonts w:ascii="仿宋" w:hAnsi="仿宋" w:eastAsia="仿宋" w:cs="仿宋"/>
          <w:color w:val="auto"/>
          <w:sz w:val="24"/>
          <w:lang w:val="zh-CN"/>
        </w:rPr>
      </w:pPr>
      <w:r>
        <w:rPr>
          <w:rFonts w:hint="eastAsia" w:ascii="仿宋" w:hAnsi="仿宋" w:eastAsia="仿宋" w:cs="仿宋"/>
          <w:color w:val="auto"/>
          <w:kern w:val="0"/>
          <w:sz w:val="24"/>
        </w:rPr>
        <w:t>2.2.17</w:t>
      </w:r>
      <w:r>
        <w:rPr>
          <w:rFonts w:hint="eastAsia" w:ascii="仿宋" w:hAnsi="仿宋" w:eastAsia="仿宋" w:cs="仿宋"/>
          <w:snapToGrid w:val="0"/>
          <w:color w:val="auto"/>
          <w:sz w:val="24"/>
        </w:rPr>
        <w:t>投标人售后服务承诺</w:t>
      </w:r>
      <w:r>
        <w:rPr>
          <w:rFonts w:hint="eastAsia" w:ascii="仿宋" w:hAnsi="仿宋" w:eastAsia="仿宋" w:cs="仿宋"/>
          <w:color w:val="auto"/>
          <w:sz w:val="24"/>
          <w:lang w:val="zh-CN"/>
        </w:rPr>
        <w:t>；</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lang w:val="zh-CN"/>
        </w:rPr>
        <w:t>2.2.1</w:t>
      </w:r>
      <w:r>
        <w:rPr>
          <w:rFonts w:hint="eastAsia" w:ascii="仿宋" w:hAnsi="仿宋" w:eastAsia="仿宋" w:cs="仿宋"/>
          <w:color w:val="auto"/>
          <w:sz w:val="24"/>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2.2.19</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0"/>
        <w:tabs>
          <w:tab w:val="left" w:pos="1854"/>
          <w:tab w:val="clear" w:pos="482"/>
        </w:tabs>
        <w:spacing w:afterLines="0" w:line="440" w:lineRule="exact"/>
        <w:ind w:left="0" w:firstLine="0"/>
        <w:rPr>
          <w:rFonts w:ascii="仿宋" w:hAnsi="仿宋" w:eastAsia="仿宋" w:cs="仿宋"/>
          <w:color w:val="auto"/>
        </w:rPr>
      </w:pPr>
      <w:r>
        <w:rPr>
          <w:rFonts w:hint="eastAsia" w:ascii="仿宋" w:hAnsi="仿宋" w:eastAsia="仿宋" w:cs="仿宋"/>
          <w:color w:val="auto"/>
        </w:rPr>
        <w:t>2.2.20投标人需要说明的其他文件和说明（格式自拟）。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b/>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 投标报价</w:t>
      </w:r>
    </w:p>
    <w:p>
      <w:pPr>
        <w:pStyle w:val="24"/>
        <w:spacing w:line="440" w:lineRule="exact"/>
        <w:jc w:val="left"/>
        <w:rPr>
          <w:rFonts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4"/>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3.2报价为采购人可以合格使用产品的价格，包括人员工资及福利、软件开发、保险、调试、培训、保修及产品知识产权等一切费用。</w:t>
      </w:r>
    </w:p>
    <w:p>
      <w:pPr>
        <w:pStyle w:val="24"/>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 w:hAnsi="仿宋" w:eastAsia="仿宋" w:cs="仿宋"/>
          <w:b/>
          <w:color w:val="auto"/>
          <w:szCs w:val="24"/>
        </w:rPr>
      </w:pPr>
      <w:r>
        <w:rPr>
          <w:rFonts w:hint="eastAsia" w:ascii="仿宋" w:hAnsi="仿宋" w:eastAsia="仿宋" w:cs="仿宋"/>
          <w:b/>
          <w:color w:val="auto"/>
          <w:szCs w:val="24"/>
        </w:rPr>
        <w:t>4.投标文件的有效期</w:t>
      </w:r>
    </w:p>
    <w:p>
      <w:pPr>
        <w:pStyle w:val="15"/>
        <w:widowControl w:val="0"/>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color w:val="auto"/>
          <w:sz w:val="24"/>
          <w:u w:val="single"/>
        </w:rPr>
      </w:pPr>
      <w:r>
        <w:rPr>
          <w:rFonts w:hint="eastAsia" w:ascii="仿宋" w:hAnsi="仿宋" w:eastAsia="仿宋" w:cs="仿宋"/>
          <w:b/>
          <w:color w:val="auto"/>
          <w:sz w:val="24"/>
          <w:u w:val="single"/>
        </w:rPr>
        <w:t>5.投标文件的规定</w:t>
      </w:r>
    </w:p>
    <w:p>
      <w:pPr>
        <w:pStyle w:val="24"/>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5.1投标文件由“商务技术（资信）文件资料”、“报价文件资料”两部分文件组成，应按统一格式填写。</w:t>
      </w:r>
    </w:p>
    <w:p>
      <w:pPr>
        <w:pStyle w:val="24"/>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5.2投标文件须按附件格式要求进行电子签章，投标人应写全称。</w:t>
      </w:r>
    </w:p>
    <w:p>
      <w:pPr>
        <w:pStyle w:val="24"/>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5.4投标文件因字迹潦草或表达不清所引起的后果由投标人负责。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6.投标文件的提交</w:t>
      </w:r>
    </w:p>
    <w:p>
      <w:pPr>
        <w:snapToGrid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3.6评</w:t>
      </w:r>
      <w:r>
        <w:rPr>
          <w:rFonts w:hint="eastAsia" w:ascii="仿宋" w:hAnsi="仿宋" w:eastAsia="仿宋" w:cs="仿宋"/>
          <w:color w:val="auto"/>
          <w:sz w:val="24"/>
        </w:rPr>
        <w:t>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40" w:lineRule="exac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4.2符合性审查</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pacing w:line="440" w:lineRule="exact"/>
        <w:ind w:firstLine="48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6.8评标委员会依据招标文件规定的评标标准和方法，对投标文件进行评审和比较后，向招标代理机构提供书面评标报告，并按得分高低排序推荐中标候选供应商。</w:t>
      </w:r>
    </w:p>
    <w:p>
      <w:pPr>
        <w:pStyle w:val="15"/>
        <w:widowControl w:val="0"/>
        <w:tabs>
          <w:tab w:val="clear" w:pos="454"/>
        </w:tabs>
        <w:spacing w:afterLines="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pPr>
        <w:pStyle w:val="15"/>
        <w:widowControl w:val="0"/>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8.10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sz w:val="24"/>
        </w:rPr>
        <w:t>8.13投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rPr>
      </w:pPr>
      <w:r>
        <w:rPr>
          <w:rFonts w:hint="eastAsia" w:ascii="仿宋" w:hAnsi="仿宋" w:eastAsia="仿宋" w:cs="仿宋"/>
          <w:b/>
          <w:color w:val="auto"/>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480"/>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8.22.2供应商按照采购人或者采购机构的授意撤换、修改投标文件或者响应文件；</w:t>
      </w:r>
    </w:p>
    <w:p>
      <w:pPr>
        <w:spacing w:line="440" w:lineRule="exact"/>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8.22.3供应商之间协商报价、技术方案等投标文件或者响应文件的实质性内容；</w:t>
      </w:r>
    </w:p>
    <w:p>
      <w:pPr>
        <w:spacing w:line="440" w:lineRule="exact"/>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8.22.4属于同一集团、协会、商会等组织成员的供应商按照该组织要求协同参加政府采购活动；</w:t>
      </w:r>
    </w:p>
    <w:p>
      <w:pPr>
        <w:spacing w:line="440" w:lineRule="exact"/>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8.22.5供应商之间事先约定由某一特定供应商中标、成交；</w:t>
      </w:r>
    </w:p>
    <w:p>
      <w:pPr>
        <w:spacing w:line="440" w:lineRule="exact"/>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szCs w:val="21"/>
        </w:rPr>
      </w:pPr>
      <w:r>
        <w:rPr>
          <w:rFonts w:hint="eastAsia" w:ascii="仿宋" w:hAnsi="仿宋" w:eastAsia="仿宋" w:cs="仿宋"/>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szCs w:val="21"/>
        </w:rPr>
        <w:t>8.23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pacing w:line="440" w:lineRule="exact"/>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4"/>
        <w:spacing w:line="800" w:lineRule="exact"/>
        <w:jc w:val="center"/>
        <w:rPr>
          <w:rFonts w:ascii="仿宋" w:hAnsi="仿宋" w:eastAsia="仿宋" w:cs="仿宋"/>
          <w:b/>
          <w:color w:val="auto"/>
          <w:sz w:val="36"/>
          <w:szCs w:val="36"/>
        </w:rPr>
      </w:pPr>
      <w:bookmarkStart w:id="4" w:name="_Toc81372776"/>
      <w:bookmarkStart w:id="5" w:name="_Toc81372953"/>
      <w:bookmarkStart w:id="6" w:name="_Toc84325929"/>
      <w:r>
        <w:rPr>
          <w:rFonts w:hint="eastAsia" w:ascii="仿宋" w:hAnsi="仿宋" w:eastAsia="仿宋" w:cs="仿宋"/>
          <w:b/>
          <w:color w:val="auto"/>
          <w:sz w:val="36"/>
          <w:szCs w:val="36"/>
        </w:rPr>
        <w:t>五、授予合同</w:t>
      </w:r>
    </w:p>
    <w:p>
      <w:pPr>
        <w:pStyle w:val="15"/>
        <w:tabs>
          <w:tab w:val="clear" w:pos="454"/>
        </w:tabs>
        <w:spacing w:afterLines="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pStyle w:val="15"/>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5"/>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5"/>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bookmarkEnd w:id="4"/>
    <w:bookmarkEnd w:id="5"/>
    <w:bookmarkEnd w:id="6"/>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pStyle w:val="153"/>
        <w:tabs>
          <w:tab w:val="left" w:pos="0"/>
        </w:tabs>
        <w:spacing w:before="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对中标结果在指定媒体</w:t>
      </w:r>
      <w:r>
        <w:rPr>
          <w:rFonts w:hint="eastAsia" w:ascii="仿宋" w:hAnsi="仿宋" w:eastAsia="仿宋" w:cs="仿宋"/>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50"/>
          <w:rFonts w:hint="eastAsia" w:ascii="仿宋" w:hAnsi="仿宋" w:eastAsia="仿宋" w:cs="仿宋"/>
          <w:color w:val="auto"/>
          <w:kern w:val="0"/>
        </w:rPr>
        <w:t>http://zfcg.czt.zj.gov.cn/</w:t>
      </w:r>
      <w:r>
        <w:rPr>
          <w:rStyle w:val="50"/>
          <w:rFonts w:hint="eastAsia" w:ascii="仿宋" w:hAnsi="仿宋" w:eastAsia="仿宋" w:cs="仿宋"/>
          <w:color w:val="auto"/>
          <w:kern w:val="0"/>
        </w:rPr>
        <w:fldChar w:fldCharType="end"/>
      </w:r>
      <w:r>
        <w:rPr>
          <w:rFonts w:hint="eastAsia" w:ascii="仿宋" w:hAnsi="仿宋" w:eastAsia="仿宋" w:cs="仿宋"/>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50"/>
          <w:rFonts w:hint="eastAsia" w:ascii="仿宋" w:hAnsi="仿宋" w:eastAsia="仿宋" w:cs="仿宋"/>
          <w:color w:val="auto"/>
        </w:rPr>
        <w:t>http://ggb.sx.gov.cn</w:t>
      </w:r>
      <w:r>
        <w:rPr>
          <w:rStyle w:val="50"/>
          <w:rFonts w:hint="eastAsia" w:ascii="仿宋" w:hAnsi="仿宋" w:eastAsia="仿宋" w:cs="仿宋"/>
          <w:color w:val="auto"/>
        </w:rPr>
        <w:fldChar w:fldCharType="end"/>
      </w:r>
      <w:r>
        <w:rPr>
          <w:rFonts w:hint="eastAsia" w:ascii="仿宋" w:hAnsi="仿宋" w:eastAsia="仿宋" w:cs="仿宋"/>
          <w:color w:val="auto"/>
          <w:kern w:val="0"/>
        </w:rPr>
        <w:t>）发布中标公告，中标公告期限为1个工作日。</w:t>
      </w:r>
    </w:p>
    <w:p>
      <w:pPr>
        <w:tabs>
          <w:tab w:val="left" w:pos="0"/>
        </w:tabs>
        <w:spacing w:line="440" w:lineRule="exact"/>
        <w:rPr>
          <w:rFonts w:ascii="仿宋" w:hAnsi="仿宋" w:eastAsia="仿宋" w:cs="仿宋"/>
          <w:color w:val="auto"/>
          <w:kern w:val="0"/>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，通过电子交易平台进行备案。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（4）事实依据；</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（5）必要的法律依据；</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（7）提出质疑的日期。</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4"/>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（3）对采购结果提出的质疑。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pacing w:line="440" w:lineRule="exact"/>
        <w:ind w:right="420"/>
        <w:rPr>
          <w:rFonts w:ascii="仿宋" w:hAnsi="仿宋" w:eastAsia="仿宋" w:cs="仿宋"/>
          <w:b/>
          <w:bCs/>
          <w:color w:val="auto"/>
          <w:sz w:val="24"/>
        </w:rPr>
      </w:pPr>
      <w:bookmarkStart w:id="7" w:name="_Toc151354173"/>
      <w:bookmarkStart w:id="8" w:name="_Toc81372964"/>
      <w:bookmarkStart w:id="9" w:name="_Toc81372787"/>
      <w:bookmarkStart w:id="10" w:name="_Toc80157775"/>
      <w:bookmarkStart w:id="11" w:name="_Toc84325981"/>
      <w:r>
        <w:rPr>
          <w:rFonts w:hint="eastAsia" w:ascii="仿宋" w:hAnsi="仿宋" w:eastAsia="仿宋" w:cs="仿宋"/>
          <w:b/>
          <w:bCs/>
          <w:color w:val="auto"/>
          <w:sz w:val="24"/>
          <w:bdr w:val="single" w:color="auto" w:sz="4" w:space="0"/>
        </w:rPr>
        <w:t>01标</w:t>
      </w:r>
      <w:bookmarkStart w:id="12" w:name="_Toc32678"/>
      <w:bookmarkStart w:id="13" w:name="_Toc7206"/>
      <w:r>
        <w:rPr>
          <w:rFonts w:hint="eastAsia" w:ascii="仿宋" w:hAnsi="仿宋" w:eastAsia="仿宋" w:cs="仿宋"/>
          <w:b/>
          <w:bCs/>
          <w:color w:val="auto"/>
          <w:sz w:val="24"/>
        </w:rPr>
        <w:t>水资源管理与调配及市级九龙联动治水应用项目</w:t>
      </w:r>
    </w:p>
    <w:p>
      <w:pPr>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1.建设内容</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本项目主要工作内容包括：绍兴市水资源管理与调配及市级九龙联动治水应用开发。</w:t>
      </w:r>
    </w:p>
    <w:p>
      <w:pPr>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2.项目技术要求</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2.1水资源管理与调配</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按照水利部《数字孪生流域建设技术大纲（试行）》具体要求，围绕建立水资源刚性约束制度，落实水资源智慧调度，突出用水总量和用水效率控制这条主线，建设水资源管理“一本帐”、水资源利用效率“一指标”、水资源联网联调“一张网”、鉴湖水资源保护“一特色”等应用场景，对全社会用水实行精准化、全链条、闭环式管理，同时实现水资源生态积蓄和优化调配。</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（1）水资源管理“一本帐”</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通过取用水监测数据实时归集，对取水户进行在线监管；打通全链条涉水数据，动态掌握区域水资源量，分析行业及园区用水量、用水构成的变化趋势，为水资源服务经济社会运行宏观决策提供支撑；创新水资源综合评价指标体系，从开发、利用、节约、保护、管理、改革六个维度“精准画像”，分析全市各县（市、区）水资源工作的优势和短板。 </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（2）水资源利用效率“一指标”</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将全市重点工业企业纳入平台，与相关部门制定企业生产用水与经济产出数据共享规则，通过统一评价标准，建立企业节水在线评价智能模块，实现对节水企业在线精准识别；根据节水评价分档情况，分行业建立节水英雄榜，对水效先进的“红榜”企业推送节水激励政策，对水效落后的“黑榜”企业推送整改建议。</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（3）水资源联网联调“一张网”</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绍兴市区为重点，以汤浦与平水江水库、平原河网、曹娥江闸上江道等为骨干水源，利用径流预报、需水预测、可供水量预测、水资源配置、水资源调度等模型，构建“联网联调、分供提质”的水资源保障网。通过对供水情势分析、供需分析预报、旱情预警研判、应急调度预案</w:t>
      </w:r>
      <w:bookmarkStart w:id="170" w:name="_GoBack"/>
      <w:bookmarkEnd w:id="170"/>
      <w:r>
        <w:rPr>
          <w:rFonts w:hint="eastAsia" w:ascii="仿宋" w:hAnsi="仿宋" w:eastAsia="仿宋" w:cs="仿宋"/>
          <w:color w:val="auto"/>
          <w:sz w:val="24"/>
        </w:rPr>
        <w:t>、调度执行监督等进行业务流程再造，建设水资源“四预”模块，形成“全面感知、动态分析、超前预警、智能调度、精准服务”的水资源联网联调管理模式，保障流域用水安全。</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（4）鉴湖水资源保护“一特色”</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根据《浙江省鉴湖水域保护条例》《绍兴黄酒保护和发展条例》，围绕鉴湖水域周边黄酒企业分布发展以及鉴湖水资源保护工作，汇集鉴湖水域保护分析保护范围内水位、水质等动态基本信息，实时掌握黄酒企业水源地取水量和取水水质情况；统计鉴湖周边黄酒企业用水情况和相关经济数据，分析用水水平，对企业进行节水管理。</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2.2市级九龙联动治水</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结合绍兴市实际，与省级浙里“九龙联动治水”应用进行用户体系、数据、业务和能力贯通。整合已建、规范在建、统筹新建，建设绍兴市九龙联动治水应用，实现跨部门数据共享，形成联动治水新模式。建设越水安全、越水好喝、越水节约、越水美丽、越水清廉、越水畅通等应用场景，具体工作内容包括：</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（1）越水安全</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越水安全将相关重要数据及主要业务成果进行汇聚，呈现绍兴市域内流域安全总体态势，包括实时水雨情监测数据、流域防洪态势、山洪联防和水库纳蓄情况的汇总展示。回流省级相关数据，并与绍兴市水平台、曹娥江流域防洪应用等平台进行无缝整合，打通大屏和工作平台。</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（2）越水好喝</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聚焦绍兴市城乡饮用水情况，通过供用一张图展示绍兴市水源地-水厂-供水范围的拓扑关系，实时展示供水量和供水水质达标情况，回流并展示省级平台保供预测成果和分区预警情况，回流并可上报省级平台供水投诉和处理情况。</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（3）越水节约</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汇聚展示水资源管理“一本帐”和水资源利用效率“一指标”重要业务成果，和省级平台回流相关数据，包括水资源态势、用水态势、用水双控和取水许可监管等内容，水资源工作平台与越水节约大屏实现互联互通。</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（4）越水美丽</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展示绍兴市河湖特色，对全市河湖健康情况等进行监管，为市级美丽河湖的监督和管理提供技术支撑。汇聚省级平台、绍兴市河湖管理智慧平台和绍兴市美丽河湖应用的相关重要业务数据并做相应展示。</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（5）越水清廉</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聚焦绍兴市水利工程项目管理，回流省级平台相关数据，展示全市水利工程项目总体情况、质量安全和风险管控情况，以及市场中现有建设单位情况，辅助工程项目管理。</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（6）越水畅通</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回流省级平台相关业务成果，内部连通绍兴市水平台核心业务应用，外部连通其他相关部门数据资源，以绍兴水网为主线，展示水网总体格局、规划及推进情况，服务于水行政管理部门和建设单位等用户群体，了解绍兴水网整体态势。</w:t>
      </w:r>
    </w:p>
    <w:p>
      <w:pPr>
        <w:pStyle w:val="2"/>
        <w:ind w:left="479" w:leftChars="228"/>
        <w:rPr>
          <w:rFonts w:ascii="仿宋" w:hAnsi="仿宋" w:eastAsia="仿宋" w:cs="仿宋"/>
          <w:color w:val="auto"/>
          <w:sz w:val="24"/>
        </w:rPr>
      </w:pPr>
      <w:r>
        <w:rPr>
          <w:rFonts w:hint="eastAsia" w:ascii="仿宋" w:hAnsi="仿宋" w:eastAsia="仿宋" w:cs="仿宋"/>
          <w:color w:val="auto"/>
          <w:sz w:val="24"/>
        </w:rPr>
        <w:t>2.3 应用平台部署要求</w:t>
      </w:r>
    </w:p>
    <w:p>
      <w:pPr>
        <w:pStyle w:val="2"/>
        <w:ind w:firstLine="480" w:firstLineChars="200"/>
        <w:rPr>
          <w:rFonts w:ascii="仿宋" w:hAnsi="仿宋" w:eastAsia="仿宋" w:cs="仿宋"/>
          <w:color w:val="auto"/>
          <w:sz w:val="24"/>
        </w:rPr>
      </w:pPr>
      <w:r>
        <w:rPr>
          <w:rFonts w:hint="eastAsia" w:ascii="仿宋" w:hAnsi="仿宋" w:eastAsia="仿宋" w:cs="仿宋"/>
          <w:color w:val="auto"/>
          <w:sz w:val="24"/>
        </w:rPr>
        <w:t>根据省、市数字化改革要求，应用需统一部署在绍兴市政务云（信创云）上，依托政务云（信创云）提供的计算、存储和网络资源进行建设和部署。</w:t>
      </w:r>
    </w:p>
    <w:p>
      <w:pPr>
        <w:keepNext/>
        <w:keepLines/>
        <w:spacing w:line="360" w:lineRule="auto"/>
        <w:ind w:firstLine="482" w:firstLineChars="200"/>
        <w:rPr>
          <w:rFonts w:ascii="宋体" w:hAnsi="宋体" w:cs="宋体"/>
          <w:b/>
          <w:bCs/>
          <w:color w:val="auto"/>
          <w:sz w:val="24"/>
        </w:rPr>
      </w:pPr>
      <w:r>
        <w:rPr>
          <w:rFonts w:hint="eastAsia" w:ascii="宋体" w:hAnsi="宋体" w:cs="宋体"/>
          <w:b/>
          <w:bCs/>
          <w:color w:val="auto"/>
          <w:sz w:val="24"/>
        </w:rPr>
        <w:t>3. 任务清单</w:t>
      </w:r>
    </w:p>
    <w:tbl>
      <w:tblPr>
        <w:tblStyle w:val="44"/>
        <w:tblW w:w="8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805"/>
        <w:gridCol w:w="944"/>
        <w:gridCol w:w="4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936" w:type="dxa"/>
          </w:tcPr>
          <w:p>
            <w:pPr>
              <w:spacing w:before="156" w:after="156"/>
              <w:jc w:val="center"/>
              <w:rPr>
                <w:rFonts w:ascii="仿宋" w:hAnsi="仿宋" w:eastAsia="仿宋" w:cs="仿宋"/>
                <w:b/>
                <w:color w:val="auto"/>
                <w:kern w:val="0"/>
                <w:sz w:val="24"/>
              </w:rPr>
            </w:pPr>
            <w:r>
              <w:rPr>
                <w:rFonts w:hint="eastAsia" w:ascii="仿宋" w:hAnsi="仿宋" w:eastAsia="仿宋" w:cs="仿宋"/>
                <w:b/>
                <w:color w:val="auto"/>
                <w:kern w:val="0"/>
                <w:sz w:val="24"/>
              </w:rPr>
              <w:t>编号</w:t>
            </w:r>
          </w:p>
        </w:tc>
        <w:tc>
          <w:tcPr>
            <w:tcW w:w="2805" w:type="dxa"/>
          </w:tcPr>
          <w:p>
            <w:pPr>
              <w:spacing w:before="156" w:after="156"/>
              <w:jc w:val="center"/>
              <w:rPr>
                <w:rFonts w:ascii="仿宋" w:hAnsi="仿宋" w:eastAsia="仿宋" w:cs="仿宋"/>
                <w:b/>
                <w:color w:val="auto"/>
                <w:kern w:val="0"/>
                <w:sz w:val="24"/>
              </w:rPr>
            </w:pPr>
            <w:r>
              <w:rPr>
                <w:rFonts w:hint="eastAsia" w:ascii="仿宋" w:hAnsi="仿宋" w:eastAsia="仿宋" w:cs="仿宋"/>
                <w:b/>
                <w:color w:val="auto"/>
                <w:kern w:val="0"/>
                <w:sz w:val="24"/>
              </w:rPr>
              <w:t>主要事项</w:t>
            </w:r>
          </w:p>
        </w:tc>
        <w:tc>
          <w:tcPr>
            <w:tcW w:w="944" w:type="dxa"/>
          </w:tcPr>
          <w:p>
            <w:pPr>
              <w:spacing w:before="156" w:after="156"/>
              <w:jc w:val="center"/>
              <w:rPr>
                <w:rFonts w:ascii="仿宋" w:hAnsi="仿宋" w:eastAsia="仿宋" w:cs="仿宋"/>
                <w:b/>
                <w:color w:val="auto"/>
                <w:kern w:val="0"/>
                <w:sz w:val="24"/>
              </w:rPr>
            </w:pPr>
            <w:r>
              <w:rPr>
                <w:rFonts w:hint="eastAsia" w:ascii="仿宋" w:hAnsi="仿宋" w:eastAsia="仿宋" w:cs="仿宋"/>
                <w:b/>
                <w:color w:val="auto"/>
                <w:kern w:val="0"/>
                <w:sz w:val="24"/>
              </w:rPr>
              <w:t>单位</w:t>
            </w:r>
          </w:p>
        </w:tc>
        <w:tc>
          <w:tcPr>
            <w:tcW w:w="4121" w:type="dxa"/>
          </w:tcPr>
          <w:p>
            <w:pPr>
              <w:spacing w:before="156" w:after="156"/>
              <w:jc w:val="center"/>
              <w:rPr>
                <w:rFonts w:ascii="仿宋" w:hAnsi="仿宋" w:eastAsia="仿宋" w:cs="仿宋"/>
                <w:b/>
                <w:color w:val="auto"/>
                <w:kern w:val="0"/>
                <w:sz w:val="24"/>
              </w:rPr>
            </w:pPr>
            <w:r>
              <w:rPr>
                <w:rFonts w:hint="eastAsia" w:ascii="仿宋" w:hAnsi="仿宋" w:eastAsia="仿宋" w:cs="仿宋"/>
                <w:b/>
                <w:color w:val="auto"/>
                <w:kern w:val="0"/>
                <w:sz w:val="24"/>
              </w:rPr>
              <w:t>主要技术要求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6" w:type="dxa"/>
          </w:tcPr>
          <w:p>
            <w:pPr>
              <w:spacing w:before="156" w:after="156"/>
              <w:jc w:val="center"/>
              <w:rPr>
                <w:rFonts w:ascii="仿宋" w:hAnsi="仿宋" w:eastAsia="仿宋" w:cs="仿宋"/>
                <w:b/>
                <w:bCs/>
                <w:color w:val="auto"/>
                <w:kern w:val="0"/>
                <w:sz w:val="24"/>
              </w:rPr>
            </w:pPr>
            <w:r>
              <w:rPr>
                <w:rFonts w:hint="eastAsia" w:ascii="仿宋" w:hAnsi="仿宋" w:eastAsia="仿宋" w:cs="仿宋"/>
                <w:b/>
                <w:bCs/>
                <w:color w:val="auto"/>
                <w:kern w:val="0"/>
                <w:sz w:val="24"/>
              </w:rPr>
              <w:t>一</w:t>
            </w:r>
          </w:p>
        </w:tc>
        <w:tc>
          <w:tcPr>
            <w:tcW w:w="2805" w:type="dxa"/>
          </w:tcPr>
          <w:p>
            <w:pPr>
              <w:spacing w:before="156" w:after="156"/>
              <w:jc w:val="center"/>
              <w:rPr>
                <w:rFonts w:ascii="仿宋" w:hAnsi="仿宋" w:eastAsia="仿宋" w:cs="仿宋"/>
                <w:b/>
                <w:bCs/>
                <w:color w:val="auto"/>
                <w:kern w:val="0"/>
                <w:sz w:val="24"/>
              </w:rPr>
            </w:pPr>
            <w:r>
              <w:rPr>
                <w:rFonts w:hint="eastAsia" w:ascii="仿宋" w:hAnsi="仿宋" w:eastAsia="仿宋" w:cs="仿宋"/>
                <w:b/>
                <w:bCs/>
                <w:color w:val="auto"/>
                <w:kern w:val="0"/>
                <w:sz w:val="24"/>
              </w:rPr>
              <w:t>水资源管理与调配</w:t>
            </w:r>
          </w:p>
        </w:tc>
        <w:tc>
          <w:tcPr>
            <w:tcW w:w="944" w:type="dxa"/>
            <w:vAlign w:val="center"/>
          </w:tcPr>
          <w:p>
            <w:pPr>
              <w:spacing w:before="156" w:after="156"/>
              <w:jc w:val="center"/>
              <w:rPr>
                <w:rFonts w:ascii="仿宋" w:hAnsi="仿宋" w:eastAsia="仿宋" w:cs="仿宋"/>
                <w:b/>
                <w:bCs/>
                <w:color w:val="auto"/>
                <w:kern w:val="0"/>
                <w:sz w:val="24"/>
              </w:rPr>
            </w:pPr>
          </w:p>
        </w:tc>
        <w:tc>
          <w:tcPr>
            <w:tcW w:w="4121" w:type="dxa"/>
          </w:tcPr>
          <w:p>
            <w:pPr>
              <w:spacing w:before="156" w:after="156"/>
              <w:jc w:val="left"/>
              <w:rPr>
                <w:rFonts w:ascii="仿宋" w:hAnsi="仿宋" w:eastAsia="仿宋" w:cs="仿宋"/>
                <w:b/>
                <w:bCs/>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（一）</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水资源管理“一本帐”</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tcPr>
          <w:p>
            <w:pPr>
              <w:spacing w:before="156" w:after="156"/>
              <w:jc w:val="left"/>
              <w:rPr>
                <w:rFonts w:ascii="仿宋" w:hAnsi="仿宋" w:eastAsia="仿宋" w:cs="仿宋"/>
                <w:color w:val="auto"/>
                <w:kern w:val="0"/>
                <w:sz w:val="24"/>
              </w:rPr>
            </w:pPr>
            <w:r>
              <w:rPr>
                <w:rFonts w:hint="eastAsia" w:ascii="仿宋" w:hAnsi="仿宋" w:eastAsia="仿宋" w:cs="仿宋"/>
                <w:color w:val="auto"/>
                <w:kern w:val="0"/>
                <w:sz w:val="24"/>
              </w:rPr>
              <w:t>对全市取水户进行在线监管；分区域动态掌握水资源量、降水量和水库蓄水量；精准分析研判全社会各领域、各行业用水状况和变化趋势；创新水资源综合评价指标体系，立体展示各县（市、区）水资源工作的优势和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（二）</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水资源利用效率“一指标”</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tcPr>
          <w:p>
            <w:pPr>
              <w:spacing w:before="156" w:after="156"/>
              <w:jc w:val="left"/>
              <w:rPr>
                <w:rFonts w:ascii="仿宋" w:hAnsi="仿宋" w:eastAsia="仿宋" w:cs="仿宋"/>
                <w:color w:val="auto"/>
                <w:kern w:val="0"/>
                <w:sz w:val="24"/>
              </w:rPr>
            </w:pPr>
            <w:r>
              <w:rPr>
                <w:rFonts w:hint="eastAsia" w:ascii="仿宋" w:hAnsi="仿宋" w:eastAsia="仿宋" w:cs="仿宋"/>
                <w:color w:val="auto"/>
                <w:kern w:val="0"/>
                <w:sz w:val="24"/>
              </w:rPr>
              <w:t>依托跨部门取用水和经济指标数据过程归集，通过制定统一评价标准，对重点用水企业节水水平进行精准研判，并根据评判结果对节水激励政策和整改建议等进行精准推送。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（三）</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水资源联网联调“一张网”</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tcPr>
          <w:p>
            <w:pPr>
              <w:spacing w:before="156" w:after="156"/>
              <w:rPr>
                <w:rFonts w:ascii="仿宋" w:hAnsi="仿宋" w:eastAsia="仿宋" w:cs="仿宋"/>
                <w:color w:val="auto"/>
                <w:kern w:val="0"/>
                <w:sz w:val="24"/>
              </w:rPr>
            </w:pPr>
            <w:r>
              <w:rPr>
                <w:rFonts w:hint="eastAsia" w:ascii="仿宋" w:hAnsi="仿宋" w:eastAsia="仿宋" w:cs="仿宋"/>
                <w:color w:val="auto"/>
                <w:kern w:val="0"/>
                <w:sz w:val="24"/>
              </w:rPr>
              <w:t>以绍兴市区为重点, 利用径流预报、需水预测、可供水量预测、水资源配置、水资源调度等模型，建设水资源“四预”模块，构建“联网联调、分供提质”的水资源保障网。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（四）</w:t>
            </w:r>
          </w:p>
        </w:tc>
        <w:tc>
          <w:tcPr>
            <w:tcW w:w="2805" w:type="dxa"/>
            <w:vAlign w:val="center"/>
          </w:tcPr>
          <w:p>
            <w:pPr>
              <w:spacing w:before="156" w:after="156"/>
              <w:jc w:val="center"/>
              <w:rPr>
                <w:rFonts w:ascii="仿宋" w:hAnsi="仿宋" w:eastAsia="仿宋" w:cs="仿宋"/>
                <w:b/>
                <w:bCs/>
                <w:color w:val="auto"/>
                <w:kern w:val="0"/>
                <w:sz w:val="24"/>
              </w:rPr>
            </w:pPr>
            <w:r>
              <w:rPr>
                <w:rFonts w:hint="eastAsia" w:ascii="仿宋" w:hAnsi="仿宋" w:eastAsia="仿宋" w:cs="仿宋"/>
                <w:color w:val="auto"/>
                <w:kern w:val="0"/>
                <w:sz w:val="24"/>
              </w:rPr>
              <w:t>鉴湖水资源保护“一特色”</w:t>
            </w:r>
          </w:p>
        </w:tc>
        <w:tc>
          <w:tcPr>
            <w:tcW w:w="944" w:type="dxa"/>
            <w:vAlign w:val="center"/>
          </w:tcPr>
          <w:p>
            <w:pPr>
              <w:spacing w:before="156" w:after="156"/>
              <w:jc w:val="center"/>
              <w:rPr>
                <w:rFonts w:ascii="仿宋" w:hAnsi="仿宋" w:eastAsia="仿宋" w:cs="仿宋"/>
                <w:b/>
                <w:bCs/>
                <w:color w:val="auto"/>
                <w:kern w:val="0"/>
                <w:sz w:val="24"/>
              </w:rPr>
            </w:pPr>
            <w:r>
              <w:rPr>
                <w:rFonts w:hint="eastAsia" w:ascii="仿宋" w:hAnsi="仿宋" w:eastAsia="仿宋" w:cs="仿宋"/>
                <w:color w:val="auto"/>
                <w:kern w:val="0"/>
                <w:sz w:val="24"/>
              </w:rPr>
              <w:t>项</w:t>
            </w:r>
          </w:p>
        </w:tc>
        <w:tc>
          <w:tcPr>
            <w:tcW w:w="4121" w:type="dxa"/>
          </w:tcPr>
          <w:p>
            <w:pPr>
              <w:spacing w:before="156" w:after="156"/>
              <w:rPr>
                <w:rFonts w:ascii="仿宋" w:hAnsi="仿宋" w:eastAsia="仿宋" w:cs="仿宋"/>
                <w:b/>
                <w:bCs/>
                <w:color w:val="auto"/>
                <w:kern w:val="0"/>
                <w:sz w:val="24"/>
              </w:rPr>
            </w:pPr>
            <w:r>
              <w:rPr>
                <w:rFonts w:hint="eastAsia" w:ascii="仿宋" w:hAnsi="仿宋" w:eastAsia="仿宋" w:cs="仿宋"/>
                <w:color w:val="auto"/>
                <w:kern w:val="0"/>
                <w:sz w:val="24"/>
              </w:rPr>
              <w:t>汇集鉴湖水域保护分析保护范围内水位、水质等动态基本信息，实时掌握黄酒企业水源地取水量和取水水质情况；分析黄酒企业用水水平，对企业进行节水管理。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6" w:type="dxa"/>
            <w:vAlign w:val="center"/>
          </w:tcPr>
          <w:p>
            <w:pPr>
              <w:spacing w:before="156" w:after="156"/>
              <w:jc w:val="center"/>
              <w:rPr>
                <w:rFonts w:ascii="仿宋" w:hAnsi="仿宋" w:eastAsia="仿宋" w:cs="仿宋"/>
                <w:b/>
                <w:bCs/>
                <w:color w:val="auto"/>
                <w:kern w:val="0"/>
                <w:sz w:val="24"/>
              </w:rPr>
            </w:pPr>
            <w:r>
              <w:rPr>
                <w:rFonts w:hint="eastAsia" w:ascii="仿宋" w:hAnsi="仿宋" w:eastAsia="仿宋" w:cs="仿宋"/>
                <w:b/>
                <w:bCs/>
                <w:color w:val="auto"/>
                <w:kern w:val="0"/>
                <w:sz w:val="24"/>
              </w:rPr>
              <w:t>二</w:t>
            </w:r>
          </w:p>
        </w:tc>
        <w:tc>
          <w:tcPr>
            <w:tcW w:w="2805" w:type="dxa"/>
            <w:vAlign w:val="center"/>
          </w:tcPr>
          <w:p>
            <w:pPr>
              <w:spacing w:before="156" w:after="156"/>
              <w:jc w:val="center"/>
              <w:rPr>
                <w:rFonts w:ascii="仿宋" w:hAnsi="仿宋" w:eastAsia="仿宋" w:cs="仿宋"/>
                <w:b/>
                <w:bCs/>
                <w:color w:val="auto"/>
                <w:kern w:val="0"/>
                <w:sz w:val="24"/>
              </w:rPr>
            </w:pPr>
            <w:r>
              <w:rPr>
                <w:rFonts w:hint="eastAsia" w:ascii="仿宋" w:hAnsi="仿宋" w:eastAsia="仿宋" w:cs="仿宋"/>
                <w:b/>
                <w:bCs/>
                <w:color w:val="auto"/>
                <w:kern w:val="0"/>
                <w:sz w:val="24"/>
              </w:rPr>
              <w:t>市级九龙联动治水</w:t>
            </w:r>
          </w:p>
        </w:tc>
        <w:tc>
          <w:tcPr>
            <w:tcW w:w="944" w:type="dxa"/>
            <w:vAlign w:val="center"/>
          </w:tcPr>
          <w:p>
            <w:pPr>
              <w:spacing w:before="156" w:after="156"/>
              <w:jc w:val="center"/>
              <w:rPr>
                <w:rFonts w:ascii="仿宋" w:hAnsi="仿宋" w:eastAsia="仿宋" w:cs="仿宋"/>
                <w:b/>
                <w:bCs/>
                <w:color w:val="auto"/>
                <w:kern w:val="0"/>
                <w:sz w:val="24"/>
              </w:rPr>
            </w:pPr>
          </w:p>
        </w:tc>
        <w:tc>
          <w:tcPr>
            <w:tcW w:w="4121" w:type="dxa"/>
          </w:tcPr>
          <w:p>
            <w:pPr>
              <w:spacing w:before="156" w:after="156"/>
              <w:jc w:val="left"/>
              <w:rPr>
                <w:rFonts w:ascii="仿宋" w:hAnsi="仿宋" w:eastAsia="仿宋" w:cs="仿宋"/>
                <w:b/>
                <w:bCs/>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（一）</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越水安全</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tcPr>
          <w:p>
            <w:pPr>
              <w:spacing w:before="156" w:after="156"/>
              <w:rPr>
                <w:rFonts w:ascii="仿宋" w:hAnsi="仿宋" w:eastAsia="仿宋" w:cs="仿宋"/>
                <w:color w:val="auto"/>
                <w:kern w:val="0"/>
                <w:sz w:val="24"/>
              </w:rPr>
            </w:pPr>
            <w:r>
              <w:rPr>
                <w:rFonts w:hint="eastAsia" w:ascii="仿宋" w:hAnsi="仿宋" w:eastAsia="仿宋" w:cs="仿宋"/>
                <w:color w:val="auto"/>
                <w:kern w:val="0"/>
                <w:sz w:val="24"/>
              </w:rPr>
              <w:t>汇聚数据并展示绍兴市内实时监测、流域防洪、山洪联防和水库纳蓄等流域安全总体态势。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（二）</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越水好喝</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tcPr>
          <w:p>
            <w:pPr>
              <w:spacing w:before="156" w:after="156"/>
              <w:rPr>
                <w:rFonts w:ascii="仿宋" w:hAnsi="仿宋" w:eastAsia="仿宋" w:cs="仿宋"/>
                <w:color w:val="auto"/>
                <w:kern w:val="0"/>
                <w:sz w:val="24"/>
              </w:rPr>
            </w:pPr>
            <w:r>
              <w:rPr>
                <w:rFonts w:hint="eastAsia" w:ascii="仿宋" w:hAnsi="仿宋" w:eastAsia="仿宋" w:cs="仿宋"/>
                <w:color w:val="auto"/>
                <w:kern w:val="0"/>
                <w:sz w:val="24"/>
              </w:rPr>
              <w:t>汇聚数据并展示饮用水供用一张图、供水监测和保供预测等绍兴市饮用水相关情况。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（三）</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越水节约</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vAlign w:val="center"/>
          </w:tcPr>
          <w:p>
            <w:pPr>
              <w:spacing w:before="156" w:after="156"/>
              <w:rPr>
                <w:rFonts w:ascii="仿宋" w:hAnsi="仿宋" w:eastAsia="仿宋" w:cs="仿宋"/>
                <w:color w:val="auto"/>
                <w:kern w:val="0"/>
                <w:sz w:val="24"/>
              </w:rPr>
            </w:pPr>
            <w:r>
              <w:rPr>
                <w:rFonts w:hint="eastAsia" w:ascii="仿宋" w:hAnsi="仿宋" w:eastAsia="仿宋" w:cs="仿宋"/>
                <w:color w:val="auto"/>
                <w:kern w:val="0"/>
                <w:sz w:val="24"/>
              </w:rPr>
              <w:t>汇聚数据并展示水资源和用水态势、用水双控和取水许可等绍兴市水资源管理相关情况。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（四）</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越水美丽</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vAlign w:val="center"/>
          </w:tcPr>
          <w:p>
            <w:pPr>
              <w:spacing w:before="156" w:after="156"/>
              <w:rPr>
                <w:rFonts w:ascii="仿宋" w:hAnsi="仿宋" w:eastAsia="仿宋" w:cs="仿宋"/>
                <w:color w:val="auto"/>
                <w:kern w:val="0"/>
                <w:sz w:val="24"/>
              </w:rPr>
            </w:pPr>
            <w:r>
              <w:rPr>
                <w:rFonts w:hint="eastAsia" w:ascii="仿宋" w:hAnsi="仿宋" w:eastAsia="仿宋" w:cs="仿宋"/>
                <w:color w:val="auto"/>
                <w:kern w:val="0"/>
                <w:sz w:val="24"/>
              </w:rPr>
              <w:t>汇聚数据并展示绍兴市河湖长履职、河湖健康和公众护水情况。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（五）</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越水清廉</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vAlign w:val="center"/>
          </w:tcPr>
          <w:p>
            <w:pPr>
              <w:spacing w:before="156" w:after="156"/>
              <w:rPr>
                <w:rFonts w:ascii="仿宋" w:hAnsi="仿宋" w:eastAsia="仿宋" w:cs="仿宋"/>
                <w:color w:val="auto"/>
                <w:kern w:val="0"/>
                <w:sz w:val="24"/>
              </w:rPr>
            </w:pPr>
            <w:r>
              <w:rPr>
                <w:rFonts w:hint="eastAsia" w:ascii="仿宋" w:hAnsi="仿宋" w:eastAsia="仿宋" w:cs="仿宋"/>
                <w:color w:val="auto"/>
                <w:kern w:val="0"/>
                <w:sz w:val="24"/>
              </w:rPr>
              <w:t>汇聚数据并展示水利工程项目情况、质量安全和风险管控和建设单位等绍兴市水利工程相关情况。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exact"/>
          <w:jc w:val="center"/>
        </w:trPr>
        <w:tc>
          <w:tcPr>
            <w:tcW w:w="936"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（六）</w:t>
            </w:r>
          </w:p>
        </w:tc>
        <w:tc>
          <w:tcPr>
            <w:tcW w:w="2805"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越水畅通</w:t>
            </w:r>
          </w:p>
        </w:tc>
        <w:tc>
          <w:tcPr>
            <w:tcW w:w="944" w:type="dxa"/>
            <w:vAlign w:val="center"/>
          </w:tcPr>
          <w:p>
            <w:pPr>
              <w:spacing w:before="156" w:after="156"/>
              <w:jc w:val="center"/>
              <w:rPr>
                <w:rFonts w:ascii="仿宋" w:hAnsi="仿宋" w:eastAsia="仿宋" w:cs="仿宋"/>
                <w:color w:val="auto"/>
                <w:kern w:val="0"/>
                <w:sz w:val="24"/>
              </w:rPr>
            </w:pPr>
            <w:r>
              <w:rPr>
                <w:rFonts w:hint="eastAsia" w:ascii="仿宋" w:hAnsi="仿宋" w:eastAsia="仿宋" w:cs="仿宋"/>
                <w:color w:val="auto"/>
                <w:kern w:val="0"/>
                <w:sz w:val="24"/>
              </w:rPr>
              <w:t>项</w:t>
            </w:r>
          </w:p>
        </w:tc>
        <w:tc>
          <w:tcPr>
            <w:tcW w:w="4121" w:type="dxa"/>
            <w:vAlign w:val="center"/>
          </w:tcPr>
          <w:p>
            <w:pPr>
              <w:spacing w:before="156" w:after="156"/>
              <w:rPr>
                <w:rFonts w:ascii="仿宋" w:hAnsi="仿宋" w:eastAsia="仿宋" w:cs="仿宋"/>
                <w:color w:val="auto"/>
                <w:kern w:val="0"/>
                <w:sz w:val="24"/>
              </w:rPr>
            </w:pPr>
            <w:r>
              <w:rPr>
                <w:rFonts w:hint="eastAsia" w:ascii="仿宋" w:hAnsi="仿宋" w:eastAsia="仿宋" w:cs="仿宋"/>
                <w:color w:val="auto"/>
                <w:kern w:val="0"/>
                <w:sz w:val="24"/>
              </w:rPr>
              <w:t>汇聚数据并展示绍兴市水网总体格局、规划和推进情况。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36" w:type="dxa"/>
          </w:tcPr>
          <w:p>
            <w:pPr>
              <w:spacing w:before="156" w:after="156"/>
              <w:jc w:val="center"/>
              <w:rPr>
                <w:rFonts w:ascii="仿宋" w:hAnsi="仿宋" w:eastAsia="仿宋" w:cs="仿宋"/>
                <w:b/>
                <w:color w:val="auto"/>
                <w:kern w:val="0"/>
                <w:sz w:val="24"/>
              </w:rPr>
            </w:pPr>
            <w:r>
              <w:rPr>
                <w:rFonts w:hint="eastAsia" w:ascii="仿宋" w:hAnsi="仿宋" w:eastAsia="仿宋" w:cs="仿宋"/>
                <w:b/>
                <w:color w:val="auto"/>
                <w:kern w:val="0"/>
                <w:sz w:val="24"/>
              </w:rPr>
              <w:t>三</w:t>
            </w:r>
          </w:p>
        </w:tc>
        <w:tc>
          <w:tcPr>
            <w:tcW w:w="2805" w:type="dxa"/>
            <w:vAlign w:val="center"/>
          </w:tcPr>
          <w:p>
            <w:pPr>
              <w:spacing w:before="156" w:after="156"/>
              <w:jc w:val="center"/>
              <w:rPr>
                <w:rFonts w:ascii="仿宋" w:hAnsi="仿宋" w:eastAsia="仿宋" w:cs="仿宋"/>
                <w:b/>
                <w:color w:val="auto"/>
                <w:kern w:val="0"/>
                <w:sz w:val="24"/>
              </w:rPr>
            </w:pPr>
            <w:r>
              <w:rPr>
                <w:rFonts w:hint="eastAsia" w:ascii="仿宋" w:hAnsi="仿宋" w:eastAsia="仿宋" w:cs="仿宋"/>
                <w:b/>
                <w:color w:val="auto"/>
                <w:kern w:val="0"/>
                <w:sz w:val="24"/>
              </w:rPr>
              <w:t>其他</w:t>
            </w:r>
          </w:p>
        </w:tc>
        <w:tc>
          <w:tcPr>
            <w:tcW w:w="944" w:type="dxa"/>
            <w:vAlign w:val="center"/>
          </w:tcPr>
          <w:p>
            <w:pPr>
              <w:spacing w:before="156" w:after="156"/>
              <w:jc w:val="center"/>
              <w:rPr>
                <w:rFonts w:ascii="仿宋" w:hAnsi="仿宋" w:eastAsia="仿宋" w:cs="仿宋"/>
                <w:b/>
                <w:color w:val="auto"/>
                <w:kern w:val="0"/>
                <w:sz w:val="24"/>
              </w:rPr>
            </w:pPr>
          </w:p>
        </w:tc>
        <w:tc>
          <w:tcPr>
            <w:tcW w:w="4121" w:type="dxa"/>
          </w:tcPr>
          <w:p>
            <w:pPr>
              <w:spacing w:before="156" w:after="156"/>
              <w:jc w:val="left"/>
              <w:rPr>
                <w:rFonts w:ascii="仿宋" w:hAnsi="仿宋" w:eastAsia="仿宋" w:cs="仿宋"/>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6" w:type="dxa"/>
            <w:vAlign w:val="center"/>
          </w:tcPr>
          <w:p>
            <w:pPr>
              <w:spacing w:before="156" w:after="156"/>
              <w:jc w:val="center"/>
              <w:rPr>
                <w:rFonts w:ascii="仿宋" w:hAnsi="仿宋" w:eastAsia="仿宋" w:cs="仿宋"/>
                <w:b/>
                <w:color w:val="auto"/>
                <w:kern w:val="0"/>
                <w:sz w:val="24"/>
              </w:rPr>
            </w:pPr>
            <w:r>
              <w:rPr>
                <w:rFonts w:hint="eastAsia" w:ascii="仿宋" w:hAnsi="仿宋" w:eastAsia="仿宋" w:cs="仿宋"/>
                <w:color w:val="auto"/>
                <w:kern w:val="0"/>
                <w:sz w:val="24"/>
              </w:rPr>
              <w:t>1</w:t>
            </w:r>
          </w:p>
        </w:tc>
        <w:tc>
          <w:tcPr>
            <w:tcW w:w="2805" w:type="dxa"/>
            <w:vAlign w:val="center"/>
          </w:tcPr>
          <w:p>
            <w:pPr>
              <w:spacing w:before="156" w:after="156"/>
              <w:jc w:val="center"/>
              <w:rPr>
                <w:rFonts w:ascii="仿宋" w:hAnsi="仿宋" w:eastAsia="仿宋" w:cs="仿宋"/>
                <w:b/>
                <w:color w:val="auto"/>
                <w:kern w:val="0"/>
                <w:sz w:val="24"/>
              </w:rPr>
            </w:pPr>
            <w:r>
              <w:rPr>
                <w:rFonts w:hint="eastAsia" w:ascii="仿宋" w:hAnsi="仿宋" w:eastAsia="仿宋" w:cs="仿宋"/>
                <w:color w:val="auto"/>
                <w:kern w:val="0"/>
                <w:sz w:val="24"/>
              </w:rPr>
              <w:t>二级安全等保</w:t>
            </w:r>
          </w:p>
        </w:tc>
        <w:tc>
          <w:tcPr>
            <w:tcW w:w="944" w:type="dxa"/>
            <w:vAlign w:val="center"/>
          </w:tcPr>
          <w:p>
            <w:pPr>
              <w:spacing w:before="156" w:after="156"/>
              <w:jc w:val="center"/>
              <w:rPr>
                <w:rFonts w:ascii="仿宋" w:hAnsi="仿宋" w:eastAsia="仿宋" w:cs="仿宋"/>
                <w:b/>
                <w:color w:val="auto"/>
                <w:kern w:val="0"/>
                <w:sz w:val="24"/>
              </w:rPr>
            </w:pPr>
            <w:r>
              <w:rPr>
                <w:rFonts w:hint="eastAsia" w:ascii="仿宋" w:hAnsi="仿宋" w:eastAsia="仿宋" w:cs="仿宋"/>
                <w:color w:val="auto"/>
                <w:kern w:val="0"/>
                <w:sz w:val="24"/>
              </w:rPr>
              <w:t>项</w:t>
            </w:r>
          </w:p>
        </w:tc>
        <w:tc>
          <w:tcPr>
            <w:tcW w:w="4121" w:type="dxa"/>
          </w:tcPr>
          <w:p>
            <w:pPr>
              <w:spacing w:before="156" w:after="156"/>
              <w:jc w:val="left"/>
              <w:rPr>
                <w:rFonts w:ascii="仿宋" w:hAnsi="仿宋" w:eastAsia="仿宋" w:cs="仿宋"/>
                <w:color w:val="auto"/>
                <w:kern w:val="0"/>
                <w:sz w:val="24"/>
              </w:rPr>
            </w:pPr>
          </w:p>
        </w:tc>
      </w:tr>
    </w:tbl>
    <w:p>
      <w:pPr>
        <w:tabs>
          <w:tab w:val="left" w:pos="1145"/>
        </w:tabs>
        <w:spacing w:line="360" w:lineRule="auto"/>
        <w:ind w:firstLine="482" w:firstLineChars="200"/>
        <w:jc w:val="left"/>
        <w:rPr>
          <w:rFonts w:ascii="仿宋" w:hAnsi="仿宋" w:eastAsia="仿宋" w:cs="仿宋"/>
          <w:b/>
          <w:bCs/>
          <w:color w:val="auto"/>
          <w:sz w:val="24"/>
          <w:shd w:val="clear" w:color="auto" w:fill="FBFDFE"/>
        </w:rPr>
      </w:pPr>
      <w:r>
        <w:rPr>
          <w:rFonts w:hint="eastAsia" w:ascii="仿宋" w:hAnsi="仿宋" w:eastAsia="仿宋" w:cs="仿宋"/>
          <w:b/>
          <w:bCs/>
          <w:color w:val="auto"/>
          <w:sz w:val="24"/>
          <w:shd w:val="clear" w:color="auto" w:fill="FBFDFE"/>
        </w:rPr>
        <w:t>4、进度要求</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（1）2023年6月30日前，应用功能最小化模块上线试运行；</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（2）2023年11月30日前，完成项目验收，并进入壹年质保期。</w:t>
      </w:r>
    </w:p>
    <w:p>
      <w:pPr>
        <w:tabs>
          <w:tab w:val="left" w:pos="1145"/>
        </w:tabs>
        <w:spacing w:line="360" w:lineRule="auto"/>
        <w:ind w:firstLine="482" w:firstLineChars="200"/>
        <w:jc w:val="left"/>
        <w:rPr>
          <w:rFonts w:ascii="仿宋" w:hAnsi="仿宋" w:eastAsia="仿宋" w:cs="仿宋"/>
          <w:b/>
          <w:bCs/>
          <w:color w:val="auto"/>
          <w:sz w:val="24"/>
          <w:shd w:val="clear" w:color="auto" w:fill="FBFDFE"/>
        </w:rPr>
      </w:pPr>
      <w:r>
        <w:rPr>
          <w:rFonts w:hint="eastAsia" w:ascii="仿宋" w:hAnsi="仿宋" w:eastAsia="仿宋" w:cs="仿宋"/>
          <w:b/>
          <w:bCs/>
          <w:color w:val="auto"/>
          <w:sz w:val="24"/>
          <w:shd w:val="clear" w:color="auto" w:fill="FBFDFE"/>
        </w:rPr>
        <w:t>5、售后及培训要求</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（1）保修响应时间：要求对项目提供7*24小时技术支持服务，在系统出现故障1小时内给予电话支持，如不能解决，在故障发生的4小时内，派技术人员到现场处理。</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（2）中标人在系统开发完成后，应编制培训材料，组织相关人员进行培训，使其尽快熟悉系统操作，促进系统更快更好的投入使用，提高工作效率，项目培训不少于2次。</w:t>
      </w:r>
    </w:p>
    <w:p>
      <w:pPr>
        <w:tabs>
          <w:tab w:val="left" w:pos="1145"/>
        </w:tabs>
        <w:spacing w:line="360" w:lineRule="auto"/>
        <w:ind w:firstLine="482" w:firstLineChars="200"/>
        <w:jc w:val="left"/>
        <w:rPr>
          <w:rFonts w:ascii="仿宋" w:hAnsi="仿宋" w:eastAsia="仿宋" w:cs="仿宋"/>
          <w:b/>
          <w:bCs/>
          <w:color w:val="auto"/>
          <w:sz w:val="24"/>
          <w:shd w:val="clear" w:color="auto" w:fill="FBFDFE"/>
        </w:rPr>
      </w:pPr>
      <w:r>
        <w:rPr>
          <w:rFonts w:hint="eastAsia" w:ascii="仿宋" w:hAnsi="仿宋" w:eastAsia="仿宋" w:cs="仿宋"/>
          <w:b/>
          <w:bCs/>
          <w:color w:val="auto"/>
          <w:sz w:val="24"/>
          <w:shd w:val="clear" w:color="auto" w:fill="FBFDFE"/>
        </w:rPr>
        <w:t>6、验收标准</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完成招标文件所要求的全部建设项目、系统运行稳定、功能满足采购人工作需求，并完成采购人培训工作后，通过采购人组织的验收小组进行验收。</w:t>
      </w:r>
    </w:p>
    <w:p>
      <w:pPr>
        <w:tabs>
          <w:tab w:val="left" w:pos="1145"/>
        </w:tabs>
        <w:spacing w:line="360" w:lineRule="auto"/>
        <w:ind w:firstLine="482" w:firstLineChars="200"/>
        <w:jc w:val="left"/>
        <w:rPr>
          <w:rFonts w:ascii="仿宋" w:hAnsi="仿宋" w:eastAsia="仿宋" w:cs="仿宋"/>
          <w:b/>
          <w:bCs/>
          <w:color w:val="auto"/>
          <w:sz w:val="24"/>
          <w:shd w:val="clear" w:color="auto" w:fill="FBFDFE"/>
        </w:rPr>
      </w:pPr>
      <w:r>
        <w:rPr>
          <w:rFonts w:hint="eastAsia" w:ascii="仿宋" w:hAnsi="仿宋" w:eastAsia="仿宋" w:cs="仿宋"/>
          <w:b/>
          <w:bCs/>
          <w:color w:val="auto"/>
          <w:sz w:val="24"/>
          <w:shd w:val="clear" w:color="auto" w:fill="FBFDFE"/>
        </w:rPr>
        <w:t>7、成果提交</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（1）项目建设完成后，需提交以下成果：</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（2）项目建设实施方案一份；</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（3）项目业务系统一套、二级安全等保测评；</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（4）项目业务系统用户手册文档一份。</w:t>
      </w:r>
    </w:p>
    <w:p>
      <w:pPr>
        <w:tabs>
          <w:tab w:val="left" w:pos="1145"/>
        </w:tabs>
        <w:spacing w:line="360" w:lineRule="auto"/>
        <w:ind w:firstLine="482" w:firstLineChars="200"/>
        <w:jc w:val="left"/>
        <w:rPr>
          <w:rFonts w:ascii="仿宋" w:hAnsi="仿宋" w:eastAsia="仿宋" w:cs="仿宋"/>
          <w:b/>
          <w:bCs/>
          <w:color w:val="auto"/>
          <w:sz w:val="24"/>
          <w:shd w:val="clear" w:color="auto" w:fill="FBFDFE"/>
        </w:rPr>
      </w:pPr>
      <w:r>
        <w:rPr>
          <w:rFonts w:hint="eastAsia" w:ascii="仿宋" w:hAnsi="仿宋" w:eastAsia="仿宋" w:cs="仿宋"/>
          <w:b/>
          <w:bCs/>
          <w:color w:val="auto"/>
          <w:sz w:val="24"/>
          <w:shd w:val="clear" w:color="auto" w:fill="FBFDFE"/>
        </w:rPr>
        <w:t>四、付款方式</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（1)签订生效以及具备实施条件后7个工作日内支付合同价的50%；</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（2）2023年6月30日前应用功能最小化模块上线,上线后15日内支付合同价的40%（合计支付至合同价的90%）；</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（3）2023年11月30日前通过验收,通过验收后15日内支付合同价的10%（合计支付至合同价的100%）；</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（4）验收完成后退还履约保证金（履约保函）。</w:t>
      </w:r>
    </w:p>
    <w:p>
      <w:pPr>
        <w:snapToGrid w:val="0"/>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具体以财政资金到位为准，若当年年底拨付资金不足，不足部分在下一次支付款项时补足。</w:t>
      </w:r>
    </w:p>
    <w:p>
      <w:pPr>
        <w:pStyle w:val="9"/>
        <w:ind w:firstLine="0" w:firstLineChars="0"/>
        <w:rPr>
          <w:rFonts w:eastAsia="仿宋"/>
          <w:color w:val="auto"/>
        </w:rPr>
      </w:pPr>
    </w:p>
    <w:p>
      <w:pPr>
        <w:rPr>
          <w:color w:val="auto"/>
          <w:sz w:val="24"/>
        </w:rPr>
      </w:pPr>
    </w:p>
    <w:bookmarkEnd w:id="7"/>
    <w:bookmarkEnd w:id="12"/>
    <w:bookmarkEnd w:id="13"/>
    <w:p>
      <w:pPr>
        <w:pStyle w:val="24"/>
        <w:pageBreakBefore/>
        <w:spacing w:line="800" w:lineRule="exact"/>
        <w:ind w:firstLine="726"/>
        <w:jc w:val="center"/>
        <w:rPr>
          <w:rFonts w:ascii="仿宋" w:hAnsi="仿宋" w:eastAsia="仿宋" w:cs="仿宋"/>
          <w:b/>
          <w:color w:val="auto"/>
          <w:sz w:val="36"/>
          <w:szCs w:val="36"/>
        </w:rPr>
      </w:pPr>
      <w:r>
        <w:rPr>
          <w:rFonts w:hint="eastAsia" w:ascii="仿宋" w:hAnsi="仿宋" w:eastAsia="仿宋" w:cs="仿宋"/>
          <w:b/>
          <w:color w:val="auto"/>
          <w:sz w:val="36"/>
          <w:szCs w:val="36"/>
        </w:rPr>
        <w:t>第四部分  政府采购合同参考范本</w:t>
      </w:r>
    </w:p>
    <w:p>
      <w:pPr>
        <w:rPr>
          <w:rFonts w:ascii="仿宋" w:hAnsi="仿宋" w:eastAsia="仿宋" w:cs="仿宋"/>
          <w:color w:val="auto"/>
          <w:sz w:val="24"/>
        </w:rPr>
      </w:pPr>
    </w:p>
    <w:p>
      <w:pPr>
        <w:rPr>
          <w:rFonts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9"/>
        <w:rPr>
          <w:rFonts w:ascii="仿宋" w:hAnsi="仿宋" w:eastAsia="仿宋" w:cs="仿宋"/>
          <w:color w:val="auto"/>
        </w:rPr>
      </w:pPr>
    </w:p>
    <w:p>
      <w:pPr>
        <w:pStyle w:val="9"/>
        <w:rPr>
          <w:rFonts w:ascii="仿宋" w:hAnsi="仿宋" w:eastAsia="仿宋" w:cs="仿宋"/>
          <w:color w:val="auto"/>
        </w:rPr>
      </w:pPr>
    </w:p>
    <w:p>
      <w:pPr>
        <w:pStyle w:val="9"/>
        <w:ind w:firstLine="562"/>
        <w:jc w:val="center"/>
        <w:rPr>
          <w:rFonts w:ascii="仿宋" w:hAnsi="仿宋" w:eastAsia="仿宋" w:cs="仿宋"/>
          <w:b/>
          <w:color w:val="auto"/>
          <w:sz w:val="28"/>
        </w:rPr>
      </w:pPr>
      <w:r>
        <w:rPr>
          <w:rFonts w:hint="eastAsia" w:ascii="仿宋" w:hAnsi="仿宋" w:eastAsia="仿宋" w:cs="仿宋"/>
          <w:b/>
          <w:color w:val="auto"/>
          <w:sz w:val="28"/>
        </w:rPr>
        <w:t>第一部分  合同书</w:t>
      </w:r>
    </w:p>
    <w:p>
      <w:pPr>
        <w:pStyle w:val="9"/>
        <w:rPr>
          <w:rFonts w:ascii="仿宋" w:hAnsi="仿宋" w:eastAsia="仿宋" w:cs="仿宋"/>
          <w:color w:val="auto"/>
        </w:rPr>
      </w:pPr>
    </w:p>
    <w:p>
      <w:pPr>
        <w:pStyle w:val="9"/>
        <w:rPr>
          <w:rFonts w:ascii="仿宋" w:hAnsi="仿宋" w:eastAsia="仿宋" w:cs="仿宋"/>
          <w:color w:val="auto"/>
        </w:rPr>
      </w:pPr>
    </w:p>
    <w:p>
      <w:pPr>
        <w:spacing w:before="120" w:line="22" w:lineRule="atLeast"/>
        <w:rPr>
          <w:rFonts w:ascii="仿宋" w:hAnsi="仿宋" w:eastAsia="仿宋" w:cs="仿宋"/>
          <w:color w:val="auto"/>
          <w:sz w:val="24"/>
        </w:rPr>
      </w:pPr>
    </w:p>
    <w:p>
      <w:pPr>
        <w:spacing w:before="120" w:line="22" w:lineRule="atLeast"/>
        <w:ind w:left="960"/>
        <w:rPr>
          <w:rFonts w:ascii="仿宋" w:hAnsi="仿宋" w:eastAsia="仿宋" w:cs="仿宋"/>
          <w:color w:val="auto"/>
          <w:sz w:val="24"/>
        </w:rPr>
      </w:pPr>
      <w:r>
        <w:rPr>
          <w:rFonts w:hint="eastAsia" w:ascii="仿宋" w:hAnsi="仿宋" w:eastAsia="仿宋" w:cs="仿宋"/>
          <w:color w:val="auto"/>
          <w:sz w:val="24"/>
        </w:rPr>
        <w:t>项目名称：</w:t>
      </w:r>
    </w:p>
    <w:p>
      <w:pPr>
        <w:pStyle w:val="281"/>
        <w:spacing w:before="120" w:line="22" w:lineRule="atLeast"/>
        <w:rPr>
          <w:rFonts w:ascii="仿宋" w:hAnsi="仿宋" w:eastAsia="仿宋" w:cs="仿宋"/>
          <w:color w:val="auto"/>
          <w:szCs w:val="24"/>
        </w:rPr>
      </w:pPr>
    </w:p>
    <w:p>
      <w:pPr>
        <w:pStyle w:val="281"/>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rPr>
          <w:rFonts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ascii="仿宋" w:hAnsi="仿宋" w:eastAsia="仿宋" w:cs="仿宋"/>
          <w:color w:val="auto"/>
          <w:sz w:val="24"/>
        </w:rPr>
      </w:pPr>
    </w:p>
    <w:p>
      <w:pPr>
        <w:spacing w:before="120" w:line="22" w:lineRule="atLeast"/>
        <w:ind w:left="960"/>
        <w:rPr>
          <w:rFonts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ascii="仿宋" w:hAnsi="仿宋" w:eastAsia="仿宋" w:cs="仿宋"/>
          <w:color w:val="auto"/>
          <w:sz w:val="24"/>
        </w:rPr>
      </w:pPr>
    </w:p>
    <w:p>
      <w:pPr>
        <w:spacing w:before="120" w:line="22" w:lineRule="atLeast"/>
        <w:ind w:firstLine="960" w:firstLineChars="400"/>
        <w:rPr>
          <w:rFonts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ascii="仿宋" w:hAnsi="仿宋" w:eastAsia="仿宋" w:cs="仿宋"/>
          <w:color w:val="auto"/>
          <w:sz w:val="24"/>
        </w:rPr>
      </w:pPr>
    </w:p>
    <w:p>
      <w:pPr>
        <w:spacing w:before="120" w:line="22" w:lineRule="atLeast"/>
        <w:ind w:firstLine="960" w:firstLineChars="400"/>
        <w:rPr>
          <w:rFonts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（采购人）</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（采购人）</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ascii="仿宋" w:hAnsi="仿宋" w:eastAsia="仿宋" w:cs="仿宋"/>
          <w:b/>
          <w:color w:val="auto"/>
          <w:sz w:val="24"/>
        </w:rPr>
      </w:pPr>
      <w:bookmarkStart w:id="14" w:name="_Toc24059"/>
      <w:bookmarkStart w:id="15" w:name="_Toc3029"/>
      <w:bookmarkStart w:id="16" w:name="_Toc2232"/>
      <w:r>
        <w:rPr>
          <w:rFonts w:hint="eastAsia" w:ascii="仿宋" w:hAnsi="仿宋" w:eastAsia="仿宋" w:cs="仿宋"/>
          <w:b/>
          <w:color w:val="auto"/>
          <w:sz w:val="24"/>
        </w:rPr>
        <w:t>1.1 合同组成部分</w:t>
      </w:r>
      <w:bookmarkEnd w:id="14"/>
      <w:bookmarkEnd w:id="15"/>
      <w:bookmarkEnd w:id="1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ascii="仿宋" w:hAnsi="仿宋" w:eastAsia="仿宋" w:cs="仿宋"/>
          <w:b/>
          <w:color w:val="auto"/>
          <w:sz w:val="24"/>
        </w:rPr>
      </w:pPr>
      <w:bookmarkStart w:id="17" w:name="_Toc24300"/>
      <w:bookmarkStart w:id="18" w:name="_Toc21295"/>
      <w:bookmarkStart w:id="19" w:name="_Toc27126"/>
      <w:r>
        <w:rPr>
          <w:rFonts w:hint="eastAsia" w:ascii="仿宋" w:hAnsi="仿宋" w:eastAsia="仿宋" w:cs="仿宋"/>
          <w:b/>
          <w:color w:val="auto"/>
          <w:sz w:val="24"/>
        </w:rPr>
        <w:t xml:space="preserve">1.2 </w:t>
      </w:r>
      <w:bookmarkEnd w:id="17"/>
      <w:bookmarkEnd w:id="18"/>
      <w:bookmarkEnd w:id="19"/>
      <w:r>
        <w:rPr>
          <w:rFonts w:hint="eastAsia" w:ascii="仿宋" w:hAnsi="仿宋" w:eastAsia="仿宋" w:cs="仿宋"/>
          <w:b/>
          <w:color w:val="auto"/>
          <w:sz w:val="24"/>
        </w:rPr>
        <w:t>服务</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服务名称：；</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服务期限和内容：；</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1.2.3 服务提供地点及方式：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20" w:name="_Toc21551"/>
      <w:bookmarkStart w:id="21" w:name="_Toc21631"/>
      <w:bookmarkStart w:id="22" w:name="_Toc23292"/>
      <w:r>
        <w:rPr>
          <w:rFonts w:hint="eastAsia" w:ascii="仿宋" w:hAnsi="仿宋" w:eastAsia="仿宋" w:cs="仿宋"/>
          <w:b/>
          <w:color w:val="auto"/>
          <w:sz w:val="24"/>
        </w:rPr>
        <w:t>1.3 价款</w:t>
      </w:r>
      <w:bookmarkEnd w:id="20"/>
      <w:bookmarkEnd w:id="21"/>
      <w:bookmarkEnd w:id="2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本合同总价为：￥元（大写：元人民币）。</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rPr>
            </w:pPr>
          </w:p>
        </w:tc>
      </w:tr>
    </w:tbl>
    <w:p>
      <w:pPr>
        <w:spacing w:line="440" w:lineRule="exact"/>
        <w:ind w:firstLine="482" w:firstLineChars="200"/>
        <w:outlineLvl w:val="0"/>
        <w:rPr>
          <w:rFonts w:ascii="仿宋" w:hAnsi="仿宋" w:eastAsia="仿宋" w:cs="仿宋"/>
          <w:b/>
          <w:color w:val="auto"/>
          <w:sz w:val="24"/>
        </w:rPr>
      </w:pPr>
      <w:bookmarkStart w:id="23" w:name="_Toc1814"/>
      <w:bookmarkStart w:id="24" w:name="_Toc22618"/>
      <w:bookmarkStart w:id="25" w:name="_Toc10340"/>
      <w:bookmarkStart w:id="26" w:name="_Toc2846"/>
      <w:bookmarkStart w:id="27" w:name="_Toc19304"/>
      <w:bookmarkStart w:id="28" w:name="_Toc32071"/>
      <w:r>
        <w:rPr>
          <w:rFonts w:hint="eastAsia" w:ascii="仿宋" w:hAnsi="仿宋" w:eastAsia="仿宋" w:cs="仿宋"/>
          <w:b/>
          <w:color w:val="auto"/>
          <w:sz w:val="24"/>
        </w:rPr>
        <w:t>1.4 付款</w:t>
      </w:r>
      <w:bookmarkEnd w:id="23"/>
      <w:bookmarkEnd w:id="24"/>
      <w:bookmarkEnd w:id="25"/>
      <w:r>
        <w:rPr>
          <w:rFonts w:hint="eastAsia" w:ascii="仿宋" w:hAnsi="仿宋" w:eastAsia="仿宋" w:cs="仿宋"/>
          <w:b/>
          <w:color w:val="auto"/>
          <w:sz w:val="24"/>
        </w:rPr>
        <w:t>方式、时间和条件</w:t>
      </w:r>
    </w:p>
    <w:p>
      <w:pPr>
        <w:pStyle w:val="283"/>
        <w:spacing w:before="0" w:beforeAutospacing="0" w:after="0" w:afterAutospacing="0" w:line="440" w:lineRule="exact"/>
        <w:ind w:firstLine="480"/>
        <w:rPr>
          <w:rFonts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26"/>
      <w:bookmarkEnd w:id="27"/>
      <w:bookmarkEnd w:id="28"/>
      <w:bookmarkStart w:id="29" w:name="_Toc27250"/>
      <w:bookmarkStart w:id="30" w:name="_Toc21423"/>
      <w:bookmarkStart w:id="31" w:name="_Toc19554"/>
      <w:r>
        <w:rPr>
          <w:rFonts w:hint="eastAsia" w:ascii="仿宋" w:hAnsi="仿宋" w:eastAsia="仿宋" w:cs="仿宋"/>
          <w:b/>
          <w:color w:val="auto"/>
          <w:sz w:val="24"/>
        </w:rPr>
        <w:t>违约责任</w:t>
      </w:r>
      <w:bookmarkEnd w:id="29"/>
      <w:bookmarkEnd w:id="30"/>
      <w:bookmarkEnd w:id="3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ascii="仿宋" w:hAnsi="仿宋" w:eastAsia="仿宋" w:cs="仿宋"/>
          <w:color w:val="auto"/>
          <w:sz w:val="24"/>
        </w:rPr>
      </w:pPr>
      <w:r>
        <w:rPr>
          <w:rFonts w:hint="eastAsia" w:ascii="仿宋" w:hAnsi="仿宋" w:eastAsia="仿宋" w:cs="仿宋"/>
          <w:color w:val="auto"/>
          <w:sz w:val="24"/>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rPr>
      </w:pPr>
      <w:r>
        <w:rPr>
          <w:rFonts w:hint="eastAsia" w:ascii="仿宋" w:hAnsi="仿宋" w:eastAsia="仿宋" w:cs="仿宋"/>
          <w:color w:val="auto"/>
          <w:sz w:val="24"/>
        </w:rPr>
        <w:t>1.5.7违约责任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ascii="仿宋" w:hAnsi="仿宋" w:eastAsia="仿宋" w:cs="仿宋"/>
          <w:b/>
          <w:color w:val="auto"/>
          <w:sz w:val="24"/>
        </w:rPr>
      </w:pPr>
      <w:bookmarkStart w:id="32" w:name="_Toc28375"/>
      <w:bookmarkStart w:id="33" w:name="_Toc16021"/>
      <w:bookmarkStart w:id="34" w:name="_Toc15583"/>
      <w:r>
        <w:rPr>
          <w:rFonts w:hint="eastAsia" w:ascii="仿宋" w:hAnsi="仿宋" w:eastAsia="仿宋" w:cs="仿宋"/>
          <w:b/>
          <w:color w:val="auto"/>
          <w:sz w:val="24"/>
        </w:rPr>
        <w:t>1.6合同争议的解决</w:t>
      </w:r>
      <w:bookmarkEnd w:id="32"/>
      <w:bookmarkEnd w:id="33"/>
      <w:bookmarkEnd w:id="34"/>
    </w:p>
    <w:p>
      <w:pPr>
        <w:spacing w:line="560" w:lineRule="exact"/>
        <w:ind w:left="-61" w:leftChars="-29" w:right="-420" w:rightChars="-200" w:firstLine="240" w:firstLineChars="1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1.6.1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1.6.2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ascii="仿宋" w:hAnsi="仿宋" w:eastAsia="仿宋" w:cs="仿宋"/>
          <w:b/>
          <w:color w:val="auto"/>
          <w:sz w:val="24"/>
        </w:rPr>
      </w:pPr>
      <w:bookmarkStart w:id="35" w:name="_Toc7245"/>
      <w:bookmarkStart w:id="36" w:name="_Toc11173"/>
      <w:bookmarkStart w:id="37" w:name="_Toc15322"/>
      <w:r>
        <w:rPr>
          <w:rFonts w:hint="eastAsia" w:ascii="仿宋" w:hAnsi="仿宋" w:eastAsia="仿宋" w:cs="仿宋"/>
          <w:b/>
          <w:color w:val="auto"/>
          <w:sz w:val="24"/>
        </w:rPr>
        <w:t>1.7合同生效</w:t>
      </w:r>
      <w:bookmarkEnd w:id="35"/>
      <w:bookmarkEnd w:id="36"/>
      <w:bookmarkEnd w:id="37"/>
    </w:p>
    <w:p>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统一社会信用代码：统一社会信用代码或身份证号码：</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住所：住所：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法定代表人或法定代表人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联系人：联系人：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约定送达地址：约定送达地址：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邮政编码：邮政编码：</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lang w:val="zh-CN"/>
        </w:rPr>
        <w:t>电子邮箱：电子邮箱：</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开户账号：开户账号：</w:t>
      </w:r>
    </w:p>
    <w:p>
      <w:pPr>
        <w:rPr>
          <w:rFonts w:ascii="仿宋" w:hAnsi="仿宋" w:eastAsia="仿宋" w:cs="仿宋"/>
          <w:color w:val="auto"/>
          <w:sz w:val="24"/>
          <w:u w:val="single"/>
        </w:rPr>
      </w:pPr>
    </w:p>
    <w:p>
      <w:pPr>
        <w:pStyle w:val="282"/>
        <w:pageBreakBefore/>
        <w:spacing w:line="560" w:lineRule="exact"/>
        <w:ind w:left="0" w:leftChars="0" w:firstLine="0" w:firstLineChars="0"/>
        <w:jc w:val="center"/>
        <w:rPr>
          <w:rFonts w:ascii="仿宋" w:hAnsi="仿宋" w:eastAsia="仿宋" w:cs="仿宋"/>
          <w:b/>
          <w:color w:val="auto"/>
          <w:sz w:val="36"/>
          <w:szCs w:val="36"/>
        </w:rPr>
      </w:pPr>
      <w:r>
        <w:rPr>
          <w:rFonts w:hint="eastAsia" w:ascii="仿宋" w:hAnsi="仿宋" w:eastAsia="仿宋" w:cs="仿宋"/>
          <w:b/>
          <w:color w:val="auto"/>
          <w:sz w:val="36"/>
          <w:szCs w:val="36"/>
        </w:rPr>
        <w:t>第二部分合同一般条款</w:t>
      </w:r>
    </w:p>
    <w:p>
      <w:pPr>
        <w:spacing w:line="560" w:lineRule="exact"/>
        <w:ind w:firstLine="482" w:firstLineChars="200"/>
        <w:outlineLvl w:val="0"/>
        <w:rPr>
          <w:rFonts w:ascii="仿宋" w:hAnsi="仿宋" w:eastAsia="仿宋" w:cs="仿宋"/>
          <w:b/>
          <w:color w:val="auto"/>
          <w:sz w:val="24"/>
        </w:rPr>
      </w:pPr>
      <w:bookmarkStart w:id="38" w:name="_Ref467378499"/>
      <w:bookmarkStart w:id="39" w:name="_Ref467379195"/>
      <w:bookmarkStart w:id="40" w:name="_Toc487900349"/>
      <w:bookmarkStart w:id="41" w:name="_Toc16917"/>
      <w:bookmarkStart w:id="42" w:name="_Toc259093669"/>
      <w:bookmarkStart w:id="43" w:name="_Ref467378404"/>
      <w:bookmarkStart w:id="44" w:name="_Toc19614"/>
      <w:bookmarkStart w:id="45" w:name="_Ref467379205"/>
      <w:bookmarkStart w:id="46" w:name="_Ref467379094"/>
      <w:bookmarkStart w:id="47" w:name="_Toc279701240"/>
      <w:bookmarkStart w:id="48" w:name="_Ref467379214"/>
      <w:bookmarkStart w:id="49" w:name="_Toc28763"/>
      <w:bookmarkStart w:id="50" w:name="_Ref467379225"/>
      <w:bookmarkStart w:id="51" w:name="_Ref467378463"/>
      <w:bookmarkStart w:id="52" w:name="_Ref467379109"/>
      <w:bookmarkStart w:id="53" w:name="_Ref467379101"/>
      <w:r>
        <w:rPr>
          <w:rFonts w:hint="eastAsia" w:ascii="仿宋" w:hAnsi="仿宋" w:eastAsia="仿宋" w:cs="仿宋"/>
          <w:b/>
          <w:color w:val="auto"/>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“服务”系指中标供应商根据合同约定应向采购人提供的服务。</w:t>
      </w:r>
    </w:p>
    <w:p>
      <w:pPr>
        <w:spacing w:line="560" w:lineRule="exact"/>
        <w:ind w:firstLine="480" w:firstLineChars="200"/>
        <w:rPr>
          <w:rFonts w:ascii="仿宋" w:hAnsi="仿宋" w:eastAsia="仿宋" w:cs="仿宋"/>
          <w:color w:val="auto"/>
          <w:sz w:val="24"/>
        </w:rPr>
      </w:pPr>
      <w:bookmarkStart w:id="54" w:name="_Ref467378840"/>
      <w:r>
        <w:rPr>
          <w:rFonts w:hint="eastAsia" w:ascii="仿宋" w:hAnsi="仿宋" w:eastAsia="仿宋" w:cs="仿宋"/>
          <w:color w:val="auto"/>
          <w:sz w:val="24"/>
        </w:rPr>
        <w:t>2.1.4 “甲方”系指与中标供应商签署合同的采购人</w:t>
      </w:r>
      <w:bookmarkEnd w:id="54"/>
      <w:r>
        <w:rPr>
          <w:rFonts w:hint="eastAsia" w:ascii="仿宋" w:hAnsi="仿宋" w:eastAsia="仿宋" w:cs="仿宋"/>
          <w:color w:val="auto"/>
          <w:sz w:val="24"/>
        </w:rPr>
        <w:t>。</w:t>
      </w:r>
    </w:p>
    <w:p>
      <w:pPr>
        <w:spacing w:line="560" w:lineRule="exact"/>
        <w:ind w:firstLine="480" w:firstLineChars="200"/>
        <w:rPr>
          <w:rFonts w:ascii="仿宋" w:hAnsi="仿宋" w:eastAsia="仿宋" w:cs="仿宋"/>
          <w:color w:val="auto"/>
          <w:sz w:val="24"/>
        </w:rPr>
      </w:pPr>
      <w:bookmarkStart w:id="55" w:name="_Ref467379400"/>
      <w:r>
        <w:rPr>
          <w:rFonts w:hint="eastAsia" w:ascii="仿宋" w:hAnsi="仿宋" w:eastAsia="仿宋" w:cs="仿宋"/>
          <w:color w:val="auto"/>
          <w:sz w:val="24"/>
        </w:rPr>
        <w:t>2.1.5 “乙方”系指根据合同约定提供服务的中标供应商</w:t>
      </w:r>
      <w:bookmarkEnd w:id="55"/>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bookmarkStart w:id="56" w:name="_Ref467379436"/>
      <w:r>
        <w:rPr>
          <w:rFonts w:hint="eastAsia" w:ascii="仿宋" w:hAnsi="仿宋" w:eastAsia="仿宋" w:cs="仿宋"/>
          <w:color w:val="auto"/>
          <w:sz w:val="24"/>
        </w:rPr>
        <w:t>2.1.6 “现场”系指合同约定服务提供地点。</w:t>
      </w:r>
      <w:bookmarkEnd w:id="56"/>
    </w:p>
    <w:p>
      <w:pPr>
        <w:spacing w:line="560" w:lineRule="exact"/>
        <w:ind w:firstLine="482" w:firstLineChars="200"/>
        <w:outlineLvl w:val="0"/>
        <w:rPr>
          <w:rFonts w:ascii="仿宋" w:hAnsi="仿宋" w:eastAsia="仿宋" w:cs="仿宋"/>
          <w:b/>
          <w:color w:val="auto"/>
          <w:sz w:val="24"/>
        </w:rPr>
      </w:pPr>
      <w:bookmarkStart w:id="57" w:name="_Toc259093670"/>
      <w:bookmarkStart w:id="58" w:name="_Toc487900350"/>
      <w:bookmarkStart w:id="59" w:name="_Toc13336"/>
      <w:bookmarkStart w:id="60" w:name="_Toc32504"/>
      <w:bookmarkStart w:id="61" w:name="_Toc27635"/>
      <w:bookmarkStart w:id="62" w:name="_Toc279701241"/>
      <w:r>
        <w:rPr>
          <w:rFonts w:hint="eastAsia" w:ascii="仿宋" w:hAnsi="仿宋" w:eastAsia="仿宋" w:cs="仿宋"/>
          <w:b/>
          <w:color w:val="auto"/>
          <w:sz w:val="24"/>
        </w:rPr>
        <w:t>2.2 技术规范</w:t>
      </w:r>
      <w:bookmarkEnd w:id="57"/>
      <w:bookmarkEnd w:id="58"/>
      <w:bookmarkEnd w:id="59"/>
      <w:bookmarkEnd w:id="60"/>
      <w:bookmarkEnd w:id="61"/>
      <w:bookmarkEnd w:id="6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63" w:name="_Toc31634"/>
      <w:bookmarkStart w:id="64" w:name="_Toc259093671"/>
      <w:bookmarkStart w:id="65" w:name="_Toc279701242"/>
      <w:bookmarkStart w:id="66" w:name="_Toc9829"/>
      <w:bookmarkStart w:id="67" w:name="_Toc487900351"/>
      <w:bookmarkStart w:id="68" w:name="_Toc27853"/>
      <w:r>
        <w:rPr>
          <w:rFonts w:hint="eastAsia" w:ascii="仿宋" w:hAnsi="仿宋" w:eastAsia="仿宋" w:cs="仿宋"/>
          <w:b/>
          <w:color w:val="auto"/>
          <w:sz w:val="24"/>
        </w:rPr>
        <w:t>2.3 知识产权</w:t>
      </w:r>
      <w:bookmarkEnd w:id="63"/>
      <w:bookmarkEnd w:id="64"/>
      <w:bookmarkEnd w:id="65"/>
      <w:bookmarkEnd w:id="66"/>
      <w:bookmarkEnd w:id="67"/>
      <w:bookmarkEnd w:id="6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2.3.2具有知识产权的计算机软件等开发服务的知识产权归属，详见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69" w:name="_Toc4194"/>
      <w:bookmarkStart w:id="70" w:name="_Toc29149"/>
      <w:bookmarkStart w:id="71" w:name="_Toc11932"/>
      <w:r>
        <w:rPr>
          <w:rFonts w:hint="eastAsia" w:ascii="仿宋" w:hAnsi="仿宋" w:eastAsia="仿宋" w:cs="仿宋"/>
          <w:b/>
          <w:color w:val="auto"/>
          <w:sz w:val="24"/>
        </w:rPr>
        <w:t>2.4 包装和装运</w:t>
      </w:r>
      <w:bookmarkEnd w:id="69"/>
      <w:bookmarkEnd w:id="70"/>
      <w:bookmarkEnd w:id="7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涉及服务的要求和通知，详见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72" w:name="_Toc487900354"/>
      <w:bookmarkStart w:id="73" w:name="_Ref467379527"/>
      <w:bookmarkStart w:id="74" w:name="_Toc279701245"/>
      <w:bookmarkStart w:id="75" w:name="_Toc259093674"/>
      <w:bookmarkStart w:id="76" w:name="_Ref467378541"/>
      <w:bookmarkStart w:id="77" w:name="_Ref467379536"/>
      <w:bookmarkStart w:id="78" w:name="_Ref467378591"/>
      <w:bookmarkStart w:id="79" w:name="_Ref467379542"/>
      <w:bookmarkStart w:id="80" w:name="_Toc30272"/>
      <w:bookmarkStart w:id="81" w:name="_Toc26182"/>
      <w:bookmarkStart w:id="82" w:name="_Toc19074"/>
      <w:r>
        <w:rPr>
          <w:rFonts w:hint="eastAsia" w:ascii="仿宋" w:hAnsi="仿宋" w:eastAsia="仿宋" w:cs="仿宋"/>
          <w:b/>
          <w:color w:val="auto"/>
          <w:sz w:val="24"/>
        </w:rPr>
        <w:t>2.</w:t>
      </w:r>
      <w:bookmarkEnd w:id="72"/>
      <w:bookmarkEnd w:id="73"/>
      <w:bookmarkEnd w:id="74"/>
      <w:bookmarkEnd w:id="75"/>
      <w:bookmarkEnd w:id="76"/>
      <w:bookmarkEnd w:id="77"/>
      <w:bookmarkEnd w:id="78"/>
      <w:bookmarkEnd w:id="79"/>
      <w:r>
        <w:rPr>
          <w:rFonts w:hint="eastAsia" w:ascii="仿宋" w:hAnsi="仿宋" w:eastAsia="仿宋" w:cs="仿宋"/>
          <w:b/>
          <w:color w:val="auto"/>
          <w:sz w:val="24"/>
        </w:rPr>
        <w:t>5 履约检查和问题反馈</w:t>
      </w:r>
      <w:bookmarkEnd w:id="80"/>
      <w:bookmarkEnd w:id="81"/>
      <w:bookmarkEnd w:id="82"/>
    </w:p>
    <w:p>
      <w:pPr>
        <w:spacing w:line="560" w:lineRule="exact"/>
        <w:ind w:firstLine="480" w:firstLineChars="200"/>
        <w:rPr>
          <w:rFonts w:ascii="仿宋" w:hAnsi="仿宋" w:eastAsia="仿宋" w:cs="仿宋"/>
          <w:color w:val="auto"/>
          <w:sz w:val="24"/>
        </w:rPr>
      </w:pPr>
      <w:bookmarkStart w:id="83" w:name="_Ref467379657"/>
      <w:r>
        <w:rPr>
          <w:rFonts w:hint="eastAsia" w:ascii="仿宋" w:hAnsi="仿宋" w:eastAsia="仿宋" w:cs="仿宋"/>
          <w:color w:val="auto"/>
          <w:sz w:val="24"/>
        </w:rPr>
        <w:t>2.5.1</w:t>
      </w:r>
      <w:bookmarkEnd w:id="83"/>
      <w:bookmarkStart w:id="84" w:name="_Toc186431854"/>
      <w:bookmarkStart w:id="85" w:name="_Toc279701247"/>
      <w:bookmarkStart w:id="86" w:name="_Ref467379793"/>
      <w:bookmarkStart w:id="87" w:name="_Ref467379807"/>
      <w:bookmarkStart w:id="88" w:name="_Toc487900357"/>
      <w:bookmarkStart w:id="89" w:name="_Toc259093676"/>
      <w:r>
        <w:rPr>
          <w:rFonts w:hint="eastAsia" w:ascii="仿宋" w:hAnsi="仿宋" w:eastAsia="仿宋" w:cs="仿宋"/>
          <w:color w:val="auto"/>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s="仿宋"/>
          <w:color w:val="auto"/>
          <w:sz w:val="24"/>
        </w:rPr>
        <w:t>。</w:t>
      </w:r>
    </w:p>
    <w:bookmarkEnd w:id="85"/>
    <w:bookmarkEnd w:id="86"/>
    <w:bookmarkEnd w:id="87"/>
    <w:bookmarkEnd w:id="88"/>
    <w:bookmarkEnd w:id="89"/>
    <w:bookmarkEnd w:id="90"/>
    <w:p>
      <w:pPr>
        <w:spacing w:line="560" w:lineRule="exact"/>
        <w:ind w:firstLine="482" w:firstLineChars="200"/>
        <w:outlineLvl w:val="0"/>
        <w:rPr>
          <w:rFonts w:ascii="仿宋" w:hAnsi="仿宋" w:eastAsia="仿宋" w:cs="仿宋"/>
          <w:b/>
          <w:color w:val="auto"/>
          <w:sz w:val="24"/>
        </w:rPr>
      </w:pPr>
      <w:bookmarkStart w:id="91" w:name="_Toc279701248"/>
      <w:bookmarkStart w:id="92" w:name="_Toc259093677"/>
      <w:bookmarkStart w:id="93" w:name="_Ref467379863"/>
      <w:bookmarkStart w:id="94" w:name="_Ref467379923"/>
      <w:bookmarkStart w:id="95" w:name="_Ref467379852"/>
      <w:bookmarkStart w:id="96" w:name="_Toc487900358"/>
      <w:bookmarkStart w:id="97" w:name="_Toc3225"/>
      <w:bookmarkStart w:id="98" w:name="_Toc774"/>
      <w:bookmarkStart w:id="99" w:name="_Toc16110"/>
      <w:r>
        <w:rPr>
          <w:rFonts w:hint="eastAsia" w:ascii="仿宋" w:hAnsi="仿宋" w:eastAsia="仿宋" w:cs="仿宋"/>
          <w:b/>
          <w:color w:val="auto"/>
          <w:sz w:val="24"/>
        </w:rPr>
        <w:t>2.6 技术资料</w:t>
      </w:r>
      <w:bookmarkEnd w:id="91"/>
      <w:bookmarkEnd w:id="92"/>
      <w:bookmarkEnd w:id="93"/>
      <w:bookmarkEnd w:id="94"/>
      <w:bookmarkEnd w:id="95"/>
      <w:bookmarkEnd w:id="96"/>
      <w:r>
        <w:rPr>
          <w:rFonts w:hint="eastAsia" w:ascii="仿宋" w:hAnsi="仿宋" w:eastAsia="仿宋" w:cs="仿宋"/>
          <w:b/>
          <w:color w:val="auto"/>
          <w:sz w:val="24"/>
        </w:rPr>
        <w:t>和保密义务</w:t>
      </w:r>
      <w:bookmarkEnd w:id="97"/>
      <w:bookmarkEnd w:id="98"/>
      <w:bookmarkEnd w:id="9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100" w:name="_Toc7860"/>
      <w:r>
        <w:rPr>
          <w:rFonts w:hint="eastAsia" w:ascii="仿宋" w:hAnsi="仿宋" w:eastAsia="仿宋" w:cs="仿宋"/>
          <w:b/>
          <w:color w:val="auto"/>
          <w:sz w:val="24"/>
        </w:rPr>
        <w:t>2.7 质量保证</w:t>
      </w:r>
      <w:bookmarkEnd w:id="10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101" w:name="_Toc17244"/>
      <w:bookmarkStart w:id="102" w:name="_Toc259093681"/>
      <w:bookmarkStart w:id="103" w:name="_Toc487900362"/>
      <w:bookmarkStart w:id="104" w:name="_Toc279701252"/>
      <w:r>
        <w:rPr>
          <w:rFonts w:hint="eastAsia" w:ascii="仿宋" w:hAnsi="仿宋" w:eastAsia="仿宋" w:cs="仿宋"/>
          <w:b/>
          <w:color w:val="auto"/>
          <w:sz w:val="24"/>
        </w:rPr>
        <w:t>2.8 服务的风险负担</w:t>
      </w:r>
      <w:bookmarkEnd w:id="10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服务过程中涉及的风险负担详见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105" w:name="_Toc14055"/>
      <w:r>
        <w:rPr>
          <w:rFonts w:hint="eastAsia" w:ascii="仿宋" w:hAnsi="仿宋" w:eastAsia="仿宋" w:cs="仿宋"/>
          <w:b/>
          <w:color w:val="auto"/>
          <w:sz w:val="24"/>
        </w:rPr>
        <w:t>2.9 延迟</w:t>
      </w:r>
      <w:bookmarkEnd w:id="102"/>
      <w:bookmarkEnd w:id="103"/>
      <w:bookmarkEnd w:id="104"/>
      <w:bookmarkEnd w:id="105"/>
      <w:r>
        <w:rPr>
          <w:rFonts w:hint="eastAsia" w:ascii="仿宋" w:hAnsi="仿宋" w:eastAsia="仿宋" w:cs="仿宋"/>
          <w:b/>
          <w:color w:val="auto"/>
          <w:sz w:val="24"/>
        </w:rPr>
        <w:t>交付</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color w:val="auto"/>
          <w:sz w:val="24"/>
        </w:rPr>
      </w:pPr>
      <w:bookmarkStart w:id="106" w:name="_Toc7502"/>
      <w:bookmarkStart w:id="107" w:name="_Ref467378121"/>
      <w:bookmarkStart w:id="108" w:name="_Toc259093683"/>
      <w:bookmarkStart w:id="109" w:name="_Toc279701254"/>
      <w:bookmarkStart w:id="110" w:name="_Toc487900364"/>
      <w:r>
        <w:rPr>
          <w:rFonts w:hint="eastAsia" w:ascii="仿宋" w:hAnsi="仿宋" w:eastAsia="仿宋" w:cs="仿宋"/>
          <w:b/>
          <w:color w:val="auto"/>
          <w:sz w:val="24"/>
        </w:rPr>
        <w:t>2.10合同变更</w:t>
      </w:r>
      <w:bookmarkEnd w:id="10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487900369"/>
      <w:bookmarkStart w:id="113" w:name="_Toc259093688"/>
    </w:p>
    <w:p>
      <w:pPr>
        <w:spacing w:line="560" w:lineRule="exact"/>
        <w:ind w:firstLine="482" w:firstLineChars="200"/>
        <w:outlineLvl w:val="0"/>
        <w:rPr>
          <w:rFonts w:ascii="仿宋" w:hAnsi="仿宋" w:eastAsia="仿宋" w:cs="仿宋"/>
          <w:b/>
          <w:color w:val="auto"/>
          <w:sz w:val="24"/>
        </w:rPr>
      </w:pPr>
      <w:bookmarkStart w:id="114" w:name="_Toc22955"/>
      <w:bookmarkStart w:id="115" w:name="_Toc10366"/>
      <w:bookmarkStart w:id="116" w:name="_Toc15237"/>
      <w:r>
        <w:rPr>
          <w:rFonts w:hint="eastAsia" w:ascii="仿宋" w:hAnsi="仿宋" w:eastAsia="仿宋" w:cs="仿宋"/>
          <w:b/>
          <w:color w:val="auto"/>
          <w:sz w:val="24"/>
        </w:rPr>
        <w:t>2.11合同转让</w:t>
      </w:r>
      <w:bookmarkEnd w:id="111"/>
      <w:bookmarkEnd w:id="112"/>
      <w:bookmarkEnd w:id="113"/>
      <w:r>
        <w:rPr>
          <w:rFonts w:hint="eastAsia" w:ascii="仿宋" w:hAnsi="仿宋" w:eastAsia="仿宋" w:cs="仿宋"/>
          <w:b/>
          <w:color w:val="auto"/>
          <w:sz w:val="24"/>
        </w:rPr>
        <w:t>和分包</w:t>
      </w:r>
      <w:bookmarkEnd w:id="114"/>
      <w:bookmarkEnd w:id="115"/>
      <w:bookmarkEnd w:id="116"/>
      <w:r>
        <w:rPr>
          <w:rFonts w:hint="eastAsia" w:ascii="仿宋" w:hAnsi="仿宋" w:eastAsia="仿宋" w:cs="仿宋"/>
          <w:b/>
          <w:color w:val="auto"/>
          <w:sz w:val="24"/>
        </w:rPr>
        <w:t>（如有）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rPr>
      </w:pPr>
      <w:bookmarkStart w:id="117" w:name="_Toc13566"/>
      <w:bookmarkStart w:id="118" w:name="_Toc16508"/>
      <w:bookmarkStart w:id="119" w:name="_Toc14066"/>
      <w:r>
        <w:rPr>
          <w:rFonts w:hint="eastAsia" w:ascii="仿宋" w:hAnsi="仿宋" w:eastAsia="仿宋" w:cs="仿宋"/>
          <w:b/>
          <w:color w:val="auto"/>
          <w:sz w:val="24"/>
        </w:rPr>
        <w:t>2.12不可抗力</w:t>
      </w:r>
      <w:bookmarkEnd w:id="117"/>
      <w:bookmarkEnd w:id="118"/>
      <w:bookmarkEnd w:id="11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120" w:name="_Toc279701255"/>
      <w:bookmarkStart w:id="121" w:name="_Toc30676"/>
      <w:bookmarkStart w:id="122" w:name="_Toc6969"/>
      <w:bookmarkStart w:id="123" w:name="_Toc689"/>
      <w:bookmarkStart w:id="124" w:name="_Toc487900365"/>
      <w:bookmarkStart w:id="125" w:name="_Toc259093684"/>
      <w:r>
        <w:rPr>
          <w:rFonts w:hint="eastAsia" w:ascii="仿宋" w:hAnsi="仿宋" w:eastAsia="仿宋" w:cs="仿宋"/>
          <w:b/>
          <w:color w:val="auto"/>
          <w:sz w:val="24"/>
        </w:rPr>
        <w:t>2.13 税费</w:t>
      </w:r>
      <w:bookmarkEnd w:id="120"/>
      <w:bookmarkEnd w:id="121"/>
      <w:bookmarkEnd w:id="122"/>
      <w:bookmarkEnd w:id="123"/>
      <w:bookmarkEnd w:id="124"/>
      <w:bookmarkEnd w:id="12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rPr>
      </w:pPr>
      <w:bookmarkStart w:id="126" w:name="_Toc487900368"/>
      <w:bookmarkStart w:id="127" w:name="_Toc8298"/>
      <w:bookmarkStart w:id="128" w:name="_Toc16959"/>
      <w:bookmarkStart w:id="129" w:name="_Toc279701258"/>
      <w:bookmarkStart w:id="130" w:name="_Toc7102"/>
      <w:bookmarkStart w:id="131" w:name="_Toc259093687"/>
      <w:r>
        <w:rPr>
          <w:rFonts w:hint="eastAsia" w:ascii="仿宋" w:hAnsi="仿宋" w:eastAsia="仿宋" w:cs="仿宋"/>
          <w:b/>
          <w:color w:val="auto"/>
          <w:sz w:val="24"/>
        </w:rPr>
        <w:t>2.14乙方破产</w:t>
      </w:r>
      <w:bookmarkEnd w:id="126"/>
      <w:bookmarkEnd w:id="127"/>
      <w:bookmarkEnd w:id="128"/>
      <w:bookmarkEnd w:id="129"/>
      <w:bookmarkEnd w:id="130"/>
      <w:bookmarkEnd w:id="13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132" w:name="_Toc15387"/>
      <w:bookmarkStart w:id="133" w:name="_Toc6134"/>
      <w:bookmarkStart w:id="134" w:name="_Toc29333"/>
      <w:r>
        <w:rPr>
          <w:rFonts w:hint="eastAsia" w:ascii="仿宋" w:hAnsi="仿宋" w:eastAsia="仿宋" w:cs="仿宋"/>
          <w:b/>
          <w:color w:val="auto"/>
          <w:sz w:val="24"/>
        </w:rPr>
        <w:t>2.15合同中止、终止</w:t>
      </w:r>
      <w:bookmarkEnd w:id="132"/>
      <w:bookmarkEnd w:id="133"/>
      <w:bookmarkEnd w:id="13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35" w:name="_Toc6596"/>
      <w:bookmarkStart w:id="136" w:name="_Toc14563"/>
      <w:bookmarkStart w:id="137" w:name="_Toc1125"/>
      <w:r>
        <w:rPr>
          <w:rFonts w:hint="eastAsia" w:ascii="仿宋" w:hAnsi="仿宋" w:eastAsia="仿宋" w:cs="仿宋"/>
          <w:b/>
          <w:color w:val="auto"/>
          <w:sz w:val="24"/>
        </w:rPr>
        <w:t>2.16检验和验收</w:t>
      </w:r>
      <w:bookmarkEnd w:id="135"/>
      <w:bookmarkEnd w:id="136"/>
      <w:bookmarkEnd w:id="137"/>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7"/>
    <w:bookmarkEnd w:id="108"/>
    <w:bookmarkEnd w:id="109"/>
    <w:bookmarkEnd w:id="110"/>
    <w:p>
      <w:pPr>
        <w:spacing w:line="560" w:lineRule="exact"/>
        <w:ind w:firstLine="482" w:firstLineChars="200"/>
        <w:outlineLvl w:val="0"/>
        <w:rPr>
          <w:rFonts w:ascii="仿宋" w:hAnsi="仿宋" w:eastAsia="仿宋" w:cs="仿宋"/>
          <w:b/>
          <w:color w:val="auto"/>
          <w:sz w:val="24"/>
        </w:rPr>
      </w:pPr>
      <w:bookmarkStart w:id="138" w:name="_Toc487900371"/>
      <w:bookmarkStart w:id="139" w:name="_Toc279701261"/>
      <w:bookmarkStart w:id="140" w:name="_Toc259093690"/>
      <w:bookmarkStart w:id="141" w:name="_Toc11284"/>
      <w:bookmarkStart w:id="142" w:name="_Toc25182"/>
      <w:bookmarkStart w:id="143" w:name="_Toc19604"/>
      <w:r>
        <w:rPr>
          <w:rFonts w:hint="eastAsia" w:ascii="仿宋" w:hAnsi="仿宋" w:eastAsia="仿宋" w:cs="仿宋"/>
          <w:b/>
          <w:color w:val="auto"/>
          <w:sz w:val="24"/>
        </w:rPr>
        <w:t>2.17通知</w:t>
      </w:r>
      <w:bookmarkEnd w:id="138"/>
      <w:bookmarkEnd w:id="139"/>
      <w:bookmarkEnd w:id="140"/>
      <w:r>
        <w:rPr>
          <w:rFonts w:hint="eastAsia" w:ascii="仿宋" w:hAnsi="仿宋" w:eastAsia="仿宋" w:cs="仿宋"/>
          <w:b/>
          <w:color w:val="auto"/>
          <w:sz w:val="24"/>
        </w:rPr>
        <w:t>和送达</w:t>
      </w:r>
      <w:bookmarkEnd w:id="141"/>
      <w:bookmarkEnd w:id="142"/>
      <w:bookmarkEnd w:id="143"/>
    </w:p>
    <w:p>
      <w:pPr>
        <w:spacing w:line="560" w:lineRule="exact"/>
        <w:ind w:firstLine="480" w:firstLineChars="200"/>
        <w:rPr>
          <w:rFonts w:ascii="仿宋" w:hAnsi="仿宋" w:eastAsia="仿宋" w:cs="仿宋"/>
          <w:color w:val="auto"/>
          <w:sz w:val="24"/>
        </w:rPr>
      </w:pPr>
      <w:bookmarkStart w:id="144" w:name="_Toc3135"/>
      <w:bookmarkStart w:id="145" w:name="_Toc6698"/>
      <w:bookmarkStart w:id="146" w:name="_Toc487900372"/>
      <w:bookmarkStart w:id="147" w:name="_Toc259093691"/>
      <w:bookmarkStart w:id="148" w:name="_Toc279701262"/>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 w:hAnsi="仿宋" w:eastAsia="仿宋" w:cs="仿宋"/>
          <w:color w:val="auto"/>
          <w:sz w:val="24"/>
        </w:rPr>
      </w:pPr>
      <w:bookmarkStart w:id="149" w:name="_Toc23128"/>
      <w:bookmarkStart w:id="150" w:name="_Toc23294"/>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 w:hAnsi="仿宋" w:eastAsia="仿宋" w:cs="仿宋"/>
          <w:b/>
          <w:color w:val="auto"/>
          <w:sz w:val="24"/>
        </w:rPr>
      </w:pPr>
      <w:bookmarkStart w:id="151" w:name="_Toc18540"/>
      <w:bookmarkStart w:id="152" w:name="_Toc30599"/>
      <w:bookmarkStart w:id="153" w:name="_Toc4355"/>
      <w:r>
        <w:rPr>
          <w:rFonts w:hint="eastAsia" w:ascii="仿宋" w:hAnsi="仿宋" w:eastAsia="仿宋" w:cs="仿宋"/>
          <w:b/>
          <w:color w:val="auto"/>
          <w:sz w:val="24"/>
        </w:rPr>
        <w:t>2.18 计量单位</w:t>
      </w:r>
      <w:bookmarkEnd w:id="146"/>
      <w:bookmarkEnd w:id="147"/>
      <w:bookmarkEnd w:id="148"/>
      <w:bookmarkEnd w:id="151"/>
      <w:bookmarkEnd w:id="152"/>
      <w:bookmarkEnd w:id="15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154" w:name="_Toc10330"/>
      <w:bookmarkStart w:id="155" w:name="_Toc279701263"/>
      <w:bookmarkStart w:id="156" w:name="_Toc259093692"/>
      <w:bookmarkStart w:id="157" w:name="_Toc487900373"/>
      <w:bookmarkStart w:id="158" w:name="_Toc12773"/>
      <w:bookmarkStart w:id="159" w:name="_Toc18567"/>
      <w:r>
        <w:rPr>
          <w:rFonts w:hint="eastAsia" w:ascii="仿宋" w:hAnsi="仿宋" w:eastAsia="仿宋" w:cs="仿宋"/>
          <w:b/>
          <w:color w:val="auto"/>
          <w:sz w:val="24"/>
        </w:rPr>
        <w:t>2.19 合同使用的文字和适用的法律</w:t>
      </w:r>
      <w:bookmarkEnd w:id="154"/>
      <w:bookmarkEnd w:id="155"/>
      <w:bookmarkEnd w:id="156"/>
      <w:bookmarkEnd w:id="157"/>
      <w:bookmarkEnd w:id="158"/>
      <w:bookmarkEnd w:id="15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ascii="仿宋" w:hAnsi="仿宋" w:eastAsia="仿宋" w:cs="仿宋"/>
          <w:b/>
          <w:color w:val="auto"/>
          <w:sz w:val="24"/>
        </w:rPr>
      </w:pPr>
      <w:bookmarkStart w:id="160" w:name="_Toc279701264"/>
      <w:bookmarkStart w:id="161" w:name="_Toc3148"/>
      <w:bookmarkStart w:id="162" w:name="_Toc259093693"/>
      <w:bookmarkStart w:id="163" w:name="_Toc12004"/>
      <w:bookmarkStart w:id="164" w:name="_Toc16673"/>
      <w:bookmarkStart w:id="165" w:name="_Toc487900374"/>
      <w:r>
        <w:rPr>
          <w:rFonts w:hint="eastAsia" w:ascii="仿宋" w:hAnsi="仿宋" w:eastAsia="仿宋" w:cs="仿宋"/>
          <w:b/>
          <w:color w:val="auto"/>
          <w:sz w:val="24"/>
        </w:rPr>
        <w:t>2.20 履约保证金</w:t>
      </w:r>
      <w:bookmarkEnd w:id="160"/>
      <w:bookmarkEnd w:id="161"/>
      <w:bookmarkEnd w:id="162"/>
      <w:bookmarkEnd w:id="163"/>
      <w:bookmarkEnd w:id="164"/>
    </w:p>
    <w:p>
      <w:pPr>
        <w:spacing w:line="56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2.20.1 采购文件要求乙方提交履约保证金的，乙方应按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ascii="仿宋" w:hAnsi="仿宋" w:eastAsia="仿宋" w:cs="仿宋"/>
          <w:b/>
          <w:color w:val="auto"/>
          <w:sz w:val="24"/>
        </w:rPr>
      </w:pPr>
      <w:bookmarkStart w:id="166" w:name="_Toc19890"/>
      <w:bookmarkStart w:id="167" w:name="_Toc14001"/>
      <w:bookmarkStart w:id="168" w:name="_Toc6885"/>
      <w:r>
        <w:rPr>
          <w:rFonts w:hint="eastAsia" w:ascii="仿宋" w:hAnsi="仿宋" w:eastAsia="仿宋" w:cs="仿宋"/>
          <w:b/>
          <w:color w:val="auto"/>
          <w:sz w:val="24"/>
        </w:rPr>
        <w:t>2.22合同份数</w:t>
      </w:r>
      <w:bookmarkEnd w:id="166"/>
      <w:bookmarkEnd w:id="167"/>
      <w:bookmarkEnd w:id="16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spacing w:line="560" w:lineRule="exact"/>
        <w:ind w:firstLine="480" w:firstLineChars="200"/>
        <w:rPr>
          <w:rFonts w:ascii="仿宋" w:hAnsi="仿宋" w:eastAsia="仿宋" w:cs="仿宋"/>
          <w:color w:val="auto"/>
          <w:sz w:val="24"/>
        </w:rPr>
      </w:pPr>
    </w:p>
    <w:p>
      <w:pPr>
        <w:pStyle w:val="282"/>
        <w:spacing w:line="560" w:lineRule="exact"/>
        <w:ind w:left="0" w:leftChars="0" w:firstLine="0" w:firstLineChars="0"/>
        <w:jc w:val="center"/>
        <w:rPr>
          <w:rFonts w:ascii="仿宋" w:hAnsi="仿宋" w:eastAsia="仿宋" w:cs="仿宋"/>
          <w:b/>
          <w:color w:val="auto"/>
          <w:szCs w:val="24"/>
        </w:rPr>
      </w:pPr>
      <w:r>
        <w:rPr>
          <w:rFonts w:hint="eastAsia" w:ascii="仿宋" w:hAnsi="仿宋" w:eastAsia="仿宋" w:cs="仿宋"/>
          <w:color w:val="auto"/>
          <w:kern w:val="0"/>
          <w:szCs w:val="24"/>
        </w:rPr>
        <w:br w:type="page"/>
      </w:r>
      <w:bookmarkStart w:id="169" w:name="_Toc331685784"/>
      <w:bookmarkEnd w:id="169"/>
      <w:r>
        <w:rPr>
          <w:rFonts w:hint="eastAsia" w:ascii="仿宋" w:hAnsi="仿宋" w:eastAsia="仿宋" w:cs="仿宋"/>
          <w:b/>
          <w:color w:val="auto"/>
          <w:szCs w:val="24"/>
        </w:rPr>
        <w:t>第三部分合同专用条款</w:t>
      </w:r>
    </w:p>
    <w:p>
      <w:pPr>
        <w:spacing w:line="560" w:lineRule="exac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1.5.1</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1.5.3</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jc w:val="left"/>
              <w:rPr>
                <w:rFonts w:ascii="仿宋" w:hAnsi="仿宋" w:eastAsia="仿宋" w:cs="仿宋"/>
                <w:color w:val="auto"/>
                <w:sz w:val="24"/>
              </w:rPr>
            </w:pPr>
            <w:r>
              <w:rPr>
                <w:rFonts w:hint="eastAsia" w:ascii="仿宋" w:hAnsi="仿宋" w:eastAsia="仿宋" w:cs="仿宋"/>
                <w:color w:val="auto"/>
                <w:sz w:val="24"/>
              </w:rPr>
              <w:t>2.8</w:t>
            </w:r>
          </w:p>
        </w:tc>
        <w:tc>
          <w:tcPr>
            <w:tcW w:w="8275"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jc w:val="left"/>
              <w:rPr>
                <w:rFonts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2.20.2</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jc w:val="left"/>
              <w:outlineLvl w:val="0"/>
              <w:rPr>
                <w:rFonts w:ascii="仿宋" w:hAnsi="仿宋" w:eastAsia="仿宋" w:cs="仿宋"/>
                <w:color w:val="auto"/>
                <w:sz w:val="24"/>
              </w:rPr>
            </w:pPr>
            <w:r>
              <w:rPr>
                <w:rFonts w:hint="eastAsia" w:ascii="仿宋" w:hAnsi="仿宋" w:eastAsia="仿宋" w:cs="仿宋"/>
                <w:color w:val="auto"/>
                <w:sz w:val="24"/>
              </w:rPr>
              <w:t>2.22</w:t>
            </w:r>
          </w:p>
        </w:tc>
        <w:tc>
          <w:tcPr>
            <w:tcW w:w="8275" w:type="dxa"/>
            <w:vAlign w:val="center"/>
          </w:tcPr>
          <w:p>
            <w:pPr>
              <w:spacing w:line="360" w:lineRule="auto"/>
              <w:rPr>
                <w:rFonts w:ascii="仿宋" w:hAnsi="仿宋" w:eastAsia="仿宋" w:cs="仿宋"/>
                <w:color w:val="auto"/>
                <w:sz w:val="24"/>
              </w:rPr>
            </w:pPr>
          </w:p>
        </w:tc>
      </w:tr>
    </w:tbl>
    <w:p>
      <w:pPr>
        <w:spacing w:line="3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pStyle w:val="24"/>
        <w:pageBreakBefore/>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共100分，其中商务技术分90分，价格分10分。评分依下述所列为评标打分依据，分值如下（计算分值时，按其算术平均值保留小数2位）。</w:t>
      </w:r>
    </w:p>
    <w:p>
      <w:pPr>
        <w:spacing w:line="440" w:lineRule="exact"/>
        <w:ind w:firstLine="482" w:firstLineChars="200"/>
        <w:rPr>
          <w:rFonts w:ascii="仿宋" w:hAnsi="仿宋" w:eastAsia="仿宋" w:cs="仿宋"/>
          <w:b/>
          <w:bCs/>
          <w:iCs/>
          <w:color w:val="auto"/>
          <w:sz w:val="24"/>
        </w:rPr>
      </w:pPr>
      <w:r>
        <w:rPr>
          <w:rFonts w:hint="eastAsia" w:ascii="仿宋" w:hAnsi="仿宋" w:eastAsia="仿宋" w:cs="仿宋"/>
          <w:b/>
          <w:bCs/>
          <w:iCs/>
          <w:color w:val="auto"/>
          <w:sz w:val="24"/>
        </w:rPr>
        <w:t>2.1商务技术分（90分）</w:t>
      </w:r>
    </w:p>
    <w:tbl>
      <w:tblPr>
        <w:tblStyle w:val="43"/>
        <w:tblW w:w="873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6718"/>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Align w:val="center"/>
          </w:tcPr>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评审项目</w:t>
            </w:r>
          </w:p>
        </w:tc>
        <w:tc>
          <w:tcPr>
            <w:tcW w:w="6718" w:type="dxa"/>
            <w:vAlign w:val="center"/>
          </w:tcPr>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评分标准</w:t>
            </w:r>
          </w:p>
        </w:tc>
        <w:tc>
          <w:tcPr>
            <w:tcW w:w="782" w:type="dxa"/>
            <w:vAlign w:val="center"/>
          </w:tcPr>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Align w:val="center"/>
          </w:tcPr>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投标人</w:t>
            </w:r>
          </w:p>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业绩</w:t>
            </w:r>
          </w:p>
        </w:tc>
        <w:tc>
          <w:tcPr>
            <w:tcW w:w="6718" w:type="dxa"/>
            <w:vAlign w:val="center"/>
          </w:tcPr>
          <w:p>
            <w:pPr>
              <w:pStyle w:val="298"/>
              <w:adjustRightInd w:val="0"/>
              <w:snapToGrid w:val="0"/>
              <w:spacing w:line="240" w:lineRule="atLeast"/>
              <w:rPr>
                <w:rFonts w:ascii="仿宋" w:hAnsi="仿宋" w:eastAsia="仿宋" w:cs="仿宋"/>
                <w:color w:val="auto"/>
                <w:spacing w:val="4"/>
                <w:sz w:val="24"/>
                <w:szCs w:val="24"/>
              </w:rPr>
            </w:pPr>
            <w:r>
              <w:rPr>
                <w:rFonts w:hint="eastAsia" w:ascii="仿宋" w:hAnsi="仿宋" w:eastAsia="仿宋" w:cs="仿宋"/>
                <w:color w:val="auto"/>
                <w:spacing w:val="4"/>
                <w:sz w:val="24"/>
                <w:szCs w:val="24"/>
              </w:rPr>
              <w:t>自2020年1月1日以来（以合同签订时间为准），投标人具有以下业绩：</w:t>
            </w:r>
          </w:p>
          <w:p>
            <w:pPr>
              <w:pStyle w:val="298"/>
              <w:numPr>
                <w:ilvl w:val="0"/>
                <w:numId w:val="7"/>
              </w:numPr>
              <w:adjustRightInd w:val="0"/>
              <w:snapToGrid w:val="0"/>
              <w:spacing w:line="240" w:lineRule="atLeast"/>
              <w:rPr>
                <w:rFonts w:ascii="仿宋" w:hAnsi="仿宋" w:eastAsia="仿宋" w:cs="仿宋"/>
                <w:color w:val="auto"/>
                <w:spacing w:val="4"/>
                <w:sz w:val="24"/>
                <w:szCs w:val="24"/>
              </w:rPr>
            </w:pPr>
            <w:r>
              <w:rPr>
                <w:rFonts w:hint="eastAsia" w:ascii="仿宋" w:hAnsi="仿宋" w:eastAsia="仿宋" w:cs="仿宋"/>
                <w:color w:val="auto"/>
                <w:spacing w:val="4"/>
                <w:sz w:val="24"/>
                <w:szCs w:val="24"/>
              </w:rPr>
              <w:t>具有区域水资源配置相关业绩的，每项得0.25分，最多0.5分。</w:t>
            </w:r>
          </w:p>
          <w:p>
            <w:pPr>
              <w:snapToGrid w:val="0"/>
              <w:spacing w:line="240" w:lineRule="atLeast"/>
              <w:jc w:val="left"/>
              <w:rPr>
                <w:rFonts w:ascii="仿宋" w:hAnsi="仿宋" w:eastAsia="仿宋" w:cs="仿宋"/>
                <w:bCs/>
                <w:color w:val="auto"/>
                <w:spacing w:val="4"/>
                <w:sz w:val="24"/>
              </w:rPr>
            </w:pPr>
            <w:r>
              <w:rPr>
                <w:rFonts w:hint="eastAsia" w:ascii="仿宋" w:hAnsi="仿宋" w:eastAsia="仿宋" w:cs="仿宋"/>
                <w:bCs/>
                <w:color w:val="auto"/>
                <w:spacing w:val="4"/>
                <w:sz w:val="24"/>
              </w:rPr>
              <w:t>2、具有县（市、区）级及以上水管理平台相关业绩（同时包括数据仓及水资源强监管等内容），每提供一个业绩得0.25分，本项最多得0.5分。</w:t>
            </w:r>
          </w:p>
          <w:p>
            <w:pPr>
              <w:pStyle w:val="298"/>
              <w:adjustRightInd w:val="0"/>
              <w:snapToGrid w:val="0"/>
              <w:spacing w:line="240" w:lineRule="atLeast"/>
              <w:rPr>
                <w:rFonts w:ascii="仿宋" w:hAnsi="仿宋" w:eastAsia="仿宋" w:cs="仿宋"/>
                <w:color w:val="auto"/>
                <w:spacing w:val="4"/>
                <w:sz w:val="24"/>
                <w:szCs w:val="24"/>
              </w:rPr>
            </w:pPr>
            <w:r>
              <w:rPr>
                <w:rFonts w:hint="eastAsia" w:ascii="仿宋" w:hAnsi="仿宋" w:eastAsia="仿宋" w:cs="仿宋"/>
                <w:color w:val="auto"/>
                <w:spacing w:val="4"/>
                <w:sz w:val="24"/>
                <w:szCs w:val="24"/>
              </w:rPr>
              <w:t>（业绩证明材料以签订的合同为准，提供相关证明资料扫描件并加盖单位公章。）</w:t>
            </w:r>
          </w:p>
        </w:tc>
        <w:tc>
          <w:tcPr>
            <w:tcW w:w="782" w:type="dxa"/>
            <w:vAlign w:val="center"/>
          </w:tcPr>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Align w:val="center"/>
          </w:tcPr>
          <w:p>
            <w:pPr>
              <w:snapToGrid w:val="0"/>
              <w:spacing w:line="240" w:lineRule="atLeast"/>
              <w:jc w:val="center"/>
              <w:rPr>
                <w:rFonts w:ascii="仿宋" w:hAnsi="仿宋" w:eastAsia="仿宋" w:cs="仿宋"/>
                <w:strike/>
                <w:color w:val="auto"/>
                <w:sz w:val="24"/>
              </w:rPr>
            </w:pPr>
            <w:r>
              <w:rPr>
                <w:rFonts w:hint="eastAsia" w:ascii="仿宋" w:hAnsi="仿宋" w:eastAsia="仿宋" w:cs="仿宋"/>
                <w:color w:val="auto"/>
                <w:sz w:val="24"/>
              </w:rPr>
              <w:t>荣誉</w:t>
            </w:r>
          </w:p>
        </w:tc>
        <w:tc>
          <w:tcPr>
            <w:tcW w:w="6718" w:type="dxa"/>
            <w:vAlign w:val="center"/>
          </w:tcPr>
          <w:p>
            <w:pPr>
              <w:widowControl/>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投标人自2020年1月1日以来获得过省级及以上行政主管部门颁布的与水利相关的数字化改革荣誉的得</w:t>
            </w:r>
            <w:r>
              <w:rPr>
                <w:rFonts w:hint="eastAsia" w:ascii="仿宋" w:hAnsi="仿宋" w:eastAsia="仿宋" w:cs="仿宋"/>
                <w:bCs/>
                <w:color w:val="auto"/>
                <w:spacing w:val="4"/>
                <w:sz w:val="24"/>
                <w:lang w:val="en-US" w:eastAsia="zh-CN"/>
              </w:rPr>
              <w:t>2</w:t>
            </w:r>
            <w:r>
              <w:rPr>
                <w:rFonts w:hint="eastAsia" w:ascii="仿宋" w:hAnsi="仿宋" w:eastAsia="仿宋" w:cs="仿宋"/>
                <w:bCs/>
                <w:color w:val="auto"/>
                <w:spacing w:val="4"/>
                <w:sz w:val="24"/>
              </w:rPr>
              <w:t>分，最高得</w:t>
            </w:r>
            <w:r>
              <w:rPr>
                <w:rFonts w:hint="eastAsia" w:ascii="仿宋" w:hAnsi="仿宋" w:eastAsia="仿宋" w:cs="仿宋"/>
                <w:bCs/>
                <w:color w:val="auto"/>
                <w:spacing w:val="4"/>
                <w:sz w:val="24"/>
                <w:lang w:val="en-US" w:eastAsia="zh-CN"/>
              </w:rPr>
              <w:t>2</w:t>
            </w:r>
            <w:r>
              <w:rPr>
                <w:rFonts w:hint="eastAsia" w:ascii="仿宋" w:hAnsi="仿宋" w:eastAsia="仿宋" w:cs="仿宋"/>
                <w:bCs/>
                <w:color w:val="auto"/>
                <w:spacing w:val="4"/>
                <w:sz w:val="24"/>
              </w:rPr>
              <w:t>分，没有不得分。</w:t>
            </w:r>
          </w:p>
          <w:p>
            <w:pPr>
              <w:pStyle w:val="298"/>
              <w:adjustRightInd w:val="0"/>
              <w:snapToGrid w:val="0"/>
              <w:spacing w:line="240" w:lineRule="atLeast"/>
              <w:rPr>
                <w:rFonts w:ascii="仿宋" w:hAnsi="仿宋" w:eastAsia="仿宋" w:cs="仿宋"/>
                <w:color w:val="auto"/>
                <w:spacing w:val="4"/>
                <w:sz w:val="24"/>
                <w:szCs w:val="24"/>
              </w:rPr>
            </w:pPr>
            <w:r>
              <w:rPr>
                <w:rFonts w:hint="eastAsia" w:ascii="仿宋" w:hAnsi="仿宋" w:eastAsia="仿宋" w:cs="仿宋"/>
                <w:color w:val="auto"/>
                <w:spacing w:val="4"/>
                <w:sz w:val="24"/>
                <w:szCs w:val="24"/>
              </w:rPr>
              <w:t>注；提供相关证明资料扫描件并加盖单位公章，否则不得分。</w:t>
            </w:r>
          </w:p>
        </w:tc>
        <w:tc>
          <w:tcPr>
            <w:tcW w:w="782" w:type="dxa"/>
            <w:vAlign w:val="center"/>
          </w:tcPr>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restart"/>
            <w:vAlign w:val="center"/>
          </w:tcPr>
          <w:p>
            <w:pPr>
              <w:widowControl/>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投标人</w:t>
            </w:r>
          </w:p>
          <w:p>
            <w:pPr>
              <w:widowControl/>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资信</w:t>
            </w:r>
          </w:p>
        </w:tc>
        <w:tc>
          <w:tcPr>
            <w:tcW w:w="6718" w:type="dxa"/>
            <w:vAlign w:val="center"/>
          </w:tcPr>
          <w:p>
            <w:pPr>
              <w:widowControl/>
              <w:snapToGrid w:val="0"/>
              <w:spacing w:line="240" w:lineRule="atLeast"/>
              <w:rPr>
                <w:rFonts w:ascii="仿宋" w:hAnsi="仿宋" w:eastAsia="仿宋" w:cs="仿宋"/>
                <w:bCs/>
                <w:color w:val="auto"/>
                <w:spacing w:val="4"/>
                <w:sz w:val="24"/>
              </w:rPr>
            </w:pPr>
            <w:r>
              <w:rPr>
                <w:rFonts w:hint="eastAsia" w:ascii="仿宋" w:hAnsi="仿宋" w:eastAsia="仿宋" w:cs="仿宋"/>
                <w:bCs/>
                <w:color w:val="auto"/>
                <w:spacing w:val="4"/>
                <w:sz w:val="24"/>
              </w:rPr>
              <w:t>1、投标人具有国家测绘地理信息局核发的地理信息系统工程乙级及以上资质得2分，没有不得分；</w:t>
            </w:r>
          </w:p>
          <w:p>
            <w:pPr>
              <w:widowControl/>
              <w:snapToGrid w:val="0"/>
              <w:spacing w:line="240" w:lineRule="atLeast"/>
              <w:rPr>
                <w:rFonts w:ascii="仿宋" w:hAnsi="仿宋" w:eastAsia="仿宋" w:cs="仿宋"/>
                <w:bCs/>
                <w:color w:val="auto"/>
                <w:spacing w:val="4"/>
                <w:sz w:val="24"/>
              </w:rPr>
            </w:pPr>
            <w:r>
              <w:rPr>
                <w:rFonts w:hint="eastAsia" w:ascii="仿宋" w:hAnsi="仿宋" w:eastAsia="仿宋" w:cs="仿宋"/>
                <w:bCs/>
                <w:color w:val="auto"/>
                <w:spacing w:val="4"/>
                <w:sz w:val="24"/>
              </w:rPr>
              <w:t>2、具有水利水电专业工程咨询单位资信能力评价甲级得2分，乙级资质的得1分，其他不得分。</w:t>
            </w:r>
          </w:p>
          <w:p>
            <w:pPr>
              <w:widowControl/>
              <w:snapToGrid w:val="0"/>
              <w:spacing w:line="240" w:lineRule="atLeast"/>
              <w:rPr>
                <w:rFonts w:ascii="仿宋" w:hAnsi="仿宋" w:eastAsia="仿宋" w:cs="仿宋"/>
                <w:bCs/>
                <w:color w:val="auto"/>
                <w:spacing w:val="4"/>
                <w:sz w:val="24"/>
              </w:rPr>
            </w:pPr>
            <w:r>
              <w:rPr>
                <w:rFonts w:hint="eastAsia" w:ascii="仿宋" w:hAnsi="仿宋" w:eastAsia="仿宋" w:cs="仿宋"/>
                <w:bCs/>
                <w:color w:val="auto"/>
                <w:spacing w:val="4"/>
                <w:sz w:val="24"/>
              </w:rPr>
              <w:t>3、具有水利行业设计甲级资质的得3分，乙级资质的得2分,丙级资质的得1分</w:t>
            </w:r>
            <w:r>
              <w:rPr>
                <w:rFonts w:hint="eastAsia" w:ascii="仿宋" w:hAnsi="仿宋" w:eastAsia="仿宋" w:cs="仿宋"/>
                <w:color w:val="auto"/>
                <w:spacing w:val="4"/>
                <w:sz w:val="24"/>
              </w:rPr>
              <w:t>。</w:t>
            </w:r>
          </w:p>
          <w:p>
            <w:pPr>
              <w:widowControl/>
              <w:snapToGrid w:val="0"/>
              <w:spacing w:line="240" w:lineRule="atLeast"/>
              <w:rPr>
                <w:rFonts w:ascii="仿宋" w:hAnsi="仿宋" w:eastAsia="仿宋" w:cs="仿宋"/>
                <w:bCs/>
                <w:color w:val="auto"/>
                <w:spacing w:val="4"/>
                <w:sz w:val="24"/>
              </w:rPr>
            </w:pPr>
            <w:r>
              <w:rPr>
                <w:rFonts w:hint="eastAsia" w:ascii="仿宋" w:hAnsi="仿宋" w:eastAsia="仿宋" w:cs="仿宋"/>
                <w:bCs/>
                <w:color w:val="auto"/>
                <w:spacing w:val="4"/>
                <w:sz w:val="24"/>
              </w:rPr>
              <w:t>注：</w:t>
            </w:r>
            <w:r>
              <w:rPr>
                <w:rFonts w:hint="eastAsia" w:ascii="仿宋" w:hAnsi="仿宋" w:eastAsia="仿宋" w:cs="仿宋"/>
                <w:color w:val="auto"/>
                <w:spacing w:val="4"/>
                <w:sz w:val="24"/>
              </w:rPr>
              <w:t>提供相关证明资料扫描件并加盖单位公章</w:t>
            </w:r>
            <w:r>
              <w:rPr>
                <w:rFonts w:hint="eastAsia" w:ascii="仿宋" w:hAnsi="仿宋" w:eastAsia="仿宋" w:cs="仿宋"/>
                <w:bCs/>
                <w:color w:val="auto"/>
                <w:spacing w:val="4"/>
                <w:sz w:val="24"/>
              </w:rPr>
              <w:t>，否则不得分。</w:t>
            </w:r>
          </w:p>
        </w:tc>
        <w:tc>
          <w:tcPr>
            <w:tcW w:w="782" w:type="dxa"/>
            <w:vMerge w:val="restart"/>
            <w:vAlign w:val="center"/>
          </w:tcPr>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widowControl/>
              <w:snapToGrid w:val="0"/>
              <w:spacing w:line="240" w:lineRule="atLeast"/>
              <w:jc w:val="center"/>
              <w:rPr>
                <w:rFonts w:ascii="仿宋" w:hAnsi="仿宋" w:eastAsia="仿宋" w:cs="仿宋"/>
                <w:color w:val="auto"/>
                <w:sz w:val="24"/>
              </w:rPr>
            </w:pPr>
          </w:p>
        </w:tc>
        <w:tc>
          <w:tcPr>
            <w:tcW w:w="6718" w:type="dxa"/>
            <w:vAlign w:val="center"/>
          </w:tcPr>
          <w:p>
            <w:pPr>
              <w:widowControl/>
              <w:snapToGrid w:val="0"/>
              <w:spacing w:line="240" w:lineRule="atLeast"/>
              <w:rPr>
                <w:rFonts w:ascii="仿宋" w:hAnsi="仿宋" w:eastAsia="仿宋" w:cs="仿宋"/>
                <w:bCs/>
                <w:color w:val="auto"/>
                <w:spacing w:val="4"/>
                <w:sz w:val="24"/>
              </w:rPr>
            </w:pPr>
            <w:r>
              <w:rPr>
                <w:rFonts w:hint="eastAsia" w:ascii="仿宋" w:hAnsi="仿宋" w:eastAsia="仿宋" w:cs="仿宋"/>
                <w:bCs/>
                <w:color w:val="auto"/>
                <w:spacing w:val="4"/>
                <w:sz w:val="24"/>
              </w:rPr>
              <w:t>1、投标人具有水管理平台软件著作权的得0.5分；没有不得分；</w:t>
            </w:r>
          </w:p>
          <w:p>
            <w:pPr>
              <w:widowControl/>
              <w:snapToGrid w:val="0"/>
              <w:spacing w:line="240" w:lineRule="atLeast"/>
              <w:rPr>
                <w:rFonts w:ascii="仿宋" w:hAnsi="仿宋" w:eastAsia="仿宋" w:cs="仿宋"/>
                <w:bCs/>
                <w:strike/>
                <w:color w:val="auto"/>
                <w:spacing w:val="4"/>
                <w:sz w:val="24"/>
              </w:rPr>
            </w:pPr>
            <w:r>
              <w:rPr>
                <w:rFonts w:hint="eastAsia" w:ascii="仿宋" w:hAnsi="仿宋" w:eastAsia="仿宋" w:cs="仿宋"/>
                <w:bCs/>
                <w:color w:val="auto"/>
                <w:spacing w:val="4"/>
                <w:sz w:val="24"/>
              </w:rPr>
              <w:t>2、投标人具有区域水资源配置分析计算软件著作权的得0.5分；没有不得分。</w:t>
            </w:r>
          </w:p>
          <w:p>
            <w:pPr>
              <w:widowControl/>
              <w:snapToGrid w:val="0"/>
              <w:spacing w:line="240" w:lineRule="atLeast"/>
              <w:rPr>
                <w:rFonts w:ascii="仿宋" w:hAnsi="仿宋" w:eastAsia="仿宋" w:cs="仿宋"/>
                <w:b/>
                <w:color w:val="auto"/>
                <w:sz w:val="24"/>
              </w:rPr>
            </w:pPr>
            <w:r>
              <w:rPr>
                <w:rFonts w:hint="eastAsia" w:ascii="仿宋" w:hAnsi="仿宋" w:eastAsia="仿宋" w:cs="仿宋"/>
                <w:bCs/>
                <w:color w:val="auto"/>
                <w:spacing w:val="4"/>
                <w:sz w:val="24"/>
              </w:rPr>
              <w:t>注;</w:t>
            </w:r>
            <w:r>
              <w:rPr>
                <w:rFonts w:hint="eastAsia" w:ascii="仿宋" w:hAnsi="仿宋" w:eastAsia="仿宋" w:cs="仿宋"/>
                <w:color w:val="auto"/>
                <w:spacing w:val="4"/>
                <w:sz w:val="24"/>
              </w:rPr>
              <w:t>提供相关证明扫描件资料并加盖单位公章</w:t>
            </w:r>
            <w:r>
              <w:rPr>
                <w:rFonts w:hint="eastAsia" w:ascii="仿宋" w:hAnsi="仿宋" w:eastAsia="仿宋" w:cs="仿宋"/>
                <w:bCs/>
                <w:color w:val="auto"/>
                <w:spacing w:val="4"/>
                <w:sz w:val="24"/>
              </w:rPr>
              <w:t>，否则不得分。</w:t>
            </w:r>
          </w:p>
        </w:tc>
        <w:tc>
          <w:tcPr>
            <w:tcW w:w="782" w:type="dxa"/>
            <w:vMerge w:val="continue"/>
            <w:vAlign w:val="center"/>
          </w:tcPr>
          <w:p>
            <w:pPr>
              <w:snapToGrid w:val="0"/>
              <w:spacing w:line="240" w:lineRule="atLeas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restart"/>
            <w:vAlign w:val="center"/>
          </w:tcPr>
          <w:p>
            <w:pPr>
              <w:keepNext/>
              <w:keepLines/>
              <w:snapToGrid w:val="0"/>
              <w:spacing w:before="156" w:after="156" w:line="240" w:lineRule="atLeast"/>
              <w:jc w:val="center"/>
              <w:rPr>
                <w:rFonts w:ascii="仿宋" w:hAnsi="仿宋" w:eastAsia="仿宋" w:cs="仿宋"/>
                <w:color w:val="auto"/>
                <w:spacing w:val="4"/>
                <w:sz w:val="24"/>
              </w:rPr>
            </w:pPr>
            <w:r>
              <w:rPr>
                <w:rFonts w:hint="eastAsia" w:ascii="仿宋" w:hAnsi="仿宋" w:eastAsia="仿宋" w:cs="仿宋"/>
                <w:color w:val="auto"/>
                <w:spacing w:val="4"/>
                <w:sz w:val="24"/>
              </w:rPr>
              <w:t>项目设计方案</w:t>
            </w: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对项目总体要求的理解、重难点的分析及其对策，对项目总体要求、工作重点与难点理解透彻、把握精准，提出合理性、针对性的对策。理解透彻、把握精准，对策合理、针对性强的得4.1-5分，理解较透彻、把握较精准，对策较合理、针对性较强的得3.1-4分，理解较浅、把握一般，对策合理性一般、针对性一般的得1.0-3分，理解差、对策不合理、不具有针对性得0-1分。</w:t>
            </w:r>
          </w:p>
        </w:tc>
        <w:tc>
          <w:tcPr>
            <w:tcW w:w="782" w:type="dxa"/>
            <w:vAlign w:val="center"/>
          </w:tcPr>
          <w:p>
            <w:pPr>
              <w:snapToGrid w:val="0"/>
              <w:spacing w:line="240" w:lineRule="atLeast"/>
              <w:ind w:left="29"/>
              <w:jc w:val="center"/>
              <w:rPr>
                <w:rFonts w:ascii="仿宋" w:hAnsi="仿宋" w:eastAsia="仿宋" w:cs="仿宋"/>
                <w:bCs/>
                <w:color w:val="auto"/>
                <w:spacing w:val="4"/>
                <w:sz w:val="24"/>
              </w:rPr>
            </w:pPr>
            <w:r>
              <w:rPr>
                <w:rFonts w:hint="eastAsia" w:ascii="仿宋" w:hAnsi="仿宋" w:eastAsia="仿宋" w:cs="仿宋"/>
                <w:bCs/>
                <w:color w:val="auto"/>
                <w:spacing w:val="4"/>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snapToGrid w:val="0"/>
              <w:spacing w:line="240" w:lineRule="atLeast"/>
              <w:jc w:val="center"/>
              <w:rPr>
                <w:rFonts w:ascii="仿宋" w:hAnsi="仿宋" w:eastAsia="仿宋" w:cs="仿宋"/>
                <w:bCs/>
                <w:color w:val="auto"/>
                <w:spacing w:val="4"/>
                <w:sz w:val="24"/>
              </w:rPr>
            </w:pP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对流域、区域水资源管理、水资源配置、水资源规划及水利数字化建设相关情况的熟悉了解程度。对相关情况深入了解的5.1-6分，较熟悉了解的得3.1-5分，熟悉程度一般1.1-3分，不熟悉不了解的得0-1分。</w:t>
            </w:r>
          </w:p>
        </w:tc>
        <w:tc>
          <w:tcPr>
            <w:tcW w:w="782" w:type="dxa"/>
            <w:vAlign w:val="center"/>
          </w:tcPr>
          <w:p>
            <w:pPr>
              <w:snapToGrid w:val="0"/>
              <w:spacing w:line="240" w:lineRule="atLeast"/>
              <w:ind w:left="29"/>
              <w:jc w:val="center"/>
              <w:rPr>
                <w:rFonts w:ascii="仿宋" w:hAnsi="仿宋" w:eastAsia="仿宋" w:cs="仿宋"/>
                <w:bCs/>
                <w:color w:val="auto"/>
                <w:spacing w:val="4"/>
                <w:sz w:val="24"/>
              </w:rPr>
            </w:pPr>
            <w:r>
              <w:rPr>
                <w:rFonts w:hint="eastAsia" w:ascii="仿宋" w:hAnsi="仿宋" w:eastAsia="仿宋" w:cs="仿宋"/>
                <w:bCs/>
                <w:color w:val="auto"/>
                <w:spacing w:val="4"/>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snapToGrid w:val="0"/>
              <w:spacing w:line="240" w:lineRule="atLeast"/>
              <w:jc w:val="center"/>
              <w:rPr>
                <w:rFonts w:ascii="仿宋" w:hAnsi="仿宋" w:eastAsia="仿宋" w:cs="仿宋"/>
                <w:bCs/>
                <w:color w:val="auto"/>
                <w:spacing w:val="4"/>
                <w:sz w:val="24"/>
              </w:rPr>
            </w:pP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水资源管理与调配场景建设内容全面、业务流程合理、功能模块设计科学。全面、合理、科学的得4.1-5分，较全面、较合理、较科学的得3.1-4分，全面性、合理性、科学性一般的得1.1-3分，不全面、不合理、不科学的得0-1分。</w:t>
            </w:r>
          </w:p>
        </w:tc>
        <w:tc>
          <w:tcPr>
            <w:tcW w:w="782" w:type="dxa"/>
            <w:vAlign w:val="center"/>
          </w:tcPr>
          <w:p>
            <w:pPr>
              <w:pStyle w:val="38"/>
              <w:snapToGrid w:val="0"/>
              <w:spacing w:before="0" w:beforeAutospacing="0" w:after="0" w:afterAutospacing="0" w:line="240" w:lineRule="atLeast"/>
              <w:jc w:val="center"/>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snapToGrid w:val="0"/>
              <w:spacing w:line="240" w:lineRule="atLeast"/>
              <w:jc w:val="center"/>
              <w:rPr>
                <w:rFonts w:ascii="仿宋" w:hAnsi="仿宋" w:eastAsia="仿宋" w:cs="仿宋"/>
                <w:bCs/>
                <w:color w:val="auto"/>
                <w:spacing w:val="4"/>
                <w:sz w:val="24"/>
              </w:rPr>
            </w:pP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市区水资源联网联调一体化模型构建思路清晰，径流预报、需水预测、可供水量预测、水资源配置、水资源调度等模型耦合性好。思路清晰、耦合性好的得5.1-6分，思路较清晰、耦合性较好的得3.1-5分，思路清晰度一般、耦合性一般的得1.1-3分，思路不清晰、耦合性不好的得0-1分。</w:t>
            </w:r>
          </w:p>
        </w:tc>
        <w:tc>
          <w:tcPr>
            <w:tcW w:w="782" w:type="dxa"/>
            <w:vAlign w:val="center"/>
          </w:tcPr>
          <w:p>
            <w:pPr>
              <w:pStyle w:val="38"/>
              <w:snapToGrid w:val="0"/>
              <w:spacing w:before="0" w:beforeAutospacing="0" w:after="0" w:afterAutospacing="0" w:line="240" w:lineRule="atLeast"/>
              <w:jc w:val="center"/>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snapToGrid w:val="0"/>
              <w:spacing w:line="240" w:lineRule="atLeast"/>
              <w:jc w:val="center"/>
              <w:rPr>
                <w:rFonts w:ascii="仿宋" w:hAnsi="仿宋" w:eastAsia="仿宋" w:cs="仿宋"/>
                <w:bCs/>
                <w:color w:val="auto"/>
                <w:spacing w:val="4"/>
                <w:sz w:val="24"/>
              </w:rPr>
            </w:pP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鉴湖水资源保护“一特色”模块设计能结合地方实际，凸显地方特色。结合地方实际，凸显地方特色的4.1-5分，地方特色凸显较好的得3.1-4分，地方特色凸显一般的得1.1-3分，未凸显地方特色的得0分。</w:t>
            </w:r>
          </w:p>
        </w:tc>
        <w:tc>
          <w:tcPr>
            <w:tcW w:w="782" w:type="dxa"/>
            <w:vAlign w:val="center"/>
          </w:tcPr>
          <w:p>
            <w:pPr>
              <w:pStyle w:val="38"/>
              <w:snapToGrid w:val="0"/>
              <w:spacing w:before="0" w:beforeAutospacing="0" w:after="0" w:afterAutospacing="0" w:line="240" w:lineRule="atLeast"/>
              <w:jc w:val="center"/>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snapToGrid w:val="0"/>
              <w:spacing w:line="240" w:lineRule="atLeast"/>
              <w:jc w:val="center"/>
              <w:rPr>
                <w:rFonts w:ascii="仿宋" w:hAnsi="仿宋" w:eastAsia="仿宋" w:cs="仿宋"/>
                <w:bCs/>
                <w:color w:val="auto"/>
                <w:spacing w:val="4"/>
                <w:sz w:val="24"/>
              </w:rPr>
            </w:pP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市级九龙联动治水、场景大屏等功能模块设计方案，需求清晰，符合浙江省、绍兴市水利数字化改革要求，与“浙里九龙联动治水应用”相衔接。方案需求清晰全面、符合要求、衔接性好的得5.1-6分，方案需求清晰全面、符合要求、衔接性较好的得3.1-5分，方案需求清晰性全面性一般、符合要求、衔接性一般的得1.1-3分，方案需求不清晰性不全面性、衔接性不好的得0-1分。</w:t>
            </w:r>
          </w:p>
        </w:tc>
        <w:tc>
          <w:tcPr>
            <w:tcW w:w="782" w:type="dxa"/>
            <w:vAlign w:val="center"/>
          </w:tcPr>
          <w:p>
            <w:pPr>
              <w:snapToGrid w:val="0"/>
              <w:spacing w:line="240" w:lineRule="atLeast"/>
              <w:ind w:left="29"/>
              <w:jc w:val="center"/>
              <w:rPr>
                <w:rFonts w:ascii="仿宋" w:hAnsi="仿宋" w:eastAsia="仿宋" w:cs="仿宋"/>
                <w:bCs/>
                <w:color w:val="auto"/>
                <w:spacing w:val="4"/>
                <w:sz w:val="24"/>
              </w:rPr>
            </w:pPr>
            <w:r>
              <w:rPr>
                <w:rFonts w:hint="eastAsia" w:ascii="仿宋" w:hAnsi="仿宋" w:eastAsia="仿宋" w:cs="仿宋"/>
                <w:bCs/>
                <w:color w:val="auto"/>
                <w:spacing w:val="4"/>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snapToGrid w:val="0"/>
              <w:spacing w:line="240" w:lineRule="atLeast"/>
              <w:jc w:val="center"/>
              <w:rPr>
                <w:rFonts w:ascii="仿宋" w:hAnsi="仿宋" w:eastAsia="仿宋" w:cs="仿宋"/>
                <w:bCs/>
                <w:color w:val="auto"/>
                <w:spacing w:val="4"/>
                <w:sz w:val="24"/>
              </w:rPr>
            </w:pPr>
          </w:p>
        </w:tc>
        <w:tc>
          <w:tcPr>
            <w:tcW w:w="6718" w:type="dxa"/>
            <w:vAlign w:val="center"/>
          </w:tcPr>
          <w:p>
            <w:pPr>
              <w:pStyle w:val="38"/>
              <w:snapToGrid w:val="0"/>
              <w:spacing w:before="0" w:beforeAutospacing="0" w:after="0" w:afterAutospacing="0" w:line="240" w:lineRule="atLeast"/>
              <w:rPr>
                <w:rStyle w:val="299"/>
                <w:rFonts w:ascii="仿宋" w:hAnsi="仿宋" w:eastAsia="仿宋" w:cs="仿宋"/>
                <w:color w:val="auto"/>
                <w:sz w:val="24"/>
              </w:rPr>
            </w:pPr>
            <w:r>
              <w:rPr>
                <w:rFonts w:hint="eastAsia" w:ascii="仿宋" w:hAnsi="仿宋" w:eastAsia="仿宋" w:cs="仿宋"/>
                <w:bCs/>
                <w:color w:val="auto"/>
                <w:spacing w:val="4"/>
                <w:sz w:val="24"/>
                <w:szCs w:val="24"/>
              </w:rPr>
              <w:t>所提供的系统建设方案与绍兴市水管理平台、数字孪生曹娥江平台无缝集成的合理性。合理的得5.1-6分，较合理的得3.1-5分，合理性一般的得1.1-3分，不合理的得0-1分。</w:t>
            </w:r>
          </w:p>
        </w:tc>
        <w:tc>
          <w:tcPr>
            <w:tcW w:w="782" w:type="dxa"/>
            <w:vAlign w:val="center"/>
          </w:tcPr>
          <w:p>
            <w:pPr>
              <w:snapToGrid w:val="0"/>
              <w:spacing w:line="240" w:lineRule="atLeast"/>
              <w:ind w:left="29"/>
              <w:jc w:val="center"/>
              <w:rPr>
                <w:rFonts w:ascii="仿宋" w:hAnsi="仿宋" w:eastAsia="仿宋" w:cs="仿宋"/>
                <w:bCs/>
                <w:color w:val="auto"/>
                <w:spacing w:val="4"/>
                <w:sz w:val="24"/>
              </w:rPr>
            </w:pPr>
            <w:r>
              <w:rPr>
                <w:rFonts w:hint="eastAsia" w:ascii="仿宋" w:hAnsi="仿宋" w:eastAsia="仿宋" w:cs="仿宋"/>
                <w:bCs/>
                <w:color w:val="auto"/>
                <w:spacing w:val="4"/>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Align w:val="center"/>
          </w:tcPr>
          <w:p>
            <w:pPr>
              <w:keepLines/>
              <w:tabs>
                <w:tab w:val="left" w:pos="360"/>
              </w:tabs>
              <w:snapToGrid w:val="0"/>
              <w:spacing w:before="156" w:after="156" w:line="240" w:lineRule="atLeast"/>
              <w:rPr>
                <w:rFonts w:ascii="仿宋" w:hAnsi="仿宋" w:eastAsia="仿宋" w:cs="仿宋"/>
                <w:color w:val="auto"/>
                <w:spacing w:val="4"/>
                <w:sz w:val="24"/>
              </w:rPr>
            </w:pPr>
            <w:r>
              <w:rPr>
                <w:rFonts w:hint="eastAsia" w:ascii="仿宋" w:hAnsi="仿宋" w:eastAsia="仿宋" w:cs="仿宋"/>
                <w:color w:val="auto"/>
                <w:spacing w:val="4"/>
                <w:sz w:val="24"/>
              </w:rPr>
              <w:t>系统现场讲解及演示</w:t>
            </w:r>
          </w:p>
        </w:tc>
        <w:tc>
          <w:tcPr>
            <w:tcW w:w="6718" w:type="dxa"/>
            <w:vAlign w:val="center"/>
          </w:tcPr>
          <w:p>
            <w:pPr>
              <w:keepLines/>
              <w:adjustRightInd w:val="0"/>
              <w:snapToGrid w:val="0"/>
              <w:spacing w:line="240" w:lineRule="atLeast"/>
              <w:jc w:val="left"/>
              <w:rPr>
                <w:rFonts w:ascii="仿宋" w:hAnsi="仿宋" w:eastAsia="仿宋" w:cs="仿宋"/>
                <w:color w:val="auto"/>
                <w:sz w:val="24"/>
              </w:rPr>
            </w:pPr>
            <w:r>
              <w:rPr>
                <w:rFonts w:hint="eastAsia" w:ascii="仿宋" w:hAnsi="仿宋" w:eastAsia="仿宋" w:cs="仿宋"/>
                <w:color w:val="auto"/>
                <w:sz w:val="24"/>
              </w:rPr>
              <w:t>演示内容提交时间、地址及方式等详见前附表，采用PPT演示或视频演示无讲解的最多计5分，不演示的对应项不得分。</w:t>
            </w:r>
          </w:p>
          <w:p>
            <w:pPr>
              <w:keepLines/>
              <w:adjustRightInd w:val="0"/>
              <w:snapToGrid w:val="0"/>
              <w:spacing w:line="240" w:lineRule="atLeast"/>
              <w:jc w:val="left"/>
              <w:rPr>
                <w:rFonts w:ascii="仿宋" w:hAnsi="仿宋" w:eastAsia="仿宋" w:cs="仿宋"/>
                <w:color w:val="auto"/>
                <w:sz w:val="24"/>
              </w:rPr>
            </w:pPr>
            <w:r>
              <w:rPr>
                <w:rFonts w:hint="eastAsia" w:ascii="仿宋" w:hAnsi="仿宋" w:eastAsia="仿宋" w:cs="仿宋"/>
                <w:color w:val="auto"/>
                <w:sz w:val="24"/>
              </w:rPr>
              <w:t>①演示水资源管理“一本帐”，包括水资源态势、用水态势、未来用水预测以及一滴水的轨迹、生态流量、水资源综合评价等，基于地图展示实时用水总量，用水态势和取水户等，0-4分。</w:t>
            </w:r>
          </w:p>
          <w:p>
            <w:pPr>
              <w:keepLines/>
              <w:adjustRightInd w:val="0"/>
              <w:snapToGrid w:val="0"/>
              <w:spacing w:line="240" w:lineRule="atLeast"/>
              <w:jc w:val="left"/>
              <w:rPr>
                <w:rFonts w:ascii="仿宋" w:hAnsi="仿宋" w:eastAsia="仿宋" w:cs="仿宋"/>
                <w:color w:val="auto"/>
                <w:sz w:val="24"/>
              </w:rPr>
            </w:pPr>
            <w:r>
              <w:rPr>
                <w:rFonts w:hint="eastAsia" w:ascii="仿宋" w:hAnsi="仿宋" w:eastAsia="仿宋" w:cs="仿宋"/>
                <w:color w:val="auto"/>
                <w:sz w:val="24"/>
              </w:rPr>
              <w:t>②演示水资源效率“一指标”，包括区域万元GDP用水量、万元工业增加值用水量、农田灌溉有效利用系数等，重点工业园区、工业企业及节水载体实时水效，结合地图展示区域用水效率，重点工业企业分布及节水赋码情况等，0-4分。</w:t>
            </w:r>
          </w:p>
          <w:p>
            <w:pPr>
              <w:keepLines/>
              <w:adjustRightInd w:val="0"/>
              <w:snapToGrid w:val="0"/>
              <w:spacing w:line="240" w:lineRule="atLeast"/>
              <w:jc w:val="left"/>
              <w:rPr>
                <w:rFonts w:ascii="仿宋" w:hAnsi="仿宋" w:eastAsia="仿宋" w:cs="仿宋"/>
                <w:color w:val="auto"/>
                <w:sz w:val="24"/>
              </w:rPr>
            </w:pPr>
            <w:r>
              <w:rPr>
                <w:rFonts w:hint="eastAsia" w:ascii="仿宋" w:hAnsi="仿宋" w:eastAsia="仿宋" w:cs="仿宋"/>
                <w:color w:val="auto"/>
                <w:sz w:val="24"/>
              </w:rPr>
              <w:t>③演示水资源联调“一张网”，包括水源蓄水量、水厂取水量、供水量等态势感知情况以及水资源调配“四预”（来水和需水预报、供水预警、调度预演及预案生成），0-4分。</w:t>
            </w:r>
          </w:p>
          <w:p>
            <w:pPr>
              <w:keepLines/>
              <w:adjustRightInd w:val="0"/>
              <w:snapToGrid w:val="0"/>
              <w:spacing w:line="240" w:lineRule="atLeast"/>
              <w:jc w:val="left"/>
              <w:rPr>
                <w:rFonts w:ascii="仿宋" w:hAnsi="仿宋" w:eastAsia="仿宋" w:cs="仿宋"/>
                <w:color w:val="auto"/>
                <w:sz w:val="24"/>
              </w:rPr>
            </w:pPr>
            <w:r>
              <w:rPr>
                <w:rFonts w:hint="eastAsia" w:ascii="仿宋" w:hAnsi="仿宋" w:eastAsia="仿宋" w:cs="仿宋"/>
                <w:color w:val="auto"/>
                <w:sz w:val="24"/>
              </w:rPr>
              <w:t>④演示绍兴九龙联动治水驾驶舱，包括越水安全、越水好喝、越水节约、越水美丽、越水清廉、越水畅通二级功能模块，与水管理工作平台、数字孪生曹娥江流域等应用无缝耦合性，0-4分。</w:t>
            </w:r>
          </w:p>
        </w:tc>
        <w:tc>
          <w:tcPr>
            <w:tcW w:w="782" w:type="dxa"/>
            <w:vAlign w:val="center"/>
          </w:tcPr>
          <w:p>
            <w:pPr>
              <w:pStyle w:val="5"/>
              <w:numPr>
                <w:ilvl w:val="0"/>
                <w:numId w:val="0"/>
              </w:numPr>
              <w:snapToGrid w:val="0"/>
              <w:spacing w:before="156" w:after="156" w:line="240" w:lineRule="atLeast"/>
              <w:jc w:val="center"/>
              <w:rPr>
                <w:rFonts w:ascii="仿宋" w:hAnsi="仿宋" w:eastAsia="仿宋" w:cs="仿宋"/>
                <w:b w:val="0"/>
                <w:color w:val="auto"/>
                <w:spacing w:val="4"/>
                <w:sz w:val="24"/>
                <w:szCs w:val="24"/>
              </w:rPr>
            </w:pPr>
            <w:r>
              <w:rPr>
                <w:rFonts w:hint="eastAsia" w:ascii="仿宋" w:hAnsi="仿宋" w:eastAsia="仿宋" w:cs="仿宋"/>
                <w:b w:val="0"/>
                <w:color w:val="auto"/>
                <w:spacing w:val="4"/>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restart"/>
            <w:vAlign w:val="center"/>
          </w:tcPr>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项目组配备</w:t>
            </w:r>
          </w:p>
        </w:tc>
        <w:tc>
          <w:tcPr>
            <w:tcW w:w="6718" w:type="dxa"/>
            <w:vAlign w:val="center"/>
          </w:tcPr>
          <w:p>
            <w:pPr>
              <w:adjustRightInd w:val="0"/>
              <w:snapToGrid w:val="0"/>
              <w:spacing w:line="240" w:lineRule="atLeast"/>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投标人项目负责人同时具有水利规划设计副高级及以上职称、信息化副高级及以上职称证书的得3分，具有其中1项得1分，没有不得分。</w:t>
            </w:r>
          </w:p>
          <w:p>
            <w:pPr>
              <w:adjustRightInd w:val="0"/>
              <w:snapToGrid w:val="0"/>
              <w:spacing w:line="240" w:lineRule="atLeast"/>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（须提供最近6个月社保缴纳证明材料及人员证书扫描件并加盖单位公章，否则不得分）。</w:t>
            </w:r>
          </w:p>
        </w:tc>
        <w:tc>
          <w:tcPr>
            <w:tcW w:w="782" w:type="dxa"/>
            <w:vMerge w:val="restart"/>
            <w:vAlign w:val="center"/>
          </w:tcPr>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snapToGrid w:val="0"/>
              <w:spacing w:line="240" w:lineRule="atLeast"/>
              <w:jc w:val="center"/>
              <w:rPr>
                <w:rFonts w:ascii="仿宋" w:hAnsi="仿宋" w:eastAsia="仿宋" w:cs="仿宋"/>
                <w:color w:val="auto"/>
                <w:sz w:val="24"/>
              </w:rPr>
            </w:pPr>
          </w:p>
        </w:tc>
        <w:tc>
          <w:tcPr>
            <w:tcW w:w="6718" w:type="dxa"/>
            <w:vAlign w:val="center"/>
          </w:tcPr>
          <w:p>
            <w:pPr>
              <w:adjustRightInd w:val="0"/>
              <w:snapToGrid w:val="0"/>
              <w:spacing w:line="240" w:lineRule="atLeast"/>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投标人技术负责人同时具有水利工程信息化正高级职称及注册咨询工程师（投资）证书得3分，没有不得分。</w:t>
            </w:r>
          </w:p>
          <w:p>
            <w:pPr>
              <w:adjustRightInd w:val="0"/>
              <w:snapToGrid w:val="0"/>
              <w:spacing w:line="240" w:lineRule="atLeast"/>
              <w:jc w:val="left"/>
              <w:textAlignment w:val="center"/>
              <w:rPr>
                <w:rFonts w:ascii="仿宋" w:hAnsi="仿宋" w:eastAsia="仿宋" w:cs="仿宋"/>
                <w:color w:val="auto"/>
                <w:sz w:val="24"/>
              </w:rPr>
            </w:pPr>
            <w:r>
              <w:rPr>
                <w:rFonts w:hint="eastAsia" w:ascii="仿宋" w:hAnsi="仿宋" w:eastAsia="仿宋" w:cs="仿宋"/>
                <w:bCs/>
                <w:color w:val="auto"/>
                <w:spacing w:val="4"/>
                <w:sz w:val="24"/>
              </w:rPr>
              <w:t>（须提供最近6个月社保缴纳证明材料及人员证书扫描件并加盖单位公章，否则不得分）。</w:t>
            </w:r>
          </w:p>
        </w:tc>
        <w:tc>
          <w:tcPr>
            <w:tcW w:w="782" w:type="dxa"/>
            <w:vMerge w:val="continue"/>
            <w:vAlign w:val="center"/>
          </w:tcPr>
          <w:p>
            <w:pPr>
              <w:snapToGrid w:val="0"/>
              <w:spacing w:line="240" w:lineRule="atLeas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widowControl/>
              <w:snapToGrid w:val="0"/>
              <w:spacing w:line="240" w:lineRule="atLeast"/>
              <w:jc w:val="center"/>
              <w:rPr>
                <w:rFonts w:ascii="仿宋" w:hAnsi="仿宋" w:eastAsia="仿宋" w:cs="仿宋"/>
                <w:color w:val="auto"/>
                <w:sz w:val="24"/>
              </w:rPr>
            </w:pP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配置软件开发相关技术人员：</w:t>
            </w:r>
          </w:p>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1、配置了软件设计师的得1分；</w:t>
            </w:r>
          </w:p>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2、配置了系统架构设计师的得1分；</w:t>
            </w:r>
          </w:p>
          <w:p>
            <w:pPr>
              <w:widowControl/>
              <w:adjustRightInd w:val="0"/>
              <w:snapToGrid w:val="0"/>
              <w:spacing w:line="240" w:lineRule="atLeast"/>
              <w:jc w:val="left"/>
              <w:textAlignment w:val="center"/>
              <w:rPr>
                <w:rFonts w:ascii="仿宋" w:hAnsi="仿宋" w:eastAsia="仿宋" w:cs="仿宋"/>
                <w:b/>
                <w:color w:val="auto"/>
                <w:sz w:val="24"/>
              </w:rPr>
            </w:pPr>
            <w:r>
              <w:rPr>
                <w:rFonts w:hint="eastAsia" w:ascii="仿宋" w:hAnsi="仿宋" w:eastAsia="仿宋" w:cs="仿宋"/>
                <w:bCs/>
                <w:color w:val="auto"/>
                <w:spacing w:val="4"/>
                <w:sz w:val="24"/>
              </w:rPr>
              <w:t>（以上人员不含项目负责人及水利相关专业技术人员。须提供最近6个月社保缴纳证明材料及人员证书扫描件并加盖单位公章，否则不得分）。</w:t>
            </w:r>
          </w:p>
        </w:tc>
        <w:tc>
          <w:tcPr>
            <w:tcW w:w="782" w:type="dxa"/>
            <w:vMerge w:val="continue"/>
            <w:vAlign w:val="center"/>
          </w:tcPr>
          <w:p>
            <w:pPr>
              <w:snapToGrid w:val="0"/>
              <w:spacing w:line="240" w:lineRule="atLeas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widowControl/>
              <w:snapToGrid w:val="0"/>
              <w:spacing w:line="240" w:lineRule="atLeast"/>
              <w:jc w:val="center"/>
              <w:rPr>
                <w:rFonts w:ascii="仿宋" w:hAnsi="仿宋" w:eastAsia="仿宋" w:cs="仿宋"/>
                <w:color w:val="auto"/>
                <w:sz w:val="24"/>
              </w:rPr>
            </w:pPr>
          </w:p>
        </w:tc>
        <w:tc>
          <w:tcPr>
            <w:tcW w:w="6718" w:type="dxa"/>
            <w:vAlign w:val="center"/>
          </w:tcPr>
          <w:p>
            <w:pPr>
              <w:widowControl/>
              <w:adjustRightInd w:val="0"/>
              <w:snapToGrid w:val="0"/>
              <w:spacing w:line="240" w:lineRule="atLeast"/>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配置水利相关专业技术人员：</w:t>
            </w:r>
          </w:p>
          <w:p>
            <w:pPr>
              <w:widowControl/>
              <w:adjustRightInd w:val="0"/>
              <w:snapToGrid w:val="0"/>
              <w:spacing w:line="240" w:lineRule="atLeast"/>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1、配置了水利水电规划设计专业高级职称人员的每位得2分，</w:t>
            </w:r>
            <w:r>
              <w:rPr>
                <w:rFonts w:hint="eastAsia" w:ascii="仿宋" w:hAnsi="仿宋" w:eastAsia="仿宋" w:cs="仿宋"/>
                <w:bCs/>
                <w:color w:val="auto"/>
                <w:spacing w:val="4"/>
                <w:sz w:val="24"/>
                <w:lang w:eastAsia="zh-CN"/>
              </w:rPr>
              <w:t>中级</w:t>
            </w:r>
            <w:r>
              <w:rPr>
                <w:rFonts w:hint="eastAsia" w:ascii="仿宋" w:hAnsi="仿宋" w:eastAsia="仿宋" w:cs="仿宋"/>
                <w:bCs/>
                <w:color w:val="auto"/>
                <w:spacing w:val="4"/>
                <w:sz w:val="24"/>
              </w:rPr>
              <w:t>职称人员的得1分，没有不得分；</w:t>
            </w:r>
          </w:p>
          <w:p>
            <w:pPr>
              <w:widowControl/>
              <w:adjustRightInd w:val="0"/>
              <w:snapToGrid w:val="0"/>
              <w:spacing w:line="240" w:lineRule="atLeast"/>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2、配置了水利工程管理专业高级职称人员的得2分，</w:t>
            </w:r>
            <w:r>
              <w:rPr>
                <w:rFonts w:hint="eastAsia" w:ascii="仿宋" w:hAnsi="仿宋" w:eastAsia="仿宋" w:cs="仿宋"/>
                <w:bCs/>
                <w:color w:val="auto"/>
                <w:spacing w:val="4"/>
                <w:sz w:val="24"/>
                <w:lang w:eastAsia="zh-CN"/>
              </w:rPr>
              <w:t>中级</w:t>
            </w:r>
            <w:r>
              <w:rPr>
                <w:rFonts w:hint="eastAsia" w:ascii="仿宋" w:hAnsi="仿宋" w:eastAsia="仿宋" w:cs="仿宋"/>
                <w:bCs/>
                <w:color w:val="auto"/>
                <w:spacing w:val="4"/>
                <w:sz w:val="24"/>
              </w:rPr>
              <w:t>职称人员的得1分，没有不得分；</w:t>
            </w:r>
          </w:p>
          <w:p>
            <w:pPr>
              <w:widowControl/>
              <w:adjustRightInd w:val="0"/>
              <w:snapToGrid w:val="0"/>
              <w:spacing w:line="240" w:lineRule="atLeast"/>
              <w:jc w:val="left"/>
              <w:textAlignment w:val="center"/>
              <w:rPr>
                <w:rFonts w:ascii="仿宋" w:hAnsi="仿宋" w:eastAsia="仿宋" w:cs="仿宋"/>
                <w:bCs/>
                <w:color w:val="auto"/>
                <w:spacing w:val="4"/>
                <w:sz w:val="24"/>
              </w:rPr>
            </w:pPr>
            <w:r>
              <w:rPr>
                <w:rFonts w:hint="eastAsia" w:ascii="仿宋" w:hAnsi="仿宋" w:eastAsia="仿宋" w:cs="仿宋"/>
                <w:bCs/>
                <w:color w:val="auto"/>
                <w:spacing w:val="4"/>
                <w:sz w:val="24"/>
              </w:rPr>
              <w:t>（以上人员不含项目负责人、技术负责任人及系统开发相关技术人员。须提供最近6个月社保缴纳证明材料及人员证书扫描件并加盖单位公章，否则不得分）。</w:t>
            </w:r>
          </w:p>
        </w:tc>
        <w:tc>
          <w:tcPr>
            <w:tcW w:w="782" w:type="dxa"/>
            <w:vMerge w:val="continue"/>
            <w:vAlign w:val="center"/>
          </w:tcPr>
          <w:p>
            <w:pPr>
              <w:snapToGrid w:val="0"/>
              <w:spacing w:line="240" w:lineRule="atLeas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restart"/>
            <w:vAlign w:val="center"/>
          </w:tcPr>
          <w:p>
            <w:pPr>
              <w:widowControl/>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项目组织实施</w:t>
            </w: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投标人按照招标人的要求，提供详实的进度计划。根据进度阶段的划分以及工作量及工期安排的合理性综合评分。0-2分</w:t>
            </w:r>
          </w:p>
        </w:tc>
        <w:tc>
          <w:tcPr>
            <w:tcW w:w="782" w:type="dxa"/>
            <w:vMerge w:val="restart"/>
            <w:vAlign w:val="center"/>
          </w:tcPr>
          <w:p>
            <w:pPr>
              <w:snapToGrid w:val="0"/>
              <w:spacing w:line="240" w:lineRule="atLeast"/>
              <w:ind w:left="29"/>
              <w:jc w:val="center"/>
              <w:rPr>
                <w:rFonts w:ascii="仿宋" w:hAnsi="仿宋" w:eastAsia="仿宋" w:cs="仿宋"/>
                <w:bCs/>
                <w:color w:val="auto"/>
                <w:spacing w:val="4"/>
                <w:sz w:val="24"/>
              </w:rPr>
            </w:pPr>
            <w:r>
              <w:rPr>
                <w:rFonts w:hint="eastAsia" w:ascii="仿宋" w:hAnsi="仿宋" w:eastAsia="仿宋" w:cs="仿宋"/>
                <w:bCs/>
                <w:color w:val="auto"/>
                <w:spacing w:val="4"/>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vAlign w:val="center"/>
          </w:tcPr>
          <w:p>
            <w:pPr>
              <w:widowControl/>
              <w:snapToGrid w:val="0"/>
              <w:spacing w:line="240" w:lineRule="atLeast"/>
              <w:jc w:val="center"/>
              <w:rPr>
                <w:rFonts w:ascii="仿宋" w:hAnsi="仿宋" w:eastAsia="仿宋" w:cs="仿宋"/>
                <w:color w:val="auto"/>
                <w:sz w:val="24"/>
              </w:rPr>
            </w:pP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根据投标人为了保证项目进度计划的顺利实施，提供项目实施沟通管理、变更管理、风险管理等方面的计划进行综合评分。0-2分</w:t>
            </w:r>
          </w:p>
        </w:tc>
        <w:tc>
          <w:tcPr>
            <w:tcW w:w="782" w:type="dxa"/>
            <w:vMerge w:val="continue"/>
            <w:vAlign w:val="center"/>
          </w:tcPr>
          <w:p>
            <w:pPr>
              <w:snapToGrid w:val="0"/>
              <w:spacing w:line="240" w:lineRule="atLeast"/>
              <w:ind w:left="29"/>
              <w:jc w:val="center"/>
              <w:rPr>
                <w:rFonts w:ascii="仿宋" w:hAnsi="仿宋" w:eastAsia="仿宋" w:cs="仿宋"/>
                <w:bCs/>
                <w:color w:val="auto"/>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232" w:type="dxa"/>
            <w:vAlign w:val="center"/>
          </w:tcPr>
          <w:p>
            <w:pPr>
              <w:snapToGrid w:val="0"/>
              <w:spacing w:line="240" w:lineRule="atLeast"/>
              <w:jc w:val="center"/>
              <w:rPr>
                <w:rFonts w:ascii="仿宋" w:hAnsi="仿宋" w:eastAsia="仿宋" w:cs="仿宋"/>
                <w:bCs/>
                <w:color w:val="auto"/>
                <w:spacing w:val="4"/>
                <w:sz w:val="24"/>
              </w:rPr>
            </w:pPr>
            <w:r>
              <w:rPr>
                <w:rFonts w:hint="eastAsia" w:ascii="仿宋" w:hAnsi="仿宋" w:eastAsia="仿宋" w:cs="仿宋"/>
                <w:bCs/>
                <w:color w:val="auto"/>
                <w:spacing w:val="4"/>
                <w:sz w:val="24"/>
              </w:rPr>
              <w:t>质量保证措施</w:t>
            </w:r>
          </w:p>
        </w:tc>
        <w:tc>
          <w:tcPr>
            <w:tcW w:w="6718" w:type="dxa"/>
            <w:vAlign w:val="center"/>
          </w:tcPr>
          <w:p>
            <w:pPr>
              <w:pStyle w:val="38"/>
              <w:snapToGrid w:val="0"/>
              <w:spacing w:before="0" w:beforeAutospacing="0" w:after="0" w:afterAutospacing="0" w:line="240" w:lineRule="atLeast"/>
              <w:rPr>
                <w:rFonts w:ascii="仿宋" w:hAnsi="仿宋" w:eastAsia="仿宋" w:cs="仿宋"/>
                <w:bCs/>
                <w:color w:val="auto"/>
                <w:spacing w:val="4"/>
                <w:sz w:val="24"/>
                <w:szCs w:val="24"/>
              </w:rPr>
            </w:pPr>
            <w:r>
              <w:rPr>
                <w:rFonts w:hint="eastAsia" w:ascii="仿宋" w:hAnsi="仿宋" w:eastAsia="仿宋" w:cs="仿宋"/>
                <w:bCs/>
                <w:color w:val="auto"/>
                <w:spacing w:val="4"/>
                <w:sz w:val="24"/>
                <w:szCs w:val="24"/>
              </w:rPr>
              <w:t>投标人按招标人要求有明确的质量保证目标，质量保证措施和体系合理先进并具有详细的实施内容等，有明确的ISO质量管理体系和二级校审制度等，进行综合评分。0-2分</w:t>
            </w:r>
          </w:p>
        </w:tc>
        <w:tc>
          <w:tcPr>
            <w:tcW w:w="782" w:type="dxa"/>
            <w:vAlign w:val="center"/>
          </w:tcPr>
          <w:p>
            <w:pPr>
              <w:snapToGrid w:val="0"/>
              <w:spacing w:line="240" w:lineRule="atLeast"/>
              <w:jc w:val="center"/>
              <w:rPr>
                <w:rFonts w:ascii="仿宋" w:hAnsi="仿宋" w:eastAsia="仿宋" w:cs="仿宋"/>
                <w:bCs/>
                <w:color w:val="auto"/>
                <w:spacing w:val="4"/>
                <w:sz w:val="24"/>
              </w:rPr>
            </w:pPr>
            <w:r>
              <w:rPr>
                <w:rFonts w:hint="eastAsia" w:ascii="仿宋" w:hAnsi="仿宋" w:eastAsia="仿宋" w:cs="仿宋"/>
                <w:bCs/>
                <w:color w:val="auto"/>
                <w:spacing w:val="4"/>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32" w:type="dxa"/>
            <w:vAlign w:val="center"/>
          </w:tcPr>
          <w:p>
            <w:pPr>
              <w:widowControl/>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售后服务</w:t>
            </w:r>
          </w:p>
        </w:tc>
        <w:tc>
          <w:tcPr>
            <w:tcW w:w="6718" w:type="dxa"/>
            <w:vAlign w:val="center"/>
          </w:tcPr>
          <w:p>
            <w:pPr>
              <w:snapToGrid w:val="0"/>
              <w:spacing w:line="240" w:lineRule="atLeast"/>
              <w:rPr>
                <w:rFonts w:ascii="仿宋" w:hAnsi="仿宋" w:eastAsia="仿宋" w:cs="仿宋"/>
                <w:snapToGrid w:val="0"/>
                <w:color w:val="auto"/>
                <w:sz w:val="24"/>
              </w:rPr>
            </w:pPr>
            <w:r>
              <w:rPr>
                <w:rFonts w:hint="eastAsia" w:ascii="仿宋" w:hAnsi="仿宋" w:eastAsia="仿宋" w:cs="仿宋"/>
                <w:bCs/>
                <w:color w:val="auto"/>
                <w:spacing w:val="4"/>
                <w:sz w:val="24"/>
              </w:rPr>
              <w:t>根据投标人提供的售后服务方案、售后服务承诺的可行性、完整性以及服务承诺落实的保障措施，服务响应能力，现场技术服务能力，维护期内外的后续技术支持等进行综合评分，0-4分。</w:t>
            </w:r>
          </w:p>
        </w:tc>
        <w:tc>
          <w:tcPr>
            <w:tcW w:w="782" w:type="dxa"/>
            <w:vAlign w:val="center"/>
          </w:tcPr>
          <w:p>
            <w:pPr>
              <w:snapToGrid w:val="0"/>
              <w:spacing w:line="240" w:lineRule="atLeast"/>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32" w:type="dxa"/>
            <w:vAlign w:val="center"/>
          </w:tcPr>
          <w:p>
            <w:pPr>
              <w:snapToGrid w:val="0"/>
              <w:spacing w:line="240" w:lineRule="atLeast"/>
              <w:jc w:val="center"/>
              <w:rPr>
                <w:rFonts w:ascii="仿宋" w:hAnsi="仿宋" w:eastAsia="仿宋" w:cs="仿宋"/>
                <w:bCs/>
                <w:color w:val="auto"/>
                <w:spacing w:val="4"/>
                <w:sz w:val="24"/>
              </w:rPr>
            </w:pPr>
            <w:r>
              <w:rPr>
                <w:rFonts w:hint="eastAsia" w:ascii="仿宋" w:hAnsi="仿宋" w:eastAsia="仿宋" w:cs="仿宋"/>
                <w:bCs/>
                <w:color w:val="auto"/>
                <w:spacing w:val="4"/>
                <w:sz w:val="24"/>
              </w:rPr>
              <w:t>培训</w:t>
            </w:r>
          </w:p>
        </w:tc>
        <w:tc>
          <w:tcPr>
            <w:tcW w:w="6718" w:type="dxa"/>
            <w:vAlign w:val="center"/>
          </w:tcPr>
          <w:p>
            <w:pPr>
              <w:snapToGrid w:val="0"/>
              <w:spacing w:line="240" w:lineRule="atLeast"/>
              <w:rPr>
                <w:rFonts w:ascii="仿宋" w:hAnsi="仿宋" w:eastAsia="仿宋" w:cs="仿宋"/>
                <w:bCs/>
                <w:color w:val="auto"/>
                <w:spacing w:val="4"/>
                <w:sz w:val="24"/>
              </w:rPr>
            </w:pPr>
            <w:r>
              <w:rPr>
                <w:rFonts w:hint="eastAsia" w:ascii="仿宋" w:hAnsi="仿宋" w:eastAsia="仿宋" w:cs="仿宋"/>
                <w:bCs/>
                <w:color w:val="auto"/>
                <w:spacing w:val="4"/>
                <w:sz w:val="24"/>
              </w:rPr>
              <w:t>根据投标人培训计划方案的合理性以及与相关要求的符合性进行综合评分。0-2分。</w:t>
            </w:r>
          </w:p>
        </w:tc>
        <w:tc>
          <w:tcPr>
            <w:tcW w:w="782" w:type="dxa"/>
            <w:vAlign w:val="center"/>
          </w:tcPr>
          <w:p>
            <w:pPr>
              <w:snapToGrid w:val="0"/>
              <w:spacing w:line="240" w:lineRule="atLeast"/>
              <w:jc w:val="center"/>
              <w:rPr>
                <w:rFonts w:ascii="仿宋" w:hAnsi="仿宋" w:eastAsia="仿宋" w:cs="仿宋"/>
                <w:bCs/>
                <w:color w:val="auto"/>
                <w:spacing w:val="4"/>
                <w:sz w:val="24"/>
              </w:rPr>
            </w:pPr>
            <w:r>
              <w:rPr>
                <w:rFonts w:hint="eastAsia" w:ascii="仿宋" w:hAnsi="仿宋" w:eastAsia="仿宋" w:cs="仿宋"/>
                <w:bCs/>
                <w:color w:val="auto"/>
                <w:spacing w:val="4"/>
                <w:sz w:val="24"/>
              </w:rPr>
              <w:t>2</w:t>
            </w:r>
          </w:p>
        </w:tc>
      </w:tr>
    </w:tbl>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注：对省级以上主管部门认定的首台套产品，自纳入《省推广应用指导目录》起三年内参加政府采购活动，视同已具备相应销售业绩，业绩分为满分。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2.2价格分（10分）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color w:val="auto"/>
          <w:sz w:val="36"/>
          <w:szCs w:val="20"/>
        </w:rPr>
      </w:pPr>
      <w:r>
        <w:rPr>
          <w:rFonts w:hint="eastAsia" w:ascii="仿宋" w:hAnsi="仿宋" w:eastAsia="仿宋" w:cs="仿宋"/>
          <w:bCs/>
          <w:iCs/>
          <w:color w:val="auto"/>
          <w:sz w:val="24"/>
        </w:rPr>
        <w:t>即：投标报价得分=(评标基准价／投标报价)×10</w:t>
      </w:r>
      <w:bookmarkEnd w:id="8"/>
      <w:bookmarkEnd w:id="9"/>
      <w:bookmarkEnd w:id="10"/>
      <w:bookmarkEnd w:id="11"/>
    </w:p>
    <w:p>
      <w:pPr>
        <w:pageBreakBefore/>
        <w:snapToGrid w:val="0"/>
        <w:spacing w:line="360" w:lineRule="auto"/>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napToGrid w:val="0"/>
        <w:spacing w:line="360"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pStyle w:val="2"/>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w:t>
      </w:r>
      <w:r>
        <w:rPr>
          <w:rFonts w:hint="eastAsia" w:ascii="仿宋" w:hAnsi="仿宋" w:eastAsia="仿宋" w:cs="仿宋"/>
          <w:color w:val="auto"/>
          <w:kern w:val="0"/>
          <w:sz w:val="24"/>
          <w:szCs w:val="24"/>
          <w:lang w:val="en-US" w:eastAsia="zh-CN" w:bidi="ar-SA"/>
        </w:rPr>
        <w:t>残疾人福利性单位声明函</w:t>
      </w:r>
      <w:r>
        <w:rPr>
          <w:rFonts w:hint="eastAsia" w:ascii="仿宋" w:hAnsi="仿宋" w:eastAsia="仿宋" w:cs="仿宋"/>
          <w:color w:val="auto"/>
          <w:kern w:val="0"/>
          <w:sz w:val="24"/>
        </w:rPr>
        <w:t>……………………………………（页码）</w:t>
      </w:r>
    </w:p>
    <w:p>
      <w:pPr>
        <w:pStyle w:val="19"/>
        <w:spacing w:line="800" w:lineRule="atLeast"/>
        <w:ind w:left="0" w:leftChars="0"/>
        <w:rPr>
          <w:rFonts w:ascii="仿宋" w:hAnsi="仿宋" w:eastAsia="仿宋" w:cs="仿宋"/>
          <w:b/>
          <w:color w:val="auto"/>
          <w:sz w:val="36"/>
          <w:szCs w:val="36"/>
        </w:rPr>
      </w:pPr>
    </w:p>
    <w:p>
      <w:pPr>
        <w:pStyle w:val="19"/>
        <w:spacing w:line="800" w:lineRule="atLeast"/>
        <w:ind w:left="0" w:leftChars="0"/>
        <w:rPr>
          <w:rFonts w:ascii="仿宋" w:hAnsi="仿宋" w:eastAsia="仿宋" w:cs="仿宋"/>
          <w:b/>
          <w:color w:val="auto"/>
          <w:sz w:val="36"/>
          <w:szCs w:val="36"/>
        </w:rPr>
      </w:pPr>
    </w:p>
    <w:p>
      <w:pPr>
        <w:rPr>
          <w:rFonts w:ascii="仿宋" w:hAnsi="仿宋" w:eastAsia="仿宋" w:cs="仿宋"/>
          <w:b/>
          <w:color w:val="auto"/>
          <w:sz w:val="30"/>
          <w:szCs w:val="30"/>
        </w:rPr>
      </w:pPr>
    </w:p>
    <w:p>
      <w:pPr>
        <w:rPr>
          <w:rFonts w:ascii="仿宋" w:hAnsi="仿宋" w:eastAsia="仿宋" w:cs="仿宋"/>
          <w:b/>
          <w:color w:val="auto"/>
          <w:sz w:val="30"/>
          <w:szCs w:val="30"/>
        </w:rPr>
      </w:pPr>
    </w:p>
    <w:p>
      <w:pPr>
        <w:pageBreakBefore/>
        <w:rPr>
          <w:rFonts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70"/>
        <w:spacing w:afterLines="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绍兴市防汛防旱应急保障中心、浙江翔实建设项目管理有限公司</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color w:val="auto"/>
          <w:szCs w:val="24"/>
          <w:u w:val="single"/>
        </w:rPr>
        <w:t>绍兴市防汛防旱应急保障中心水资源管理与调配及市级九龙联动治水应用项目（招标编号:ZJXSC-2023-042）</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70"/>
        <w:spacing w:afterLines="0" w:line="440" w:lineRule="exact"/>
        <w:ind w:firstLine="480"/>
        <w:rPr>
          <w:rFonts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本公司投标文件中填列的技术参数、配置、服务、数量等相关内容都是真实、准确的。保证在本次项目中所提供的资料全部真实和合法。同意向采购人提供可能另外要求的与投标有关的任何数据或资料。</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4"/>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70"/>
        <w:spacing w:afterLines="0" w:line="440" w:lineRule="exact"/>
        <w:ind w:firstLine="480"/>
        <w:rPr>
          <w:rFonts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7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70"/>
        <w:spacing w:afterLines="0" w:line="440" w:lineRule="exact"/>
        <w:ind w:firstLine="480"/>
        <w:rPr>
          <w:rFonts w:ascii="仿宋" w:hAnsi="仿宋" w:eastAsia="仿宋" w:cs="仿宋"/>
          <w:b/>
          <w:color w:val="auto"/>
          <w:sz w:val="30"/>
          <w:szCs w:val="30"/>
        </w:rPr>
      </w:pPr>
      <w:r>
        <w:rPr>
          <w:rFonts w:hint="eastAsia" w:ascii="仿宋" w:hAnsi="仿宋" w:eastAsia="仿宋" w:cs="仿宋"/>
          <w:color w:val="auto"/>
          <w:szCs w:val="24"/>
        </w:rPr>
        <w:t xml:space="preserve">投标人(电子签章)：　　　　　　　　　日期：   </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ascii="仿宋" w:hAnsi="仿宋" w:eastAsia="仿宋" w:cs="仿宋"/>
          <w:color w:val="auto"/>
          <w:sz w:val="24"/>
        </w:rPr>
      </w:pPr>
    </w:p>
    <w:p>
      <w:pPr>
        <w:spacing w:line="400" w:lineRule="exact"/>
        <w:rPr>
          <w:rFonts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招标编号：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ascii="仿宋" w:hAnsi="仿宋" w:eastAsia="仿宋" w:cs="仿宋"/>
          <w:color w:val="auto"/>
          <w:sz w:val="24"/>
        </w:rPr>
      </w:pPr>
      <w:r>
        <w:rPr>
          <w:rFonts w:hint="eastAsia" w:ascii="仿宋" w:hAnsi="仿宋" w:eastAsia="仿宋" w:cs="仿宋"/>
          <w:color w:val="auto"/>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color w:val="auto"/>
          <w:sz w:val="24"/>
        </w:rPr>
      </w:pPr>
    </w:p>
    <w:p>
      <w:pPr>
        <w:spacing w:line="360" w:lineRule="auto"/>
        <w:ind w:left="-4" w:leftChars="-2" w:right="-817" w:rightChars="-389" w:firstLine="2"/>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auto"/>
        <w:outlineLvl w:val="0"/>
        <w:rPr>
          <w:rFonts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spacing w:line="360" w:lineRule="auto"/>
        <w:jc w:val="center"/>
        <w:outlineLvl w:val="0"/>
        <w:rPr>
          <w:rFonts w:ascii="仿宋" w:hAnsi="仿宋" w:eastAsia="仿宋" w:cs="仿宋"/>
          <w:b/>
          <w:color w:val="auto"/>
          <w:kern w:val="0"/>
          <w:sz w:val="36"/>
          <w:szCs w:val="36"/>
        </w:rPr>
        <w:sectPr>
          <w:footerReference r:id="rId8" w:type="first"/>
          <w:footerReference r:id="rId7" w:type="default"/>
          <w:pgSz w:w="11906" w:h="16838"/>
          <w:pgMar w:top="1440" w:right="1558" w:bottom="1246" w:left="1758" w:header="1021" w:footer="902" w:gutter="0"/>
          <w:pgNumType w:fmt="decimal" w:start="1"/>
          <w:cols w:space="425" w:num="1"/>
          <w:docGrid w:type="lines" w:linePitch="312" w:charSpace="0"/>
        </w:sectPr>
      </w:pPr>
    </w:p>
    <w:p>
      <w:pPr>
        <w:pageBreakBefore/>
        <w:jc w:val="left"/>
        <w:rPr>
          <w:rFonts w:ascii="仿宋" w:hAnsi="仿宋" w:eastAsia="仿宋" w:cs="仿宋"/>
          <w:b/>
          <w:color w:val="auto"/>
          <w:sz w:val="32"/>
        </w:rPr>
      </w:pPr>
      <w:r>
        <w:rPr>
          <w:rFonts w:hint="eastAsia" w:ascii="仿宋" w:hAnsi="仿宋" w:eastAsia="仿宋" w:cs="仿宋"/>
          <w:b/>
          <w:color w:val="auto"/>
          <w:sz w:val="32"/>
        </w:rPr>
        <w:t>3、中小企业声明函（工程、服务）</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水资源管理与调配及市级九龙联动治水应用项目</w:t>
      </w:r>
      <w:r>
        <w:rPr>
          <w:rFonts w:hint="eastAsia" w:ascii="仿宋" w:hAnsi="仿宋" w:eastAsia="仿宋" w:cs="仿宋"/>
          <w:color w:val="auto"/>
          <w:sz w:val="24"/>
        </w:rPr>
        <w:t>，属于</w:t>
      </w:r>
      <w:r>
        <w:rPr>
          <w:rFonts w:hint="eastAsia" w:ascii="仿宋" w:hAnsi="仿宋" w:eastAsia="仿宋" w:cs="仿宋"/>
          <w:color w:val="auto"/>
          <w:kern w:val="0"/>
          <w:sz w:val="24"/>
          <w:u w:val="single"/>
        </w:rPr>
        <w:t>软件和信息技术服务业</w:t>
      </w:r>
      <w:r>
        <w:rPr>
          <w:rFonts w:hint="eastAsia" w:ascii="仿宋" w:hAnsi="仿宋" w:eastAsia="仿宋" w:cs="仿宋"/>
          <w:color w:val="auto"/>
          <w:sz w:val="24"/>
          <w:u w:val="single"/>
        </w:rPr>
        <w:t>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水资源管理与调配及市级九龙联动治水应用项目</w:t>
      </w:r>
      <w:r>
        <w:rPr>
          <w:rFonts w:hint="eastAsia" w:ascii="仿宋" w:hAnsi="仿宋" w:eastAsia="仿宋" w:cs="仿宋"/>
          <w:color w:val="auto"/>
          <w:sz w:val="24"/>
        </w:rPr>
        <w:t>，属于</w:t>
      </w:r>
      <w:r>
        <w:rPr>
          <w:rFonts w:hint="eastAsia" w:ascii="仿宋" w:hAnsi="仿宋" w:eastAsia="仿宋" w:cs="仿宋"/>
          <w:color w:val="auto"/>
          <w:kern w:val="0"/>
          <w:sz w:val="24"/>
          <w:u w:val="single"/>
        </w:rPr>
        <w:t>软件和信息技术服务业</w:t>
      </w:r>
      <w:r>
        <w:rPr>
          <w:rFonts w:hint="eastAsia" w:ascii="仿宋" w:hAnsi="仿宋" w:eastAsia="仿宋" w:cs="仿宋"/>
          <w:color w:val="auto"/>
          <w:sz w:val="24"/>
          <w:u w:val="single"/>
        </w:rPr>
        <w:t>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ascii="仿宋" w:hAnsi="仿宋" w:eastAsia="仿宋" w:cs="仿宋"/>
          <w:color w:val="auto"/>
          <w:sz w:val="24"/>
        </w:rPr>
      </w:pPr>
    </w:p>
    <w:p>
      <w:pPr>
        <w:ind w:right="420" w:firstLine="5880" w:firstLineChars="2450"/>
        <w:rPr>
          <w:rFonts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b/>
          <w:color w:val="auto"/>
          <w:sz w:val="24"/>
        </w:rPr>
      </w:pPr>
      <w:r>
        <w:rPr>
          <w:rFonts w:hint="eastAsia" w:ascii="仿宋" w:hAnsi="仿宋" w:eastAsia="仿宋" w:cs="仿宋"/>
          <w:b/>
          <w:color w:val="auto"/>
          <w:sz w:val="24"/>
        </w:rPr>
        <w:t>注：</w:t>
      </w:r>
    </w:p>
    <w:p>
      <w:pPr>
        <w:rPr>
          <w:rFonts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spacing w:line="588" w:lineRule="exact"/>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ascii="仿宋" w:hAnsi="仿宋" w:eastAsia="仿宋" w:cs="仿宋"/>
          <w:b/>
          <w:color w:val="auto"/>
          <w:spacing w:val="6"/>
          <w:sz w:val="30"/>
          <w:szCs w:val="30"/>
        </w:rPr>
      </w:pP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水资源管理与调配及市级九龙联动治水应用项目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ascii="仿宋" w:hAnsi="仿宋" w:eastAsia="仿宋" w:cs="仿宋"/>
          <w:color w:val="auto"/>
          <w:sz w:val="24"/>
        </w:rPr>
      </w:pPr>
    </w:p>
    <w:p>
      <w:pPr>
        <w:spacing w:line="588" w:lineRule="exact"/>
        <w:ind w:firstLine="480" w:firstLineChars="200"/>
        <w:rPr>
          <w:rFonts w:ascii="仿宋" w:hAnsi="仿宋" w:eastAsia="仿宋" w:cs="仿宋"/>
          <w:color w:val="auto"/>
          <w:sz w:val="24"/>
        </w:rPr>
      </w:pPr>
    </w:p>
    <w:p>
      <w:pPr>
        <w:spacing w:line="588" w:lineRule="exact"/>
        <w:ind w:firstLine="480" w:firstLineChars="200"/>
        <w:jc w:val="right"/>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spacing w:line="588" w:lineRule="exact"/>
        <w:ind w:firstLine="480" w:firstLineChars="200"/>
        <w:jc w:val="right"/>
        <w:rPr>
          <w:rFonts w:hint="eastAsia" w:ascii="仿宋" w:hAnsi="仿宋" w:eastAsia="仿宋" w:cs="仿宋"/>
          <w:color w:val="auto"/>
          <w:sz w:val="24"/>
        </w:rPr>
      </w:pPr>
      <w:r>
        <w:rPr>
          <w:rFonts w:hint="eastAsia" w:ascii="仿宋" w:hAnsi="仿宋" w:eastAsia="仿宋" w:cs="仿宋"/>
          <w:color w:val="auto"/>
          <w:sz w:val="24"/>
        </w:rPr>
        <w:t>日期：   年     月     日</w:t>
      </w:r>
    </w:p>
    <w:p>
      <w:pPr>
        <w:spacing w:line="588" w:lineRule="exact"/>
        <w:ind w:firstLine="480" w:firstLineChars="200"/>
        <w:rPr>
          <w:rFonts w:hint="eastAsia" w:ascii="仿宋" w:hAnsi="仿宋" w:eastAsia="仿宋" w:cs="仿宋"/>
          <w:color w:val="auto"/>
          <w:sz w:val="24"/>
        </w:rPr>
      </w:pPr>
    </w:p>
    <w:p>
      <w:pPr>
        <w:rPr>
          <w:rFonts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ascii="仿宋" w:hAnsi="仿宋" w:eastAsia="仿宋" w:cs="仿宋"/>
          <w:color w:val="auto"/>
        </w:rPr>
      </w:pPr>
    </w:p>
    <w:p>
      <w:pPr>
        <w:tabs>
          <w:tab w:val="left" w:pos="4860"/>
        </w:tabs>
        <w:ind w:right="1559" w:firstLine="480" w:firstLineChars="200"/>
        <w:jc w:val="left"/>
        <w:rPr>
          <w:rFonts w:ascii="仿宋" w:hAnsi="仿宋" w:eastAsia="仿宋" w:cs="仿宋"/>
          <w:color w:val="auto"/>
          <w:sz w:val="24"/>
        </w:rPr>
      </w:pPr>
      <w:r>
        <w:rPr>
          <w:rFonts w:hint="eastAsia" w:ascii="仿宋" w:hAnsi="仿宋" w:eastAsia="仿宋" w:cs="仿宋"/>
          <w:color w:val="auto"/>
          <w:sz w:val="24"/>
        </w:rPr>
        <w:object>
          <v:shape id="_x0000_i1025" o:spt="75" type="#_x0000_t75" style="height:42.1pt;width:389.9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pageBreakBefore/>
        <w:spacing w:line="360" w:lineRule="auto"/>
        <w:jc w:val="left"/>
        <w:outlineLvl w:val="0"/>
        <w:rPr>
          <w:rFonts w:ascii="仿宋" w:hAnsi="仿宋" w:eastAsia="仿宋" w:cs="仿宋"/>
          <w:b/>
          <w:color w:val="auto"/>
          <w:kern w:val="0"/>
          <w:sz w:val="36"/>
          <w:szCs w:val="36"/>
        </w:rPr>
        <w:sectPr>
          <w:pgSz w:w="11906" w:h="16838"/>
          <w:pgMar w:top="1440" w:right="1558" w:bottom="1246" w:left="1758" w:header="1021" w:footer="902" w:gutter="0"/>
          <w:pgNumType w:fmt="decimal"/>
          <w:cols w:space="425" w:num="1"/>
          <w:titlePg/>
          <w:docGrid w:type="lines" w:linePitch="312" w:charSpace="0"/>
        </w:sect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193"/>
        <w:spacing w:line="360" w:lineRule="auto"/>
        <w:ind w:left="0" w:firstLine="0" w:firstLineChars="0"/>
        <w:rPr>
          <w:rFonts w:ascii="仿宋" w:eastAsia="仿宋" w:cs="仿宋"/>
          <w:color w:val="auto"/>
        </w:rPr>
      </w:pPr>
      <w:r>
        <w:rPr>
          <w:rFonts w:hint="eastAsia" w:ascii="仿宋" w:eastAsia="仿宋" w:cs="仿宋"/>
          <w:color w:val="auto"/>
        </w:rPr>
        <w:t>（1）营业执照…………………………………………………………………（页码）（2）法定代表人授权书 ………………………………………………………（页码）</w:t>
      </w:r>
    </w:p>
    <w:p>
      <w:pPr>
        <w:pStyle w:val="193"/>
        <w:spacing w:line="360" w:lineRule="auto"/>
        <w:ind w:left="0" w:firstLine="0" w:firstLineChars="0"/>
        <w:rPr>
          <w:rFonts w:ascii="仿宋" w:eastAsia="仿宋" w:cs="仿宋"/>
          <w:color w:val="auto"/>
        </w:rPr>
      </w:pPr>
      <w:r>
        <w:rPr>
          <w:rFonts w:hint="eastAsia" w:ascii="仿宋" w:eastAsia="仿宋" w:cs="仿宋"/>
          <w:color w:val="auto"/>
        </w:rPr>
        <w:t>（3）授权代表社保证明（复印件）……………………………………………（页码）</w:t>
      </w:r>
    </w:p>
    <w:p>
      <w:pPr>
        <w:pStyle w:val="193"/>
        <w:spacing w:line="360" w:lineRule="auto"/>
        <w:ind w:left="0" w:firstLine="0" w:firstLineChars="0"/>
        <w:rPr>
          <w:rFonts w:ascii="仿宋" w:eastAsia="仿宋" w:cs="仿宋"/>
          <w:color w:val="auto"/>
        </w:rPr>
      </w:pPr>
      <w:r>
        <w:rPr>
          <w:rFonts w:hint="eastAsia" w:ascii="仿宋" w:eastAsia="仿宋" w:cs="仿宋"/>
          <w:color w:val="auto"/>
        </w:rPr>
        <w:t>（4）法定代表人及其授权代表的身份证（复印件）…………………………（页码）</w:t>
      </w:r>
    </w:p>
    <w:p>
      <w:pPr>
        <w:pStyle w:val="193"/>
        <w:spacing w:line="360" w:lineRule="auto"/>
        <w:ind w:left="0" w:firstLine="0" w:firstLineChars="0"/>
        <w:rPr>
          <w:rFonts w:ascii="仿宋" w:eastAsia="仿宋" w:cs="仿宋"/>
          <w:color w:val="auto"/>
        </w:rPr>
      </w:pPr>
      <w:r>
        <w:rPr>
          <w:rFonts w:hint="eastAsia" w:ascii="仿宋" w:eastAsia="仿宋" w:cs="仿宋"/>
          <w:color w:val="auto"/>
        </w:rPr>
        <w:t>（5）法定代表人身份证明书……………………………………………………（页码）</w:t>
      </w:r>
    </w:p>
    <w:p>
      <w:pPr>
        <w:spacing w:line="360" w:lineRule="auto"/>
        <w:outlineLvl w:val="0"/>
        <w:rPr>
          <w:rFonts w:ascii="仿宋" w:hAnsi="仿宋" w:eastAsia="仿宋" w:cs="仿宋"/>
          <w:color w:val="auto"/>
          <w:sz w:val="24"/>
        </w:rPr>
      </w:pPr>
      <w:r>
        <w:rPr>
          <w:rFonts w:hint="eastAsia" w:ascii="仿宋" w:hAnsi="仿宋" w:eastAsia="仿宋" w:cs="仿宋"/>
          <w:color w:val="auto"/>
          <w:sz w:val="24"/>
        </w:rPr>
        <w:t>（6）资格审查有关的书面承诺函</w:t>
      </w:r>
      <w:r>
        <w:rPr>
          <w:rFonts w:hint="eastAsia" w:ascii="仿宋" w:hAnsi="仿宋" w:eastAsia="仿宋" w:cs="仿宋"/>
          <w:color w:val="auto"/>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pPr>
        <w:pStyle w:val="193"/>
        <w:spacing w:line="360" w:lineRule="auto"/>
        <w:ind w:firstLine="0" w:firstLineChars="0"/>
        <w:rPr>
          <w:rFonts w:ascii="仿宋" w:eastAsia="仿宋" w:cs="仿宋"/>
          <w:color w:val="auto"/>
        </w:rPr>
      </w:pPr>
      <w:r>
        <w:rPr>
          <w:rFonts w:hint="eastAsia" w:ascii="仿宋" w:eastAsia="仿宋" w:cs="仿宋"/>
          <w:color w:val="auto"/>
        </w:rPr>
        <w:t>（7）符合特定资格条件（如有项目有要求）的有关证明材料（复印件）…（页码）</w:t>
      </w:r>
    </w:p>
    <w:p>
      <w:pPr>
        <w:pStyle w:val="193"/>
        <w:spacing w:line="360" w:lineRule="auto"/>
        <w:ind w:left="0" w:firstLine="0" w:firstLineChars="0"/>
        <w:rPr>
          <w:rFonts w:ascii="仿宋" w:eastAsia="仿宋" w:cs="仿宋"/>
          <w:color w:val="auto"/>
        </w:rPr>
      </w:pPr>
      <w:r>
        <w:rPr>
          <w:rFonts w:hint="eastAsia" w:ascii="仿宋" w:eastAsia="仿宋" w:cs="仿宋"/>
          <w:color w:val="auto"/>
        </w:rPr>
        <w:t>（8）</w:t>
      </w:r>
      <w:r>
        <w:rPr>
          <w:rFonts w:hint="eastAsia" w:ascii="仿宋" w:eastAsia="仿宋" w:cs="仿宋"/>
          <w:snapToGrid w:val="0"/>
          <w:color w:val="auto"/>
        </w:rPr>
        <w:t>投标人售后服务证明材料</w:t>
      </w:r>
      <w:r>
        <w:rPr>
          <w:rFonts w:hint="eastAsia" w:ascii="仿宋" w:eastAsia="仿宋" w:cs="仿宋"/>
          <w:color w:val="auto"/>
        </w:rPr>
        <w:t>…………………………………………………（页码）</w:t>
      </w:r>
    </w:p>
    <w:p>
      <w:pPr>
        <w:pStyle w:val="193"/>
        <w:spacing w:line="360" w:lineRule="auto"/>
        <w:ind w:left="0" w:firstLine="0" w:firstLineChars="0"/>
        <w:rPr>
          <w:rFonts w:ascii="仿宋" w:eastAsia="仿宋" w:cs="仿宋"/>
          <w:color w:val="auto"/>
        </w:rPr>
      </w:pPr>
      <w:r>
        <w:rPr>
          <w:rFonts w:hint="eastAsia" w:ascii="仿宋" w:eastAsia="仿宋" w:cs="仿宋"/>
          <w:color w:val="auto"/>
        </w:rPr>
        <w:t>（9）</w:t>
      </w:r>
      <w:r>
        <w:rPr>
          <w:rFonts w:hint="eastAsia" w:ascii="仿宋" w:eastAsia="仿宋" w:cs="仿宋"/>
          <w:color w:val="auto"/>
          <w:lang w:val="zh-CN"/>
        </w:rPr>
        <w:t>主要业绩证明…………………………………………………</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pPr>
        <w:pStyle w:val="193"/>
        <w:spacing w:line="360" w:lineRule="auto"/>
        <w:ind w:left="0" w:firstLine="0" w:firstLineChars="0"/>
        <w:rPr>
          <w:rFonts w:ascii="仿宋" w:eastAsia="仿宋" w:cs="仿宋"/>
          <w:color w:val="auto"/>
        </w:rPr>
      </w:pPr>
      <w:r>
        <w:rPr>
          <w:rFonts w:hint="eastAsia" w:ascii="仿宋" w:eastAsia="仿宋" w:cs="仿宋"/>
          <w:color w:val="auto"/>
        </w:rPr>
        <w:t>（10）廉政承诺书 ………………………………………………………………（页码）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（11）技术解决方案…………………………………………………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（12）技术偏离说明表………………………………………………</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（13）组织实施方案……………………………………………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（14）售后服务方案……………………………………………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（15）项目小组人员名单………………………………………</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ascii="仿宋" w:hAnsi="仿宋" w:eastAsia="仿宋" w:cs="仿宋"/>
          <w:b/>
          <w:color w:val="auto"/>
          <w:sz w:val="30"/>
          <w:szCs w:val="30"/>
        </w:rPr>
        <w:sectPr>
          <w:pgSz w:w="11906" w:h="16838"/>
          <w:pgMar w:top="1440" w:right="1558" w:bottom="1246" w:left="1758" w:header="1021" w:footer="902" w:gutter="0"/>
          <w:pgNumType w:fmt="decimal"/>
          <w:cols w:space="425" w:num="1"/>
          <w:titlePg/>
          <w:docGrid w:type="lines" w:linePitch="312" w:charSpace="0"/>
        </w:sectPr>
      </w:pPr>
      <w:r>
        <w:rPr>
          <w:rFonts w:hint="eastAsia" w:ascii="仿宋" w:hAnsi="仿宋" w:eastAsia="仿宋" w:cs="仿宋"/>
          <w:b/>
          <w:color w:val="auto"/>
          <w:sz w:val="30"/>
          <w:szCs w:val="30"/>
        </w:rPr>
        <w:t>1、营业执照（复印件）</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2、法定代表人授权委托书（格式）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绍兴市防汛防旱应急保障中心、浙江翔实建设项目管理有限公司</w:t>
      </w:r>
      <w:r>
        <w:rPr>
          <w:rFonts w:hint="eastAsia" w:ascii="仿宋" w:hAnsi="仿宋" w:eastAsia="仿宋" w:cs="仿宋"/>
          <w:color w:val="auto"/>
          <w:sz w:val="24"/>
        </w:rPr>
        <w:t>组织的</w:t>
      </w:r>
      <w:r>
        <w:rPr>
          <w:rFonts w:hint="eastAsia" w:ascii="仿宋" w:hAnsi="仿宋" w:eastAsia="仿宋" w:cs="仿宋"/>
          <w:color w:val="auto"/>
          <w:sz w:val="24"/>
          <w:u w:val="single"/>
        </w:rPr>
        <w:t>水资源管理与调配及市级九龙联动治水应用项目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3、授权代表社保证明（复印件）</w:t>
      </w:r>
    </w:p>
    <w:p>
      <w:pPr>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ascii="仿宋" w:hAnsi="仿宋" w:eastAsia="仿宋" w:cs="仿宋"/>
          <w:color w:val="auto"/>
          <w:sz w:val="24"/>
        </w:rPr>
      </w:pPr>
    </w:p>
    <w:p>
      <w:pPr>
        <w:spacing w:line="800" w:lineRule="exact"/>
        <w:ind w:firstLine="4337" w:firstLineChars="1800"/>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4、法定代表人及其授权代表身份证复印件（正反面）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5、法定代表人身份证明书(格式)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                             （电子签章）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   月   日</w:t>
      </w:r>
    </w:p>
    <w:p>
      <w:pPr>
        <w:pageBreakBefore/>
        <w:spacing w:afterLines="100"/>
        <w:rPr>
          <w:rFonts w:ascii="仿宋" w:hAnsi="仿宋" w:eastAsia="仿宋" w:cs="仿宋"/>
          <w:b/>
          <w:color w:val="auto"/>
          <w:kern w:val="0"/>
          <w:sz w:val="32"/>
          <w:szCs w:val="32"/>
        </w:rPr>
      </w:pPr>
      <w:r>
        <w:rPr>
          <w:rFonts w:hint="eastAsia" w:ascii="仿宋" w:hAnsi="仿宋" w:eastAsia="仿宋" w:cs="仿宋"/>
          <w:b/>
          <w:color w:val="auto"/>
          <w:sz w:val="30"/>
          <w:szCs w:val="30"/>
        </w:rPr>
        <w:t>6、资格审查有关的书面承诺函</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绍兴市防汛防旱应急保障中心、浙江翔实建设项目管理有限公司</w:t>
      </w:r>
      <w:r>
        <w:rPr>
          <w:rFonts w:hint="eastAsia" w:ascii="仿宋" w:hAnsi="仿宋" w:eastAsia="仿宋" w:cs="仿宋"/>
          <w:color w:val="auto"/>
          <w:kern w:val="0"/>
          <w:sz w:val="24"/>
          <w:lang w:val="zh-CN"/>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我方郑重承诺，已具有</w:t>
      </w:r>
      <w:r>
        <w:rPr>
          <w:rFonts w:hint="eastAsia" w:ascii="仿宋" w:hAnsi="仿宋" w:eastAsia="仿宋" w:cs="仿宋"/>
          <w:color w:val="auto"/>
          <w:sz w:val="24"/>
          <w:u w:val="single"/>
        </w:rPr>
        <w:t>绍兴市防汛防旱应急保障中心水资源管理与调配及市级九龙联动治水应用项目（招标编号:ZJXSC-2023-042）</w:t>
      </w:r>
      <w:r>
        <w:rPr>
          <w:rFonts w:hint="eastAsia" w:ascii="仿宋" w:hAnsi="仿宋" w:eastAsia="仿宋" w:cs="仿宋"/>
          <w:color w:val="auto"/>
          <w:sz w:val="24"/>
        </w:rPr>
        <w:t>招标文件中关于申请人资格要求的下列条件：</w:t>
      </w:r>
    </w:p>
    <w:p>
      <w:pPr>
        <w:pStyle w:val="70"/>
        <w:widowControl w:val="0"/>
        <w:spacing w:afterLines="0" w:line="440" w:lineRule="exact"/>
        <w:ind w:firstLine="480"/>
        <w:jc w:val="left"/>
        <w:rPr>
          <w:rFonts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4"/>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ascii="仿宋" w:hAnsi="仿宋" w:eastAsia="仿宋" w:cs="仿宋"/>
          <w:b/>
          <w:color w:val="auto"/>
          <w:sz w:val="30"/>
          <w:szCs w:val="30"/>
        </w:rPr>
      </w:pPr>
    </w:p>
    <w:p>
      <w:pPr>
        <w:pageBreakBefore/>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7、特定资格条件要求的资质文件（如果项目有要求）（复印件）</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（由投标人根据招标公告合格的投标人应具备的特定资格条件要求编制）</w:t>
      </w:r>
    </w:p>
    <w:p>
      <w:pPr>
        <w:pStyle w:val="52"/>
        <w:rPr>
          <w:rFonts w:ascii="仿宋" w:hAnsi="仿宋" w:eastAsia="仿宋" w:cs="仿宋"/>
          <w:color w:val="auto"/>
        </w:rPr>
      </w:pPr>
    </w:p>
    <w:p>
      <w:pPr>
        <w:pStyle w:val="52"/>
        <w:rPr>
          <w:rFonts w:ascii="仿宋" w:hAnsi="仿宋" w:eastAsia="仿宋" w:cs="仿宋"/>
          <w:color w:val="auto"/>
        </w:rPr>
      </w:pPr>
    </w:p>
    <w:p>
      <w:pPr>
        <w:pStyle w:val="52"/>
        <w:rPr>
          <w:rFonts w:ascii="仿宋" w:hAnsi="仿宋" w:eastAsia="仿宋" w:cs="仿宋"/>
          <w:color w:val="auto"/>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8、投标人售后服务能力证明材料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9、</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注：投标人可按上述的格式自行编制，须随表提交相应的合同复印件并注明页码。</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4"/>
        <w:pageBreakBefore/>
        <w:ind w:firstLine="0"/>
        <w:jc w:val="both"/>
        <w:rPr>
          <w:rFonts w:ascii="仿宋" w:eastAsia="仿宋" w:cs="仿宋"/>
          <w:color w:val="auto"/>
        </w:rPr>
      </w:pPr>
      <w:r>
        <w:rPr>
          <w:rFonts w:hint="eastAsia" w:ascii="仿宋" w:eastAsia="仿宋" w:cs="仿宋"/>
          <w:color w:val="auto"/>
        </w:rPr>
        <w:t>10、廉政承诺书</w:t>
      </w:r>
    </w:p>
    <w:p>
      <w:pPr>
        <w:autoSpaceDE w:val="0"/>
        <w:autoSpaceDN w:val="0"/>
        <w:spacing w:line="360" w:lineRule="auto"/>
        <w:ind w:left="2"/>
        <w:jc w:val="left"/>
        <w:rPr>
          <w:rFonts w:ascii="仿宋" w:hAnsi="仿宋" w:eastAsia="仿宋" w:cs="仿宋"/>
          <w:color w:val="auto"/>
          <w:kern w:val="0"/>
          <w:sz w:val="24"/>
          <w:lang w:val="zh-CN"/>
        </w:rPr>
      </w:pPr>
      <w:r>
        <w:rPr>
          <w:rFonts w:hint="eastAsia" w:ascii="仿宋" w:hAnsi="仿宋" w:eastAsia="仿宋" w:cs="仿宋"/>
          <w:color w:val="auto"/>
          <w:sz w:val="24"/>
        </w:rPr>
        <w:t>绍兴市防汛防旱应急保障中心</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sz w:val="24"/>
          <w:u w:val="single"/>
        </w:rPr>
        <w:t>水资源管理与调配及市级九龙联动治水应用项目（招标编号:ZJXSC-2023-042）</w:t>
      </w:r>
      <w:r>
        <w:rPr>
          <w:rFonts w:hint="eastAsia" w:ascii="仿宋" w:hAnsi="仿宋" w:eastAsia="仿宋" w:cs="仿宋"/>
          <w:color w:val="auto"/>
          <w:kern w:val="0"/>
          <w:sz w:val="24"/>
          <w:lang w:val="zh-CN"/>
        </w:rPr>
        <w:t xml:space="preserve">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11、技术解决方案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1pt;width:442.75pt;" o:ole="t" filled="f" o:preferrelative="t" stroked="f" coordsize="21600,21600">
            <v:path/>
            <v:fill on="f" focussize="0,0"/>
            <v:stroke on="f"/>
            <v:imagedata r:id="rId13" o:title=""/>
            <o:lock v:ext="edit" aspectratio="t"/>
            <w10:wrap type="none"/>
            <w10:anchorlock/>
          </v:shape>
          <o:OLEObject Type="Embed" ProgID="Package" ShapeID="_x0000_i1026" DrawAspect="Content" ObjectID="_1468075726" r:id="rId12">
            <o:LockedField>false</o:LockedField>
          </o:OLEObject>
        </w:object>
      </w:r>
      <w:r>
        <w:rPr>
          <w:rFonts w:hint="eastAsia" w:ascii="仿宋" w:hAnsi="仿宋" w:eastAsia="仿宋" w:cs="仿宋"/>
          <w:b/>
          <w:color w:val="auto"/>
          <w:kern w:val="0"/>
          <w:sz w:val="28"/>
          <w:szCs w:val="28"/>
        </w:rPr>
        <w:object>
          <v:shape id="_x0000_i1027" o:spt="75" type="#_x0000_t75" style="height:42.1pt;width:441.35pt;" o:ole="t" filled="f" o:preferrelative="t" stroked="f" coordsize="21600,21600">
            <v:path/>
            <v:fill on="f" focussize="0,0"/>
            <v:stroke on="f"/>
            <v:imagedata r:id="rId15" o:title=""/>
            <o:lock v:ext="edit" aspectratio="t"/>
            <w10:wrap type="none"/>
            <w10:anchorlock/>
          </v:shape>
          <o:OLEObject Type="Embed" ProgID="Package" ShapeID="_x0000_i1027" DrawAspect="Content" ObjectID="_1468075727" r:id="rId14">
            <o:LockedField>false</o:LockedField>
          </o:OLEObject>
        </w:objec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12、技术偏离说明表</w:t>
      </w:r>
    </w:p>
    <w:p>
      <w:pPr>
        <w:spacing w:line="360" w:lineRule="auto"/>
        <w:rPr>
          <w:rFonts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bl>
    <w:p>
      <w:pPr>
        <w:tabs>
          <w:tab w:val="left" w:pos="570"/>
        </w:tabs>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color w:val="auto"/>
          <w:kern w:val="0"/>
          <w:sz w:val="24"/>
          <w:lang w:val="zh-CN"/>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w:t>
      </w:r>
      <w:r>
        <w:rPr>
          <w:rFonts w:hint="eastAsia" w:ascii="仿宋" w:hAnsi="仿宋" w:eastAsia="仿宋" w:cs="仿宋"/>
          <w:b/>
          <w:bCs/>
          <w:color w:val="auto"/>
          <w:kern w:val="0"/>
          <w:sz w:val="32"/>
          <w:szCs w:val="32"/>
        </w:rPr>
        <w:t>3</w:t>
      </w:r>
      <w:r>
        <w:rPr>
          <w:rFonts w:hint="eastAsia" w:ascii="仿宋" w:hAnsi="仿宋" w:eastAsia="仿宋" w:cs="仿宋"/>
          <w:b/>
          <w:bCs/>
          <w:color w:val="auto"/>
          <w:kern w:val="0"/>
          <w:sz w:val="32"/>
          <w:szCs w:val="32"/>
          <w:lang w:val="zh-CN"/>
        </w:rPr>
        <w:t>、组织实施方案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14、售后服务方案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15、项目小组人员名单</w:t>
      </w:r>
    </w:p>
    <w:p>
      <w:pPr>
        <w:spacing w:line="360" w:lineRule="auto"/>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优惠条件及特殊承诺</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18"/>
          <w:szCs w:val="18"/>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rPr>
        <w:t>20</w:t>
      </w:r>
      <w:r>
        <w:rPr>
          <w:rFonts w:hint="eastAsia" w:ascii="仿宋" w:hAnsi="仿宋" w:eastAsia="仿宋" w:cs="仿宋"/>
          <w:b/>
          <w:color w:val="auto"/>
          <w:kern w:val="0"/>
          <w:sz w:val="32"/>
          <w:szCs w:val="32"/>
          <w:lang w:val="zh-CN"/>
        </w:rPr>
        <w:t>、落实政府采购政策需满足的资格要求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 xml:space="preserve">（附件）。 </w:t>
      </w:r>
    </w:p>
    <w:p>
      <w:pPr>
        <w:widowControl/>
        <w:spacing w:line="440" w:lineRule="exact"/>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color w:val="auto"/>
          <w:kern w:val="0"/>
          <w:sz w:val="32"/>
          <w:szCs w:val="32"/>
          <w:lang w:val="zh-CN"/>
        </w:rPr>
      </w:pPr>
    </w:p>
    <w:p>
      <w:pPr>
        <w:adjustRightInd w:val="0"/>
        <w:snapToGrid w:val="0"/>
        <w:spacing w:before="50" w:after="50"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jc w:val="center"/>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ascii="仿宋" w:hAnsi="仿宋" w:eastAsia="仿宋" w:cs="仿宋"/>
          <w:color w:val="auto"/>
          <w:sz w:val="24"/>
        </w:rPr>
      </w:pPr>
    </w:p>
    <w:p>
      <w:pPr>
        <w:spacing w:line="360" w:lineRule="auto"/>
        <w:ind w:firstLine="482" w:firstLineChars="200"/>
        <w:rPr>
          <w:rFonts w:ascii="仿宋" w:hAnsi="仿宋" w:eastAsia="仿宋" w:cs="仿宋"/>
          <w:b/>
          <w:color w:val="auto"/>
          <w:sz w:val="24"/>
        </w:rPr>
      </w:pPr>
    </w:p>
    <w:p>
      <w:pPr>
        <w:spacing w:line="360" w:lineRule="auto"/>
        <w:ind w:firstLine="482" w:firstLineChars="200"/>
        <w:rPr>
          <w:rFonts w:ascii="仿宋" w:hAnsi="仿宋" w:eastAsia="仿宋" w:cs="仿宋"/>
          <w:b/>
          <w:color w:val="auto"/>
          <w:sz w:val="24"/>
        </w:rPr>
      </w:pPr>
    </w:p>
    <w:p>
      <w:pPr>
        <w:spacing w:line="360" w:lineRule="auto"/>
        <w:ind w:firstLine="482" w:firstLineChars="200"/>
        <w:rPr>
          <w:rFonts w:ascii="仿宋" w:hAnsi="仿宋" w:eastAsia="仿宋" w:cs="仿宋"/>
          <w:b/>
          <w:color w:val="auto"/>
          <w:sz w:val="24"/>
        </w:rPr>
      </w:pPr>
    </w:p>
    <w:p>
      <w:pPr>
        <w:pageBreakBefore/>
        <w:spacing w:line="360" w:lineRule="auto"/>
        <w:ind w:firstLine="482" w:firstLineChars="200"/>
        <w:rPr>
          <w:rFonts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ascii="仿宋" w:hAnsi="仿宋" w:eastAsia="仿宋" w:cs="仿宋"/>
          <w:color w:val="auto"/>
          <w:u w:val="single"/>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ascii="仿宋" w:hAnsi="仿宋" w:eastAsia="仿宋" w:cs="仿宋"/>
          <w:color w:val="auto"/>
          <w:kern w:val="0"/>
          <w:sz w:val="24"/>
          <w:lang w:val="zh-CN"/>
        </w:rPr>
      </w:pPr>
    </w:p>
    <w:p>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投标人名称(电子签名)：</w:t>
      </w:r>
    </w:p>
    <w:p>
      <w:pPr>
        <w:snapToGrid w:val="0"/>
        <w:spacing w:line="360" w:lineRule="auto"/>
        <w:ind w:firstLine="5880" w:firstLineChars="2450"/>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ascii="仿宋" w:hAnsi="仿宋" w:eastAsia="仿宋" w:cs="仿宋"/>
          <w:b/>
          <w:bCs/>
          <w:color w:val="auto"/>
          <w:sz w:val="24"/>
        </w:rPr>
        <w:pict>
          <v:rect id="Rectangle 17" o:spid="_x0000_s1026"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ascii="仿宋" w:hAnsi="仿宋" w:eastAsia="仿宋" w:cs="仿宋"/>
          <w:b/>
          <w:bCs/>
          <w:color w:val="auto"/>
          <w:sz w:val="24"/>
        </w:rPr>
        <w:pict>
          <v:rect id="Rectangle 16" o:spid="_x0000_s1028"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rPr>
        <w:t>投标单位法定名称章（印模）                投标单位“XX专用章”（印模）</w:t>
      </w: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地址： 邮编：</w:t>
      </w:r>
    </w:p>
    <w:p>
      <w:pPr>
        <w:adjustRightInd w:val="0"/>
        <w:snapToGrid w:val="0"/>
        <w:spacing w:line="360" w:lineRule="auto"/>
        <w:rPr>
          <w:rFonts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ascii="仿宋" w:hAnsi="仿宋" w:eastAsia="仿宋" w:cs="仿宋"/>
          <w:color w:val="auto"/>
          <w:sz w:val="32"/>
          <w:szCs w:val="32"/>
        </w:rPr>
      </w:pP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ascii="仿宋" w:hAnsi="仿宋" w:eastAsia="仿宋" w:cs="仿宋"/>
          <w:color w:val="auto"/>
          <w:sz w:val="32"/>
          <w:szCs w:val="32"/>
          <w:u w:val="dotted"/>
        </w:rPr>
      </w:pP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rPr>
          <w:rFonts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ascii="仿宋" w:hAnsi="仿宋" w:eastAsia="仿宋" w:cs="仿宋"/>
          <w:color w:val="auto"/>
          <w:sz w:val="32"/>
          <w:szCs w:val="32"/>
        </w:rPr>
      </w:pPr>
    </w:p>
    <w:p>
      <w:pPr>
        <w:adjustRightInd w:val="0"/>
        <w:snapToGrid w:val="0"/>
        <w:spacing w:line="360" w:lineRule="auto"/>
        <w:rPr>
          <w:rFonts w:ascii="仿宋" w:hAnsi="仿宋" w:eastAsia="仿宋" w:cs="仿宋"/>
          <w:color w:val="auto"/>
          <w:sz w:val="32"/>
          <w:szCs w:val="32"/>
        </w:rPr>
      </w:pPr>
    </w:p>
    <w:p>
      <w:pPr>
        <w:jc w:val="center"/>
        <w:rPr>
          <w:rFonts w:ascii="仿宋" w:hAnsi="仿宋" w:eastAsia="仿宋" w:cs="仿宋"/>
          <w:b/>
          <w:bCs/>
          <w:color w:val="auto"/>
          <w:sz w:val="32"/>
          <w:szCs w:val="32"/>
        </w:rPr>
      </w:pPr>
    </w:p>
    <w:p>
      <w:pPr>
        <w:jc w:val="center"/>
        <w:rPr>
          <w:rFonts w:ascii="仿宋" w:hAnsi="仿宋" w:eastAsia="仿宋" w:cs="仿宋"/>
          <w:b/>
          <w:bCs/>
          <w:color w:val="auto"/>
          <w:sz w:val="32"/>
          <w:szCs w:val="32"/>
        </w:rPr>
      </w:pPr>
    </w:p>
    <w:p>
      <w:pPr>
        <w:jc w:val="center"/>
        <w:rPr>
          <w:rFonts w:ascii="仿宋" w:hAnsi="仿宋" w:eastAsia="仿宋" w:cs="仿宋"/>
          <w:b/>
          <w:bCs/>
          <w:color w:val="auto"/>
          <w:sz w:val="32"/>
          <w:szCs w:val="32"/>
        </w:rPr>
      </w:pPr>
    </w:p>
    <w:p>
      <w:pPr>
        <w:rPr>
          <w:rFonts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rPr>
          <w:rFonts w:ascii="仿宋" w:hAnsi="仿宋" w:eastAsia="仿宋" w:cs="仿宋"/>
          <w:color w:val="auto"/>
          <w:kern w:val="0"/>
          <w:sz w:val="24"/>
        </w:rPr>
      </w:pPr>
    </w:p>
    <w:sectPr>
      <w:pgSz w:w="11906" w:h="16838"/>
      <w:pgMar w:top="1440" w:right="1558" w:bottom="1246" w:left="1758" w:header="1021" w:footer="90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_x0000_s2053" o:spid="_x0000_s205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浙江翔实建设项目管理有限公司                                    招标文件招标编号:ZJXSC-2023-042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ab/>
    </w:r>
    <w:r>
      <w:rPr>
        <w:rFonts w:hint="eastAsia"/>
      </w:rPr>
      <w:t>浙江翔实建设项目管理有限公司                                    招标文件招标编号:ZJXSC-2023-042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0"/>
      <w:lvlText w:val="%1."/>
      <w:lvlJc w:val="left"/>
      <w:pPr>
        <w:ind w:left="425" w:hanging="425"/>
      </w:pPr>
    </w:lvl>
    <w:lvl w:ilvl="1" w:tentative="0">
      <w:start w:val="1"/>
      <w:numFmt w:val="decimal"/>
      <w:pStyle w:val="289"/>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0891078"/>
    <w:multiLevelType w:val="singleLevel"/>
    <w:tmpl w:val="60891078"/>
    <w:lvl w:ilvl="0" w:tentative="0">
      <w:start w:val="1"/>
      <w:numFmt w:val="decimal"/>
      <w:suff w:val="nothing"/>
      <w:lvlText w:val="%1、"/>
      <w:lvlJc w:val="left"/>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JmMjk0NDM4ZGE3N2FiNmUwNGRmYjA2MzNkODY0OTA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16825"/>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B7AC3"/>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2148"/>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362D"/>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F5573B"/>
    <w:rsid w:val="01F62F61"/>
    <w:rsid w:val="02153587"/>
    <w:rsid w:val="032A78B5"/>
    <w:rsid w:val="06695AAF"/>
    <w:rsid w:val="06AB31FB"/>
    <w:rsid w:val="0828199A"/>
    <w:rsid w:val="08CC67C9"/>
    <w:rsid w:val="09F4422A"/>
    <w:rsid w:val="0A8530D4"/>
    <w:rsid w:val="0C9870EE"/>
    <w:rsid w:val="0CF6355E"/>
    <w:rsid w:val="0D425763"/>
    <w:rsid w:val="0E77207A"/>
    <w:rsid w:val="101959AF"/>
    <w:rsid w:val="107A4E46"/>
    <w:rsid w:val="12281213"/>
    <w:rsid w:val="138C6BF0"/>
    <w:rsid w:val="17A84950"/>
    <w:rsid w:val="17CE60BA"/>
    <w:rsid w:val="17F41A9E"/>
    <w:rsid w:val="17F66137"/>
    <w:rsid w:val="18DA45EA"/>
    <w:rsid w:val="192B5D39"/>
    <w:rsid w:val="19CF5F18"/>
    <w:rsid w:val="19D13C3F"/>
    <w:rsid w:val="19F61127"/>
    <w:rsid w:val="1A386520"/>
    <w:rsid w:val="1A3C44FD"/>
    <w:rsid w:val="1C654B13"/>
    <w:rsid w:val="1C9D33B1"/>
    <w:rsid w:val="1CA74699"/>
    <w:rsid w:val="1CF71C0F"/>
    <w:rsid w:val="1EF43BF7"/>
    <w:rsid w:val="2377052C"/>
    <w:rsid w:val="2397055C"/>
    <w:rsid w:val="24D26ABE"/>
    <w:rsid w:val="258A1146"/>
    <w:rsid w:val="27206206"/>
    <w:rsid w:val="272B1C9D"/>
    <w:rsid w:val="27651E6B"/>
    <w:rsid w:val="27F31225"/>
    <w:rsid w:val="280F1E94"/>
    <w:rsid w:val="283F2267"/>
    <w:rsid w:val="28B020E8"/>
    <w:rsid w:val="28D769CF"/>
    <w:rsid w:val="2D5B6A13"/>
    <w:rsid w:val="2D67693D"/>
    <w:rsid w:val="2F541DA4"/>
    <w:rsid w:val="2FA11073"/>
    <w:rsid w:val="31884DFD"/>
    <w:rsid w:val="3191618F"/>
    <w:rsid w:val="31F5620E"/>
    <w:rsid w:val="32BB28E3"/>
    <w:rsid w:val="335D7E9A"/>
    <w:rsid w:val="33627BF5"/>
    <w:rsid w:val="356155F0"/>
    <w:rsid w:val="36FA1E97"/>
    <w:rsid w:val="382165CD"/>
    <w:rsid w:val="382168F2"/>
    <w:rsid w:val="39686C5B"/>
    <w:rsid w:val="3B3A586A"/>
    <w:rsid w:val="3B716BD9"/>
    <w:rsid w:val="3B800BCA"/>
    <w:rsid w:val="3BB54D17"/>
    <w:rsid w:val="3CBE4154"/>
    <w:rsid w:val="43C33F82"/>
    <w:rsid w:val="448C20E5"/>
    <w:rsid w:val="472745EF"/>
    <w:rsid w:val="48ED4B1C"/>
    <w:rsid w:val="49463453"/>
    <w:rsid w:val="495C0735"/>
    <w:rsid w:val="4A6022F2"/>
    <w:rsid w:val="4B2B2900"/>
    <w:rsid w:val="4BDC6D24"/>
    <w:rsid w:val="4C00115D"/>
    <w:rsid w:val="4DC36BB0"/>
    <w:rsid w:val="4DDE1EAC"/>
    <w:rsid w:val="4E121B55"/>
    <w:rsid w:val="4E4B32B9"/>
    <w:rsid w:val="4E626374"/>
    <w:rsid w:val="4ED3546B"/>
    <w:rsid w:val="4F602D94"/>
    <w:rsid w:val="553B4087"/>
    <w:rsid w:val="554E647D"/>
    <w:rsid w:val="55FC7175"/>
    <w:rsid w:val="59413C36"/>
    <w:rsid w:val="5A511C57"/>
    <w:rsid w:val="5B3550D5"/>
    <w:rsid w:val="5C3E7FB9"/>
    <w:rsid w:val="5D7A14C5"/>
    <w:rsid w:val="611F2AAF"/>
    <w:rsid w:val="63BE65AF"/>
    <w:rsid w:val="65C841D2"/>
    <w:rsid w:val="65EF6688"/>
    <w:rsid w:val="660B1854"/>
    <w:rsid w:val="672A3F5C"/>
    <w:rsid w:val="677347DE"/>
    <w:rsid w:val="691305F5"/>
    <w:rsid w:val="69CC227F"/>
    <w:rsid w:val="6B602687"/>
    <w:rsid w:val="6B9E114B"/>
    <w:rsid w:val="6BCA2201"/>
    <w:rsid w:val="6CDB1F80"/>
    <w:rsid w:val="6DCE3893"/>
    <w:rsid w:val="6DE035C6"/>
    <w:rsid w:val="6E140AEB"/>
    <w:rsid w:val="6E1A6AD8"/>
    <w:rsid w:val="6FD13167"/>
    <w:rsid w:val="70263347"/>
    <w:rsid w:val="70327CD9"/>
    <w:rsid w:val="70DD5B9B"/>
    <w:rsid w:val="72367AE1"/>
    <w:rsid w:val="72E87C49"/>
    <w:rsid w:val="72EC42F9"/>
    <w:rsid w:val="72F47553"/>
    <w:rsid w:val="732B7092"/>
    <w:rsid w:val="752816D2"/>
    <w:rsid w:val="75673B65"/>
    <w:rsid w:val="76AF3E9D"/>
    <w:rsid w:val="778702A1"/>
    <w:rsid w:val="7A4F25A1"/>
    <w:rsid w:val="7A7E7A02"/>
    <w:rsid w:val="7BE10825"/>
    <w:rsid w:val="7C99506C"/>
    <w:rsid w:val="7CF91FAF"/>
    <w:rsid w:val="7DA912DF"/>
    <w:rsid w:val="7DDD542C"/>
    <w:rsid w:val="7DFBB8BB"/>
    <w:rsid w:val="7E261385"/>
    <w:rsid w:val="7E6E6FF2"/>
    <w:rsid w:val="7EA128FE"/>
    <w:rsid w:val="7F0A5F50"/>
    <w:rsid w:val="7FE42AA2"/>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9"/>
    <w:link w:val="59"/>
    <w:qFormat/>
    <w:uiPriority w:val="0"/>
    <w:pPr>
      <w:keepNext/>
      <w:widowControl/>
      <w:numPr>
        <w:ilvl w:val="0"/>
        <w:numId w:val="4"/>
      </w:numPr>
      <w:jc w:val="left"/>
      <w:outlineLvl w:val="4"/>
    </w:pPr>
    <w:rPr>
      <w:kern w:val="0"/>
      <w:sz w:val="24"/>
      <w:szCs w:val="20"/>
    </w:rPr>
  </w:style>
  <w:style w:type="paragraph" w:styleId="10">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5"/>
    <w:qFormat/>
    <w:uiPriority w:val="0"/>
    <w:pPr>
      <w:spacing w:line="360" w:lineRule="auto"/>
    </w:pPr>
    <w:rPr>
      <w:rFonts w:eastAsia="仿宋_GB2312"/>
      <w:sz w:val="28"/>
    </w:rPr>
  </w:style>
  <w:style w:type="paragraph" w:styleId="3">
    <w:name w:val="Body Text First Indent"/>
    <w:basedOn w:val="2"/>
    <w:link w:val="202"/>
    <w:qFormat/>
    <w:uiPriority w:val="0"/>
    <w:pPr>
      <w:spacing w:after="120" w:line="240" w:lineRule="auto"/>
      <w:ind w:firstLine="420" w:firstLineChars="100"/>
    </w:pPr>
    <w:rPr>
      <w:rFonts w:eastAsia="宋体"/>
      <w:sz w:val="21"/>
    </w:rPr>
  </w:style>
  <w:style w:type="paragraph" w:styleId="9">
    <w:name w:val="Normal Indent"/>
    <w:basedOn w:val="1"/>
    <w:link w:val="54"/>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0"/>
    <w:qFormat/>
    <w:uiPriority w:val="0"/>
    <w:pPr>
      <w:spacing w:line="360" w:lineRule="auto"/>
      <w:jc w:val="center"/>
    </w:pPr>
    <w:rPr>
      <w:rFonts w:ascii="Calibri" w:hAnsi="Calibri"/>
      <w:sz w:val="20"/>
      <w:szCs w:val="20"/>
    </w:rPr>
  </w:style>
  <w:style w:type="paragraph" w:styleId="17">
    <w:name w:val="Document Map"/>
    <w:basedOn w:val="1"/>
    <w:link w:val="119"/>
    <w:semiHidden/>
    <w:qFormat/>
    <w:uiPriority w:val="0"/>
    <w:pPr>
      <w:shd w:val="clear" w:color="auto" w:fill="000080"/>
    </w:pPr>
  </w:style>
  <w:style w:type="paragraph" w:styleId="18">
    <w:name w:val="annotation text"/>
    <w:basedOn w:val="1"/>
    <w:link w:val="72"/>
    <w:qFormat/>
    <w:uiPriority w:val="0"/>
    <w:pPr>
      <w:jc w:val="left"/>
    </w:pPr>
  </w:style>
  <w:style w:type="paragraph" w:styleId="19">
    <w:name w:val="Body Text Indent"/>
    <w:basedOn w:val="1"/>
    <w:link w:val="66"/>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8"/>
    <w:qFormat/>
    <w:uiPriority w:val="0"/>
    <w:rPr>
      <w:sz w:val="18"/>
      <w:szCs w:val="18"/>
    </w:rPr>
  </w:style>
  <w:style w:type="paragraph" w:styleId="28">
    <w:name w:val="footer"/>
    <w:basedOn w:val="1"/>
    <w:link w:val="69"/>
    <w:qFormat/>
    <w:uiPriority w:val="0"/>
    <w:pPr>
      <w:tabs>
        <w:tab w:val="center" w:pos="4153"/>
        <w:tab w:val="right" w:pos="8306"/>
      </w:tabs>
      <w:snapToGrid w:val="0"/>
      <w:jc w:val="left"/>
    </w:pPr>
    <w:rPr>
      <w:sz w:val="18"/>
      <w:szCs w:val="18"/>
    </w:rPr>
  </w:style>
  <w:style w:type="paragraph" w:styleId="29">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199"/>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1"/>
    <w:qFormat/>
    <w:uiPriority w:val="0"/>
    <w:pPr>
      <w:widowControl/>
      <w:spacing w:afterLines="50"/>
    </w:pPr>
    <w:rPr>
      <w:b/>
      <w:bCs/>
      <w:kern w:val="0"/>
      <w:sz w:val="24"/>
      <w:szCs w:val="20"/>
    </w:rPr>
  </w:style>
  <w:style w:type="paragraph" w:styleId="42">
    <w:name w:val="Body Text First Indent 2"/>
    <w:basedOn w:val="19"/>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3">
    <w:name w:val="标题 1 Char"/>
    <w:link w:val="4"/>
    <w:qFormat/>
    <w:uiPriority w:val="0"/>
    <w:rPr>
      <w:rFonts w:eastAsia="仿宋_GB2312"/>
      <w:b/>
      <w:kern w:val="44"/>
      <w:sz w:val="44"/>
      <w:lang w:val="en-US" w:eastAsia="zh-CN" w:bidi="ar-SA"/>
    </w:rPr>
  </w:style>
  <w:style w:type="character" w:customStyle="1" w:styleId="54">
    <w:name w:val="正文缩进 Char"/>
    <w:link w:val="9"/>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5"/>
    <w:qFormat/>
    <w:uiPriority w:val="0"/>
    <w:rPr>
      <w:rFonts w:ascii="Arial" w:hAnsi="Arial" w:eastAsia="黑体"/>
      <w:b/>
      <w:kern w:val="2"/>
      <w:sz w:val="32"/>
      <w:lang w:val="en-US" w:eastAsia="zh-CN" w:bidi="ar-SA"/>
    </w:rPr>
  </w:style>
  <w:style w:type="character" w:customStyle="1" w:styleId="57">
    <w:name w:val="标题 3 Char"/>
    <w:link w:val="6"/>
    <w:qFormat/>
    <w:uiPriority w:val="0"/>
    <w:rPr>
      <w:rFonts w:eastAsia="仿宋_GB2312"/>
      <w:b/>
      <w:kern w:val="2"/>
      <w:sz w:val="32"/>
      <w:lang w:val="en-US" w:eastAsia="zh-CN" w:bidi="ar-SA"/>
    </w:rPr>
  </w:style>
  <w:style w:type="character" w:customStyle="1" w:styleId="58">
    <w:name w:val="标题 4 Char1"/>
    <w:link w:val="7"/>
    <w:qFormat/>
    <w:uiPriority w:val="0"/>
    <w:rPr>
      <w:rFonts w:ascii="Arial" w:hAnsi="Arial" w:eastAsia="黑体"/>
      <w:b/>
      <w:kern w:val="2"/>
      <w:sz w:val="28"/>
      <w:lang w:val="en-US" w:eastAsia="zh-CN" w:bidi="ar-SA"/>
    </w:rPr>
  </w:style>
  <w:style w:type="character" w:customStyle="1" w:styleId="59">
    <w:name w:val="标题 5 Char1"/>
    <w:link w:val="8"/>
    <w:qFormat/>
    <w:uiPriority w:val="0"/>
    <w:rPr>
      <w:sz w:val="24"/>
    </w:rPr>
  </w:style>
  <w:style w:type="character" w:customStyle="1" w:styleId="60">
    <w:name w:val="标题 6 Char1"/>
    <w:link w:val="10"/>
    <w:qFormat/>
    <w:uiPriority w:val="0"/>
    <w:rPr>
      <w:rFonts w:ascii="宋体" w:hAnsi="Arial" w:eastAsia="宋体"/>
      <w:sz w:val="24"/>
      <w:lang w:val="en-US" w:eastAsia="zh-CN" w:bidi="ar-SA"/>
    </w:rPr>
  </w:style>
  <w:style w:type="character" w:customStyle="1" w:styleId="61">
    <w:name w:val="标题 7 Char1"/>
    <w:link w:val="11"/>
    <w:qFormat/>
    <w:uiPriority w:val="0"/>
    <w:rPr>
      <w:rFonts w:ascii="宋体" w:hAnsi="Arial" w:eastAsia="宋体"/>
      <w:b/>
      <w:sz w:val="24"/>
      <w:lang w:val="en-US" w:eastAsia="zh-CN" w:bidi="ar-SA"/>
    </w:rPr>
  </w:style>
  <w:style w:type="character" w:customStyle="1" w:styleId="62">
    <w:name w:val="标题 8 Char1"/>
    <w:link w:val="12"/>
    <w:qFormat/>
    <w:uiPriority w:val="0"/>
    <w:rPr>
      <w:rFonts w:ascii="Arial" w:hAnsi="Arial" w:eastAsia="黑体"/>
      <w:sz w:val="24"/>
      <w:lang w:val="en-US" w:eastAsia="zh-CN" w:bidi="ar-SA"/>
    </w:rPr>
  </w:style>
  <w:style w:type="character" w:customStyle="1" w:styleId="63">
    <w:name w:val="标题 9 Char1"/>
    <w:link w:val="13"/>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19"/>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29"/>
    <w:qFormat/>
    <w:uiPriority w:val="0"/>
    <w:rPr>
      <w:rFonts w:eastAsia="宋体"/>
      <w:kern w:val="2"/>
      <w:sz w:val="18"/>
      <w:szCs w:val="18"/>
      <w:lang w:val="en-US" w:eastAsia="zh-CN" w:bidi="ar-SA"/>
    </w:rPr>
  </w:style>
  <w:style w:type="character" w:customStyle="1" w:styleId="69">
    <w:name w:val="页脚 Char"/>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8"/>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2"/>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90">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13"/>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5"/>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5"/>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7"/>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7"/>
    <w:qFormat/>
    <w:uiPriority w:val="0"/>
    <w:rPr>
      <w:rFonts w:ascii="Tahoma" w:hAnsi="Tahoma"/>
      <w:sz w:val="24"/>
    </w:rPr>
  </w:style>
  <w:style w:type="paragraph" w:customStyle="1" w:styleId="139">
    <w:name w:val="Char Char Char"/>
    <w:basedOn w:val="17"/>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9"/>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5"/>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5"/>
    <w:link w:val="27"/>
    <w:qFormat/>
    <w:uiPriority w:val="0"/>
    <w:rPr>
      <w:kern w:val="2"/>
      <w:sz w:val="18"/>
      <w:szCs w:val="18"/>
    </w:rPr>
  </w:style>
  <w:style w:type="character" w:customStyle="1" w:styleId="199">
    <w:name w:val="正文文本缩进 3 Char"/>
    <w:basedOn w:val="45"/>
    <w:link w:val="33"/>
    <w:qFormat/>
    <w:uiPriority w:val="0"/>
    <w:rPr>
      <w:kern w:val="2"/>
      <w:sz w:val="16"/>
      <w:szCs w:val="16"/>
    </w:rPr>
  </w:style>
  <w:style w:type="character" w:customStyle="1" w:styleId="200">
    <w:name w:val="HTML 预设格式 Char"/>
    <w:basedOn w:val="45"/>
    <w:link w:val="37"/>
    <w:qFormat/>
    <w:uiPriority w:val="0"/>
    <w:rPr>
      <w:rFonts w:ascii="黑体" w:hAnsi="Courier New" w:eastAsia="黑体" w:cs="Courier New"/>
    </w:rPr>
  </w:style>
  <w:style w:type="character" w:customStyle="1" w:styleId="201">
    <w:name w:val="批注主题 Char"/>
    <w:basedOn w:val="168"/>
    <w:link w:val="41"/>
    <w:qFormat/>
    <w:uiPriority w:val="0"/>
    <w:rPr>
      <w:rFonts w:eastAsia="宋体"/>
      <w:b/>
      <w:bCs/>
      <w:kern w:val="2"/>
      <w:sz w:val="24"/>
      <w:szCs w:val="24"/>
      <w:lang w:val="en-US" w:eastAsia="zh-CN" w:bidi="ar-SA"/>
    </w:rPr>
  </w:style>
  <w:style w:type="character" w:customStyle="1" w:styleId="202">
    <w:name w:val="正文首行缩进 Char"/>
    <w:basedOn w:val="163"/>
    <w:link w:val="3"/>
    <w:qFormat/>
    <w:uiPriority w:val="0"/>
    <w:rPr>
      <w:rFonts w:eastAsia="仿宋_GB2312"/>
      <w:kern w:val="2"/>
      <w:sz w:val="21"/>
      <w:szCs w:val="24"/>
      <w:lang w:val="en-US" w:eastAsia="zh-CN" w:bidi="ar-SA"/>
    </w:rPr>
  </w:style>
  <w:style w:type="character" w:customStyle="1" w:styleId="203">
    <w:name w:val="正文首行缩进 2 Char"/>
    <w:basedOn w:val="66"/>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0"/>
    <w:pPr>
      <w:spacing w:line="440" w:lineRule="exact"/>
      <w:ind w:firstLine="420" w:firstLineChars="200"/>
    </w:pPr>
    <w:rPr>
      <w:rFonts w:eastAsia="仿宋_GB2312"/>
      <w:sz w:val="24"/>
    </w:rPr>
  </w:style>
  <w:style w:type="paragraph" w:customStyle="1" w:styleId="25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5"/>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5"/>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6"/>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88">
    <w:name w:val="批注文字 字符1"/>
    <w:qFormat/>
    <w:uiPriority w:val="0"/>
    <w:rPr>
      <w:rFonts w:eastAsia="宋体"/>
      <w:kern w:val="2"/>
      <w:sz w:val="21"/>
      <w:szCs w:val="24"/>
      <w:lang w:val="en-US" w:eastAsia="zh-CN" w:bidi="ar-SA"/>
    </w:rPr>
  </w:style>
  <w:style w:type="paragraph" w:customStyle="1" w:styleId="289">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0">
    <w:name w:val="标题A"/>
    <w:basedOn w:val="92"/>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1">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2">
    <w:name w:val="未处理的提及2"/>
    <w:basedOn w:val="45"/>
    <w:unhideWhenUsed/>
    <w:qFormat/>
    <w:uiPriority w:val="99"/>
    <w:rPr>
      <w:color w:val="605E5C"/>
      <w:shd w:val="clear" w:color="auto" w:fill="E1DFDD"/>
    </w:rPr>
  </w:style>
  <w:style w:type="paragraph" w:customStyle="1" w:styleId="293">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95">
    <w:name w:val="无间隔1"/>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6">
    <w:name w:val="[Normal]"/>
    <w:qFormat/>
    <w:uiPriority w:val="0"/>
    <w:rPr>
      <w:rFonts w:ascii="宋体" w:hAnsi="宋体" w:eastAsia="宋体" w:cs="Times New Roman"/>
      <w:sz w:val="24"/>
      <w:szCs w:val="22"/>
      <w:lang w:val="zh-CN" w:eastAsia="zh-CN" w:bidi="ar-SA"/>
    </w:rPr>
  </w:style>
  <w:style w:type="paragraph" w:customStyle="1" w:styleId="297">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298">
    <w:name w:val="文档正文"/>
    <w:basedOn w:val="1"/>
    <w:qFormat/>
    <w:uiPriority w:val="99"/>
    <w:rPr>
      <w:rFonts w:ascii="宋体" w:hAnsi="宋体" w:cs="Arial"/>
      <w:bCs/>
      <w:szCs w:val="21"/>
    </w:rPr>
  </w:style>
  <w:style w:type="character" w:customStyle="1" w:styleId="299">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3" textRotate="1"/>
    <customShpInfo spid="_x0000_s2054" textRotate="1"/>
    <customShpInfo spid="_x0000_s2052"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43523</Words>
  <Characters>46465</Characters>
  <Lines>372</Lines>
  <Paragraphs>104</Paragraphs>
  <TotalTime>0</TotalTime>
  <ScaleCrop>false</ScaleCrop>
  <LinksUpToDate>false</LinksUpToDate>
  <CharactersWithSpaces>50188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浅浅</cp:lastModifiedBy>
  <cp:lastPrinted>2023-04-12T07:16:00Z</cp:lastPrinted>
  <dcterms:modified xsi:type="dcterms:W3CDTF">2023-04-17T08:17:32Z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