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hint="eastAsia" w:ascii="隶书" w:hAnsi="Arial" w:eastAsia="隶书" w:cs="Arial"/>
          <w:b/>
          <w:color w:val="auto"/>
          <w:spacing w:val="-12"/>
          <w:sz w:val="48"/>
          <w:szCs w:val="48"/>
          <w:highlight w:val="none"/>
          <w:lang w:eastAsia="zh-CN"/>
        </w:rPr>
      </w:pPr>
    </w:p>
    <w:p>
      <w:pPr>
        <w:jc w:val="center"/>
        <w:outlineLvl w:val="0"/>
        <w:rPr>
          <w:rFonts w:hint="eastAsia" w:ascii="隶书" w:hAnsi="Arial" w:eastAsia="隶书" w:cs="Arial"/>
          <w:b/>
          <w:color w:val="auto"/>
          <w:spacing w:val="-12"/>
          <w:sz w:val="48"/>
          <w:szCs w:val="48"/>
          <w:highlight w:val="none"/>
          <w:lang w:eastAsia="zh-CN"/>
        </w:rPr>
      </w:pPr>
      <w:r>
        <w:rPr>
          <w:rFonts w:hint="eastAsia" w:ascii="隶书" w:hAnsi="Arial" w:eastAsia="隶书" w:cs="Arial"/>
          <w:b/>
          <w:color w:val="auto"/>
          <w:spacing w:val="-12"/>
          <w:sz w:val="52"/>
          <w:szCs w:val="52"/>
          <w:highlight w:val="none"/>
          <w:lang w:eastAsia="zh-CN"/>
        </w:rPr>
        <w:t>曹娥江流域预报调度一体化项目</w:t>
      </w:r>
    </w:p>
    <w:p>
      <w:pPr>
        <w:outlineLvl w:val="0"/>
        <w:rPr>
          <w:rFonts w:ascii="隶书" w:eastAsia="隶书"/>
          <w:color w:val="auto"/>
          <w:sz w:val="44"/>
          <w:highlight w:val="none"/>
        </w:rPr>
      </w:pPr>
    </w:p>
    <w:p>
      <w:pPr>
        <w:pStyle w:val="2"/>
        <w:rPr>
          <w:rFonts w:ascii="隶书" w:eastAsia="隶书"/>
          <w:color w:val="auto"/>
          <w:sz w:val="44"/>
          <w:highlight w:val="none"/>
        </w:rPr>
      </w:pPr>
    </w:p>
    <w:p>
      <w:pPr>
        <w:pStyle w:val="3"/>
        <w:rPr>
          <w:color w:val="auto"/>
          <w:highlight w:val="none"/>
        </w:rPr>
      </w:pPr>
    </w:p>
    <w:p>
      <w:pPr>
        <w:jc w:val="center"/>
        <w:outlineLvl w:val="0"/>
        <w:rPr>
          <w:rFonts w:ascii="隶书" w:hAnsi="Arial" w:eastAsia="隶书" w:cs="Arial"/>
          <w:b/>
          <w:color w:val="auto"/>
          <w:sz w:val="72"/>
          <w:szCs w:val="72"/>
          <w:highlight w:val="none"/>
        </w:rPr>
      </w:pPr>
      <w:r>
        <w:rPr>
          <w:rFonts w:hint="eastAsia" w:ascii="隶书" w:hAnsi="Arial" w:eastAsia="隶书" w:cs="Arial"/>
          <w:b/>
          <w:color w:val="auto"/>
          <w:sz w:val="72"/>
          <w:szCs w:val="72"/>
          <w:highlight w:val="none"/>
        </w:rPr>
        <w:t>公</w:t>
      </w:r>
    </w:p>
    <w:p>
      <w:pPr>
        <w:jc w:val="center"/>
        <w:outlineLvl w:val="0"/>
        <w:rPr>
          <w:rFonts w:ascii="隶书" w:hAnsi="Arial" w:eastAsia="隶书" w:cs="Arial"/>
          <w:b/>
          <w:color w:val="auto"/>
          <w:sz w:val="72"/>
          <w:szCs w:val="72"/>
          <w:highlight w:val="none"/>
        </w:rPr>
      </w:pPr>
      <w:r>
        <w:rPr>
          <w:rFonts w:hint="eastAsia" w:ascii="隶书" w:hAnsi="Arial" w:eastAsia="隶书" w:cs="Arial"/>
          <w:b/>
          <w:color w:val="auto"/>
          <w:sz w:val="72"/>
          <w:szCs w:val="72"/>
          <w:highlight w:val="none"/>
        </w:rPr>
        <w:t>开</w:t>
      </w:r>
    </w:p>
    <w:p>
      <w:pPr>
        <w:jc w:val="center"/>
        <w:outlineLvl w:val="0"/>
        <w:rPr>
          <w:rFonts w:ascii="隶书" w:hAnsi="Arial" w:eastAsia="隶书" w:cs="Arial"/>
          <w:b/>
          <w:color w:val="auto"/>
          <w:sz w:val="72"/>
          <w:szCs w:val="72"/>
          <w:highlight w:val="none"/>
        </w:rPr>
      </w:pPr>
      <w:r>
        <w:rPr>
          <w:rFonts w:hint="eastAsia" w:ascii="隶书" w:hAnsi="Arial" w:eastAsia="隶书" w:cs="Arial"/>
          <w:b/>
          <w:color w:val="auto"/>
          <w:sz w:val="72"/>
          <w:szCs w:val="72"/>
          <w:highlight w:val="none"/>
        </w:rPr>
        <w:t>招</w:t>
      </w:r>
    </w:p>
    <w:p>
      <w:pPr>
        <w:jc w:val="center"/>
        <w:outlineLvl w:val="0"/>
        <w:rPr>
          <w:rFonts w:ascii="隶书" w:hAnsi="Arial" w:eastAsia="隶书" w:cs="Arial"/>
          <w:b/>
          <w:color w:val="auto"/>
          <w:sz w:val="72"/>
          <w:szCs w:val="72"/>
          <w:highlight w:val="none"/>
        </w:rPr>
      </w:pPr>
      <w:r>
        <w:rPr>
          <w:rFonts w:hint="eastAsia" w:ascii="隶书" w:hAnsi="Arial" w:eastAsia="隶书" w:cs="Arial"/>
          <w:b/>
          <w:color w:val="auto"/>
          <w:sz w:val="72"/>
          <w:szCs w:val="72"/>
          <w:highlight w:val="none"/>
        </w:rPr>
        <w:t>标</w:t>
      </w:r>
    </w:p>
    <w:p>
      <w:pPr>
        <w:jc w:val="center"/>
        <w:outlineLvl w:val="0"/>
        <w:rPr>
          <w:rFonts w:ascii="隶书" w:eastAsia="隶书"/>
          <w:b/>
          <w:color w:val="auto"/>
          <w:sz w:val="72"/>
          <w:szCs w:val="72"/>
          <w:highlight w:val="none"/>
        </w:rPr>
      </w:pPr>
      <w:r>
        <w:rPr>
          <w:rFonts w:hint="eastAsia" w:ascii="隶书" w:eastAsia="隶书"/>
          <w:b/>
          <w:color w:val="auto"/>
          <w:sz w:val="72"/>
          <w:szCs w:val="72"/>
          <w:highlight w:val="none"/>
        </w:rPr>
        <w:t>文</w:t>
      </w:r>
    </w:p>
    <w:p>
      <w:pPr>
        <w:jc w:val="center"/>
        <w:outlineLvl w:val="0"/>
        <w:rPr>
          <w:rFonts w:ascii="隶书" w:eastAsia="隶书"/>
          <w:color w:val="auto"/>
          <w:sz w:val="44"/>
          <w:highlight w:val="none"/>
        </w:rPr>
      </w:pPr>
      <w:r>
        <w:rPr>
          <w:rFonts w:hint="eastAsia" w:ascii="隶书" w:eastAsia="隶书"/>
          <w:b/>
          <w:color w:val="auto"/>
          <w:sz w:val="72"/>
          <w:szCs w:val="72"/>
          <w:highlight w:val="none"/>
        </w:rPr>
        <w:t>件</w:t>
      </w:r>
    </w:p>
    <w:p>
      <w:pPr>
        <w:pStyle w:val="5"/>
        <w:numPr>
          <w:ilvl w:val="0"/>
          <w:numId w:val="0"/>
        </w:numPr>
        <w:ind w:left="425" w:leftChars="0"/>
        <w:rPr>
          <w:color w:val="auto"/>
          <w:highlight w:val="none"/>
        </w:rPr>
      </w:pPr>
    </w:p>
    <w:p>
      <w:pPr>
        <w:jc w:val="center"/>
        <w:rPr>
          <w:rFonts w:hint="eastAsia" w:ascii="隶书" w:eastAsia="隶书"/>
          <w:b/>
          <w:color w:val="auto"/>
          <w:sz w:val="28"/>
          <w:szCs w:val="28"/>
          <w:highlight w:val="none"/>
        </w:rPr>
      </w:pPr>
      <w:r>
        <w:rPr>
          <w:rFonts w:hint="eastAsia" w:ascii="隶书" w:eastAsia="隶书"/>
          <w:b/>
          <w:color w:val="auto"/>
          <w:sz w:val="28"/>
          <w:szCs w:val="28"/>
          <w:highlight w:val="none"/>
        </w:rPr>
        <w:t>招标编号:CGSHZJ-2022-N000697</w:t>
      </w:r>
    </w:p>
    <w:tbl>
      <w:tblPr>
        <w:tblStyle w:val="41"/>
        <w:tblW w:w="7801" w:type="dxa"/>
        <w:jc w:val="center"/>
        <w:tblLayout w:type="fixed"/>
        <w:tblCellMar>
          <w:top w:w="0" w:type="dxa"/>
          <w:left w:w="108" w:type="dxa"/>
          <w:bottom w:w="0" w:type="dxa"/>
          <w:right w:w="108" w:type="dxa"/>
        </w:tblCellMar>
      </w:tblPr>
      <w:tblGrid>
        <w:gridCol w:w="2356"/>
        <w:gridCol w:w="5445"/>
      </w:tblGrid>
      <w:tr>
        <w:tblPrEx>
          <w:tblCellMar>
            <w:top w:w="0" w:type="dxa"/>
            <w:left w:w="108" w:type="dxa"/>
            <w:bottom w:w="0" w:type="dxa"/>
            <w:right w:w="108" w:type="dxa"/>
          </w:tblCellMar>
        </w:tblPrEx>
        <w:trPr>
          <w:trHeight w:val="443" w:hRule="atLeast"/>
          <w:jc w:val="center"/>
        </w:trPr>
        <w:tc>
          <w:tcPr>
            <w:tcW w:w="2356" w:type="dxa"/>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pacing w:val="93"/>
                <w:kern w:val="0"/>
                <w:sz w:val="28"/>
                <w:szCs w:val="28"/>
                <w:highlight w:val="none"/>
              </w:rPr>
              <w:t>采购单</w:t>
            </w:r>
            <w:r>
              <w:rPr>
                <w:rFonts w:hint="eastAsia" w:ascii="隶书" w:hAnsi="宋体" w:eastAsia="隶书"/>
                <w:color w:val="auto"/>
                <w:spacing w:val="1"/>
                <w:kern w:val="0"/>
                <w:sz w:val="28"/>
                <w:szCs w:val="28"/>
                <w:highlight w:val="none"/>
              </w:rPr>
              <w:t>位</w:t>
            </w:r>
            <w:r>
              <w:rPr>
                <w:rFonts w:hint="eastAsia" w:ascii="隶书" w:hAnsi="宋体" w:eastAsia="隶书"/>
                <w:color w:val="auto"/>
                <w:sz w:val="28"/>
                <w:szCs w:val="28"/>
                <w:highlight w:val="none"/>
              </w:rPr>
              <w:t>：</w:t>
            </w:r>
          </w:p>
        </w:tc>
        <w:tc>
          <w:tcPr>
            <w:tcW w:w="5445" w:type="dxa"/>
            <w:vAlign w:val="center"/>
          </w:tcPr>
          <w:p>
            <w:pPr>
              <w:spacing w:line="320" w:lineRule="exact"/>
              <w:outlineLvl w:val="0"/>
              <w:rPr>
                <w:rFonts w:hint="eastAsia" w:ascii="隶书" w:hAnsi="宋体" w:eastAsia="隶书"/>
                <w:color w:val="auto"/>
                <w:sz w:val="28"/>
                <w:szCs w:val="28"/>
                <w:highlight w:val="none"/>
                <w:lang w:eastAsia="zh-CN"/>
              </w:rPr>
            </w:pPr>
            <w:r>
              <w:rPr>
                <w:rFonts w:hint="eastAsia" w:ascii="隶书" w:hAnsi="宋体" w:eastAsia="隶书"/>
                <w:color w:val="auto"/>
                <w:sz w:val="28"/>
                <w:szCs w:val="28"/>
                <w:highlight w:val="none"/>
                <w:lang w:eastAsia="zh-CN"/>
              </w:rPr>
              <w:t>绍兴市防汛防旱应急保障中心</w:t>
            </w:r>
          </w:p>
        </w:tc>
      </w:tr>
      <w:tr>
        <w:tblPrEx>
          <w:tblCellMar>
            <w:top w:w="0" w:type="dxa"/>
            <w:left w:w="108" w:type="dxa"/>
            <w:bottom w:w="0" w:type="dxa"/>
            <w:right w:w="108" w:type="dxa"/>
          </w:tblCellMar>
        </w:tblPrEx>
        <w:trPr>
          <w:trHeight w:val="494" w:hRule="atLeast"/>
          <w:jc w:val="center"/>
        </w:trPr>
        <w:tc>
          <w:tcPr>
            <w:tcW w:w="2356" w:type="dxa"/>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pacing w:val="0"/>
                <w:w w:val="100"/>
                <w:kern w:val="0"/>
                <w:sz w:val="28"/>
                <w:szCs w:val="28"/>
                <w:highlight w:val="none"/>
                <w:fitText w:val="1680" w:id="1390965561"/>
              </w:rPr>
              <w:t>采购代理机构</w:t>
            </w:r>
            <w:r>
              <w:rPr>
                <w:rFonts w:hint="eastAsia" w:ascii="隶书" w:hAnsi="宋体" w:eastAsia="隶书"/>
                <w:color w:val="auto"/>
                <w:sz w:val="28"/>
                <w:szCs w:val="28"/>
                <w:highlight w:val="none"/>
              </w:rPr>
              <w:t>：</w:t>
            </w:r>
          </w:p>
        </w:tc>
        <w:tc>
          <w:tcPr>
            <w:tcW w:w="5445" w:type="dxa"/>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z w:val="28"/>
                <w:szCs w:val="28"/>
                <w:highlight w:val="none"/>
              </w:rPr>
              <w:t>浙江翔实建设项目管理有限公司</w:t>
            </w:r>
          </w:p>
        </w:tc>
      </w:tr>
      <w:tr>
        <w:tblPrEx>
          <w:tblCellMar>
            <w:top w:w="0" w:type="dxa"/>
            <w:left w:w="108" w:type="dxa"/>
            <w:bottom w:w="0" w:type="dxa"/>
            <w:right w:w="108" w:type="dxa"/>
          </w:tblCellMar>
        </w:tblPrEx>
        <w:trPr>
          <w:trHeight w:val="397" w:hRule="atLeast"/>
          <w:jc w:val="center"/>
        </w:trPr>
        <w:tc>
          <w:tcPr>
            <w:tcW w:w="2356" w:type="dxa"/>
            <w:vMerge w:val="restart"/>
            <w:vAlign w:val="center"/>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pacing w:val="93"/>
                <w:kern w:val="0"/>
                <w:sz w:val="28"/>
                <w:szCs w:val="28"/>
                <w:highlight w:val="none"/>
                <w:fitText w:val="1680" w:id="1"/>
              </w:rPr>
              <w:t>监督单</w:t>
            </w:r>
            <w:r>
              <w:rPr>
                <w:rFonts w:hint="eastAsia" w:ascii="隶书" w:hAnsi="宋体" w:eastAsia="隶书"/>
                <w:color w:val="auto"/>
                <w:spacing w:val="1"/>
                <w:kern w:val="0"/>
                <w:sz w:val="28"/>
                <w:szCs w:val="28"/>
                <w:highlight w:val="none"/>
                <w:fitText w:val="1680" w:id="1"/>
              </w:rPr>
              <w:t>位</w:t>
            </w:r>
            <w:r>
              <w:rPr>
                <w:rFonts w:hint="eastAsia" w:ascii="隶书" w:hAnsi="宋体" w:eastAsia="隶书"/>
                <w:color w:val="auto"/>
                <w:sz w:val="28"/>
                <w:szCs w:val="28"/>
                <w:highlight w:val="none"/>
              </w:rPr>
              <w:t>：</w:t>
            </w:r>
          </w:p>
        </w:tc>
        <w:tc>
          <w:tcPr>
            <w:tcW w:w="5445" w:type="dxa"/>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z w:val="28"/>
                <w:szCs w:val="28"/>
                <w:highlight w:val="none"/>
              </w:rPr>
              <w:t>绍兴市财政局</w:t>
            </w:r>
          </w:p>
        </w:tc>
      </w:tr>
      <w:tr>
        <w:tblPrEx>
          <w:tblCellMar>
            <w:top w:w="0" w:type="dxa"/>
            <w:left w:w="108" w:type="dxa"/>
            <w:bottom w:w="0" w:type="dxa"/>
            <w:right w:w="108" w:type="dxa"/>
          </w:tblCellMar>
        </w:tblPrEx>
        <w:trPr>
          <w:trHeight w:val="397" w:hRule="atLeast"/>
          <w:jc w:val="center"/>
        </w:trPr>
        <w:tc>
          <w:tcPr>
            <w:tcW w:w="2356" w:type="dxa"/>
            <w:vMerge w:val="continue"/>
          </w:tcPr>
          <w:p>
            <w:pPr>
              <w:spacing w:after="100" w:afterAutospacing="1" w:line="440" w:lineRule="exact"/>
              <w:rPr>
                <w:rFonts w:ascii="隶书" w:hAnsi="宋体" w:eastAsia="隶书"/>
                <w:color w:val="auto"/>
                <w:sz w:val="28"/>
                <w:szCs w:val="28"/>
                <w:highlight w:val="none"/>
              </w:rPr>
            </w:pPr>
          </w:p>
        </w:tc>
        <w:tc>
          <w:tcPr>
            <w:tcW w:w="5445" w:type="dxa"/>
          </w:tcPr>
          <w:p>
            <w:pPr>
              <w:spacing w:after="100" w:afterAutospacing="1" w:line="440" w:lineRule="exact"/>
              <w:rPr>
                <w:rFonts w:ascii="隶书" w:hAnsi="宋体" w:eastAsia="隶书"/>
                <w:color w:val="auto"/>
                <w:sz w:val="28"/>
                <w:szCs w:val="28"/>
                <w:highlight w:val="none"/>
              </w:rPr>
            </w:pPr>
            <w:r>
              <w:rPr>
                <w:rFonts w:hint="eastAsia" w:ascii="隶书" w:hAnsi="宋体" w:eastAsia="隶书"/>
                <w:color w:val="auto"/>
                <w:sz w:val="28"/>
                <w:szCs w:val="28"/>
                <w:highlight w:val="none"/>
              </w:rPr>
              <w:t>绍兴市政务服务办公室</w:t>
            </w:r>
          </w:p>
        </w:tc>
      </w:tr>
      <w:tr>
        <w:tblPrEx>
          <w:tblCellMar>
            <w:top w:w="0" w:type="dxa"/>
            <w:left w:w="108" w:type="dxa"/>
            <w:bottom w:w="0" w:type="dxa"/>
            <w:right w:w="108" w:type="dxa"/>
          </w:tblCellMar>
        </w:tblPrEx>
        <w:trPr>
          <w:trHeight w:val="333" w:hRule="atLeast"/>
          <w:jc w:val="center"/>
        </w:trPr>
        <w:tc>
          <w:tcPr>
            <w:tcW w:w="7801" w:type="dxa"/>
            <w:gridSpan w:val="2"/>
          </w:tcPr>
          <w:p>
            <w:pPr>
              <w:spacing w:after="100" w:afterAutospacing="1" w:line="440" w:lineRule="exact"/>
              <w:jc w:val="center"/>
              <w:rPr>
                <w:rFonts w:ascii="隶书" w:hAnsi="宋体" w:eastAsia="隶书"/>
                <w:color w:val="auto"/>
                <w:sz w:val="28"/>
                <w:szCs w:val="28"/>
                <w:highlight w:val="none"/>
              </w:rPr>
            </w:pPr>
            <w:r>
              <w:rPr>
                <w:rFonts w:hint="eastAsia" w:ascii="隶书" w:eastAsia="隶书"/>
                <w:color w:val="auto"/>
                <w:sz w:val="28"/>
                <w:szCs w:val="28"/>
                <w:highlight w:val="none"/>
              </w:rPr>
              <w:t>二○二二年四月</w:t>
            </w:r>
          </w:p>
        </w:tc>
      </w:tr>
    </w:tbl>
    <w:p>
      <w:pPr>
        <w:pageBreakBefore/>
        <w:jc w:val="center"/>
        <w:rPr>
          <w:rFonts w:ascii="隶书" w:eastAsia="隶书"/>
          <w:b/>
          <w:color w:val="auto"/>
          <w:sz w:val="44"/>
          <w:szCs w:val="44"/>
          <w:highlight w:val="none"/>
        </w:rPr>
      </w:pPr>
      <w:r>
        <w:rPr>
          <w:rFonts w:hint="eastAsia" w:ascii="隶书" w:eastAsia="隶书"/>
          <w:b/>
          <w:color w:val="auto"/>
          <w:sz w:val="44"/>
          <w:szCs w:val="44"/>
          <w:highlight w:val="none"/>
        </w:rPr>
        <w:t xml:space="preserve">  </w:t>
      </w:r>
    </w:p>
    <w:p>
      <w:pPr>
        <w:jc w:val="center"/>
        <w:rPr>
          <w:rFonts w:ascii="隶书" w:eastAsia="隶书"/>
          <w:b/>
          <w:color w:val="auto"/>
          <w:sz w:val="44"/>
          <w:szCs w:val="44"/>
          <w:highlight w:val="none"/>
        </w:rPr>
      </w:pPr>
    </w:p>
    <w:p>
      <w:pPr>
        <w:jc w:val="center"/>
        <w:rPr>
          <w:rFonts w:ascii="仿宋_GB2312" w:eastAsia="仿宋_GB2312"/>
          <w:b/>
          <w:color w:val="auto"/>
          <w:sz w:val="44"/>
          <w:szCs w:val="44"/>
          <w:highlight w:val="none"/>
        </w:rPr>
      </w:pPr>
      <w:r>
        <w:rPr>
          <w:rFonts w:hint="eastAsia" w:ascii="仿宋_GB2312" w:eastAsia="仿宋_GB2312"/>
          <w:b/>
          <w:color w:val="auto"/>
          <w:sz w:val="44"/>
          <w:szCs w:val="44"/>
          <w:highlight w:val="none"/>
        </w:rPr>
        <w:t>目录</w:t>
      </w:r>
    </w:p>
    <w:p>
      <w:pPr>
        <w:jc w:val="center"/>
        <w:rPr>
          <w:rFonts w:ascii="隶书" w:eastAsia="隶书"/>
          <w:b/>
          <w:color w:val="auto"/>
          <w:sz w:val="44"/>
          <w:szCs w:val="44"/>
          <w:highlight w:val="none"/>
        </w:rPr>
      </w:pPr>
    </w:p>
    <w:p>
      <w:pPr>
        <w:jc w:val="center"/>
        <w:rPr>
          <w:rFonts w:ascii="隶书" w:eastAsia="隶书"/>
          <w:color w:val="auto"/>
          <w:highlight w:val="none"/>
        </w:rPr>
      </w:pP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第一部分    招标公告</w:t>
      </w: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第二部分    投标须知</w:t>
      </w: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第三部分    招标项目范围及要求</w:t>
      </w: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第四部分    合同的主要条款</w:t>
      </w: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第五部分    评标方法及标准</w:t>
      </w:r>
    </w:p>
    <w:p>
      <w:pPr>
        <w:snapToGrid w:val="0"/>
        <w:spacing w:line="480" w:lineRule="auto"/>
        <w:ind w:firstLine="1807" w:firstLineChars="500"/>
        <w:jc w:val="left"/>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第六部分    投标文件及其附件格式</w:t>
      </w:r>
    </w:p>
    <w:p>
      <w:pPr>
        <w:snapToGrid w:val="0"/>
        <w:spacing w:line="480" w:lineRule="auto"/>
        <w:jc w:val="left"/>
        <w:rPr>
          <w:rFonts w:ascii="仿宋_GB2312" w:hAnsi="宋体" w:eastAsia="仿宋_GB2312"/>
          <w:color w:val="auto"/>
          <w:sz w:val="36"/>
          <w:szCs w:val="36"/>
          <w:highlight w:val="none"/>
        </w:rPr>
      </w:pPr>
    </w:p>
    <w:p>
      <w:pPr>
        <w:snapToGrid w:val="0"/>
        <w:spacing w:line="480" w:lineRule="auto"/>
        <w:jc w:val="left"/>
        <w:rPr>
          <w:rFonts w:ascii="仿宋_GB2312" w:hAnsi="宋体" w:eastAsia="仿宋_GB2312"/>
          <w:color w:val="auto"/>
          <w:sz w:val="36"/>
          <w:szCs w:val="36"/>
          <w:highlight w:val="none"/>
        </w:rPr>
      </w:pPr>
    </w:p>
    <w:p>
      <w:pPr>
        <w:snapToGrid w:val="0"/>
        <w:spacing w:line="480" w:lineRule="auto"/>
        <w:jc w:val="left"/>
        <w:rPr>
          <w:rFonts w:ascii="仿宋_GB2312" w:hAnsi="宋体" w:eastAsia="仿宋_GB2312"/>
          <w:color w:val="auto"/>
          <w:sz w:val="36"/>
          <w:szCs w:val="36"/>
          <w:highlight w:val="none"/>
        </w:rPr>
      </w:pPr>
    </w:p>
    <w:p>
      <w:pPr>
        <w:snapToGrid w:val="0"/>
        <w:spacing w:line="480" w:lineRule="auto"/>
        <w:jc w:val="left"/>
        <w:rPr>
          <w:rFonts w:ascii="仿宋_GB2312" w:hAnsi="宋体" w:eastAsia="仿宋_GB2312"/>
          <w:color w:val="auto"/>
          <w:sz w:val="36"/>
          <w:szCs w:val="36"/>
          <w:highlight w:val="none"/>
        </w:rPr>
      </w:pPr>
    </w:p>
    <w:p>
      <w:pPr>
        <w:snapToGrid w:val="0"/>
        <w:spacing w:line="480" w:lineRule="auto"/>
        <w:jc w:val="left"/>
        <w:rPr>
          <w:rFonts w:ascii="仿宋_GB2312" w:hAnsi="宋体" w:eastAsia="仿宋_GB2312"/>
          <w:color w:val="auto"/>
          <w:sz w:val="36"/>
          <w:szCs w:val="36"/>
          <w:highlight w:val="none"/>
        </w:rPr>
      </w:pPr>
    </w:p>
    <w:p>
      <w:pPr>
        <w:pageBreakBefore/>
        <w:widowControl/>
        <w:jc w:val="center"/>
        <w:rPr>
          <w:rFonts w:ascii="仿宋_GB2312" w:eastAsia="仿宋_GB2312"/>
          <w:b/>
          <w:color w:val="auto"/>
          <w:sz w:val="36"/>
          <w:szCs w:val="36"/>
          <w:highlight w:val="none"/>
        </w:rPr>
      </w:pPr>
      <w:r>
        <w:rPr>
          <w:rFonts w:hint="eastAsia" w:ascii="仿宋_GB2312" w:eastAsia="仿宋_GB2312"/>
          <w:b/>
          <w:color w:val="auto"/>
          <w:sz w:val="36"/>
          <w:szCs w:val="36"/>
          <w:highlight w:val="none"/>
        </w:rPr>
        <w:t>第一部分 招标公告</w:t>
      </w:r>
    </w:p>
    <w:tbl>
      <w:tblPr>
        <w:tblStyle w:val="41"/>
        <w:tblW w:w="8279" w:type="dxa"/>
        <w:tblInd w:w="0" w:type="dxa"/>
        <w:tblLayout w:type="fixed"/>
        <w:tblCellMar>
          <w:top w:w="0" w:type="dxa"/>
          <w:left w:w="0" w:type="dxa"/>
          <w:bottom w:w="0" w:type="dxa"/>
          <w:right w:w="0" w:type="dxa"/>
        </w:tblCellMar>
      </w:tblPr>
      <w:tblGrid>
        <w:gridCol w:w="8279"/>
      </w:tblGrid>
      <w:tr>
        <w:tblPrEx>
          <w:tblCellMar>
            <w:top w:w="0" w:type="dxa"/>
            <w:left w:w="0" w:type="dxa"/>
            <w:bottom w:w="0" w:type="dxa"/>
            <w:right w:w="0" w:type="dxa"/>
          </w:tblCellMar>
        </w:tblPrEx>
        <w:tc>
          <w:tcPr>
            <w:tcW w:w="8279" w:type="dxa"/>
            <w:vAlign w:val="center"/>
          </w:tcPr>
          <w:p>
            <w:pPr>
              <w:rPr>
                <w:color w:val="auto"/>
                <w:highlight w:val="none"/>
              </w:rPr>
            </w:pPr>
            <w:r>
              <w:rPr>
                <w:rFonts w:ascii="仿宋_GB2312" w:hAnsi="新宋体" w:eastAsia="仿宋_GB2312"/>
                <w:color w:val="auto"/>
                <w:highlight w:val="none"/>
              </w:rPr>
              <w:br w:type="page"/>
            </w:r>
          </w:p>
          <w:tbl>
            <w:tblPr>
              <w:tblStyle w:val="41"/>
              <w:tblW w:w="80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1" w:hRule="atLeast"/>
              </w:trPr>
              <w:tc>
                <w:tcPr>
                  <w:tcW w:w="8070" w:type="dxa"/>
                </w:tcPr>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项目概况：</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lang w:eastAsia="zh-CN"/>
                    </w:rPr>
                    <w:t>曹娥江流域预报调度一体化项目</w:t>
                  </w:r>
                  <w:r>
                    <w:rPr>
                      <w:rFonts w:hint="eastAsia" w:ascii="仿宋_GB2312" w:hAnsi="新宋体" w:eastAsia="仿宋_GB2312"/>
                      <w:color w:val="auto"/>
                      <w:szCs w:val="24"/>
                      <w:highlight w:val="none"/>
                    </w:rPr>
                    <w:t>的潜在投标人应在</w:t>
                  </w:r>
                  <w:r>
                    <w:rPr>
                      <w:rStyle w:val="276"/>
                      <w:rFonts w:ascii="仿宋" w:hAnsi="仿宋"/>
                      <w:color w:val="auto"/>
                      <w:sz w:val="27"/>
                      <w:szCs w:val="27"/>
                      <w:highlight w:val="none"/>
                    </w:rPr>
                    <w:t>https://www.zcygov.cn</w:t>
                  </w:r>
                  <w:r>
                    <w:rPr>
                      <w:rFonts w:hint="eastAsia" w:ascii="仿宋_GB2312" w:hAnsi="新宋体" w:eastAsia="仿宋_GB2312"/>
                      <w:color w:val="auto"/>
                      <w:szCs w:val="24"/>
                      <w:highlight w:val="none"/>
                    </w:rPr>
                    <w:t>获取（下载）招标文件，并于2022年</w:t>
                  </w:r>
                  <w:r>
                    <w:rPr>
                      <w:rFonts w:hint="eastAsia" w:ascii="仿宋_GB2312" w:hAnsi="新宋体" w:eastAsia="仿宋_GB2312"/>
                      <w:color w:val="auto"/>
                      <w:szCs w:val="24"/>
                      <w:highlight w:val="none"/>
                      <w:lang w:val="en-US" w:eastAsia="zh-CN"/>
                    </w:rPr>
                    <w:t>5</w:t>
                  </w:r>
                  <w:r>
                    <w:rPr>
                      <w:rFonts w:hint="eastAsia" w:ascii="仿宋_GB2312" w:hAnsi="新宋体" w:eastAsia="仿宋_GB2312"/>
                      <w:color w:val="auto"/>
                      <w:szCs w:val="24"/>
                      <w:highlight w:val="none"/>
                    </w:rPr>
                    <w:t>月</w:t>
                  </w:r>
                  <w:r>
                    <w:rPr>
                      <w:rFonts w:hint="eastAsia" w:ascii="仿宋_GB2312" w:hAnsi="新宋体" w:eastAsia="仿宋_GB2312"/>
                      <w:color w:val="auto"/>
                      <w:szCs w:val="24"/>
                      <w:highlight w:val="none"/>
                      <w:lang w:val="en-US" w:eastAsia="zh-CN"/>
                    </w:rPr>
                    <w:t>30</w:t>
                  </w:r>
                  <w:r>
                    <w:rPr>
                      <w:rFonts w:hint="eastAsia" w:ascii="仿宋_GB2312" w:hAnsi="新宋体" w:eastAsia="仿宋_GB2312"/>
                      <w:color w:val="auto"/>
                      <w:szCs w:val="24"/>
                      <w:highlight w:val="none"/>
                    </w:rPr>
                    <w:t>日 09:00（北京时间）前递交（上传）投标文件。</w:t>
                  </w:r>
                </w:p>
              </w:tc>
            </w:tr>
          </w:tbl>
          <w:p>
            <w:pPr>
              <w:pStyle w:val="67"/>
              <w:spacing w:afterLines="0" w:line="440" w:lineRule="exact"/>
              <w:ind w:firstLine="480"/>
              <w:jc w:val="left"/>
              <w:rPr>
                <w:rFonts w:ascii="仿宋_GB2312" w:hAnsi="新宋体" w:eastAsia="仿宋_GB2312"/>
                <w:color w:val="auto"/>
                <w:szCs w:val="24"/>
                <w:highlight w:val="none"/>
              </w:rPr>
            </w:pPr>
            <w:r>
              <w:rPr>
                <w:rFonts w:hint="eastAsia" w:ascii="仿宋_GB2312" w:hAnsi="新宋体" w:eastAsia="仿宋_GB2312"/>
                <w:color w:val="auto"/>
                <w:szCs w:val="24"/>
                <w:highlight w:val="none"/>
              </w:rPr>
              <w:t>一、项目基本情况</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项目编号：</w:t>
            </w:r>
            <w:r>
              <w:rPr>
                <w:rFonts w:hint="eastAsia" w:ascii="仿宋_GB2312" w:hAnsi="新宋体" w:eastAsia="仿宋_GB2312"/>
                <w:color w:val="auto"/>
                <w:szCs w:val="24"/>
                <w:highlight w:val="none"/>
                <w:lang w:eastAsia="zh-CN"/>
              </w:rPr>
              <w:t>CGSHZJ-2022-N000697</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项目名称：</w:t>
            </w:r>
            <w:r>
              <w:rPr>
                <w:rFonts w:hint="eastAsia" w:ascii="仿宋_GB2312" w:hAnsi="新宋体" w:eastAsia="仿宋_GB2312"/>
                <w:color w:val="auto"/>
                <w:szCs w:val="24"/>
                <w:highlight w:val="none"/>
                <w:lang w:eastAsia="zh-CN"/>
              </w:rPr>
              <w:t>曹娥江流域预报调度一体化项目</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采购方式：公开招标</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预算金额（元）：</w:t>
            </w:r>
            <w:r>
              <w:rPr>
                <w:rFonts w:hint="eastAsia" w:ascii="仿宋_GB2312" w:hAnsi="新宋体" w:eastAsia="仿宋_GB2312"/>
                <w:color w:val="auto"/>
                <w:szCs w:val="24"/>
                <w:highlight w:val="none"/>
                <w:lang w:eastAsia="zh-CN"/>
              </w:rPr>
              <w:t>7400000</w:t>
            </w:r>
          </w:p>
          <w:p>
            <w:pPr>
              <w:pStyle w:val="67"/>
              <w:spacing w:afterLines="0" w:line="440" w:lineRule="exact"/>
              <w:ind w:firstLine="480"/>
              <w:rPr>
                <w:rFonts w:hint="eastAsia" w:ascii="微软雅黑" w:hAnsi="微软雅黑" w:eastAsia="仿宋_GB2312"/>
                <w:color w:val="auto"/>
                <w:sz w:val="21"/>
                <w:szCs w:val="21"/>
                <w:highlight w:val="none"/>
                <w:shd w:val="clear" w:color="auto" w:fill="F5FAFF"/>
                <w:lang w:eastAsia="zh-CN"/>
              </w:rPr>
            </w:pPr>
            <w:r>
              <w:rPr>
                <w:rFonts w:hint="eastAsia" w:ascii="仿宋_GB2312" w:hAnsi="新宋体" w:eastAsia="仿宋_GB2312"/>
                <w:color w:val="auto"/>
                <w:szCs w:val="24"/>
                <w:highlight w:val="none"/>
              </w:rPr>
              <w:t>最高限价（元）：</w:t>
            </w:r>
            <w:r>
              <w:rPr>
                <w:rFonts w:hint="eastAsia" w:ascii="仿宋_GB2312" w:hAnsi="新宋体" w:eastAsia="仿宋_GB2312"/>
                <w:color w:val="auto"/>
                <w:szCs w:val="24"/>
                <w:highlight w:val="none"/>
                <w:lang w:eastAsia="zh-CN"/>
              </w:rPr>
              <w:t>7400000</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采购需求：</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标项一:</w:t>
            </w:r>
            <w:r>
              <w:rPr>
                <w:rFonts w:hint="eastAsia" w:ascii="仿宋_GB2312" w:hAnsi="新宋体" w:eastAsia="仿宋_GB2312"/>
                <w:color w:val="auto"/>
                <w:szCs w:val="24"/>
                <w:highlight w:val="none"/>
              </w:rPr>
              <w:br w:type="textWrapping"/>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标项名称:</w:t>
            </w:r>
            <w:r>
              <w:rPr>
                <w:rFonts w:hint="eastAsia" w:ascii="仿宋_GB2312" w:hAnsi="新宋体" w:eastAsia="仿宋_GB2312"/>
                <w:color w:val="auto"/>
                <w:szCs w:val="24"/>
                <w:highlight w:val="none"/>
                <w:lang w:eastAsia="zh-CN"/>
              </w:rPr>
              <w:t>曹娥江流域预报调度一体化项目</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数量:1</w:t>
            </w:r>
            <w:r>
              <w:rPr>
                <w:rFonts w:hint="eastAsia" w:ascii="仿宋_GB2312" w:hAnsi="新宋体" w:eastAsia="仿宋_GB2312"/>
                <w:color w:val="auto"/>
                <w:szCs w:val="24"/>
                <w:highlight w:val="none"/>
              </w:rPr>
              <w:br w:type="textWrapping"/>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预算金额（元）:</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lang w:eastAsia="zh-CN"/>
              </w:rPr>
              <w:t>7400000</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br w:type="textWrapping"/>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简要规格描述或项目基本概况介绍、用途：详见采购文件</w:t>
            </w:r>
            <w:r>
              <w:rPr>
                <w:rFonts w:hint="eastAsia" w:ascii="仿宋_GB2312" w:hAnsi="新宋体" w:eastAsia="仿宋_GB2312"/>
                <w:color w:val="auto"/>
                <w:szCs w:val="24"/>
                <w:highlight w:val="none"/>
                <w:lang w:eastAsia="zh-CN"/>
              </w:rPr>
              <w:t>。</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br w:type="textWrapping"/>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备注：无</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合同履约期限：详见采购文件。</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本项目（是）接受联合体投标。</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二、申请人的资格要求：</w:t>
            </w:r>
          </w:p>
          <w:p>
            <w:pPr>
              <w:pStyle w:val="67"/>
              <w:spacing w:after="120" w:line="440" w:lineRule="exact"/>
              <w:ind w:firstLine="480"/>
              <w:jc w:val="left"/>
              <w:rPr>
                <w:rFonts w:ascii="仿宋_GB2312" w:hAnsi="新宋体" w:eastAsia="仿宋_GB2312"/>
                <w:color w:val="auto"/>
                <w:szCs w:val="24"/>
                <w:highlight w:val="none"/>
              </w:rPr>
            </w:pPr>
            <w:r>
              <w:rPr>
                <w:rFonts w:hint="eastAsia" w:ascii="仿宋_GB2312" w:hAnsi="新宋体" w:eastAsia="仿宋_GB2312"/>
                <w:color w:val="auto"/>
                <w:szCs w:val="24"/>
                <w:highlight w:val="none"/>
              </w:rPr>
              <w:t>1.符合《中华人民共和国政府采购法》第二十二条的规定 ；未被“信用中国”（www.creditchina.gov.cn）、中国政府采购网（www.ccgp.gov.cn）列入失信被执行人、重大税收违法案件当事人名单、政府采购严重违法失信行为记录名单。</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2.落实政府采购政策需满足的资格要求：</w:t>
            </w:r>
          </w:p>
          <w:p>
            <w:pPr>
              <w:pStyle w:val="67"/>
              <w:spacing w:afterLines="0" w:line="440" w:lineRule="exact"/>
              <w:ind w:firstLine="480"/>
              <w:rPr>
                <w:rFonts w:ascii="仿宋_GB2312" w:hAnsi="新宋体" w:eastAsia="仿宋_GB2312"/>
                <w:color w:val="auto"/>
                <w:szCs w:val="24"/>
                <w:highlight w:val="none"/>
              </w:rPr>
            </w:pPr>
            <w:sdt>
              <w:sdtPr>
                <w:rPr>
                  <w:rFonts w:hint="eastAsia" w:ascii="仿宋_GB2312" w:hAnsi="仿宋" w:eastAsia="仿宋_GB2312" w:cs="Arial"/>
                  <w:color w:val="auto"/>
                  <w:highlight w:val="none"/>
                </w:rPr>
                <w:id w:val="725337177"/>
              </w:sdtPr>
              <w:sdtEndPr>
                <w:rPr>
                  <w:rFonts w:hint="eastAsia" w:ascii="仿宋_GB2312" w:hAnsi="仿宋" w:eastAsia="仿宋_GB2312" w:cs="Arial"/>
                  <w:color w:val="auto"/>
                  <w:highlight w:val="none"/>
                </w:rPr>
              </w:sdtEndPr>
              <w:sdtContent>
                <w:r>
                  <w:rPr>
                    <w:rFonts w:hint="eastAsia" w:ascii="仿宋_GB2312" w:hAnsi="MS Gothic" w:eastAsia="仿宋_GB2312" w:cs="Arial"/>
                    <w:color w:val="auto"/>
                    <w:highlight w:val="none"/>
                  </w:rPr>
                  <w:sym w:font="Wingdings" w:char="F0FE"/>
                </w:r>
              </w:sdtContent>
            </w:sdt>
            <w:r>
              <w:rPr>
                <w:rFonts w:hint="eastAsia" w:ascii="仿宋_GB2312" w:hAnsi="仿宋" w:eastAsia="仿宋_GB2312"/>
                <w:color w:val="auto"/>
                <w:highlight w:val="none"/>
              </w:rPr>
              <w:t>无；</w:t>
            </w:r>
          </w:p>
          <w:p>
            <w:pPr>
              <w:spacing w:line="360" w:lineRule="auto"/>
              <w:ind w:firstLine="480" w:firstLineChars="200"/>
              <w:rPr>
                <w:rFonts w:ascii="仿宋_GB2312" w:hAnsi="仿宋" w:eastAsia="仿宋_GB2312"/>
                <w:color w:val="auto"/>
                <w:sz w:val="24"/>
                <w:highlight w:val="none"/>
              </w:rPr>
            </w:pPr>
            <w:r>
              <w:rPr>
                <w:rFonts w:ascii="MS Gothic" w:hAnsi="MS Gothic" w:eastAsia="MS Gothic" w:cs="Arial"/>
                <w:color w:val="auto"/>
                <w:kern w:val="0"/>
                <w:sz w:val="24"/>
                <w:highlight w:val="none"/>
              </w:rPr>
              <w:t>☐</w:t>
            </w:r>
            <w:r>
              <w:rPr>
                <w:rFonts w:hint="eastAsia" w:ascii="仿宋_GB2312" w:hAnsi="仿宋" w:eastAsia="仿宋_GB2312" w:cs="Arial"/>
                <w:color w:val="auto"/>
                <w:kern w:val="0"/>
                <w:sz w:val="24"/>
                <w:highlight w:val="none"/>
              </w:rPr>
              <w:t>专</w:t>
            </w:r>
            <w:r>
              <w:rPr>
                <w:rFonts w:hint="eastAsia" w:ascii="仿宋_GB2312" w:hAnsi="仿宋" w:eastAsia="仿宋_GB2312"/>
                <w:color w:val="auto"/>
                <w:sz w:val="24"/>
                <w:highlight w:val="none"/>
              </w:rPr>
              <w:t>门面向中小企业</w:t>
            </w:r>
          </w:p>
          <w:p>
            <w:pPr>
              <w:spacing w:line="360" w:lineRule="auto"/>
              <w:ind w:firstLine="897" w:firstLineChars="374"/>
              <w:rPr>
                <w:rFonts w:ascii="仿宋_GB2312" w:hAnsi="仿宋" w:eastAsia="仿宋_GB2312"/>
                <w:color w:val="auto"/>
                <w:sz w:val="24"/>
                <w:highlight w:val="none"/>
              </w:rPr>
            </w:pPr>
            <w:r>
              <w:rPr>
                <w:rFonts w:ascii="MS Gothic" w:hAnsi="MS Gothic" w:eastAsia="MS Gothic" w:cs="Arial"/>
                <w:color w:val="auto"/>
                <w:kern w:val="0"/>
                <w:sz w:val="24"/>
                <w:highlight w:val="none"/>
              </w:rPr>
              <w:t>☐</w:t>
            </w:r>
            <w:r>
              <w:rPr>
                <w:rFonts w:hint="eastAsia" w:ascii="仿宋_GB2312" w:hAnsi="仿宋" w:eastAsia="仿宋_GB2312"/>
                <w:color w:val="auto"/>
                <w:sz w:val="24"/>
                <w:highlight w:val="none"/>
              </w:rPr>
              <w:t>货物全部由符合政策要求的中小企业制造，提供中小企业声明函；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2365989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09"/>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sdtContent>
            </w:sdt>
            <w:r>
              <w:rPr>
                <w:rFonts w:hint="eastAsia" w:ascii="仿宋_GB2312" w:hAnsi="仿宋" w:eastAsia="仿宋_GB2312"/>
                <w:color w:val="auto"/>
                <w:sz w:val="24"/>
                <w:highlight w:val="none"/>
              </w:rPr>
              <w:t>货物全部由符合政策要求的小微企业制造，提供中小企业声明函；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06902902"/>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11"/>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sdtContent>
            </w:sdt>
            <w:r>
              <w:rPr>
                <w:rFonts w:hint="eastAsia" w:ascii="仿宋_GB2312" w:hAnsi="仿宋" w:eastAsia="仿宋_GB2312"/>
                <w:color w:val="auto"/>
                <w:sz w:val="24"/>
                <w:highlight w:val="none"/>
              </w:rPr>
              <w:t>服务全部由符合政策要求的中小企业承接，提供中小企业声明函；</w:t>
            </w:r>
          </w:p>
          <w:p>
            <w:pPr>
              <w:spacing w:line="360" w:lineRule="auto"/>
              <w:ind w:firstLine="897" w:firstLineChars="374"/>
              <w:rPr>
                <w:rFonts w:hint="eastAsia"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469594122"/>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13"/>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sdtContent>
            </w:sdt>
            <w:r>
              <w:rPr>
                <w:rFonts w:hint="eastAsia" w:ascii="仿宋_GB2312" w:hAnsi="仿宋" w:eastAsia="仿宋_GB2312"/>
                <w:color w:val="auto"/>
                <w:sz w:val="24"/>
                <w:highlight w:val="none"/>
              </w:rPr>
              <w:t>服务全部由符合政策要求的小微企业承接，提供中小企业声明函；</w:t>
            </w:r>
          </w:p>
          <w:p>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60369722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15"/>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sdtContent>
            </w:sdt>
            <w:r>
              <w:rPr>
                <w:rFonts w:hint="eastAsia" w:ascii="仿宋_GB2312" w:hAnsi="仿宋" w:eastAsia="仿宋_GB2312"/>
                <w:color w:val="auto"/>
                <w:sz w:val="24"/>
                <w:highlight w:val="none"/>
              </w:rPr>
              <w:t>要求以联合体形式参加，提供联合协议和中小企业声明函，联合协议中中小企业合同金额应当达到</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%，小微企业合同金额应当达到</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w:t>
            </w:r>
            <w:r>
              <w:rPr>
                <w:rFonts w:hint="eastAsia" w:ascii="仿宋_GB2312" w:hAnsi="仿宋" w:eastAsia="仿宋_GB2312"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_GB2312" w:hAnsi="仿宋" w:eastAsia="仿宋_GB2312"/>
                <w:color w:val="auto"/>
                <w:sz w:val="24"/>
                <w:highlight w:val="none"/>
              </w:rPr>
              <w:t>；</w:t>
            </w:r>
          </w:p>
          <w:p>
            <w:pPr>
              <w:spacing w:line="360" w:lineRule="auto"/>
              <w:ind w:firstLine="480" w:firstLineChars="200"/>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4630645"/>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17"/>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sdtContent>
            </w:sdt>
            <w:r>
              <w:rPr>
                <w:rFonts w:hint="eastAsia" w:ascii="仿宋_GB2312" w:hAnsi="仿宋" w:eastAsia="仿宋_GB2312"/>
                <w:color w:val="auto"/>
                <w:sz w:val="24"/>
                <w:highlight w:val="none"/>
              </w:rPr>
              <w:t>要求合同分包，提供分包意向协议和中小企业声明函，分包意向协议中中小企业合同金额应当达到达到</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 ，小微企业合同金额应当达到</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 ;</w:t>
            </w:r>
            <w:r>
              <w:rPr>
                <w:rFonts w:hint="eastAsia" w:ascii="仿宋_GB2312" w:hAnsi="仿宋" w:eastAsia="仿宋_GB2312"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_GB2312" w:hAnsi="仿宋" w:eastAsia="仿宋_GB2312"/>
                <w:color w:val="auto"/>
                <w:sz w:val="24"/>
                <w:highlight w:val="none"/>
              </w:rPr>
              <w:t>；</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3.本项目的特定资格要求：无</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三、获取招标文件</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时间：/至2022年</w:t>
            </w:r>
            <w:r>
              <w:rPr>
                <w:rFonts w:hint="eastAsia" w:ascii="仿宋_GB2312" w:hAnsi="新宋体" w:eastAsia="仿宋_GB2312"/>
                <w:color w:val="auto"/>
                <w:szCs w:val="24"/>
                <w:highlight w:val="none"/>
                <w:lang w:val="en-US" w:eastAsia="zh-CN"/>
              </w:rPr>
              <w:t>5</w:t>
            </w:r>
            <w:r>
              <w:rPr>
                <w:rFonts w:hint="eastAsia" w:ascii="仿宋_GB2312" w:hAnsi="新宋体" w:eastAsia="仿宋_GB2312"/>
                <w:color w:val="auto"/>
                <w:szCs w:val="24"/>
                <w:highlight w:val="none"/>
              </w:rPr>
              <w:t>月</w:t>
            </w:r>
            <w:r>
              <w:rPr>
                <w:rFonts w:hint="eastAsia" w:ascii="仿宋_GB2312" w:hAnsi="新宋体" w:eastAsia="仿宋_GB2312"/>
                <w:color w:val="auto"/>
                <w:szCs w:val="24"/>
                <w:highlight w:val="none"/>
                <w:lang w:val="en-US" w:eastAsia="zh-CN"/>
              </w:rPr>
              <w:t>30</w:t>
            </w:r>
            <w:r>
              <w:rPr>
                <w:rFonts w:hint="eastAsia" w:ascii="仿宋_GB2312" w:hAnsi="新宋体" w:eastAsia="仿宋_GB2312"/>
                <w:color w:val="auto"/>
                <w:szCs w:val="24"/>
                <w:highlight w:val="none"/>
              </w:rPr>
              <w:t>日，每天上午00:00至12:00，下午12:00至23:59（北京时间，线上获取法定节假日均可，线下获取文件法定节假日除外）</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地点（网址）：</w:t>
            </w:r>
            <w:r>
              <w:rPr>
                <w:rFonts w:ascii="仿宋_GB2312" w:hAnsi="新宋体" w:eastAsia="仿宋_GB2312" w:cs="Arial"/>
                <w:bCs/>
                <w:color w:val="auto"/>
                <w:highlight w:val="none"/>
              </w:rPr>
              <w:t>http://www</w:t>
            </w:r>
            <w:r>
              <w:rPr>
                <w:rFonts w:hint="eastAsia" w:ascii="仿宋_GB2312" w:hAnsi="新宋体" w:eastAsia="仿宋_GB2312" w:cs="Arial"/>
                <w:bCs/>
                <w:color w:val="auto"/>
                <w:highlight w:val="none"/>
              </w:rPr>
              <w:t>.</w:t>
            </w:r>
            <w:r>
              <w:rPr>
                <w:rFonts w:ascii="仿宋_GB2312" w:hAnsi="新宋体" w:eastAsia="仿宋_GB2312" w:cs="Arial"/>
                <w:bCs/>
                <w:color w:val="auto"/>
                <w:highlight w:val="none"/>
              </w:rPr>
              <w:t>zcygov.cn/</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方式：</w:t>
            </w:r>
            <w:r>
              <w:rPr>
                <w:rFonts w:hint="eastAsia" w:ascii="仿宋_GB2312" w:hAnsi="新宋体" w:eastAsia="仿宋_GB2312" w:cs="Arial"/>
                <w:bCs/>
                <w:color w:val="auto"/>
                <w:highlight w:val="none"/>
              </w:rPr>
              <w:t>供应商登陆政采云平台</w:t>
            </w:r>
            <w:r>
              <w:rPr>
                <w:rFonts w:ascii="仿宋_GB2312" w:hAnsi="新宋体" w:eastAsia="仿宋_GB2312" w:cs="Arial"/>
                <w:bCs/>
                <w:color w:val="auto"/>
                <w:highlight w:val="none"/>
              </w:rPr>
              <w:t>http://www</w:t>
            </w:r>
            <w:r>
              <w:rPr>
                <w:rFonts w:hint="eastAsia" w:ascii="仿宋_GB2312" w:hAnsi="新宋体" w:eastAsia="仿宋_GB2312" w:cs="Arial"/>
                <w:bCs/>
                <w:color w:val="auto"/>
                <w:highlight w:val="none"/>
              </w:rPr>
              <w:t>.</w:t>
            </w:r>
            <w:r>
              <w:rPr>
                <w:rFonts w:ascii="仿宋_GB2312" w:hAnsi="新宋体" w:eastAsia="仿宋_GB2312" w:cs="Arial"/>
                <w:bCs/>
                <w:color w:val="auto"/>
                <w:highlight w:val="none"/>
              </w:rPr>
              <w:t>zcygov.cn/</w:t>
            </w:r>
            <w:r>
              <w:rPr>
                <w:rFonts w:hint="eastAsia" w:ascii="仿宋_GB2312" w:hAnsi="新宋体" w:eastAsia="仿宋_GB2312" w:cs="Arial"/>
                <w:bCs/>
                <w:color w:val="auto"/>
                <w:highlight w:val="none"/>
              </w:rPr>
              <w:t>，在线申请获取采购文件（进入“项目采购”应用，在获取采购文件菜单中选择项目，申请获取采购文件）</w:t>
            </w:r>
            <w:r>
              <w:rPr>
                <w:rFonts w:ascii="仿宋_GB2312" w:hAnsi="新宋体" w:eastAsia="仿宋_GB2312" w:cs="Arial"/>
                <w:bCs/>
                <w:color w:val="auto"/>
                <w:highlight w:val="none"/>
              </w:rPr>
              <w:t>。</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售价（元）：0</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四、提交投标文件截止时间、开标时间和地点</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提交投标文件截止时间：2022年</w:t>
            </w:r>
            <w:r>
              <w:rPr>
                <w:rFonts w:hint="eastAsia" w:ascii="仿宋_GB2312" w:hAnsi="新宋体" w:eastAsia="仿宋_GB2312"/>
                <w:color w:val="auto"/>
                <w:szCs w:val="24"/>
                <w:highlight w:val="none"/>
                <w:lang w:val="en-US" w:eastAsia="zh-CN"/>
              </w:rPr>
              <w:t>5</w:t>
            </w:r>
            <w:r>
              <w:rPr>
                <w:rFonts w:hint="eastAsia" w:ascii="仿宋_GB2312" w:hAnsi="新宋体" w:eastAsia="仿宋_GB2312"/>
                <w:color w:val="auto"/>
                <w:szCs w:val="24"/>
                <w:highlight w:val="none"/>
              </w:rPr>
              <w:t>月</w:t>
            </w:r>
            <w:r>
              <w:rPr>
                <w:rFonts w:hint="eastAsia" w:ascii="仿宋_GB2312" w:hAnsi="新宋体" w:eastAsia="仿宋_GB2312"/>
                <w:color w:val="auto"/>
                <w:szCs w:val="24"/>
                <w:highlight w:val="none"/>
                <w:lang w:val="en-US" w:eastAsia="zh-CN"/>
              </w:rPr>
              <w:t>30</w:t>
            </w:r>
            <w:r>
              <w:rPr>
                <w:rFonts w:hint="eastAsia" w:ascii="仿宋_GB2312" w:hAnsi="新宋体" w:eastAsia="仿宋_GB2312"/>
                <w:color w:val="auto"/>
                <w:szCs w:val="24"/>
                <w:highlight w:val="none"/>
              </w:rPr>
              <w:t>日 09:00（北京时间）</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投标地点（网址）：</w:t>
            </w:r>
            <w:r>
              <w:rPr>
                <w:rFonts w:ascii="仿宋_GB2312" w:hAnsi="新宋体" w:eastAsia="仿宋_GB2312" w:cs="Arial"/>
                <w:bCs/>
                <w:color w:val="auto"/>
                <w:highlight w:val="none"/>
              </w:rPr>
              <w:t>http://www</w:t>
            </w:r>
            <w:r>
              <w:rPr>
                <w:rFonts w:hint="eastAsia" w:ascii="仿宋_GB2312" w:hAnsi="新宋体" w:eastAsia="仿宋_GB2312" w:cs="Arial"/>
                <w:bCs/>
                <w:color w:val="auto"/>
                <w:highlight w:val="none"/>
              </w:rPr>
              <w:t>.</w:t>
            </w:r>
            <w:r>
              <w:rPr>
                <w:rFonts w:ascii="仿宋_GB2312" w:hAnsi="新宋体" w:eastAsia="仿宋_GB2312" w:cs="Arial"/>
                <w:bCs/>
                <w:color w:val="auto"/>
                <w:highlight w:val="none"/>
              </w:rPr>
              <w:t>zcygov.cn/</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 xml:space="preserve">开标时间：2022年 </w:t>
            </w:r>
            <w:r>
              <w:rPr>
                <w:rFonts w:hint="eastAsia" w:ascii="仿宋_GB2312" w:hAnsi="新宋体" w:eastAsia="仿宋_GB2312"/>
                <w:color w:val="auto"/>
                <w:szCs w:val="24"/>
                <w:highlight w:val="none"/>
                <w:lang w:val="en-US" w:eastAsia="zh-CN"/>
              </w:rPr>
              <w:t>5</w:t>
            </w:r>
            <w:r>
              <w:rPr>
                <w:rFonts w:hint="eastAsia" w:ascii="仿宋_GB2312" w:hAnsi="新宋体" w:eastAsia="仿宋_GB2312"/>
                <w:color w:val="auto"/>
                <w:szCs w:val="24"/>
                <w:highlight w:val="none"/>
              </w:rPr>
              <w:t>月</w:t>
            </w:r>
            <w:r>
              <w:rPr>
                <w:rFonts w:hint="eastAsia" w:ascii="仿宋_GB2312" w:hAnsi="新宋体" w:eastAsia="仿宋_GB2312"/>
                <w:color w:val="auto"/>
                <w:szCs w:val="24"/>
                <w:highlight w:val="none"/>
                <w:lang w:val="en-US" w:eastAsia="zh-CN"/>
              </w:rPr>
              <w:t>30</w:t>
            </w:r>
            <w:r>
              <w:rPr>
                <w:rFonts w:hint="eastAsia" w:ascii="仿宋_GB2312" w:hAnsi="新宋体" w:eastAsia="仿宋_GB2312"/>
                <w:color w:val="auto"/>
                <w:szCs w:val="24"/>
                <w:highlight w:val="none"/>
              </w:rPr>
              <w:t>日 09:00</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开标地点（网址）：绍兴市迪荡新城惠利街20号鼎盛时代大厦四楼绍兴市公共资源交易中心41</w:t>
            </w:r>
            <w:r>
              <w:rPr>
                <w:rFonts w:hint="eastAsia" w:ascii="仿宋_GB2312" w:hAnsi="新宋体" w:eastAsia="仿宋_GB2312"/>
                <w:color w:val="auto"/>
                <w:szCs w:val="24"/>
                <w:highlight w:val="none"/>
                <w:lang w:val="en-US" w:eastAsia="zh-CN"/>
              </w:rPr>
              <w:t>5</w:t>
            </w:r>
            <w:r>
              <w:rPr>
                <w:rFonts w:ascii="仿宋_GB2312" w:hAnsi="新宋体" w:eastAsia="仿宋_GB2312"/>
                <w:color w:val="auto"/>
                <w:szCs w:val="24"/>
                <w:highlight w:val="none"/>
              </w:rPr>
              <w:t xml:space="preserve"> </w:t>
            </w:r>
            <w:r>
              <w:rPr>
                <w:rFonts w:hint="eastAsia" w:ascii="仿宋_GB2312" w:hAnsi="新宋体" w:eastAsia="仿宋_GB2312"/>
                <w:color w:val="auto"/>
                <w:szCs w:val="24"/>
                <w:highlight w:val="none"/>
              </w:rPr>
              <w:t>室，在政府采购云平台（www.zcygov.cn）上开启响应文件。</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五、公告期限</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自本公告发布之日起5个工作日。</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六、其他补充事宜</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2.其他事项：</w:t>
            </w:r>
            <w:r>
              <w:rPr>
                <w:rFonts w:ascii="仿宋_GB2312" w:hAnsi="仿宋" w:eastAsia="仿宋_GB2312"/>
                <w:color w:val="auto"/>
                <w:highlight w:val="none"/>
              </w:rPr>
              <w:t>电子招投标的说明：</w:t>
            </w:r>
            <w:r>
              <w:rPr>
                <w:rFonts w:hint="eastAsia" w:ascii="仿宋_GB2312" w:hAnsi="仿宋" w:eastAsia="仿宋_GB2312" w:cs="仿宋_GB2312"/>
                <w:color w:val="auto"/>
                <w:highlight w:val="none"/>
              </w:rPr>
              <w:t>①</w:t>
            </w:r>
            <w:r>
              <w:rPr>
                <w:rFonts w:ascii="仿宋_GB2312" w:hAnsi="仿宋" w:eastAsia="仿宋_GB2312" w:cs="仿宋_GB2312"/>
                <w:color w:val="auto"/>
                <w:highlight w:val="none"/>
              </w:rPr>
              <w:t>电子招投标：本项目以数据电文形式，依托“政府采购云平台（www.zcygov.cn）”进行招投标活动，不接受纸质投标文件</w:t>
            </w:r>
            <w:r>
              <w:rPr>
                <w:rFonts w:hint="eastAsia" w:ascii="仿宋_GB2312" w:hAnsi="仿宋" w:eastAsia="仿宋_GB2312" w:cs="仿宋_GB2312"/>
                <w:color w:val="auto"/>
                <w:highlight w:val="none"/>
              </w:rPr>
              <w:t>；②</w:t>
            </w:r>
            <w:r>
              <w:rPr>
                <w:rFonts w:ascii="仿宋_GB2312" w:hAnsi="仿宋" w:eastAsia="仿宋_GB2312" w:cs="仿宋_GB2312"/>
                <w:color w:val="auto"/>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color w:val="auto"/>
                <w:highlight w:val="none"/>
              </w:rPr>
              <w:t>采云电子交易客户端”</w:t>
            </w:r>
            <w:r>
              <w:rPr>
                <w:rFonts w:ascii="仿宋_GB2312" w:hAnsi="仿宋" w:eastAsia="仿宋_GB2312" w:cs="仿宋_GB2312"/>
                <w:color w:val="auto"/>
                <w:highlight w:val="none"/>
              </w:rPr>
              <w:t>----前往“浙江政府采购网-下载专区-电子交易客户端”进行下载并安装</w:t>
            </w:r>
            <w:r>
              <w:rPr>
                <w:rFonts w:hint="eastAsia" w:ascii="仿宋_GB2312" w:hAnsi="仿宋" w:eastAsia="仿宋_GB2312" w:cs="仿宋_GB2312"/>
                <w:color w:val="auto"/>
                <w:highlight w:val="none"/>
              </w:rPr>
              <w:t>；③</w:t>
            </w:r>
            <w:r>
              <w:rPr>
                <w:rFonts w:ascii="仿宋_GB2312" w:hAnsi="仿宋" w:eastAsia="仿宋_GB2312" w:cs="仿宋_GB2312"/>
                <w:color w:val="auto"/>
                <w:highlight w:val="none"/>
              </w:rPr>
              <w:t>招标文件的获取：使用账号登录或者使用CA登录政</w:t>
            </w:r>
            <w:r>
              <w:rPr>
                <w:rFonts w:hint="eastAsia" w:ascii="仿宋_GB2312" w:hAnsi="仿宋" w:eastAsia="仿宋_GB2312" w:cs="仿宋_GB2312"/>
                <w:color w:val="auto"/>
                <w:highlight w:val="none"/>
              </w:rPr>
              <w:t>采云平台；进入“项目采购”应用，在获取采购文件菜单中选择项目，获取招标文件；④</w:t>
            </w:r>
            <w:r>
              <w:rPr>
                <w:rFonts w:ascii="仿宋_GB2312" w:hAnsi="仿宋" w:eastAsia="仿宋_GB2312" w:cs="仿宋_GB2312"/>
                <w:color w:val="auto"/>
                <w:highlight w:val="none"/>
              </w:rPr>
              <w:t>投标文件的制作：在“政</w:t>
            </w:r>
            <w:r>
              <w:rPr>
                <w:rFonts w:hint="eastAsia" w:ascii="仿宋_GB2312" w:hAnsi="仿宋" w:eastAsia="仿宋_GB2312" w:cs="仿宋_GB2312"/>
                <w:color w:val="auto"/>
                <w:highlight w:val="none"/>
              </w:rPr>
              <w:t>采云电子交易客户端”中完成“填写基本信息”、“导入投标文件”、“标书关联”、“标书检查”、“电子签名”、“生成电子标书”等操作；</w:t>
            </w:r>
            <w:r>
              <w:rPr>
                <w:rFonts w:hint="eastAsia" w:ascii="仿宋_GB2312" w:hAnsi="仿宋" w:eastAsia="仿宋_GB2312"/>
                <w:color w:val="auto"/>
                <w:highlight w:val="none"/>
              </w:rPr>
              <w:t>⑤</w:t>
            </w:r>
            <w:r>
              <w:rPr>
                <w:rFonts w:ascii="仿宋_GB2312" w:hAnsi="仿宋" w:eastAsia="仿宋_GB2312"/>
                <w:color w:val="auto"/>
                <w:highlight w:val="none"/>
              </w:rPr>
              <w:t>采购人、采购机构将依托政</w:t>
            </w:r>
            <w:r>
              <w:rPr>
                <w:rFonts w:hint="eastAsia" w:ascii="仿宋_GB2312" w:hAnsi="仿宋" w:eastAsia="仿宋_GB2312"/>
                <w:color w:val="auto"/>
                <w:highlight w:val="none"/>
              </w:rPr>
              <w:t>采云平台完成本项目的电子交易活动，平台不接受未按上述方式获取招标文件的供应商进行投标活动；</w:t>
            </w:r>
            <w:r>
              <w:rPr>
                <w:rFonts w:ascii="仿宋_GB2312" w:hAnsi="仿宋" w:eastAsia="仿宋_GB2312"/>
                <w:color w:val="auto"/>
                <w:highlight w:val="none"/>
              </w:rPr>
              <w:t xml:space="preserve"> </w:t>
            </w:r>
            <w:r>
              <w:rPr>
                <w:rFonts w:hint="eastAsia" w:ascii="仿宋_GB2312" w:hAnsi="仿宋" w:eastAsia="仿宋_GB2312"/>
                <w:color w:val="auto"/>
                <w:highlight w:val="none"/>
              </w:rPr>
              <w:t>⑥</w:t>
            </w:r>
            <w:r>
              <w:rPr>
                <w:rFonts w:ascii="仿宋_GB2312" w:hAnsi="仿宋" w:eastAsia="仿宋_GB2312"/>
                <w:color w:val="auto"/>
                <w:highlight w:val="none"/>
              </w:rPr>
              <w:t>对未按上述方式获取招标文件的供应商对该文件提出的质疑，采购人或采购代理机构将</w:t>
            </w:r>
            <w:r>
              <w:rPr>
                <w:rFonts w:hint="eastAsia" w:ascii="仿宋_GB2312" w:hAnsi="仿宋" w:eastAsia="仿宋_GB2312"/>
                <w:color w:val="auto"/>
                <w:highlight w:val="none"/>
              </w:rPr>
              <w:t>不予处理；⑦</w:t>
            </w:r>
            <w:r>
              <w:rPr>
                <w:rFonts w:ascii="仿宋_GB2312" w:hAnsi="仿宋" w:eastAsia="仿宋_GB2312"/>
                <w:color w:val="auto"/>
                <w:highlight w:val="none"/>
              </w:rPr>
              <w:t>不提供招标文件纸质版</w:t>
            </w:r>
            <w:r>
              <w:rPr>
                <w:rFonts w:hint="eastAsia" w:ascii="仿宋_GB2312" w:hAnsi="仿宋" w:eastAsia="仿宋_GB2312"/>
                <w:color w:val="auto"/>
                <w:highlight w:val="none"/>
              </w:rPr>
              <w:t>；</w:t>
            </w:r>
            <w:r>
              <w:rPr>
                <w:rFonts w:hint="eastAsia" w:ascii="仿宋_GB2312" w:hAnsi="仿宋" w:eastAsia="仿宋_GB2312" w:cs="仿宋_GB2312"/>
                <w:color w:val="auto"/>
                <w:highlight w:val="none"/>
              </w:rPr>
              <w:t>⑧</w:t>
            </w:r>
            <w:r>
              <w:rPr>
                <w:rFonts w:ascii="仿宋_GB2312" w:hAnsi="仿宋" w:eastAsia="仿宋_GB2312" w:cs="仿宋_GB2312"/>
                <w:color w:val="auto"/>
                <w:highlight w:val="none"/>
              </w:rPr>
              <w:t>投标文件的传输递交：投标人在投标截止时间前将加密的投标文件上传至政府采购云平台</w:t>
            </w:r>
            <w:r>
              <w:rPr>
                <w:rFonts w:hint="eastAsia" w:ascii="仿宋_GB2312" w:hAnsi="仿宋" w:eastAsia="仿宋_GB2312" w:cs="仿宋_GB2312"/>
                <w:color w:val="auto"/>
                <w:highlight w:val="none"/>
              </w:rPr>
              <w:t>；</w:t>
            </w:r>
            <w:r>
              <w:rPr>
                <w:rFonts w:hint="eastAsia" w:ascii="仿宋_GB2312" w:hAnsi="仿宋" w:eastAsia="仿宋_GB2312"/>
                <w:color w:val="auto"/>
                <w:highlight w:val="none"/>
              </w:rPr>
              <w:t>⑨</w:t>
            </w:r>
            <w:r>
              <w:rPr>
                <w:rFonts w:hint="eastAsia" w:ascii="仿宋_GB2312" w:hAnsi="仿宋" w:eastAsia="仿宋_GB2312" w:cs="仿宋_GB2312"/>
                <w:color w:val="auto"/>
                <w:highlight w:val="none"/>
              </w:rPr>
              <w:t>投标文件的解密：投标人按照平台提示和招标文件的规定在半小时内完成在线解密。通过“政府采购云平台”上传递交的投标文件无法按时解密，视为投标文件撤回；⑩</w:t>
            </w:r>
            <w:r>
              <w:rPr>
                <w:rFonts w:ascii="仿宋_GB2312" w:hAnsi="仿宋" w:eastAsia="仿宋_GB2312" w:cs="仿宋_GB2312"/>
                <w:color w:val="auto"/>
                <w:highlight w:val="none"/>
              </w:rPr>
              <w:t>具体操作指南：详见政</w:t>
            </w:r>
            <w:r>
              <w:rPr>
                <w:rFonts w:hint="eastAsia" w:ascii="仿宋_GB2312" w:hAnsi="仿宋" w:eastAsia="仿宋_GB2312" w:cs="仿宋_GB2312"/>
                <w:color w:val="auto"/>
                <w:highlight w:val="none"/>
              </w:rPr>
              <w:t>采云平台“服务中心</w:t>
            </w:r>
            <w:r>
              <w:rPr>
                <w:rFonts w:ascii="仿宋_GB2312" w:hAnsi="仿宋" w:eastAsia="仿宋_GB2312" w:cs="仿宋_GB2312"/>
                <w:color w:val="auto"/>
                <w:highlight w:val="none"/>
              </w:rPr>
              <w:t>-帮助文档-项目采购-操作流程-电子招投标-政府采购项目电子交易管理操作指南-供应商”。</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七、对本次采购提出询问、质疑、投诉，请按以下方式联系</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1.采购人信息</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名称：</w:t>
            </w:r>
            <w:r>
              <w:rPr>
                <w:rFonts w:hint="eastAsia" w:ascii="仿宋_GB2312" w:hAnsi="新宋体" w:eastAsia="仿宋_GB2312"/>
                <w:color w:val="auto"/>
                <w:szCs w:val="24"/>
                <w:highlight w:val="none"/>
                <w:lang w:eastAsia="zh-CN"/>
              </w:rPr>
              <w:t>绍兴市防汛防旱应急保障中心</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地址：绍兴市洋江西路589号</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传真：</w:t>
            </w:r>
            <w:r>
              <w:rPr>
                <w:rFonts w:hint="eastAsia" w:ascii="仿宋_GB2312" w:hAnsi="新宋体" w:eastAsia="仿宋_GB2312"/>
                <w:color w:val="auto"/>
                <w:szCs w:val="24"/>
                <w:highlight w:val="none"/>
                <w:lang w:val="en-US" w:eastAsia="zh-CN"/>
              </w:rPr>
              <w:t>/</w:t>
            </w:r>
            <w:r>
              <w:rPr>
                <w:rFonts w:ascii="仿宋_GB2312" w:hAnsi="新宋体" w:eastAsia="仿宋_GB2312"/>
                <w:color w:val="auto"/>
                <w:szCs w:val="24"/>
                <w:highlight w:val="none"/>
              </w:rPr>
              <w:t> </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项目联系人（询问）：</w:t>
            </w:r>
            <w:r>
              <w:rPr>
                <w:rFonts w:hint="eastAsia" w:ascii="仿宋_GB2312" w:hAnsi="新宋体" w:eastAsia="仿宋_GB2312"/>
                <w:color w:val="auto"/>
                <w:szCs w:val="24"/>
                <w:highlight w:val="none"/>
                <w:lang w:val="en-US" w:eastAsia="zh-CN"/>
              </w:rPr>
              <w:t xml:space="preserve"> 代俊玲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项目联系方式（询问）：0575-85179623 </w:t>
            </w:r>
            <w:r>
              <w:rPr>
                <w:rFonts w:hint="eastAsia" w:ascii="仿宋_GB2312" w:hAnsi="新宋体" w:eastAsia="仿宋_GB2312"/>
                <w:color w:val="auto"/>
                <w:szCs w:val="24"/>
                <w:highlight w:val="none"/>
                <w:lang w:val="en-US" w:eastAsia="zh-CN"/>
              </w:rPr>
              <w:t xml:space="preserve"> </w:t>
            </w:r>
            <w:r>
              <w:rPr>
                <w:rFonts w:ascii="仿宋_GB2312" w:hAnsi="新宋体" w:eastAsia="仿宋_GB2312"/>
                <w:color w:val="auto"/>
                <w:szCs w:val="24"/>
                <w:highlight w:val="none"/>
              </w:rPr>
              <w:t> </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质疑联系人：</w:t>
            </w:r>
            <w:r>
              <w:rPr>
                <w:rFonts w:hint="eastAsia" w:ascii="仿宋_GB2312" w:hAnsi="新宋体" w:eastAsia="仿宋_GB2312"/>
                <w:color w:val="auto"/>
                <w:szCs w:val="24"/>
                <w:highlight w:val="none"/>
                <w:lang w:val="en-US" w:eastAsia="zh-CN"/>
              </w:rPr>
              <w:t xml:space="preserve"> 徐侃 </w:t>
            </w:r>
          </w:p>
          <w:p>
            <w:pPr>
              <w:pStyle w:val="67"/>
              <w:spacing w:afterLines="0" w:line="440" w:lineRule="exact"/>
              <w:ind w:firstLine="480"/>
              <w:rPr>
                <w:rFonts w:hint="eastAsia" w:ascii="仿宋_GB2312" w:hAnsi="新宋体" w:eastAsia="仿宋_GB2312"/>
                <w:color w:val="auto"/>
                <w:szCs w:val="24"/>
                <w:highlight w:val="none"/>
                <w:lang w:eastAsia="zh-CN"/>
              </w:rPr>
            </w:pPr>
            <w:r>
              <w:rPr>
                <w:rFonts w:hint="eastAsia" w:ascii="仿宋_GB2312" w:hAnsi="新宋体" w:eastAsia="仿宋_GB2312"/>
                <w:color w:val="auto"/>
                <w:szCs w:val="24"/>
                <w:highlight w:val="none"/>
              </w:rPr>
              <w:t>质疑联系方式：</w:t>
            </w:r>
            <w:r>
              <w:rPr>
                <w:rFonts w:hint="eastAsia" w:ascii="仿宋_GB2312" w:hAnsi="新宋体" w:eastAsia="仿宋_GB2312"/>
                <w:color w:val="auto"/>
                <w:szCs w:val="24"/>
                <w:highlight w:val="none"/>
                <w:lang w:val="en-US" w:eastAsia="zh-CN"/>
              </w:rPr>
              <w:t>0575-85167757</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 xml:space="preserve">2.采购代理机构信息 </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名称：浙江翔实建设项目管理有限公司</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地址：绍兴市越城区阳明北路692号</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传真：</w:t>
            </w:r>
            <w:r>
              <w:rPr>
                <w:rFonts w:hint="eastAsia" w:ascii="仿宋_GB2312" w:hAnsi="新宋体" w:eastAsia="仿宋_GB2312"/>
                <w:color w:val="auto"/>
                <w:szCs w:val="24"/>
                <w:highlight w:val="none"/>
                <w:lang w:val="en-US" w:eastAsia="zh-CN"/>
              </w:rPr>
              <w:t>/</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项目联系人（询问）：丁诗哲</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项目联系方式（询问）：0575-88682896/13857501150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质疑联系人：孙莉 </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质疑联系方式：0575-88976639　　　　　　</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 xml:space="preserve">3.同级政府采购监督管理部门 </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名称：绍兴市财政局</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地址：绍兴市越城区凤林西路151号</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传真：0575-85209697</w:t>
            </w:r>
            <w:r>
              <w:rPr>
                <w:rFonts w:ascii="仿宋_GB2312" w:hAnsi="新宋体" w:eastAsia="仿宋_GB2312"/>
                <w:color w:val="auto"/>
                <w:szCs w:val="24"/>
                <w:highlight w:val="none"/>
              </w:rPr>
              <w:t>       </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联系人 ：宋晓林</w:t>
            </w:r>
            <w:r>
              <w:rPr>
                <w:rFonts w:ascii="仿宋_GB2312" w:hAnsi="新宋体" w:eastAsia="仿宋_GB2312"/>
                <w:color w:val="auto"/>
                <w:szCs w:val="24"/>
                <w:highlight w:val="none"/>
              </w:rPr>
              <w:t>       </w:t>
            </w:r>
          </w:p>
          <w:p>
            <w:pPr>
              <w:pStyle w:val="67"/>
              <w:spacing w:afterLines="0" w:line="440" w:lineRule="exact"/>
              <w:ind w:firstLine="480"/>
              <w:jc w:val="left"/>
              <w:rPr>
                <w:rFonts w:ascii="仿宋_GB2312" w:hAnsi="新宋体" w:eastAsia="仿宋_GB2312"/>
                <w:color w:val="auto"/>
                <w:szCs w:val="24"/>
                <w:highlight w:val="none"/>
              </w:rPr>
            </w:pPr>
            <w:r>
              <w:rPr>
                <w:rFonts w:hint="eastAsia" w:ascii="仿宋_GB2312" w:hAnsi="新宋体" w:eastAsia="仿宋_GB2312"/>
                <w:color w:val="auto"/>
                <w:szCs w:val="24"/>
                <w:highlight w:val="none"/>
              </w:rPr>
              <w:t>监督投诉电话：0575-85209697</w:t>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br w:type="textWrapping"/>
            </w:r>
            <w:r>
              <w:rPr>
                <w:rFonts w:ascii="仿宋_GB2312" w:hAnsi="新宋体" w:eastAsia="仿宋_GB2312"/>
                <w:color w:val="auto"/>
                <w:szCs w:val="24"/>
                <w:highlight w:val="none"/>
              </w:rPr>
              <w:t>  </w:t>
            </w:r>
            <w:r>
              <w:rPr>
                <w:rFonts w:hint="eastAsia" w:ascii="仿宋_GB2312" w:hAnsi="新宋体" w:eastAsia="仿宋_GB2312"/>
                <w:color w:val="auto"/>
                <w:szCs w:val="24"/>
                <w:highlight w:val="none"/>
              </w:rPr>
              <w:t>若对项目采购电子交易系统操作有疑问，可登录政采云（https://www.zcygov.cn/），点击右侧咨询小采，获取采小蜜智能服务管家帮助，或拨打政采云服务热线400-881-7190获取热线服务帮助。</w:t>
            </w:r>
          </w:p>
          <w:p>
            <w:pPr>
              <w:pStyle w:val="67"/>
              <w:spacing w:afterLines="0" w:line="440" w:lineRule="exact"/>
              <w:ind w:firstLine="480"/>
              <w:rPr>
                <w:rFonts w:ascii="仿宋_GB2312" w:hAnsi="新宋体" w:eastAsia="仿宋_GB2312"/>
                <w:color w:val="auto"/>
                <w:szCs w:val="24"/>
                <w:highlight w:val="none"/>
              </w:rPr>
            </w:pPr>
            <w:r>
              <w:rPr>
                <w:rFonts w:hint="eastAsia" w:ascii="仿宋_GB2312" w:hAnsi="新宋体" w:eastAsia="仿宋_GB2312"/>
                <w:color w:val="auto"/>
                <w:szCs w:val="24"/>
                <w:highlight w:val="none"/>
              </w:rPr>
              <w:t>CA问题联系电话（人工）：汇信CA 400-888-4636；天谷CA 400-087-8198。</w:t>
            </w:r>
          </w:p>
        </w:tc>
      </w:tr>
      <w:tr>
        <w:tblPrEx>
          <w:tblCellMar>
            <w:top w:w="0" w:type="dxa"/>
            <w:left w:w="0" w:type="dxa"/>
            <w:bottom w:w="0" w:type="dxa"/>
            <w:right w:w="0" w:type="dxa"/>
          </w:tblCellMar>
        </w:tblPrEx>
        <w:tc>
          <w:tcPr>
            <w:tcW w:w="8279" w:type="dxa"/>
            <w:vAlign w:val="center"/>
          </w:tcPr>
          <w:p>
            <w:pPr>
              <w:rPr>
                <w:rFonts w:ascii="仿宋_GB2312" w:hAnsi="新宋体" w:eastAsia="仿宋_GB2312"/>
                <w:color w:val="auto"/>
                <w:highlight w:val="none"/>
              </w:rPr>
            </w:pPr>
          </w:p>
        </w:tc>
      </w:tr>
    </w:tbl>
    <w:p>
      <w:pPr>
        <w:widowControl/>
        <w:jc w:val="left"/>
        <w:rPr>
          <w:rFonts w:ascii="仿宋_GB2312" w:hAnsi="新宋体" w:eastAsia="仿宋_GB2312"/>
          <w:color w:val="auto"/>
          <w:kern w:val="0"/>
          <w:sz w:val="24"/>
          <w:highlight w:val="none"/>
        </w:rPr>
      </w:pPr>
    </w:p>
    <w:p>
      <w:pPr>
        <w:widowControl/>
        <w:jc w:val="left"/>
        <w:rPr>
          <w:rFonts w:ascii="仿宋_GB2312" w:hAnsi="新宋体" w:eastAsia="仿宋_GB2312"/>
          <w:color w:val="auto"/>
          <w:kern w:val="0"/>
          <w:sz w:val="24"/>
          <w:highlight w:val="none"/>
        </w:rPr>
      </w:pPr>
      <w:r>
        <w:rPr>
          <w:rFonts w:ascii="仿宋_GB2312" w:hAnsi="新宋体" w:eastAsia="仿宋_GB2312"/>
          <w:color w:val="auto"/>
          <w:highlight w:val="none"/>
        </w:rPr>
        <w:br w:type="page"/>
      </w:r>
      <w:bookmarkStart w:id="169" w:name="_GoBack"/>
      <w:bookmarkEnd w:id="169"/>
    </w:p>
    <w:p>
      <w:pPr>
        <w:pageBreakBefore/>
        <w:ind w:left="238"/>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第二部分 投标须知</w:t>
      </w:r>
    </w:p>
    <w:p>
      <w:pPr>
        <w:ind w:left="238"/>
        <w:jc w:val="center"/>
        <w:rPr>
          <w:rFonts w:ascii="仿宋_GB2312" w:hAnsi="宋体" w:eastAsia="仿宋_GB2312"/>
          <w:b/>
          <w:color w:val="auto"/>
          <w:sz w:val="30"/>
          <w:szCs w:val="36"/>
          <w:highlight w:val="none"/>
        </w:rPr>
      </w:pPr>
      <w:bookmarkStart w:id="0" w:name="_Hlk47616320"/>
      <w:r>
        <w:rPr>
          <w:rFonts w:hint="eastAsia" w:ascii="仿宋_GB2312" w:hAnsi="宋体" w:eastAsia="仿宋_GB2312"/>
          <w:b/>
          <w:color w:val="auto"/>
          <w:sz w:val="30"/>
          <w:szCs w:val="36"/>
          <w:highlight w:val="none"/>
        </w:rPr>
        <w:t>前附表</w:t>
      </w:r>
    </w:p>
    <w:tbl>
      <w:tblPr>
        <w:tblStyle w:val="41"/>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55"/>
        <w:gridCol w:w="7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序号</w:t>
            </w:r>
          </w:p>
        </w:tc>
        <w:tc>
          <w:tcPr>
            <w:tcW w:w="8371" w:type="dxa"/>
            <w:gridSpan w:val="2"/>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w:t>
            </w:r>
          </w:p>
        </w:tc>
        <w:tc>
          <w:tcPr>
            <w:tcW w:w="8371" w:type="dxa"/>
            <w:gridSpan w:val="2"/>
            <w:vAlign w:val="center"/>
          </w:tcPr>
          <w:p>
            <w:pPr>
              <w:snapToGrid w:val="0"/>
              <w:spacing w:line="440" w:lineRule="exac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投标人应当提交的资格、资信证明文件</w:t>
            </w:r>
            <w:r>
              <w:rPr>
                <w:rFonts w:hint="eastAsia" w:ascii="仿宋_GB2312" w:hAnsi="仿宋_GB2312" w:eastAsia="仿宋_GB2312" w:cs="仿宋_GB2312"/>
                <w:color w:val="auto"/>
                <w:sz w:val="24"/>
                <w:highlight w:val="none"/>
              </w:rPr>
              <w:t>：</w:t>
            </w:r>
          </w:p>
          <w:p>
            <w:pPr>
              <w:snapToGrid w:val="0"/>
              <w:spacing w:line="440" w:lineRule="exac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（1）相关证明文件：</w:t>
            </w:r>
            <w:r>
              <w:rPr>
                <w:rFonts w:hint="eastAsia" w:ascii="仿宋_GB2312" w:hAnsi="仿宋_GB2312" w:eastAsia="仿宋_GB2312" w:cs="仿宋_GB2312"/>
                <w:color w:val="auto"/>
                <w:sz w:val="24"/>
                <w:highlight w:val="none"/>
              </w:rPr>
              <w:t>营业执照复印件、2021年度资产负债表等财务报表资料文件、依法缴纳税收和社会保障资金的良好记录证明、参加本次政府采购活动前三年内，在经营活动中没有重大违法记录的声明（详见格式范例）。</w:t>
            </w:r>
          </w:p>
          <w:p>
            <w:pPr>
              <w:snapToGrid w:val="0"/>
              <w:spacing w:line="440" w:lineRule="exac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（2）资信证明文件（如果有，按招标文件第三部分招标项目范围及要求和第五部分评分标准提供）。</w:t>
            </w:r>
          </w:p>
          <w:p>
            <w:pPr>
              <w:snapToGrid w:val="0"/>
              <w:spacing w:line="440" w:lineRule="exact"/>
              <w:rPr>
                <w:rFonts w:ascii="仿宋_GB2312" w:hAnsi="仿宋_GB2312" w:eastAsia="仿宋_GB2312" w:cs="仿宋_GB2312"/>
                <w:color w:val="auto"/>
                <w:sz w:val="24"/>
                <w:highlight w:val="none"/>
                <w:u w:val="single"/>
              </w:rPr>
            </w:pPr>
            <w:r>
              <w:rPr>
                <w:rFonts w:hint="eastAsia" w:ascii="仿宋_GB2312" w:hAnsi="仿宋_GB2312" w:eastAsia="仿宋_GB2312" w:cs="仿宋_GB2312"/>
                <w:b/>
                <w:color w:val="auto"/>
                <w:sz w:val="24"/>
                <w:highlight w:val="none"/>
              </w:rPr>
              <w:t>（3）特许资格、资信证明文件（如果有）：</w:t>
            </w:r>
          </w:p>
          <w:p>
            <w:pPr>
              <w:spacing w:line="440" w:lineRule="exact"/>
              <w:ind w:firstLine="480" w:firstLineChars="200"/>
              <w:rPr>
                <w:rFonts w:ascii="仿宋_GB2312" w:hAnsi="宋体" w:eastAsia="仿宋_GB2312"/>
                <w:b/>
                <w:color w:val="auto"/>
                <w:sz w:val="24"/>
                <w:highlight w:val="none"/>
              </w:rPr>
            </w:pPr>
            <w:r>
              <w:rPr>
                <w:rFonts w:hint="eastAsia" w:ascii="仿宋_GB2312" w:hAnsi="仿宋_GB2312" w:eastAsia="仿宋_GB2312" w:cs="仿宋_GB2312"/>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2</w:t>
            </w:r>
          </w:p>
        </w:tc>
        <w:tc>
          <w:tcPr>
            <w:tcW w:w="8371" w:type="dxa"/>
            <w:gridSpan w:val="2"/>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资格审查方式：</w:t>
            </w:r>
          </w:p>
          <w:p>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1.资格后审。</w:t>
            </w:r>
          </w:p>
          <w:p>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3</w:t>
            </w:r>
          </w:p>
        </w:tc>
        <w:tc>
          <w:tcPr>
            <w:tcW w:w="8371" w:type="dxa"/>
            <w:gridSpan w:val="2"/>
            <w:vAlign w:val="center"/>
          </w:tcPr>
          <w:p>
            <w:pPr>
              <w:autoSpaceDE w:val="0"/>
              <w:autoSpaceDN w:val="0"/>
              <w:spacing w:line="440" w:lineRule="exact"/>
              <w:textAlignment w:val="bottom"/>
              <w:rPr>
                <w:rFonts w:ascii="仿宋_GB2312" w:hAnsi="宋体" w:eastAsia="仿宋_GB2312"/>
                <w:color w:val="auto"/>
                <w:sz w:val="24"/>
                <w:highlight w:val="none"/>
              </w:rPr>
            </w:pPr>
            <w:r>
              <w:rPr>
                <w:rFonts w:hint="eastAsia" w:ascii="仿宋_GB2312" w:hAnsi="宋体" w:eastAsia="仿宋_GB2312"/>
                <w:b/>
                <w:color w:val="auto"/>
                <w:sz w:val="24"/>
                <w:highlight w:val="none"/>
              </w:rPr>
              <w:t>投标有效期：</w:t>
            </w:r>
            <w:r>
              <w:rPr>
                <w:rFonts w:hint="eastAsia" w:ascii="仿宋_GB2312" w:hAnsi="仿宋" w:eastAsia="仿宋_GB2312" w:cs="仿宋_GB2312"/>
                <w:color w:val="auto"/>
                <w:sz w:val="24"/>
                <w:highlight w:val="none"/>
              </w:rPr>
              <w:t>投标有效期为从提交投标文件的截止之日起90天。</w:t>
            </w:r>
            <w:r>
              <w:rPr>
                <w:rFonts w:hint="eastAsia" w:ascii="仿宋_GB2312" w:hAnsi="仿宋" w:eastAsia="仿宋_GB2312" w:cs="仿宋_GB2312"/>
                <w:b/>
                <w:color w:val="auto"/>
                <w:sz w:val="24"/>
                <w:highlight w:val="none"/>
              </w:rPr>
              <w:t>投标人的投标文件中承</w:t>
            </w:r>
            <w:r>
              <w:rPr>
                <w:rFonts w:hint="eastAsia" w:ascii="仿宋_GB2312" w:hAnsi="仿宋" w:eastAsia="仿宋_GB2312" w:cs="仿宋_GB2312"/>
                <w:b/>
                <w:color w:val="auto"/>
                <w:sz w:val="24"/>
                <w:szCs w:val="21"/>
                <w:highlight w:val="none"/>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4</w:t>
            </w:r>
          </w:p>
        </w:tc>
        <w:tc>
          <w:tcPr>
            <w:tcW w:w="8371" w:type="dxa"/>
            <w:gridSpan w:val="2"/>
            <w:vAlign w:val="center"/>
          </w:tcPr>
          <w:p>
            <w:pPr>
              <w:spacing w:line="440" w:lineRule="exact"/>
              <w:rPr>
                <w:rFonts w:ascii="仿宋_GB2312" w:hAnsi="宋体" w:eastAsia="仿宋_GB2312"/>
                <w:color w:val="auto"/>
                <w:sz w:val="24"/>
                <w:highlight w:val="none"/>
              </w:rPr>
            </w:pPr>
            <w:r>
              <w:rPr>
                <w:rFonts w:hint="eastAsia" w:ascii="仿宋_GB2312" w:hAnsi="仿宋" w:eastAsia="仿宋_GB2312" w:cs="仿宋_GB2312"/>
                <w:b/>
                <w:color w:val="auto"/>
                <w:sz w:val="24"/>
                <w:highlight w:val="none"/>
              </w:rPr>
              <w:t>转包：</w:t>
            </w:r>
            <w:r>
              <w:rPr>
                <w:rFonts w:hint="eastAsia" w:ascii="仿宋_GB2312" w:hAnsi="仿宋" w:eastAsia="仿宋_GB2312" w:cs="仿宋_GB2312"/>
                <w:color w:val="auto"/>
                <w:sz w:val="24"/>
                <w:highlight w:val="none"/>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5</w:t>
            </w:r>
          </w:p>
        </w:tc>
        <w:tc>
          <w:tcPr>
            <w:tcW w:w="8371" w:type="dxa"/>
            <w:gridSpan w:val="2"/>
            <w:vAlign w:val="center"/>
          </w:tcPr>
          <w:p>
            <w:pPr>
              <w:spacing w:line="440" w:lineRule="exact"/>
              <w:rPr>
                <w:rFonts w:ascii="仿宋_GB2312" w:hAnsi="仿宋" w:eastAsia="仿宋_GB2312"/>
                <w:color w:val="auto"/>
                <w:sz w:val="24"/>
                <w:highlight w:val="none"/>
              </w:rPr>
            </w:pPr>
            <w:r>
              <w:rPr>
                <w:rFonts w:hint="eastAsia" w:ascii="仿宋_GB2312" w:hAnsi="仿宋" w:eastAsia="仿宋_GB2312" w:cs="仿宋_GB2312"/>
                <w:b/>
                <w:color w:val="auto"/>
                <w:sz w:val="24"/>
                <w:highlight w:val="none"/>
              </w:rPr>
              <w:t>分包：</w:t>
            </w:r>
            <w:r>
              <w:rPr>
                <w:rFonts w:ascii="MS Gothic" w:hAnsi="MS Gothic" w:eastAsia="MS Gothic" w:cs="Arial"/>
                <w:color w:val="auto"/>
                <w:kern w:val="0"/>
                <w:sz w:val="24"/>
                <w:highlight w:val="none"/>
              </w:rPr>
              <w:t>☐</w:t>
            </w:r>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同意将非主体、非关键性的</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工作分包。</w:t>
            </w:r>
          </w:p>
          <w:p>
            <w:pPr>
              <w:spacing w:line="440" w:lineRule="exact"/>
              <w:ind w:firstLine="720" w:firstLineChars="300"/>
              <w:rPr>
                <w:rFonts w:ascii="仿宋_GB2312" w:hAnsi="仿宋" w:eastAsia="仿宋_GB2312" w:cs="仿宋_GB2312"/>
                <w:b/>
                <w:color w:val="auto"/>
                <w:sz w:val="24"/>
                <w:highlight w:val="none"/>
              </w:rPr>
            </w:pPr>
            <w:r>
              <w:rPr>
                <w:rFonts w:ascii="仿宋_GB2312" w:hAnsi="仿宋" w:eastAsia="仿宋_GB2312" w:cs="Arial"/>
                <w:color w:val="auto"/>
                <w:kern w:val="0"/>
                <w:sz w:val="24"/>
                <w:highlight w:val="none"/>
              </w:rPr>
              <w:sym w:font="Wingdings" w:char="F0FE"/>
            </w:r>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6</w:t>
            </w:r>
          </w:p>
        </w:tc>
        <w:tc>
          <w:tcPr>
            <w:tcW w:w="8371" w:type="dxa"/>
            <w:gridSpan w:val="2"/>
            <w:vAlign w:val="center"/>
          </w:tcPr>
          <w:p>
            <w:pPr>
              <w:spacing w:line="440" w:lineRule="exact"/>
              <w:rPr>
                <w:rFonts w:ascii="仿宋_GB2312" w:hAnsi="宋体" w:eastAsia="仿宋_GB2312"/>
                <w:color w:val="auto"/>
                <w:sz w:val="24"/>
                <w:highlight w:val="none"/>
              </w:rPr>
            </w:pPr>
            <w:r>
              <w:rPr>
                <w:rFonts w:hint="eastAsia" w:ascii="仿宋_GB2312" w:hAnsi="宋体" w:eastAsia="仿宋_GB2312"/>
                <w:b/>
                <w:color w:val="auto"/>
                <w:sz w:val="24"/>
                <w:highlight w:val="none"/>
              </w:rPr>
              <w:t>投标文件份数：</w:t>
            </w:r>
            <w:r>
              <w:rPr>
                <w:rFonts w:hint="eastAsia" w:ascii="仿宋_GB2312" w:hAnsi="宋体" w:eastAsia="仿宋_GB2312"/>
                <w:color w:val="auto"/>
                <w:sz w:val="24"/>
                <w:highlight w:val="none"/>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7</w:t>
            </w:r>
          </w:p>
        </w:tc>
        <w:tc>
          <w:tcPr>
            <w:tcW w:w="8371" w:type="dxa"/>
            <w:gridSpan w:val="2"/>
            <w:vAlign w:val="center"/>
          </w:tcPr>
          <w:p>
            <w:pPr>
              <w:autoSpaceDE w:val="0"/>
              <w:autoSpaceDN w:val="0"/>
              <w:spacing w:line="440" w:lineRule="exact"/>
              <w:textAlignment w:val="bottom"/>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开标前答疑会或现场考察：</w:t>
            </w:r>
          </w:p>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263220618"/>
              </w:sdtPr>
              <w:sdtEndPr>
                <w:rPr>
                  <w:rFonts w:hint="eastAsia" w:ascii="仿宋_GB2312" w:hAnsi="仿宋" w:eastAsia="仿宋_GB2312" w:cs="Arial"/>
                  <w:color w:val="auto"/>
                  <w:kern w:val="0"/>
                  <w:sz w:val="24"/>
                  <w:highlight w:val="none"/>
                </w:rPr>
              </w:sdtEndPr>
              <w:sdtContent>
                <w:r>
                  <w:rPr>
                    <w:rFonts w:ascii="仿宋_GB2312" w:hAnsi="仿宋" w:eastAsia="仿宋_GB2312" w:cs="Arial"/>
                    <w:color w:val="auto"/>
                    <w:kern w:val="0"/>
                    <w:sz w:val="24"/>
                    <w:highlight w:val="none"/>
                  </w:rPr>
                  <w:sym w:font="Wingdings" w:char="F0FE"/>
                </w:r>
              </w:sdtContent>
            </w:sdt>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不组织。</w:t>
            </w:r>
          </w:p>
          <w:p>
            <w:pPr>
              <w:autoSpaceDE w:val="0"/>
              <w:autoSpaceDN w:val="0"/>
              <w:spacing w:line="440" w:lineRule="exact"/>
              <w:textAlignment w:val="bottom"/>
              <w:rPr>
                <w:rFonts w:ascii="仿宋_GB2312" w:hAnsi="宋体" w:eastAsia="仿宋_GB2312"/>
                <w:b/>
                <w:color w:val="auto"/>
                <w:sz w:val="24"/>
                <w:highlight w:val="none"/>
              </w:rPr>
            </w:pPr>
            <w:sdt>
              <w:sdtPr>
                <w:rPr>
                  <w:rFonts w:hint="eastAsia" w:ascii="仿宋_GB2312" w:hAnsi="仿宋" w:eastAsia="仿宋_GB2312" w:cs="Arial"/>
                  <w:color w:val="auto"/>
                  <w:kern w:val="0"/>
                  <w:sz w:val="24"/>
                  <w:highlight w:val="none"/>
                </w:rPr>
                <w:id w:val="-940066905"/>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ascii="仿宋_GB2312" w:hAnsi="仿宋" w:eastAsia="仿宋_GB2312"/>
                <w:color w:val="auto"/>
                <w:kern w:val="0"/>
                <w:sz w:val="24"/>
                <w:highlight w:val="none"/>
              </w:rPr>
              <w:t>B组织，</w:t>
            </w:r>
            <w:r>
              <w:rPr>
                <w:rFonts w:hint="eastAsia" w:ascii="仿宋_GB2312" w:hAnsi="仿宋" w:eastAsia="仿宋_GB2312"/>
                <w:color w:val="auto"/>
                <w:sz w:val="24"/>
                <w:highlight w:val="none"/>
              </w:rPr>
              <w:t>时间：</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,地点：</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，联系方式：</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8</w:t>
            </w:r>
          </w:p>
        </w:tc>
        <w:tc>
          <w:tcPr>
            <w:tcW w:w="8371" w:type="dxa"/>
            <w:gridSpan w:val="2"/>
            <w:vAlign w:val="center"/>
          </w:tcPr>
          <w:p>
            <w:pPr>
              <w:spacing w:line="44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样品提供：</w:t>
            </w:r>
          </w:p>
          <w:p>
            <w:pPr>
              <w:spacing w:line="360" w:lineRule="auto"/>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740788832"/>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026831988"/>
                  </w:sdtPr>
                  <w:sdtEndPr>
                    <w:rPr>
                      <w:rFonts w:hint="eastAsia" w:ascii="仿宋_GB2312" w:hAnsi="仿宋" w:eastAsia="仿宋_GB2312" w:cs="Arial"/>
                      <w:color w:val="auto"/>
                      <w:kern w:val="0"/>
                      <w:sz w:val="24"/>
                      <w:highlight w:val="none"/>
                    </w:rPr>
                  </w:sdtEndPr>
                  <w:sdtContent>
                    <w:r>
                      <w:rPr>
                        <w:rFonts w:hint="eastAsia" w:ascii="仿宋_GB2312" w:hAnsi="MS Gothic" w:eastAsia="仿宋_GB2312" w:cs="Arial"/>
                        <w:color w:val="auto"/>
                        <w:kern w:val="0"/>
                        <w:sz w:val="24"/>
                        <w:highlight w:val="none"/>
                      </w:rPr>
                      <w:sym w:font="Wingdings" w:char="F0FE"/>
                    </w:r>
                  </w:sdtContent>
                </w:sdt>
              </w:sdtContent>
            </w:sdt>
            <w:r>
              <w:rPr>
                <w:rFonts w:hint="eastAsia"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不要求提供。</w:t>
            </w:r>
          </w:p>
          <w:p>
            <w:pPr>
              <w:spacing w:line="360" w:lineRule="auto"/>
              <w:rPr>
                <w:rFonts w:ascii="仿宋_GB2312" w:hAnsi="仿宋" w:eastAsia="仿宋_GB2312"/>
                <w:color w:val="auto"/>
                <w:kern w:val="0"/>
                <w:sz w:val="24"/>
                <w:highlight w:val="none"/>
              </w:rPr>
            </w:pPr>
            <w:r>
              <w:rPr>
                <w:rFonts w:hint="eastAsia" w:ascii="仿宋_GB2312" w:hAnsi="MS Gothic" w:eastAsia="仿宋_GB2312" w:cs="Arial"/>
                <w:color w:val="auto"/>
                <w:kern w:val="0"/>
                <w:sz w:val="24"/>
                <w:highlight w:val="none"/>
              </w:rPr>
              <w:t>□</w:t>
            </w:r>
            <w:r>
              <w:rPr>
                <w:rFonts w:hint="eastAsia" w:ascii="仿宋_GB2312" w:hAnsi="仿宋" w:eastAsia="仿宋_GB2312"/>
                <w:color w:val="auto"/>
                <w:kern w:val="0"/>
                <w:sz w:val="24"/>
                <w:highlight w:val="none"/>
              </w:rPr>
              <w:t>B要求提供，</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（1）</w:t>
            </w:r>
            <w:r>
              <w:rPr>
                <w:rFonts w:hint="eastAsia" w:ascii="仿宋_GB2312" w:hAnsi="仿宋" w:eastAsia="仿宋_GB2312"/>
                <w:snapToGrid w:val="0"/>
                <w:color w:val="auto"/>
                <w:kern w:val="28"/>
                <w:sz w:val="24"/>
                <w:highlight w:val="none"/>
              </w:rPr>
              <w:t>样品：</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（2）</w:t>
            </w:r>
            <w:r>
              <w:rPr>
                <w:rFonts w:hint="eastAsia" w:ascii="仿宋_GB2312" w:hAnsi="仿宋" w:eastAsia="仿宋_GB2312"/>
                <w:snapToGrid w:val="0"/>
                <w:color w:val="auto"/>
                <w:kern w:val="28"/>
                <w:sz w:val="24"/>
                <w:highlight w:val="none"/>
              </w:rPr>
              <w:t>样品制作的标准和要求：</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（3）样品的评审方法以及评审标准</w:t>
            </w:r>
            <w:r>
              <w:rPr>
                <w:rFonts w:hint="eastAsia" w:ascii="仿宋_GB2312" w:hAnsi="仿宋" w:eastAsia="仿宋_GB2312"/>
                <w:snapToGrid w:val="0"/>
                <w:color w:val="auto"/>
                <w:kern w:val="28"/>
                <w:sz w:val="24"/>
                <w:highlight w:val="none"/>
              </w:rPr>
              <w:t>：详见</w:t>
            </w:r>
            <w:r>
              <w:rPr>
                <w:rFonts w:hint="eastAsia" w:ascii="仿宋_GB2312" w:hAnsi="仿宋" w:eastAsia="仿宋_GB2312"/>
                <w:color w:val="auto"/>
                <w:sz w:val="24"/>
                <w:highlight w:val="none"/>
                <w:u w:val="single"/>
              </w:rPr>
              <w:t>评标办法</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（4）是否需要随样品提交检测报告：</w:t>
            </w:r>
            <w:sdt>
              <w:sdtPr>
                <w:rPr>
                  <w:rFonts w:hint="eastAsia" w:ascii="仿宋_GB2312" w:hAnsi="仿宋" w:eastAsia="仿宋_GB2312" w:cs="Arial"/>
                  <w:color w:val="auto"/>
                  <w:kern w:val="0"/>
                  <w:sz w:val="24"/>
                  <w:highlight w:val="none"/>
                </w:rPr>
                <w:id w:val="1303421454"/>
              </w:sdtPr>
              <w:sdtEndPr>
                <w:rPr>
                  <w:rFonts w:hint="eastAsia" w:ascii="仿宋_GB2312" w:hAnsi="仿宋" w:eastAsia="仿宋_GB2312" w:cs="Arial"/>
                  <w:color w:val="auto"/>
                  <w:kern w:val="0"/>
                  <w:sz w:val="24"/>
                  <w:highlight w:val="none"/>
                </w:rPr>
              </w:sdtEndPr>
              <w:sdtContent>
                <w:r>
                  <w:rPr>
                    <w:rFonts w:hint="eastAsia" w:ascii="仿宋_GB2312" w:hAnsi="仿宋" w:eastAsia="仿宋_GB2312" w:cs="Arial"/>
                    <w:color w:val="auto"/>
                    <w:kern w:val="0"/>
                    <w:sz w:val="24"/>
                    <w:highlight w:val="none"/>
                  </w:rPr>
                  <w:sym w:font="Wingdings" w:char="F0FE"/>
                </w:r>
              </w:sdtContent>
            </w:sdt>
            <w:r>
              <w:rPr>
                <w:rFonts w:hint="eastAsia" w:ascii="仿宋_GB2312" w:hAnsi="仿宋" w:eastAsia="仿宋_GB2312" w:cs="Arial"/>
                <w:color w:val="auto"/>
                <w:kern w:val="0"/>
                <w:sz w:val="24"/>
                <w:highlight w:val="none"/>
              </w:rPr>
              <w:t>否</w:t>
            </w:r>
            <w:r>
              <w:rPr>
                <w:rFonts w:hint="eastAsia" w:ascii="仿宋_GB2312" w:hAnsi="仿宋" w:eastAsia="仿宋_GB2312"/>
                <w:color w:val="auto"/>
                <w:kern w:val="0"/>
                <w:sz w:val="24"/>
                <w:highlight w:val="none"/>
              </w:rPr>
              <w:t>；</w:t>
            </w:r>
            <w:sdt>
              <w:sdtPr>
                <w:rPr>
                  <w:rFonts w:hint="eastAsia" w:ascii="仿宋_GB2312" w:hAnsi="仿宋" w:eastAsia="仿宋_GB2312" w:cs="Arial"/>
                  <w:color w:val="auto"/>
                  <w:kern w:val="0"/>
                  <w:sz w:val="24"/>
                  <w:highlight w:val="none"/>
                </w:rPr>
                <w:id w:val="1621728433"/>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414742328"/>
                  </w:sdtPr>
                  <w:sdtEndPr>
                    <w:rPr>
                      <w:rFonts w:hint="eastAsia" w:ascii="仿宋_GB2312" w:hAnsi="仿宋" w:eastAsia="仿宋_GB2312" w:cs="Arial"/>
                      <w:color w:val="auto"/>
                      <w:kern w:val="0"/>
                      <w:sz w:val="24"/>
                      <w:highlight w:val="none"/>
                    </w:rPr>
                  </w:sdtEndPr>
                  <w:sdtContent>
                    <w:r>
                      <w:rPr>
                        <w:rFonts w:hint="eastAsia" w:ascii="仿宋_GB2312" w:hAnsi="MS Gothic" w:eastAsia="仿宋_GB2312" w:cs="Arial"/>
                        <w:color w:val="auto"/>
                        <w:kern w:val="0"/>
                        <w:sz w:val="24"/>
                        <w:highlight w:val="none"/>
                      </w:rPr>
                      <w:t>□</w:t>
                    </w:r>
                  </w:sdtContent>
                </w:sdt>
              </w:sdtContent>
            </w:sdt>
            <w:r>
              <w:rPr>
                <w:rFonts w:hint="eastAsia" w:ascii="仿宋_GB2312" w:hAnsi="仿宋" w:eastAsia="仿宋_GB2312"/>
                <w:color w:val="auto"/>
                <w:kern w:val="0"/>
                <w:sz w:val="24"/>
                <w:highlight w:val="none"/>
              </w:rPr>
              <w:t>是，检测机构的要求</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；检测内容</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（5）提供样品的时间：</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；地点：</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；联系人</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w:t>
            </w:r>
            <w:r>
              <w:rPr>
                <w:rFonts w:hint="eastAsia" w:ascii="仿宋_GB2312" w:hAnsi="仿宋" w:eastAsia="仿宋_GB2312"/>
                <w:color w:val="auto"/>
                <w:kern w:val="28"/>
                <w:sz w:val="24"/>
                <w:highlight w:val="none"/>
              </w:rPr>
              <w:t>联系电话：</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autoSpaceDE w:val="0"/>
              <w:autoSpaceDN w:val="0"/>
              <w:adjustRightInd w:val="0"/>
              <w:spacing w:line="440" w:lineRule="exact"/>
              <w:jc w:val="left"/>
              <w:rPr>
                <w:rFonts w:ascii="仿宋_GB2312" w:hAnsi="宋体" w:eastAsia="仿宋_GB2312"/>
                <w:b/>
                <w:color w:val="auto"/>
                <w:sz w:val="24"/>
                <w:highlight w:val="none"/>
              </w:rPr>
            </w:pPr>
            <w:r>
              <w:rPr>
                <w:rFonts w:hint="eastAsia" w:ascii="仿宋_GB2312" w:hAnsi="仿宋" w:eastAsia="仿宋_GB2312"/>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9</w:t>
            </w:r>
          </w:p>
        </w:tc>
        <w:tc>
          <w:tcPr>
            <w:tcW w:w="8371" w:type="dxa"/>
            <w:gridSpan w:val="2"/>
            <w:vAlign w:val="center"/>
          </w:tcPr>
          <w:p>
            <w:pPr>
              <w:spacing w:line="440" w:lineRule="exact"/>
              <w:rPr>
                <w:rFonts w:hint="eastAsia" w:ascii="仿宋_GB2312" w:hAnsi="宋体" w:eastAsia="仿宋_GB2312"/>
                <w:b/>
                <w:color w:val="auto"/>
                <w:sz w:val="24"/>
                <w:highlight w:val="none"/>
              </w:rPr>
            </w:pPr>
            <w:r>
              <w:rPr>
                <w:rFonts w:hint="eastAsia" w:ascii="仿宋_GB2312" w:hAnsi="宋体" w:eastAsia="仿宋_GB2312"/>
                <w:b/>
                <w:color w:val="auto"/>
                <w:sz w:val="24"/>
                <w:highlight w:val="none"/>
              </w:rPr>
              <w:t>演示(讲解)：</w:t>
            </w:r>
          </w:p>
          <w:p>
            <w:pPr>
              <w:spacing w:line="360" w:lineRule="auto"/>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1、有，详见商务技术评分要求。</w:t>
            </w:r>
          </w:p>
          <w:p>
            <w:pPr>
              <w:spacing w:line="360" w:lineRule="auto"/>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2、演示次序以政府采购云平台（https://www.zcygov.cn）中投标人提交投标文件的顺序为准。</w:t>
            </w:r>
          </w:p>
          <w:p>
            <w:pPr>
              <w:spacing w:line="360" w:lineRule="auto"/>
              <w:rPr>
                <w:rFonts w:hint="eastAsia" w:ascii="仿宋_GB2312" w:hAnsi="仿宋" w:eastAsia="仿宋_GB2312"/>
                <w:color w:val="auto"/>
                <w:sz w:val="24"/>
                <w:highlight w:val="none"/>
                <w:lang w:eastAsia="zh-CN"/>
              </w:rPr>
            </w:pPr>
            <w:r>
              <w:rPr>
                <w:rFonts w:hint="eastAsia" w:ascii="仿宋_GB2312" w:hAnsi="仿宋" w:eastAsia="仿宋_GB2312"/>
                <w:color w:val="auto"/>
                <w:sz w:val="24"/>
                <w:highlight w:val="none"/>
              </w:rPr>
              <w:t>3、演示内容通过录制视频以U盘存储形式提交（提交方式采用邮寄或现场即交即走）</w:t>
            </w:r>
            <w:r>
              <w:rPr>
                <w:rFonts w:hint="eastAsia" w:ascii="仿宋_GB2312" w:hAnsi="仿宋" w:eastAsia="仿宋_GB2312"/>
                <w:color w:val="auto"/>
                <w:sz w:val="24"/>
                <w:highlight w:val="none"/>
                <w:lang w:eastAsia="zh-CN"/>
              </w:rPr>
              <w:t>：</w:t>
            </w:r>
          </w:p>
          <w:p>
            <w:pPr>
              <w:spacing w:line="360" w:lineRule="auto"/>
              <w:rPr>
                <w:rFonts w:hint="eastAsia" w:ascii="仿宋_GB2312" w:hAnsi="仿宋" w:eastAsia="仿宋_GB2312"/>
                <w:color w:val="auto"/>
                <w:sz w:val="24"/>
                <w:highlight w:val="none"/>
              </w:rPr>
            </w:pPr>
            <w:r>
              <w:rPr>
                <w:rFonts w:hint="eastAsia" w:ascii="仿宋_GB2312" w:hAnsi="仿宋" w:eastAsia="仿宋_GB2312"/>
                <w:color w:val="auto"/>
                <w:sz w:val="24"/>
                <w:highlight w:val="none"/>
                <w:lang w:val="en-US" w:eastAsia="zh-CN"/>
              </w:rPr>
              <w:t>(1)</w:t>
            </w:r>
            <w:r>
              <w:rPr>
                <w:rFonts w:hint="eastAsia" w:ascii="仿宋_GB2312" w:hAnsi="仿宋" w:eastAsia="仿宋_GB2312"/>
                <w:color w:val="auto"/>
                <w:sz w:val="24"/>
                <w:highlight w:val="none"/>
              </w:rPr>
              <w:t>投标人应于2022年</w:t>
            </w:r>
            <w:r>
              <w:rPr>
                <w:rFonts w:hint="eastAsia" w:ascii="仿宋_GB2312" w:hAnsi="仿宋" w:eastAsia="仿宋_GB2312"/>
                <w:color w:val="auto"/>
                <w:sz w:val="24"/>
                <w:highlight w:val="none"/>
                <w:lang w:val="en-US" w:eastAsia="zh-CN"/>
              </w:rPr>
              <w:t>5</w:t>
            </w:r>
            <w:r>
              <w:rPr>
                <w:rFonts w:hint="eastAsia" w:ascii="仿宋_GB2312" w:hAnsi="仿宋" w:eastAsia="仿宋_GB2312"/>
                <w:color w:val="auto"/>
                <w:sz w:val="24"/>
                <w:highlight w:val="none"/>
              </w:rPr>
              <w:t>月</w:t>
            </w:r>
            <w:r>
              <w:rPr>
                <w:rFonts w:hint="eastAsia" w:ascii="仿宋_GB2312" w:hAnsi="仿宋" w:eastAsia="仿宋_GB2312"/>
                <w:color w:val="auto"/>
                <w:sz w:val="24"/>
                <w:highlight w:val="none"/>
                <w:lang w:val="en-US" w:eastAsia="zh-CN"/>
              </w:rPr>
              <w:t>28</w:t>
            </w:r>
            <w:r>
              <w:rPr>
                <w:rFonts w:hint="eastAsia" w:ascii="仿宋_GB2312" w:hAnsi="仿宋" w:eastAsia="仿宋_GB2312"/>
                <w:color w:val="auto"/>
                <w:sz w:val="24"/>
                <w:highlight w:val="none"/>
              </w:rPr>
              <w:t>日</w:t>
            </w:r>
            <w:r>
              <w:rPr>
                <w:rFonts w:hint="eastAsia" w:ascii="仿宋_GB2312" w:hAnsi="仿宋" w:eastAsia="仿宋_GB2312"/>
                <w:color w:val="auto"/>
                <w:sz w:val="24"/>
                <w:highlight w:val="none"/>
                <w:lang w:val="en-US" w:eastAsia="zh-CN"/>
              </w:rPr>
              <w:t>11</w:t>
            </w:r>
            <w:r>
              <w:rPr>
                <w:rFonts w:hint="eastAsia" w:ascii="仿宋_GB2312" w:hAnsi="仿宋" w:eastAsia="仿宋_GB2312"/>
                <w:color w:val="auto"/>
                <w:sz w:val="24"/>
                <w:highlight w:val="none"/>
              </w:rPr>
              <w:t xml:space="preserve"> 时</w:t>
            </w:r>
            <w:r>
              <w:rPr>
                <w:rFonts w:hint="eastAsia" w:ascii="仿宋_GB2312" w:hAnsi="仿宋" w:eastAsia="仿宋_GB2312"/>
                <w:color w:val="auto"/>
                <w:sz w:val="24"/>
                <w:highlight w:val="none"/>
                <w:lang w:val="en-US" w:eastAsia="zh-CN"/>
              </w:rPr>
              <w:t>30</w:t>
            </w:r>
            <w:r>
              <w:rPr>
                <w:rFonts w:hint="eastAsia" w:ascii="仿宋_GB2312" w:hAnsi="仿宋" w:eastAsia="仿宋_GB2312"/>
                <w:color w:val="auto"/>
                <w:sz w:val="24"/>
                <w:highlight w:val="none"/>
              </w:rPr>
              <w:t>分之前将演示录制视频存储U盘密封以邮寄方式送达至绍兴市阳明北路692号浙江翔实建设项目管理有限公司一楼政府采购部，收件人：丁诗哲，联系电话：13857501150，邮政编码：312000，如采用邮寄的，请寄件人在邮件外包装注明投标项目名称，投标供应商名称，被授权人姓名及联系电话，接收邮寄快递包裹的时间为工作日9:00-17:00，邮寄以签收时间为准，逾期送达或未密封将予以拒收。</w:t>
            </w:r>
          </w:p>
          <w:p>
            <w:pPr>
              <w:spacing w:line="360" w:lineRule="auto"/>
              <w:rPr>
                <w:rFonts w:hint="eastAsia" w:ascii="仿宋_GB2312" w:hAnsi="宋体" w:eastAsia="仿宋_GB2312"/>
                <w:b/>
                <w:color w:val="auto"/>
                <w:sz w:val="24"/>
                <w:highlight w:val="none"/>
                <w:lang w:val="en-US" w:eastAsia="zh-CN"/>
              </w:rPr>
            </w:pPr>
            <w:r>
              <w:rPr>
                <w:rFonts w:hint="eastAsia" w:ascii="仿宋_GB2312" w:hAnsi="仿宋" w:eastAsia="仿宋_GB2312"/>
                <w:color w:val="auto"/>
                <w:sz w:val="24"/>
                <w:highlight w:val="none"/>
                <w:lang w:val="en-US" w:eastAsia="zh-CN"/>
              </w:rPr>
              <w:t>(2)</w:t>
            </w:r>
            <w:r>
              <w:rPr>
                <w:rFonts w:hint="eastAsia" w:ascii="仿宋_GB2312" w:hAnsi="仿宋" w:eastAsia="仿宋_GB2312"/>
                <w:color w:val="auto"/>
                <w:sz w:val="24"/>
                <w:highlight w:val="none"/>
              </w:rPr>
              <w:t>现场即交即走的接收截止时间为：2022年</w:t>
            </w:r>
            <w:r>
              <w:rPr>
                <w:rFonts w:hint="eastAsia" w:ascii="仿宋_GB2312" w:hAnsi="仿宋" w:eastAsia="仿宋_GB2312"/>
                <w:color w:val="auto"/>
                <w:sz w:val="24"/>
                <w:highlight w:val="none"/>
                <w:lang w:val="en-US" w:eastAsia="zh-CN"/>
              </w:rPr>
              <w:t>5</w:t>
            </w:r>
            <w:r>
              <w:rPr>
                <w:rFonts w:hint="eastAsia" w:ascii="仿宋_GB2312" w:hAnsi="仿宋" w:eastAsia="仿宋_GB2312"/>
                <w:color w:val="auto"/>
                <w:sz w:val="24"/>
                <w:highlight w:val="none"/>
              </w:rPr>
              <w:t>月</w:t>
            </w:r>
            <w:r>
              <w:rPr>
                <w:rFonts w:hint="eastAsia" w:ascii="仿宋_GB2312" w:hAnsi="仿宋" w:eastAsia="仿宋_GB2312"/>
                <w:color w:val="auto"/>
                <w:sz w:val="24"/>
                <w:highlight w:val="none"/>
                <w:lang w:val="en-US" w:eastAsia="zh-CN"/>
              </w:rPr>
              <w:t>30</w:t>
            </w:r>
            <w:r>
              <w:rPr>
                <w:rFonts w:hint="eastAsia" w:ascii="仿宋_GB2312" w:hAnsi="仿宋" w:eastAsia="仿宋_GB2312"/>
                <w:color w:val="auto"/>
                <w:sz w:val="24"/>
                <w:highlight w:val="none"/>
              </w:rPr>
              <w:t>日</w:t>
            </w:r>
            <w:r>
              <w:rPr>
                <w:rFonts w:hint="eastAsia" w:ascii="仿宋_GB2312" w:hAnsi="仿宋" w:eastAsia="仿宋_GB2312"/>
                <w:color w:val="auto"/>
                <w:sz w:val="24"/>
                <w:highlight w:val="none"/>
                <w:lang w:val="en-US" w:eastAsia="zh-CN"/>
              </w:rPr>
              <w:t>09:00</w:t>
            </w:r>
            <w:r>
              <w:rPr>
                <w:rFonts w:hint="eastAsia" w:ascii="仿宋_GB2312" w:hAnsi="仿宋" w:eastAsia="仿宋_GB2312"/>
                <w:color w:val="auto"/>
                <w:sz w:val="24"/>
                <w:highlight w:val="none"/>
              </w:rPr>
              <w:t>时。</w:t>
            </w:r>
            <w:r>
              <w:rPr>
                <w:rFonts w:hint="eastAsia" w:ascii="仿宋_GB2312" w:hAnsi="仿宋" w:eastAsia="仿宋_GB2312"/>
                <w:color w:val="auto"/>
                <w:sz w:val="24"/>
                <w:highlight w:val="none"/>
                <w:lang w:eastAsia="zh-CN"/>
              </w:rPr>
              <w:t>地址：绍兴市迪荡新城惠利街20号鼎盛时代大厦四楼绍兴市公共资源交易中心415 室，</w:t>
            </w:r>
            <w:r>
              <w:rPr>
                <w:rFonts w:hint="eastAsia" w:ascii="仿宋_GB2312" w:hAnsi="仿宋" w:eastAsia="仿宋_GB2312"/>
                <w:color w:val="auto"/>
                <w:sz w:val="24"/>
                <w:highlight w:val="none"/>
              </w:rPr>
              <w:t>收件人：丁诗哲，联系电话：13857501150</w:t>
            </w:r>
            <w:r>
              <w:rPr>
                <w:rFonts w:hint="eastAsia" w:ascii="仿宋_GB2312" w:hAnsi="仿宋" w:eastAsia="仿宋_GB2312"/>
                <w:color w:val="auto"/>
                <w:sz w:val="24"/>
                <w:highlight w:val="none"/>
                <w:lang w:eastAsia="zh-CN"/>
              </w:rPr>
              <w:t>。进入绍兴市公共资源交易中心请携带本人身份证原件，且必须提供48小时内核酸检测阴性证明，建议提前一天和代理机构联系人联系，以防携带证明有变动。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10</w:t>
            </w:r>
          </w:p>
        </w:tc>
        <w:tc>
          <w:tcPr>
            <w:tcW w:w="855" w:type="dxa"/>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进口产品</w:t>
            </w:r>
          </w:p>
        </w:tc>
        <w:tc>
          <w:tcPr>
            <w:tcW w:w="7516" w:type="dxa"/>
            <w:vAlign w:val="center"/>
          </w:tcPr>
          <w:p>
            <w:pPr>
              <w:spacing w:line="360" w:lineRule="auto"/>
              <w:rPr>
                <w:rFonts w:ascii="仿宋_GB2312" w:hAnsi="仿宋" w:eastAsia="仿宋_GB2312" w:cs="Arial"/>
                <w:color w:val="auto"/>
                <w:kern w:val="0"/>
                <w:sz w:val="24"/>
                <w:highlight w:val="none"/>
              </w:rPr>
            </w:pPr>
            <w:sdt>
              <w:sdtPr>
                <w:rPr>
                  <w:rFonts w:hint="eastAsia" w:ascii="仿宋_GB2312" w:hAnsi="仿宋" w:eastAsia="仿宋_GB2312" w:cs="Arial"/>
                  <w:color w:val="auto"/>
                  <w:kern w:val="0"/>
                  <w:sz w:val="24"/>
                  <w:highlight w:val="none"/>
                </w:rPr>
                <w:id w:val="-751813434"/>
              </w:sdtPr>
              <w:sdtEndPr>
                <w:rPr>
                  <w:rFonts w:hint="eastAsia" w:ascii="仿宋_GB2312" w:hAnsi="仿宋" w:eastAsia="仿宋_GB2312" w:cs="Arial"/>
                  <w:color w:val="auto"/>
                  <w:kern w:val="0"/>
                  <w:sz w:val="24"/>
                  <w:highlight w:val="none"/>
                </w:rPr>
              </w:sdtEndPr>
              <w:sdtContent>
                <w:r>
                  <w:rPr>
                    <w:rFonts w:ascii="仿宋_GB2312" w:hAnsi="仿宋" w:eastAsia="仿宋_GB2312" w:cs="Arial"/>
                    <w:color w:val="auto"/>
                    <w:kern w:val="0"/>
                    <w:sz w:val="24"/>
                    <w:highlight w:val="none"/>
                  </w:rPr>
                  <w:sym w:font="Wingdings" w:char="F0FE"/>
                </w:r>
              </w:sdtContent>
            </w:sdt>
            <w:r>
              <w:rPr>
                <w:rFonts w:hint="eastAsia" w:ascii="仿宋_GB2312" w:hAnsi="仿宋" w:eastAsia="仿宋_GB2312" w:cs="Arial"/>
                <w:color w:val="auto"/>
                <w:kern w:val="0"/>
                <w:sz w:val="24"/>
                <w:highlight w:val="none"/>
              </w:rPr>
              <w:t>本项目不允许采购进口产品。</w:t>
            </w:r>
          </w:p>
          <w:p>
            <w:pPr>
              <w:snapToGrid w:val="0"/>
              <w:spacing w:line="440" w:lineRule="exact"/>
              <w:rPr>
                <w:rFonts w:ascii="仿宋_GB2312" w:hAnsi="仿宋_GB2312" w:eastAsia="仿宋_GB2312" w:cs="仿宋_GB2312"/>
                <w:b/>
                <w:color w:val="auto"/>
                <w:sz w:val="24"/>
                <w:highlight w:val="none"/>
              </w:rPr>
            </w:pPr>
            <w:sdt>
              <w:sdtPr>
                <w:rPr>
                  <w:rFonts w:hint="eastAsia" w:ascii="仿宋_GB2312" w:hAnsi="仿宋" w:eastAsia="仿宋_GB2312" w:cs="Arial"/>
                  <w:color w:val="auto"/>
                  <w:kern w:val="0"/>
                  <w:sz w:val="24"/>
                  <w:highlight w:val="none"/>
                </w:rPr>
                <w:id w:val="-833212847"/>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hint="eastAsia" w:ascii="仿宋_GB2312" w:hAnsi="仿宋" w:eastAsia="仿宋_GB2312" w:cs="Arial"/>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2"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11</w:t>
            </w:r>
          </w:p>
        </w:tc>
        <w:tc>
          <w:tcPr>
            <w:tcW w:w="855" w:type="dxa"/>
            <w:vAlign w:val="center"/>
          </w:tcPr>
          <w:p>
            <w:pPr>
              <w:snapToGrid w:val="0"/>
              <w:ind w:left="-3" w:leftChars="-8" w:right="-50" w:rightChars="-24" w:hanging="14" w:hangingChars="7"/>
              <w:rPr>
                <w:rFonts w:ascii="仿宋_GB2312" w:hAnsi="仿宋_GB2312" w:eastAsia="仿宋_GB2312" w:cs="仿宋_GB2312"/>
                <w:b/>
                <w:color w:val="auto"/>
                <w:spacing w:val="-20"/>
                <w:sz w:val="24"/>
                <w:highlight w:val="none"/>
              </w:rPr>
            </w:pPr>
            <w:r>
              <w:rPr>
                <w:rFonts w:hint="eastAsia" w:ascii="仿宋_GB2312" w:hAnsi="仿宋_GB2312" w:eastAsia="仿宋_GB2312" w:cs="仿宋_GB2312"/>
                <w:b/>
                <w:color w:val="auto"/>
                <w:spacing w:val="-20"/>
                <w:sz w:val="24"/>
                <w:highlight w:val="none"/>
              </w:rPr>
              <w:t>项目属性与核心产品</w:t>
            </w:r>
          </w:p>
        </w:tc>
        <w:tc>
          <w:tcPr>
            <w:tcW w:w="7516" w:type="dxa"/>
            <w:vAlign w:val="center"/>
          </w:tcPr>
          <w:p>
            <w:pPr>
              <w:spacing w:line="360" w:lineRule="auto"/>
              <w:rPr>
                <w:rFonts w:ascii="仿宋_GB2312" w:hAnsi="仿宋" w:eastAsia="仿宋_GB2312"/>
                <w:color w:val="auto"/>
                <w:sz w:val="24"/>
                <w:highlight w:val="none"/>
              </w:rPr>
            </w:pPr>
            <w:r>
              <w:rPr>
                <w:rFonts w:ascii="MS Gothic" w:hAnsi="MS Gothic" w:eastAsia="仿宋_GB2312" w:cs="Arial"/>
                <w:color w:val="auto"/>
                <w:kern w:val="0"/>
                <w:sz w:val="24"/>
                <w:highlight w:val="none"/>
              </w:rPr>
              <w:t>☐</w:t>
            </w:r>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货物类。</w:t>
            </w:r>
          </w:p>
          <w:p>
            <w:pPr>
              <w:snapToGrid w:val="0"/>
              <w:spacing w:line="440" w:lineRule="exact"/>
              <w:rPr>
                <w:rFonts w:ascii="仿宋_GB2312" w:hAnsi="仿宋_GB2312" w:eastAsia="仿宋_GB2312" w:cs="仿宋_GB2312"/>
                <w:color w:val="auto"/>
                <w:sz w:val="24"/>
                <w:highlight w:val="none"/>
              </w:rPr>
            </w:pPr>
            <w:sdt>
              <w:sdtPr>
                <w:rPr>
                  <w:rFonts w:hint="eastAsia" w:ascii="仿宋_GB2312" w:hAnsi="仿宋" w:eastAsia="仿宋_GB2312" w:cs="Arial"/>
                  <w:color w:val="auto"/>
                  <w:kern w:val="0"/>
                  <w:sz w:val="24"/>
                  <w:highlight w:val="none"/>
                </w:rPr>
                <w:id w:val="474885559"/>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18727868"/>
                  </w:sdtPr>
                  <w:sdtEndPr>
                    <w:rPr>
                      <w:rFonts w:hint="eastAsia" w:ascii="仿宋_GB2312" w:hAnsi="仿宋" w:eastAsia="仿宋_GB2312" w:cs="Arial"/>
                      <w:color w:val="auto"/>
                      <w:kern w:val="0"/>
                      <w:sz w:val="24"/>
                      <w:highlight w:val="none"/>
                    </w:rPr>
                  </w:sdtEndPr>
                  <w:sdtContent>
                    <w:r>
                      <w:rPr>
                        <w:rFonts w:ascii="Wingdings" w:hAnsi="Wingdings" w:eastAsia="仿宋_GB2312" w:cs="Arial"/>
                        <w:color w:val="auto"/>
                        <w:kern w:val="0"/>
                        <w:sz w:val="24"/>
                        <w:highlight w:val="none"/>
                      </w:rPr>
                      <w:t></w:t>
                    </w:r>
                  </w:sdtContent>
                </w:sdt>
              </w:sdtContent>
            </w:sdt>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12</w:t>
            </w:r>
          </w:p>
        </w:tc>
        <w:tc>
          <w:tcPr>
            <w:tcW w:w="855" w:type="dxa"/>
            <w:vAlign w:val="center"/>
          </w:tcPr>
          <w:p>
            <w:pPr>
              <w:snapToGrid w:val="0"/>
              <w:ind w:left="-18" w:leftChars="-9" w:right="-50" w:rightChars="-24" w:hanging="1"/>
              <w:jc w:val="center"/>
              <w:rPr>
                <w:rFonts w:ascii="仿宋_GB2312" w:hAnsi="仿宋" w:eastAsia="仿宋_GB2312" w:cs="仿宋_GB2312"/>
                <w:b/>
                <w:color w:val="auto"/>
                <w:spacing w:val="-20"/>
                <w:sz w:val="24"/>
                <w:highlight w:val="none"/>
              </w:rPr>
            </w:pPr>
            <w:r>
              <w:rPr>
                <w:rFonts w:hint="eastAsia" w:ascii="仿宋_GB2312" w:hAnsi="仿宋" w:eastAsia="仿宋_GB2312" w:cs="仿宋_GB2312"/>
                <w:b/>
                <w:color w:val="auto"/>
                <w:spacing w:val="-20"/>
                <w:sz w:val="24"/>
                <w:highlight w:val="none"/>
              </w:rPr>
              <w:t>采购标的对应的中小企业划分标准所属行业</w:t>
            </w:r>
          </w:p>
        </w:tc>
        <w:tc>
          <w:tcPr>
            <w:tcW w:w="7516" w:type="dxa"/>
          </w:tcPr>
          <w:p>
            <w:pPr>
              <w:snapToGrid w:val="0"/>
              <w:spacing w:line="360" w:lineRule="auto"/>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w:t>
            </w:r>
            <w:r>
              <w:rPr>
                <w:rFonts w:ascii="仿宋_GB2312" w:hAnsi="仿宋" w:eastAsia="仿宋_GB2312" w:cs="Arial"/>
                <w:color w:val="auto"/>
                <w:kern w:val="0"/>
                <w:sz w:val="24"/>
                <w:highlight w:val="none"/>
              </w:rPr>
              <w:t>1</w:t>
            </w:r>
            <w:r>
              <w:rPr>
                <w:rFonts w:hint="eastAsia" w:ascii="仿宋_GB2312" w:hAnsi="仿宋" w:eastAsia="仿宋_GB2312" w:cs="Arial"/>
                <w:color w:val="auto"/>
                <w:kern w:val="0"/>
                <w:sz w:val="24"/>
                <w:highlight w:val="none"/>
              </w:rPr>
              <w:t>）标的：</w:t>
            </w:r>
            <w:r>
              <w:rPr>
                <w:rFonts w:hint="eastAsia" w:ascii="仿宋_GB2312" w:hAnsi="仿宋" w:eastAsia="仿宋_GB2312" w:cs="Arial"/>
                <w:color w:val="auto"/>
                <w:kern w:val="0"/>
                <w:sz w:val="24"/>
                <w:highlight w:val="none"/>
                <w:u w:val="single"/>
              </w:rPr>
              <w:t xml:space="preserve">   </w:t>
            </w:r>
            <w:r>
              <w:rPr>
                <w:rFonts w:ascii="仿宋_GB2312" w:hAnsi="仿宋" w:eastAsia="仿宋_GB2312" w:cs="Arial"/>
                <w:color w:val="auto"/>
                <w:kern w:val="0"/>
                <w:sz w:val="24"/>
                <w:highlight w:val="none"/>
                <w:u w:val="single"/>
              </w:rPr>
              <w:t>01</w:t>
            </w:r>
            <w:r>
              <w:rPr>
                <w:rFonts w:hint="eastAsia" w:ascii="仿宋_GB2312" w:hAnsi="仿宋" w:eastAsia="仿宋_GB2312" w:cs="Arial"/>
                <w:color w:val="auto"/>
                <w:kern w:val="0"/>
                <w:sz w:val="24"/>
                <w:highlight w:val="none"/>
                <w:u w:val="single"/>
              </w:rPr>
              <w:t xml:space="preserve">标 </w:t>
            </w:r>
            <w:r>
              <w:rPr>
                <w:rFonts w:hint="eastAsia" w:ascii="仿宋_GB2312" w:hAnsi="仿宋" w:eastAsia="仿宋_GB2312" w:cs="Arial"/>
                <w:color w:val="auto"/>
                <w:kern w:val="0"/>
                <w:sz w:val="24"/>
                <w:highlight w:val="none"/>
              </w:rPr>
              <w:t>，属于</w:t>
            </w:r>
            <w:r>
              <w:rPr>
                <w:rFonts w:hint="eastAsia" w:ascii="仿宋_GB2312" w:hAnsi="仿宋" w:eastAsia="仿宋_GB2312" w:cs="Arial"/>
                <w:color w:val="auto"/>
                <w:kern w:val="0"/>
                <w:sz w:val="24"/>
                <w:highlight w:val="none"/>
                <w:u w:val="single"/>
              </w:rPr>
              <w:t>软件和信息技术服务业</w:t>
            </w:r>
            <w:r>
              <w:rPr>
                <w:rFonts w:hint="eastAsia" w:ascii="仿宋_GB2312" w:hAnsi="仿宋" w:eastAsia="仿宋_GB2312" w:cs="Arial"/>
                <w:color w:val="auto"/>
                <w:kern w:val="0"/>
                <w:sz w:val="24"/>
                <w:highlight w:val="none"/>
              </w:rPr>
              <w:t>行业；</w:t>
            </w:r>
          </w:p>
          <w:p>
            <w:pPr>
              <w:snapToGrid w:val="0"/>
              <w:spacing w:line="360" w:lineRule="auto"/>
              <w:rPr>
                <w:color w:val="auto"/>
                <w:highlight w:val="none"/>
              </w:rPr>
            </w:pPr>
            <w:r>
              <w:rPr>
                <w:rFonts w:hint="eastAsia" w:ascii="仿宋_GB2312" w:hAnsi="仿宋" w:eastAsia="仿宋_GB2312" w:cs="Arial"/>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restart"/>
            <w:vAlign w:val="center"/>
          </w:tcPr>
          <w:p>
            <w:pPr>
              <w:spacing w:line="440" w:lineRule="exact"/>
              <w:jc w:val="center"/>
              <w:rPr>
                <w:rFonts w:ascii="仿宋_GB2312" w:hAnsi="宋体" w:eastAsia="仿宋_GB2312"/>
                <w:color w:val="auto"/>
                <w:sz w:val="24"/>
                <w:highlight w:val="none"/>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3</w:t>
            </w:r>
          </w:p>
        </w:tc>
        <w:tc>
          <w:tcPr>
            <w:tcW w:w="855" w:type="dxa"/>
            <w:vMerge w:val="restart"/>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宋体" w:eastAsia="仿宋_GB2312"/>
                <w:b/>
                <w:color w:val="auto"/>
                <w:sz w:val="24"/>
                <w:highlight w:val="none"/>
              </w:rPr>
              <w:t>投标人信用信息事项</w:t>
            </w:r>
          </w:p>
        </w:tc>
        <w:tc>
          <w:tcPr>
            <w:tcW w:w="7516" w:type="dxa"/>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宋体" w:eastAsia="仿宋_GB2312"/>
                <w:b/>
                <w:color w:val="auto"/>
                <w:sz w:val="24"/>
                <w:highlight w:val="none"/>
              </w:rPr>
              <w:t>信用信息查询渠道及截止时间：</w:t>
            </w:r>
            <w:r>
              <w:rPr>
                <w:rFonts w:hint="eastAsia" w:ascii="仿宋_GB2312" w:hAnsi="宋体" w:eastAsia="仿宋_GB2312"/>
                <w:color w:val="auto"/>
                <w:sz w:val="24"/>
                <w:highlight w:val="none"/>
              </w:rPr>
              <w:t>采购人或采购人委托的评审小组或采购代理机构将通过“信用中国”网站(www.creditchina.gov.cn)、中国政府采购网(www.ccgp.gov.cn)渠道查询投标人</w:t>
            </w:r>
            <w:r>
              <w:rPr>
                <w:rFonts w:hint="eastAsia" w:ascii="仿宋_GB2312" w:hAnsi="仿宋_GB2312" w:eastAsia="仿宋_GB2312" w:cs="仿宋_GB2312"/>
                <w:b/>
                <w:color w:val="auto"/>
                <w:sz w:val="24"/>
                <w:highlight w:val="none"/>
              </w:rPr>
              <w:t>开标当天</w:t>
            </w:r>
            <w:r>
              <w:rPr>
                <w:rFonts w:hint="eastAsia" w:ascii="仿宋_GB2312" w:hAnsi="宋体" w:eastAsia="仿宋_GB2312"/>
                <w:color w:val="auto"/>
                <w:sz w:val="24"/>
                <w:highlight w:val="none"/>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continue"/>
            <w:vAlign w:val="center"/>
          </w:tcPr>
          <w:p>
            <w:pPr>
              <w:spacing w:line="440" w:lineRule="exact"/>
              <w:jc w:val="center"/>
              <w:rPr>
                <w:rFonts w:ascii="仿宋_GB2312" w:hAnsi="宋体" w:eastAsia="仿宋_GB2312"/>
                <w:color w:val="auto"/>
                <w:sz w:val="24"/>
                <w:highlight w:val="none"/>
              </w:rPr>
            </w:pPr>
          </w:p>
        </w:tc>
        <w:tc>
          <w:tcPr>
            <w:tcW w:w="855" w:type="dxa"/>
            <w:vMerge w:val="continue"/>
            <w:vAlign w:val="center"/>
          </w:tcPr>
          <w:p>
            <w:pPr>
              <w:snapToGrid w:val="0"/>
              <w:spacing w:line="440" w:lineRule="exact"/>
              <w:rPr>
                <w:rFonts w:ascii="仿宋_GB2312" w:hAnsi="仿宋_GB2312" w:eastAsia="仿宋_GB2312" w:cs="仿宋_GB2312"/>
                <w:b/>
                <w:color w:val="auto"/>
                <w:sz w:val="24"/>
                <w:highlight w:val="none"/>
              </w:rPr>
            </w:pPr>
          </w:p>
        </w:tc>
        <w:tc>
          <w:tcPr>
            <w:tcW w:w="7516" w:type="dxa"/>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宋体" w:eastAsia="仿宋_GB2312"/>
                <w:b/>
                <w:color w:val="auto"/>
                <w:sz w:val="24"/>
                <w:highlight w:val="none"/>
              </w:rPr>
              <w:t>信用信息查询记录和证据留存的具体方式：</w:t>
            </w:r>
            <w:r>
              <w:rPr>
                <w:rFonts w:hint="eastAsia" w:ascii="仿宋_GB2312" w:hAnsi="宋体" w:eastAsia="仿宋_GB2312"/>
                <w:color w:val="auto"/>
                <w:sz w:val="24"/>
                <w:highlight w:val="none"/>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Merge w:val="continue"/>
            <w:vAlign w:val="center"/>
          </w:tcPr>
          <w:p>
            <w:pPr>
              <w:spacing w:line="440" w:lineRule="exact"/>
              <w:jc w:val="center"/>
              <w:rPr>
                <w:rFonts w:ascii="仿宋_GB2312" w:hAnsi="宋体" w:eastAsia="仿宋_GB2312"/>
                <w:color w:val="auto"/>
                <w:sz w:val="24"/>
                <w:highlight w:val="none"/>
              </w:rPr>
            </w:pPr>
          </w:p>
        </w:tc>
        <w:tc>
          <w:tcPr>
            <w:tcW w:w="855" w:type="dxa"/>
            <w:vMerge w:val="continue"/>
            <w:vAlign w:val="center"/>
          </w:tcPr>
          <w:p>
            <w:pPr>
              <w:snapToGrid w:val="0"/>
              <w:spacing w:line="440" w:lineRule="exact"/>
              <w:rPr>
                <w:rFonts w:ascii="仿宋_GB2312" w:hAnsi="仿宋_GB2312" w:eastAsia="仿宋_GB2312" w:cs="仿宋_GB2312"/>
                <w:b/>
                <w:color w:val="auto"/>
                <w:sz w:val="24"/>
                <w:highlight w:val="none"/>
              </w:rPr>
            </w:pPr>
          </w:p>
        </w:tc>
        <w:tc>
          <w:tcPr>
            <w:tcW w:w="7516" w:type="dxa"/>
            <w:vAlign w:val="center"/>
          </w:tcPr>
          <w:p>
            <w:pPr>
              <w:snapToGrid w:val="0"/>
              <w:spacing w:line="440" w:lineRule="exact"/>
              <w:rPr>
                <w:rFonts w:ascii="仿宋_GB2312" w:hAnsi="宋体" w:eastAsia="仿宋_GB2312"/>
                <w:color w:val="auto"/>
                <w:sz w:val="24"/>
                <w:highlight w:val="none"/>
              </w:rPr>
            </w:pPr>
            <w:r>
              <w:rPr>
                <w:rFonts w:hint="eastAsia" w:ascii="仿宋_GB2312" w:hAnsi="宋体" w:eastAsia="仿宋_GB2312"/>
                <w:b/>
                <w:color w:val="auto"/>
                <w:sz w:val="24"/>
                <w:highlight w:val="none"/>
              </w:rPr>
              <w:t>信用信息的使用规则：</w:t>
            </w:r>
            <w:r>
              <w:rPr>
                <w:rFonts w:hint="eastAsia" w:ascii="仿宋_GB2312" w:hAnsi="宋体" w:eastAsia="仿宋_GB2312"/>
                <w:color w:val="auto"/>
                <w:sz w:val="24"/>
                <w:highlight w:val="none"/>
              </w:rPr>
              <w:t>经查询列入失信被执行人名单、重大税收违法案件当事人名单、政府采购严重违法失信行为记录名单的投标人将被拒绝参与政府采购活动。</w:t>
            </w:r>
          </w:p>
          <w:p>
            <w:pPr>
              <w:snapToGrid w:val="0"/>
              <w:spacing w:line="440" w:lineRule="exact"/>
              <w:rPr>
                <w:rFonts w:ascii="仿宋_GB2312" w:hAnsi="仿宋_GB2312" w:eastAsia="仿宋_GB2312" w:cs="仿宋_GB2312"/>
                <w:b/>
                <w:color w:val="auto"/>
                <w:sz w:val="24"/>
                <w:highlight w:val="none"/>
              </w:rPr>
            </w:pPr>
            <w:r>
              <w:rPr>
                <w:rFonts w:ascii="仿宋_GB2312" w:hAnsi="宋体" w:eastAsia="仿宋_GB2312"/>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宋体" w:eastAsia="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14</w:t>
            </w:r>
          </w:p>
        </w:tc>
        <w:tc>
          <w:tcPr>
            <w:tcW w:w="8371" w:type="dxa"/>
            <w:gridSpan w:val="2"/>
            <w:vAlign w:val="center"/>
          </w:tcPr>
          <w:p>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扰乱公共资源交易市场秩序行为：</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不诚信参加公共资源交易活动，扰乱市场秩序，被绍兴市公共资源交易平台责令整改、暂停交易的投标人，在此期间将被拒绝参与政府采购活动。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15</w:t>
            </w:r>
          </w:p>
        </w:tc>
        <w:tc>
          <w:tcPr>
            <w:tcW w:w="8371" w:type="dxa"/>
            <w:gridSpan w:val="2"/>
            <w:vAlign w:val="center"/>
          </w:tcPr>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16</w:t>
            </w:r>
          </w:p>
        </w:tc>
        <w:tc>
          <w:tcPr>
            <w:tcW w:w="8371" w:type="dxa"/>
            <w:gridSpan w:val="2"/>
            <w:vAlign w:val="center"/>
          </w:tcPr>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更正补充公告请自行登录浙江政府采购网或绍兴公共资源交易网查看下载。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Align w:val="center"/>
          </w:tcPr>
          <w:p>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17                                                                                                                                                                                                                                                                                                                                                                                                                                                                                                                                                                                                                                                                                                                                                                                                                                                                                                                                                                                                                                                                                                                                                                                                                                                                                                                                        </w:t>
            </w:r>
          </w:p>
        </w:tc>
        <w:tc>
          <w:tcPr>
            <w:tcW w:w="8371" w:type="dxa"/>
            <w:gridSpan w:val="2"/>
            <w:vAlign w:val="center"/>
          </w:tcPr>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投标与开标注意事项：</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1.本项目实行网上投标，采用电子投标文件。若供应商参与投标，自行承担投标一切费用。</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2.标前准备：各供应商应在开标前应确保成为浙江省政府采购网正式注册入库供应商，并完成CA数字证书办理。因未注册入库、未办理CA数字证书等原因造成无法投标或投标失败等后果由供应商自行承担。</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供应商将政采云电子交易客户端下载、安装完成后，可通过账号密码或CA登录客户端进行投标文件制作。在使用政采云投标客户端时，建议使用WIN7及以上操作系统。</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注：供应商先要申领CA，取得CA后需要在政采云平台进行绑定，CA相关操作可参考《CA申领操作指南》和《CA管理操作指南》。完成CA数字证书办理在资料齐全的情况下预计7个工作日左右，建议供应商获取招标文件后立即办理。</w:t>
            </w:r>
          </w:p>
          <w:p>
            <w:pPr>
              <w:snapToGrid w:val="0"/>
              <w:spacing w:line="440" w:lineRule="exact"/>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《CA申领操作指南》：https://help.zcygov.cn/web/site_2/2018/11-29/2452.html</w:t>
            </w:r>
          </w:p>
          <w:p>
            <w:pPr>
              <w:snapToGrid w:val="0"/>
              <w:spacing w:line="440" w:lineRule="exact"/>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《CA管理操作指南》：https://help.zcygov.cn/web/site_2/2019/08-20/3405.html</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《CA驱动和申领流程》:</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http://zfcg.czt.zj.gov.cn//bidClientTemplate/2019-05-27/12945.html</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3.投标文件制作、递交、解密：</w:t>
            </w:r>
          </w:p>
          <w:p>
            <w:pPr>
              <w:snapToGrid w:val="0"/>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3.1应按照本项目招标文件和政采云平台的要求编制、加密传输投标文件。供应商在使用系统进行投标的过程中遇到涉及平台使用的任何问题，可致电政采云平台技术支持热线咨询，联系方式：400-881-7190。</w:t>
            </w:r>
          </w:p>
          <w:p>
            <w:pPr>
              <w:snapToGrid w:val="0"/>
              <w:spacing w:line="440" w:lineRule="exact"/>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3.2投标人通过“政采云”平台制作电子投标文件，投标文件制作详见“供应商-政府采购项目电子交易操作指南：</w:t>
            </w:r>
            <w:r>
              <w:rPr>
                <w:color w:val="auto"/>
                <w:highlight w:val="none"/>
              </w:rPr>
              <w:fldChar w:fldCharType="begin"/>
            </w:r>
            <w:r>
              <w:rPr>
                <w:color w:val="auto"/>
                <w:highlight w:val="none"/>
              </w:rPr>
              <w:instrText xml:space="preserve"> HYPERLINK "https://help.zcygov.cn/web/site_2/2018/12-28/2573.html" </w:instrText>
            </w:r>
            <w:r>
              <w:rPr>
                <w:color w:val="auto"/>
                <w:highlight w:val="none"/>
              </w:rPr>
              <w:fldChar w:fldCharType="separate"/>
            </w:r>
            <w:r>
              <w:rPr>
                <w:rStyle w:val="48"/>
                <w:rFonts w:hint="eastAsia" w:ascii="仿宋_GB2312" w:hAnsi="仿宋" w:eastAsia="仿宋_GB2312"/>
                <w:color w:val="auto"/>
                <w:sz w:val="24"/>
                <w:highlight w:val="none"/>
              </w:rPr>
              <w:t>https://help.zcygov.cn/web/site_2/2018/12-28/2573.html</w:t>
            </w:r>
            <w:r>
              <w:rPr>
                <w:rStyle w:val="48"/>
                <w:rFonts w:hint="eastAsia" w:ascii="仿宋_GB2312" w:hAnsi="仿宋" w:eastAsia="仿宋_GB2312"/>
                <w:color w:val="auto"/>
                <w:sz w:val="24"/>
                <w:highlight w:val="none"/>
              </w:rPr>
              <w:fldChar w:fldCharType="end"/>
            </w:r>
            <w:r>
              <w:rPr>
                <w:rFonts w:hint="eastAsia" w:ascii="仿宋_GB2312" w:hAnsi="仿宋" w:eastAsia="仿宋_GB2312"/>
                <w:color w:val="auto"/>
                <w:sz w:val="24"/>
                <w:highlight w:val="none"/>
              </w:rPr>
              <w:t>”。</w:t>
            </w:r>
          </w:p>
          <w:p>
            <w:pPr>
              <w:snapToGrid w:val="0"/>
              <w:spacing w:line="440" w:lineRule="exact"/>
              <w:rPr>
                <w:rFonts w:ascii="仿宋" w:hAnsi="仿宋" w:eastAsia="仿宋"/>
                <w:color w:val="auto"/>
                <w:sz w:val="24"/>
                <w:highlight w:val="none"/>
              </w:rPr>
            </w:pPr>
            <w:r>
              <w:rPr>
                <w:rFonts w:hint="eastAsia" w:ascii="仿宋_GB2312" w:hAnsi="仿宋" w:eastAsia="仿宋_GB2312"/>
                <w:color w:val="auto"/>
                <w:sz w:val="24"/>
                <w:highlight w:val="none"/>
              </w:rPr>
              <w:t>3.3</w:t>
            </w:r>
            <w:r>
              <w:rPr>
                <w:rFonts w:hint="eastAsia" w:ascii="仿宋_GB2312" w:hAnsi="新宋体" w:eastAsia="仿宋_GB2312" w:cs="Arial"/>
                <w:color w:val="auto"/>
                <w:sz w:val="24"/>
                <w:highlight w:val="none"/>
              </w:rPr>
              <w:t>开标时间后3</w:t>
            </w:r>
            <w:r>
              <w:rPr>
                <w:rFonts w:ascii="仿宋_GB2312" w:hAnsi="新宋体" w:eastAsia="仿宋_GB2312" w:cs="Arial"/>
                <w:color w:val="auto"/>
                <w:sz w:val="24"/>
                <w:highlight w:val="none"/>
              </w:rPr>
              <w:t>0</w:t>
            </w:r>
            <w:r>
              <w:rPr>
                <w:rFonts w:hint="eastAsia" w:ascii="仿宋_GB2312" w:hAnsi="新宋体" w:eastAsia="仿宋_GB2312" w:cs="Arial"/>
                <w:color w:val="auto"/>
                <w:sz w:val="24"/>
                <w:highlight w:val="none"/>
              </w:rPr>
              <w:t>分钟内供应商可以登录“政采云”平台，用“项目采购-开标评标”功能进行解密投标文件。若供应商</w:t>
            </w:r>
            <w:r>
              <w:rPr>
                <w:rFonts w:hint="eastAsia" w:ascii="仿宋_GB2312" w:hAnsi="宋体" w:eastAsia="仿宋_GB2312"/>
                <w:b/>
                <w:color w:val="auto"/>
                <w:sz w:val="24"/>
                <w:highlight w:val="none"/>
                <w:u w:val="single"/>
              </w:rPr>
              <w:t>未按时解密的</w:t>
            </w:r>
            <w:r>
              <w:rPr>
                <w:rFonts w:hint="eastAsia" w:ascii="仿宋_GB2312" w:hAnsi="新宋体" w:eastAsia="仿宋_GB2312" w:cs="Arial"/>
                <w:color w:val="auto"/>
                <w:sz w:val="24"/>
                <w:highlight w:val="none"/>
              </w:rPr>
              <w:t>，</w:t>
            </w:r>
            <w:r>
              <w:rPr>
                <w:rFonts w:hint="eastAsia" w:ascii="仿宋_GB2312" w:hAnsi="宋体" w:eastAsia="仿宋_GB2312"/>
                <w:b/>
                <w:color w:val="auto"/>
                <w:sz w:val="24"/>
                <w:highlight w:val="none"/>
                <w:u w:val="single"/>
              </w:rPr>
              <w:t>视为投标文件撤回</w:t>
            </w:r>
            <w:r>
              <w:rPr>
                <w:rFonts w:hint="eastAsia" w:ascii="仿宋_GB2312" w:hAnsi="新宋体" w:eastAsia="仿宋_GB2312" w:cs="Arial"/>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69" w:type="dxa"/>
            <w:vAlign w:val="center"/>
          </w:tcPr>
          <w:p>
            <w:pPr>
              <w:spacing w:line="440" w:lineRule="exact"/>
              <w:jc w:val="center"/>
              <w:rPr>
                <w:rFonts w:hint="default" w:ascii="仿宋_GB2312" w:hAnsi="宋体" w:eastAsia="仿宋_GB2312"/>
                <w:color w:val="auto"/>
                <w:sz w:val="24"/>
                <w:highlight w:val="none"/>
                <w:lang w:val="en-US" w:eastAsia="zh-CN"/>
              </w:rPr>
            </w:pPr>
            <w:r>
              <w:rPr>
                <w:rFonts w:hint="eastAsia" w:ascii="仿宋_GB2312" w:hAnsi="宋体" w:eastAsia="仿宋_GB2312"/>
                <w:color w:val="auto"/>
                <w:sz w:val="24"/>
                <w:highlight w:val="none"/>
                <w:lang w:val="en-US" w:eastAsia="zh-CN"/>
              </w:rPr>
              <w:t>18</w:t>
            </w:r>
          </w:p>
        </w:tc>
        <w:tc>
          <w:tcPr>
            <w:tcW w:w="8371" w:type="dxa"/>
            <w:gridSpan w:val="2"/>
            <w:vAlign w:val="center"/>
          </w:tcPr>
          <w:p>
            <w:pPr>
              <w:autoSpaceDE w:val="0"/>
              <w:autoSpaceDN w:val="0"/>
              <w:spacing w:line="500" w:lineRule="exact"/>
              <w:textAlignment w:val="bottom"/>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采购代理服务费：</w:t>
            </w:r>
          </w:p>
          <w:p>
            <w:pPr>
              <w:autoSpaceDE w:val="0"/>
              <w:autoSpaceDN w:val="0"/>
              <w:spacing w:line="500" w:lineRule="exact"/>
              <w:textAlignment w:val="bottom"/>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采购代理服务费：中标人需支付以下费用（领取中标通知书前交纳），并在投标报价中自行考虑：</w:t>
            </w:r>
          </w:p>
          <w:p>
            <w:pPr>
              <w:autoSpaceDE w:val="0"/>
              <w:autoSpaceDN w:val="0"/>
              <w:spacing w:line="500" w:lineRule="exact"/>
              <w:textAlignment w:val="bottom"/>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（一）中标人须向采购代理机构按如下标准和规定交纳招标代理服务费：</w:t>
            </w:r>
          </w:p>
          <w:p>
            <w:pPr>
              <w:autoSpaceDE w:val="0"/>
              <w:autoSpaceDN w:val="0"/>
              <w:spacing w:line="500" w:lineRule="exact"/>
              <w:textAlignment w:val="bottom"/>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①以中标金额作为服务费的计算基数，</w:t>
            </w:r>
            <w:r>
              <w:rPr>
                <w:rFonts w:hint="eastAsia" w:ascii="仿宋" w:hAnsi="仿宋" w:eastAsia="仿宋" w:cs="仿宋"/>
                <w:color w:val="auto"/>
                <w:sz w:val="24"/>
                <w:highlight w:val="none"/>
                <w:u w:val="none"/>
                <w:lang w:val="en-US" w:eastAsia="zh-CN"/>
              </w:rPr>
              <w:t>参照</w:t>
            </w:r>
            <w:r>
              <w:rPr>
                <w:rFonts w:hint="eastAsia" w:ascii="仿宋" w:hAnsi="仿宋" w:eastAsia="仿宋" w:cs="仿宋"/>
                <w:color w:val="auto"/>
                <w:sz w:val="24"/>
                <w:highlight w:val="none"/>
                <w:u w:val="none"/>
              </w:rPr>
              <w:t>《国家计委关于印发&lt;招标代理服务收费管理暂行办法&gt;的通知》（计价格[2002]1980号）执行。不足</w:t>
            </w:r>
            <w:r>
              <w:rPr>
                <w:rFonts w:hint="eastAsia" w:ascii="仿宋" w:hAnsi="仿宋" w:eastAsia="仿宋" w:cs="仿宋"/>
                <w:color w:val="auto"/>
                <w:sz w:val="24"/>
                <w:highlight w:val="none"/>
                <w:u w:val="none"/>
                <w:lang w:val="en-US" w:eastAsia="zh-CN"/>
              </w:rPr>
              <w:t>5</w:t>
            </w:r>
            <w:r>
              <w:rPr>
                <w:rFonts w:hint="eastAsia" w:ascii="仿宋" w:hAnsi="仿宋" w:eastAsia="仿宋" w:cs="仿宋"/>
                <w:color w:val="auto"/>
                <w:sz w:val="24"/>
                <w:highlight w:val="none"/>
                <w:u w:val="none"/>
              </w:rPr>
              <w:t>00</w:t>
            </w:r>
            <w:r>
              <w:rPr>
                <w:rFonts w:hint="eastAsia" w:ascii="仿宋" w:hAnsi="仿宋" w:eastAsia="仿宋" w:cs="仿宋"/>
                <w:color w:val="auto"/>
                <w:sz w:val="24"/>
                <w:highlight w:val="none"/>
                <w:u w:val="none"/>
                <w:lang w:val="en-US" w:eastAsia="zh-CN"/>
              </w:rPr>
              <w:t>0</w:t>
            </w:r>
            <w:r>
              <w:rPr>
                <w:rFonts w:hint="eastAsia" w:ascii="仿宋" w:hAnsi="仿宋" w:eastAsia="仿宋" w:cs="仿宋"/>
                <w:color w:val="auto"/>
                <w:sz w:val="24"/>
                <w:highlight w:val="none"/>
                <w:u w:val="none"/>
              </w:rPr>
              <w:t>元按</w:t>
            </w:r>
            <w:r>
              <w:rPr>
                <w:rFonts w:hint="eastAsia" w:ascii="仿宋" w:hAnsi="仿宋" w:eastAsia="仿宋" w:cs="仿宋"/>
                <w:color w:val="auto"/>
                <w:sz w:val="24"/>
                <w:highlight w:val="none"/>
                <w:u w:val="none"/>
                <w:lang w:val="en-US" w:eastAsia="zh-CN"/>
              </w:rPr>
              <w:t>5</w:t>
            </w:r>
            <w:r>
              <w:rPr>
                <w:rFonts w:hint="eastAsia" w:ascii="仿宋" w:hAnsi="仿宋" w:eastAsia="仿宋" w:cs="仿宋"/>
                <w:color w:val="auto"/>
                <w:sz w:val="24"/>
                <w:highlight w:val="none"/>
                <w:u w:val="none"/>
              </w:rPr>
              <w:t>0</w:t>
            </w:r>
            <w:r>
              <w:rPr>
                <w:rFonts w:hint="eastAsia" w:ascii="仿宋" w:hAnsi="仿宋" w:eastAsia="仿宋" w:cs="仿宋"/>
                <w:color w:val="auto"/>
                <w:sz w:val="24"/>
                <w:highlight w:val="none"/>
                <w:u w:val="none"/>
                <w:lang w:val="en-US" w:eastAsia="zh-CN"/>
              </w:rPr>
              <w:t>0</w:t>
            </w:r>
            <w:r>
              <w:rPr>
                <w:rFonts w:hint="eastAsia" w:ascii="仿宋" w:hAnsi="仿宋" w:eastAsia="仿宋" w:cs="仿宋"/>
                <w:color w:val="auto"/>
                <w:sz w:val="24"/>
                <w:highlight w:val="none"/>
                <w:u w:val="none"/>
              </w:rPr>
              <w:t>0元计取。</w:t>
            </w:r>
          </w:p>
          <w:p>
            <w:pPr>
              <w:autoSpaceDE w:val="0"/>
              <w:autoSpaceDN w:val="0"/>
              <w:spacing w:line="500" w:lineRule="exact"/>
              <w:textAlignment w:val="bottom"/>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② 招标代理服务费的交纳方式：</w:t>
            </w:r>
          </w:p>
          <w:p>
            <w:pPr>
              <w:autoSpaceDE w:val="0"/>
              <w:autoSpaceDN w:val="0"/>
              <w:spacing w:line="500" w:lineRule="exact"/>
              <w:textAlignment w:val="bottom"/>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用银行支票、汇票、电汇、现金等付款方式直接交纳招标代理服务费。</w:t>
            </w:r>
          </w:p>
          <w:p>
            <w:pPr>
              <w:autoSpaceDE w:val="0"/>
              <w:autoSpaceDN w:val="0"/>
              <w:spacing w:line="500" w:lineRule="exact"/>
              <w:textAlignment w:val="bottom"/>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公司名称：浙江翔实建设项目管理有限公司</w:t>
            </w:r>
          </w:p>
          <w:p>
            <w:pPr>
              <w:autoSpaceDE w:val="0"/>
              <w:autoSpaceDN w:val="0"/>
              <w:spacing w:line="500" w:lineRule="exact"/>
              <w:textAlignment w:val="bottom"/>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开户行：建行绍兴越城支行 </w:t>
            </w:r>
          </w:p>
          <w:p>
            <w:pPr>
              <w:autoSpaceDE w:val="0"/>
              <w:autoSpaceDN w:val="0"/>
              <w:spacing w:line="500" w:lineRule="exact"/>
              <w:textAlignment w:val="bottom"/>
              <w:rPr>
                <w:rFonts w:hint="eastAsia" w:ascii="仿宋" w:hAnsi="仿宋" w:eastAsia="仿宋" w:cs="仿宋"/>
                <w:color w:val="auto"/>
                <w:sz w:val="24"/>
                <w:highlight w:val="none"/>
                <w:u w:val="none"/>
                <w:lang w:eastAsia="zh-CN"/>
              </w:rPr>
            </w:pPr>
            <w:r>
              <w:rPr>
                <w:rFonts w:hint="eastAsia" w:ascii="仿宋" w:hAnsi="仿宋" w:eastAsia="仿宋" w:cs="仿宋"/>
                <w:color w:val="auto"/>
                <w:sz w:val="24"/>
                <w:highlight w:val="none"/>
                <w:u w:val="none"/>
              </w:rPr>
              <w:t>账  号：33001653549053003519</w:t>
            </w:r>
            <w:r>
              <w:rPr>
                <w:rFonts w:hint="eastAsia" w:ascii="仿宋" w:hAnsi="仿宋" w:eastAsia="仿宋" w:cs="仿宋"/>
                <w:color w:val="auto"/>
                <w:sz w:val="24"/>
                <w:highlight w:val="none"/>
                <w:u w:val="none"/>
                <w:lang w:eastAsia="zh-CN"/>
              </w:rPr>
              <w:t>。</w:t>
            </w:r>
          </w:p>
          <w:p>
            <w:pPr>
              <w:snapToGrid w:val="0"/>
              <w:spacing w:line="440" w:lineRule="exact"/>
              <w:rPr>
                <w:rFonts w:hint="eastAsia" w:ascii="仿宋_GB2312" w:hAnsi="仿宋" w:eastAsia="仿宋_GB2312"/>
                <w:color w:val="auto"/>
                <w:sz w:val="24"/>
                <w:highlight w:val="none"/>
              </w:rPr>
            </w:pPr>
            <w:r>
              <w:rPr>
                <w:rFonts w:hint="eastAsia" w:ascii="仿宋" w:hAnsi="仿宋" w:eastAsia="仿宋" w:cs="仿宋"/>
                <w:color w:val="auto"/>
                <w:sz w:val="24"/>
                <w:highlight w:val="none"/>
                <w:u w:val="none"/>
              </w:rPr>
              <w:t>③领取中标通知书前交纳。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解释：凡涉及本招标文件的解释权属于采购人和</w:t>
            </w:r>
            <w:r>
              <w:rPr>
                <w:rFonts w:hint="eastAsia" w:ascii="仿宋_GB2312" w:hAnsi="宋体" w:eastAsia="仿宋_GB2312"/>
                <w:color w:val="auto"/>
                <w:sz w:val="24"/>
                <w:highlight w:val="none"/>
                <w:lang w:eastAsia="zh-CN"/>
              </w:rPr>
              <w:t>代理机构</w:t>
            </w:r>
            <w:r>
              <w:rPr>
                <w:rFonts w:hint="eastAsia" w:ascii="仿宋_GB2312" w:hAnsi="宋体" w:eastAsia="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pPr>
              <w:spacing w:line="440" w:lineRule="exact"/>
              <w:rPr>
                <w:rFonts w:ascii="仿宋_GB2312" w:eastAsia="仿宋_GB2312"/>
                <w:b/>
                <w:color w:val="auto"/>
                <w:sz w:val="24"/>
                <w:highlight w:val="none"/>
              </w:rPr>
            </w:pPr>
            <w:r>
              <w:rPr>
                <w:rFonts w:hint="eastAsia" w:ascii="仿宋_GB2312" w:eastAsia="仿宋_GB2312"/>
                <w:b/>
                <w:color w:val="auto"/>
                <w:sz w:val="24"/>
                <w:highlight w:val="none"/>
              </w:rPr>
              <w:t>注：中标人放弃中标资格或因质疑、投诉被取消中标资格或不能履行合同的，本项目重新组织采购。</w:t>
            </w:r>
          </w:p>
        </w:tc>
      </w:tr>
      <w:bookmarkEnd w:id="0"/>
    </w:tbl>
    <w:p>
      <w:pPr>
        <w:pageBreakBefore/>
        <w:snapToGrid w:val="0"/>
        <w:spacing w:line="300" w:lineRule="auto"/>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一、总则</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 项目说明</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1.1本招标文件</w:t>
      </w:r>
      <w:r>
        <w:rPr>
          <w:rFonts w:hint="eastAsia" w:ascii="仿宋" w:hAnsi="仿宋" w:eastAsia="仿宋"/>
          <w:color w:val="auto"/>
          <w:sz w:val="24"/>
          <w:highlight w:val="none"/>
        </w:rPr>
        <w:t>适用于该项目的招标、投标、开标、资格审查及信用信息查询、评标、定标、合同、验收等行为（法律、法规另有规定的，从其规定）。</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1.2投标人一旦参与本次招标活动，即被视为接受了本招标文件的所有内容，如有任何异议，均应在法定时间内提出。</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1.4本招标文件所称公章是指单位法定名称章或者冠以法定名称的投标业务专用章或单位法定名称电子公章。</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2. 定义</w:t>
      </w:r>
    </w:p>
    <w:p>
      <w:pPr>
        <w:snapToGrid w:val="0"/>
        <w:spacing w:line="440" w:lineRule="exact"/>
        <w:jc w:val="left"/>
        <w:rPr>
          <w:rFonts w:ascii="仿宋_GB2312" w:hAnsi="宋体" w:eastAsia="仿宋_GB2312"/>
          <w:color w:val="auto"/>
          <w:sz w:val="24"/>
          <w:highlight w:val="none"/>
        </w:rPr>
      </w:pPr>
      <w:r>
        <w:rPr>
          <w:rFonts w:hint="eastAsia" w:ascii="仿宋_GB2312" w:hAnsi="仿宋_GB2312" w:eastAsia="仿宋_GB2312" w:cs="仿宋_GB2312"/>
          <w:color w:val="auto"/>
          <w:sz w:val="24"/>
          <w:highlight w:val="none"/>
        </w:rPr>
        <w:t>2.1政府采购当事人及监管部门：</w:t>
      </w:r>
      <w:r>
        <w:rPr>
          <w:rFonts w:hint="eastAsia" w:ascii="仿宋_GB2312" w:hAnsi="仿宋_GB2312" w:eastAsia="仿宋_GB2312" w:cs="仿宋_GB2312"/>
          <w:color w:val="auto"/>
          <w:sz w:val="24"/>
          <w:highlight w:val="none"/>
          <w:lang w:eastAsia="zh-CN"/>
        </w:rPr>
        <w:t>绍兴市防汛防旱应急保障中心</w:t>
      </w:r>
      <w:r>
        <w:rPr>
          <w:rFonts w:hint="eastAsia" w:ascii="仿宋_GB2312" w:hAnsi="仿宋_GB2312" w:eastAsia="仿宋_GB2312" w:cs="仿宋_GB2312"/>
          <w:color w:val="auto"/>
          <w:sz w:val="24"/>
          <w:highlight w:val="none"/>
        </w:rPr>
        <w:t>为本项目的采购人（合同中的甲方），浙江翔实建设项目管理有限公司为采购代理机构，响应招标、参加投标竞争的法人、其他组织或者自然人为投标人，经评审产生并经批准的投标人为中标候选人，经公告无异议，并签订合同后的中标人为供应商（合同中的乙方），绍兴市财政局为政府采购监督管理部门。</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2.2“产品”系指供方按招标文件规定，经合法途径取得的，须向采购人提供的一切产品、保险、税金、安装、施工、调试、备品备件、工具、手册及其它有关技术资料和材料。</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2.3“服务”系指招标文件规定投标人须承担的安装、调试、技术协助、校准、培训、技术指导以及其他类似的义务。</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2.4“项目”系指投标人按招标文件规定向采购人提供的产品和服务。</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2.5“授权代表”系指法定代表人的被授权委托人。</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2.6“电子交易平台”是指本项目政府采购活动所依托的政府采购云平台（https://www.zcygov.cn/）。</w:t>
      </w:r>
    </w:p>
    <w:p>
      <w:pPr>
        <w:snapToGrid w:val="0"/>
        <w:spacing w:line="440" w:lineRule="exact"/>
        <w:jc w:val="left"/>
        <w:rPr>
          <w:rFonts w:ascii="仿宋_GB2312" w:hAnsi="仿宋" w:eastAsia="仿宋_GB2312"/>
          <w:color w:val="auto"/>
          <w:sz w:val="24"/>
          <w:highlight w:val="none"/>
        </w:rPr>
      </w:pPr>
      <w:r>
        <w:rPr>
          <w:rFonts w:hint="eastAsia" w:ascii="仿宋_GB2312" w:hAnsi="宋体" w:eastAsia="仿宋_GB2312"/>
          <w:color w:val="auto"/>
          <w:sz w:val="24"/>
          <w:highlight w:val="none"/>
        </w:rPr>
        <w:t>2.7 “★”系指实质性指标要求条款，“▲”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_GB2312" w:hAnsi="仿宋" w:eastAsia="仿宋_GB2312"/>
          <w:color w:val="auto"/>
          <w:sz w:val="24"/>
          <w:highlight w:val="none"/>
        </w:rPr>
        <w:t>“</w:t>
      </w:r>
      <w:sdt>
        <w:sdtPr>
          <w:rPr>
            <w:rFonts w:hint="eastAsia" w:ascii="仿宋_GB2312" w:hAnsi="仿宋" w:eastAsia="仿宋_GB2312" w:cs="Arial"/>
            <w:color w:val="auto"/>
            <w:kern w:val="0"/>
            <w:sz w:val="24"/>
            <w:highlight w:val="none"/>
          </w:rPr>
          <w:id w:val="512970236"/>
        </w:sdtPr>
        <w:sdtEndPr>
          <w:rPr>
            <w:rFonts w:hint="eastAsia" w:ascii="仿宋_GB2312" w:hAnsi="仿宋" w:eastAsia="仿宋_GB2312" w:cs="Arial"/>
            <w:color w:val="auto"/>
            <w:kern w:val="0"/>
            <w:sz w:val="24"/>
            <w:highlight w:val="none"/>
          </w:rPr>
        </w:sdtEndPr>
        <w:sdtContent>
          <w:r>
            <w:rPr>
              <w:rFonts w:ascii="Wingdings" w:hAnsi="Wingdings" w:eastAsia="仿宋_GB2312" w:cs="Arial"/>
              <w:color w:val="auto"/>
              <w:kern w:val="0"/>
              <w:sz w:val="24"/>
              <w:highlight w:val="none"/>
            </w:rPr>
            <w:t></w:t>
          </w:r>
        </w:sdtContent>
      </w:sdt>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系指适用本项目的要求，“</w:t>
      </w:r>
      <w:sdt>
        <w:sdtPr>
          <w:rPr>
            <w:rFonts w:hint="eastAsia" w:ascii="仿宋_GB2312" w:hAnsi="仿宋" w:eastAsia="仿宋_GB2312" w:cs="Arial"/>
            <w:color w:val="auto"/>
            <w:kern w:val="0"/>
            <w:sz w:val="24"/>
            <w:highlight w:val="none"/>
          </w:rPr>
          <w:id w:val="404888855"/>
        </w:sdtPr>
        <w:sdtEndPr>
          <w:rPr>
            <w:rFonts w:hint="eastAsia" w:ascii="仿宋_GB2312" w:hAnsi="仿宋" w:eastAsia="仿宋_GB2312" w:cs="Arial"/>
            <w:color w:val="auto"/>
            <w:kern w:val="0"/>
            <w:sz w:val="24"/>
            <w:highlight w:val="none"/>
          </w:rPr>
        </w:sdtEndPr>
        <w:sdtContent>
          <w:r>
            <w:rPr>
              <w:rFonts w:ascii="MS Gothic" w:hAnsi="MS Gothic" w:eastAsia="MS Gothic" w:cs="Arial"/>
              <w:color w:val="auto"/>
              <w:kern w:val="0"/>
              <w:sz w:val="24"/>
              <w:highlight w:val="none"/>
            </w:rPr>
            <w:t>☐</w:t>
          </w:r>
        </w:sdtContent>
      </w:sdt>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系指不适用本项目的要求。</w:t>
      </w:r>
    </w:p>
    <w:p>
      <w:pPr>
        <w:snapToGrid w:val="0"/>
        <w:spacing w:line="440" w:lineRule="exact"/>
        <w:jc w:val="left"/>
        <w:rPr>
          <w:rFonts w:ascii="仿宋_GB2312" w:hAnsi="宋体" w:eastAsia="仿宋_GB2312"/>
          <w:color w:val="auto"/>
          <w:sz w:val="24"/>
          <w:highlight w:val="none"/>
        </w:rPr>
      </w:pPr>
      <w:r>
        <w:rPr>
          <w:rFonts w:hint="eastAsia" w:ascii="仿宋_GB2312" w:hAnsi="仿宋" w:eastAsia="仿宋_GB2312"/>
          <w:color w:val="auto"/>
          <w:sz w:val="24"/>
          <w:highlight w:val="none"/>
        </w:rPr>
        <w:t>2.8因特殊原因需要使用冠以法定名称的业务专用章的，投标时须提供《业务专用章使用说明函》(详见附件)</w:t>
      </w:r>
    </w:p>
    <w:p>
      <w:pPr>
        <w:spacing w:line="440" w:lineRule="exact"/>
        <w:rPr>
          <w:rFonts w:ascii="仿宋_GB2312" w:hAnsi="仿宋" w:eastAsia="仿宋_GB2312"/>
          <w:b/>
          <w:color w:val="auto"/>
          <w:sz w:val="24"/>
          <w:highlight w:val="none"/>
        </w:rPr>
      </w:pPr>
      <w:r>
        <w:rPr>
          <w:rFonts w:hint="eastAsia" w:ascii="仿宋_GB2312" w:hAnsi="仿宋" w:eastAsia="仿宋_GB2312"/>
          <w:b/>
          <w:color w:val="auto"/>
          <w:sz w:val="24"/>
          <w:highlight w:val="none"/>
        </w:rPr>
        <w:t>3.采购项目需要落实的政府采购政策</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440" w:lineRule="exact"/>
        <w:rPr>
          <w:rFonts w:ascii="仿宋_GB2312" w:hAnsi="仿宋" w:eastAsia="仿宋_GB2312"/>
          <w:b/>
          <w:color w:val="auto"/>
          <w:sz w:val="24"/>
          <w:highlight w:val="none"/>
        </w:rPr>
      </w:pPr>
      <w:r>
        <w:rPr>
          <w:rFonts w:hint="eastAsia" w:ascii="仿宋_GB2312" w:hAnsi="仿宋" w:eastAsia="仿宋_GB2312"/>
          <w:color w:val="auto"/>
          <w:sz w:val="24"/>
          <w:highlight w:val="none"/>
        </w:rPr>
        <w:t>3.2.2</w:t>
      </w:r>
      <w:r>
        <w:rPr>
          <w:rFonts w:hint="eastAsia" w:ascii="仿宋_GB2312" w:hAnsi="仿宋" w:eastAsia="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3.2.</w:t>
      </w:r>
      <w:r>
        <w:rPr>
          <w:rFonts w:hint="eastAsia" w:ascii="仿宋_GB2312" w:hAnsi="仿宋" w:eastAsia="仿宋_GB2312"/>
          <w:color w:val="auto"/>
          <w:sz w:val="24"/>
          <w:highlight w:val="none"/>
        </w:rPr>
        <w:t>3</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修缮、装修类项目采购建材的，采购人应将绿色建筑和绿色建材性能、指标等作为实质性条件纳入招标文件和合同。</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3.2.</w:t>
      </w:r>
      <w:r>
        <w:rPr>
          <w:rFonts w:hint="eastAsia" w:ascii="仿宋_GB2312" w:hAnsi="仿宋" w:eastAsia="仿宋_GB2312"/>
          <w:color w:val="auto"/>
          <w:sz w:val="24"/>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w:t>
      </w:r>
      <w:r>
        <w:rPr>
          <w:rFonts w:hint="eastAsia" w:ascii="仿宋_GB2312" w:hAnsi="仿宋" w:eastAsia="仿宋_GB2312"/>
          <w:bCs/>
          <w:color w:val="auto"/>
          <w:sz w:val="24"/>
          <w:highlight w:val="none"/>
        </w:rPr>
        <w:t>小微</w:t>
      </w:r>
      <w:r>
        <w:rPr>
          <w:rFonts w:hint="eastAsia" w:ascii="仿宋_GB2312" w:hAnsi="仿宋" w:eastAsia="仿宋_GB2312"/>
          <w:color w:val="auto"/>
          <w:sz w:val="24"/>
          <w:highlight w:val="none"/>
        </w:rPr>
        <w:t>企业价格扣除。</w:t>
      </w:r>
    </w:p>
    <w:p>
      <w:pPr>
        <w:spacing w:line="440" w:lineRule="exact"/>
        <w:rPr>
          <w:rFonts w:ascii="仿宋_GB2312" w:hAnsi="仿宋" w:eastAsia="仿宋_GB2312"/>
          <w:bCs/>
          <w:color w:val="auto"/>
          <w:sz w:val="24"/>
          <w:highlight w:val="none"/>
        </w:rPr>
      </w:pPr>
      <w:r>
        <w:rPr>
          <w:rFonts w:hint="eastAsia" w:ascii="仿宋_GB2312" w:hAnsi="仿宋" w:eastAsia="仿宋_GB2312"/>
          <w:color w:val="auto"/>
          <w:sz w:val="24"/>
          <w:highlight w:val="none"/>
        </w:rPr>
        <w:t>3.3.1小微企业是指</w:t>
      </w:r>
      <w:r>
        <w:rPr>
          <w:rFonts w:hint="eastAsia" w:ascii="仿宋_GB2312" w:hAnsi="仿宋" w:eastAsia="仿宋_GB2312"/>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pPr>
        <w:spacing w:line="440" w:lineRule="exact"/>
        <w:ind w:firstLine="480" w:firstLineChars="200"/>
        <w:rPr>
          <w:rFonts w:ascii="仿宋_GB2312" w:hAnsi="仿宋" w:eastAsia="仿宋_GB2312"/>
          <w:bCs/>
          <w:color w:val="auto"/>
          <w:sz w:val="24"/>
          <w:highlight w:val="none"/>
        </w:rPr>
      </w:pPr>
      <w:r>
        <w:rPr>
          <w:rFonts w:hint="eastAsia" w:ascii="仿宋_GB2312" w:hAnsi="仿宋" w:eastAsia="仿宋_GB2312"/>
          <w:bCs/>
          <w:color w:val="auto"/>
          <w:sz w:val="24"/>
          <w:highlight w:val="none"/>
        </w:rPr>
        <w:t>符合中小企业划分标准的个体工商户，在政府采购活动中视同中小企业。</w:t>
      </w:r>
    </w:p>
    <w:p>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3.3.2在货物采购项目中，货物由小微企业制造，即货物由小微企业生产且使用该小微企业商号或者注册商标。</w:t>
      </w:r>
      <w:r>
        <w:rPr>
          <w:rFonts w:hint="eastAsia" w:ascii="仿宋_GB2312" w:hAnsi="仿宋" w:eastAsia="仿宋_GB2312"/>
          <w:b/>
          <w:bCs/>
          <w:color w:val="auto"/>
          <w:sz w:val="24"/>
          <w:highlight w:val="none"/>
        </w:rPr>
        <w:t>供应商提供的货物既有中小企业制造货物，也有大型企业制造货物的，不享受中小企业扶持政策。</w:t>
      </w:r>
    </w:p>
    <w:p>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3.3.3在服务采购项目中，服务由小微企业承接，即提供服务的人员为小微企业依照《中华人民共和国劳动合同法》订立劳动合同的从业人员。</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3.3.4小微企业应按照招标文件格式要求提供《中小企业声明函》。</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ascii="仿宋_GB2312" w:hAnsi="仿宋" w:eastAsia="仿宋_GB2312"/>
          <w:color w:val="auto"/>
          <w:sz w:val="24"/>
          <w:highlight w:val="none"/>
        </w:rPr>
        <w:t>3</w:t>
      </w:r>
      <w:r>
        <w:rPr>
          <w:rFonts w:hint="eastAsia" w:ascii="仿宋_GB2312" w:hAnsi="仿宋" w:eastAsia="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440" w:lineRule="exact"/>
        <w:ind w:firstLine="482" w:firstLineChars="200"/>
        <w:rPr>
          <w:rFonts w:ascii="仿宋_GB2312" w:hAnsi="仿宋" w:eastAsia="仿宋_GB2312"/>
          <w:b/>
          <w:color w:val="auto"/>
          <w:sz w:val="24"/>
          <w:highlight w:val="none"/>
        </w:rPr>
      </w:pPr>
      <w:r>
        <w:rPr>
          <w:rFonts w:hint="eastAsia" w:ascii="仿宋_GB2312" w:hAnsi="仿宋" w:eastAsia="仿宋_GB2312"/>
          <w:b/>
          <w:color w:val="auto"/>
          <w:sz w:val="24"/>
          <w:highlight w:val="none"/>
        </w:rPr>
        <w:t>以联合体形式参加政府采购活动， 联合体各方均为中小企业的，联合体视同中小企业。其中，联合体各方均为小微企业的，联合体视同小微企业。</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3.3.7符合《关于促进残疾人就业政府采购政策的通知》（财库〔2017〕141号）规定的条件并提供《残疾人福利性单位声明函》（附件1）的残疾人福利性单位视同小微企业；</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3.4</w:t>
      </w:r>
      <w:r>
        <w:rPr>
          <w:rFonts w:hint="eastAsia" w:ascii="仿宋_GB2312" w:eastAsia="仿宋_GB2312"/>
          <w:bCs/>
          <w:color w:val="auto"/>
          <w:sz w:val="24"/>
          <w:highlight w:val="none"/>
        </w:rPr>
        <w:t>支持创新发展</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3.4.1 采购人优先采购被认定</w:t>
      </w:r>
      <w:r>
        <w:rPr>
          <w:rFonts w:hint="eastAsia" w:ascii="仿宋_GB2312" w:hAnsi="仿宋" w:eastAsia="仿宋_GB2312"/>
          <w:color w:val="auto"/>
          <w:sz w:val="24"/>
          <w:highlight w:val="none"/>
        </w:rPr>
        <w:t>为首台套产品和“制造精品”的自主创新产品。</w:t>
      </w:r>
    </w:p>
    <w:p>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3.4.2首台套产品</w:t>
      </w:r>
      <w:r>
        <w:rPr>
          <w:rFonts w:hint="eastAsia" w:ascii="仿宋_GB2312" w:hAnsi="仿宋" w:eastAsia="仿宋_GB2312"/>
          <w:color w:val="auto"/>
          <w:sz w:val="24"/>
          <w:highlight w:val="none"/>
        </w:rPr>
        <w:t>被纳入《首台套产品推广应用指导目录》之日起</w:t>
      </w:r>
      <w:r>
        <w:rPr>
          <w:rFonts w:ascii="仿宋_GB2312" w:hAnsi="仿宋" w:eastAsia="仿宋_GB2312"/>
          <w:color w:val="auto"/>
          <w:sz w:val="24"/>
          <w:highlight w:val="none"/>
        </w:rPr>
        <w:t>2年内，以及产品核心技术高于国内领先水平，并具有明晰自主知识产权的“制造精品”产品，</w:t>
      </w:r>
      <w:r>
        <w:rPr>
          <w:rFonts w:hint="eastAsia" w:ascii="仿宋_GB2312" w:hAnsi="仿宋" w:eastAsia="仿宋_GB2312"/>
          <w:color w:val="auto"/>
          <w:sz w:val="24"/>
          <w:highlight w:val="none"/>
        </w:rPr>
        <w:t>自认定之日起</w:t>
      </w:r>
      <w:r>
        <w:rPr>
          <w:rFonts w:ascii="仿宋_GB2312" w:hAnsi="仿宋" w:eastAsia="仿宋_GB2312"/>
          <w:color w:val="auto"/>
          <w:sz w:val="24"/>
          <w:highlight w:val="none"/>
        </w:rPr>
        <w:t>2年内视同已具备相应销售业绩，参加政府采购活动</w:t>
      </w:r>
      <w:r>
        <w:rPr>
          <w:rFonts w:hint="eastAsia" w:ascii="仿宋_GB2312" w:hAnsi="仿宋" w:eastAsia="仿宋_GB2312"/>
          <w:color w:val="auto"/>
          <w:sz w:val="24"/>
          <w:highlight w:val="none"/>
        </w:rPr>
        <w:t>时业绩分值为满分。</w:t>
      </w:r>
    </w:p>
    <w:p>
      <w:pPr>
        <w:spacing w:line="440" w:lineRule="exact"/>
        <w:rPr>
          <w:rFonts w:ascii="仿宋_GB2312" w:hAnsi="仿宋" w:eastAsia="仿宋_GB2312"/>
          <w:color w:val="auto"/>
          <w:sz w:val="24"/>
          <w:highlight w:val="none"/>
        </w:rPr>
      </w:pPr>
      <w:r>
        <w:rPr>
          <w:rFonts w:hint="eastAsia" w:ascii="仿宋_GB2312" w:hAnsi="宋体" w:eastAsia="仿宋_GB2312"/>
          <w:color w:val="auto"/>
          <w:sz w:val="24"/>
          <w:highlight w:val="none"/>
        </w:rPr>
        <w:t>★</w:t>
      </w:r>
      <w:r>
        <w:rPr>
          <w:rFonts w:hint="eastAsia" w:ascii="仿宋_GB2312" w:hAnsi="仿宋" w:eastAsia="仿宋_GB2312"/>
          <w:color w:val="auto"/>
          <w:sz w:val="24"/>
          <w:highlight w:val="none"/>
        </w:rPr>
        <w:t>4.特别说明：</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4.1供应商投标所使用的资格、信誉、荣誉、业绩与企业认证必须为投标单位所拥有。供应商投标所使用的采购项目实施人员必须为投标单位正式员工。</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4.2供应商应仔细阅读招标文件的所有内容，按照招标文件的要求提交投标文件，并对所提供的全部资料的真实性承担法律责任。</w:t>
      </w:r>
    </w:p>
    <w:p>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4.3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pPr>
        <w:snapToGrid w:val="0"/>
        <w:spacing w:beforeLines="50" w:afterLines="50"/>
        <w:jc w:val="center"/>
        <w:rPr>
          <w:rFonts w:ascii="仿宋_GB2312" w:hAnsi="宋体" w:eastAsia="仿宋_GB2312"/>
          <w:color w:val="auto"/>
          <w:sz w:val="24"/>
          <w:highlight w:val="none"/>
        </w:rPr>
      </w:pPr>
      <w:r>
        <w:rPr>
          <w:rFonts w:hint="eastAsia" w:ascii="仿宋_GB2312" w:hAnsi="宋体" w:eastAsia="仿宋_GB2312"/>
          <w:b/>
          <w:color w:val="auto"/>
          <w:sz w:val="36"/>
          <w:szCs w:val="36"/>
          <w:highlight w:val="none"/>
        </w:rPr>
        <w:t>二、招标文件</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1．招标方式</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 本次招标采用</w:t>
      </w:r>
      <w:r>
        <w:rPr>
          <w:rFonts w:hint="eastAsia" w:ascii="仿宋_GB2312" w:hAnsi="宋体" w:eastAsia="仿宋_GB2312"/>
          <w:b/>
          <w:color w:val="auto"/>
          <w:kern w:val="0"/>
          <w:sz w:val="24"/>
          <w:highlight w:val="none"/>
        </w:rPr>
        <w:t>公开招标</w:t>
      </w:r>
      <w:r>
        <w:rPr>
          <w:rFonts w:hint="eastAsia" w:ascii="仿宋_GB2312" w:hAnsi="宋体" w:eastAsia="仿宋_GB2312"/>
          <w:color w:val="auto"/>
          <w:sz w:val="24"/>
          <w:highlight w:val="none"/>
        </w:rPr>
        <w:t>方式进行。</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color w:val="auto"/>
          <w:sz w:val="24"/>
          <w:highlight w:val="none"/>
        </w:rPr>
        <w:t>1.2 如某一标项投标人或实质性响应招标文件的投标人不足三家时，由采购人重新组织招标或按有关规定实施。</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1.3 本次招标设定限价，即招标公告中公布的各标项预算金额或最高限价（各标项之间的预算金额不能互相调整）。</w:t>
      </w:r>
    </w:p>
    <w:p>
      <w:pPr>
        <w:pStyle w:val="19"/>
        <w:snapToGrid w:val="0"/>
        <w:spacing w:after="0" w:line="440" w:lineRule="exact"/>
        <w:ind w:left="0" w:leftChars="0"/>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2.授权委托</w:t>
      </w:r>
    </w:p>
    <w:p>
      <w:pPr>
        <w:pStyle w:val="15"/>
        <w:tabs>
          <w:tab w:val="clear" w:pos="454"/>
        </w:tabs>
        <w:spacing w:afterLines="0" w:line="440" w:lineRule="exact"/>
        <w:ind w:left="0" w:firstLine="480" w:firstLineChars="200"/>
        <w:rPr>
          <w:rFonts w:ascii="仿宋_GB2312" w:hAnsi="宋体" w:eastAsia="仿宋_GB2312"/>
          <w:color w:val="auto"/>
          <w:highlight w:val="none"/>
        </w:rPr>
      </w:pPr>
      <w:r>
        <w:rPr>
          <w:rFonts w:hint="eastAsia" w:ascii="仿宋_GB2312" w:hAnsi="宋体" w:eastAsia="仿宋_GB2312"/>
          <w:color w:val="auto"/>
          <w:highlight w:val="none"/>
        </w:rPr>
        <w:t>本项目为电子投标项目，投标人的法定代表人或其授权代表或个体工商户不需要参加现场投标和开标。</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3. 投标费用</w:t>
      </w:r>
    </w:p>
    <w:p>
      <w:pPr>
        <w:pStyle w:val="15"/>
        <w:tabs>
          <w:tab w:val="clear" w:pos="454"/>
        </w:tabs>
        <w:spacing w:afterLines="0" w:line="440" w:lineRule="exact"/>
        <w:ind w:left="0" w:firstLine="480" w:firstLineChars="200"/>
        <w:rPr>
          <w:rFonts w:ascii="仿宋_GB2312" w:hAnsi="宋体" w:eastAsia="仿宋_GB2312"/>
          <w:color w:val="auto"/>
          <w:highlight w:val="none"/>
        </w:rPr>
      </w:pPr>
      <w:r>
        <w:rPr>
          <w:rFonts w:hint="eastAsia" w:ascii="仿宋_GB2312" w:hAnsi="宋体" w:eastAsia="仿宋_GB2312"/>
          <w:color w:val="auto"/>
          <w:highlight w:val="none"/>
        </w:rPr>
        <w:t>投标人应自行承担编制投标文件及参加本次投标所涉及的一切费用。不管投标结果如何，招标人对上述费用不负任何责任。</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4. 招标文件的修改</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4.1 </w:t>
      </w:r>
      <w:r>
        <w:rPr>
          <w:rFonts w:hint="eastAsia" w:ascii="仿宋_GB2312" w:hAnsi="宋体" w:eastAsia="仿宋_GB2312"/>
          <w:bCs/>
          <w:color w:val="auto"/>
          <w:sz w:val="24"/>
          <w:highlight w:val="none"/>
        </w:rPr>
        <w:t>招标文件包括本招标文件及所有的招标答疑记录（澄清、修改）和发出的补充通知</w:t>
      </w:r>
      <w:r>
        <w:rPr>
          <w:rFonts w:hint="eastAsia" w:ascii="仿宋_GB2312" w:hAnsi="宋体" w:eastAsia="仿宋_GB2312"/>
          <w:color w:val="auto"/>
          <w:sz w:val="24"/>
          <w:highlight w:val="none"/>
        </w:rPr>
        <w:t>。</w:t>
      </w:r>
    </w:p>
    <w:p>
      <w:pPr>
        <w:pStyle w:val="15"/>
        <w:widowControl w:val="0"/>
        <w:tabs>
          <w:tab w:val="clear" w:pos="454"/>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 xml:space="preserve">4.2招标文件的澄清 </w:t>
      </w:r>
    </w:p>
    <w:p>
      <w:pPr>
        <w:pStyle w:val="15"/>
        <w:widowControl w:val="0"/>
        <w:tabs>
          <w:tab w:val="clear" w:pos="454"/>
        </w:tabs>
        <w:spacing w:afterLines="0" w:line="440" w:lineRule="exact"/>
        <w:ind w:left="0" w:firstLine="480" w:firstLineChars="200"/>
        <w:rPr>
          <w:rFonts w:ascii="仿宋_GB2312" w:hAnsi="宋体" w:eastAsia="仿宋_GB2312"/>
          <w:color w:val="auto"/>
          <w:highlight w:val="none"/>
        </w:rPr>
      </w:pPr>
      <w:r>
        <w:rPr>
          <w:rFonts w:hint="eastAsia" w:ascii="仿宋_GB2312" w:hAnsi="宋体" w:eastAsia="仿宋_GB2312"/>
          <w:color w:val="auto"/>
          <w:highlight w:val="none"/>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pStyle w:val="15"/>
        <w:tabs>
          <w:tab w:val="clear" w:pos="454"/>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4.3招标文件的修改</w:t>
      </w:r>
    </w:p>
    <w:p>
      <w:pPr>
        <w:pStyle w:val="15"/>
        <w:tabs>
          <w:tab w:val="clear" w:pos="454"/>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5.参考品牌</w:t>
      </w:r>
    </w:p>
    <w:p>
      <w:pPr>
        <w:snapToGrid w:val="0"/>
        <w:spacing w:line="440" w:lineRule="exact"/>
        <w:ind w:firstLine="470" w:firstLineChars="19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pPr>
        <w:snapToGrid w:val="0"/>
        <w:spacing w:line="800" w:lineRule="exact"/>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三、投标文件</w:t>
      </w:r>
    </w:p>
    <w:p>
      <w:pPr>
        <w:numPr>
          <w:ilvl w:val="0"/>
          <w:numId w:val="5"/>
        </w:num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投标文件的语言、计量单位、形式及效力</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1.1投标人应仔细阅读招标文件中的所有内容，按照招标文件要求，详细编制投标文件，并保证投标文件的正确性和真实性。</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1.2 投标文件以及投标方与招标方就有关投标事宜的所有来往函电，均应以中文书写（技术术语除外）。</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1.3 投标计量单位，除招标文件中有特殊要求外，应采用中华人民共和国法定计量单位，货币单位：人民币元。</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1.4不按招标文件的要求提供的投标文件可能导致被拒绝。</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1.5投标文件的形式和效力</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1.5.1投标文件为电子投标文件，电子投标文件按“政采云供应商项目采购-电子招投标操作指南”及本招标文件要求制作、加密传输。</w:t>
      </w:r>
    </w:p>
    <w:p>
      <w:pPr>
        <w:snapToGrid w:val="0"/>
        <w:spacing w:line="440" w:lineRule="exact"/>
        <w:jc w:val="left"/>
        <w:rPr>
          <w:rFonts w:ascii="仿宋_GB2312" w:hAnsi="宋体" w:eastAsia="仿宋_GB2312"/>
          <w:b/>
          <w:color w:val="auto"/>
          <w:sz w:val="24"/>
          <w:highlight w:val="none"/>
          <w:u w:val="single"/>
        </w:rPr>
      </w:pPr>
      <w:r>
        <w:rPr>
          <w:rFonts w:hint="eastAsia" w:ascii="仿宋_GB2312" w:hAnsi="宋体" w:eastAsia="仿宋_GB2312"/>
          <w:b/>
          <w:color w:val="auto"/>
          <w:sz w:val="24"/>
          <w:highlight w:val="none"/>
          <w:u w:val="single"/>
        </w:rPr>
        <w:t>1.5.2投标文件的效力：</w:t>
      </w:r>
    </w:p>
    <w:p>
      <w:pPr>
        <w:snapToGrid w:val="0"/>
        <w:spacing w:line="440" w:lineRule="exact"/>
        <w:ind w:firstLine="472" w:firstLineChars="196"/>
        <w:jc w:val="left"/>
        <w:rPr>
          <w:rFonts w:ascii="仿宋_GB2312" w:hAnsi="宋体" w:eastAsia="仿宋_GB2312"/>
          <w:b/>
          <w:color w:val="auto"/>
          <w:sz w:val="24"/>
          <w:highlight w:val="none"/>
          <w:u w:val="single"/>
        </w:rPr>
      </w:pPr>
      <w:r>
        <w:rPr>
          <w:rFonts w:hint="eastAsia" w:ascii="仿宋_GB2312" w:hAnsi="宋体" w:eastAsia="仿宋_GB2312"/>
          <w:b/>
          <w:color w:val="auto"/>
          <w:sz w:val="24"/>
          <w:highlight w:val="none"/>
          <w:u w:val="single"/>
        </w:rPr>
        <w:t>投标文件未在投标截止时间前完成传输的，视为投标文件撤回；投标文件未按时解密，亦视为投标文件撤回。</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2. 投标文件的组成</w:t>
      </w:r>
    </w:p>
    <w:p>
      <w:pPr>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投标文件由“报价文件资料”、“商务技术（资信）文件资料”两部分组成，</w:t>
      </w:r>
      <w:r>
        <w:rPr>
          <w:rFonts w:hint="eastAsia" w:ascii="仿宋" w:hAnsi="仿宋" w:eastAsia="仿宋"/>
          <w:color w:val="auto"/>
          <w:sz w:val="24"/>
          <w:highlight w:val="none"/>
        </w:rPr>
        <w:t>其中</w:t>
      </w:r>
      <w:r>
        <w:rPr>
          <w:rFonts w:hint="eastAsia" w:ascii="仿宋" w:hAnsi="仿宋" w:eastAsia="仿宋"/>
          <w:b/>
          <w:color w:val="auto"/>
          <w:sz w:val="24"/>
          <w:highlight w:val="none"/>
        </w:rPr>
        <w:t>电子投标文件中所须加盖公章部分均应采用电子签章。</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2.1 “报价文件资料”应包含以下内容：</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2.1.1投标响应函（格式见第六部分附件）； </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2.1.2开标一览表（格式见第六部分附件）；</w:t>
      </w:r>
    </w:p>
    <w:p>
      <w:pPr>
        <w:pStyle w:val="24"/>
        <w:spacing w:line="440" w:lineRule="exact"/>
        <w:rPr>
          <w:rFonts w:ascii="仿宋_GB2312" w:hAnsi="宋体" w:eastAsia="仿宋_GB2312"/>
          <w:b w:val="0"/>
          <w:color w:val="auto"/>
          <w:sz w:val="24"/>
          <w:highlight w:val="none"/>
        </w:rPr>
      </w:pPr>
      <w:r>
        <w:rPr>
          <w:rFonts w:hint="eastAsia" w:ascii="仿宋_GB2312" w:hAnsi="宋体" w:eastAsia="仿宋_GB2312"/>
          <w:b w:val="0"/>
          <w:color w:val="auto"/>
          <w:sz w:val="24"/>
          <w:highlight w:val="none"/>
        </w:rPr>
        <w:t>2.1.3中小企业声明函（如有，格式见第六部分附件）；</w:t>
      </w:r>
    </w:p>
    <w:p>
      <w:pPr>
        <w:pStyle w:val="24"/>
        <w:spacing w:line="440" w:lineRule="exact"/>
        <w:rPr>
          <w:rFonts w:ascii="仿宋_GB2312" w:hAnsi="宋体" w:eastAsia="仿宋_GB2312"/>
          <w:b w:val="0"/>
          <w:color w:val="auto"/>
          <w:sz w:val="24"/>
          <w:highlight w:val="none"/>
        </w:rPr>
      </w:pPr>
      <w:r>
        <w:rPr>
          <w:rFonts w:hint="eastAsia" w:ascii="仿宋_GB2312" w:hAnsi="宋体" w:eastAsia="仿宋_GB2312"/>
          <w:b w:val="0"/>
          <w:color w:val="auto"/>
          <w:sz w:val="24"/>
          <w:highlight w:val="none"/>
        </w:rPr>
        <w:t>2.1.4残疾人福利性单位声明函（如有，格式见第六部分附件）。</w:t>
      </w:r>
    </w:p>
    <w:p>
      <w:pPr>
        <w:tabs>
          <w:tab w:val="left" w:pos="3870"/>
          <w:tab w:val="left" w:pos="4085"/>
        </w:tabs>
        <w:snapToGrid w:val="0"/>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以上文件组成“报价文件资料”。投标人在“报价文件资料”中应对招标文件作实质性响应，该项内容将作为评标重要指标。</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 “商务技术（资信）文件资料”应包括以下内容（正本用原件）：</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2.2.1法定代表人授权委托书(格式见第六部分附件)；</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2.2.2授权代表社保证明（格式见第六部分附件）；</w:t>
      </w:r>
    </w:p>
    <w:p>
      <w:pPr>
        <w:snapToGrid w:val="0"/>
        <w:spacing w:line="440" w:lineRule="exact"/>
        <w:jc w:val="left"/>
        <w:rPr>
          <w:rFonts w:hint="eastAsia" w:ascii="仿宋_GB2312" w:hAnsi="宋体" w:eastAsia="仿宋_GB2312"/>
          <w:color w:val="auto"/>
          <w:sz w:val="24"/>
          <w:highlight w:val="none"/>
          <w:lang w:eastAsia="zh-CN"/>
        </w:rPr>
      </w:pPr>
      <w:r>
        <w:rPr>
          <w:rFonts w:hint="eastAsia" w:ascii="仿宋_GB2312" w:hAnsi="宋体" w:eastAsia="仿宋_GB2312"/>
          <w:color w:val="auto"/>
          <w:sz w:val="24"/>
          <w:highlight w:val="none"/>
        </w:rPr>
        <w:t>2.2.3法定代表人及其授权代表的身份证（格式见第六部分附件）</w:t>
      </w:r>
      <w:r>
        <w:rPr>
          <w:rFonts w:hint="eastAsia" w:ascii="仿宋_GB2312" w:hAnsi="宋体" w:eastAsia="仿宋_GB2312"/>
          <w:color w:val="auto"/>
          <w:sz w:val="24"/>
          <w:highlight w:val="none"/>
          <w:lang w:eastAsia="zh-CN"/>
        </w:rPr>
        <w:t>；</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lang w:val="en-US" w:eastAsia="zh-CN"/>
        </w:rPr>
        <w:t>2.2.4</w:t>
      </w:r>
      <w:r>
        <w:rPr>
          <w:rFonts w:hint="eastAsia" w:ascii="仿宋_GB2312" w:hAnsi="宋体" w:eastAsia="仿宋_GB2312"/>
          <w:color w:val="auto"/>
          <w:sz w:val="24"/>
          <w:highlight w:val="none"/>
        </w:rPr>
        <w:t>法定代表人身份证明书（格式见第六部分附件）；</w:t>
      </w:r>
    </w:p>
    <w:p>
      <w:pPr>
        <w:snapToGrid w:val="0"/>
        <w:spacing w:line="440" w:lineRule="exact"/>
        <w:rPr>
          <w:rFonts w:ascii="仿宋_GB2312" w:hAnsi="Arial" w:eastAsia="仿宋_GB2312" w:cs="Arial"/>
          <w:color w:val="auto"/>
          <w:kern w:val="0"/>
          <w:sz w:val="24"/>
          <w:highlight w:val="none"/>
        </w:rPr>
      </w:pPr>
      <w:r>
        <w:rPr>
          <w:rFonts w:hint="eastAsia" w:ascii="仿宋_GB2312" w:hAnsi="宋体" w:eastAsia="仿宋_GB2312"/>
          <w:color w:val="auto"/>
          <w:sz w:val="24"/>
          <w:highlight w:val="none"/>
        </w:rPr>
        <w:t>2.2.</w:t>
      </w:r>
      <w:r>
        <w:rPr>
          <w:rFonts w:hint="eastAsia" w:ascii="仿宋_GB2312" w:hAnsi="宋体" w:eastAsia="仿宋_GB2312"/>
          <w:color w:val="auto"/>
          <w:sz w:val="24"/>
          <w:highlight w:val="none"/>
          <w:lang w:val="en-US" w:eastAsia="zh-CN"/>
        </w:rPr>
        <w:t>5</w:t>
      </w:r>
      <w:r>
        <w:rPr>
          <w:rFonts w:hint="eastAsia" w:ascii="仿宋_GB2312" w:hAnsi="宋体" w:eastAsia="仿宋_GB2312"/>
          <w:color w:val="auto"/>
          <w:sz w:val="24"/>
          <w:highlight w:val="none"/>
        </w:rPr>
        <w:t>相关资质证明或文件复印件</w:t>
      </w:r>
      <w:r>
        <w:rPr>
          <w:rFonts w:hint="eastAsia" w:ascii="仿宋_GB2312" w:hAnsi="仿宋_GB2312" w:eastAsia="仿宋_GB2312" w:cs="仿宋_GB2312"/>
          <w:color w:val="auto"/>
          <w:sz w:val="24"/>
          <w:highlight w:val="none"/>
        </w:rPr>
        <w:t>（均需加盖公章）：</w:t>
      </w:r>
      <w:r>
        <w:rPr>
          <w:rFonts w:hint="eastAsia" w:ascii="仿宋_GB2312" w:hAnsi="仿宋_GB2312" w:eastAsia="仿宋_GB2312" w:cs="仿宋_GB2312"/>
          <w:color w:val="auto"/>
          <w:kern w:val="0"/>
          <w:sz w:val="24"/>
          <w:highlight w:val="none"/>
        </w:rPr>
        <w:t>证明其符合《中华人民共和国政府采购法》</w:t>
      </w:r>
      <w:r>
        <w:rPr>
          <w:rFonts w:hint="eastAsia" w:ascii="仿宋_GB2312" w:hAnsi="Arial" w:eastAsia="仿宋_GB2312" w:cs="Arial"/>
          <w:color w:val="auto"/>
          <w:kern w:val="0"/>
          <w:sz w:val="24"/>
          <w:highlight w:val="none"/>
        </w:rPr>
        <w:t>规定的供应商基本条件和采购项目对供应商的特定要求</w:t>
      </w:r>
      <w:r>
        <w:rPr>
          <w:rFonts w:hint="eastAsia" w:ascii="仿宋_GB2312" w:hAnsi="仿宋_GB2312" w:eastAsia="仿宋_GB2312" w:cs="仿宋_GB2312"/>
          <w:color w:val="auto"/>
          <w:sz w:val="24"/>
          <w:highlight w:val="none"/>
        </w:rPr>
        <w:t>（如果项目要求）</w:t>
      </w:r>
      <w:r>
        <w:rPr>
          <w:rFonts w:hint="eastAsia" w:ascii="仿宋_GB2312" w:hAnsi="仿宋_GB2312" w:eastAsia="仿宋_GB2312" w:cs="仿宋_GB2312"/>
          <w:color w:val="auto"/>
          <w:kern w:val="0"/>
          <w:sz w:val="24"/>
          <w:highlight w:val="none"/>
        </w:rPr>
        <w:t>的有关资格证明文件。</w:t>
      </w:r>
    </w:p>
    <w:p>
      <w:pPr>
        <w:pStyle w:val="23"/>
        <w:spacing w:line="440" w:lineRule="exact"/>
        <w:ind w:firstLine="480" w:firstLineChars="200"/>
        <w:rPr>
          <w:rFonts w:ascii="仿宋_GB2312" w:hAnsi="仿宋" w:eastAsia="仿宋_GB2312"/>
          <w:color w:val="auto"/>
          <w:sz w:val="24"/>
          <w:highlight w:val="none"/>
        </w:rPr>
      </w:pPr>
      <w:bookmarkStart w:id="1" w:name="_Hlt68072998"/>
      <w:bookmarkEnd w:id="1"/>
      <w:bookmarkStart w:id="2" w:name="_Hlt68403820"/>
      <w:bookmarkEnd w:id="2"/>
      <w:bookmarkStart w:id="3" w:name="_Hlt68073093"/>
      <w:bookmarkEnd w:id="3"/>
      <w:r>
        <w:rPr>
          <w:rFonts w:hint="eastAsia" w:ascii="仿宋_GB2312" w:hAnsi="仿宋" w:eastAsia="仿宋_GB2312"/>
          <w:color w:val="auto"/>
          <w:sz w:val="24"/>
          <w:highlight w:val="none"/>
        </w:rPr>
        <w:t>（1）营业执照(或事业法人登记证或其他工商等登记证明材料)复印件，实施“五证合一、一照一码”登记制度改革的，只需提供改革后取得的营业执照复印件 ；</w:t>
      </w:r>
    </w:p>
    <w:p>
      <w:pPr>
        <w:pStyle w:val="23"/>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（2）2021年度资产负债表等财务报表资料文件(新成立的公司提供情况证明)；</w:t>
      </w:r>
    </w:p>
    <w:p>
      <w:pPr>
        <w:pStyle w:val="23"/>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（3）具有履行合同所必需的设备和专业技术能力的承诺函；</w:t>
      </w:r>
    </w:p>
    <w:p>
      <w:pPr>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（4）参加本次政府采购活动前三年内，在经营活动中没有重大违法记录的声明；</w:t>
      </w:r>
    </w:p>
    <w:p>
      <w:pPr>
        <w:spacing w:line="440" w:lineRule="exact"/>
        <w:ind w:firstLine="480" w:firstLineChars="2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sz w:val="24"/>
          <w:szCs w:val="20"/>
          <w:highlight w:val="none"/>
        </w:rPr>
        <w:t>（5）提供自招标公告发布之日起至投标截止日内任意时间通过“信用中国”网站（www.creditchina.gov.cn）、中国政府采购网（www.ccgp.gov.cn）查询网页截图（未被列入失信被执行人、重大税收违法案件当事人名单、政府采购严重违法失信行为记录名单），以开标当日采购人或采购代理机构核实的查询结果为准；</w:t>
      </w:r>
    </w:p>
    <w:p>
      <w:pPr>
        <w:spacing w:line="440" w:lineRule="exact"/>
        <w:ind w:firstLine="480" w:firstLineChars="2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kern w:val="0"/>
          <w:sz w:val="24"/>
          <w:highlight w:val="none"/>
        </w:rPr>
        <w:t>(6</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sz w:val="24"/>
          <w:szCs w:val="20"/>
          <w:highlight w:val="none"/>
        </w:rPr>
        <w:t>提供依法缴纳税收和社会保障资金的良好记录证明，税收和社保证明打印时间不得早于投标截止时间前1个月；</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kern w:val="0"/>
          <w:sz w:val="24"/>
          <w:highlight w:val="none"/>
        </w:rPr>
        <w:t>(7</w:t>
      </w:r>
      <w:r>
        <w:rPr>
          <w:rFonts w:hint="eastAsia" w:ascii="仿宋_GB2312" w:hAnsi="仿宋_GB2312" w:eastAsia="仿宋_GB2312" w:cs="仿宋_GB2312"/>
          <w:color w:val="auto"/>
          <w:sz w:val="24"/>
          <w:highlight w:val="none"/>
        </w:rPr>
        <w:t>)符合特定资格条件（如果项目要求）的有关证明材料（复印件）；</w:t>
      </w:r>
    </w:p>
    <w:p>
      <w:pPr>
        <w:pStyle w:val="23"/>
        <w:snapToGrid w:val="0"/>
        <w:spacing w:line="440" w:lineRule="exact"/>
        <w:rPr>
          <w:rFonts w:ascii="仿宋_GB2312" w:hAnsi="仿宋_GB2312" w:eastAsia="仿宋_GB2312" w:cs="仿宋_GB2312"/>
          <w:color w:val="auto"/>
          <w:sz w:val="24"/>
          <w:highlight w:val="none"/>
          <w:lang w:val="zh-CN"/>
        </w:rPr>
      </w:pPr>
      <w:r>
        <w:rPr>
          <w:rFonts w:hint="eastAsia" w:ascii="仿宋_GB2312" w:hAnsi="宋体" w:eastAsia="仿宋_GB2312"/>
          <w:color w:val="auto"/>
          <w:sz w:val="24"/>
          <w:highlight w:val="none"/>
        </w:rPr>
        <w:t>2.2.</w:t>
      </w:r>
      <w:r>
        <w:rPr>
          <w:rFonts w:hint="eastAsia" w:ascii="仿宋_GB2312" w:hAnsi="宋体" w:eastAsia="仿宋_GB2312"/>
          <w:color w:val="auto"/>
          <w:sz w:val="24"/>
          <w:highlight w:val="none"/>
          <w:lang w:val="en-US" w:eastAsia="zh-CN"/>
        </w:rPr>
        <w:t>6</w:t>
      </w:r>
      <w:r>
        <w:rPr>
          <w:rFonts w:hint="eastAsia" w:ascii="仿宋_GB2312" w:hAnsi="仿宋_GB2312" w:eastAsia="仿宋_GB2312" w:cs="仿宋_GB2312"/>
          <w:color w:val="auto"/>
          <w:sz w:val="24"/>
          <w:highlight w:val="none"/>
          <w:lang w:val="zh-CN"/>
        </w:rPr>
        <w:t>投标人应提供针对项目的完整技术解决方案：</w:t>
      </w:r>
    </w:p>
    <w:p>
      <w:pPr>
        <w:snapToGrid w:val="0"/>
        <w:spacing w:line="440" w:lineRule="exact"/>
        <w:ind w:firstLine="480" w:firstLineChars="20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sz w:val="24"/>
          <w:highlight w:val="none"/>
          <w:lang w:val="zh-CN"/>
        </w:rPr>
        <w:t>针对本项目的完整技术解决方案和实施方案；详细阐述项目方案的实现思路及关键技术；符合本项目对当前和未来发展的要求；以及对功能设计和实施计划的建议；</w:t>
      </w:r>
    </w:p>
    <w:p>
      <w:pPr>
        <w:tabs>
          <w:tab w:val="left" w:pos="3870"/>
          <w:tab w:val="left" w:pos="4085"/>
        </w:tabs>
        <w:snapToGrid w:val="0"/>
        <w:spacing w:line="440" w:lineRule="exact"/>
        <w:ind w:firstLine="472" w:firstLineChars="196"/>
        <w:jc w:val="left"/>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如果本项目涉及硬件设备采购，还需提供相关设备完整配置方案（设备名称、品牌、规格型号、数量、主要技术参数等）</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b/>
          <w:color w:val="auto"/>
          <w:sz w:val="24"/>
          <w:highlight w:val="none"/>
        </w:rPr>
        <w:t>提供主要投标产品的技术参数证明材料（如原厂技术说明、官网截图、产品彩页等），</w:t>
      </w:r>
      <w:r>
        <w:rPr>
          <w:rFonts w:hint="eastAsia" w:ascii="仿宋_GB2312" w:hAnsi="仿宋_GB2312" w:eastAsia="仿宋_GB2312" w:cs="仿宋_GB2312"/>
          <w:color w:val="auto"/>
          <w:sz w:val="24"/>
          <w:highlight w:val="none"/>
        </w:rPr>
        <w:t>明确表示该项指标所涉及的软硬件是标准配置还是选择配置</w:t>
      </w:r>
      <w:r>
        <w:rPr>
          <w:rFonts w:hint="eastAsia" w:ascii="仿宋_GB2312" w:hAnsi="仿宋_GB2312" w:eastAsia="仿宋_GB2312" w:cs="仿宋_GB2312"/>
          <w:b/>
          <w:color w:val="auto"/>
          <w:sz w:val="24"/>
          <w:highlight w:val="none"/>
        </w:rPr>
        <w:t>（所有技术指标表述均应采用中文，如当前公布的技术指标只有英文表述的，必须由投标人作出中文注释，否则</w:t>
      </w:r>
      <w:r>
        <w:rPr>
          <w:rFonts w:hint="eastAsia" w:ascii="仿宋_GB2312" w:hAnsi="仿宋_GB2312" w:eastAsia="仿宋_GB2312" w:cs="仿宋_GB2312"/>
          <w:b/>
          <w:color w:val="auto"/>
          <w:kern w:val="0"/>
          <w:sz w:val="24"/>
          <w:highlight w:val="none"/>
          <w:lang w:val="zh-CN"/>
        </w:rPr>
        <w:t>任何含糊不清的</w:t>
      </w:r>
      <w:r>
        <w:rPr>
          <w:rFonts w:hint="eastAsia" w:ascii="仿宋_GB2312" w:hAnsi="仿宋_GB2312" w:eastAsia="仿宋_GB2312" w:cs="仿宋_GB2312"/>
          <w:b/>
          <w:color w:val="auto"/>
          <w:sz w:val="24"/>
          <w:highlight w:val="none"/>
        </w:rPr>
        <w:t>表述导致</w:t>
      </w:r>
      <w:r>
        <w:rPr>
          <w:rFonts w:hint="eastAsia" w:ascii="仿宋_GB2312" w:hAnsi="仿宋_GB2312" w:eastAsia="仿宋_GB2312" w:cs="仿宋_GB2312"/>
          <w:b/>
          <w:color w:val="auto"/>
          <w:kern w:val="0"/>
          <w:sz w:val="24"/>
          <w:highlight w:val="none"/>
          <w:lang w:val="zh-CN"/>
        </w:rPr>
        <w:t>评标委员会技术扣分直至认定为投标无效都将是投标人的责任）</w:t>
      </w:r>
      <w:r>
        <w:rPr>
          <w:rFonts w:hint="eastAsia" w:ascii="仿宋_GB2312" w:hAnsi="仿宋_GB2312" w:eastAsia="仿宋_GB2312" w:cs="仿宋_GB2312"/>
          <w:color w:val="auto"/>
          <w:sz w:val="24"/>
          <w:highlight w:val="none"/>
        </w:rPr>
        <w:t>。</w:t>
      </w:r>
    </w:p>
    <w:p>
      <w:pPr>
        <w:tabs>
          <w:tab w:val="left" w:pos="3870"/>
          <w:tab w:val="left" w:pos="4085"/>
        </w:tabs>
        <w:snapToGrid w:val="0"/>
        <w:spacing w:line="440" w:lineRule="exact"/>
        <w:ind w:firstLine="470" w:firstLineChars="196"/>
        <w:jc w:val="left"/>
        <w:rPr>
          <w:rFonts w:ascii="仿宋_GB2312" w:hAnsi="宋体" w:eastAsia="仿宋_GB2312"/>
          <w:color w:val="auto"/>
          <w:sz w:val="24"/>
          <w:highlight w:val="none"/>
        </w:rPr>
      </w:pPr>
      <w:r>
        <w:rPr>
          <w:rFonts w:hint="eastAsia" w:ascii="仿宋" w:hAnsi="仿宋" w:eastAsia="仿宋" w:cs="仿宋_GB2312"/>
          <w:color w:val="auto"/>
          <w:sz w:val="24"/>
          <w:highlight w:val="none"/>
        </w:rPr>
        <w:t>本项目如需采购政府强制采购的节能产品的或</w:t>
      </w:r>
      <w:r>
        <w:rPr>
          <w:rFonts w:hint="eastAsia" w:ascii="仿宋" w:hAnsi="仿宋" w:eastAsia="仿宋"/>
          <w:color w:val="auto"/>
          <w:sz w:val="24"/>
          <w:highlight w:val="none"/>
        </w:rPr>
        <w:t>投标人提供的产品是环境标志产品，</w:t>
      </w:r>
      <w:r>
        <w:rPr>
          <w:rFonts w:hint="eastAsia" w:ascii="仿宋" w:hAnsi="仿宋" w:eastAsia="仿宋" w:cs="仿宋_GB2312"/>
          <w:color w:val="auto"/>
          <w:sz w:val="24"/>
          <w:highlight w:val="none"/>
        </w:rPr>
        <w:t>投标人须按格式提供节能产品、环境标志产品认证证书复印件。</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w:t>
      </w:r>
      <w:r>
        <w:rPr>
          <w:rFonts w:hint="eastAsia" w:ascii="仿宋_GB2312" w:hAnsi="宋体" w:eastAsia="仿宋_GB2312"/>
          <w:color w:val="auto"/>
          <w:sz w:val="24"/>
          <w:highlight w:val="none"/>
          <w:lang w:val="en-US" w:eastAsia="zh-CN"/>
        </w:rPr>
        <w:t>7</w:t>
      </w:r>
      <w:r>
        <w:rPr>
          <w:rFonts w:hint="eastAsia" w:ascii="仿宋_GB2312" w:hAnsi="宋体" w:eastAsia="仿宋_GB2312"/>
          <w:color w:val="auto"/>
          <w:sz w:val="24"/>
          <w:highlight w:val="none"/>
        </w:rPr>
        <w:t>优惠条件：投标人承诺给予招标人的各种优惠条件，包括设备价格、运输、保险、安装调试、付款条件、技术服务、售后服务等方面的优惠；当优惠条件涉及“报价单”中的各项费用时，必须与投标价格相统一；（如有）</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w:t>
      </w:r>
      <w:r>
        <w:rPr>
          <w:rFonts w:hint="eastAsia" w:ascii="仿宋_GB2312" w:hAnsi="宋体" w:eastAsia="仿宋_GB2312"/>
          <w:color w:val="auto"/>
          <w:sz w:val="24"/>
          <w:highlight w:val="none"/>
          <w:lang w:val="en-US" w:eastAsia="zh-CN"/>
        </w:rPr>
        <w:t>8</w:t>
      </w:r>
      <w:r>
        <w:rPr>
          <w:rFonts w:hint="eastAsia" w:ascii="仿宋_GB2312" w:hAnsi="宋体" w:eastAsia="仿宋_GB2312"/>
          <w:color w:val="auto"/>
          <w:sz w:val="24"/>
          <w:highlight w:val="none"/>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pPr>
        <w:snapToGrid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rPr>
        <w:t>2.2.</w:t>
      </w:r>
      <w:r>
        <w:rPr>
          <w:rFonts w:hint="eastAsia" w:ascii="仿宋_GB2312" w:hAnsi="仿宋_GB2312" w:eastAsia="仿宋_GB2312" w:cs="仿宋_GB2312"/>
          <w:color w:val="auto"/>
          <w:kern w:val="0"/>
          <w:sz w:val="24"/>
          <w:highlight w:val="none"/>
          <w:lang w:val="en-US" w:eastAsia="zh-CN"/>
        </w:rPr>
        <w:t>9</w:t>
      </w:r>
      <w:r>
        <w:rPr>
          <w:rFonts w:hint="eastAsia" w:ascii="仿宋_GB2312" w:hAnsi="仿宋_GB2312" w:eastAsia="仿宋_GB2312" w:cs="仿宋_GB2312"/>
          <w:color w:val="auto"/>
          <w:sz w:val="24"/>
          <w:highlight w:val="none"/>
        </w:rPr>
        <w:t>投标人在投标文件技术偏离说明表中，</w:t>
      </w:r>
      <w:r>
        <w:rPr>
          <w:rFonts w:hint="eastAsia" w:ascii="仿宋_GB2312" w:hAnsi="仿宋_GB2312" w:eastAsia="仿宋_GB2312" w:cs="仿宋_GB2312"/>
          <w:color w:val="auto"/>
          <w:kern w:val="0"/>
          <w:sz w:val="24"/>
          <w:highlight w:val="none"/>
          <w:lang w:val="zh-CN"/>
        </w:rPr>
        <w:t>应对</w:t>
      </w:r>
      <w:r>
        <w:rPr>
          <w:rFonts w:hint="eastAsia" w:ascii="仿宋_GB2312" w:hAnsi="仿宋_GB2312" w:eastAsia="仿宋_GB2312" w:cs="仿宋_GB2312"/>
          <w:color w:val="auto"/>
          <w:sz w:val="24"/>
          <w:highlight w:val="none"/>
        </w:rPr>
        <w:t>项目技术规范和服务要求</w:t>
      </w:r>
      <w:r>
        <w:rPr>
          <w:rFonts w:hint="eastAsia" w:ascii="仿宋_GB2312" w:hAnsi="仿宋_GB2312" w:eastAsia="仿宋_GB2312" w:cs="仿宋_GB2312"/>
          <w:color w:val="auto"/>
          <w:kern w:val="0"/>
          <w:sz w:val="24"/>
          <w:highlight w:val="none"/>
          <w:lang w:val="zh-CN"/>
        </w:rPr>
        <w:t>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pPr>
        <w:snapToGrid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2.2.</w:t>
      </w:r>
      <w:r>
        <w:rPr>
          <w:rFonts w:hint="eastAsia" w:ascii="仿宋_GB2312" w:hAnsi="仿宋_GB2312" w:eastAsia="仿宋_GB2312" w:cs="仿宋_GB2312"/>
          <w:color w:val="auto"/>
          <w:kern w:val="0"/>
          <w:sz w:val="24"/>
          <w:highlight w:val="none"/>
          <w:lang w:val="en-US" w:eastAsia="zh-CN"/>
        </w:rPr>
        <w:t>10</w:t>
      </w:r>
      <w:r>
        <w:rPr>
          <w:rFonts w:hint="eastAsia" w:ascii="仿宋_GB2312" w:hAnsi="仿宋_GB2312" w:eastAsia="仿宋_GB2312" w:cs="仿宋_GB2312"/>
          <w:color w:val="auto"/>
          <w:kern w:val="0"/>
          <w:sz w:val="24"/>
          <w:highlight w:val="none"/>
          <w:lang w:val="zh-CN"/>
        </w:rPr>
        <w:t>针对本项目建设的详细实施计划。本项目详细工作实施组织方案，包括(但不限于)以下内容：组织机构、工作时间进度表、工作程序和步骤、管理和协调方法、关键步骤的思路和要点。</w:t>
      </w:r>
    </w:p>
    <w:p>
      <w:pPr>
        <w:snapToGrid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2.2.</w:t>
      </w:r>
      <w:r>
        <w:rPr>
          <w:rFonts w:hint="eastAsia" w:ascii="仿宋_GB2312" w:hAnsi="仿宋_GB2312" w:eastAsia="仿宋_GB2312" w:cs="仿宋_GB2312"/>
          <w:color w:val="auto"/>
          <w:kern w:val="0"/>
          <w:sz w:val="24"/>
          <w:highlight w:val="none"/>
          <w:lang w:val="en-US" w:eastAsia="zh-CN"/>
        </w:rPr>
        <w:t>11</w:t>
      </w:r>
      <w:r>
        <w:rPr>
          <w:rFonts w:hint="eastAsia" w:ascii="仿宋_GB2312" w:hAnsi="仿宋_GB2312" w:eastAsia="仿宋_GB2312" w:cs="仿宋_GB2312"/>
          <w:color w:val="auto"/>
          <w:kern w:val="0"/>
          <w:sz w:val="24"/>
          <w:highlight w:val="none"/>
          <w:lang w:val="zh-CN"/>
        </w:rPr>
        <w:t>项目验收之前、验收之后的维护方案；针对本项目的维护方案，包括本地(绍兴)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pPr>
        <w:snapToGrid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2.2.1</w:t>
      </w:r>
      <w:r>
        <w:rPr>
          <w:rFonts w:hint="eastAsia" w:ascii="仿宋_GB2312" w:hAnsi="仿宋_GB2312" w:eastAsia="仿宋_GB2312" w:cs="仿宋_GB2312"/>
          <w:color w:val="auto"/>
          <w:kern w:val="0"/>
          <w:sz w:val="24"/>
          <w:highlight w:val="none"/>
          <w:lang w:val="en-US" w:eastAsia="zh-CN"/>
        </w:rPr>
        <w:t>2</w:t>
      </w:r>
      <w:r>
        <w:rPr>
          <w:rFonts w:hint="eastAsia" w:ascii="仿宋_GB2312" w:hAnsi="仿宋_GB2312" w:eastAsia="仿宋_GB2312" w:cs="仿宋_GB2312"/>
          <w:color w:val="auto"/>
          <w:kern w:val="0"/>
          <w:sz w:val="24"/>
          <w:highlight w:val="none"/>
          <w:lang w:val="zh-CN"/>
        </w:rPr>
        <w:t>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pPr>
        <w:tabs>
          <w:tab w:val="left" w:pos="0"/>
          <w:tab w:val="left" w:pos="840"/>
        </w:tabs>
        <w:autoSpaceDE w:val="0"/>
        <w:autoSpaceDN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2.2.1</w:t>
      </w:r>
      <w:r>
        <w:rPr>
          <w:rFonts w:hint="eastAsia" w:ascii="仿宋_GB2312" w:hAnsi="仿宋_GB2312" w:eastAsia="仿宋_GB2312" w:cs="仿宋_GB2312"/>
          <w:color w:val="auto"/>
          <w:kern w:val="0"/>
          <w:sz w:val="24"/>
          <w:highlight w:val="none"/>
          <w:lang w:val="en-US" w:eastAsia="zh-CN"/>
        </w:rPr>
        <w:t>3</w:t>
      </w:r>
      <w:r>
        <w:rPr>
          <w:rFonts w:hint="eastAsia" w:ascii="仿宋_GB2312" w:hAnsi="仿宋_GB2312" w:eastAsia="仿宋_GB2312" w:cs="仿宋_GB2312"/>
          <w:color w:val="auto"/>
          <w:kern w:val="0"/>
          <w:sz w:val="24"/>
          <w:highlight w:val="none"/>
          <w:lang w:val="zh-CN"/>
        </w:rPr>
        <w:t>备品备件清单（含随机自带的备品备件和质保期后供采购人选择的备品备件及配套零部件，明细备品备件及价格，且供货价格不高于中标价格；中标货物设备应提供易损部件的备件和整机备品）；（如果有）</w:t>
      </w:r>
    </w:p>
    <w:p>
      <w:pPr>
        <w:snapToGrid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sz w:val="24"/>
          <w:highlight w:val="none"/>
        </w:rPr>
        <w:t>2.2.1</w:t>
      </w:r>
      <w:r>
        <w:rPr>
          <w:rFonts w:hint="eastAsia" w:ascii="仿宋_GB2312" w:hAnsi="仿宋_GB2312" w:eastAsia="仿宋_GB2312" w:cs="仿宋_GB2312"/>
          <w:color w:val="auto"/>
          <w:sz w:val="24"/>
          <w:highlight w:val="none"/>
          <w:lang w:val="en-US" w:eastAsia="zh-CN"/>
        </w:rPr>
        <w:t>4</w:t>
      </w:r>
      <w:r>
        <w:rPr>
          <w:rFonts w:hint="eastAsia" w:ascii="仿宋_GB2312" w:hAnsi="仿宋_GB2312" w:eastAsia="仿宋_GB2312" w:cs="仿宋_GB2312"/>
          <w:color w:val="auto"/>
          <w:kern w:val="0"/>
          <w:sz w:val="24"/>
          <w:highlight w:val="none"/>
          <w:lang w:val="zh-CN"/>
        </w:rPr>
        <w:t>培训计划；（如果有）</w:t>
      </w:r>
    </w:p>
    <w:p>
      <w:pPr>
        <w:tabs>
          <w:tab w:val="left" w:pos="0"/>
          <w:tab w:val="left" w:pos="840"/>
        </w:tabs>
        <w:autoSpaceDE w:val="0"/>
        <w:autoSpaceDN w:val="0"/>
        <w:spacing w:line="440" w:lineRule="exac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2.2.1</w:t>
      </w:r>
      <w:r>
        <w:rPr>
          <w:rFonts w:hint="eastAsia" w:ascii="仿宋_GB2312" w:hAnsi="仿宋_GB2312" w:eastAsia="仿宋_GB2312" w:cs="仿宋_GB2312"/>
          <w:color w:val="auto"/>
          <w:kern w:val="0"/>
          <w:sz w:val="24"/>
          <w:highlight w:val="none"/>
          <w:lang w:val="en-US" w:eastAsia="zh-CN"/>
        </w:rPr>
        <w:t>5</w:t>
      </w:r>
      <w:r>
        <w:rPr>
          <w:rFonts w:hint="eastAsia" w:ascii="仿宋_GB2312" w:hAnsi="仿宋_GB2312" w:eastAsia="仿宋_GB2312" w:cs="仿宋_GB2312"/>
          <w:color w:val="auto"/>
          <w:kern w:val="0"/>
          <w:sz w:val="24"/>
          <w:highlight w:val="none"/>
          <w:lang w:val="zh-CN"/>
        </w:rPr>
        <w:t xml:space="preserve"> 验收方案；</w:t>
      </w:r>
    </w:p>
    <w:p>
      <w:pPr>
        <w:snapToGrid w:val="0"/>
        <w:spacing w:line="440" w:lineRule="exact"/>
        <w:rPr>
          <w:rFonts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kern w:val="0"/>
          <w:sz w:val="24"/>
          <w:highlight w:val="none"/>
        </w:rPr>
        <w:t>2.2.1</w:t>
      </w:r>
      <w:r>
        <w:rPr>
          <w:rFonts w:hint="eastAsia" w:ascii="仿宋_GB2312" w:hAnsi="仿宋_GB2312" w:eastAsia="仿宋_GB2312" w:cs="仿宋_GB2312"/>
          <w:color w:val="auto"/>
          <w:kern w:val="0"/>
          <w:sz w:val="24"/>
          <w:highlight w:val="none"/>
          <w:lang w:val="en-US" w:eastAsia="zh-CN"/>
        </w:rPr>
        <w:t>6</w:t>
      </w:r>
      <w:r>
        <w:rPr>
          <w:rFonts w:hint="eastAsia" w:ascii="仿宋_GB2312" w:hAnsi="仿宋_GB2312" w:eastAsia="仿宋_GB2312" w:cs="仿宋_GB2312"/>
          <w:snapToGrid w:val="0"/>
          <w:color w:val="auto"/>
          <w:sz w:val="24"/>
          <w:highlight w:val="none"/>
        </w:rPr>
        <w:t>非本地投标人售后服务机构证明材料。非本地投标人</w:t>
      </w:r>
      <w:r>
        <w:rPr>
          <w:rFonts w:hint="eastAsia" w:ascii="仿宋_GB2312" w:hAnsi="仿宋_GB2312" w:eastAsia="仿宋_GB2312" w:cs="仿宋_GB2312"/>
          <w:color w:val="auto"/>
          <w:sz w:val="24"/>
          <w:highlight w:val="none"/>
          <w:lang w:val="zh-CN"/>
        </w:rPr>
        <w:t>在绍兴的分公司</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sz w:val="24"/>
          <w:highlight w:val="none"/>
          <w:lang w:val="zh-CN"/>
        </w:rPr>
        <w:t>需提供本地工商注册</w:t>
      </w:r>
      <w:r>
        <w:rPr>
          <w:rFonts w:hint="eastAsia" w:ascii="仿宋_GB2312" w:hAnsi="仿宋_GB2312" w:eastAsia="仿宋_GB2312" w:cs="仿宋_GB2312"/>
          <w:color w:val="auto"/>
          <w:sz w:val="24"/>
          <w:highlight w:val="none"/>
        </w:rPr>
        <w:t>登记</w:t>
      </w:r>
      <w:r>
        <w:rPr>
          <w:rFonts w:hint="eastAsia" w:ascii="仿宋_GB2312" w:hAnsi="仿宋_GB2312" w:eastAsia="仿宋_GB2312" w:cs="仿宋_GB2312"/>
          <w:color w:val="auto"/>
          <w:sz w:val="24"/>
          <w:highlight w:val="none"/>
          <w:lang w:val="zh-CN"/>
        </w:rPr>
        <w:t>资料）或办事处</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sz w:val="24"/>
          <w:highlight w:val="none"/>
          <w:lang w:val="zh-CN"/>
        </w:rPr>
        <w:t>需提供本地国内经济合作办注册资料</w:t>
      </w:r>
      <w:r>
        <w:rPr>
          <w:rFonts w:hint="eastAsia" w:ascii="仿宋_GB2312" w:hAnsi="仿宋_GB2312" w:eastAsia="仿宋_GB2312" w:cs="仿宋_GB2312"/>
          <w:color w:val="auto"/>
          <w:kern w:val="0"/>
          <w:sz w:val="24"/>
          <w:highlight w:val="none"/>
        </w:rPr>
        <w:t>）或符合本项目服务能力并签订合作协议的第三方机构或者在中标（成交）公示后在本地设立售后服务机构作</w:t>
      </w:r>
      <w:r>
        <w:rPr>
          <w:rFonts w:hint="eastAsia" w:ascii="仿宋_GB2312" w:hAnsi="仿宋_GB2312" w:eastAsia="仿宋_GB2312" w:cs="仿宋_GB2312"/>
          <w:color w:val="auto"/>
          <w:sz w:val="24"/>
          <w:highlight w:val="none"/>
          <w:lang w:val="zh-CN"/>
        </w:rPr>
        <w:t>为常驻服务和技术支持机构；</w:t>
      </w:r>
    </w:p>
    <w:p>
      <w:pPr>
        <w:snapToGrid w:val="0"/>
        <w:spacing w:line="440" w:lineRule="exact"/>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val="zh-CN"/>
        </w:rPr>
        <w:t>2.2.1</w:t>
      </w:r>
      <w:r>
        <w:rPr>
          <w:rFonts w:hint="eastAsia" w:ascii="仿宋_GB2312" w:hAnsi="仿宋_GB2312" w:eastAsia="仿宋_GB2312" w:cs="仿宋_GB2312"/>
          <w:color w:val="auto"/>
          <w:sz w:val="24"/>
          <w:highlight w:val="none"/>
          <w:lang w:val="en-US" w:eastAsia="zh-CN"/>
        </w:rPr>
        <w:t>7</w:t>
      </w:r>
      <w:r>
        <w:rPr>
          <w:rFonts w:hint="eastAsia" w:ascii="仿宋_GB2312" w:hAnsi="仿宋_GB2312" w:eastAsia="仿宋_GB2312" w:cs="仿宋_GB2312"/>
          <w:color w:val="auto"/>
          <w:sz w:val="24"/>
          <w:highlight w:val="none"/>
          <w:lang w:val="zh-CN"/>
        </w:rPr>
        <w:t>廉政承诺书</w:t>
      </w:r>
      <w:r>
        <w:rPr>
          <w:rFonts w:hint="eastAsia" w:ascii="仿宋_GB2312" w:hAnsi="宋体" w:eastAsia="仿宋_GB2312"/>
          <w:color w:val="auto"/>
          <w:sz w:val="24"/>
          <w:highlight w:val="none"/>
        </w:rPr>
        <w:t>（格式见第六部分附件）；</w:t>
      </w:r>
    </w:p>
    <w:p>
      <w:pPr>
        <w:pStyle w:val="20"/>
        <w:tabs>
          <w:tab w:val="left" w:pos="1854"/>
          <w:tab w:val="clear" w:pos="482"/>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2.2.1</w:t>
      </w:r>
      <w:r>
        <w:rPr>
          <w:rFonts w:hint="eastAsia" w:ascii="仿宋_GB2312" w:hAnsi="宋体" w:eastAsia="仿宋_GB2312"/>
          <w:color w:val="auto"/>
          <w:highlight w:val="none"/>
          <w:lang w:val="en-US" w:eastAsia="zh-CN"/>
        </w:rPr>
        <w:t>8</w:t>
      </w:r>
      <w:r>
        <w:rPr>
          <w:rFonts w:hint="eastAsia" w:ascii="仿宋_GB2312" w:hAnsi="宋体" w:eastAsia="仿宋_GB2312"/>
          <w:color w:val="auto"/>
          <w:highlight w:val="none"/>
        </w:rPr>
        <w:t>联合协议（如有）；</w:t>
      </w:r>
    </w:p>
    <w:p>
      <w:pPr>
        <w:pStyle w:val="20"/>
        <w:tabs>
          <w:tab w:val="left" w:pos="1854"/>
          <w:tab w:val="clear" w:pos="482"/>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2.2.1</w:t>
      </w:r>
      <w:r>
        <w:rPr>
          <w:rFonts w:hint="eastAsia" w:ascii="仿宋_GB2312" w:hAnsi="宋体" w:eastAsia="仿宋_GB2312"/>
          <w:color w:val="auto"/>
          <w:highlight w:val="none"/>
          <w:lang w:val="en-US" w:eastAsia="zh-CN"/>
        </w:rPr>
        <w:t>9</w:t>
      </w:r>
      <w:r>
        <w:rPr>
          <w:rFonts w:hint="eastAsia" w:ascii="仿宋_GB2312" w:hAnsi="宋体" w:eastAsia="仿宋_GB2312"/>
          <w:color w:val="auto"/>
          <w:highlight w:val="none"/>
        </w:rPr>
        <w:t>分包意向协议（如有）；</w:t>
      </w:r>
    </w:p>
    <w:p>
      <w:pPr>
        <w:pStyle w:val="20"/>
        <w:tabs>
          <w:tab w:val="left" w:pos="1854"/>
          <w:tab w:val="clear" w:pos="482"/>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2.2.</w:t>
      </w:r>
      <w:r>
        <w:rPr>
          <w:rFonts w:hint="eastAsia" w:ascii="仿宋_GB2312" w:hAnsi="宋体" w:eastAsia="仿宋_GB2312"/>
          <w:color w:val="auto"/>
          <w:highlight w:val="none"/>
          <w:lang w:val="en-US" w:eastAsia="zh-CN"/>
        </w:rPr>
        <w:t>20</w:t>
      </w:r>
      <w:r>
        <w:rPr>
          <w:rFonts w:hint="eastAsia" w:ascii="仿宋_GB2312" w:hAnsi="宋体" w:eastAsia="仿宋_GB2312"/>
          <w:color w:val="auto"/>
          <w:highlight w:val="none"/>
        </w:rPr>
        <w:t>中小企业声明函（如有）；</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2.2.2</w:t>
      </w:r>
      <w:r>
        <w:rPr>
          <w:rFonts w:hint="eastAsia" w:ascii="仿宋_GB2312" w:hAnsi="宋体" w:eastAsia="仿宋_GB2312"/>
          <w:color w:val="auto"/>
          <w:sz w:val="24"/>
          <w:highlight w:val="none"/>
          <w:lang w:val="en-US" w:eastAsia="zh-CN"/>
        </w:rPr>
        <w:t>1</w:t>
      </w:r>
      <w:r>
        <w:rPr>
          <w:rFonts w:hint="eastAsia" w:ascii="仿宋_GB2312" w:hAnsi="宋体" w:eastAsia="仿宋_GB2312"/>
          <w:color w:val="auto"/>
          <w:sz w:val="24"/>
          <w:highlight w:val="none"/>
          <w:u w:val="wave"/>
        </w:rPr>
        <w:t>未尽事宜请各投标单位按评分标准和相对应标项相关要求制作</w:t>
      </w:r>
      <w:r>
        <w:rPr>
          <w:rFonts w:hint="eastAsia" w:ascii="仿宋_GB2312" w:hAnsi="宋体" w:eastAsia="仿宋_GB2312"/>
          <w:color w:val="auto"/>
          <w:sz w:val="24"/>
          <w:highlight w:val="none"/>
        </w:rPr>
        <w:t>；</w:t>
      </w:r>
    </w:p>
    <w:p>
      <w:pPr>
        <w:pStyle w:val="20"/>
        <w:tabs>
          <w:tab w:val="left" w:pos="1854"/>
          <w:tab w:val="clear" w:pos="482"/>
        </w:tabs>
        <w:spacing w:afterLines="0" w:line="440" w:lineRule="exact"/>
        <w:ind w:left="0" w:firstLine="0"/>
        <w:rPr>
          <w:rFonts w:ascii="仿宋_GB2312" w:hAnsi="宋体" w:eastAsia="仿宋_GB2312"/>
          <w:color w:val="auto"/>
          <w:highlight w:val="none"/>
        </w:rPr>
      </w:pPr>
      <w:r>
        <w:rPr>
          <w:rFonts w:hint="eastAsia" w:ascii="仿宋_GB2312" w:hAnsi="宋体" w:eastAsia="仿宋_GB2312"/>
          <w:color w:val="auto"/>
          <w:highlight w:val="none"/>
        </w:rPr>
        <w:t>2.2.2</w:t>
      </w:r>
      <w:r>
        <w:rPr>
          <w:rFonts w:hint="eastAsia" w:ascii="仿宋_GB2312" w:hAnsi="宋体" w:eastAsia="仿宋_GB2312"/>
          <w:color w:val="auto"/>
          <w:highlight w:val="none"/>
          <w:lang w:val="en-US" w:eastAsia="zh-CN"/>
        </w:rPr>
        <w:t>2</w:t>
      </w:r>
      <w:r>
        <w:rPr>
          <w:rFonts w:hint="eastAsia" w:ascii="仿宋_GB2312" w:hAnsi="宋体" w:eastAsia="仿宋_GB2312"/>
          <w:color w:val="auto"/>
          <w:highlight w:val="none"/>
        </w:rPr>
        <w:t>投标人需要说明的其他文件和说明（格式自拟）。</w:t>
      </w:r>
    </w:p>
    <w:p>
      <w:pPr>
        <w:tabs>
          <w:tab w:val="left" w:pos="3870"/>
          <w:tab w:val="left" w:pos="4085"/>
        </w:tabs>
        <w:snapToGrid w:val="0"/>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以上文件组成“商务技术（资信）文件资料”。投标人在“商务技术（资信）文件资料”中应对招标文件作实质性响应，该项内容将作为评标重要指标。</w:t>
      </w:r>
    </w:p>
    <w:p>
      <w:pPr>
        <w:pStyle w:val="20"/>
        <w:tabs>
          <w:tab w:val="left" w:pos="1854"/>
          <w:tab w:val="clear" w:pos="482"/>
        </w:tabs>
        <w:spacing w:afterLines="0" w:line="440" w:lineRule="exact"/>
        <w:ind w:left="0" w:right="-78" w:rightChars="-37" w:firstLine="480" w:firstLineChars="200"/>
        <w:rPr>
          <w:rFonts w:ascii="仿宋_GB2312" w:hAnsi="宋体" w:eastAsia="仿宋_GB2312"/>
          <w:b/>
          <w:color w:val="auto"/>
          <w:highlight w:val="none"/>
        </w:rPr>
      </w:pPr>
      <w:r>
        <w:rPr>
          <w:rFonts w:hint="eastAsia" w:ascii="仿宋_GB2312" w:hAnsi="宋体" w:eastAsia="仿宋_GB2312"/>
          <w:color w:val="auto"/>
          <w:highlight w:val="none"/>
        </w:rPr>
        <w:t>投标人不按招标文件的要求提供的投标文件，可能会被评标委员会视为未实质性响应，其风险应由投标人自行承担。</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3. 投标报价</w:t>
      </w:r>
    </w:p>
    <w:p>
      <w:pPr>
        <w:pStyle w:val="23"/>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3.1投标人应按招标文件中《开标一览表》等附表要求填写。</w:t>
      </w:r>
    </w:p>
    <w:p>
      <w:pPr>
        <w:pStyle w:val="23"/>
        <w:spacing w:line="440" w:lineRule="exact"/>
        <w:jc w:val="left"/>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3.2报价为采购人可以合格使用产品的价格，包括货款、包装、运输、保险、货到就位以及安装、调试、培训、保修及产品知识产权等一切费用。</w:t>
      </w:r>
    </w:p>
    <w:p>
      <w:pPr>
        <w:pStyle w:val="23"/>
        <w:spacing w:line="440" w:lineRule="exact"/>
        <w:jc w:val="left"/>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3.3招标文件未列明，而投标人认为必需的费用也需列入报价。</w:t>
      </w:r>
    </w:p>
    <w:p>
      <w:pPr>
        <w:tabs>
          <w:tab w:val="left" w:pos="52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3.4</w:t>
      </w:r>
      <w:r>
        <w:rPr>
          <w:rFonts w:hint="eastAsia" w:ascii="仿宋_GB2312" w:hAnsi="宋体" w:eastAsia="仿宋_GB2312"/>
          <w:b/>
          <w:i/>
          <w:color w:val="auto"/>
          <w:sz w:val="24"/>
          <w:highlight w:val="none"/>
        </w:rPr>
        <w:t>投标报价只允许有一个报价，有选择的报价将不予接受（除指定外）。</w:t>
      </w:r>
    </w:p>
    <w:p>
      <w:pPr>
        <w:pStyle w:val="15"/>
        <w:tabs>
          <w:tab w:val="clear" w:pos="454"/>
        </w:tabs>
        <w:spacing w:afterLines="0" w:line="440" w:lineRule="atLeast"/>
        <w:ind w:left="0" w:firstLine="0"/>
        <w:rPr>
          <w:rFonts w:ascii="仿宋_GB2312" w:hAnsi="宋体" w:eastAsia="仿宋_GB2312"/>
          <w:b/>
          <w:color w:val="auto"/>
          <w:szCs w:val="24"/>
          <w:highlight w:val="none"/>
        </w:rPr>
      </w:pPr>
      <w:r>
        <w:rPr>
          <w:rFonts w:hint="eastAsia" w:ascii="仿宋_GB2312" w:hAnsi="宋体" w:eastAsia="仿宋_GB2312"/>
          <w:b/>
          <w:color w:val="auto"/>
          <w:szCs w:val="24"/>
          <w:highlight w:val="none"/>
        </w:rPr>
        <w:t>4.投标文件的有效期</w:t>
      </w:r>
    </w:p>
    <w:p>
      <w:pPr>
        <w:pStyle w:val="15"/>
        <w:tabs>
          <w:tab w:val="clear" w:pos="454"/>
        </w:tabs>
        <w:spacing w:afterLines="0" w:line="440" w:lineRule="atLeas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4.1</w:t>
      </w:r>
      <w:r>
        <w:rPr>
          <w:rFonts w:hint="eastAsia" w:ascii="仿宋" w:hAnsi="仿宋" w:eastAsia="仿宋" w:cs="仿宋_GB2312"/>
          <w:color w:val="auto"/>
          <w:highlight w:val="none"/>
        </w:rPr>
        <w:t>投标有效期为从提交投标文件的截止之日起90天。</w:t>
      </w:r>
      <w:r>
        <w:rPr>
          <w:rFonts w:hint="eastAsia" w:ascii="仿宋" w:hAnsi="仿宋" w:eastAsia="仿宋" w:cs="仿宋_GB2312"/>
          <w:b/>
          <w:color w:val="auto"/>
          <w:highlight w:val="none"/>
        </w:rPr>
        <w:t>投标人的投标文件中承</w:t>
      </w:r>
      <w:r>
        <w:rPr>
          <w:rFonts w:hint="eastAsia" w:ascii="仿宋" w:hAnsi="仿宋" w:eastAsia="仿宋" w:cs="仿宋_GB2312"/>
          <w:b/>
          <w:color w:val="auto"/>
          <w:szCs w:val="21"/>
          <w:highlight w:val="none"/>
        </w:rPr>
        <w:t>诺的投标有效期少于招标文件中载明的投标有效期的，投标无效。</w:t>
      </w:r>
    </w:p>
    <w:p>
      <w:pPr>
        <w:pStyle w:val="15"/>
        <w:tabs>
          <w:tab w:val="clear" w:pos="454"/>
        </w:tabs>
        <w:spacing w:afterLines="0" w:line="440" w:lineRule="atLeas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4.2在特殊情况下，招标人可与投标人协商延长投标书的有效期，这种要求和答复均以书面形式进行。</w:t>
      </w:r>
    </w:p>
    <w:p>
      <w:pPr>
        <w:pStyle w:val="15"/>
        <w:tabs>
          <w:tab w:val="clear" w:pos="454"/>
        </w:tabs>
        <w:spacing w:afterLines="0" w:line="440" w:lineRule="atLeas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4.3投标人可拒绝接受延期要求而不会导致投标保证金被没收。同意延长有效期的投标人不能修改投标文件。</w:t>
      </w:r>
    </w:p>
    <w:p>
      <w:pPr>
        <w:snapToGrid w:val="0"/>
        <w:spacing w:line="440" w:lineRule="exact"/>
        <w:jc w:val="left"/>
        <w:rPr>
          <w:rFonts w:ascii="仿宋_GB2312" w:hAnsi="宋体" w:eastAsia="仿宋_GB2312"/>
          <w:b/>
          <w:color w:val="auto"/>
          <w:sz w:val="24"/>
          <w:highlight w:val="none"/>
          <w:u w:val="single"/>
        </w:rPr>
      </w:pPr>
      <w:r>
        <w:rPr>
          <w:rFonts w:hint="eastAsia" w:ascii="仿宋_GB2312" w:hAnsi="宋体" w:eastAsia="仿宋_GB2312"/>
          <w:b/>
          <w:color w:val="auto"/>
          <w:sz w:val="24"/>
          <w:highlight w:val="none"/>
          <w:u w:val="single"/>
        </w:rPr>
        <w:t>5.投标文件的规定</w:t>
      </w:r>
    </w:p>
    <w:p>
      <w:pPr>
        <w:pStyle w:val="23"/>
        <w:spacing w:line="440" w:lineRule="exact"/>
        <w:jc w:val="left"/>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5.1投标文件由“商务技术（资信）文件资料”、“报价文件资料”两部分文件组成，应按统一格式填写。</w:t>
      </w:r>
    </w:p>
    <w:p>
      <w:pPr>
        <w:pStyle w:val="23"/>
        <w:spacing w:line="440" w:lineRule="exact"/>
        <w:jc w:val="left"/>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5.2投标文件须按附件格式要求进行电子签章，投标人应写全称。</w:t>
      </w:r>
    </w:p>
    <w:p>
      <w:pPr>
        <w:pStyle w:val="23"/>
        <w:spacing w:line="440" w:lineRule="exact"/>
        <w:jc w:val="left"/>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5.3投标文件不得涂改，若有修改错漏处，须加盖单位公章（或电子签章）或者法定代表人或其授权代表签字或盖章。</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5.4投标文件因字迹潦草或表达不清所引起的后果由投标人负责。</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5.5投标人应认真阅读招标文件中所有的内容。如果投标人编制的投标文件实质上不响应招标文件的要求，其投标文件将被招标人拒绝。</w:t>
      </w:r>
    </w:p>
    <w:p>
      <w:pPr>
        <w:spacing w:line="440" w:lineRule="exact"/>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5.6电子投标文件：投标人应根据“政采云供应商项目采购-电子招投标操作指南”及本招标文件规定的格式和顺序编制电子投标文件并进行关联定位。</w:t>
      </w:r>
    </w:p>
    <w:p>
      <w:pPr>
        <w:snapToGrid w:val="0"/>
        <w:spacing w:line="440" w:lineRule="exact"/>
        <w:jc w:val="left"/>
        <w:rPr>
          <w:rFonts w:ascii="仿宋_GB2312" w:hAnsi="仿宋" w:eastAsia="仿宋_GB2312" w:cs="仿宋_GB2312"/>
          <w:b/>
          <w:color w:val="auto"/>
          <w:sz w:val="24"/>
          <w:highlight w:val="none"/>
        </w:rPr>
      </w:pPr>
      <w:r>
        <w:rPr>
          <w:rFonts w:hint="eastAsia" w:ascii="仿宋_GB2312" w:hAnsi="宋体" w:eastAsia="仿宋_GB2312"/>
          <w:b/>
          <w:color w:val="auto"/>
          <w:sz w:val="24"/>
          <w:highlight w:val="none"/>
        </w:rPr>
        <w:t>6</w:t>
      </w:r>
      <w:r>
        <w:rPr>
          <w:rFonts w:hint="eastAsia" w:ascii="仿宋_GB2312" w:hAnsi="仿宋" w:eastAsia="仿宋_GB2312" w:cs="仿宋_GB2312"/>
          <w:b/>
          <w:color w:val="auto"/>
          <w:sz w:val="24"/>
          <w:highlight w:val="none"/>
        </w:rPr>
        <w:t>.投标文件的提交</w:t>
      </w:r>
    </w:p>
    <w:p>
      <w:pPr>
        <w:snapToGrid w:val="0"/>
        <w:spacing w:line="440" w:lineRule="exact"/>
        <w:ind w:firstLine="480" w:firstLineChars="200"/>
        <w:rPr>
          <w:rFonts w:ascii="仿宋_GB2312" w:eastAsia="仿宋_GB2312"/>
          <w:b/>
          <w:color w:val="auto"/>
          <w:sz w:val="24"/>
          <w:highlight w:val="none"/>
        </w:rPr>
      </w:pPr>
      <w:r>
        <w:rPr>
          <w:rFonts w:hint="eastAsia" w:ascii="仿宋_GB2312" w:eastAsia="仿宋_GB2312"/>
          <w:color w:val="auto"/>
          <w:sz w:val="24"/>
          <w:highlight w:val="none"/>
        </w:rPr>
        <w:t>投标人应按“招标公告”规定的时间、方式将投标文件提交给采购机构，</w:t>
      </w:r>
      <w:r>
        <w:rPr>
          <w:rFonts w:hint="eastAsia" w:ascii="仿宋_GB2312" w:eastAsia="仿宋_GB2312"/>
          <w:b/>
          <w:color w:val="auto"/>
          <w:sz w:val="24"/>
          <w:highlight w:val="none"/>
        </w:rPr>
        <w:t>采购机构将拒绝接受逾期提交的投标文件。</w:t>
      </w:r>
    </w:p>
    <w:p>
      <w:pPr>
        <w:widowControl/>
        <w:snapToGrid w:val="0"/>
        <w:spacing w:line="440" w:lineRule="exact"/>
        <w:rPr>
          <w:rFonts w:ascii="仿宋_GB2312" w:hAnsi="宋体" w:eastAsia="仿宋_GB2312"/>
          <w:b/>
          <w:color w:val="auto"/>
          <w:kern w:val="0"/>
          <w:sz w:val="24"/>
          <w:highlight w:val="none"/>
        </w:rPr>
      </w:pPr>
      <w:r>
        <w:rPr>
          <w:rFonts w:hint="eastAsia" w:ascii="仿宋_GB2312" w:hAnsi="宋体" w:eastAsia="仿宋_GB2312"/>
          <w:b/>
          <w:color w:val="auto"/>
          <w:sz w:val="24"/>
          <w:highlight w:val="none"/>
        </w:rPr>
        <w:t>7．</w:t>
      </w:r>
      <w:r>
        <w:rPr>
          <w:rFonts w:hint="eastAsia" w:ascii="仿宋_GB2312" w:hAnsi="宋体" w:eastAsia="仿宋_GB2312"/>
          <w:b/>
          <w:color w:val="auto"/>
          <w:kern w:val="0"/>
          <w:sz w:val="24"/>
          <w:highlight w:val="none"/>
        </w:rPr>
        <w:t>投标文件的补充和修改</w:t>
      </w:r>
    </w:p>
    <w:p>
      <w:pPr>
        <w:spacing w:line="440" w:lineRule="exact"/>
        <w:ind w:firstLine="480" w:firstLineChars="200"/>
        <w:jc w:val="left"/>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pPr>
        <w:spacing w:line="440" w:lineRule="exact"/>
        <w:jc w:val="center"/>
        <w:rPr>
          <w:rFonts w:ascii="仿宋_GB2312" w:eastAsia="仿宋_GB2312"/>
          <w:b/>
          <w:color w:val="auto"/>
          <w:sz w:val="32"/>
          <w:szCs w:val="32"/>
          <w:highlight w:val="none"/>
        </w:rPr>
      </w:pPr>
      <w:r>
        <w:rPr>
          <w:rFonts w:hint="eastAsia" w:ascii="仿宋_GB2312" w:eastAsia="仿宋_GB2312"/>
          <w:b/>
          <w:color w:val="auto"/>
          <w:sz w:val="32"/>
          <w:szCs w:val="32"/>
          <w:highlight w:val="none"/>
        </w:rPr>
        <w:t>四、开标和评标</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1．电子招投标开标及评审程序</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1.1投标截止时间后，主持人宣布开标会开始。</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1.2投标人登录政采云平台，用“项目采购-开标评标”功能对电子投标文件进行在线解密。在线解密电子投标文件时间为开标时间起3</w:t>
      </w:r>
      <w:r>
        <w:rPr>
          <w:rFonts w:ascii="仿宋_GB2312" w:hAnsi="宋体" w:eastAsia="仿宋_GB2312"/>
          <w:color w:val="auto"/>
          <w:sz w:val="24"/>
          <w:highlight w:val="none"/>
        </w:rPr>
        <w:t>0</w:t>
      </w:r>
      <w:r>
        <w:rPr>
          <w:rFonts w:hint="eastAsia" w:ascii="仿宋_GB2312" w:hAnsi="宋体" w:eastAsia="仿宋_GB2312"/>
          <w:color w:val="auto"/>
          <w:sz w:val="24"/>
          <w:highlight w:val="none"/>
        </w:rPr>
        <w:t>分钟内。</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1.3评标委员会对资格和商务技术响应文件进行评审；</w:t>
      </w:r>
    </w:p>
    <w:p>
      <w:pPr>
        <w:snapToGrid w:val="0"/>
        <w:spacing w:line="440" w:lineRule="exact"/>
        <w:jc w:val="left"/>
        <w:rPr>
          <w:rFonts w:ascii="仿宋_GB2312" w:eastAsia="仿宋_GB2312"/>
          <w:color w:val="auto"/>
          <w:sz w:val="24"/>
          <w:highlight w:val="none"/>
        </w:rPr>
      </w:pPr>
      <w:r>
        <w:rPr>
          <w:rFonts w:hint="eastAsia" w:ascii="仿宋_GB2312" w:hAnsi="宋体" w:eastAsia="仿宋_GB2312"/>
          <w:color w:val="auto"/>
          <w:sz w:val="24"/>
          <w:highlight w:val="none"/>
        </w:rPr>
        <w:t>1.4主持人宣布商务技术得分及</w:t>
      </w:r>
      <w:r>
        <w:rPr>
          <w:rFonts w:hint="eastAsia" w:ascii="仿宋_GB2312" w:eastAsia="仿宋_GB2312"/>
          <w:color w:val="auto"/>
          <w:sz w:val="24"/>
          <w:highlight w:val="none"/>
        </w:rPr>
        <w:t>无效（废）投标情形</w:t>
      </w:r>
      <w:r>
        <w:rPr>
          <w:rFonts w:hint="eastAsia" w:ascii="仿宋_GB2312" w:hAnsi="宋体" w:eastAsia="仿宋_GB2312"/>
          <w:color w:val="auto"/>
          <w:sz w:val="24"/>
          <w:highlight w:val="none"/>
        </w:rPr>
        <w:t>（如有），</w:t>
      </w:r>
      <w:r>
        <w:rPr>
          <w:rFonts w:hint="eastAsia" w:ascii="仿宋_GB2312" w:hAnsi="Arial" w:eastAsia="仿宋_GB2312" w:cs="Arial"/>
          <w:color w:val="auto"/>
          <w:sz w:val="24"/>
          <w:highlight w:val="none"/>
        </w:rPr>
        <w:t>公布经商务技术（资信）评审符合招标文件要求的投标人名单及其商务技术得分。</w:t>
      </w:r>
    </w:p>
    <w:p>
      <w:pPr>
        <w:snapToGrid w:val="0"/>
        <w:spacing w:line="440" w:lineRule="exact"/>
        <w:jc w:val="left"/>
        <w:rPr>
          <w:rFonts w:ascii="仿宋_GB2312" w:hAnsi="宋体" w:eastAsia="仿宋_GB2312"/>
          <w:color w:val="auto"/>
          <w:sz w:val="24"/>
          <w:highlight w:val="none"/>
        </w:rPr>
      </w:pPr>
      <w:r>
        <w:rPr>
          <w:rFonts w:hint="eastAsia" w:ascii="仿宋_GB2312" w:eastAsia="仿宋_GB2312"/>
          <w:color w:val="auto"/>
          <w:sz w:val="24"/>
          <w:highlight w:val="none"/>
        </w:rPr>
        <w:t>1.5</w:t>
      </w:r>
      <w:r>
        <w:rPr>
          <w:rFonts w:hint="eastAsia" w:ascii="仿宋_GB2312" w:hAnsi="宋体" w:eastAsia="仿宋_GB2312"/>
          <w:color w:val="auto"/>
          <w:sz w:val="24"/>
          <w:highlight w:val="none"/>
        </w:rPr>
        <w:t>启封</w:t>
      </w:r>
      <w:r>
        <w:rPr>
          <w:rFonts w:hint="eastAsia" w:ascii="仿宋_GB2312" w:hAnsi="Arial" w:eastAsia="仿宋_GB2312" w:cs="Arial"/>
          <w:color w:val="auto"/>
          <w:sz w:val="24"/>
          <w:highlight w:val="none"/>
        </w:rPr>
        <w:t>报价文件资料</w:t>
      </w:r>
      <w:r>
        <w:rPr>
          <w:rFonts w:hint="eastAsia" w:ascii="仿宋_GB2312" w:hAnsi="宋体" w:eastAsia="仿宋_GB2312"/>
          <w:color w:val="auto"/>
          <w:sz w:val="24"/>
          <w:highlight w:val="none"/>
        </w:rPr>
        <w:t>，主持人宣读投标人名称、投标价格和投标文件的其他内容。未宣读的投标报价和招标文件未允许提供的备选投标方案等实质性内容，评标时不予承认。</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1.6评标委员会对投标文件</w:t>
      </w:r>
      <w:r>
        <w:rPr>
          <w:rFonts w:hint="eastAsia" w:ascii="仿宋_GB2312" w:hAnsi="Arial" w:eastAsia="仿宋_GB2312" w:cs="Arial"/>
          <w:color w:val="auto"/>
          <w:sz w:val="24"/>
          <w:highlight w:val="none"/>
        </w:rPr>
        <w:t>报价文件资料</w:t>
      </w:r>
      <w:r>
        <w:rPr>
          <w:rFonts w:hint="eastAsia" w:ascii="仿宋_GB2312" w:hAnsi="宋体" w:eastAsia="仿宋_GB2312"/>
          <w:color w:val="auto"/>
          <w:sz w:val="24"/>
          <w:highlight w:val="none"/>
        </w:rPr>
        <w:t>进行评审，核准投标报价及计算价格分，汇总商务技术分、价格分，根据得分排序确定中标候选人。</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1.7主持人公布评标结果。</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特别说明：政采云公司如对电子化开标及评审程序有调整的，按调整后的程序操作。</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2.采购过程中出现以下情形，导致电子交易平台无法正常运行，或者无法保证电子交易的公平、公正和安全时，采购组织机构可中止电子交易活动：</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2.1电子交易平台发生故障而无法登录访问的； </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2.2电子交易平台应用或数据库出现错误，不能进行正常操作的；</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2.3电子交易平台发现严重安全漏洞，有潜在泄密危险的；</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2.4病毒发作导致不能进行正常操作的； </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2.5其他无法保证电子交易的公平、公正和安全的情况。</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3．评标</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olor w:val="auto"/>
          <w:sz w:val="24"/>
          <w:highlight w:val="none"/>
        </w:rPr>
        <w:t>3.1</w:t>
      </w:r>
      <w:r>
        <w:rPr>
          <w:rFonts w:hint="eastAsia" w:ascii="仿宋_GB2312" w:hAnsi="宋体" w:eastAsia="仿宋_GB2312" w:cs="宋体"/>
          <w:color w:val="auto"/>
          <w:sz w:val="24"/>
          <w:highlight w:val="none"/>
        </w:rPr>
        <w:t>评标委员会由招标采购单位依法组建，负责评标活动。评标委员会遵循公开、公平、公正、科学合理、竞争择优的原则。</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3.2评标委员会由采购人代表和有关方面的专家组成，成员人数为五人以上单数。</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3.3评标委员会负责对投标人资格的最终审定。</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3.4评标委员会可以要求投标人对其投标文件中含义不明确的内容作必要的澄清或者说明，但澄清或者说明不得超过投标文件的范围或者改变投标文件的实质性内容。</w:t>
      </w:r>
    </w:p>
    <w:p>
      <w:pPr>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供应商通过政采云平台交换的数据电文必须进行电子签章。</w:t>
      </w:r>
    </w:p>
    <w:p>
      <w:pPr>
        <w:widowControl/>
        <w:snapToGrid w:val="0"/>
        <w:spacing w:line="440" w:lineRule="exact"/>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3.5</w:t>
      </w:r>
      <w:r>
        <w:rPr>
          <w:rFonts w:hint="eastAsia" w:ascii="仿宋_GB2312" w:hAnsi="宋体" w:eastAsia="仿宋_GB2312"/>
          <w:color w:val="auto"/>
          <w:sz w:val="24"/>
          <w:highlight w:val="none"/>
        </w:rPr>
        <w:t>评标委员会</w:t>
      </w:r>
      <w:r>
        <w:rPr>
          <w:rFonts w:hint="eastAsia" w:ascii="仿宋_GB2312" w:hAnsi="宋体" w:eastAsia="仿宋_GB2312"/>
          <w:color w:val="auto"/>
          <w:kern w:val="0"/>
          <w:sz w:val="24"/>
          <w:highlight w:val="none"/>
        </w:rPr>
        <w:t>对投标文件的判定，只依据投标文件和招标文件内容本身，不依据任何外来证明。</w:t>
      </w:r>
    </w:p>
    <w:p>
      <w:pPr>
        <w:widowControl/>
        <w:snapToGrid w:val="0"/>
        <w:spacing w:line="440" w:lineRule="exact"/>
        <w:rPr>
          <w:rFonts w:ascii="仿宋_GB2312" w:hAnsi="宋体" w:eastAsia="仿宋_GB2312"/>
          <w:color w:val="auto"/>
          <w:kern w:val="0"/>
          <w:sz w:val="24"/>
          <w:highlight w:val="none"/>
        </w:rPr>
      </w:pPr>
      <w:r>
        <w:rPr>
          <w:rFonts w:hint="eastAsia" w:ascii="仿宋_GB2312" w:hAnsi="宋体" w:eastAsia="仿宋_GB2312" w:cs="宋体"/>
          <w:color w:val="auto"/>
          <w:sz w:val="24"/>
          <w:highlight w:val="none"/>
        </w:rPr>
        <w:t>3.6评标委员会不向落标方解释落标的原因。</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4．投标文件的初审鉴定</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4.1资格性审查</w:t>
      </w:r>
    </w:p>
    <w:p>
      <w:pPr>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4.1.1依据法律、法规和招标文件规定，采购人或采购人代表对投标人进行资格审查，以确定投标人是否具备投标资格。</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4.2符合性审查</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r>
        <w:rPr>
          <w:rFonts w:hint="eastAsia" w:ascii="仿宋_GB2312" w:hAnsi="仿宋_GB2312" w:eastAsia="仿宋_GB2312" w:cs="仿宋_GB2312"/>
          <w:color w:val="auto"/>
          <w:sz w:val="24"/>
          <w:highlight w:val="none"/>
        </w:rPr>
        <w:t>评标委员会决定投标文件的响应性只根据投标文件本身的内容，而不寻求外部证据。</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4.3如果投标文件实质不响应招标文件的各项要求，评标委员会将予以拒绝，并且不允许投标人通过修改或撤销其不符合要求的差异或保留，使之成为具有实质性响应的投标。</w:t>
      </w:r>
    </w:p>
    <w:p>
      <w:pPr>
        <w:spacing w:line="440" w:lineRule="exact"/>
        <w:jc w:val="left"/>
        <w:rPr>
          <w:rFonts w:ascii="仿宋_GB2312" w:hAnsi="宋体" w:eastAsia="仿宋_GB2312" w:cs="宋体"/>
          <w:b/>
          <w:color w:val="auto"/>
          <w:sz w:val="24"/>
          <w:highlight w:val="none"/>
        </w:rPr>
      </w:pPr>
      <w:r>
        <w:rPr>
          <w:rFonts w:hint="eastAsia" w:ascii="仿宋_GB2312" w:hAnsi="宋体" w:eastAsia="仿宋_GB2312"/>
          <w:b/>
          <w:color w:val="auto"/>
          <w:kern w:val="0"/>
          <w:sz w:val="24"/>
          <w:highlight w:val="none"/>
        </w:rPr>
        <w:t xml:space="preserve">5. </w:t>
      </w:r>
      <w:r>
        <w:rPr>
          <w:rFonts w:hint="eastAsia" w:ascii="仿宋_GB2312" w:hAnsi="宋体" w:eastAsia="仿宋_GB2312" w:cs="宋体"/>
          <w:b/>
          <w:color w:val="auto"/>
          <w:sz w:val="24"/>
          <w:highlight w:val="none"/>
        </w:rPr>
        <w:t>投标文件报价出现前后不一致的，按照下列规定修正：</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5.1投标文件中开标一览表（报价表）内容与投标文件中相应内容不一致的，以开标一览表（报价表）为准；</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5.2大写金额和小写金额不一致的，以大写金额为准；</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5.3单价金额小数点或者百分比有明显错位的，以开标一览表的总价为准，并修改单价；</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5.4总价金额与按单价汇总金额不一致的，以单价金额计算结果为准。</w:t>
      </w:r>
    </w:p>
    <w:p>
      <w:pPr>
        <w:spacing w:line="440" w:lineRule="exact"/>
        <w:ind w:firstLine="480"/>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同时出现两种以上不一致的，按照前款规定的顺序修正。</w:t>
      </w:r>
      <w:r>
        <w:rPr>
          <w:rFonts w:hint="eastAsia" w:ascii="仿宋_GB2312" w:hAnsi="仿宋_GB2312" w:eastAsia="仿宋_GB2312" w:cs="仿宋_GB2312"/>
          <w:bCs/>
          <w:color w:val="auto"/>
          <w:sz w:val="24"/>
          <w:highlight w:val="none"/>
        </w:rPr>
        <w:t>修正后的报价按照财政部公布第87号令 《政府采购货物和服务招标投标管理办法》</w:t>
      </w:r>
      <w:r>
        <w:rPr>
          <w:rFonts w:hint="eastAsia" w:ascii="仿宋_GB2312" w:hAnsi="宋体" w:eastAsia="仿宋_GB2312" w:cs="宋体"/>
          <w:color w:val="auto"/>
          <w:sz w:val="24"/>
          <w:highlight w:val="none"/>
        </w:rPr>
        <w:t>第五十一条第二款的规定经投标人确认后产生约束力，投标人不确认的，其投标无效。</w:t>
      </w:r>
    </w:p>
    <w:p>
      <w:pPr>
        <w:spacing w:line="440" w:lineRule="exact"/>
        <w:jc w:val="left"/>
        <w:rPr>
          <w:rFonts w:ascii="仿宋_GB2312" w:hAnsi="宋体" w:eastAsia="仿宋_GB2312" w:cs="宋体"/>
          <w:b/>
          <w:color w:val="auto"/>
          <w:sz w:val="24"/>
          <w:highlight w:val="none"/>
        </w:rPr>
      </w:pPr>
      <w:r>
        <w:rPr>
          <w:rFonts w:hint="eastAsia" w:ascii="仿宋_GB2312" w:hAnsi="宋体" w:eastAsia="仿宋_GB2312" w:cs="宋体"/>
          <w:b/>
          <w:color w:val="auto"/>
          <w:sz w:val="24"/>
          <w:highlight w:val="none"/>
        </w:rPr>
        <w:t>6.投标文件的评审、比较和否决</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6.1评标委员会将对在实质上响应招标文件要求的投标文件进行评估和比较。</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6.2在评审过程中，评标委员会可以书面形式要求投标人就投标文件含义不明确的内容可对其通过政采云平台进行书面说明并提供相关材料，但</w:t>
      </w:r>
      <w:r>
        <w:rPr>
          <w:rFonts w:hint="eastAsia" w:ascii="仿宋_GB2312" w:hAnsi="宋体" w:eastAsia="仿宋_GB2312"/>
          <w:color w:val="auto"/>
          <w:sz w:val="24"/>
          <w:highlight w:val="none"/>
        </w:rPr>
        <w:t>不得超过投标文件的范围或者改变投标文件的实质性内容。</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6.3在评标过程中，如发现与招标文件要求相偏离的，评标委员会可对其偏离情形进行必要的核实。</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6.4在评审过程中，如属于实质性偏离或符合无效响应条件的，应当询问相关投标人，并可对其通过政采云平台进行线上确认，但不允许对偏离条款进行补充、修正或撤回。</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6.5</w:t>
      </w:r>
      <w:r>
        <w:rPr>
          <w:rFonts w:ascii="仿宋_GB2312" w:hAnsi="宋体" w:eastAsia="仿宋_GB2312" w:cs="宋体"/>
          <w:color w:val="auto"/>
          <w:sz w:val="24"/>
          <w:highlight w:val="none"/>
        </w:rPr>
        <w:t>比较与评价</w:t>
      </w:r>
      <w:r>
        <w:rPr>
          <w:rFonts w:hint="eastAsia" w:ascii="仿宋_GB2312" w:hAnsi="宋体" w:eastAsia="仿宋_GB2312" w:cs="宋体"/>
          <w:color w:val="auto"/>
          <w:sz w:val="24"/>
          <w:highlight w:val="none"/>
        </w:rPr>
        <w:t>。评</w:t>
      </w:r>
      <w:r>
        <w:rPr>
          <w:rFonts w:ascii="仿宋_GB2312" w:hAnsi="宋体" w:eastAsia="仿宋_GB2312" w:cs="宋体"/>
          <w:color w:val="auto"/>
          <w:sz w:val="24"/>
          <w:highlight w:val="none"/>
        </w:rPr>
        <w:t>标委员会应当按照评标标准，对符合性审查合格的投标文件进行商务和技术评估，综合比较与评价。</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6.6</w:t>
      </w:r>
      <w:r>
        <w:rPr>
          <w:rFonts w:ascii="仿宋_GB2312" w:hAnsi="宋体" w:eastAsia="仿宋_GB2312" w:cs="宋体"/>
          <w:color w:val="auto"/>
          <w:sz w:val="24"/>
          <w:highlight w:val="none"/>
        </w:rPr>
        <w:t>汇总</w:t>
      </w:r>
      <w:r>
        <w:rPr>
          <w:rFonts w:hint="eastAsia" w:ascii="仿宋_GB2312" w:hAnsi="宋体" w:eastAsia="仿宋_GB2312" w:cs="宋体"/>
          <w:color w:val="auto"/>
          <w:sz w:val="24"/>
          <w:highlight w:val="none"/>
        </w:rPr>
        <w:t>（商务技术得分情况）。</w:t>
      </w:r>
      <w:r>
        <w:rPr>
          <w:rFonts w:ascii="仿宋_GB2312" w:hAnsi="宋体" w:eastAsia="仿宋_GB2312" w:cs="宋体"/>
          <w:color w:val="auto"/>
          <w:sz w:val="24"/>
          <w:highlight w:val="none"/>
        </w:rPr>
        <w:t>评标委员会各成员应当独立对每个投标人的</w:t>
      </w:r>
      <w:r>
        <w:rPr>
          <w:rFonts w:hint="eastAsia" w:ascii="仿宋_GB2312" w:hAnsi="宋体" w:eastAsia="仿宋_GB2312" w:cs="宋体"/>
          <w:color w:val="auto"/>
          <w:sz w:val="24"/>
          <w:highlight w:val="none"/>
        </w:rPr>
        <w:t>商务技术（资信）文件</w:t>
      </w:r>
      <w:r>
        <w:rPr>
          <w:rFonts w:ascii="仿宋_GB2312" w:hAnsi="宋体" w:eastAsia="仿宋_GB2312" w:cs="宋体"/>
          <w:color w:val="auto"/>
          <w:sz w:val="24"/>
          <w:highlight w:val="none"/>
        </w:rPr>
        <w:t>进行评价，并汇总</w:t>
      </w:r>
      <w:r>
        <w:rPr>
          <w:rFonts w:hint="eastAsia" w:ascii="仿宋_GB2312" w:hAnsi="宋体" w:eastAsia="仿宋_GB2312" w:cs="宋体"/>
          <w:color w:val="auto"/>
          <w:sz w:val="24"/>
          <w:highlight w:val="none"/>
        </w:rPr>
        <w:t>商务技术得分情况</w:t>
      </w:r>
      <w:r>
        <w:rPr>
          <w:rFonts w:ascii="仿宋_GB2312" w:hAnsi="宋体" w:eastAsia="仿宋_GB2312" w:cs="宋体"/>
          <w:color w:val="auto"/>
          <w:sz w:val="24"/>
          <w:highlight w:val="none"/>
        </w:rPr>
        <w:t>。</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6.7 报价审核。对符合采购需求且通过商务技术（资信）评审的投标人的报价的合理性、准确性等进行审查核实。</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6.7.2根据财政部发布的《政府采购促进中小企业发展暂行办法》规定，对于非专门面向中小企业的项目，对小型和微型企业产品的价格给予一定的扣除，用扣除后的价格参与评审。</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6.7.3如需投标价格修正，按财政部87号令第五十九条的规定对投标价格进行修正。</w:t>
      </w:r>
    </w:p>
    <w:p>
      <w:pPr>
        <w:spacing w:line="440" w:lineRule="exact"/>
        <w:jc w:val="left"/>
        <w:rPr>
          <w:rFonts w:ascii="仿宋_GB2312" w:hAnsi="宋体" w:eastAsia="仿宋_GB2312" w:cs="宋体"/>
          <w:color w:val="auto"/>
          <w:sz w:val="24"/>
          <w:highlight w:val="none"/>
        </w:rPr>
      </w:pPr>
      <w:r>
        <w:rPr>
          <w:rFonts w:hint="eastAsia" w:ascii="仿宋_GB2312" w:hAnsi="宋体" w:eastAsia="仿宋_GB2312" w:cs="宋体"/>
          <w:color w:val="auto"/>
          <w:sz w:val="24"/>
          <w:highlight w:val="none"/>
        </w:rPr>
        <w:t>6.8评标委员会依据招标文件规定的评标标准和方法，对投标文件进行评审和比较后，向本公司提供书面评标报告，并按得分高低排序推荐中标候选供应商。</w:t>
      </w:r>
    </w:p>
    <w:p>
      <w:pPr>
        <w:pStyle w:val="15"/>
        <w:widowControl w:val="0"/>
        <w:tabs>
          <w:tab w:val="clear" w:pos="454"/>
        </w:tabs>
        <w:spacing w:afterLines="0" w:line="440" w:lineRule="exact"/>
        <w:ind w:left="0" w:firstLine="0"/>
        <w:rPr>
          <w:rFonts w:ascii="仿宋_GB2312" w:hAnsi="宋体" w:eastAsia="仿宋_GB2312"/>
          <w:b/>
          <w:color w:val="auto"/>
          <w:highlight w:val="none"/>
        </w:rPr>
      </w:pPr>
      <w:r>
        <w:rPr>
          <w:rFonts w:hint="eastAsia" w:ascii="仿宋_GB2312" w:hAnsi="宋体" w:eastAsia="仿宋_GB2312"/>
          <w:b/>
          <w:color w:val="auto"/>
          <w:highlight w:val="none"/>
        </w:rPr>
        <w:t>7.投标文件的澄清</w:t>
      </w:r>
    </w:p>
    <w:p>
      <w:pPr>
        <w:pStyle w:val="15"/>
        <w:widowControl w:val="0"/>
        <w:tabs>
          <w:tab w:val="clear" w:pos="454"/>
        </w:tabs>
        <w:spacing w:afterLines="0" w:line="440" w:lineRule="exact"/>
        <w:ind w:left="0" w:firstLine="480" w:firstLineChars="200"/>
        <w:rPr>
          <w:rFonts w:ascii="仿宋_GB2312" w:hAnsi="宋体" w:eastAsia="仿宋_GB2312"/>
          <w:color w:val="auto"/>
          <w:highlight w:val="none"/>
        </w:rPr>
      </w:pPr>
      <w:r>
        <w:rPr>
          <w:rFonts w:hint="eastAsia" w:ascii="仿宋_GB2312" w:hAnsi="仿宋_GB2312" w:eastAsia="仿宋_GB2312" w:cs="仿宋_GB2312"/>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23"/>
        <w:snapToGrid w:val="0"/>
        <w:spacing w:line="440" w:lineRule="exact"/>
        <w:jc w:val="left"/>
        <w:rPr>
          <w:rFonts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8.无效投标的情形</w:t>
      </w:r>
    </w:p>
    <w:p>
      <w:pPr>
        <w:tabs>
          <w:tab w:val="left" w:pos="4085"/>
        </w:tabs>
        <w:snapToGrid w:val="0"/>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投标文件有下列情形之一的作无效投标处理：</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8.1未按照招标文件规定要求电子签章、签字或盖章的；</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8.2单位负责人为同一人或者存在直接控股、管理关系的不同供应商参加同一合同项下的政府采购活动的（均无效）；</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 xml:space="preserve">8.3为采购项目提供整体设计、规范编制或者项目管理、监理、检测等服务的供应商参加该采购项目的其他采购活动的； </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8.4投标人不具备招标文件中规定的资格要求的（投标人未提供有效的资格证明文件的，视为投标人不具备招标文件中规定的资格要求）；</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kern w:val="0"/>
          <w:sz w:val="24"/>
          <w:highlight w:val="none"/>
        </w:rPr>
        <w:t>8.5《法定代表人身份证明书》与提供的身份证复印件信息不符的；《法定代表人授权委托书》与提供的身份证复印件信息不符的；</w:t>
      </w:r>
    </w:p>
    <w:p>
      <w:pPr>
        <w:snapToGrid w:val="0"/>
        <w:spacing w:line="440" w:lineRule="exact"/>
        <w:jc w:val="left"/>
        <w:rPr>
          <w:rFonts w:ascii="仿宋_GB2312" w:hAnsi="宋体" w:eastAsia="仿宋_GB2312"/>
          <w:b/>
          <w:color w:val="auto"/>
          <w:kern w:val="0"/>
          <w:sz w:val="24"/>
          <w:highlight w:val="none"/>
        </w:rPr>
      </w:pPr>
      <w:r>
        <w:rPr>
          <w:rFonts w:hint="eastAsia" w:ascii="仿宋_GB2312" w:hAnsi="宋体" w:eastAsia="仿宋_GB2312"/>
          <w:b/>
          <w:color w:val="auto"/>
          <w:kern w:val="0"/>
          <w:sz w:val="24"/>
          <w:highlight w:val="none"/>
        </w:rPr>
        <w:t>8.6《法定代表人授权委托书》或《法定代表人身份证明书》填写不全、错误、未电子签章(《法定代表人授权委托书》要求“电子签章”和“签字或盖章”缺一不可）的；</w:t>
      </w:r>
    </w:p>
    <w:p>
      <w:pPr>
        <w:snapToGrid w:val="0"/>
        <w:spacing w:line="440" w:lineRule="exact"/>
        <w:jc w:val="left"/>
        <w:rPr>
          <w:rFonts w:ascii="仿宋_GB2312" w:hAnsi="宋体" w:eastAsia="仿宋_GB2312"/>
          <w:b/>
          <w:color w:val="auto"/>
          <w:kern w:val="0"/>
          <w:sz w:val="24"/>
          <w:highlight w:val="none"/>
        </w:rPr>
      </w:pPr>
      <w:r>
        <w:rPr>
          <w:rFonts w:hint="eastAsia" w:ascii="仿宋_GB2312" w:hAnsi="宋体" w:eastAsia="仿宋_GB2312"/>
          <w:b/>
          <w:color w:val="auto"/>
          <w:kern w:val="0"/>
          <w:sz w:val="24"/>
          <w:highlight w:val="none"/>
        </w:rPr>
        <w:t>8.7授权代表非投标单位正式职工的（以</w:t>
      </w:r>
      <w:r>
        <w:rPr>
          <w:rFonts w:ascii="仿宋_GB2312" w:hAnsi="宋体" w:eastAsia="仿宋_GB2312"/>
          <w:b/>
          <w:color w:val="auto"/>
          <w:kern w:val="0"/>
          <w:sz w:val="24"/>
          <w:highlight w:val="none"/>
        </w:rPr>
        <w:t>社保证明</w:t>
      </w:r>
      <w:r>
        <w:rPr>
          <w:rFonts w:hint="eastAsia" w:ascii="仿宋_GB2312" w:hAnsi="宋体" w:eastAsia="仿宋_GB2312"/>
          <w:b/>
          <w:color w:val="auto"/>
          <w:kern w:val="0"/>
          <w:sz w:val="24"/>
          <w:highlight w:val="none"/>
        </w:rPr>
        <w:t>为准，如授权代表为</w:t>
      </w:r>
      <w:r>
        <w:rPr>
          <w:rFonts w:ascii="仿宋_GB2312" w:hAnsi="宋体" w:eastAsia="仿宋_GB2312"/>
          <w:b/>
          <w:color w:val="auto"/>
          <w:kern w:val="0"/>
          <w:sz w:val="24"/>
          <w:highlight w:val="none"/>
        </w:rPr>
        <w:t>离退休返聘人员的，</w:t>
      </w:r>
      <w:r>
        <w:rPr>
          <w:rFonts w:hint="eastAsia" w:ascii="仿宋_GB2312" w:hAnsi="宋体" w:eastAsia="仿宋_GB2312"/>
          <w:b/>
          <w:color w:val="auto"/>
          <w:kern w:val="0"/>
          <w:sz w:val="24"/>
          <w:highlight w:val="none"/>
        </w:rPr>
        <w:t>需提供</w:t>
      </w:r>
      <w:r>
        <w:rPr>
          <w:rFonts w:ascii="仿宋_GB2312" w:hAnsi="宋体" w:eastAsia="仿宋_GB2312"/>
          <w:b/>
          <w:color w:val="auto"/>
          <w:kern w:val="0"/>
          <w:sz w:val="24"/>
          <w:highlight w:val="none"/>
        </w:rPr>
        <w:t>退休证明及单位聘用证明</w:t>
      </w:r>
      <w:r>
        <w:rPr>
          <w:rFonts w:hint="eastAsia" w:ascii="仿宋_GB2312" w:hAnsi="宋体" w:eastAsia="仿宋_GB2312"/>
          <w:b/>
          <w:color w:val="auto"/>
          <w:kern w:val="0"/>
          <w:sz w:val="24"/>
          <w:highlight w:val="none"/>
        </w:rPr>
        <w:t>），法定代表人及个体工商户除外；</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8.8投标文件中的投标函无投标人的电子签章或填写不全的；</w:t>
      </w:r>
    </w:p>
    <w:p>
      <w:pPr>
        <w:tabs>
          <w:tab w:val="left" w:pos="3870"/>
          <w:tab w:val="left" w:pos="4085"/>
        </w:tabs>
        <w:snapToGrid w:val="0"/>
        <w:spacing w:line="440" w:lineRule="exact"/>
        <w:jc w:val="left"/>
        <w:rPr>
          <w:rFonts w:ascii="仿宋_GB2312" w:hAnsi="宋体" w:eastAsia="仿宋_GB2312"/>
          <w:b/>
          <w:color w:val="auto"/>
          <w:kern w:val="0"/>
          <w:sz w:val="24"/>
          <w:highlight w:val="none"/>
        </w:rPr>
      </w:pPr>
      <w:r>
        <w:rPr>
          <w:rFonts w:hint="eastAsia" w:ascii="仿宋_GB2312" w:hAnsi="宋体" w:eastAsia="仿宋_GB2312"/>
          <w:b/>
          <w:color w:val="auto"/>
          <w:kern w:val="0"/>
          <w:sz w:val="24"/>
          <w:highlight w:val="none"/>
        </w:rPr>
        <w:t>8.9报</w:t>
      </w:r>
      <w:r>
        <w:rPr>
          <w:rFonts w:hint="eastAsia" w:ascii="仿宋_GB2312" w:hAnsi="宋体" w:eastAsia="仿宋_GB2312"/>
          <w:b/>
          <w:color w:val="auto"/>
          <w:sz w:val="24"/>
          <w:highlight w:val="none"/>
        </w:rPr>
        <w:t>价一经涂改，未在涂改处加盖投标单位公章或者未经法定代表人或其授权代表签字或盖章的；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kern w:val="0"/>
          <w:sz w:val="24"/>
          <w:highlight w:val="none"/>
        </w:rPr>
        <w:t>8.10</w:t>
      </w:r>
      <w:r>
        <w:rPr>
          <w:rFonts w:hint="eastAsia" w:ascii="仿宋_GB2312" w:hAnsi="宋体" w:eastAsia="仿宋_GB2312"/>
          <w:b/>
          <w:color w:val="auto"/>
          <w:sz w:val="24"/>
          <w:highlight w:val="none"/>
        </w:rPr>
        <w:t>未按招标文件规定的格式填写，或</w:t>
      </w:r>
      <w:r>
        <w:rPr>
          <w:rFonts w:hint="eastAsia" w:ascii="仿宋_GB2312" w:hAnsi="宋体" w:eastAsia="仿宋_GB2312"/>
          <w:b/>
          <w:color w:val="auto"/>
          <w:sz w:val="24"/>
          <w:szCs w:val="20"/>
          <w:highlight w:val="none"/>
        </w:rPr>
        <w:t>对招标</w:t>
      </w:r>
      <w:r>
        <w:rPr>
          <w:rFonts w:hint="eastAsia" w:ascii="仿宋_GB2312" w:hAnsi="宋体" w:eastAsia="仿宋_GB2312"/>
          <w:b/>
          <w:color w:val="auto"/>
          <w:sz w:val="24"/>
          <w:highlight w:val="none"/>
        </w:rPr>
        <w:t>服务或技术或产品等要求</w:t>
      </w:r>
      <w:r>
        <w:rPr>
          <w:rFonts w:hint="eastAsia" w:ascii="仿宋_GB2312" w:hAnsi="宋体" w:eastAsia="仿宋_GB2312"/>
          <w:b/>
          <w:color w:val="auto"/>
          <w:sz w:val="24"/>
          <w:szCs w:val="20"/>
          <w:highlight w:val="none"/>
        </w:rPr>
        <w:t>未详细应答或应答</w:t>
      </w:r>
      <w:r>
        <w:rPr>
          <w:rFonts w:hint="eastAsia" w:ascii="仿宋_GB2312" w:hAnsi="宋体" w:eastAsia="仿宋_GB2312"/>
          <w:b/>
          <w:color w:val="auto"/>
          <w:sz w:val="24"/>
          <w:highlight w:val="none"/>
        </w:rPr>
        <w:t>内容不全、有缺失的,经评标委员会认定为无法评审的；</w:t>
      </w:r>
    </w:p>
    <w:p>
      <w:pPr>
        <w:pStyle w:val="23"/>
        <w:snapToGrid w:val="0"/>
        <w:spacing w:line="440" w:lineRule="exact"/>
        <w:jc w:val="left"/>
        <w:rPr>
          <w:rFonts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8.11出现同一标的物或本次招标产品(服务)内的主要产品(重要组成部分)出现</w:t>
      </w:r>
      <w:r>
        <w:rPr>
          <w:rFonts w:hint="eastAsia" w:ascii="仿宋_GB2312" w:hAnsi="宋体" w:eastAsia="仿宋_GB2312"/>
          <w:b/>
          <w:color w:val="auto"/>
          <w:sz w:val="24"/>
          <w:highlight w:val="none"/>
        </w:rPr>
        <w:t>商务技术（资信）文件资料</w:t>
      </w:r>
      <w:r>
        <w:rPr>
          <w:rFonts w:hint="eastAsia" w:ascii="仿宋_GB2312" w:hAnsi="宋体" w:eastAsia="仿宋_GB2312"/>
          <w:b/>
          <w:color w:val="auto"/>
          <w:sz w:val="24"/>
          <w:szCs w:val="24"/>
          <w:highlight w:val="none"/>
        </w:rPr>
        <w:t>、</w:t>
      </w:r>
      <w:r>
        <w:rPr>
          <w:rFonts w:hint="eastAsia" w:ascii="仿宋_GB2312" w:hAnsi="宋体" w:eastAsia="仿宋_GB2312"/>
          <w:b/>
          <w:color w:val="auto"/>
          <w:sz w:val="24"/>
          <w:highlight w:val="none"/>
        </w:rPr>
        <w:t>报价文件资料</w:t>
      </w:r>
      <w:r>
        <w:rPr>
          <w:rFonts w:hint="eastAsia" w:ascii="仿宋_GB2312" w:hAnsi="宋体" w:eastAsia="仿宋_GB2312"/>
          <w:b/>
          <w:color w:val="auto"/>
          <w:sz w:val="24"/>
          <w:szCs w:val="24"/>
          <w:highlight w:val="none"/>
        </w:rPr>
        <w:t>描述不一致或前后描述不一致，经评标委员会认定后为无法评审的；</w:t>
      </w:r>
    </w:p>
    <w:p>
      <w:pPr>
        <w:pStyle w:val="23"/>
        <w:snapToGrid w:val="0"/>
        <w:spacing w:line="440" w:lineRule="exact"/>
        <w:jc w:val="left"/>
        <w:rPr>
          <w:rFonts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8.12《技</w:t>
      </w:r>
      <w:r>
        <w:rPr>
          <w:rFonts w:hint="eastAsia" w:ascii="仿宋_GB2312" w:hAnsi="宋体" w:eastAsia="仿宋_GB2312"/>
          <w:b/>
          <w:color w:val="auto"/>
          <w:sz w:val="24"/>
          <w:highlight w:val="none"/>
        </w:rPr>
        <w:t>术偏离说明表</w:t>
      </w:r>
      <w:r>
        <w:rPr>
          <w:rFonts w:hint="eastAsia" w:ascii="仿宋_GB2312" w:hAnsi="宋体" w:eastAsia="仿宋_GB2312"/>
          <w:b/>
          <w:color w:val="auto"/>
          <w:sz w:val="24"/>
          <w:szCs w:val="24"/>
          <w:highlight w:val="none"/>
        </w:rPr>
        <w:t>》</w:t>
      </w:r>
      <w:r>
        <w:rPr>
          <w:rFonts w:hint="eastAsia" w:ascii="仿宋_GB2312" w:hAnsi="宋体" w:eastAsia="仿宋_GB2312"/>
          <w:b/>
          <w:color w:val="auto"/>
          <w:sz w:val="24"/>
          <w:highlight w:val="none"/>
        </w:rPr>
        <w:t>不真实填写或弄虚作假的；</w:t>
      </w:r>
    </w:p>
    <w:p>
      <w:pPr>
        <w:tabs>
          <w:tab w:val="left" w:pos="3870"/>
          <w:tab w:val="left" w:pos="4085"/>
        </w:tabs>
        <w:snapToGrid w:val="0"/>
        <w:spacing w:line="440" w:lineRule="exact"/>
        <w:jc w:val="left"/>
        <w:rPr>
          <w:rFonts w:ascii="仿宋_GB2312" w:hAnsi="宋体" w:eastAsia="仿宋_GB2312"/>
          <w:b/>
          <w:color w:val="auto"/>
          <w:kern w:val="0"/>
          <w:sz w:val="24"/>
          <w:highlight w:val="none"/>
        </w:rPr>
      </w:pPr>
      <w:r>
        <w:rPr>
          <w:rFonts w:hint="eastAsia" w:ascii="仿宋_GB2312" w:hAnsi="宋体" w:eastAsia="仿宋_GB2312"/>
          <w:b/>
          <w:color w:val="auto"/>
          <w:sz w:val="24"/>
          <w:highlight w:val="none"/>
        </w:rPr>
        <w:t>8.13投</w:t>
      </w:r>
      <w:r>
        <w:rPr>
          <w:rFonts w:hint="eastAsia" w:ascii="仿宋_GB2312" w:hAnsi="宋体" w:eastAsia="仿宋_GB2312"/>
          <w:b/>
          <w:color w:val="auto"/>
          <w:kern w:val="0"/>
          <w:sz w:val="24"/>
          <w:highlight w:val="none"/>
        </w:rPr>
        <w:t>标文件含有采购人不能接受的附加条件；</w:t>
      </w:r>
    </w:p>
    <w:p>
      <w:pPr>
        <w:tabs>
          <w:tab w:val="left" w:pos="3870"/>
          <w:tab w:val="left" w:pos="4085"/>
        </w:tabs>
        <w:snapToGrid w:val="0"/>
        <w:spacing w:line="440" w:lineRule="exact"/>
        <w:jc w:val="left"/>
        <w:rPr>
          <w:rFonts w:ascii="仿宋_GB2312" w:hAnsi="宋体" w:eastAsia="仿宋_GB2312"/>
          <w:b/>
          <w:color w:val="auto"/>
          <w:kern w:val="0"/>
          <w:sz w:val="24"/>
          <w:highlight w:val="none"/>
        </w:rPr>
      </w:pPr>
      <w:r>
        <w:rPr>
          <w:rFonts w:hint="eastAsia" w:ascii="仿宋_GB2312" w:hAnsi="宋体" w:eastAsia="仿宋_GB2312"/>
          <w:b/>
          <w:color w:val="auto"/>
          <w:kern w:val="0"/>
          <w:sz w:val="24"/>
          <w:highlight w:val="none"/>
        </w:rPr>
        <w:t>8.14评</w:t>
      </w:r>
      <w:r>
        <w:rPr>
          <w:rFonts w:hint="eastAsia" w:ascii="仿宋_GB2312" w:hAnsi="宋体" w:eastAsia="仿宋_GB2312"/>
          <w:b/>
          <w:color w:val="auto"/>
          <w:sz w:val="24"/>
          <w:highlight w:val="none"/>
        </w:rPr>
        <w:t>标委员会认为投标人的报价明显低于其他通过符合性审查投标人的报价，有可能影响产品质量或者不能诚信履约的，未能按要求提供书面说明或者提交相关证明材料证明其报价合理性的;</w:t>
      </w:r>
    </w:p>
    <w:p>
      <w:pPr>
        <w:tabs>
          <w:tab w:val="left" w:pos="3870"/>
          <w:tab w:val="left" w:pos="4085"/>
        </w:tabs>
        <w:snapToGrid w:val="0"/>
        <w:spacing w:line="440" w:lineRule="exact"/>
        <w:jc w:val="left"/>
        <w:rPr>
          <w:rFonts w:ascii="仿宋_GB2312" w:eastAsia="仿宋_GB2312"/>
          <w:b/>
          <w:color w:val="auto"/>
          <w:sz w:val="24"/>
          <w:highlight w:val="none"/>
        </w:rPr>
      </w:pPr>
      <w:r>
        <w:rPr>
          <w:rFonts w:hint="eastAsia" w:ascii="仿宋_GB2312" w:hAnsi="宋体" w:eastAsia="仿宋_GB2312"/>
          <w:b/>
          <w:color w:val="auto"/>
          <w:sz w:val="24"/>
          <w:highlight w:val="none"/>
        </w:rPr>
        <w:t>8.15报</w:t>
      </w:r>
      <w:r>
        <w:rPr>
          <w:rFonts w:hint="eastAsia" w:ascii="仿宋_GB2312" w:eastAsia="仿宋_GB2312"/>
          <w:b/>
          <w:color w:val="auto"/>
          <w:sz w:val="24"/>
          <w:highlight w:val="none"/>
        </w:rPr>
        <w:t>价超过招标文件中规定的预算金额或最高限价的；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8.16投标文件“商务技术（资信）文件资料”部分中出现《开标一览表》相关内容的；</w:t>
      </w:r>
    </w:p>
    <w:p>
      <w:pPr>
        <w:tabs>
          <w:tab w:val="left" w:pos="3870"/>
          <w:tab w:val="left" w:pos="4085"/>
        </w:tabs>
        <w:snapToGrid w:val="0"/>
        <w:spacing w:line="440" w:lineRule="exact"/>
        <w:jc w:val="left"/>
        <w:rPr>
          <w:rFonts w:ascii="仿宋" w:hAnsi="仿宋" w:eastAsia="仿宋" w:cs="仿宋_GB2312"/>
          <w:b/>
          <w:color w:val="auto"/>
          <w:sz w:val="24"/>
          <w:szCs w:val="21"/>
          <w:highlight w:val="none"/>
        </w:rPr>
      </w:pPr>
      <w:r>
        <w:rPr>
          <w:rFonts w:hint="eastAsia" w:ascii="仿宋_GB2312" w:hAnsi="仿宋" w:eastAsia="仿宋_GB2312" w:cs="仿宋_GB2312"/>
          <w:b/>
          <w:color w:val="auto"/>
          <w:sz w:val="24"/>
          <w:szCs w:val="21"/>
          <w:highlight w:val="none"/>
        </w:rPr>
        <w:t>8.17采</w:t>
      </w:r>
      <w:r>
        <w:rPr>
          <w:rFonts w:ascii="仿宋" w:hAnsi="仿宋" w:eastAsia="仿宋" w:cs="仿宋_GB2312"/>
          <w:b/>
          <w:color w:val="auto"/>
          <w:sz w:val="24"/>
          <w:szCs w:val="21"/>
          <w:highlight w:val="none"/>
        </w:rPr>
        <w:t>购人拟采购的产品属于</w:t>
      </w:r>
      <w:r>
        <w:rPr>
          <w:rFonts w:hint="eastAsia" w:ascii="仿宋" w:hAnsi="仿宋" w:eastAsia="仿宋" w:cs="仿宋_GB2312"/>
          <w:b/>
          <w:color w:val="auto"/>
          <w:sz w:val="24"/>
          <w:szCs w:val="21"/>
          <w:highlight w:val="none"/>
        </w:rPr>
        <w:t>政府强制采购的节能产品品目清单范围的，投标人未按招标文件要求提供国家确定的认证机构出具的、处于有效期之内的节能产品认证证书的；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8.18《开标一览表》填写不完整或字迹不能辨认或有漏项的，经评标委员会认定属于重大偏差的；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8.19投标人对根据修正原则修正后的报价不确认的；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8.20投标人提供虚假材料投标的（包括但不限于以下情节）；</w:t>
      </w:r>
    </w:p>
    <w:p>
      <w:pPr>
        <w:tabs>
          <w:tab w:val="left" w:pos="3870"/>
          <w:tab w:val="left" w:pos="4085"/>
        </w:tabs>
        <w:snapToGrid w:val="0"/>
        <w:spacing w:line="440" w:lineRule="exact"/>
        <w:ind w:firstLine="470" w:firstLineChars="19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8.20.1使用伪造、变造的许可证件；</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8.20.2提供虚假的财务状况或者业绩；</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8.20.3提供虚假的项目负责人或者主要技术人员简历、劳动关系证明；</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8.20.4提供虚假的信用状况；</w:t>
      </w:r>
    </w:p>
    <w:p>
      <w:pPr>
        <w:tabs>
          <w:tab w:val="left" w:pos="3870"/>
          <w:tab w:val="left" w:pos="4085"/>
        </w:tabs>
        <w:snapToGrid w:val="0"/>
        <w:spacing w:line="440" w:lineRule="exact"/>
        <w:ind w:firstLine="48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8.20.5其他弄虚作假的行为。</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8.21下列情形之一的，视为投标人串通投标，其投标无效：</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8.21.1不同投标人的投标文件由同一单位或者个人编制；</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8.21.2不同投标人委托同一单位或者个人办理投标事宜；</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8.21.3不同投标人的投标文件载明的项目管理成员或者联系人员为同一人；</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8.21.4不同投标人的投标文件异常一致或者投标报价呈规律性差异；</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8.21.5不同投标人的投标文件相互混装；</w:t>
      </w:r>
    </w:p>
    <w:p>
      <w:pPr>
        <w:tabs>
          <w:tab w:val="left" w:pos="3870"/>
          <w:tab w:val="left" w:pos="4085"/>
        </w:tabs>
        <w:snapToGrid w:val="0"/>
        <w:spacing w:line="440" w:lineRule="exact"/>
        <w:ind w:firstLine="422" w:firstLineChars="176"/>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8.22有下列情形之一的，属于恶意串通，其投标无效：</w:t>
      </w:r>
    </w:p>
    <w:p>
      <w:pPr>
        <w:spacing w:line="440" w:lineRule="exact"/>
        <w:ind w:firstLine="480" w:firstLineChars="200"/>
        <w:rPr>
          <w:rFonts w:ascii="仿宋_GB2312" w:hAnsi="仿宋" w:eastAsia="仿宋_GB2312" w:cs="仿宋_GB2312"/>
          <w:color w:val="auto"/>
          <w:sz w:val="24"/>
          <w:highlight w:val="none"/>
        </w:rPr>
      </w:pPr>
      <w:r>
        <w:rPr>
          <w:rFonts w:hint="eastAsia" w:ascii="仿宋_GB2312" w:hAnsi="仿宋" w:eastAsia="仿宋_GB2312"/>
          <w:color w:val="auto"/>
          <w:sz w:val="24"/>
          <w:highlight w:val="none"/>
        </w:rPr>
        <w:t>8.22.1</w:t>
      </w:r>
      <w:r>
        <w:rPr>
          <w:rFonts w:hint="eastAsia" w:ascii="仿宋_GB2312" w:hAnsi="仿宋" w:eastAsia="仿宋_GB2312" w:cs="仿宋_GB2312"/>
          <w:color w:val="auto"/>
          <w:sz w:val="24"/>
          <w:highlight w:val="none"/>
        </w:rPr>
        <w:t>供应商直接或者间接从采购人或者采购机构处获得其他供应商的相关情况并修改其投标文件或者响应文件；</w:t>
      </w:r>
    </w:p>
    <w:p>
      <w:pPr>
        <w:spacing w:line="440" w:lineRule="exact"/>
        <w:ind w:firstLine="480" w:firstLineChars="200"/>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8.22.2供应商按照采购人或者采购机构的授意撤换、修改投标文件或者响应文件；</w:t>
      </w:r>
    </w:p>
    <w:p>
      <w:pPr>
        <w:spacing w:line="440" w:lineRule="exact"/>
        <w:ind w:firstLine="480" w:firstLineChars="200"/>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8.22.3供应商之间协商报价、技术方案等投标文件或者响应文件的实质性内容；</w:t>
      </w:r>
    </w:p>
    <w:p>
      <w:pPr>
        <w:spacing w:line="440" w:lineRule="exact"/>
        <w:ind w:firstLine="480" w:firstLineChars="200"/>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8.22.4属于同一集团、协会、商会等组织成员的供应商按照该组织要求协同参加政府采购活动；</w:t>
      </w:r>
    </w:p>
    <w:p>
      <w:pPr>
        <w:spacing w:line="440" w:lineRule="exact"/>
        <w:ind w:firstLine="480" w:firstLineChars="200"/>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8.22.5供应商之间事先约定由某一特定供应商中标、成交；</w:t>
      </w:r>
    </w:p>
    <w:p>
      <w:pPr>
        <w:spacing w:line="440" w:lineRule="exact"/>
        <w:ind w:firstLine="480" w:firstLineChars="200"/>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8.22.6供应商之间商定部分供应商放弃参加政府采购活动或者放弃中标、成交；</w:t>
      </w:r>
    </w:p>
    <w:p>
      <w:pPr>
        <w:tabs>
          <w:tab w:val="left" w:pos="3870"/>
          <w:tab w:val="left" w:pos="4085"/>
        </w:tabs>
        <w:snapToGrid w:val="0"/>
        <w:spacing w:line="440" w:lineRule="exact"/>
        <w:ind w:firstLine="480" w:firstLineChars="200"/>
        <w:jc w:val="left"/>
        <w:rPr>
          <w:rFonts w:ascii="仿宋_GB2312" w:hAnsi="仿宋" w:eastAsia="仿宋_GB2312" w:cs="仿宋_GB2312"/>
          <w:color w:val="auto"/>
          <w:sz w:val="24"/>
          <w:szCs w:val="21"/>
          <w:highlight w:val="none"/>
        </w:rPr>
      </w:pPr>
      <w:r>
        <w:rPr>
          <w:rFonts w:hint="eastAsia" w:ascii="仿宋_GB2312" w:hAnsi="仿宋" w:eastAsia="仿宋_GB2312" w:cs="仿宋_GB2312"/>
          <w:color w:val="auto"/>
          <w:sz w:val="24"/>
          <w:szCs w:val="21"/>
          <w:highlight w:val="none"/>
        </w:rPr>
        <w:t>8.22.7供应商与采购人或者采购机构之间、供应商相互之间，为谋求特定供应商中标、成交或者排斥其他供应商的其他串通行为。</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仿宋_GB2312" w:eastAsia="仿宋_GB2312" w:cs="仿宋_GB2312"/>
          <w:b/>
          <w:color w:val="auto"/>
          <w:sz w:val="24"/>
          <w:szCs w:val="21"/>
          <w:highlight w:val="none"/>
        </w:rPr>
        <w:t>8.23</w:t>
      </w:r>
      <w:r>
        <w:rPr>
          <w:rFonts w:hint="eastAsia" w:ascii="仿宋_GB2312" w:hAnsi="宋体" w:eastAsia="仿宋_GB2312"/>
          <w:b/>
          <w:color w:val="auto"/>
          <w:sz w:val="24"/>
          <w:highlight w:val="none"/>
        </w:rPr>
        <w:t>评标委员会认定有重大偏差或实质性不响应招标文件要求的；</w:t>
      </w:r>
    </w:p>
    <w:p>
      <w:pPr>
        <w:tabs>
          <w:tab w:val="left" w:pos="3870"/>
          <w:tab w:val="left" w:pos="4085"/>
        </w:tabs>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8.24投标文件出现不是唯一的、有选择性投标报价的；</w:t>
      </w:r>
    </w:p>
    <w:p>
      <w:pPr>
        <w:spacing w:line="440" w:lineRule="exact"/>
        <w:rPr>
          <w:color w:val="auto"/>
          <w:highlight w:val="none"/>
        </w:rPr>
      </w:pPr>
      <w:r>
        <w:rPr>
          <w:rFonts w:hint="eastAsia" w:ascii="仿宋_GB2312" w:eastAsia="仿宋_GB2312"/>
          <w:b/>
          <w:color w:val="auto"/>
          <w:sz w:val="24"/>
          <w:highlight w:val="none"/>
        </w:rPr>
        <w:t>8.25</w:t>
      </w:r>
      <w:r>
        <w:rPr>
          <w:rFonts w:hint="eastAsia" w:ascii="仿宋_GB2312" w:hAnsi="宋体" w:eastAsia="仿宋_GB2312"/>
          <w:b/>
          <w:color w:val="auto"/>
          <w:sz w:val="24"/>
          <w:highlight w:val="none"/>
        </w:rPr>
        <w:t>其他违反法律、法规的情形。</w:t>
      </w:r>
    </w:p>
    <w:p>
      <w:pPr>
        <w:snapToGrid w:val="0"/>
        <w:spacing w:line="440" w:lineRule="exact"/>
        <w:rPr>
          <w:rFonts w:ascii="仿宋_GB2312" w:hAnsi="宋体" w:eastAsia="仿宋_GB2312"/>
          <w:b/>
          <w:color w:val="auto"/>
          <w:kern w:val="0"/>
          <w:sz w:val="24"/>
          <w:highlight w:val="none"/>
        </w:rPr>
      </w:pPr>
      <w:r>
        <w:rPr>
          <w:rFonts w:hint="eastAsia" w:ascii="仿宋_GB2312" w:hAnsi="宋体" w:eastAsia="仿宋_GB2312"/>
          <w:b/>
          <w:color w:val="auto"/>
          <w:kern w:val="0"/>
          <w:sz w:val="24"/>
          <w:highlight w:val="none"/>
        </w:rPr>
        <w:t>9. 评标过程保密</w:t>
      </w:r>
    </w:p>
    <w:p>
      <w:pPr>
        <w:snapToGrid w:val="0"/>
        <w:spacing w:line="440" w:lineRule="exact"/>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9.1</w:t>
      </w:r>
      <w:r>
        <w:rPr>
          <w:rFonts w:hint="eastAsia" w:ascii="仿宋_GB2312" w:hAnsi="仿宋" w:eastAsia="仿宋_GB2312" w:cs="仿宋_GB2312"/>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snapToGrid w:val="0"/>
        <w:spacing w:line="440" w:lineRule="exact"/>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9.2 在评标期间，投标人企图影响招标人或</w:t>
      </w:r>
      <w:r>
        <w:rPr>
          <w:rFonts w:hint="eastAsia" w:ascii="仿宋_GB2312" w:hAnsi="宋体" w:eastAsia="仿宋_GB2312"/>
          <w:color w:val="auto"/>
          <w:sz w:val="24"/>
          <w:highlight w:val="none"/>
        </w:rPr>
        <w:t>评标委员会</w:t>
      </w:r>
      <w:r>
        <w:rPr>
          <w:rFonts w:hint="eastAsia" w:ascii="仿宋_GB2312" w:hAnsi="宋体" w:eastAsia="仿宋_GB2312"/>
          <w:color w:val="auto"/>
          <w:kern w:val="0"/>
          <w:sz w:val="24"/>
          <w:highlight w:val="none"/>
        </w:rPr>
        <w:t>的任何活动，都将导致投标被拒绝，并由其承担相应的法律责任。</w:t>
      </w:r>
    </w:p>
    <w:p>
      <w:pPr>
        <w:pStyle w:val="23"/>
        <w:spacing w:line="800" w:lineRule="exact"/>
        <w:ind w:firstLine="726"/>
        <w:jc w:val="center"/>
        <w:rPr>
          <w:rFonts w:ascii="仿宋_GB2312" w:hAnsi="宋体" w:eastAsia="仿宋_GB2312"/>
          <w:b/>
          <w:color w:val="auto"/>
          <w:sz w:val="36"/>
          <w:szCs w:val="36"/>
          <w:highlight w:val="none"/>
        </w:rPr>
      </w:pPr>
      <w:bookmarkStart w:id="4" w:name="_Toc81372776"/>
      <w:bookmarkStart w:id="5" w:name="_Toc84325929"/>
      <w:bookmarkStart w:id="6" w:name="_Toc81372953"/>
      <w:r>
        <w:rPr>
          <w:rFonts w:hint="eastAsia" w:ascii="仿宋_GB2312" w:hAnsi="宋体" w:eastAsia="仿宋_GB2312"/>
          <w:b/>
          <w:color w:val="auto"/>
          <w:sz w:val="36"/>
          <w:szCs w:val="36"/>
          <w:highlight w:val="none"/>
        </w:rPr>
        <w:t>五、授予合同</w:t>
      </w:r>
    </w:p>
    <w:p>
      <w:pPr>
        <w:pStyle w:val="15"/>
        <w:tabs>
          <w:tab w:val="clear" w:pos="454"/>
        </w:tabs>
        <w:spacing w:afterLines="0" w:line="440" w:lineRule="exact"/>
        <w:ind w:left="0" w:firstLine="0"/>
        <w:rPr>
          <w:rFonts w:ascii="仿宋_GB2312" w:hAnsi="宋体" w:eastAsia="仿宋_GB2312"/>
          <w:b/>
          <w:color w:val="auto"/>
          <w:szCs w:val="24"/>
          <w:highlight w:val="none"/>
        </w:rPr>
      </w:pPr>
      <w:r>
        <w:rPr>
          <w:rFonts w:hint="eastAsia" w:ascii="仿宋_GB2312" w:hAnsi="宋体" w:eastAsia="仿宋_GB2312"/>
          <w:b/>
          <w:color w:val="auto"/>
          <w:szCs w:val="24"/>
          <w:highlight w:val="none"/>
        </w:rPr>
        <w:t>1.中标条件</w:t>
      </w:r>
    </w:p>
    <w:p>
      <w:pPr>
        <w:pStyle w:val="15"/>
        <w:tabs>
          <w:tab w:val="clear" w:pos="454"/>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1.1投标文件基本符合招标文件要求；</w:t>
      </w:r>
    </w:p>
    <w:p>
      <w:pPr>
        <w:pStyle w:val="15"/>
        <w:tabs>
          <w:tab w:val="clear" w:pos="454"/>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1.2投标人有很好的执行合同的能力；</w:t>
      </w:r>
    </w:p>
    <w:p>
      <w:pPr>
        <w:pStyle w:val="15"/>
        <w:tabs>
          <w:tab w:val="clear" w:pos="454"/>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1.3实施方案最合理并对招标人最为有利，最大限度满足招标文件的要求；</w:t>
      </w:r>
    </w:p>
    <w:p>
      <w:pPr>
        <w:pStyle w:val="15"/>
        <w:tabs>
          <w:tab w:val="clear" w:pos="454"/>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1.4投标人能够提供质量技术、商务经济占综合优势的系统及服务。</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1.5招标人将把中标通知书授予最佳投标者，但最低价不是中标的绝对保证。</w:t>
      </w:r>
    </w:p>
    <w:bookmarkEnd w:id="4"/>
    <w:bookmarkEnd w:id="5"/>
    <w:bookmarkEnd w:id="6"/>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2.中标确认</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2.1采购人应当自收到评标报告之日起５个工作日内，在评标报告确定的中标候选人名单中按顺序确定中标人。</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2.2采购人在收到评标报告5个工作日内未按评标报告推荐的中标候选人顺序确定中标人，视同按评标报告推荐的顺序确定的中标候选人为中标人。</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2.3采购人应在确认中标人前再次对资格条件和相关证件材料进一步查验核实。</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3．中标通知</w:t>
      </w:r>
    </w:p>
    <w:p>
      <w:pPr>
        <w:pStyle w:val="151"/>
        <w:tabs>
          <w:tab w:val="left" w:pos="0"/>
        </w:tabs>
        <w:spacing w:before="0" w:line="440" w:lineRule="exact"/>
        <w:ind w:firstLine="0" w:firstLineChars="0"/>
        <w:rPr>
          <w:rFonts w:ascii="仿宋_GB2312" w:hAnsi="宋体" w:eastAsia="仿宋_GB2312"/>
          <w:color w:val="auto"/>
          <w:szCs w:val="24"/>
          <w:highlight w:val="none"/>
        </w:rPr>
      </w:pPr>
      <w:r>
        <w:rPr>
          <w:rFonts w:hint="eastAsia" w:ascii="仿宋_GB2312" w:hAnsi="宋体" w:eastAsia="仿宋_GB2312"/>
          <w:color w:val="auto"/>
          <w:szCs w:val="24"/>
          <w:highlight w:val="none"/>
        </w:rPr>
        <w:t>3.1</w:t>
      </w:r>
      <w:r>
        <w:rPr>
          <w:rFonts w:hint="eastAsia" w:ascii="仿宋_GB2312" w:hAnsi="Helvetica" w:eastAsia="仿宋_GB2312" w:cs="Helvetica"/>
          <w:color w:val="auto"/>
          <w:kern w:val="0"/>
          <w:highlight w:val="none"/>
        </w:rPr>
        <w:t>采购代理机构</w:t>
      </w:r>
      <w:r>
        <w:rPr>
          <w:rFonts w:hint="eastAsia" w:ascii="仿宋_GB2312" w:hAnsi="宋体" w:eastAsia="仿宋_GB2312"/>
          <w:color w:val="auto"/>
          <w:highlight w:val="none"/>
        </w:rPr>
        <w:t>对中标结果在指定媒体</w:t>
      </w:r>
      <w:r>
        <w:rPr>
          <w:rFonts w:hint="eastAsia" w:ascii="仿宋_GB2312" w:hAnsi="Helvetica" w:eastAsia="仿宋_GB2312" w:cs="Helvetica"/>
          <w:color w:val="auto"/>
          <w:kern w:val="0"/>
          <w:highlight w:val="none"/>
        </w:rPr>
        <w:t>（浙江政府采购网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Style w:val="48"/>
          <w:rFonts w:hint="eastAsia" w:ascii="仿宋_GB2312" w:hAnsi="Helvetica" w:eastAsia="仿宋_GB2312" w:cs="Helvetica"/>
          <w:color w:val="auto"/>
          <w:kern w:val="0"/>
          <w:highlight w:val="none"/>
        </w:rPr>
        <w:t>http://zfcg.czt.zj.gov.cn/</w:t>
      </w:r>
      <w:r>
        <w:rPr>
          <w:rStyle w:val="48"/>
          <w:rFonts w:hint="eastAsia" w:ascii="仿宋_GB2312" w:hAnsi="Helvetica" w:eastAsia="仿宋_GB2312" w:cs="Helvetica"/>
          <w:color w:val="auto"/>
          <w:kern w:val="0"/>
          <w:highlight w:val="none"/>
        </w:rPr>
        <w:fldChar w:fldCharType="end"/>
      </w:r>
      <w:r>
        <w:rPr>
          <w:rFonts w:hint="eastAsia" w:ascii="仿宋_GB2312" w:hAnsi="Helvetica" w:eastAsia="仿宋_GB2312" w:cs="Helvetica"/>
          <w:color w:val="auto"/>
          <w:kern w:val="0"/>
          <w:highlight w:val="none"/>
        </w:rPr>
        <w:t>、绍兴公共资源交易网</w:t>
      </w:r>
      <w:r>
        <w:rPr>
          <w:color w:val="auto"/>
          <w:highlight w:val="none"/>
        </w:rPr>
        <w:fldChar w:fldCharType="begin"/>
      </w:r>
      <w:r>
        <w:rPr>
          <w:color w:val="auto"/>
          <w:highlight w:val="none"/>
        </w:rPr>
        <w:instrText xml:space="preserve"> HYPERLINK "http://ggb.sx.gov.cn" </w:instrText>
      </w:r>
      <w:r>
        <w:rPr>
          <w:color w:val="auto"/>
          <w:highlight w:val="none"/>
        </w:rPr>
        <w:fldChar w:fldCharType="separate"/>
      </w:r>
      <w:r>
        <w:rPr>
          <w:rStyle w:val="48"/>
          <w:rFonts w:hint="eastAsia" w:ascii="仿宋_GB2312"/>
          <w:color w:val="auto"/>
          <w:highlight w:val="none"/>
        </w:rPr>
        <w:t>http://ggb.sx.gov.cn</w:t>
      </w:r>
      <w:r>
        <w:rPr>
          <w:rStyle w:val="48"/>
          <w:rFonts w:hint="eastAsia" w:ascii="仿宋_GB2312"/>
          <w:color w:val="auto"/>
          <w:highlight w:val="none"/>
        </w:rPr>
        <w:fldChar w:fldCharType="end"/>
      </w:r>
      <w:r>
        <w:rPr>
          <w:rFonts w:hint="eastAsia" w:ascii="仿宋_GB2312" w:hAnsi="Helvetica" w:eastAsia="仿宋_GB2312" w:cs="Helvetica"/>
          <w:color w:val="auto"/>
          <w:kern w:val="0"/>
          <w:highlight w:val="none"/>
        </w:rPr>
        <w:t>）发布中标公告，中标公告期限为1个工作日。</w:t>
      </w:r>
    </w:p>
    <w:p>
      <w:pPr>
        <w:tabs>
          <w:tab w:val="left" w:pos="0"/>
        </w:tabs>
        <w:spacing w:line="440" w:lineRule="exact"/>
        <w:rPr>
          <w:rFonts w:ascii="仿宋_GB2312" w:eastAsia="仿宋_GB2312" w:cs="仿宋_GB2312"/>
          <w:color w:val="auto"/>
          <w:kern w:val="0"/>
          <w:sz w:val="24"/>
          <w:highlight w:val="none"/>
          <w:lang w:val="zh-CN"/>
        </w:rPr>
      </w:pPr>
      <w:r>
        <w:rPr>
          <w:rFonts w:hint="eastAsia" w:ascii="仿宋_GB2312" w:hAnsi="宋体" w:eastAsia="仿宋_GB2312"/>
          <w:color w:val="auto"/>
          <w:sz w:val="24"/>
          <w:highlight w:val="none"/>
        </w:rPr>
        <w:t>3.2采购机构通过政采云平台向中标供应商签发中标通知书。请中标供应商自行登录政采云平台下载并打印中标通知书。在</w:t>
      </w:r>
      <w:r>
        <w:rPr>
          <w:rFonts w:hint="eastAsia" w:ascii="仿宋_GB2312" w:eastAsia="仿宋_GB2312"/>
          <w:color w:val="auto"/>
          <w:sz w:val="24"/>
          <w:highlight w:val="none"/>
        </w:rPr>
        <w:t>采购代理机构</w:t>
      </w:r>
      <w:r>
        <w:rPr>
          <w:rFonts w:hint="eastAsia" w:ascii="仿宋_GB2312" w:hAnsi="宋体" w:eastAsia="仿宋_GB2312"/>
          <w:color w:val="auto"/>
          <w:sz w:val="24"/>
          <w:highlight w:val="none"/>
        </w:rPr>
        <w:t>发出中标通知书前，中标供应商如有违反有关法律法规和本项目要求行为的，则取消该投标人的中标资格</w:t>
      </w:r>
      <w:r>
        <w:rPr>
          <w:rFonts w:hint="eastAsia" w:ascii="仿宋_GB2312" w:eastAsia="仿宋_GB2312" w:cs="仿宋_GB2312"/>
          <w:color w:val="auto"/>
          <w:kern w:val="0"/>
          <w:sz w:val="24"/>
          <w:highlight w:val="none"/>
          <w:lang w:val="zh-CN"/>
        </w:rPr>
        <w:t>。</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3.3采购代理机构对中标结果不作任何说明和解释，也不回答任何提问。</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4．履约保证金</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4.1采购人在签订合同时，按规定可向中标人收取不高于中标额的2.5％的履约保证金，采购人不得以供应商事先提交履约保证金作为签订合同的条件。鼓励采购人根据项目特点、供应商诚信等情况免收履约保证金或降低缴纳比例。</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4.2</w:t>
      </w:r>
      <w:r>
        <w:rPr>
          <w:rFonts w:ascii="仿宋_GB2312" w:hAnsi="宋体" w:eastAsia="仿宋_GB2312"/>
          <w:color w:val="auto"/>
          <w:sz w:val="24"/>
          <w:highlight w:val="none"/>
        </w:rPr>
        <w:t>项目验收结束</w:t>
      </w:r>
      <w:r>
        <w:rPr>
          <w:rFonts w:hint="eastAsia" w:ascii="仿宋_GB2312" w:hAnsi="宋体" w:eastAsia="仿宋_GB2312"/>
          <w:color w:val="auto"/>
          <w:sz w:val="24"/>
          <w:highlight w:val="none"/>
        </w:rPr>
        <w:t>后，采购人应及时退还履约保证金。</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4.3供应商以银行、保险公司出具保函形式提交履约保证金的，采购人不得拒收。</w:t>
      </w:r>
    </w:p>
    <w:p>
      <w:pPr>
        <w:spacing w:line="440" w:lineRule="exact"/>
        <w:jc w:val="left"/>
        <w:rPr>
          <w:rFonts w:ascii="仿宋_GB2312" w:hAnsi="宋体" w:eastAsia="仿宋_GB2312"/>
          <w:color w:val="auto"/>
          <w:sz w:val="24"/>
          <w:highlight w:val="none"/>
        </w:rPr>
      </w:pPr>
      <w:r>
        <w:rPr>
          <w:rFonts w:ascii="仿宋_GB2312" w:hAnsi="宋体" w:eastAsia="仿宋_GB2312"/>
          <w:color w:val="auto"/>
          <w:sz w:val="24"/>
          <w:highlight w:val="none"/>
        </w:rPr>
        <w:t>4.4政府采购货物和服务项目不得收取质量保证金。</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5．合同签订及备案</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5.1中标人应当在中标通知书发出之日起30天内与采购人签订合同，自采购合同签订之日起</w:t>
      </w:r>
      <w:r>
        <w:rPr>
          <w:rFonts w:hint="eastAsia" w:ascii="仿宋_GB2312" w:hAnsi="宋体" w:eastAsia="仿宋_GB2312"/>
          <w:b/>
          <w:color w:val="auto"/>
          <w:sz w:val="24"/>
          <w:highlight w:val="none"/>
        </w:rPr>
        <w:t>3个工作日内</w:t>
      </w:r>
      <w:r>
        <w:rPr>
          <w:rFonts w:hint="eastAsia" w:ascii="仿宋_GB2312" w:hAnsi="宋体" w:eastAsia="仿宋_GB2312"/>
          <w:color w:val="auto"/>
          <w:sz w:val="24"/>
          <w:highlight w:val="none"/>
        </w:rPr>
        <w:t>，通过电子交易平台进行备案。</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5.2如中标人为联合体的，由联合体成员各方法定代表人或其授权代表与采购人代表签订合同。</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6.验收</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6.2采购人可以邀请参加本项目的其他投标人或者第三方机构参与验收。参与验收的投标人或者第三方机构的意见作为验收书的参考资料一并存档。</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6.3 采购人负责加强对中标人的履约管理，并按照采购合同约定，及时向中标人支付采购资金。对于中标人违反采购合同约定的行为，采购人应当及时处理，依法追究其违约责任。</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7. 售后服务考核</w:t>
      </w:r>
    </w:p>
    <w:p>
      <w:pPr>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pPr>
        <w:snapToGrid w:val="0"/>
        <w:spacing w:line="800" w:lineRule="exact"/>
        <w:jc w:val="center"/>
        <w:outlineLvl w:val="0"/>
        <w:rPr>
          <w:rFonts w:ascii="仿宋_GB2312" w:hAnsi="仿宋_GB2312" w:eastAsia="仿宋_GB2312" w:cs="仿宋_GB2312"/>
          <w:b/>
          <w:color w:val="auto"/>
          <w:sz w:val="36"/>
          <w:szCs w:val="36"/>
          <w:highlight w:val="none"/>
        </w:rPr>
      </w:pPr>
      <w:r>
        <w:rPr>
          <w:rFonts w:hint="eastAsia" w:ascii="仿宋_GB2312" w:hAnsi="仿宋_GB2312" w:eastAsia="仿宋_GB2312" w:cs="仿宋_GB2312"/>
          <w:b/>
          <w:color w:val="auto"/>
          <w:sz w:val="36"/>
          <w:szCs w:val="36"/>
          <w:highlight w:val="none"/>
        </w:rPr>
        <w:t>六、质疑与投诉</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pPr>
        <w:autoSpaceDE w:val="0"/>
        <w:autoSpaceDN w:val="0"/>
        <w:spacing w:line="360" w:lineRule="auto"/>
        <w:ind w:firstLine="472" w:firstLineChars="196"/>
        <w:jc w:val="left"/>
        <w:rPr>
          <w:rFonts w:ascii="仿宋_GB2312" w:eastAsia="仿宋_GB2312" w:cs="微软雅黑"/>
          <w:b/>
          <w:color w:val="auto"/>
          <w:kern w:val="0"/>
          <w:sz w:val="24"/>
          <w:highlight w:val="none"/>
          <w:lang w:val="zh-CN"/>
        </w:rPr>
      </w:pPr>
      <w:r>
        <w:rPr>
          <w:rFonts w:hint="eastAsia" w:ascii="仿宋_GB2312" w:eastAsia="仿宋_GB2312" w:cs="微软雅黑"/>
          <w:b/>
          <w:color w:val="auto"/>
          <w:kern w:val="0"/>
          <w:sz w:val="24"/>
          <w:highlight w:val="none"/>
          <w:lang w:val="zh-CN"/>
        </w:rPr>
        <w:t>1.供应商询问</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供应商对政府采购活动事项有疑问的，可以向采购机构提出询问，采购机构将对供应商依法提出的询问作出答复，但答复的内容不得涉及商业秘密。</w:t>
      </w:r>
    </w:p>
    <w:p>
      <w:pPr>
        <w:autoSpaceDE w:val="0"/>
        <w:autoSpaceDN w:val="0"/>
        <w:spacing w:line="360" w:lineRule="auto"/>
        <w:ind w:firstLine="472" w:firstLineChars="196"/>
        <w:jc w:val="left"/>
        <w:rPr>
          <w:rFonts w:ascii="仿宋_GB2312" w:eastAsia="仿宋_GB2312" w:cs="微软雅黑"/>
          <w:b/>
          <w:color w:val="auto"/>
          <w:kern w:val="0"/>
          <w:sz w:val="24"/>
          <w:highlight w:val="none"/>
          <w:lang w:val="zh-CN"/>
        </w:rPr>
      </w:pPr>
      <w:r>
        <w:rPr>
          <w:rFonts w:hint="eastAsia" w:ascii="仿宋_GB2312" w:eastAsia="仿宋_GB2312" w:cs="微软雅黑"/>
          <w:b/>
          <w:color w:val="auto"/>
          <w:kern w:val="0"/>
          <w:sz w:val="24"/>
          <w:highlight w:val="none"/>
          <w:lang w:val="zh-CN"/>
        </w:rPr>
        <w:t>2.供应商质疑</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2.1供应商认为采购文件、采购过程和成交结果使自己的权益受到损害的，可以在知道或者应知其权益受到损害之日起七个工作日内，可以以书面邮寄的方式向采购机构提出质疑，否则，采购机构不予受理：</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（2）对采购过程提出质疑的，质疑期限为各采购程序环节结束之日起计算。</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（3）对采购结果提出质疑的，质疑期限自采购结果公告（包括公示、预公告、结果变更公告等）期限届满之日起计算。</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（4）供应商应在法定质疑期内一次性提出针对同一采购程序环节的质疑。</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3.供应商提交提出质疑应当提交质疑书和必要的证明材料，质疑书需一式三份，质疑书至少应包括下列主要内容：</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（1）质疑人的名称、地址、邮政编码、联系人、联系电话，以及被质疑人名称及联系方式；</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（2）被质疑采购项目名称、编号及采购内容；</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（3）具体、明确的质疑事项和与质疑事项相关的请求</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（4）事实依据；</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（5）必要的法律依据；</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（6）认为自己合法权益受到损害或可能受到损害的相关证据材料；</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（7）提出质疑的日期。</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（8） 质疑书应当署名。质疑人为自然人的，应当由本人签字并附有效身份证明；质疑人为法人或其他组织的，应当由法定代表人或主要负责人签字（或盖章）并加盖单位公章。</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（9） 质疑人因故不能自行办理质疑事项的，可以委托代理人办理质疑事宜，但应当向被质疑人提交授权委托书，并载明委托代理的具体权限和事项。</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（10）质疑人提供的相关材料中有外文资料的，应当将与质疑相关的外文资料完整、客观、真实地翻译为中文，并注明翻译人员姓名、工作单位、联系方式等信息。</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w:t>
      </w:r>
      <w:r>
        <w:rPr>
          <w:rFonts w:hint="eastAsia" w:ascii="仿宋_GB2312" w:hAnsi="仿宋" w:eastAsia="仿宋_GB2312"/>
          <w:color w:val="auto"/>
          <w:sz w:val="24"/>
          <w:highlight w:val="none"/>
        </w:rPr>
        <w:tab/>
      </w:r>
      <w:r>
        <w:rPr>
          <w:rFonts w:hint="eastAsia" w:ascii="仿宋_GB2312" w:hAnsi="仿宋" w:eastAsia="仿宋_GB2312"/>
          <w:color w:val="auto"/>
          <w:sz w:val="24"/>
          <w:highlight w:val="none"/>
        </w:rPr>
        <w:t>原则上由采购人回复的质疑：</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（1）对采购文件中特定资格条件、采购需求、评分办法提出的质疑；</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（2）对采购过程中有关现场考察或开标前答疑会事项提出的质疑。</w:t>
      </w:r>
    </w:p>
    <w:p>
      <w:pPr>
        <w:pStyle w:val="23"/>
        <w:spacing w:line="360" w:lineRule="auto"/>
        <w:ind w:firstLine="720" w:firstLineChars="300"/>
        <w:rPr>
          <w:rFonts w:ascii="仿宋_GB2312" w:hAnsi="仿宋" w:eastAsia="仿宋_GB2312"/>
          <w:color w:val="auto"/>
          <w:sz w:val="24"/>
          <w:highlight w:val="none"/>
        </w:rPr>
      </w:pPr>
      <w:r>
        <w:rPr>
          <w:rFonts w:hint="eastAsia" w:ascii="仿宋_GB2312" w:hAnsi="仿宋" w:eastAsia="仿宋_GB2312"/>
          <w:color w:val="auto"/>
          <w:sz w:val="24"/>
          <w:highlight w:val="none"/>
        </w:rPr>
        <w:t>原则上由采购代理机构回复的质疑：</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（1）除特定资格条件、采购需求、评分办法外，对采购文件中其他内容提出的质疑；</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（2）除有关现场考察或开标前答疑会事项外，对采购过程中其它事项提出的质疑；</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（3）对采购结果提出的质疑。</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5.采购机构应当在收到供应商的书面质疑后七个工作日内作出答复，并以书面形式通知质疑供应商和其他与质疑处理结果有利害关系的政府采购当事人，但答复的内容不得涉及商业秘密。</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6.询问或者质疑事项可能影响采购结果的，采购人应当暂停签订合同，已经签订合同的，应当中止履行合同。</w:t>
      </w:r>
    </w:p>
    <w:p>
      <w:pPr>
        <w:pStyle w:val="23"/>
        <w:spacing w:line="360" w:lineRule="auto"/>
        <w:ind w:firstLine="480" w:firstLineChars="200"/>
        <w:rPr>
          <w:rFonts w:ascii="仿宋_GB2312" w:hAnsi="仿宋" w:eastAsia="仿宋_GB2312"/>
          <w:color w:val="auto"/>
          <w:sz w:val="24"/>
          <w:highlight w:val="none"/>
        </w:rPr>
      </w:pPr>
      <w:r>
        <w:rPr>
          <w:rFonts w:hint="eastAsia" w:ascii="仿宋_GB2312" w:hAnsi="宋体" w:eastAsia="仿宋_GB2312" w:cs="宋体"/>
          <w:color w:val="auto"/>
          <w:kern w:val="0"/>
          <w:sz w:val="24"/>
          <w:highlight w:val="none"/>
        </w:rPr>
        <w:t>7.质疑函范本、投诉书范本请到浙江政府采购网下载专区下载。</w:t>
      </w:r>
    </w:p>
    <w:p>
      <w:pPr>
        <w:pageBreakBefore/>
        <w:snapToGrid w:val="0"/>
        <w:spacing w:line="800" w:lineRule="exact"/>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第三部分 招标项目范围及要求</w:t>
      </w:r>
    </w:p>
    <w:p>
      <w:pPr>
        <w:snapToGrid w:val="0"/>
        <w:spacing w:line="8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u w:val="wave"/>
        </w:rPr>
        <w:t>相关声明</w:t>
      </w:r>
      <w:r>
        <w:rPr>
          <w:rFonts w:hint="eastAsia" w:ascii="仿宋_GB2312" w:hAnsi="宋体" w:eastAsia="仿宋_GB2312"/>
          <w:b/>
          <w:color w:val="auto"/>
          <w:sz w:val="24"/>
          <w:highlight w:val="none"/>
        </w:rPr>
        <w:t>：</w:t>
      </w:r>
      <w:r>
        <w:rPr>
          <w:rFonts w:hint="eastAsia" w:ascii="仿宋_GB2312" w:hAnsi="宋体" w:eastAsia="仿宋_GB2312"/>
          <w:b/>
          <w:color w:val="auto"/>
          <w:sz w:val="24"/>
          <w:highlight w:val="none"/>
          <w:u w:val="wave"/>
        </w:rPr>
        <w:t>以下1-7条款如标段内另有说明的</w:t>
      </w:r>
      <w:r>
        <w:rPr>
          <w:rFonts w:hint="eastAsia" w:ascii="仿宋_GB2312" w:hAnsi="宋体" w:eastAsia="仿宋_GB2312"/>
          <w:b/>
          <w:color w:val="auto"/>
          <w:sz w:val="24"/>
          <w:highlight w:val="none"/>
        </w:rPr>
        <w:t>，</w:t>
      </w:r>
      <w:r>
        <w:rPr>
          <w:rFonts w:hint="eastAsia" w:ascii="仿宋_GB2312" w:hAnsi="宋体" w:eastAsia="仿宋_GB2312"/>
          <w:b/>
          <w:color w:val="auto"/>
          <w:sz w:val="24"/>
          <w:highlight w:val="none"/>
          <w:u w:val="wave"/>
        </w:rPr>
        <w:t>则按标内要求执行</w:t>
      </w:r>
      <w:r>
        <w:rPr>
          <w:rFonts w:hint="eastAsia" w:ascii="仿宋_GB2312" w:hAnsi="宋体" w:eastAsia="仿宋_GB2312"/>
          <w:b/>
          <w:color w:val="auto"/>
          <w:sz w:val="24"/>
          <w:highlight w:val="none"/>
        </w:rPr>
        <w:t>。</w:t>
      </w:r>
    </w:p>
    <w:p>
      <w:pPr>
        <w:pStyle w:val="67"/>
        <w:widowControl w:val="0"/>
        <w:spacing w:afterLines="0" w:line="440" w:lineRule="exact"/>
        <w:ind w:firstLine="0" w:firstLineChars="0"/>
        <w:rPr>
          <w:rFonts w:ascii="仿宋_GB2312" w:hAnsi="宋体" w:eastAsia="仿宋_GB2312"/>
          <w:b/>
          <w:color w:val="auto"/>
          <w:szCs w:val="24"/>
          <w:highlight w:val="none"/>
        </w:rPr>
      </w:pPr>
      <w:r>
        <w:rPr>
          <w:rFonts w:hint="eastAsia" w:ascii="仿宋_GB2312" w:hAnsi="宋体" w:eastAsia="仿宋_GB2312"/>
          <w:b/>
          <w:color w:val="auto"/>
          <w:szCs w:val="24"/>
          <w:highlight w:val="none"/>
        </w:rPr>
        <w:t>1.设备（材料）要求</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1.1投标人投标提供的设备必须是厂商原装的、全新的，型号、性能及指标符合国家及招标文件提出的有关技术、质量、安全标准。</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1.2所有设备在开箱检验时必须完好，无破损，配置与装箱单相符。数量、质量及性能不低于本需求书中提出的要求。</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1.3设备外观清洁，标记编号以及盘面显示等字体清晰，明确。铭牌、使用指示、警告指示应以中文或英文及易懂的通用符号来表示；应准确无误地表明设备之型号、规格、制造厂及生产或出厂日期。</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1.4对于影响设备正常工作的必要组成部分，无论在技术规范中指出与否，投标人都应提供并在投标文件中明确列出。</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1.5所有货物提供出厂合格证等质量证明文件，国外生产的必须有合法的进货渠道证明，如海关报关单、原产地证明、商检证明等。</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1.6所有货物到现场安装使用前，招标人将进行抽样检验或试验。</w:t>
      </w:r>
    </w:p>
    <w:p>
      <w:pPr>
        <w:pStyle w:val="67"/>
        <w:widowControl w:val="0"/>
        <w:spacing w:afterLines="0" w:line="440" w:lineRule="exact"/>
        <w:ind w:firstLine="0" w:firstLineChars="0"/>
        <w:rPr>
          <w:rFonts w:ascii="仿宋_GB2312" w:hAnsi="宋体" w:eastAsia="仿宋_GB2312"/>
          <w:b/>
          <w:color w:val="auto"/>
          <w:szCs w:val="24"/>
          <w:highlight w:val="none"/>
        </w:rPr>
      </w:pPr>
      <w:r>
        <w:rPr>
          <w:rFonts w:hint="eastAsia" w:ascii="仿宋_GB2312" w:hAnsi="宋体" w:eastAsia="仿宋_GB2312"/>
          <w:b/>
          <w:color w:val="auto"/>
          <w:szCs w:val="24"/>
          <w:highlight w:val="none"/>
        </w:rPr>
        <w:t>2.数量调整</w:t>
      </w:r>
    </w:p>
    <w:p>
      <w:pPr>
        <w:pStyle w:val="67"/>
        <w:widowControl w:val="0"/>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招标人保留在签约时调整部分方案及定购设备数量和服务的权力，投标人应对系统方案中设备和服务明细报价，按投标单价不变的前提下进行调整，双方不得拒绝。</w:t>
      </w:r>
    </w:p>
    <w:p>
      <w:pPr>
        <w:pStyle w:val="67"/>
        <w:widowControl w:val="0"/>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如遇本次招标没有涉及的设备或服务时，由中标人提供申请，招标人确认后实施。</w:t>
      </w:r>
    </w:p>
    <w:p>
      <w:pPr>
        <w:pStyle w:val="67"/>
        <w:widowControl w:val="0"/>
        <w:spacing w:afterLines="0" w:line="440" w:lineRule="exact"/>
        <w:ind w:firstLine="0" w:firstLineChars="0"/>
        <w:rPr>
          <w:rFonts w:ascii="仿宋_GB2312" w:hAnsi="宋体" w:eastAsia="仿宋_GB2312"/>
          <w:b/>
          <w:color w:val="auto"/>
          <w:szCs w:val="24"/>
          <w:highlight w:val="none"/>
        </w:rPr>
      </w:pPr>
      <w:r>
        <w:rPr>
          <w:rFonts w:hint="eastAsia" w:ascii="仿宋_GB2312" w:hAnsi="宋体" w:eastAsia="仿宋_GB2312"/>
          <w:b/>
          <w:color w:val="auto"/>
          <w:szCs w:val="24"/>
          <w:highlight w:val="none"/>
        </w:rPr>
        <w:t>3.安装及调试、验收</w:t>
      </w:r>
    </w:p>
    <w:p>
      <w:pPr>
        <w:pStyle w:val="67"/>
        <w:widowControl w:val="0"/>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中标人应派经招标人认可的有经验和能力、具有相应资质的技术人员，负责系统设备安装工作，在设备安装期间应充分了解设备安装进度要求，解决安装中出现的技术问题。</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3.1中标人负责设备的安装、调试。</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3.2调试所需专用工具设施物料由中标人自备、自费运到现场，完工后自费搬走。</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3.3安装完成后，进行调试、验收按国家有关规范标准（国家无验收规范标准的按双方合同规定的要求）进行。</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3.4设备的拆箱、通电、调试等各项工作由中标人负责，但必须在招标人指定人员的参与下进行。在实际实施前必须先经招标人同意方可进行。调试的原始记录须经各方签字后作为验收的文件之一。</w:t>
      </w:r>
    </w:p>
    <w:p>
      <w:pPr>
        <w:tabs>
          <w:tab w:val="left" w:pos="1365"/>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3.5所有的招标设备应按照国家有关技术标准在制造厂检查和试验合格，以表明其运行性能、安全性能以及设备材料和结构在电气、机械上的完整性。</w:t>
      </w:r>
    </w:p>
    <w:p>
      <w:pPr>
        <w:pStyle w:val="67"/>
        <w:widowControl w:val="0"/>
        <w:spacing w:afterLines="0" w:line="440" w:lineRule="exact"/>
        <w:ind w:firstLine="0" w:firstLineChars="0"/>
        <w:rPr>
          <w:rFonts w:ascii="仿宋_GB2312" w:hAnsi="宋体" w:eastAsia="仿宋_GB2312"/>
          <w:b/>
          <w:color w:val="auto"/>
          <w:szCs w:val="24"/>
          <w:highlight w:val="none"/>
        </w:rPr>
      </w:pPr>
      <w:r>
        <w:rPr>
          <w:rFonts w:hint="eastAsia" w:ascii="仿宋_GB2312" w:hAnsi="宋体" w:eastAsia="仿宋_GB2312"/>
          <w:b/>
          <w:color w:val="auto"/>
          <w:szCs w:val="24"/>
          <w:highlight w:val="none"/>
        </w:rPr>
        <w:t>4.技术培训</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4.1中标人须对招标人的技术人员培训。投标人须在投标文件中提供详细的培训计划，包括培训内容、培训时间、培训费用等。</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4.2中标人提供的负责培训的人员应具备同类设备五年以上的经验。</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4.3技术培训费用应包含在投标总价中。    </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4.4技术培训至少应包括下列内容：</w:t>
      </w:r>
    </w:p>
    <w:p>
      <w:pPr>
        <w:pStyle w:val="20"/>
        <w:widowControl w:val="0"/>
        <w:tabs>
          <w:tab w:val="clear" w:pos="482"/>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4.4.1原理、构成和功能的描述。</w:t>
      </w:r>
    </w:p>
    <w:p>
      <w:pPr>
        <w:pStyle w:val="20"/>
        <w:widowControl w:val="0"/>
        <w:tabs>
          <w:tab w:val="clear" w:pos="482"/>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4.4.2常见故障的处理或排除。</w:t>
      </w:r>
    </w:p>
    <w:p>
      <w:pPr>
        <w:pStyle w:val="20"/>
        <w:widowControl w:val="0"/>
        <w:tabs>
          <w:tab w:val="clear" w:pos="482"/>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4.4.3各系统部件（设备）的检查、调整和维护。</w:t>
      </w:r>
    </w:p>
    <w:p>
      <w:pPr>
        <w:pStyle w:val="20"/>
        <w:widowControl w:val="0"/>
        <w:tabs>
          <w:tab w:val="clear" w:pos="482"/>
        </w:tabs>
        <w:spacing w:afterLines="0" w:line="440" w:lineRule="exact"/>
        <w:ind w:left="0" w:firstLine="0"/>
        <w:rPr>
          <w:rFonts w:ascii="仿宋_GB2312" w:hAnsi="宋体" w:eastAsia="仿宋_GB2312"/>
          <w:color w:val="auto"/>
          <w:szCs w:val="24"/>
          <w:highlight w:val="none"/>
        </w:rPr>
      </w:pPr>
      <w:r>
        <w:rPr>
          <w:rFonts w:hint="eastAsia" w:ascii="仿宋_GB2312" w:hAnsi="宋体" w:eastAsia="仿宋_GB2312"/>
          <w:color w:val="auto"/>
          <w:szCs w:val="24"/>
          <w:highlight w:val="none"/>
        </w:rPr>
        <w:t>4.4.4对使用者关于设备基本操作技能的培训。</w:t>
      </w:r>
    </w:p>
    <w:p>
      <w:pPr>
        <w:pStyle w:val="20"/>
        <w:widowControl w:val="0"/>
        <w:tabs>
          <w:tab w:val="clear" w:pos="482"/>
        </w:tabs>
        <w:spacing w:afterLines="0" w:line="440" w:lineRule="exact"/>
        <w:ind w:left="0" w:firstLine="0"/>
        <w:rPr>
          <w:rFonts w:ascii="仿宋_GB2312" w:hAnsi="宋体" w:eastAsia="仿宋_GB2312"/>
          <w:b/>
          <w:color w:val="auto"/>
          <w:szCs w:val="24"/>
          <w:highlight w:val="none"/>
        </w:rPr>
      </w:pPr>
      <w:r>
        <w:rPr>
          <w:rFonts w:hint="eastAsia" w:ascii="仿宋_GB2312" w:hAnsi="宋体" w:eastAsia="仿宋_GB2312"/>
          <w:b/>
          <w:color w:val="auto"/>
          <w:szCs w:val="24"/>
          <w:highlight w:val="none"/>
        </w:rPr>
        <w:t>5.售后服务</w:t>
      </w:r>
    </w:p>
    <w:p>
      <w:pPr>
        <w:pStyle w:val="7"/>
        <w:spacing w:line="440" w:lineRule="exact"/>
        <w:ind w:firstLine="0" w:firstLineChars="0"/>
        <w:rPr>
          <w:rFonts w:ascii="仿宋_GB2312" w:hAnsi="宋体" w:eastAsia="仿宋_GB2312"/>
          <w:color w:val="auto"/>
          <w:sz w:val="24"/>
          <w:highlight w:val="none"/>
        </w:rPr>
      </w:pPr>
      <w:r>
        <w:rPr>
          <w:rFonts w:hint="eastAsia" w:ascii="仿宋_GB2312" w:hAnsi="宋体" w:eastAsia="仿宋_GB2312"/>
          <w:color w:val="auto"/>
          <w:sz w:val="24"/>
          <w:highlight w:val="none"/>
        </w:rPr>
        <w:t>5.1投标人须提供经调试、试运行、验收合格后至少</w:t>
      </w:r>
      <w:r>
        <w:rPr>
          <w:rFonts w:hint="eastAsia" w:ascii="仿宋_GB2312" w:hAnsi="宋体" w:eastAsia="仿宋_GB2312"/>
          <w:color w:val="auto"/>
          <w:sz w:val="24"/>
          <w:highlight w:val="none"/>
          <w:lang w:val="en-US" w:eastAsia="zh-CN"/>
        </w:rPr>
        <w:t>1</w:t>
      </w:r>
      <w:r>
        <w:rPr>
          <w:rFonts w:hint="eastAsia" w:ascii="仿宋_GB2312" w:hAnsi="宋体" w:eastAsia="仿宋_GB2312"/>
          <w:color w:val="auto"/>
          <w:sz w:val="24"/>
          <w:highlight w:val="none"/>
        </w:rPr>
        <w:t>年的质保期(投标人可根据自身实力作出更长时间的质保承诺)。在此期间，投标人应免费处理因质量发生的故障，并进行正常保养。</w:t>
      </w:r>
    </w:p>
    <w:p>
      <w:pPr>
        <w:tabs>
          <w:tab w:val="left" w:pos="3870"/>
          <w:tab w:val="left" w:pos="4085"/>
        </w:tabs>
        <w:snapToGrid w:val="0"/>
        <w:spacing w:line="440" w:lineRule="exact"/>
        <w:jc w:val="left"/>
        <w:rPr>
          <w:color w:val="auto"/>
          <w:highlight w:val="none"/>
        </w:rPr>
      </w:pPr>
      <w:r>
        <w:rPr>
          <w:rFonts w:hint="eastAsia" w:ascii="仿宋_GB2312" w:hAnsi="宋体" w:eastAsia="仿宋_GB2312"/>
          <w:color w:val="auto"/>
          <w:sz w:val="24"/>
          <w:highlight w:val="none"/>
        </w:rPr>
        <w:t>5.2中标人必须有可靠的售后服务保障包括但不限于在</w:t>
      </w:r>
      <w:r>
        <w:rPr>
          <w:rFonts w:hint="eastAsia" w:ascii="仿宋_GB2312" w:hAnsi="宋体" w:eastAsia="仿宋_GB2312"/>
          <w:b/>
          <w:color w:val="auto"/>
          <w:sz w:val="24"/>
          <w:highlight w:val="none"/>
          <w:u w:val="single"/>
        </w:rPr>
        <w:t>绍兴附近</w:t>
      </w:r>
      <w:r>
        <w:rPr>
          <w:rFonts w:hint="eastAsia" w:ascii="仿宋_GB2312" w:hAnsi="宋体" w:eastAsia="仿宋_GB2312"/>
          <w:color w:val="auto"/>
          <w:sz w:val="24"/>
          <w:highlight w:val="none"/>
        </w:rPr>
        <w:t>有固定的维修服务点，能提供正常的技术、备品备件服务。</w:t>
      </w:r>
    </w:p>
    <w:p>
      <w:pPr>
        <w:snapToGrid w:val="0"/>
        <w:spacing w:line="440" w:lineRule="exact"/>
        <w:jc w:val="left"/>
        <w:rPr>
          <w:rFonts w:ascii="仿宋_GB2312" w:hAnsi="宋体" w:eastAsia="仿宋_GB2312"/>
          <w:b/>
          <w:color w:val="auto"/>
          <w:kern w:val="0"/>
          <w:sz w:val="24"/>
          <w:highlight w:val="none"/>
          <w:u w:val="wave"/>
        </w:rPr>
      </w:pPr>
      <w:r>
        <w:rPr>
          <w:rFonts w:hint="eastAsia" w:ascii="仿宋_GB2312" w:hAnsi="宋体" w:eastAsia="仿宋_GB2312"/>
          <w:b/>
          <w:color w:val="auto"/>
          <w:sz w:val="24"/>
          <w:highlight w:val="none"/>
        </w:rPr>
        <w:t>6. 服务要求</w:t>
      </w:r>
    </w:p>
    <w:p>
      <w:pPr>
        <w:tabs>
          <w:tab w:val="left" w:pos="3870"/>
          <w:tab w:val="left" w:pos="4085"/>
        </w:tabs>
        <w:snapToGrid w:val="0"/>
        <w:spacing w:line="440" w:lineRule="exact"/>
        <w:jc w:val="left"/>
        <w:rPr>
          <w:rFonts w:hint="eastAsia" w:ascii="仿宋_GB2312" w:hAnsi="宋体" w:eastAsia="仿宋_GB2312"/>
          <w:color w:val="auto"/>
          <w:sz w:val="24"/>
          <w:highlight w:val="none"/>
          <w:lang w:eastAsia="zh-CN"/>
        </w:rPr>
      </w:pPr>
      <w:r>
        <w:rPr>
          <w:rFonts w:hint="eastAsia" w:ascii="仿宋_GB2312" w:hAnsi="宋体" w:eastAsia="仿宋_GB2312"/>
          <w:color w:val="auto"/>
          <w:sz w:val="24"/>
          <w:highlight w:val="none"/>
        </w:rPr>
        <w:t>6.1保修响应时间：要求对项目提供7*24小时技术支持服务，在系统出现故障1小时内给予电话支持，如不能解决，在故障发生的4小时内，派技术人员到现场处理。</w:t>
      </w:r>
    </w:p>
    <w:p>
      <w:pPr>
        <w:tabs>
          <w:tab w:val="left" w:pos="3870"/>
          <w:tab w:val="left" w:pos="4085"/>
        </w:tabs>
        <w:snapToGrid w:val="0"/>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6.2 中标人提供的设备，必须符合招标文件及其投标文件规定的要求，如有不符，采购人可以无条件退货，造成的损失由中标人承担。</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7. 项目实施人员费用</w:t>
      </w:r>
    </w:p>
    <w:p>
      <w:pPr>
        <w:snapToGrid w:val="0"/>
        <w:spacing w:line="440" w:lineRule="exact"/>
        <w:jc w:val="left"/>
        <w:rPr>
          <w:rFonts w:ascii="仿宋_GB2312" w:hAnsi="宋体" w:eastAsia="仿宋_GB2312"/>
          <w:b/>
          <w:color w:val="auto"/>
          <w:sz w:val="24"/>
          <w:highlight w:val="none"/>
        </w:rPr>
      </w:pPr>
      <w:r>
        <w:rPr>
          <w:rFonts w:hint="eastAsia" w:ascii="仿宋_GB2312" w:hAnsi="宋体" w:eastAsia="仿宋_GB2312"/>
          <w:color w:val="auto"/>
          <w:sz w:val="24"/>
          <w:highlight w:val="none"/>
        </w:rPr>
        <w:t xml:space="preserve">   中标人应自行承担选派专业人员的住宿、就餐和交通等费用。</w:t>
      </w:r>
    </w:p>
    <w:p>
      <w:pPr>
        <w:snapToGrid w:val="0"/>
        <w:spacing w:line="440" w:lineRule="exact"/>
        <w:jc w:val="left"/>
        <w:rPr>
          <w:rFonts w:ascii="仿宋_GB2312" w:hAnsi="宋体" w:eastAsia="仿宋_GB2312"/>
          <w:b/>
          <w:color w:val="auto"/>
          <w:sz w:val="24"/>
          <w:highlight w:val="none"/>
        </w:rPr>
      </w:pPr>
      <w:bookmarkStart w:id="7" w:name="_Toc151354173"/>
      <w:bookmarkStart w:id="8" w:name="_Toc81372787"/>
      <w:bookmarkStart w:id="9" w:name="_Toc80157775"/>
      <w:bookmarkStart w:id="10" w:name="_Toc84325981"/>
      <w:bookmarkStart w:id="11" w:name="_Toc81372964"/>
      <w:r>
        <w:rPr>
          <w:rFonts w:hint="eastAsia" w:ascii="仿宋_GB2312" w:hAnsi="宋体" w:eastAsia="仿宋_GB2312"/>
          <w:b/>
          <w:color w:val="auto"/>
          <w:sz w:val="24"/>
          <w:highlight w:val="none"/>
        </w:rPr>
        <w:t>8.招标项目设备名称及数量：</w:t>
      </w:r>
    </w:p>
    <w:p>
      <w:pPr>
        <w:spacing w:line="440" w:lineRule="exact"/>
        <w:ind w:right="420"/>
        <w:rPr>
          <w:rFonts w:hint="eastAsia" w:eastAsia="仿宋_GB2312"/>
          <w:color w:val="auto"/>
          <w:highlight w:val="none"/>
          <w:lang w:eastAsia="zh-CN"/>
        </w:rPr>
      </w:pPr>
      <w:r>
        <w:rPr>
          <w:rFonts w:hint="eastAsia" w:ascii="仿宋_GB2312" w:hAnsi="新宋体" w:eastAsia="仿宋_GB2312" w:cs="Arial"/>
          <w:b/>
          <w:bCs/>
          <w:color w:val="auto"/>
          <w:sz w:val="24"/>
          <w:highlight w:val="none"/>
          <w:bdr w:val="single" w:color="auto" w:sz="4" w:space="0"/>
        </w:rPr>
        <w:t>01标</w:t>
      </w:r>
      <w:r>
        <w:rPr>
          <w:rFonts w:hint="eastAsia" w:ascii="仿宋_GB2312" w:hAnsi="宋体" w:eastAsia="仿宋_GB2312"/>
          <w:color w:val="auto"/>
          <w:sz w:val="24"/>
          <w:highlight w:val="none"/>
          <w:lang w:eastAsia="zh-CN"/>
        </w:rPr>
        <w:t>曹娥江流域预报调度一体化项目</w:t>
      </w:r>
    </w:p>
    <w:p>
      <w:pPr>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22" w:firstLineChars="200"/>
        <w:textAlignment w:val="auto"/>
        <w:outlineLvl w:val="9"/>
        <w:rPr>
          <w:rFonts w:hint="eastAsia" w:ascii="仿宋" w:hAnsi="仿宋" w:eastAsia="仿宋" w:cs="仿宋"/>
          <w:b/>
          <w:bCs/>
          <w:color w:val="auto"/>
          <w:sz w:val="21"/>
          <w:szCs w:val="21"/>
          <w:highlight w:val="none"/>
          <w:shd w:val="clear" w:color="auto" w:fill="FBFDFE"/>
        </w:rPr>
      </w:pPr>
      <w:r>
        <w:rPr>
          <w:rFonts w:hint="eastAsia" w:ascii="仿宋" w:hAnsi="仿宋" w:eastAsia="仿宋" w:cs="仿宋"/>
          <w:b/>
          <w:bCs/>
          <w:color w:val="auto"/>
          <w:sz w:val="21"/>
          <w:szCs w:val="21"/>
          <w:highlight w:val="none"/>
          <w:shd w:val="clear" w:color="auto" w:fill="FBFDFE"/>
        </w:rPr>
        <w:t>一、项目需求</w:t>
      </w:r>
    </w:p>
    <w:p>
      <w:pPr>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22" w:firstLineChars="200"/>
        <w:textAlignment w:val="auto"/>
        <w:outlineLvl w:val="9"/>
        <w:rPr>
          <w:rFonts w:hint="eastAsia" w:ascii="仿宋" w:hAnsi="仿宋" w:eastAsia="仿宋" w:cs="仿宋"/>
          <w:b/>
          <w:bCs/>
          <w:color w:val="auto"/>
          <w:sz w:val="21"/>
          <w:szCs w:val="21"/>
          <w:highlight w:val="none"/>
          <w:shd w:val="clear" w:color="auto" w:fill="FBFDFE"/>
        </w:rPr>
      </w:pPr>
      <w:r>
        <w:rPr>
          <w:rFonts w:hint="eastAsia" w:ascii="仿宋" w:hAnsi="仿宋" w:eastAsia="仿宋" w:cs="仿宋"/>
          <w:b/>
          <w:bCs/>
          <w:color w:val="auto"/>
          <w:sz w:val="21"/>
          <w:szCs w:val="21"/>
          <w:highlight w:val="none"/>
          <w:shd w:val="clear" w:color="auto" w:fill="FBFDFE"/>
        </w:rPr>
        <w:t>（一）项目背景</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浙江省水利数字化改革实施方案》《绍兴市水利数字化改革实施方案》，开展曹娥江数字流域试点建设，按照“党建统领、业务为本、数字赋能”三位一体统筹发展要求，以解决问题、取得实效为衡量标准，加快形成一批具有面上推广价值的数字化改革试点项目。2021年6月，浙江省水利厅办公室发布了第一批全省水利数字化改革试点项目需求的通知，并在7月发布了第一批全省水利数字化改革试点项目和试点单位，曹娥江流域预报调度一体化列入其中。2021年8月，绍兴市水利局印发了《绍兴市水利数字化改革实施方案》（绍市水利〔2021〕63号），明确绍兴市水利数字化改革的主要任务和组织保障，其中包括曹娥江流域水智平台建设（曹娥江流域预报调度一体化），开展曹娥江数字流域试点建设、打造曹娥江流域水利治理体系和治理能力现代化标杆。</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在国家和水利信息化发展趋势和政府数字化改革的号召下，开展</w:t>
      </w:r>
      <w:r>
        <w:rPr>
          <w:rFonts w:hint="eastAsia" w:ascii="仿宋" w:hAnsi="仿宋" w:eastAsia="仿宋" w:cs="仿宋"/>
          <w:color w:val="auto"/>
          <w:sz w:val="24"/>
          <w:szCs w:val="24"/>
          <w:highlight w:val="none"/>
          <w:lang w:eastAsia="zh-CN"/>
        </w:rPr>
        <w:t>曹娥江流域预报调度一体化项目</w:t>
      </w:r>
      <w:r>
        <w:rPr>
          <w:rFonts w:hint="eastAsia" w:ascii="仿宋" w:hAnsi="仿宋" w:eastAsia="仿宋" w:cs="仿宋"/>
          <w:color w:val="auto"/>
          <w:sz w:val="24"/>
          <w:szCs w:val="24"/>
          <w:highlight w:val="none"/>
        </w:rPr>
        <w:t>，实现曹娥江流域水利治理体系和治理能力现代化是十分迫切的。</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22" w:firstLineChars="200"/>
        <w:textAlignment w:val="auto"/>
        <w:outlineLvl w:val="9"/>
        <w:rPr>
          <w:rFonts w:hint="eastAsia" w:ascii="仿宋" w:hAnsi="仿宋" w:eastAsia="仿宋" w:cs="仿宋"/>
          <w:b/>
          <w:bCs/>
          <w:color w:val="auto"/>
          <w:sz w:val="21"/>
          <w:szCs w:val="21"/>
          <w:highlight w:val="none"/>
          <w:shd w:val="clear" w:color="auto" w:fill="FBFDFE"/>
        </w:rPr>
      </w:pPr>
      <w:r>
        <w:rPr>
          <w:rFonts w:hint="eastAsia" w:ascii="仿宋" w:hAnsi="仿宋" w:eastAsia="仿宋" w:cs="仿宋"/>
          <w:b/>
          <w:bCs/>
          <w:color w:val="auto"/>
          <w:sz w:val="21"/>
          <w:szCs w:val="21"/>
          <w:highlight w:val="none"/>
          <w:shd w:val="clear" w:color="auto" w:fill="FBFDFE"/>
        </w:rPr>
        <w:t>（二）建设内容</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本项目主要工作内容包括：曹娥江流域预报调度一体化模型构建和曹娥江数字流域（预报调度一体化平台）开发等。</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22" w:firstLineChars="200"/>
        <w:textAlignment w:val="auto"/>
        <w:outlineLvl w:val="9"/>
        <w:rPr>
          <w:rFonts w:hint="eastAsia" w:ascii="仿宋" w:hAnsi="仿宋" w:eastAsia="仿宋" w:cs="仿宋"/>
          <w:b/>
          <w:bCs/>
          <w:color w:val="auto"/>
          <w:sz w:val="21"/>
          <w:szCs w:val="21"/>
          <w:highlight w:val="none"/>
          <w:shd w:val="clear" w:color="auto" w:fill="FBFDFE"/>
        </w:rPr>
      </w:pPr>
      <w:r>
        <w:rPr>
          <w:rFonts w:hint="eastAsia" w:ascii="仿宋" w:hAnsi="仿宋" w:eastAsia="仿宋" w:cs="仿宋"/>
          <w:b/>
          <w:bCs/>
          <w:color w:val="auto"/>
          <w:sz w:val="21"/>
          <w:szCs w:val="21"/>
          <w:highlight w:val="none"/>
          <w:shd w:val="clear" w:color="auto" w:fill="FBFDFE"/>
        </w:rPr>
        <w:t>（三）项目技术要求</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 流域预报调度一体化模型构建</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流域水文气象、自然地理等特点，收集流域下垫面变化资料、历史水文长系列及场次洪水数据、河道断面、水利工程调度等，建立流域水文产汇流模型、大中型水库预报调度模型、曹娥江干流河道演进及平原河网水动力学模型，对模型参数率定验证并进行精度评定。具体工作内容包括：</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（1）基础资料收集分析和处理</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历史水文长系列及场次洪水数据：收集流域站点长系列及典型场次洪水数据，包括降雨、径流、洪水、潮位等水文要素，分析资料成果的可靠性、一致性、代表性，并进行质量控制和预处理。收集流域较大洪水的暴雨特征、调度情况、受灾情况等资料。要求收集流域代表站的长系列逐日及场次逐时降雨、水位、流量等资料，系列长度满足规范要求，不足的要求收集所有相关资料。</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②河道断面、水利工程调度等资料：收集并分析流域内水库、河道、堤防、滞洪区、水闸等水利工程资料，补充测量主要河道、堤防等重点数据。 要求收集流域曹娥江干流及主要支流澄潭江、长乐江、新昌江、小舜江等断面资料及堤线、堤顶高程数据，不足部分进行补充测量。</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③流域地形DEM、堤防保护区、地形图等地理信息数据。要求收集的DEM和地形图资料时间不早于2019年，并划分堤防保护区，为洪水淹没、影响评估等空间分析提供基础支撑。</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（2）水文产汇流模型建立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①水文分区划定，站点权重分析：对流域进行水文分区，包括非库山区、水库、平原河网集雨分区等，采用泰森多边形等对各水文分区进行雨量站点权重分析计算。</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②面雨量计算，典型洪水选择：计算分区面雨量，确定出代表不同降雨时空分布的典型洪水。</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③水文产汇流模型构建：对每一个水文分区单独建立水文产汇流模型。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（3）水动力模型建立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①模型概化：结合流域现状和规划工况下的水系及水利工程情况，对水动力模型进行概化，确定模型的计算边界。</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②结构物和调度处理：根据流域洪水调度方案和超标准洪水预案，确定水库、河道、滞洪区等水利工程之间的联系，确定闸站的调度运行方式。</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水动力模型构建：采用一维非恒定流计算方法，建立一维河网非恒定流数学模型，根据河道断面尺寸、坡降等几何特征、上游及支流洪水过程、流域降雨过程和下游河道水位变化过程，逐时逐段计算河道水位、流量及区域的水位变化过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（4）水利工程调度模型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①水库调度：建设重要大中型水库的指令调度模型、规则调度、自定义调度模型等。</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②闸站调度：对流域清风水库枢纽、上浦闸、新三江闸、曹娥江大闸建立调度模型；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②联合调度：耦合曹娥江水库、蓄滞洪区（包括湛头滞洪区、大浸畈滞洪区等）及沿线主要闸站（包括清风水利枢纽、上浦闸、曹娥江大闸等）调度模型，形成联合调度。</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（5）耦合预报模型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水文水动力耦合模型：耦合水文产汇流模型、水动力模型、工程调度模型、风险研判分析模型，对大中型水库、干流主要断面及平原河网代表站进行洪水预报，根据预报成果进行风险研判，分析淹没范围、水深及影响损失等，实现点、线、面预报要素结合。</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②边界潮位预报：在海洋部门发布的风暴潮增水和风浪增水预报结果的基础上，再将天文潮预报水位和风暴潮增水迭加，对预见期潮水位过程线进行预报，并对预报成果实时修正处理。</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③网格化降雨数值预报：根据气象网格化降雨预报，实时生成流域各水文分区预报面雨量时间序列，接入耦合预警模型。</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（6）洪水预报方案编制</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水库预报方案。编制长诏水库、钦寸水库、巧英水库、门溪水库、南山水库、坂头水库、剡源水库、辽湾水库、丰潭水库、前岩水库、平水江水库和汤浦水库12个大中型水库入库洪水预报方案。预报方案必须包括新安江模型预报方案。</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②重要预报断面预报方案。新昌、嵊州新市、孟爱、黄泽、嵊州（三）、百官、东沙埠、东山、百官和绍兴等重要断面预报方案。预报方案必须包括水文、水动力学预报方案。</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（7）模型参数率定及精度评定</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①根据流域典型历史洪水进行模型参数率定和验证，并依据《水文情报预报规范》（GB/T 22482-2008）对流域主要防洪控制断面和大中型水库站进行精度评定。</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sz w:val="24"/>
          <w:szCs w:val="24"/>
          <w:highlight w:val="none"/>
        </w:rPr>
        <w:t>②对于历史洪水资料满足规范要求且质量较好的大型水库、重点中型水库和东山站以上防洪控制断面洪水预报精度应达到甲级；上浦闸及以下站点（绍兴站除外），相对难度较大，验收标准可适当放宽，但水位误差均值最大不得超过20cm，绍兴站水位预报精度不得超过10cm。</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（8）研究适用于曹娥江流域的概率预报、集合预报、数理统计洪水位预报等模型算法。</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分析流域站点资料的丰富程度以及站点地理位置等综合因素，研究研究适用于曹娥江流域的概率预报、集合预报算法。选取百官站、东山站、嵊州站和新昌站等作为主要特征断面，分别构建基于大数据驱动的洪水预报模型运用在单点实时预报工作中。</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上水文产汇流模型、水动力模型及耦合模型须采用标准化、统一服务接口，模型与数据可分离，模型可随用随调，具备实时计算能力。模型均不接受第三方商业软件模型，采购人在使用中无其他授权约束和要求，项目完成后知识产权归采购人与承担方双方共有。</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曹娥江数字流域（预报调度一体化平台）业务应用</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集成曹娥江数字流域和预报调度一体化模型，实现数字化场景、智慧化模拟、精准化决策。主要建设预报调度一体化、多跨联动治水、场景大屏和应用管理等功能模块。具体工作内容包括：</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（1）预报调度一体化模块：集成预报调度及风险研判一体化模型，通过计算、模拟和仿真，实现“四预”（预报、预警、预演、预案）核心功能。</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预报：包括洪水自动预报、人工交互预报等功能。其中，洪水自动预报能够实现无人值守预报和提前预警；人工交互预报要求包含一键分析和专家模式两种方式，专家模式能够对初始状态与边界、各类输入进行灵活设置。</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提供可配置基于不同预报调度模型方案功能，以灵活适应不同来水断面-区间-水库调度组合的预报要求。预留镜岭水库洪水预报模型接口，洪水预报成果通过接口形式上传至省水情平台。</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预警：根据实时监测和预报成果及预警指标等进行预警提示，包括洪水专业预警发布、洪水公众预警发布、历史预警发布信息查询等功能。其中，洪水专业预警应向各级水利防汛机构或相关部门发布；洪水公众预警应向社会公众发布；历史预警发布信息查询可根据分类字段检索。</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③预演：集成耦合流域预报信息与工程调度运用等运行信息和其他边界条件，分析流域洪水风险形势，并实现综合集成与动态展示，包括降雨变化过程、水面线变化过程、保护区淹没过程等。</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④预案：结合流域形势变化对预演结果进行分析评估，动态生成工程调度方案和风险管控措施、多方案比选等功能。其中，方案系统生成应结合洪水预报成果和各类防洪方案、调度规则及专家经验，生成全流域联合调度方案；多方案比选要求能够对各个方案的指标进行对比，为选择合理有效的防洪调度方案和决策提供支撑。</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（2）场景大屏模块：将重要数据及主要业务成果进行系统汇聚，流域防洪场景及多跨联动治水场景大屏。与绍兴水管理平台场景大屏、汇报大屏无缝衔接，做好与“浙里九龙联动治水应用”相衔接。</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（3）应用管理模块：实现系统中用户权限分配，包括提供关于该系统的设置功能，如用户管理、角色管理、菜单管理、数字字典等功能。</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sz w:val="24"/>
          <w:szCs w:val="24"/>
          <w:highlight w:val="none"/>
        </w:rPr>
        <w:t>（3）系统部署及国产化适配</w:t>
      </w:r>
    </w:p>
    <w:p>
      <w:pPr>
        <w:pageBreakBefore w:val="0"/>
        <w:widowControl w:val="0"/>
        <w:kinsoku/>
        <w:wordWrap/>
        <w:overflowPunct/>
        <w:topLinePunct w:val="0"/>
        <w:autoSpaceDE/>
        <w:autoSpaceDN/>
        <w:bidi w:val="0"/>
        <w:adjustRightInd/>
        <w:snapToGrid/>
        <w:spacing w:line="440" w:lineRule="exact"/>
        <w:ind w:left="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sz w:val="24"/>
          <w:szCs w:val="24"/>
          <w:highlight w:val="none"/>
        </w:rPr>
        <w:t>根据省政府数字化改革要求，曹娥江数字流域（预报调度一体化平台）统一部署在政务专有云上。平台需适配国产终端及基础软硬件，实现现有终端环境和国产终端环境双兼容。平台需基于信创环境进行开发测试，支持国产化及信创云部署要求，支持信创终端访问。</w:t>
      </w:r>
    </w:p>
    <w:p>
      <w:pPr>
        <w:pageBreakBefore w:val="0"/>
        <w:widowControl w:val="0"/>
        <w:tabs>
          <w:tab w:val="left" w:pos="360"/>
        </w:tabs>
        <w:kinsoku/>
        <w:wordWrap/>
        <w:overflowPunct/>
        <w:topLinePunct w:val="0"/>
        <w:autoSpaceDE/>
        <w:autoSpaceDN/>
        <w:bidi w:val="0"/>
        <w:adjustRightInd/>
        <w:snapToGrid/>
        <w:spacing w:before="0" w:after="0" w:line="440" w:lineRule="exact"/>
        <w:ind w:left="0" w:firstLine="482" w:firstLineChars="20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（四）任务清单</w:t>
      </w:r>
    </w:p>
    <w:tbl>
      <w:tblPr>
        <w:tblStyle w:val="41"/>
        <w:tblW w:w="94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8"/>
        <w:gridCol w:w="3750"/>
        <w:gridCol w:w="692"/>
        <w:gridCol w:w="40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编号</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主要事项</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单位</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主要技术要求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一</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曹娥江流域预报调度一体化模型构建</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ind w:firstLine="482"/>
              <w:jc w:val="center"/>
              <w:rPr>
                <w:rFonts w:hint="eastAsia" w:ascii="仿宋" w:hAnsi="仿宋" w:eastAsia="仿宋" w:cs="仿宋"/>
                <w:b/>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ind w:firstLine="482"/>
              <w:jc w:val="center"/>
              <w:rPr>
                <w:rFonts w:hint="eastAsia" w:ascii="仿宋" w:hAnsi="仿宋" w:eastAsia="仿宋" w:cs="仿宋"/>
                <w:b/>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（一）</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基础资料收集分析和处理</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ind w:firstLine="482"/>
              <w:jc w:val="center"/>
              <w:rPr>
                <w:rFonts w:hint="eastAsia" w:ascii="仿宋" w:hAnsi="仿宋" w:eastAsia="仿宋" w:cs="仿宋"/>
                <w:b/>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ind w:firstLine="482"/>
              <w:jc w:val="center"/>
              <w:rPr>
                <w:rFonts w:hint="eastAsia" w:ascii="仿宋" w:hAnsi="仿宋" w:eastAsia="仿宋" w:cs="仿宋"/>
                <w:b/>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历史水文长系列及场次洪水数据</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要求收集流域代表站的长系列逐日及场次逐时降雨、水位、流量等资料，系列长度满足规范要求，不足的要求收集所有相关资料。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河道断面、水利工程调度等资料</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szCs w:val="24"/>
                <w:highlight w:val="none"/>
              </w:rPr>
              <w:t>要求收集流域曹娥江干流及主要支流澄潭江、长乐江、新昌江、小舜江等断面资料及堤线、堤顶高程数据，不足部分进行补充测量。收集并分析流域内水库、河道、堤防、滞洪区、水闸等水利工程及调度资料。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流域地形DEM、地形图等地理信息数据</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spacing w:before="156" w:after="156"/>
              <w:jc w:val="left"/>
              <w:rPr>
                <w:rFonts w:hint="eastAsia" w:ascii="仿宋" w:hAnsi="仿宋" w:eastAsia="仿宋" w:cs="仿宋"/>
                <w:color w:val="auto"/>
                <w:kern w:val="0"/>
                <w:szCs w:val="24"/>
                <w:highlight w:val="none"/>
              </w:rPr>
            </w:pPr>
            <w:r>
              <w:rPr>
                <w:rFonts w:hint="eastAsia" w:ascii="仿宋" w:hAnsi="仿宋" w:eastAsia="仿宋" w:cs="仿宋"/>
                <w:color w:val="auto"/>
                <w:szCs w:val="24"/>
                <w:highlight w:val="none"/>
              </w:rPr>
              <w:t>要求收集的DEM和地形图资料时间不早于2019年，并划分堤防保护区，为洪水淹没、影响评估等空间分析提供基础支撑。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（二）</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水文产汇流模型建立</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水文分区划定，站点权重分析</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restart"/>
            <w:tcBorders>
              <w:top w:val="single" w:color="auto" w:sz="4" w:space="0"/>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color w:val="auto"/>
                <w:szCs w:val="24"/>
                <w:highlight w:val="none"/>
              </w:rPr>
              <w:t>利用DEM及河流水系等资料，对流域进行水文分区，包括非库山区、水库、平原河网集雨分区等，对每一个水文分区单独建立水文产汇流模型。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面雨量计算，典型洪水选择</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水文产汇流模型构建</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（三）</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水动力模型建立</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模型概化</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restart"/>
            <w:tcBorders>
              <w:top w:val="single" w:color="auto" w:sz="4" w:space="0"/>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color w:val="auto"/>
                <w:szCs w:val="24"/>
                <w:highlight w:val="none"/>
              </w:rPr>
              <w:t>结合流域现状和规划工况下的水系及水利工程情况，采用一维非恒定流计算方法，建立干流及主要支流、平原河网一维河网非恒定流数学模型，逐时逐段计算河道水位、流量及区域的水位变化过程，并考虑溃漫堤、闸门调度与滞洪区、保护区的水量交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结构物和调度处理</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水动力模型构建</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（四）</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流域水利工程调度</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水库调度</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restart"/>
            <w:tcBorders>
              <w:top w:val="single" w:color="auto" w:sz="4" w:space="0"/>
              <w:left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szCs w:val="24"/>
                <w:highlight w:val="none"/>
              </w:rPr>
              <w:t>对流域大中型水库、重要闸站及蓄滞洪区按工程调度原则及流域洪水调度方案建立的相应的规则调度、指令调度模型、自定义调度及联合调度模型等。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闸站调度</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联合调度</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（五）</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耦合预报模型</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耦合洪水预报模型</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要求无缝耦合水文水动力模型、洪水淹没分析模型，实现预报调度和风险研判一体化，所有模型需自主研发，不接受第三方商业模型软件。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边界潮位预报接入及处理</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接入曹娥江大闸外边界潮位预报过程数据，为水动力模型提供边界条件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气象降雨数值预报接入及处理</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接入气象网格化降雨数值预报，生成各水文分区预报需要的时空序列数值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
                <w:color w:val="auto"/>
                <w:kern w:val="0"/>
                <w:szCs w:val="24"/>
                <w:highlight w:val="none"/>
              </w:rPr>
              <w:t>（七）</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
                <w:color w:val="auto"/>
                <w:kern w:val="0"/>
                <w:szCs w:val="24"/>
                <w:highlight w:val="none"/>
              </w:rPr>
              <w:t>洪水预报方案编制</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水库预报方案</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编制长诏水库、钦寸水库、巧英水库、门溪水库、南山水库、坂头水库、剡源水库、辽湾水库、丰潭水库、前岩水库、平水江水库和汤浦水库12个大中型水库入库洪水预报方案。预报方案必须包括新安江模型预报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szCs w:val="24"/>
                <w:highlight w:val="none"/>
              </w:rPr>
            </w:pPr>
            <w:r>
              <w:rPr>
                <w:rFonts w:hint="eastAsia" w:ascii="仿宋" w:hAnsi="仿宋" w:eastAsia="仿宋" w:cs="仿宋"/>
                <w:bCs/>
                <w:color w:val="auto"/>
                <w:kern w:val="0"/>
                <w:szCs w:val="24"/>
                <w:highlight w:val="none"/>
              </w:rPr>
              <w:t>重要预报断面预报方案</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新昌、嵊州新市、孟爱、黄泽、嵊州（三）、百官、东沙埠、东山、百官和绍兴等重要断面预报方案。预报方案必须包括水文、水动力学预报方案。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w:t>
            </w:r>
            <w:r>
              <w:rPr>
                <w:rFonts w:hint="eastAsia" w:ascii="仿宋" w:hAnsi="仿宋" w:eastAsia="仿宋" w:cs="仿宋"/>
                <w:b/>
                <w:color w:val="auto"/>
                <w:kern w:val="0"/>
                <w:szCs w:val="24"/>
                <w:highlight w:val="none"/>
                <w:lang w:val="en-US" w:eastAsia="zh-CN"/>
              </w:rPr>
              <w:t>八</w:t>
            </w:r>
            <w:r>
              <w:rPr>
                <w:rFonts w:hint="eastAsia" w:ascii="仿宋" w:hAnsi="仿宋" w:eastAsia="仿宋" w:cs="仿宋"/>
                <w:b/>
                <w:color w:val="auto"/>
                <w:kern w:val="0"/>
                <w:szCs w:val="24"/>
                <w:highlight w:val="none"/>
              </w:rPr>
              <w:t>）</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模型参数率定及精度评定</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模型参数率定</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restart"/>
            <w:tcBorders>
              <w:top w:val="single" w:color="auto" w:sz="4" w:space="0"/>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color w:val="auto"/>
                <w:sz w:val="22"/>
                <w:szCs w:val="22"/>
                <w:highlight w:val="none"/>
              </w:rPr>
              <w:t>对于历史洪水资料满足规范要求且质量较好的</w:t>
            </w:r>
            <w:r>
              <w:rPr>
                <w:rFonts w:hint="eastAsia" w:ascii="仿宋" w:hAnsi="仿宋" w:eastAsia="仿宋" w:cs="仿宋"/>
                <w:color w:val="auto"/>
                <w:szCs w:val="24"/>
                <w:highlight w:val="none"/>
              </w:rPr>
              <w:t>大型水库、重点中型水库和东山站以上断面洪水预报精度应达到甲级；上浦闸及以下站点（绍兴站除外），相对难度较大，验收标准可适当放宽，但水位误差均值最大不得超过20cm，绍兴站水位预报精度不得超过10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大中型水库预报精度评定</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干流防洪控制断面精度评定</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vMerge w:val="continue"/>
            <w:tcBorders>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
                <w:color w:val="auto"/>
                <w:kern w:val="0"/>
                <w:szCs w:val="24"/>
                <w:highlight w:val="none"/>
              </w:rPr>
              <w:t>（</w:t>
            </w:r>
            <w:r>
              <w:rPr>
                <w:rFonts w:hint="eastAsia" w:ascii="仿宋" w:hAnsi="仿宋" w:eastAsia="仿宋" w:cs="仿宋"/>
                <w:b/>
                <w:color w:val="auto"/>
                <w:kern w:val="0"/>
                <w:szCs w:val="24"/>
                <w:highlight w:val="none"/>
                <w:lang w:eastAsia="zh-CN"/>
              </w:rPr>
              <w:t>九</w:t>
            </w:r>
            <w:r>
              <w:rPr>
                <w:rFonts w:hint="eastAsia" w:ascii="仿宋" w:hAnsi="仿宋" w:eastAsia="仿宋" w:cs="仿宋"/>
                <w:b/>
                <w:color w:val="auto"/>
                <w:kern w:val="0"/>
                <w:szCs w:val="24"/>
                <w:highlight w:val="none"/>
              </w:rPr>
              <w:t>）</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
                <w:color w:val="auto"/>
                <w:kern w:val="0"/>
                <w:szCs w:val="24"/>
                <w:highlight w:val="none"/>
              </w:rPr>
              <w:t>研究适用于曹娥江流域的概率预报、集合预报、数理统计洪水位预报模型算法</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综合分析流域站点资料的丰富程度以及站点地理位置等综合因素，研究研究适用于曹娥江流域的概率预报、集合预报算法。选取百官站、东山站、嵊州站和新昌站等作为主要特征断面，分别构建基于大数据驱动的洪水预报模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二</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曹娥江数字流域（预报调度一体化平台）</w:t>
            </w:r>
            <w:r>
              <w:rPr>
                <w:rFonts w:hint="eastAsia" w:ascii="仿宋" w:hAnsi="仿宋" w:eastAsia="仿宋" w:cs="仿宋"/>
                <w:b/>
                <w:bCs/>
                <w:color w:val="auto"/>
                <w:highlight w:val="none"/>
              </w:rPr>
              <w:t>业务应用</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（一）</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预报调度一体化模块</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b/>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预报</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restart"/>
            <w:tcBorders>
              <w:top w:val="single" w:color="auto" w:sz="4" w:space="0"/>
              <w:left w:val="single" w:color="auto" w:sz="4" w:space="0"/>
              <w:right w:val="single" w:color="auto" w:sz="4" w:space="0"/>
            </w:tcBorders>
            <w:vAlign w:val="center"/>
          </w:tcPr>
          <w:p>
            <w:pPr>
              <w:spacing w:line="360" w:lineRule="auto"/>
              <w:ind w:firstLine="482"/>
              <w:rPr>
                <w:rFonts w:hint="eastAsia" w:ascii="仿宋" w:hAnsi="仿宋" w:eastAsia="仿宋" w:cs="仿宋"/>
                <w:color w:val="auto"/>
                <w:kern w:val="0"/>
                <w:szCs w:val="24"/>
                <w:highlight w:val="none"/>
              </w:rPr>
            </w:pPr>
            <w:r>
              <w:rPr>
                <w:rFonts w:hint="eastAsia" w:ascii="仿宋" w:hAnsi="仿宋" w:eastAsia="仿宋" w:cs="仿宋"/>
                <w:color w:val="auto"/>
                <w:szCs w:val="24"/>
                <w:highlight w:val="none"/>
              </w:rPr>
              <w:t>集成预报调度及风险研判一体化模型，按水利部《水利业务“四预”功能基本技术要求》，实现防洪“四预”（预报、预警、预演、预案）核心功能。</w:t>
            </w:r>
            <w:r>
              <w:rPr>
                <w:rFonts w:hint="eastAsia" w:ascii="仿宋" w:hAnsi="仿宋" w:eastAsia="仿宋" w:cs="仿宋"/>
                <w:bCs/>
                <w:color w:val="auto"/>
                <w:kern w:val="0"/>
                <w:szCs w:val="24"/>
                <w:highlight w:val="none"/>
              </w:rPr>
              <w:t>预留镜岭水库洪水预报模型接口，</w:t>
            </w:r>
            <w:r>
              <w:rPr>
                <w:rFonts w:hint="eastAsia" w:ascii="仿宋" w:hAnsi="仿宋" w:eastAsia="仿宋" w:cs="仿宋"/>
                <w:color w:val="auto"/>
                <w:szCs w:val="24"/>
                <w:highlight w:val="none"/>
              </w:rPr>
              <w:t>洪水预报成果通过接口形式上传至省水情平台。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预警</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预演</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continue"/>
            <w:tcBorders>
              <w:left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4</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Cs/>
                <w:color w:val="auto"/>
                <w:kern w:val="0"/>
                <w:szCs w:val="24"/>
                <w:highlight w:val="none"/>
              </w:rPr>
            </w:pPr>
            <w:r>
              <w:rPr>
                <w:rFonts w:hint="eastAsia" w:ascii="仿宋" w:hAnsi="仿宋" w:eastAsia="仿宋" w:cs="仿宋"/>
                <w:bCs/>
                <w:color w:val="auto"/>
                <w:kern w:val="0"/>
                <w:szCs w:val="24"/>
                <w:highlight w:val="none"/>
              </w:rPr>
              <w:t>预案</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vMerge w:val="continue"/>
            <w:tcBorders>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（二）</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场景大屏模块</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流域防洪场景及多跨联动治水场景大屏</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与绍兴水管理平台场景大屏、汇报大屏无缝衔接，做好与“浙里九龙联动治水应用”相衔接。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（三）</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应用管理模块</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用户权限分配和系统设置功能</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根据省、市、县水利部门及各级洪水预报人员、水利工程管理单位相关用户需求和职责进行权限分配和系统功能设置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移动应用</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越水情迭代升级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第三方软件测试</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提供第三方软件测试报告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4</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系统部署及国产化适配</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left"/>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系统部署满足政务云上云要求，</w:t>
            </w:r>
            <w:r>
              <w:rPr>
                <w:rFonts w:hint="eastAsia" w:ascii="仿宋" w:hAnsi="仿宋" w:eastAsia="仿宋" w:cs="仿宋"/>
                <w:color w:val="auto"/>
                <w:highlight w:val="none"/>
              </w:rPr>
              <w:t>要求适配国产终端及基础软硬件，实现现有终端环境和国产终端环境双兼容。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三</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其他</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w:t>
            </w:r>
          </w:p>
        </w:tc>
        <w:tc>
          <w:tcPr>
            <w:tcW w:w="3750"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1年售后服务</w:t>
            </w:r>
          </w:p>
        </w:tc>
        <w:tc>
          <w:tcPr>
            <w:tcW w:w="692"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项</w:t>
            </w:r>
          </w:p>
        </w:tc>
        <w:tc>
          <w:tcPr>
            <w:tcW w:w="4018"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Cs w:val="24"/>
                <w:highlight w:val="none"/>
              </w:rPr>
            </w:pPr>
          </w:p>
        </w:tc>
      </w:tr>
    </w:tbl>
    <w:p>
      <w:pPr>
        <w:pStyle w:val="5"/>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82" w:firstLineChars="200"/>
        <w:jc w:val="left"/>
        <w:textAlignment w:val="auto"/>
        <w:rPr>
          <w:rFonts w:hint="eastAsia" w:ascii="仿宋" w:hAnsi="仿宋" w:eastAsia="仿宋" w:cs="仿宋"/>
          <w:color w:val="auto"/>
          <w:sz w:val="24"/>
          <w:szCs w:val="24"/>
          <w:highlight w:val="none"/>
          <w:shd w:val="clear" w:color="auto" w:fill="FBFDFE"/>
        </w:rPr>
      </w:pPr>
      <w:r>
        <w:rPr>
          <w:rFonts w:hint="eastAsia" w:ascii="仿宋" w:hAnsi="仿宋" w:eastAsia="仿宋" w:cs="仿宋"/>
          <w:color w:val="auto"/>
          <w:sz w:val="24"/>
          <w:szCs w:val="24"/>
          <w:highlight w:val="none"/>
          <w:shd w:val="clear" w:color="auto" w:fill="FBFDFE"/>
          <w:lang w:eastAsia="zh-CN"/>
        </w:rPr>
        <w:t>二</w:t>
      </w:r>
      <w:r>
        <w:rPr>
          <w:rFonts w:hint="eastAsia" w:ascii="仿宋" w:hAnsi="仿宋" w:eastAsia="仿宋" w:cs="仿宋"/>
          <w:color w:val="auto"/>
          <w:sz w:val="24"/>
          <w:szCs w:val="24"/>
          <w:highlight w:val="none"/>
          <w:shd w:val="clear" w:color="auto" w:fill="FBFDFE"/>
        </w:rPr>
        <w:t>、进度要求</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本项目建设期为2022年至2025年，共4年；</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2022年年底前完成曹娥江流域预报调度一体化模块功能最小化上线；</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2023年完成流域防洪和多跨应用场景建设，年底前进行项目完工验收，系统投入试运行；</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2024-2025年试运行期间对洪水预报调度模型进行检验和完善；</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2025年底前完成项目竣工验收，并进入壹年质保期。</w:t>
      </w:r>
    </w:p>
    <w:p>
      <w:pPr>
        <w:pStyle w:val="5"/>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82" w:firstLineChars="200"/>
        <w:textAlignment w:val="auto"/>
        <w:rPr>
          <w:rFonts w:hint="eastAsia" w:ascii="仿宋" w:hAnsi="仿宋" w:eastAsia="仿宋" w:cs="仿宋"/>
          <w:color w:val="auto"/>
          <w:sz w:val="24"/>
          <w:szCs w:val="24"/>
          <w:highlight w:val="none"/>
          <w:shd w:val="clear" w:color="auto" w:fill="FBFDFE"/>
        </w:rPr>
      </w:pPr>
      <w:r>
        <w:rPr>
          <w:rFonts w:hint="eastAsia" w:ascii="仿宋" w:hAnsi="仿宋" w:eastAsia="仿宋" w:cs="仿宋"/>
          <w:color w:val="auto"/>
          <w:sz w:val="24"/>
          <w:szCs w:val="24"/>
          <w:highlight w:val="none"/>
          <w:shd w:val="clear" w:color="auto" w:fill="FBFDFE"/>
          <w:lang w:eastAsia="zh-CN"/>
        </w:rPr>
        <w:t>三</w:t>
      </w:r>
      <w:r>
        <w:rPr>
          <w:rFonts w:hint="eastAsia" w:ascii="仿宋" w:hAnsi="仿宋" w:eastAsia="仿宋" w:cs="仿宋"/>
          <w:color w:val="auto"/>
          <w:sz w:val="24"/>
          <w:szCs w:val="24"/>
          <w:highlight w:val="none"/>
          <w:shd w:val="clear" w:color="auto" w:fill="FBFDFE"/>
        </w:rPr>
        <w:t>、售后及培训要求</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（1）保修响应时间：要求对项目提供7*24小时技术支持服务，在系统出现故障1小时内给予电话支持，如不能解决，在故障发生的4小时内，派技术人员到现场处理。</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（2）中标人在系统开发完成后，应编制培训材料，组织相关人员进行培训，使其尽快熟悉系统操作，促进系统更快更好的投入使用，提高工作效率。</w:t>
      </w:r>
    </w:p>
    <w:p>
      <w:pPr>
        <w:pStyle w:val="5"/>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82" w:firstLineChars="200"/>
        <w:textAlignment w:val="auto"/>
        <w:rPr>
          <w:rFonts w:hint="eastAsia" w:ascii="仿宋" w:hAnsi="仿宋" w:eastAsia="仿宋" w:cs="仿宋"/>
          <w:color w:val="auto"/>
          <w:sz w:val="24"/>
          <w:szCs w:val="24"/>
          <w:highlight w:val="none"/>
          <w:shd w:val="clear" w:color="auto" w:fill="FBFDFE"/>
          <w:lang w:eastAsia="zh-CN"/>
        </w:rPr>
      </w:pPr>
      <w:r>
        <w:rPr>
          <w:rFonts w:hint="eastAsia" w:ascii="仿宋" w:hAnsi="仿宋" w:eastAsia="仿宋" w:cs="仿宋"/>
          <w:color w:val="auto"/>
          <w:sz w:val="24"/>
          <w:szCs w:val="24"/>
          <w:highlight w:val="none"/>
          <w:shd w:val="clear" w:color="auto" w:fill="FBFDFE"/>
          <w:lang w:eastAsia="zh-CN"/>
        </w:rPr>
        <w:t>四、验收标准</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完成招标文件所要求的全部建设项目、系统运行稳定、功能满足采购人工作需求，并完成采购人培训工作后，通过采购人组织的验收小组进行验收。</w:t>
      </w:r>
    </w:p>
    <w:p>
      <w:pPr>
        <w:pStyle w:val="5"/>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82" w:firstLineChars="200"/>
        <w:textAlignment w:val="auto"/>
        <w:rPr>
          <w:rFonts w:hint="eastAsia" w:ascii="仿宋" w:hAnsi="仿宋" w:eastAsia="仿宋" w:cs="仿宋"/>
          <w:color w:val="auto"/>
          <w:sz w:val="24"/>
          <w:szCs w:val="24"/>
          <w:highlight w:val="none"/>
          <w:shd w:val="clear" w:color="auto" w:fill="FBFDFE"/>
        </w:rPr>
      </w:pPr>
      <w:r>
        <w:rPr>
          <w:rFonts w:hint="eastAsia" w:ascii="仿宋" w:hAnsi="仿宋" w:eastAsia="仿宋" w:cs="仿宋"/>
          <w:color w:val="auto"/>
          <w:sz w:val="24"/>
          <w:szCs w:val="24"/>
          <w:highlight w:val="none"/>
          <w:shd w:val="clear" w:color="auto" w:fill="FBFDFE"/>
          <w:lang w:eastAsia="zh-CN"/>
        </w:rPr>
        <w:t>五</w:t>
      </w:r>
      <w:r>
        <w:rPr>
          <w:rFonts w:hint="eastAsia" w:ascii="仿宋" w:hAnsi="仿宋" w:eastAsia="仿宋" w:cs="仿宋"/>
          <w:color w:val="auto"/>
          <w:sz w:val="24"/>
          <w:szCs w:val="24"/>
          <w:highlight w:val="none"/>
          <w:shd w:val="clear" w:color="auto" w:fill="FBFDFE"/>
        </w:rPr>
        <w:t>、成果提交</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项目建设完成后，需提交以下成果：</w:t>
      </w:r>
    </w:p>
    <w:p>
      <w:pPr>
        <w:pageBreakBefore w:val="0"/>
        <w:widowControl/>
        <w:numPr>
          <w:ilvl w:val="0"/>
          <w:numId w:val="6"/>
        </w:numPr>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项目建设实施方案一份；</w:t>
      </w:r>
    </w:p>
    <w:p>
      <w:pPr>
        <w:pageBreakBefore w:val="0"/>
        <w:widowControl/>
        <w:numPr>
          <w:ilvl w:val="0"/>
          <w:numId w:val="6"/>
        </w:numPr>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流域洪水预报方案（包括大中型水库和河道预报断面站点）1份；</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（3）项目软件一套、第三方软件测试报告一份；</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（4）项目用户手册文档一份；</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（5）项目培训不少于3次</w:t>
      </w:r>
    </w:p>
    <w:p>
      <w:pPr>
        <w:pStyle w:val="5"/>
        <w:keepNext/>
        <w:keepLines/>
        <w:pageBreakBefore w:val="0"/>
        <w:widowControl w:val="0"/>
        <w:numPr>
          <w:ilvl w:val="0"/>
          <w:numId w:val="0"/>
        </w:numPr>
        <w:kinsoku/>
        <w:wordWrap/>
        <w:overflowPunct/>
        <w:topLinePunct w:val="0"/>
        <w:autoSpaceDE/>
        <w:autoSpaceDN/>
        <w:bidi w:val="0"/>
        <w:adjustRightInd/>
        <w:snapToGrid/>
        <w:spacing w:before="0" w:after="0" w:line="440" w:lineRule="exact"/>
        <w:ind w:left="0" w:leftChars="0" w:firstLine="482" w:firstLineChars="200"/>
        <w:textAlignment w:val="auto"/>
        <w:rPr>
          <w:rFonts w:hint="eastAsia" w:ascii="仿宋" w:hAnsi="仿宋" w:eastAsia="仿宋" w:cs="仿宋"/>
          <w:color w:val="auto"/>
          <w:sz w:val="24"/>
          <w:szCs w:val="24"/>
          <w:highlight w:val="none"/>
          <w:shd w:val="clear" w:color="auto" w:fill="FBFDFE"/>
          <w:lang w:eastAsia="zh-CN"/>
        </w:rPr>
      </w:pPr>
      <w:r>
        <w:rPr>
          <w:rFonts w:hint="eastAsia" w:ascii="仿宋" w:hAnsi="仿宋" w:eastAsia="仿宋" w:cs="仿宋"/>
          <w:color w:val="auto"/>
          <w:sz w:val="24"/>
          <w:szCs w:val="24"/>
          <w:highlight w:val="none"/>
          <w:shd w:val="clear" w:color="auto" w:fill="FBFDFE"/>
          <w:lang w:eastAsia="zh-CN"/>
        </w:rPr>
        <w:t>六、付款方式</w:t>
      </w:r>
    </w:p>
    <w:p>
      <w:pPr>
        <w:rPr>
          <w:rFonts w:hint="eastAsia"/>
          <w:color w:val="auto"/>
          <w:highlight w:val="none"/>
          <w:lang w:eastAsia="zh-CN"/>
        </w:rPr>
      </w:pP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rPr>
        <w:t>签订</w:t>
      </w:r>
      <w:r>
        <w:rPr>
          <w:rFonts w:hint="eastAsia" w:ascii="仿宋" w:hAnsi="仿宋" w:eastAsia="仿宋" w:cs="仿宋"/>
          <w:color w:val="auto"/>
          <w:kern w:val="0"/>
          <w:sz w:val="24"/>
          <w:szCs w:val="24"/>
          <w:highlight w:val="none"/>
          <w:lang w:val="en-US" w:eastAsia="zh-CN"/>
        </w:rPr>
        <w:t>生效以及具备实施条件后7个工作日</w:t>
      </w:r>
      <w:r>
        <w:rPr>
          <w:rFonts w:hint="eastAsia" w:ascii="仿宋" w:hAnsi="仿宋" w:eastAsia="仿宋" w:cs="仿宋"/>
          <w:color w:val="auto"/>
          <w:kern w:val="0"/>
          <w:sz w:val="24"/>
          <w:szCs w:val="24"/>
          <w:highlight w:val="none"/>
        </w:rPr>
        <w:t>内支付合同价的20%；</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（2）2022年11月30日前，预报调度一体化模块功能最小化上线后15日内支付合同价的40%（合计支付至合同价的60%）；</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（3）2023年11月30日前，完成多跨应用场景并通过完工验收投入试运行后15日内支付合同价的20%（合计支付至合同价的80%）；</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（4）2024年11月30日前完成当年对洪水预报调度模型的检验和完善后15日内支付合同价的10%（合计支付至合同价的90%）</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（5）2025年11月30日前，通过竣工验收后15日内支付合同价的10%（合计支付至合同价的100%）；</w:t>
      </w:r>
    </w:p>
    <w:p>
      <w:pPr>
        <w:pageBreakBefore w:val="0"/>
        <w:widowControl/>
        <w:kinsoku/>
        <w:wordWrap/>
        <w:overflowPunct/>
        <w:topLinePunct w:val="0"/>
        <w:autoSpaceDE/>
        <w:autoSpaceDN/>
        <w:bidi w:val="0"/>
        <w:adjustRightInd/>
        <w:snapToGrid w:val="0"/>
        <w:spacing w:line="440" w:lineRule="exact"/>
        <w:ind w:left="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（6）2026年，质保期满后15日内退还履约保证金。</w:t>
      </w:r>
    </w:p>
    <w:p>
      <w:pPr>
        <w:pStyle w:val="7"/>
        <w:pageBreakBefore w:val="0"/>
        <w:kinsoku/>
        <w:wordWrap/>
        <w:overflowPunct/>
        <w:topLinePunct w:val="0"/>
        <w:autoSpaceDE/>
        <w:autoSpaceDN/>
        <w:bidi w:val="0"/>
        <w:adjustRightInd/>
        <w:spacing w:line="440" w:lineRule="exact"/>
        <w:ind w:left="0"/>
        <w:textAlignment w:val="auto"/>
        <w:rPr>
          <w:rFonts w:ascii="仿宋_GB2312" w:hAnsi="宋体" w:eastAsia="仿宋_GB2312"/>
          <w:color w:val="auto"/>
          <w:sz w:val="24"/>
          <w:highlight w:val="none"/>
        </w:rPr>
      </w:pPr>
      <w:r>
        <w:rPr>
          <w:rFonts w:hint="eastAsia" w:ascii="仿宋" w:hAnsi="仿宋" w:eastAsia="仿宋" w:cs="仿宋"/>
          <w:b/>
          <w:color w:val="auto"/>
          <w:sz w:val="24"/>
          <w:szCs w:val="24"/>
          <w:highlight w:val="none"/>
        </w:rPr>
        <w:t>具体以财政资金到位为准，若当年年底拨付资金不足，不足部分在下一次支付款项时补足。</w:t>
      </w:r>
    </w:p>
    <w:bookmarkEnd w:id="7"/>
    <w:p>
      <w:pPr>
        <w:pageBreakBefore/>
        <w:spacing w:beforeLines="50" w:line="440" w:lineRule="exact"/>
        <w:jc w:val="center"/>
        <w:rPr>
          <w:rFonts w:ascii="仿宋_GB2312" w:hAnsi="宋体" w:eastAsia="仿宋_GB2312"/>
          <w:b/>
          <w:color w:val="auto"/>
          <w:sz w:val="36"/>
          <w:szCs w:val="36"/>
          <w:highlight w:val="none"/>
        </w:rPr>
      </w:pPr>
      <w:r>
        <w:rPr>
          <w:rFonts w:hint="eastAsia" w:ascii="仿宋_GB2312" w:hAnsi="仿宋" w:eastAsia="仿宋_GB2312" w:cs="仿宋_GB2312"/>
          <w:b/>
          <w:color w:val="auto"/>
          <w:sz w:val="36"/>
          <w:szCs w:val="36"/>
          <w:highlight w:val="none"/>
        </w:rPr>
        <w:t>政府采购合同参考范本</w:t>
      </w:r>
    </w:p>
    <w:p>
      <w:pPr>
        <w:rPr>
          <w:rFonts w:ascii="楷体" w:hAnsi="楷体" w:eastAsia="楷体"/>
          <w:color w:val="auto"/>
          <w:sz w:val="24"/>
          <w:highlight w:val="none"/>
        </w:rPr>
      </w:pPr>
    </w:p>
    <w:p>
      <w:pPr>
        <w:rPr>
          <w:rFonts w:ascii="楷体" w:hAnsi="楷体" w:eastAsia="楷体"/>
          <w:color w:val="auto"/>
          <w:sz w:val="24"/>
          <w:highlight w:val="none"/>
          <w:u w:val="single"/>
        </w:rPr>
      </w:pPr>
      <w:r>
        <w:rPr>
          <w:rFonts w:hint="eastAsia" w:ascii="楷体" w:hAnsi="楷体" w:eastAsia="楷体"/>
          <w:color w:val="auto"/>
          <w:sz w:val="24"/>
          <w:highlight w:val="none"/>
        </w:rPr>
        <w:t>合同编号：</w:t>
      </w:r>
      <w:r>
        <w:rPr>
          <w:rFonts w:ascii="楷体" w:hAnsi="楷体" w:eastAsia="楷体"/>
          <w:color w:val="auto"/>
          <w:sz w:val="24"/>
          <w:highlight w:val="none"/>
          <w:u w:val="single"/>
        </w:rPr>
        <w:t xml:space="preserve">           </w:t>
      </w:r>
    </w:p>
    <w:p>
      <w:pPr>
        <w:spacing w:line="480" w:lineRule="auto"/>
        <w:jc w:val="center"/>
        <w:rPr>
          <w:rFonts w:ascii="楷体" w:hAnsi="楷体" w:eastAsia="楷体"/>
          <w:b/>
          <w:color w:val="auto"/>
          <w:sz w:val="28"/>
          <w:szCs w:val="28"/>
          <w:highlight w:val="none"/>
        </w:rPr>
      </w:pPr>
    </w:p>
    <w:p>
      <w:pPr>
        <w:spacing w:line="480" w:lineRule="auto"/>
        <w:jc w:val="center"/>
        <w:rPr>
          <w:rFonts w:ascii="仿宋" w:hAnsi="仿宋" w:eastAsia="仿宋"/>
          <w:b/>
          <w:color w:val="auto"/>
          <w:sz w:val="24"/>
          <w:highlight w:val="none"/>
        </w:rPr>
      </w:pPr>
    </w:p>
    <w:p>
      <w:pPr>
        <w:spacing w:line="480" w:lineRule="auto"/>
        <w:jc w:val="center"/>
        <w:rPr>
          <w:rFonts w:ascii="仿宋" w:hAnsi="仿宋" w:eastAsia="仿宋"/>
          <w:b/>
          <w:color w:val="auto"/>
          <w:sz w:val="24"/>
          <w:highlight w:val="none"/>
        </w:rPr>
      </w:pPr>
    </w:p>
    <w:p>
      <w:pPr>
        <w:spacing w:line="480" w:lineRule="auto"/>
        <w:jc w:val="center"/>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政府采购合同参考范本</w:t>
      </w:r>
    </w:p>
    <w:p>
      <w:pPr>
        <w:spacing w:line="480" w:lineRule="auto"/>
        <w:jc w:val="center"/>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（服务类）</w:t>
      </w:r>
    </w:p>
    <w:p>
      <w:pPr>
        <w:ind w:firstLine="420"/>
        <w:rPr>
          <w:rFonts w:ascii="仿宋" w:hAnsi="仿宋" w:eastAsia="仿宋"/>
          <w:color w:val="auto"/>
          <w:highlight w:val="none"/>
        </w:rPr>
      </w:pPr>
    </w:p>
    <w:p>
      <w:pPr>
        <w:ind w:firstLine="420"/>
        <w:rPr>
          <w:rFonts w:ascii="仿宋" w:hAnsi="仿宋" w:eastAsia="仿宋"/>
          <w:color w:val="auto"/>
          <w:highlight w:val="none"/>
        </w:rPr>
      </w:pPr>
    </w:p>
    <w:p>
      <w:pPr>
        <w:jc w:val="center"/>
        <w:rPr>
          <w:rFonts w:ascii="仿宋" w:hAnsi="仿宋" w:eastAsia="仿宋"/>
          <w:b/>
          <w:color w:val="auto"/>
          <w:sz w:val="28"/>
          <w:highlight w:val="none"/>
        </w:rPr>
      </w:pPr>
      <w:r>
        <w:rPr>
          <w:rFonts w:hint="eastAsia" w:ascii="仿宋" w:hAnsi="仿宋" w:eastAsia="仿宋"/>
          <w:b/>
          <w:color w:val="auto"/>
          <w:sz w:val="28"/>
          <w:highlight w:val="none"/>
        </w:rPr>
        <w:t xml:space="preserve">第一部分  </w:t>
      </w:r>
      <w:r>
        <w:rPr>
          <w:rFonts w:ascii="仿宋" w:hAnsi="仿宋" w:eastAsia="仿宋"/>
          <w:b/>
          <w:color w:val="auto"/>
          <w:sz w:val="28"/>
          <w:highlight w:val="none"/>
        </w:rPr>
        <w:t xml:space="preserve"> </w:t>
      </w:r>
      <w:r>
        <w:rPr>
          <w:rFonts w:hint="eastAsia" w:ascii="仿宋" w:hAnsi="仿宋" w:eastAsia="仿宋"/>
          <w:b/>
          <w:color w:val="auto"/>
          <w:sz w:val="28"/>
          <w:highlight w:val="none"/>
        </w:rPr>
        <w:t>合同书</w:t>
      </w:r>
    </w:p>
    <w:p>
      <w:pPr>
        <w:ind w:firstLine="420"/>
        <w:rPr>
          <w:rFonts w:ascii="仿宋" w:hAnsi="仿宋" w:eastAsia="仿宋"/>
          <w:color w:val="auto"/>
          <w:highlight w:val="none"/>
        </w:rPr>
      </w:pPr>
    </w:p>
    <w:p>
      <w:pPr>
        <w:ind w:firstLine="420"/>
        <w:rPr>
          <w:rFonts w:ascii="仿宋" w:hAnsi="仿宋" w:eastAsia="仿宋"/>
          <w:color w:val="auto"/>
          <w:highlight w:val="none"/>
        </w:rPr>
      </w:pPr>
    </w:p>
    <w:p>
      <w:pPr>
        <w:spacing w:before="120" w:line="22" w:lineRule="atLeast"/>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rPr>
      </w:pPr>
      <w:r>
        <w:rPr>
          <w:rFonts w:hint="eastAsia" w:ascii="仿宋" w:hAnsi="仿宋" w:eastAsia="仿宋"/>
          <w:color w:val="auto"/>
          <w:sz w:val="24"/>
          <w:highlight w:val="none"/>
        </w:rPr>
        <w:t>项目名称：</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rPr>
          <w:rFonts w:ascii="仿宋" w:hAnsi="仿宋" w:eastAsia="仿宋"/>
          <w:color w:val="auto"/>
          <w:sz w:val="24"/>
          <w:highlight w:val="none"/>
        </w:rPr>
      </w:pPr>
    </w:p>
    <w:p>
      <w:pPr>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甲方：</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乙方：</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签订地：</w:t>
      </w:r>
      <w:r>
        <w:rPr>
          <w:rFonts w:ascii="仿宋" w:hAnsi="仿宋" w:eastAsia="仿宋"/>
          <w:color w:val="auto"/>
          <w:sz w:val="24"/>
          <w:highlight w:val="none"/>
          <w:u w:val="single"/>
        </w:rPr>
        <w:t xml:space="preserve">                                     </w:t>
      </w:r>
    </w:p>
    <w:p>
      <w:pPr>
        <w:spacing w:before="120" w:line="22" w:lineRule="atLeast"/>
        <w:rPr>
          <w:rFonts w:ascii="仿宋" w:hAnsi="仿宋" w:eastAsia="仿宋"/>
          <w:color w:val="auto"/>
          <w:sz w:val="24"/>
          <w:highlight w:val="none"/>
        </w:rPr>
      </w:pPr>
    </w:p>
    <w:p>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签订日期：</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年</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月</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日</w:t>
      </w:r>
    </w:p>
    <w:p>
      <w:pPr>
        <w:widowControl/>
        <w:jc w:val="left"/>
        <w:rPr>
          <w:rFonts w:ascii="仿宋" w:hAnsi="仿宋" w:eastAsia="仿宋"/>
          <w:color w:val="auto"/>
          <w:kern w:val="0"/>
          <w:sz w:val="24"/>
          <w:highlight w:val="none"/>
        </w:rPr>
        <w:sectPr>
          <w:headerReference r:id="rId3" w:type="default"/>
          <w:footerReference r:id="rId4" w:type="default"/>
          <w:pgSz w:w="11907" w:h="16840"/>
          <w:pgMar w:top="1474" w:right="1814" w:bottom="1474" w:left="1814" w:header="851" w:footer="851" w:gutter="0"/>
          <w:cols w:space="720" w:num="1"/>
          <w:titlePg/>
          <w:docGrid w:linePitch="286" w:charSpace="0"/>
        </w:sectPr>
      </w:pP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u w:val="single"/>
          <w:lang w:val="zh-CN"/>
        </w:rPr>
        <w:t xml:space="preserve">        </w:t>
      </w:r>
      <w:r>
        <w:rPr>
          <w:rFonts w:hint="eastAsia" w:ascii="仿宋" w:hAnsi="仿宋" w:eastAsia="仿宋"/>
          <w:color w:val="auto"/>
          <w:sz w:val="24"/>
          <w:highlight w:val="none"/>
          <w:lang w:val="zh-CN"/>
        </w:rPr>
        <w:t>年</w:t>
      </w:r>
      <w:r>
        <w:rPr>
          <w:rFonts w:ascii="仿宋" w:hAnsi="仿宋" w:eastAsia="仿宋"/>
          <w:color w:val="auto"/>
          <w:sz w:val="24"/>
          <w:highlight w:val="none"/>
          <w:u w:val="single"/>
          <w:lang w:val="zh-CN"/>
        </w:rPr>
        <w:t xml:space="preserve">    </w:t>
      </w:r>
      <w:r>
        <w:rPr>
          <w:rFonts w:hint="eastAsia" w:ascii="仿宋" w:hAnsi="仿宋" w:eastAsia="仿宋"/>
          <w:color w:val="auto"/>
          <w:sz w:val="24"/>
          <w:highlight w:val="none"/>
          <w:lang w:val="zh-CN"/>
        </w:rPr>
        <w:t>月</w:t>
      </w:r>
      <w:r>
        <w:rPr>
          <w:rFonts w:ascii="仿宋" w:hAnsi="仿宋" w:eastAsia="仿宋"/>
          <w:color w:val="auto"/>
          <w:sz w:val="24"/>
          <w:highlight w:val="none"/>
          <w:u w:val="single"/>
          <w:lang w:val="zh-CN"/>
        </w:rPr>
        <w:t xml:space="preserve">    </w:t>
      </w:r>
      <w:r>
        <w:rPr>
          <w:rFonts w:hint="eastAsia" w:ascii="仿宋" w:hAnsi="仿宋" w:eastAsia="仿宋"/>
          <w:color w:val="auto"/>
          <w:sz w:val="24"/>
          <w:highlight w:val="none"/>
          <w:lang w:val="zh-CN"/>
        </w:rPr>
        <w:t>日</w:t>
      </w:r>
      <w:r>
        <w:rPr>
          <w:rFonts w:hint="eastAsia" w:ascii="仿宋" w:hAnsi="仿宋" w:eastAsia="仿宋"/>
          <w:color w:val="auto"/>
          <w:sz w:val="24"/>
          <w:highlight w:val="none"/>
        </w:rPr>
        <w:t>，</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（采购人）</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以</w:t>
      </w:r>
      <w:r>
        <w:rPr>
          <w:rFonts w:ascii="仿宋" w:hAnsi="仿宋" w:eastAsia="仿宋"/>
          <w:color w:val="auto"/>
          <w:sz w:val="24"/>
          <w:highlight w:val="none"/>
          <w:u w:val="single"/>
        </w:rPr>
        <w:t xml:space="preserve">   （政府采购方式）  </w:t>
      </w:r>
      <w:r>
        <w:rPr>
          <w:rFonts w:hint="eastAsia" w:ascii="仿宋" w:hAnsi="仿宋" w:eastAsia="仿宋"/>
          <w:color w:val="auto"/>
          <w:sz w:val="24"/>
          <w:highlight w:val="none"/>
        </w:rPr>
        <w:t>对</w:t>
      </w:r>
      <w:r>
        <w:rPr>
          <w:rFonts w:ascii="仿宋" w:hAnsi="仿宋" w:eastAsia="仿宋"/>
          <w:color w:val="auto"/>
          <w:sz w:val="24"/>
          <w:highlight w:val="none"/>
          <w:u w:val="single"/>
        </w:rPr>
        <w:t xml:space="preserve">   （同前</w:t>
      </w:r>
      <w:r>
        <w:rPr>
          <w:rFonts w:hint="eastAsia" w:ascii="仿宋" w:hAnsi="仿宋" w:eastAsia="仿宋"/>
          <w:color w:val="auto"/>
          <w:sz w:val="24"/>
          <w:highlight w:val="none"/>
          <w:u w:val="single"/>
        </w:rPr>
        <w:t>页项目名称）</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项目进行了采购。经</w:t>
      </w:r>
      <w:r>
        <w:rPr>
          <w:rFonts w:ascii="仿宋" w:hAnsi="仿宋" w:eastAsia="仿宋"/>
          <w:color w:val="auto"/>
          <w:sz w:val="24"/>
          <w:highlight w:val="none"/>
          <w:u w:val="single"/>
        </w:rPr>
        <w:t xml:space="preserve">   （相关评定主体名称）   </w:t>
      </w:r>
      <w:r>
        <w:rPr>
          <w:rFonts w:hint="eastAsia" w:ascii="仿宋" w:hAnsi="仿宋" w:eastAsia="仿宋"/>
          <w:color w:val="auto"/>
          <w:sz w:val="24"/>
          <w:highlight w:val="none"/>
        </w:rPr>
        <w:t>评定，</w:t>
      </w:r>
      <w:r>
        <w:rPr>
          <w:rFonts w:ascii="仿宋" w:hAnsi="仿宋" w:eastAsia="仿宋"/>
          <w:color w:val="auto"/>
          <w:sz w:val="24"/>
          <w:highlight w:val="none"/>
          <w:u w:val="single"/>
        </w:rPr>
        <w:t xml:space="preserve">   （中标供应商名称）</w:t>
      </w:r>
      <w:r>
        <w:rPr>
          <w:rFonts w:hint="eastAsia" w:ascii="仿宋" w:hAnsi="仿宋" w:eastAsia="仿宋"/>
          <w:color w:val="auto"/>
          <w:sz w:val="24"/>
          <w:highlight w:val="none"/>
        </w:rPr>
        <w:t>为该项目中标供应商。现于中标通知书发出之日起三十日内，按照采购文件确定的事项签订本合同。</w:t>
      </w:r>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zh-CN"/>
        </w:rPr>
        <w:t>根据《中华人民共和国民法典》、《中华人民共和国政府采购法》等相关法律法规之规定，按照平等、自愿、公平、诚实信用和绿色的原则，经</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（采购人）</w:t>
      </w:r>
      <w:r>
        <w:rPr>
          <w:rFonts w:ascii="仿宋" w:hAnsi="仿宋" w:eastAsia="仿宋"/>
          <w:color w:val="auto"/>
          <w:sz w:val="24"/>
          <w:highlight w:val="none"/>
          <w:u w:val="single"/>
        </w:rPr>
        <w:t xml:space="preserve">   </w:t>
      </w:r>
      <w:r>
        <w:rPr>
          <w:rFonts w:ascii="仿宋" w:hAnsi="仿宋" w:eastAsia="仿宋"/>
          <w:color w:val="auto"/>
          <w:sz w:val="24"/>
          <w:highlight w:val="none"/>
          <w:lang w:val="zh-CN"/>
        </w:rPr>
        <w:t>(以下简称：甲方)和</w:t>
      </w:r>
      <w:r>
        <w:rPr>
          <w:rFonts w:ascii="仿宋" w:hAnsi="仿宋" w:eastAsia="仿宋"/>
          <w:color w:val="auto"/>
          <w:sz w:val="24"/>
          <w:highlight w:val="none"/>
          <w:u w:val="single"/>
        </w:rPr>
        <w:t xml:space="preserve">   （中标供应商名称）   </w:t>
      </w:r>
      <w:r>
        <w:rPr>
          <w:rFonts w:ascii="仿宋" w:hAnsi="仿宋" w:eastAsia="仿宋"/>
          <w:color w:val="auto"/>
          <w:sz w:val="24"/>
          <w:highlight w:val="none"/>
          <w:lang w:val="zh-CN"/>
        </w:rPr>
        <w:t>(以下简称：乙方)协商一致，约定以下合同</w:t>
      </w:r>
      <w:r>
        <w:rPr>
          <w:rFonts w:hint="eastAsia" w:ascii="仿宋" w:hAnsi="仿宋" w:eastAsia="仿宋"/>
          <w:color w:val="auto"/>
          <w:sz w:val="24"/>
          <w:highlight w:val="none"/>
        </w:rPr>
        <w:t>条款，以兹共同遵守、全面履行。</w:t>
      </w:r>
    </w:p>
    <w:p>
      <w:pPr>
        <w:spacing w:line="560" w:lineRule="exact"/>
        <w:ind w:firstLine="482" w:firstLineChars="200"/>
        <w:outlineLvl w:val="0"/>
        <w:rPr>
          <w:rFonts w:ascii="仿宋" w:hAnsi="仿宋" w:eastAsia="仿宋"/>
          <w:b/>
          <w:color w:val="auto"/>
          <w:sz w:val="24"/>
          <w:highlight w:val="none"/>
        </w:rPr>
      </w:pPr>
      <w:bookmarkStart w:id="12" w:name="_Toc2232"/>
      <w:bookmarkStart w:id="13" w:name="_Toc3029"/>
      <w:bookmarkStart w:id="14" w:name="_Toc24059"/>
      <w:r>
        <w:rPr>
          <w:rFonts w:ascii="仿宋" w:hAnsi="仿宋" w:eastAsia="仿宋"/>
          <w:b/>
          <w:color w:val="auto"/>
          <w:sz w:val="24"/>
          <w:highlight w:val="none"/>
        </w:rPr>
        <w:t xml:space="preserve">1.1 </w:t>
      </w:r>
      <w:r>
        <w:rPr>
          <w:rFonts w:hint="eastAsia" w:ascii="仿宋" w:hAnsi="仿宋" w:eastAsia="仿宋"/>
          <w:b/>
          <w:color w:val="auto"/>
          <w:sz w:val="24"/>
          <w:highlight w:val="none"/>
        </w:rPr>
        <w:t>合同组成部分</w:t>
      </w:r>
      <w:bookmarkEnd w:id="12"/>
      <w:bookmarkEnd w:id="13"/>
      <w:bookmarkEnd w:id="14"/>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1.1.1 </w:t>
      </w:r>
      <w:r>
        <w:rPr>
          <w:rFonts w:hint="eastAsia" w:ascii="仿宋" w:hAnsi="仿宋" w:eastAsia="仿宋"/>
          <w:color w:val="auto"/>
          <w:sz w:val="24"/>
          <w:highlight w:val="none"/>
        </w:rPr>
        <w:t>本合同及其补充合同、变更协议；</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1.1.2 </w:t>
      </w:r>
      <w:r>
        <w:rPr>
          <w:rFonts w:hint="eastAsia" w:ascii="仿宋" w:hAnsi="仿宋" w:eastAsia="仿宋"/>
          <w:color w:val="auto"/>
          <w:sz w:val="24"/>
          <w:highlight w:val="none"/>
        </w:rPr>
        <w:t>中标通知书；</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1.1.3 </w:t>
      </w:r>
      <w:r>
        <w:rPr>
          <w:rFonts w:hint="eastAsia" w:ascii="仿宋" w:hAnsi="仿宋" w:eastAsia="仿宋"/>
          <w:color w:val="auto"/>
          <w:sz w:val="24"/>
          <w:highlight w:val="none"/>
        </w:rPr>
        <w:t>投标文件（含澄清或者说明文件）；</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1.1.4 </w:t>
      </w:r>
      <w:r>
        <w:rPr>
          <w:rFonts w:hint="eastAsia" w:ascii="仿宋" w:hAnsi="仿宋" w:eastAsia="仿宋"/>
          <w:color w:val="auto"/>
          <w:sz w:val="24"/>
          <w:highlight w:val="none"/>
        </w:rPr>
        <w:t>招标文件（含澄清或者修改文件）；</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1.1.5 </w:t>
      </w:r>
      <w:r>
        <w:rPr>
          <w:rFonts w:hint="eastAsia" w:ascii="仿宋" w:hAnsi="仿宋" w:eastAsia="仿宋"/>
          <w:color w:val="auto"/>
          <w:sz w:val="24"/>
          <w:highlight w:val="none"/>
        </w:rPr>
        <w:t>其他相关采购文件。</w:t>
      </w:r>
    </w:p>
    <w:p>
      <w:pPr>
        <w:spacing w:line="560" w:lineRule="exact"/>
        <w:ind w:firstLine="482" w:firstLineChars="200"/>
        <w:outlineLvl w:val="0"/>
        <w:rPr>
          <w:rFonts w:ascii="仿宋" w:hAnsi="仿宋" w:eastAsia="仿宋"/>
          <w:b/>
          <w:color w:val="auto"/>
          <w:sz w:val="24"/>
          <w:highlight w:val="none"/>
        </w:rPr>
      </w:pPr>
      <w:bookmarkStart w:id="15" w:name="_Toc21295"/>
      <w:bookmarkStart w:id="16" w:name="_Toc24300"/>
      <w:bookmarkStart w:id="17" w:name="_Toc27126"/>
      <w:r>
        <w:rPr>
          <w:rFonts w:ascii="仿宋" w:hAnsi="仿宋" w:eastAsia="仿宋"/>
          <w:b/>
          <w:color w:val="auto"/>
          <w:sz w:val="24"/>
          <w:highlight w:val="none"/>
        </w:rPr>
        <w:t xml:space="preserve">1.2 </w:t>
      </w:r>
      <w:bookmarkEnd w:id="15"/>
      <w:bookmarkEnd w:id="16"/>
      <w:bookmarkEnd w:id="17"/>
      <w:r>
        <w:rPr>
          <w:rFonts w:hint="eastAsia" w:ascii="仿宋" w:hAnsi="仿宋" w:eastAsia="仿宋"/>
          <w:b/>
          <w:color w:val="auto"/>
          <w:sz w:val="24"/>
          <w:highlight w:val="none"/>
        </w:rPr>
        <w:t>服务</w:t>
      </w:r>
    </w:p>
    <w:p>
      <w:pPr>
        <w:spacing w:line="560" w:lineRule="exact"/>
        <w:ind w:firstLine="480" w:firstLineChars="200"/>
        <w:rPr>
          <w:rFonts w:ascii="仿宋" w:hAnsi="仿宋" w:eastAsia="仿宋"/>
          <w:color w:val="auto"/>
          <w:sz w:val="24"/>
          <w:highlight w:val="none"/>
          <w:u w:val="single"/>
        </w:rPr>
      </w:pPr>
      <w:r>
        <w:rPr>
          <w:rFonts w:ascii="仿宋" w:hAnsi="仿宋" w:eastAsia="仿宋"/>
          <w:color w:val="auto"/>
          <w:sz w:val="24"/>
          <w:highlight w:val="none"/>
        </w:rPr>
        <w:t xml:space="preserve">1.2.1 </w:t>
      </w:r>
      <w:r>
        <w:rPr>
          <w:rFonts w:hint="eastAsia" w:ascii="仿宋" w:hAnsi="仿宋" w:eastAsia="仿宋"/>
          <w:color w:val="auto"/>
          <w:sz w:val="24"/>
          <w:highlight w:val="none"/>
        </w:rPr>
        <w:t>服务名称：</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p>
    <w:p>
      <w:pPr>
        <w:spacing w:line="560" w:lineRule="exact"/>
        <w:ind w:firstLine="480" w:firstLineChars="200"/>
        <w:rPr>
          <w:rFonts w:ascii="仿宋" w:hAnsi="仿宋" w:eastAsia="仿宋"/>
          <w:color w:val="auto"/>
          <w:sz w:val="24"/>
          <w:highlight w:val="none"/>
          <w:u w:val="single"/>
        </w:rPr>
      </w:pPr>
      <w:r>
        <w:rPr>
          <w:rFonts w:ascii="仿宋" w:hAnsi="仿宋" w:eastAsia="仿宋"/>
          <w:color w:val="auto"/>
          <w:sz w:val="24"/>
          <w:highlight w:val="none"/>
        </w:rPr>
        <w:t xml:space="preserve">1.2.2 </w:t>
      </w:r>
      <w:r>
        <w:rPr>
          <w:rFonts w:hint="eastAsia" w:ascii="仿宋" w:hAnsi="仿宋" w:eastAsia="仿宋"/>
          <w:color w:val="auto"/>
          <w:sz w:val="24"/>
          <w:highlight w:val="none"/>
        </w:rPr>
        <w:t>服务期限和内容：</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1.2.3 </w:t>
      </w:r>
      <w:r>
        <w:rPr>
          <w:rFonts w:hint="eastAsia" w:ascii="仿宋" w:hAnsi="仿宋" w:eastAsia="仿宋"/>
          <w:color w:val="auto"/>
          <w:sz w:val="24"/>
          <w:highlight w:val="none"/>
        </w:rPr>
        <w:t>服务提供地点及方式：</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p>
    <w:p>
      <w:pPr>
        <w:spacing w:line="560" w:lineRule="exact"/>
        <w:ind w:firstLine="482" w:firstLineChars="200"/>
        <w:outlineLvl w:val="0"/>
        <w:rPr>
          <w:rFonts w:ascii="仿宋" w:hAnsi="仿宋" w:eastAsia="仿宋"/>
          <w:b/>
          <w:color w:val="auto"/>
          <w:sz w:val="24"/>
          <w:highlight w:val="none"/>
        </w:rPr>
      </w:pPr>
      <w:bookmarkStart w:id="18" w:name="_Toc23292"/>
      <w:bookmarkStart w:id="19" w:name="_Toc21631"/>
      <w:bookmarkStart w:id="20" w:name="_Toc21551"/>
      <w:r>
        <w:rPr>
          <w:rFonts w:ascii="仿宋" w:hAnsi="仿宋" w:eastAsia="仿宋"/>
          <w:b/>
          <w:color w:val="auto"/>
          <w:sz w:val="24"/>
          <w:highlight w:val="none"/>
        </w:rPr>
        <w:t xml:space="preserve">1.3 </w:t>
      </w:r>
      <w:r>
        <w:rPr>
          <w:rFonts w:hint="eastAsia" w:ascii="仿宋" w:hAnsi="仿宋" w:eastAsia="仿宋"/>
          <w:b/>
          <w:color w:val="auto"/>
          <w:sz w:val="24"/>
          <w:highlight w:val="none"/>
        </w:rPr>
        <w:t>价款</w:t>
      </w:r>
      <w:bookmarkEnd w:id="18"/>
      <w:bookmarkEnd w:id="19"/>
      <w:bookmarkEnd w:id="20"/>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本合同总价为：￥</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元（大写：</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元人民币）。</w:t>
      </w:r>
    </w:p>
    <w:p>
      <w:pPr>
        <w:spacing w:line="560" w:lineRule="exact"/>
        <w:ind w:firstLine="480" w:firstLineChars="200"/>
        <w:rPr>
          <w:rFonts w:ascii="仿宋" w:hAnsi="仿宋" w:eastAsia="仿宋"/>
          <w:color w:val="auto"/>
          <w:sz w:val="24"/>
          <w:highlight w:val="none"/>
          <w:u w:val="single"/>
        </w:rPr>
      </w:pPr>
      <w:r>
        <w:rPr>
          <w:rFonts w:hint="eastAsia" w:ascii="仿宋" w:hAnsi="仿宋" w:eastAsia="仿宋"/>
          <w:color w:val="auto"/>
          <w:sz w:val="24"/>
          <w:highlight w:val="none"/>
        </w:rPr>
        <w:t>分项价格：</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ascii="仿宋" w:hAnsi="仿宋" w:eastAsia="仿宋" w:cs="Courier New"/>
                <w:color w:val="auto"/>
                <w:sz w:val="24"/>
                <w:highlight w:val="none"/>
              </w:rPr>
            </w:pPr>
            <w:r>
              <w:rPr>
                <w:rFonts w:hint="eastAsia" w:ascii="仿宋" w:hAnsi="仿宋" w:eastAsia="仿宋" w:cs="Courier New"/>
                <w:color w:val="auto"/>
                <w:sz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r>
              <w:rPr>
                <w:rFonts w:hint="eastAsia" w:ascii="仿宋" w:hAnsi="仿宋" w:eastAsia="仿宋" w:cs="Courier New"/>
                <w:color w:val="auto"/>
                <w:sz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jc w:val="center"/>
              <w:rPr>
                <w:rFonts w:ascii="仿宋" w:hAnsi="仿宋" w:eastAsia="仿宋" w:cs="Courier New"/>
                <w:color w:val="auto"/>
                <w:sz w:val="24"/>
                <w:highlight w:val="none"/>
              </w:rPr>
            </w:pPr>
            <w:r>
              <w:rPr>
                <w:rFonts w:hint="eastAsia" w:ascii="仿宋" w:hAnsi="仿宋" w:eastAsia="仿宋" w:cs="Courier New"/>
                <w:color w:val="auto"/>
                <w:sz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r>
              <w:rPr>
                <w:rFonts w:hint="eastAsia" w:ascii="仿宋" w:hAnsi="仿宋" w:eastAsia="仿宋" w:cs="Courier New"/>
                <w:color w:val="auto"/>
                <w:sz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spacing w:line="560" w:lineRule="exact"/>
              <w:ind w:firstLine="200"/>
              <w:jc w:val="center"/>
              <w:rPr>
                <w:rFonts w:ascii="仿宋" w:hAnsi="仿宋" w:eastAsia="仿宋" w:cs="Courier New"/>
                <w:color w:val="auto"/>
                <w:sz w:val="24"/>
                <w:highlight w:val="none"/>
              </w:rPr>
            </w:pPr>
          </w:p>
        </w:tc>
      </w:tr>
    </w:tbl>
    <w:p>
      <w:pPr>
        <w:spacing w:line="440" w:lineRule="exact"/>
        <w:ind w:firstLine="482" w:firstLineChars="200"/>
        <w:outlineLvl w:val="0"/>
        <w:rPr>
          <w:rFonts w:ascii="仿宋" w:hAnsi="仿宋" w:eastAsia="仿宋"/>
          <w:b/>
          <w:color w:val="auto"/>
          <w:sz w:val="24"/>
          <w:highlight w:val="none"/>
        </w:rPr>
      </w:pPr>
      <w:bookmarkStart w:id="21" w:name="_Toc10340"/>
      <w:bookmarkStart w:id="22" w:name="_Toc22618"/>
      <w:bookmarkStart w:id="23" w:name="_Toc1814"/>
      <w:bookmarkStart w:id="24" w:name="_Toc19304"/>
      <w:bookmarkStart w:id="25" w:name="_Toc32071"/>
      <w:bookmarkStart w:id="26" w:name="_Toc2846"/>
      <w:r>
        <w:rPr>
          <w:rFonts w:ascii="仿宋" w:hAnsi="仿宋" w:eastAsia="仿宋"/>
          <w:b/>
          <w:color w:val="auto"/>
          <w:sz w:val="24"/>
          <w:highlight w:val="none"/>
        </w:rPr>
        <w:t xml:space="preserve">1.4 </w:t>
      </w:r>
      <w:r>
        <w:rPr>
          <w:rFonts w:hint="eastAsia" w:ascii="仿宋" w:hAnsi="仿宋" w:eastAsia="仿宋"/>
          <w:b/>
          <w:color w:val="auto"/>
          <w:sz w:val="24"/>
          <w:highlight w:val="none"/>
        </w:rPr>
        <w:t>付款</w:t>
      </w:r>
      <w:bookmarkEnd w:id="21"/>
      <w:bookmarkEnd w:id="22"/>
      <w:bookmarkEnd w:id="23"/>
      <w:r>
        <w:rPr>
          <w:rFonts w:hint="eastAsia" w:ascii="仿宋" w:hAnsi="仿宋" w:eastAsia="仿宋"/>
          <w:b/>
          <w:color w:val="auto"/>
          <w:sz w:val="24"/>
          <w:highlight w:val="none"/>
        </w:rPr>
        <w:t>方式、时间和条件</w:t>
      </w:r>
    </w:p>
    <w:p>
      <w:pPr>
        <w:widowControl/>
        <w:spacing w:line="440" w:lineRule="exact"/>
        <w:ind w:firstLine="480"/>
        <w:jc w:val="left"/>
        <w:rPr>
          <w:rFonts w:ascii="仿宋" w:hAnsi="仿宋" w:eastAsia="仿宋"/>
          <w:color w:val="auto"/>
          <w:kern w:val="0"/>
          <w:sz w:val="24"/>
          <w:highlight w:val="none"/>
        </w:rPr>
      </w:pPr>
      <w:r>
        <w:rPr>
          <w:rFonts w:ascii="仿宋" w:hAnsi="仿宋" w:eastAsia="仿宋"/>
          <w:color w:val="auto"/>
          <w:kern w:val="0"/>
          <w:sz w:val="24"/>
          <w:highlight w:val="none"/>
        </w:rPr>
        <w:t>1.4.1</w:t>
      </w:r>
      <w:r>
        <w:rPr>
          <w:rFonts w:hint="eastAsia" w:ascii="仿宋" w:hAnsi="仿宋" w:eastAsia="仿宋"/>
          <w:color w:val="auto"/>
          <w:kern w:val="0"/>
          <w:sz w:val="24"/>
          <w:highlight w:val="none"/>
        </w:rPr>
        <w:t>甲方应严格履行合同，及时组织验收，验收合格后及时将合同款支付完毕。对于满足合同约定支付条件的，甲方自收到发票后</w:t>
      </w:r>
      <w:r>
        <w:rPr>
          <w:rFonts w:ascii="仿宋" w:hAnsi="仿宋" w:eastAsia="仿宋"/>
          <w:color w:val="auto"/>
          <w:kern w:val="0"/>
          <w:sz w:val="24"/>
          <w:highlight w:val="none"/>
        </w:rPr>
        <w:t>5个工作日内将资金支付到合同约定的乙方账户，有条件的甲方可以即时支付。甲方不得以机构变动、人员更替、政策调整、单位放假等为由延迟付款。</w:t>
      </w:r>
    </w:p>
    <w:p>
      <w:pPr>
        <w:spacing w:line="44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1.4.2</w:t>
      </w:r>
      <w:r>
        <w:rPr>
          <w:rFonts w:hint="eastAsia" w:ascii="仿宋" w:hAnsi="仿宋" w:eastAsia="仿宋"/>
          <w:color w:val="auto"/>
          <w:sz w:val="24"/>
          <w:highlight w:val="none"/>
        </w:rPr>
        <w:t>付款方式按《浙江省财政厅关于坚决打赢疫情防控阻击战进一步做好政府采购资金支持企业发展工作的通知》（浙财采监〔2020〕3号）和《浙江省财政厅关于进一步发挥政府采购政策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w:t>
      </w:r>
    </w:p>
    <w:p>
      <w:pPr>
        <w:spacing w:line="44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1.4.3</w:t>
      </w:r>
      <w:r>
        <w:rPr>
          <w:rFonts w:hint="eastAsia" w:ascii="仿宋" w:hAnsi="仿宋" w:eastAsia="仿宋"/>
          <w:color w:val="auto"/>
          <w:sz w:val="24"/>
          <w:highlight w:val="none"/>
        </w:rPr>
        <w:t>甲方迟延支付乙方款项的，向乙方支付逾期利息。双方可以在合同专用条款中约定逾期利率，约定利率不得低于合同订立时</w:t>
      </w:r>
      <w:r>
        <w:rPr>
          <w:rFonts w:ascii="仿宋" w:hAnsi="仿宋" w:eastAsia="仿宋"/>
          <w:color w:val="auto"/>
          <w:sz w:val="24"/>
          <w:highlight w:val="none"/>
        </w:rPr>
        <w:t>1年</w:t>
      </w:r>
      <w:r>
        <w:rPr>
          <w:rFonts w:hint="eastAsia" w:ascii="仿宋" w:hAnsi="仿宋" w:eastAsia="仿宋"/>
          <w:color w:val="auto"/>
          <w:sz w:val="24"/>
          <w:highlight w:val="none"/>
        </w:rPr>
        <w:t>期贷款市场报价利率；未作约定的，按照每日利率万分之五支付逾期利息。</w:t>
      </w:r>
    </w:p>
    <w:p>
      <w:pPr>
        <w:spacing w:line="440" w:lineRule="exact"/>
        <w:ind w:firstLine="480" w:firstLineChars="200"/>
        <w:outlineLvl w:val="0"/>
        <w:rPr>
          <w:rFonts w:ascii="仿宋" w:hAnsi="仿宋" w:eastAsia="仿宋"/>
          <w:color w:val="auto"/>
          <w:sz w:val="24"/>
          <w:highlight w:val="none"/>
        </w:rPr>
      </w:pPr>
      <w:r>
        <w:rPr>
          <w:rFonts w:ascii="仿宋" w:hAnsi="仿宋" w:eastAsia="仿宋"/>
          <w:color w:val="auto"/>
          <w:sz w:val="24"/>
          <w:highlight w:val="none"/>
        </w:rPr>
        <w:t>1.4.4资金支付的方式、时间和条件详见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pPr>
        <w:spacing w:line="560" w:lineRule="exact"/>
        <w:ind w:firstLine="482" w:firstLineChars="200"/>
        <w:outlineLvl w:val="0"/>
        <w:rPr>
          <w:rFonts w:ascii="仿宋" w:hAnsi="仿宋" w:eastAsia="仿宋"/>
          <w:b/>
          <w:color w:val="auto"/>
          <w:sz w:val="24"/>
          <w:highlight w:val="none"/>
        </w:rPr>
      </w:pPr>
      <w:r>
        <w:rPr>
          <w:rFonts w:ascii="仿宋" w:hAnsi="仿宋" w:eastAsia="仿宋"/>
          <w:b/>
          <w:color w:val="auto"/>
          <w:sz w:val="24"/>
          <w:highlight w:val="none"/>
        </w:rPr>
        <w:t>1.5</w:t>
      </w:r>
      <w:bookmarkEnd w:id="24"/>
      <w:bookmarkEnd w:id="25"/>
      <w:bookmarkEnd w:id="26"/>
      <w:bookmarkStart w:id="27" w:name="_Toc27250"/>
      <w:bookmarkStart w:id="28" w:name="_Toc19554"/>
      <w:bookmarkStart w:id="29" w:name="_Toc21423"/>
      <w:r>
        <w:rPr>
          <w:rFonts w:hint="eastAsia" w:ascii="仿宋" w:hAnsi="仿宋" w:eastAsia="仿宋"/>
          <w:b/>
          <w:color w:val="auto"/>
          <w:sz w:val="24"/>
          <w:highlight w:val="none"/>
        </w:rPr>
        <w:t>违约责任</w:t>
      </w:r>
      <w:bookmarkEnd w:id="27"/>
      <w:bookmarkEnd w:id="28"/>
      <w:bookmarkEnd w:id="29"/>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.1 </w:t>
      </w:r>
      <w:r>
        <w:rPr>
          <w:rFonts w:hint="eastAsia" w:ascii="仿宋" w:hAnsi="仿宋" w:eastAsia="仿宋"/>
          <w:color w:val="auto"/>
          <w:sz w:val="24"/>
          <w:highlight w:val="none"/>
        </w:rPr>
        <w:t>除不可抗力外，如果乙方没有按照本合同约定的期限、地点和方式提供服务，那么甲方可要求乙方支付违约金，违约金按</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rPr>
        <w:t>元</w:t>
      </w:r>
      <w:r>
        <w:rPr>
          <w:rFonts w:hint="eastAsia" w:ascii="仿宋" w:hAnsi="仿宋" w:eastAsia="仿宋"/>
          <w:color w:val="auto"/>
          <w:sz w:val="24"/>
          <w:highlight w:val="none"/>
        </w:rPr>
        <w:t>/次</w:t>
      </w:r>
      <w:r>
        <w:rPr>
          <w:rFonts w:ascii="仿宋" w:hAnsi="仿宋" w:eastAsia="仿宋"/>
          <w:color w:val="auto"/>
          <w:sz w:val="24"/>
          <w:highlight w:val="none"/>
        </w:rPr>
        <w:t>计算，最高限额为本合同总价的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rPr>
        <w:t>%；未按要求提供服务的违约金计算数额达到前述最高限额之日起，甲方有权在要求乙方支付违约金的同时，书面通知乙方解除本合同；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.2 </w:t>
      </w:r>
      <w:r>
        <w:rPr>
          <w:rFonts w:hint="eastAsia" w:ascii="仿宋" w:hAnsi="仿宋" w:eastAsia="仿宋"/>
          <w:color w:val="auto"/>
          <w:sz w:val="24"/>
          <w:highlight w:val="none"/>
        </w:rPr>
        <w:t>除不可抗力外，如果甲方没有按照本合同约定的付款方式付款，那么乙方可要求甲方支付违约金，违约金按每迟延付款一日的应付而未付款的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rPr>
        <w:t>%计算，最高限额为本合同总价的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.3 </w:t>
      </w:r>
      <w:r>
        <w:rPr>
          <w:rFonts w:hint="eastAsia" w:ascii="仿宋" w:hAnsi="仿宋" w:eastAsia="仿宋"/>
          <w:color w:val="auto"/>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.4 </w:t>
      </w:r>
      <w:r>
        <w:rPr>
          <w:rFonts w:hint="eastAsia" w:ascii="仿宋" w:hAnsi="仿宋" w:eastAsia="仿宋"/>
          <w:color w:val="auto"/>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.5 </w:t>
      </w:r>
      <w:r>
        <w:rPr>
          <w:rFonts w:hint="eastAsia" w:ascii="仿宋" w:hAnsi="仿宋" w:eastAsia="仿宋"/>
          <w:color w:val="auto"/>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5</w:t>
      </w:r>
      <w:r>
        <w:rPr>
          <w:rFonts w:ascii="仿宋" w:hAnsi="仿宋" w:eastAsia="仿宋"/>
          <w:color w:val="auto"/>
          <w:sz w:val="24"/>
          <w:highlight w:val="none"/>
        </w:rPr>
        <w:t xml:space="preserve">.6 </w:t>
      </w:r>
      <w:r>
        <w:rPr>
          <w:rFonts w:hint="eastAsia" w:ascii="仿宋" w:hAnsi="仿宋" w:eastAsia="仿宋"/>
          <w:color w:val="auto"/>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color w:val="auto"/>
          <w:highlight w:val="none"/>
        </w:rPr>
      </w:pPr>
      <w:r>
        <w:rPr>
          <w:rFonts w:hint="eastAsia" w:ascii="仿宋" w:hAnsi="仿宋" w:eastAsia="仿宋"/>
          <w:color w:val="auto"/>
          <w:sz w:val="24"/>
          <w:highlight w:val="none"/>
        </w:rPr>
        <w:t>1.5.7违约责任</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另有约定的，从其约定。</w:t>
      </w:r>
    </w:p>
    <w:p>
      <w:pPr>
        <w:spacing w:line="560" w:lineRule="exact"/>
        <w:ind w:firstLine="482" w:firstLineChars="200"/>
        <w:outlineLvl w:val="0"/>
        <w:rPr>
          <w:rFonts w:ascii="仿宋" w:hAnsi="仿宋" w:eastAsia="仿宋"/>
          <w:b/>
          <w:color w:val="auto"/>
          <w:sz w:val="24"/>
          <w:highlight w:val="none"/>
        </w:rPr>
      </w:pPr>
      <w:bookmarkStart w:id="30" w:name="_Toc28375"/>
      <w:bookmarkStart w:id="31" w:name="_Toc16021"/>
      <w:bookmarkStart w:id="32" w:name="_Toc15583"/>
      <w:r>
        <w:rPr>
          <w:rFonts w:ascii="仿宋" w:hAnsi="仿宋" w:eastAsia="仿宋"/>
          <w:b/>
          <w:color w:val="auto"/>
          <w:sz w:val="24"/>
          <w:highlight w:val="none"/>
        </w:rPr>
        <w:t>1.</w:t>
      </w:r>
      <w:r>
        <w:rPr>
          <w:rFonts w:hint="eastAsia" w:ascii="仿宋" w:hAnsi="仿宋" w:eastAsia="仿宋"/>
          <w:b/>
          <w:color w:val="auto"/>
          <w:sz w:val="24"/>
          <w:highlight w:val="none"/>
        </w:rPr>
        <w:t>6</w:t>
      </w:r>
      <w:r>
        <w:rPr>
          <w:rFonts w:ascii="仿宋" w:hAnsi="仿宋" w:eastAsia="仿宋"/>
          <w:b/>
          <w:color w:val="auto"/>
          <w:sz w:val="24"/>
          <w:highlight w:val="none"/>
        </w:rPr>
        <w:t xml:space="preserve"> </w:t>
      </w:r>
      <w:r>
        <w:rPr>
          <w:rFonts w:hint="eastAsia" w:ascii="仿宋" w:hAnsi="仿宋" w:eastAsia="仿宋"/>
          <w:b/>
          <w:color w:val="auto"/>
          <w:sz w:val="24"/>
          <w:highlight w:val="none"/>
        </w:rPr>
        <w:t>合同争议的解决</w:t>
      </w:r>
      <w:bookmarkEnd w:id="30"/>
      <w:bookmarkEnd w:id="31"/>
      <w:bookmarkEnd w:id="32"/>
    </w:p>
    <w:p>
      <w:pPr>
        <w:spacing w:line="560" w:lineRule="exact"/>
        <w:ind w:left="-61" w:leftChars="-29" w:right="-420" w:rightChars="-200" w:firstLine="240" w:firstLineChars="100"/>
        <w:rPr>
          <w:rFonts w:ascii="仿宋" w:hAnsi="仿宋" w:eastAsia="仿宋"/>
          <w:color w:val="auto"/>
          <w:sz w:val="24"/>
          <w:highlight w:val="none"/>
        </w:rPr>
      </w:pPr>
      <w:r>
        <w:rPr>
          <w:rFonts w:hint="eastAsia" w:ascii="仿宋" w:hAnsi="仿宋" w:eastAsia="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b/>
          <w:i/>
          <w:color w:val="auto"/>
          <w:sz w:val="24"/>
          <w:highlight w:val="none"/>
          <w:u w:val="single"/>
        </w:rPr>
        <w:t xml:space="preserve"> 合同专用条款  </w:t>
      </w:r>
      <w:r>
        <w:rPr>
          <w:rFonts w:hint="eastAsia" w:ascii="仿宋" w:hAnsi="仿宋" w:eastAsia="仿宋"/>
          <w:color w:val="auto"/>
          <w:sz w:val="24"/>
          <w:highlight w:val="none"/>
        </w:rPr>
        <w:t>条款规定的方式解决：</w:t>
      </w:r>
    </w:p>
    <w:p>
      <w:pPr>
        <w:spacing w:line="560" w:lineRule="exact"/>
        <w:ind w:left="-420" w:leftChars="-200" w:right="-420" w:rightChars="-200" w:firstLine="600" w:firstLineChars="25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6</w:t>
      </w:r>
      <w:r>
        <w:rPr>
          <w:rFonts w:ascii="仿宋" w:hAnsi="仿宋" w:eastAsia="仿宋"/>
          <w:color w:val="auto"/>
          <w:sz w:val="24"/>
          <w:highlight w:val="none"/>
        </w:rPr>
        <w:t xml:space="preserve">.1 </w:t>
      </w:r>
      <w:r>
        <w:rPr>
          <w:rFonts w:hint="eastAsia" w:ascii="仿宋" w:hAnsi="仿宋" w:eastAsia="仿宋"/>
          <w:color w:val="auto"/>
          <w:sz w:val="24"/>
          <w:highlight w:val="none"/>
        </w:rPr>
        <w:t>将争议提交</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仲裁委员会依申请仲裁时其现行有效的仲裁规则裁决；</w:t>
      </w:r>
    </w:p>
    <w:p>
      <w:pPr>
        <w:spacing w:line="560" w:lineRule="exact"/>
        <w:ind w:left="-420" w:leftChars="-200" w:right="-420" w:rightChars="-200" w:firstLine="600" w:firstLineChars="25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6</w:t>
      </w:r>
      <w:r>
        <w:rPr>
          <w:rFonts w:ascii="仿宋" w:hAnsi="仿宋" w:eastAsia="仿宋"/>
          <w:color w:val="auto"/>
          <w:sz w:val="24"/>
          <w:highlight w:val="none"/>
        </w:rPr>
        <w:t xml:space="preserve">.2 </w:t>
      </w:r>
      <w:r>
        <w:rPr>
          <w:rFonts w:hint="eastAsia" w:ascii="仿宋" w:hAnsi="仿宋" w:eastAsia="仿宋"/>
          <w:color w:val="auto"/>
          <w:sz w:val="24"/>
          <w:highlight w:val="none"/>
        </w:rPr>
        <w:t>向</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人民法院起诉。</w:t>
      </w:r>
    </w:p>
    <w:p>
      <w:pPr>
        <w:spacing w:line="560" w:lineRule="exact"/>
        <w:ind w:firstLine="482" w:firstLineChars="200"/>
        <w:outlineLvl w:val="0"/>
        <w:rPr>
          <w:rFonts w:ascii="仿宋" w:hAnsi="仿宋" w:eastAsia="仿宋"/>
          <w:b/>
          <w:color w:val="auto"/>
          <w:sz w:val="24"/>
          <w:highlight w:val="none"/>
        </w:rPr>
      </w:pPr>
      <w:bookmarkStart w:id="33" w:name="_Toc11173"/>
      <w:bookmarkStart w:id="34" w:name="_Toc15322"/>
      <w:bookmarkStart w:id="35" w:name="_Toc7245"/>
      <w:r>
        <w:rPr>
          <w:rFonts w:ascii="仿宋" w:hAnsi="仿宋" w:eastAsia="仿宋"/>
          <w:b/>
          <w:color w:val="auto"/>
          <w:sz w:val="24"/>
          <w:highlight w:val="none"/>
        </w:rPr>
        <w:t>1.</w:t>
      </w:r>
      <w:r>
        <w:rPr>
          <w:rFonts w:hint="eastAsia" w:ascii="仿宋" w:hAnsi="仿宋" w:eastAsia="仿宋"/>
          <w:b/>
          <w:color w:val="auto"/>
          <w:sz w:val="24"/>
          <w:highlight w:val="none"/>
        </w:rPr>
        <w:t>7</w:t>
      </w:r>
      <w:r>
        <w:rPr>
          <w:rFonts w:ascii="仿宋" w:hAnsi="仿宋" w:eastAsia="仿宋"/>
          <w:b/>
          <w:color w:val="auto"/>
          <w:sz w:val="24"/>
          <w:highlight w:val="none"/>
        </w:rPr>
        <w:t xml:space="preserve"> </w:t>
      </w:r>
      <w:r>
        <w:rPr>
          <w:rFonts w:hint="eastAsia" w:ascii="仿宋" w:hAnsi="仿宋" w:eastAsia="仿宋"/>
          <w:b/>
          <w:color w:val="auto"/>
          <w:sz w:val="24"/>
          <w:highlight w:val="none"/>
        </w:rPr>
        <w:t>合同生效</w:t>
      </w:r>
      <w:bookmarkEnd w:id="33"/>
      <w:bookmarkEnd w:id="34"/>
      <w:bookmarkEnd w:id="35"/>
    </w:p>
    <w:p>
      <w:pPr>
        <w:spacing w:line="560" w:lineRule="exact"/>
        <w:ind w:firstLine="480" w:firstLineChars="200"/>
        <w:rPr>
          <w:rFonts w:ascii="仿宋" w:hAnsi="仿宋" w:eastAsia="仿宋"/>
          <w:b/>
          <w:color w:val="auto"/>
          <w:sz w:val="24"/>
          <w:highlight w:val="none"/>
        </w:rPr>
      </w:pPr>
      <w:r>
        <w:rPr>
          <w:rFonts w:hint="eastAsia" w:ascii="仿宋" w:hAnsi="仿宋" w:eastAsia="仿宋"/>
          <w:color w:val="auto"/>
          <w:sz w:val="24"/>
          <w:highlight w:val="none"/>
        </w:rPr>
        <w:t>本合同自双方当事人盖章或者签字时生效。</w:t>
      </w:r>
    </w:p>
    <w:p>
      <w:pPr>
        <w:autoSpaceDE w:val="0"/>
        <w:autoSpaceDN w:val="0"/>
        <w:spacing w:line="560" w:lineRule="exact"/>
        <w:rPr>
          <w:rFonts w:ascii="仿宋" w:hAnsi="仿宋" w:eastAsia="仿宋"/>
          <w:color w:val="auto"/>
          <w:sz w:val="24"/>
          <w:highlight w:val="none"/>
          <w:lang w:val="zh-CN"/>
        </w:rPr>
      </w:pP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b/>
          <w:color w:val="auto"/>
          <w:sz w:val="24"/>
          <w:highlight w:val="none"/>
          <w:lang w:val="zh-CN"/>
        </w:rPr>
        <w:t>甲方</w:t>
      </w:r>
      <w:r>
        <w:rPr>
          <w:rFonts w:hint="eastAsia" w:ascii="仿宋" w:hAnsi="仿宋" w:eastAsia="仿宋"/>
          <w:color w:val="auto"/>
          <w:sz w:val="24"/>
          <w:highlight w:val="none"/>
          <w:lang w:val="zh-CN"/>
        </w:rPr>
        <w:t>：</w:t>
      </w:r>
      <w:r>
        <w:rPr>
          <w:rFonts w:ascii="仿宋" w:hAnsi="仿宋" w:eastAsia="仿宋"/>
          <w:color w:val="auto"/>
          <w:sz w:val="24"/>
          <w:highlight w:val="none"/>
          <w:lang w:val="zh-CN"/>
        </w:rPr>
        <w:t xml:space="preserve">                             </w:t>
      </w:r>
      <w:r>
        <w:rPr>
          <w:rFonts w:ascii="仿宋" w:hAnsi="仿宋" w:eastAsia="仿宋"/>
          <w:b/>
          <w:color w:val="auto"/>
          <w:sz w:val="24"/>
          <w:highlight w:val="none"/>
          <w:lang w:val="zh-CN"/>
        </w:rPr>
        <w:t xml:space="preserve">      乙方</w:t>
      </w:r>
      <w:r>
        <w:rPr>
          <w:rFonts w:hint="eastAsia" w:ascii="仿宋" w:hAnsi="仿宋" w:eastAsia="仿宋"/>
          <w:color w:val="auto"/>
          <w:sz w:val="24"/>
          <w:highlight w:val="none"/>
          <w:lang w:val="zh-CN"/>
        </w:rPr>
        <w:t>：</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统一社会信用代码：</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统一社会信用代码或身份证号码：</w:t>
      </w:r>
    </w:p>
    <w:p>
      <w:pPr>
        <w:autoSpaceDE w:val="0"/>
        <w:autoSpaceDN w:val="0"/>
        <w:spacing w:line="560" w:lineRule="exact"/>
        <w:rPr>
          <w:rFonts w:ascii="仿宋" w:hAnsi="仿宋" w:eastAsia="仿宋"/>
          <w:color w:val="auto"/>
          <w:sz w:val="24"/>
          <w:highlight w:val="none"/>
          <w:lang w:val="zh-CN"/>
        </w:rPr>
      </w:pP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住所：</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住所：</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法定代表人或</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法定代表人</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授权代表（签字）：</w:t>
      </w:r>
      <w:r>
        <w:rPr>
          <w:rFonts w:ascii="仿宋" w:hAnsi="仿宋" w:eastAsia="仿宋"/>
          <w:color w:val="auto"/>
          <w:sz w:val="24"/>
          <w:highlight w:val="none"/>
          <w:lang w:val="zh-CN"/>
        </w:rPr>
        <w:t xml:space="preserve">                        或授权代表（签字）: </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联系人：</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联系人：</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约定送达地址：</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约定送达地址：</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邮政编码：</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邮政编码：</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电话</w:t>
      </w:r>
      <w:r>
        <w:rPr>
          <w:rFonts w:ascii="仿宋" w:hAnsi="仿宋" w:eastAsia="仿宋"/>
          <w:color w:val="auto"/>
          <w:sz w:val="24"/>
          <w:highlight w:val="none"/>
          <w:lang w:val="zh-CN"/>
        </w:rPr>
        <w:t xml:space="preserve">:                                    电话: </w:t>
      </w:r>
    </w:p>
    <w:p>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传真</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传真</w:t>
      </w:r>
      <w:r>
        <w:rPr>
          <w:rFonts w:ascii="仿宋" w:hAnsi="仿宋" w:eastAsia="仿宋"/>
          <w:color w:val="auto"/>
          <w:sz w:val="24"/>
          <w:highlight w:val="none"/>
          <w:lang w:val="zh-CN"/>
        </w:rPr>
        <w:t>:</w:t>
      </w:r>
    </w:p>
    <w:p>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lang w:val="zh-CN"/>
        </w:rPr>
        <w:t>电子邮箱：</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电子邮箱：</w:t>
      </w:r>
    </w:p>
    <w:p>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rPr>
        <w:t>开户银行：</w:t>
      </w:r>
      <w:r>
        <w:rPr>
          <w:rFonts w:ascii="仿宋" w:hAnsi="仿宋" w:eastAsia="仿宋"/>
          <w:color w:val="auto"/>
          <w:sz w:val="24"/>
          <w:highlight w:val="none"/>
        </w:rPr>
        <w:t xml:space="preserve">                               开户银行： </w:t>
      </w:r>
    </w:p>
    <w:p>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rPr>
        <w:t>开户名称：</w:t>
      </w:r>
      <w:r>
        <w:rPr>
          <w:rFonts w:ascii="仿宋" w:hAnsi="仿宋" w:eastAsia="仿宋"/>
          <w:color w:val="auto"/>
          <w:sz w:val="24"/>
          <w:highlight w:val="none"/>
        </w:rPr>
        <w:t xml:space="preserve">                               开户名称： </w:t>
      </w:r>
    </w:p>
    <w:p>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rPr>
        <w:t>开户账号：</w:t>
      </w:r>
      <w:r>
        <w:rPr>
          <w:rFonts w:ascii="仿宋" w:hAnsi="仿宋" w:eastAsia="仿宋"/>
          <w:color w:val="auto"/>
          <w:sz w:val="24"/>
          <w:highlight w:val="none"/>
          <w:lang w:val="zh-CN"/>
        </w:rPr>
        <w:t xml:space="preserve">                               </w:t>
      </w:r>
      <w:r>
        <w:rPr>
          <w:rFonts w:hint="eastAsia" w:ascii="仿宋" w:hAnsi="仿宋" w:eastAsia="仿宋"/>
          <w:color w:val="auto"/>
          <w:sz w:val="24"/>
          <w:highlight w:val="none"/>
        </w:rPr>
        <w:t>开户账号：</w:t>
      </w:r>
    </w:p>
    <w:p>
      <w:pPr>
        <w:widowControl/>
        <w:spacing w:line="560" w:lineRule="exact"/>
        <w:jc w:val="left"/>
        <w:rPr>
          <w:rFonts w:ascii="仿宋" w:hAnsi="仿宋" w:eastAsia="仿宋"/>
          <w:b/>
          <w:color w:val="auto"/>
          <w:sz w:val="24"/>
          <w:highlight w:val="none"/>
        </w:rPr>
      </w:pPr>
      <w:bookmarkStart w:id="36" w:name="_Toc331685783"/>
    </w:p>
    <w:p>
      <w:pPr>
        <w:spacing w:line="560" w:lineRule="exact"/>
        <w:ind w:firstLine="482"/>
        <w:jc w:val="center"/>
        <w:rPr>
          <w:rFonts w:ascii="仿宋" w:hAnsi="仿宋" w:eastAsia="仿宋"/>
          <w:b/>
          <w:color w:val="auto"/>
          <w:highlight w:val="none"/>
        </w:rPr>
      </w:pPr>
    </w:p>
    <w:p>
      <w:pPr>
        <w:spacing w:line="560" w:lineRule="exact"/>
        <w:ind w:firstLine="482"/>
        <w:jc w:val="center"/>
        <w:rPr>
          <w:rFonts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hint="eastAsia" w:ascii="仿宋" w:hAnsi="仿宋" w:eastAsia="仿宋"/>
          <w:b/>
          <w:color w:val="auto"/>
          <w:highlight w:val="none"/>
        </w:rPr>
      </w:pPr>
    </w:p>
    <w:p>
      <w:pPr>
        <w:spacing w:line="560" w:lineRule="exact"/>
        <w:ind w:firstLine="482"/>
        <w:jc w:val="center"/>
        <w:rPr>
          <w:rFonts w:ascii="仿宋" w:hAnsi="仿宋" w:eastAsia="仿宋"/>
          <w:b/>
          <w:color w:val="auto"/>
          <w:highlight w:val="none"/>
        </w:rPr>
      </w:pPr>
      <w:r>
        <w:rPr>
          <w:rFonts w:hint="eastAsia" w:ascii="仿宋" w:hAnsi="仿宋" w:eastAsia="仿宋"/>
          <w:b/>
          <w:color w:val="auto"/>
          <w:highlight w:val="none"/>
        </w:rPr>
        <w:t>第二部分</w:t>
      </w:r>
      <w:r>
        <w:rPr>
          <w:rFonts w:ascii="仿宋" w:hAnsi="仿宋" w:eastAsia="仿宋"/>
          <w:b/>
          <w:color w:val="auto"/>
          <w:highlight w:val="none"/>
        </w:rPr>
        <w:t xml:space="preserve"> </w:t>
      </w:r>
      <w:r>
        <w:rPr>
          <w:rFonts w:hint="eastAsia" w:ascii="仿宋" w:hAnsi="仿宋" w:eastAsia="仿宋"/>
          <w:b/>
          <w:color w:val="auto"/>
          <w:highlight w:val="none"/>
        </w:rPr>
        <w:t>合同一般条款</w:t>
      </w:r>
      <w:bookmarkEnd w:id="36"/>
    </w:p>
    <w:p>
      <w:pPr>
        <w:spacing w:line="560" w:lineRule="exact"/>
        <w:ind w:firstLine="482" w:firstLineChars="200"/>
        <w:outlineLvl w:val="0"/>
        <w:rPr>
          <w:rFonts w:ascii="仿宋" w:hAnsi="仿宋" w:eastAsia="仿宋"/>
          <w:b/>
          <w:color w:val="auto"/>
          <w:sz w:val="24"/>
          <w:highlight w:val="none"/>
        </w:rPr>
      </w:pPr>
      <w:bookmarkStart w:id="37" w:name="_Toc19614"/>
      <w:bookmarkStart w:id="38" w:name="_Toc487900349"/>
      <w:bookmarkStart w:id="39" w:name="_Ref467378404"/>
      <w:bookmarkStart w:id="40" w:name="_Ref467379101"/>
      <w:bookmarkStart w:id="41" w:name="_Ref467378499"/>
      <w:bookmarkStart w:id="42" w:name="_Ref467378463"/>
      <w:bookmarkStart w:id="43" w:name="_Ref467379214"/>
      <w:bookmarkStart w:id="44" w:name="_Toc16917"/>
      <w:bookmarkStart w:id="45" w:name="_Toc259093669"/>
      <w:bookmarkStart w:id="46" w:name="_Ref467379225"/>
      <w:bookmarkStart w:id="47" w:name="_Toc28763"/>
      <w:bookmarkStart w:id="48" w:name="_Ref467379195"/>
      <w:bookmarkStart w:id="49" w:name="_Ref467379205"/>
      <w:bookmarkStart w:id="50" w:name="_Toc279701240"/>
      <w:bookmarkStart w:id="51" w:name="_Ref467379094"/>
      <w:bookmarkStart w:id="52" w:name="_Ref467379109"/>
      <w:r>
        <w:rPr>
          <w:rFonts w:ascii="仿宋" w:hAnsi="仿宋" w:eastAsia="仿宋"/>
          <w:b/>
          <w:color w:val="auto"/>
          <w:sz w:val="24"/>
          <w:highlight w:val="none"/>
        </w:rPr>
        <w:t xml:space="preserve">2.1 </w:t>
      </w:r>
      <w:r>
        <w:rPr>
          <w:rFonts w:hint="eastAsia" w:ascii="仿宋" w:hAnsi="仿宋" w:eastAsia="仿宋"/>
          <w:b/>
          <w:color w:val="auto"/>
          <w:sz w:val="24"/>
          <w:highlight w:val="none"/>
        </w:rPr>
        <w:t>定义</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本合同中的下列词语应按以下内容进行解释：</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2.1.1 </w:t>
      </w:r>
      <w:r>
        <w:rPr>
          <w:rFonts w:hint="eastAsia" w:ascii="仿宋" w:hAnsi="仿宋" w:eastAsia="仿宋"/>
          <w:color w:val="auto"/>
          <w:sz w:val="24"/>
          <w:highlight w:val="none"/>
        </w:rPr>
        <w:t>“合同”系指采购人和中标供应商签订的载明双方当事人所达成的协议，并包括所有的附件、附录和构成合同的其他文件。</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2.1.2 </w:t>
      </w:r>
      <w:r>
        <w:rPr>
          <w:rFonts w:hint="eastAsia" w:ascii="仿宋" w:hAnsi="仿宋" w:eastAsia="仿宋"/>
          <w:color w:val="auto"/>
          <w:sz w:val="24"/>
          <w:highlight w:val="none"/>
        </w:rPr>
        <w:t>“合同价”系指根据合同约定，中标供应商在完全履行合同义务后，采购人应支付给中标供应商的价格。</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2.1.3 </w:t>
      </w:r>
      <w:r>
        <w:rPr>
          <w:rFonts w:hint="eastAsia" w:ascii="仿宋" w:hAnsi="仿宋" w:eastAsia="仿宋"/>
          <w:color w:val="auto"/>
          <w:sz w:val="24"/>
          <w:highlight w:val="none"/>
        </w:rPr>
        <w:t>“服务”系指中标供应商根据合同约定应向采购人提供的服务。</w:t>
      </w:r>
    </w:p>
    <w:p>
      <w:pPr>
        <w:spacing w:line="560" w:lineRule="exact"/>
        <w:ind w:firstLine="480" w:firstLineChars="200"/>
        <w:rPr>
          <w:rFonts w:ascii="仿宋" w:hAnsi="仿宋" w:eastAsia="仿宋"/>
          <w:color w:val="auto"/>
          <w:sz w:val="24"/>
          <w:highlight w:val="none"/>
        </w:rPr>
      </w:pPr>
      <w:bookmarkStart w:id="53" w:name="_Ref467378840"/>
      <w:r>
        <w:rPr>
          <w:rFonts w:ascii="仿宋" w:hAnsi="仿宋" w:eastAsia="仿宋"/>
          <w:color w:val="auto"/>
          <w:sz w:val="24"/>
          <w:highlight w:val="none"/>
        </w:rPr>
        <w:t xml:space="preserve">2.1.4 </w:t>
      </w:r>
      <w:r>
        <w:rPr>
          <w:rFonts w:hint="eastAsia" w:ascii="仿宋" w:hAnsi="仿宋" w:eastAsia="仿宋"/>
          <w:color w:val="auto"/>
          <w:sz w:val="24"/>
          <w:highlight w:val="none"/>
        </w:rPr>
        <w:t>“甲方”系指与中标供应商签署合同的采购人</w:t>
      </w:r>
      <w:bookmarkEnd w:id="53"/>
      <w:r>
        <w:rPr>
          <w:rFonts w:hint="eastAsia" w:ascii="仿宋" w:hAnsi="仿宋" w:eastAsia="仿宋"/>
          <w:color w:val="auto"/>
          <w:sz w:val="24"/>
          <w:highlight w:val="none"/>
        </w:rPr>
        <w:t>。</w:t>
      </w:r>
    </w:p>
    <w:p>
      <w:pPr>
        <w:spacing w:line="560" w:lineRule="exact"/>
        <w:ind w:firstLine="480" w:firstLineChars="200"/>
        <w:rPr>
          <w:rFonts w:ascii="仿宋" w:hAnsi="仿宋" w:eastAsia="仿宋"/>
          <w:color w:val="auto"/>
          <w:sz w:val="24"/>
          <w:highlight w:val="none"/>
        </w:rPr>
      </w:pPr>
      <w:bookmarkStart w:id="54" w:name="_Ref467379400"/>
      <w:r>
        <w:rPr>
          <w:rFonts w:ascii="仿宋" w:hAnsi="仿宋" w:eastAsia="仿宋"/>
          <w:color w:val="auto"/>
          <w:sz w:val="24"/>
          <w:highlight w:val="none"/>
        </w:rPr>
        <w:t xml:space="preserve">2.1.5 </w:t>
      </w:r>
      <w:r>
        <w:rPr>
          <w:rFonts w:hint="eastAsia" w:ascii="仿宋" w:hAnsi="仿宋" w:eastAsia="仿宋"/>
          <w:color w:val="auto"/>
          <w:sz w:val="24"/>
          <w:highlight w:val="none"/>
        </w:rPr>
        <w:t>“乙方”系指根据合同约定提供服务的中标供应商</w:t>
      </w:r>
      <w:bookmarkEnd w:id="54"/>
      <w:r>
        <w:rPr>
          <w:rFonts w:hint="eastAsia" w:ascii="仿宋" w:hAnsi="仿宋" w:eastAsia="仿宋"/>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仿宋" w:hAnsi="仿宋" w:eastAsia="仿宋"/>
          <w:color w:val="auto"/>
          <w:sz w:val="24"/>
          <w:highlight w:val="none"/>
        </w:rPr>
      </w:pPr>
      <w:bookmarkStart w:id="55" w:name="_Ref467379436"/>
      <w:r>
        <w:rPr>
          <w:rFonts w:ascii="仿宋" w:hAnsi="仿宋" w:eastAsia="仿宋"/>
          <w:color w:val="auto"/>
          <w:sz w:val="24"/>
          <w:highlight w:val="none"/>
        </w:rPr>
        <w:t xml:space="preserve">2.1.6 </w:t>
      </w:r>
      <w:r>
        <w:rPr>
          <w:rFonts w:hint="eastAsia" w:ascii="仿宋" w:hAnsi="仿宋" w:eastAsia="仿宋"/>
          <w:color w:val="auto"/>
          <w:sz w:val="24"/>
          <w:highlight w:val="none"/>
        </w:rPr>
        <w:t>“现场”系指合同约定服务提供地点。</w:t>
      </w:r>
      <w:bookmarkEnd w:id="55"/>
    </w:p>
    <w:p>
      <w:pPr>
        <w:spacing w:line="560" w:lineRule="exact"/>
        <w:ind w:firstLine="482" w:firstLineChars="200"/>
        <w:outlineLvl w:val="0"/>
        <w:rPr>
          <w:rFonts w:ascii="仿宋" w:hAnsi="仿宋" w:eastAsia="仿宋"/>
          <w:b/>
          <w:color w:val="auto"/>
          <w:sz w:val="24"/>
          <w:highlight w:val="none"/>
        </w:rPr>
      </w:pPr>
      <w:bookmarkStart w:id="56" w:name="_Toc279701241"/>
      <w:bookmarkStart w:id="57" w:name="_Toc259093670"/>
      <w:bookmarkStart w:id="58" w:name="_Toc32504"/>
      <w:bookmarkStart w:id="59" w:name="_Toc487900350"/>
      <w:bookmarkStart w:id="60" w:name="_Toc27635"/>
      <w:bookmarkStart w:id="61" w:name="_Toc13336"/>
      <w:r>
        <w:rPr>
          <w:rFonts w:ascii="仿宋" w:hAnsi="仿宋" w:eastAsia="仿宋"/>
          <w:b/>
          <w:color w:val="auto"/>
          <w:sz w:val="24"/>
          <w:highlight w:val="none"/>
        </w:rPr>
        <w:t xml:space="preserve">2.2 </w:t>
      </w:r>
      <w:r>
        <w:rPr>
          <w:rFonts w:hint="eastAsia" w:ascii="仿宋" w:hAnsi="仿宋" w:eastAsia="仿宋"/>
          <w:b/>
          <w:color w:val="auto"/>
          <w:sz w:val="24"/>
          <w:highlight w:val="none"/>
        </w:rPr>
        <w:t>技术规范</w:t>
      </w:r>
      <w:bookmarkEnd w:id="56"/>
      <w:bookmarkEnd w:id="57"/>
      <w:bookmarkEnd w:id="58"/>
      <w:bookmarkEnd w:id="59"/>
      <w:bookmarkEnd w:id="60"/>
      <w:bookmarkEnd w:id="61"/>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服务所应遵守的相关要求应与采购文件规定的相关要求</w:t>
      </w:r>
      <w:r>
        <w:rPr>
          <w:rFonts w:ascii="仿宋" w:hAnsi="仿宋" w:eastAsia="仿宋"/>
          <w:color w:val="auto"/>
          <w:sz w:val="24"/>
          <w:highlight w:val="none"/>
        </w:rPr>
        <w:t>及其偏差表(如果被甲方接受的话)相一致；如果采购文件中没有相应说明，那么应以国家有关部门最新颁布的相应标准和规范为准。</w:t>
      </w:r>
    </w:p>
    <w:p>
      <w:pPr>
        <w:spacing w:line="560" w:lineRule="exact"/>
        <w:ind w:firstLine="482" w:firstLineChars="200"/>
        <w:outlineLvl w:val="0"/>
        <w:rPr>
          <w:rFonts w:ascii="仿宋" w:hAnsi="仿宋" w:eastAsia="仿宋"/>
          <w:b/>
          <w:color w:val="auto"/>
          <w:sz w:val="24"/>
          <w:highlight w:val="none"/>
        </w:rPr>
      </w:pPr>
      <w:bookmarkStart w:id="62" w:name="_Toc487900351"/>
      <w:bookmarkStart w:id="63" w:name="_Toc27853"/>
      <w:bookmarkStart w:id="64" w:name="_Toc259093671"/>
      <w:bookmarkStart w:id="65" w:name="_Toc31634"/>
      <w:bookmarkStart w:id="66" w:name="_Toc279701242"/>
      <w:bookmarkStart w:id="67" w:name="_Toc9829"/>
      <w:r>
        <w:rPr>
          <w:rFonts w:ascii="仿宋" w:hAnsi="仿宋" w:eastAsia="仿宋"/>
          <w:b/>
          <w:color w:val="auto"/>
          <w:sz w:val="24"/>
          <w:highlight w:val="none"/>
        </w:rPr>
        <w:t xml:space="preserve">2.3 </w:t>
      </w:r>
      <w:r>
        <w:rPr>
          <w:rFonts w:hint="eastAsia" w:ascii="仿宋" w:hAnsi="仿宋" w:eastAsia="仿宋"/>
          <w:b/>
          <w:color w:val="auto"/>
          <w:sz w:val="24"/>
          <w:highlight w:val="none"/>
        </w:rPr>
        <w:t>知识产权</w:t>
      </w:r>
      <w:bookmarkEnd w:id="62"/>
      <w:bookmarkEnd w:id="63"/>
      <w:bookmarkEnd w:id="64"/>
      <w:bookmarkEnd w:id="65"/>
      <w:bookmarkEnd w:id="66"/>
      <w:bookmarkEnd w:id="67"/>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2.3.1 </w:t>
      </w:r>
      <w:r>
        <w:rPr>
          <w:rFonts w:hint="eastAsia" w:ascii="仿宋" w:hAnsi="仿宋" w:eastAsia="仿宋"/>
          <w:color w:val="auto"/>
          <w:sz w:val="24"/>
          <w:highlight w:val="none"/>
        </w:rPr>
        <w:t>乙方应保证甲方在使用该服务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2.3.</w:t>
      </w:r>
      <w:r>
        <w:rPr>
          <w:rFonts w:hint="eastAsia" w:ascii="仿宋" w:hAnsi="仿宋" w:eastAsia="仿宋"/>
          <w:color w:val="auto"/>
          <w:sz w:val="24"/>
          <w:highlight w:val="none"/>
        </w:rPr>
        <w:t>2</w:t>
      </w:r>
      <w:r>
        <w:rPr>
          <w:rFonts w:ascii="仿宋" w:hAnsi="仿宋" w:eastAsia="仿宋"/>
          <w:color w:val="auto"/>
          <w:sz w:val="24"/>
          <w:highlight w:val="none"/>
        </w:rPr>
        <w:t>具有知识产权的计算机软件等开发</w:t>
      </w:r>
      <w:r>
        <w:rPr>
          <w:rFonts w:hint="eastAsia" w:ascii="仿宋" w:hAnsi="仿宋" w:eastAsia="仿宋"/>
          <w:color w:val="auto"/>
          <w:sz w:val="24"/>
          <w:highlight w:val="none"/>
        </w:rPr>
        <w:t>服务</w:t>
      </w:r>
      <w:r>
        <w:rPr>
          <w:rFonts w:ascii="仿宋" w:hAnsi="仿宋" w:eastAsia="仿宋"/>
          <w:color w:val="auto"/>
          <w:sz w:val="24"/>
          <w:highlight w:val="none"/>
        </w:rPr>
        <w:t>的知识产权归属，详见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pPr>
        <w:spacing w:line="560" w:lineRule="exact"/>
        <w:ind w:firstLine="482" w:firstLineChars="200"/>
        <w:outlineLvl w:val="0"/>
        <w:rPr>
          <w:rFonts w:ascii="仿宋" w:hAnsi="仿宋" w:eastAsia="仿宋"/>
          <w:b/>
          <w:color w:val="auto"/>
          <w:sz w:val="24"/>
          <w:highlight w:val="none"/>
        </w:rPr>
      </w:pPr>
      <w:bookmarkStart w:id="68" w:name="_Toc11932"/>
      <w:bookmarkStart w:id="69" w:name="_Toc29149"/>
      <w:bookmarkStart w:id="70" w:name="_Toc4194"/>
      <w:r>
        <w:rPr>
          <w:rFonts w:ascii="仿宋" w:hAnsi="仿宋" w:eastAsia="仿宋"/>
          <w:b/>
          <w:color w:val="auto"/>
          <w:sz w:val="24"/>
          <w:highlight w:val="none"/>
        </w:rPr>
        <w:t xml:space="preserve">2.4 </w:t>
      </w:r>
      <w:r>
        <w:rPr>
          <w:rFonts w:hint="eastAsia" w:ascii="仿宋" w:hAnsi="仿宋" w:eastAsia="仿宋"/>
          <w:b/>
          <w:color w:val="auto"/>
          <w:sz w:val="24"/>
          <w:highlight w:val="none"/>
        </w:rPr>
        <w:t>包装和装运</w:t>
      </w:r>
      <w:bookmarkEnd w:id="68"/>
      <w:bookmarkEnd w:id="69"/>
      <w:bookmarkEnd w:id="70"/>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2.4.</w:t>
      </w:r>
      <w:r>
        <w:rPr>
          <w:rFonts w:hint="eastAsia" w:ascii="仿宋" w:hAnsi="仿宋" w:eastAsia="仿宋"/>
          <w:color w:val="auto"/>
          <w:sz w:val="24"/>
          <w:highlight w:val="none"/>
        </w:rPr>
        <w:t>1</w:t>
      </w:r>
      <w:r>
        <w:rPr>
          <w:rFonts w:ascii="仿宋" w:hAnsi="仿宋" w:eastAsia="仿宋"/>
          <w:color w:val="auto"/>
          <w:sz w:val="24"/>
          <w:highlight w:val="none"/>
        </w:rPr>
        <w:t xml:space="preserve">乙方提供的服务过程中如涉及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2.4.2 </w:t>
      </w:r>
      <w:r>
        <w:rPr>
          <w:rFonts w:hint="eastAsia" w:ascii="仿宋" w:hAnsi="仿宋" w:eastAsia="仿宋"/>
          <w:color w:val="auto"/>
          <w:sz w:val="24"/>
          <w:highlight w:val="none"/>
        </w:rPr>
        <w:t>涉及服务的要求和通知，详见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pPr>
        <w:spacing w:line="560" w:lineRule="exact"/>
        <w:ind w:firstLine="482" w:firstLineChars="200"/>
        <w:outlineLvl w:val="0"/>
        <w:rPr>
          <w:rFonts w:ascii="仿宋" w:hAnsi="仿宋" w:eastAsia="仿宋"/>
          <w:b/>
          <w:color w:val="auto"/>
          <w:sz w:val="24"/>
          <w:highlight w:val="none"/>
        </w:rPr>
      </w:pPr>
      <w:bookmarkStart w:id="71" w:name="_Ref467378591"/>
      <w:bookmarkStart w:id="72" w:name="_Toc279701245"/>
      <w:bookmarkStart w:id="73" w:name="_Toc487900354"/>
      <w:bookmarkStart w:id="74" w:name="_Ref467379536"/>
      <w:bookmarkStart w:id="75" w:name="_Toc259093674"/>
      <w:bookmarkStart w:id="76" w:name="_Ref467379542"/>
      <w:bookmarkStart w:id="77" w:name="_Ref467379527"/>
      <w:bookmarkStart w:id="78" w:name="_Ref467378541"/>
      <w:bookmarkStart w:id="79" w:name="_Toc26182"/>
      <w:bookmarkStart w:id="80" w:name="_Toc30272"/>
      <w:bookmarkStart w:id="81" w:name="_Toc19074"/>
      <w:r>
        <w:rPr>
          <w:rFonts w:ascii="仿宋" w:hAnsi="仿宋" w:eastAsia="仿宋"/>
          <w:b/>
          <w:color w:val="auto"/>
          <w:sz w:val="24"/>
          <w:highlight w:val="none"/>
        </w:rPr>
        <w:t>2.</w:t>
      </w:r>
      <w:bookmarkEnd w:id="71"/>
      <w:bookmarkEnd w:id="72"/>
      <w:bookmarkEnd w:id="73"/>
      <w:bookmarkEnd w:id="74"/>
      <w:bookmarkEnd w:id="75"/>
      <w:bookmarkEnd w:id="76"/>
      <w:bookmarkEnd w:id="77"/>
      <w:bookmarkEnd w:id="78"/>
      <w:r>
        <w:rPr>
          <w:rFonts w:ascii="仿宋" w:hAnsi="仿宋" w:eastAsia="仿宋"/>
          <w:b/>
          <w:color w:val="auto"/>
          <w:sz w:val="24"/>
          <w:highlight w:val="none"/>
        </w:rPr>
        <w:t xml:space="preserve">5 </w:t>
      </w:r>
      <w:r>
        <w:rPr>
          <w:rFonts w:hint="eastAsia" w:ascii="仿宋" w:hAnsi="仿宋" w:eastAsia="仿宋"/>
          <w:b/>
          <w:color w:val="auto"/>
          <w:sz w:val="24"/>
          <w:highlight w:val="none"/>
        </w:rPr>
        <w:t>履约检查和问题反馈</w:t>
      </w:r>
      <w:bookmarkEnd w:id="79"/>
      <w:bookmarkEnd w:id="80"/>
      <w:bookmarkEnd w:id="81"/>
    </w:p>
    <w:p>
      <w:pPr>
        <w:spacing w:line="560" w:lineRule="exact"/>
        <w:ind w:firstLine="480" w:firstLineChars="200"/>
        <w:rPr>
          <w:rFonts w:ascii="仿宋" w:hAnsi="仿宋" w:eastAsia="仿宋"/>
          <w:color w:val="auto"/>
          <w:sz w:val="24"/>
          <w:highlight w:val="none"/>
        </w:rPr>
      </w:pPr>
      <w:bookmarkStart w:id="82" w:name="_Ref467379657"/>
      <w:r>
        <w:rPr>
          <w:rFonts w:ascii="仿宋" w:hAnsi="仿宋" w:eastAsia="仿宋"/>
          <w:color w:val="auto"/>
          <w:sz w:val="24"/>
          <w:highlight w:val="none"/>
        </w:rPr>
        <w:t>2.5.1</w:t>
      </w:r>
      <w:bookmarkEnd w:id="82"/>
      <w:bookmarkStart w:id="83" w:name="_Toc186431854"/>
      <w:bookmarkStart w:id="84" w:name="_Ref467379793"/>
      <w:bookmarkStart w:id="85" w:name="_Ref467379807"/>
      <w:bookmarkStart w:id="86" w:name="_Toc487900357"/>
      <w:bookmarkStart w:id="87" w:name="_Toc279701247"/>
      <w:bookmarkStart w:id="88" w:name="_Toc259093676"/>
      <w:r>
        <w:rPr>
          <w:rFonts w:hint="eastAsia" w:ascii="仿宋" w:hAnsi="仿宋" w:eastAsia="仿宋"/>
          <w:color w:val="auto"/>
          <w:sz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2.5.2 </w:t>
      </w:r>
      <w:r>
        <w:rPr>
          <w:rFonts w:hint="eastAsia" w:ascii="仿宋" w:hAnsi="仿宋" w:eastAsia="仿宋"/>
          <w:color w:val="auto"/>
          <w:sz w:val="24"/>
          <w:highlight w:val="none"/>
        </w:rPr>
        <w:t>合同履行期间，甲方有权将履行过程中出现的问题反馈给乙方，双方当事人应以书面形式约定需要完善和改进的内容</w:t>
      </w:r>
      <w:bookmarkEnd w:id="83"/>
      <w:bookmarkStart w:id="89" w:name="_Toc186431855"/>
      <w:r>
        <w:rPr>
          <w:rFonts w:hint="eastAsia" w:ascii="仿宋" w:hAnsi="仿宋" w:eastAsia="仿宋"/>
          <w:color w:val="auto"/>
          <w:sz w:val="24"/>
          <w:highlight w:val="none"/>
        </w:rPr>
        <w:t>。</w:t>
      </w:r>
    </w:p>
    <w:bookmarkEnd w:id="84"/>
    <w:bookmarkEnd w:id="85"/>
    <w:bookmarkEnd w:id="86"/>
    <w:bookmarkEnd w:id="87"/>
    <w:bookmarkEnd w:id="88"/>
    <w:bookmarkEnd w:id="89"/>
    <w:p>
      <w:pPr>
        <w:spacing w:line="560" w:lineRule="exact"/>
        <w:ind w:firstLine="482" w:firstLineChars="200"/>
        <w:outlineLvl w:val="0"/>
        <w:rPr>
          <w:rFonts w:ascii="仿宋" w:hAnsi="仿宋" w:eastAsia="仿宋"/>
          <w:b/>
          <w:color w:val="auto"/>
          <w:sz w:val="24"/>
          <w:highlight w:val="none"/>
        </w:rPr>
      </w:pPr>
      <w:bookmarkStart w:id="90" w:name="_Ref467379852"/>
      <w:bookmarkStart w:id="91" w:name="_Toc259093677"/>
      <w:bookmarkStart w:id="92" w:name="_Ref467379863"/>
      <w:bookmarkStart w:id="93" w:name="_Ref467379923"/>
      <w:bookmarkStart w:id="94" w:name="_Toc487900358"/>
      <w:bookmarkStart w:id="95" w:name="_Toc279701248"/>
      <w:bookmarkStart w:id="96" w:name="_Toc3225"/>
      <w:bookmarkStart w:id="97" w:name="_Toc16110"/>
      <w:bookmarkStart w:id="98" w:name="_Toc774"/>
      <w:r>
        <w:rPr>
          <w:rFonts w:ascii="仿宋" w:hAnsi="仿宋" w:eastAsia="仿宋"/>
          <w:b/>
          <w:color w:val="auto"/>
          <w:sz w:val="24"/>
          <w:highlight w:val="none"/>
        </w:rPr>
        <w:t xml:space="preserve">2.6 </w:t>
      </w:r>
      <w:r>
        <w:rPr>
          <w:rFonts w:hint="eastAsia" w:ascii="仿宋" w:hAnsi="仿宋" w:eastAsia="仿宋"/>
          <w:b/>
          <w:color w:val="auto"/>
          <w:sz w:val="24"/>
          <w:highlight w:val="none"/>
        </w:rPr>
        <w:t>技术资料</w:t>
      </w:r>
      <w:bookmarkEnd w:id="90"/>
      <w:bookmarkEnd w:id="91"/>
      <w:bookmarkEnd w:id="92"/>
      <w:bookmarkEnd w:id="93"/>
      <w:bookmarkEnd w:id="94"/>
      <w:bookmarkEnd w:id="95"/>
      <w:r>
        <w:rPr>
          <w:rFonts w:hint="eastAsia" w:ascii="仿宋" w:hAnsi="仿宋" w:eastAsia="仿宋"/>
          <w:b/>
          <w:color w:val="auto"/>
          <w:sz w:val="24"/>
          <w:highlight w:val="none"/>
        </w:rPr>
        <w:t>和保密义务</w:t>
      </w:r>
      <w:bookmarkEnd w:id="96"/>
      <w:bookmarkEnd w:id="97"/>
      <w:bookmarkEnd w:id="98"/>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2.6.1 </w:t>
      </w:r>
      <w:r>
        <w:rPr>
          <w:rFonts w:hint="eastAsia" w:ascii="仿宋" w:hAnsi="仿宋" w:eastAsia="仿宋"/>
          <w:color w:val="auto"/>
          <w:sz w:val="24"/>
          <w:highlight w:val="none"/>
        </w:rPr>
        <w:t>乙方有权依据合同约定和项目需要，向甲方了解有关情况，调阅有关资料等，甲方应予积极配合；</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2.6.2 </w:t>
      </w:r>
      <w:r>
        <w:rPr>
          <w:rFonts w:hint="eastAsia" w:ascii="仿宋" w:hAnsi="仿宋" w:eastAsia="仿宋"/>
          <w:color w:val="auto"/>
          <w:sz w:val="24"/>
          <w:highlight w:val="none"/>
        </w:rPr>
        <w:t>乙方有义务妥善保管和保护由甲方提供的前款信息和资料等；</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2.6.3 </w:t>
      </w:r>
      <w:r>
        <w:rPr>
          <w:rFonts w:hint="eastAsia" w:ascii="仿宋" w:hAnsi="仿宋" w:eastAsia="仿宋"/>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仿宋" w:hAnsi="仿宋" w:eastAsia="仿宋"/>
          <w:b/>
          <w:color w:val="auto"/>
          <w:sz w:val="24"/>
          <w:highlight w:val="none"/>
        </w:rPr>
      </w:pPr>
      <w:bookmarkStart w:id="99" w:name="_Toc7860"/>
      <w:r>
        <w:rPr>
          <w:rFonts w:ascii="仿宋" w:hAnsi="仿宋" w:eastAsia="仿宋"/>
          <w:b/>
          <w:color w:val="auto"/>
          <w:sz w:val="24"/>
          <w:highlight w:val="none"/>
        </w:rPr>
        <w:t xml:space="preserve">2.7 </w:t>
      </w:r>
      <w:r>
        <w:rPr>
          <w:rFonts w:hint="eastAsia" w:ascii="仿宋" w:hAnsi="仿宋" w:eastAsia="仿宋"/>
          <w:b/>
          <w:color w:val="auto"/>
          <w:sz w:val="24"/>
          <w:highlight w:val="none"/>
        </w:rPr>
        <w:t>质量保证</w:t>
      </w:r>
      <w:bookmarkEnd w:id="99"/>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2.7.1 </w:t>
      </w:r>
      <w:r>
        <w:rPr>
          <w:rFonts w:hint="eastAsia" w:ascii="仿宋" w:hAnsi="仿宋" w:eastAsia="仿宋"/>
          <w:color w:val="auto"/>
          <w:sz w:val="24"/>
          <w:highlight w:val="none"/>
        </w:rPr>
        <w:t>乙方应建立和完善履行合同的内部质量保证体系，并提供相关内部规章制度给甲方，以便甲方进行监督检查；</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2.7.2 </w:t>
      </w:r>
      <w:r>
        <w:rPr>
          <w:rFonts w:hint="eastAsia" w:ascii="仿宋" w:hAnsi="仿宋" w:eastAsia="仿宋"/>
          <w:color w:val="auto"/>
          <w:sz w:val="24"/>
          <w:highlight w:val="none"/>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仿宋" w:hAnsi="仿宋" w:eastAsia="仿宋"/>
          <w:b/>
          <w:color w:val="auto"/>
          <w:sz w:val="24"/>
          <w:highlight w:val="none"/>
        </w:rPr>
      </w:pPr>
      <w:bookmarkStart w:id="100" w:name="_Toc17244"/>
      <w:bookmarkStart w:id="101" w:name="_Toc279701252"/>
      <w:bookmarkStart w:id="102" w:name="_Toc487900362"/>
      <w:bookmarkStart w:id="103" w:name="_Toc259093681"/>
      <w:r>
        <w:rPr>
          <w:rFonts w:ascii="仿宋" w:hAnsi="仿宋" w:eastAsia="仿宋"/>
          <w:b/>
          <w:color w:val="auto"/>
          <w:sz w:val="24"/>
          <w:highlight w:val="none"/>
        </w:rPr>
        <w:t>2.8 服务</w:t>
      </w:r>
      <w:r>
        <w:rPr>
          <w:rFonts w:hint="eastAsia" w:ascii="仿宋" w:hAnsi="仿宋" w:eastAsia="仿宋"/>
          <w:b/>
          <w:color w:val="auto"/>
          <w:sz w:val="24"/>
          <w:highlight w:val="none"/>
        </w:rPr>
        <w:t>的风险负担</w:t>
      </w:r>
      <w:bookmarkEnd w:id="100"/>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服务过程中涉及的风险负担详见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pPr>
        <w:spacing w:line="560" w:lineRule="exact"/>
        <w:ind w:firstLine="482" w:firstLineChars="200"/>
        <w:outlineLvl w:val="0"/>
        <w:rPr>
          <w:rFonts w:ascii="仿宋" w:hAnsi="仿宋" w:eastAsia="仿宋"/>
          <w:b/>
          <w:color w:val="auto"/>
          <w:sz w:val="24"/>
          <w:highlight w:val="none"/>
        </w:rPr>
      </w:pPr>
      <w:bookmarkStart w:id="104" w:name="_Toc14055"/>
      <w:r>
        <w:rPr>
          <w:rFonts w:ascii="仿宋" w:hAnsi="仿宋" w:eastAsia="仿宋"/>
          <w:b/>
          <w:color w:val="auto"/>
          <w:sz w:val="24"/>
          <w:highlight w:val="none"/>
        </w:rPr>
        <w:t xml:space="preserve">2.9 </w:t>
      </w:r>
      <w:r>
        <w:rPr>
          <w:rFonts w:hint="eastAsia" w:ascii="仿宋" w:hAnsi="仿宋" w:eastAsia="仿宋"/>
          <w:b/>
          <w:color w:val="auto"/>
          <w:sz w:val="24"/>
          <w:highlight w:val="none"/>
        </w:rPr>
        <w:t>延迟</w:t>
      </w:r>
      <w:bookmarkEnd w:id="101"/>
      <w:bookmarkEnd w:id="102"/>
      <w:bookmarkEnd w:id="103"/>
      <w:bookmarkEnd w:id="104"/>
      <w:r>
        <w:rPr>
          <w:rFonts w:hint="eastAsia" w:ascii="仿宋" w:hAnsi="仿宋" w:eastAsia="仿宋"/>
          <w:b/>
          <w:color w:val="auto"/>
          <w:sz w:val="24"/>
          <w:highlight w:val="none"/>
        </w:rPr>
        <w:t>交付</w:t>
      </w:r>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在合同履行过程中，如果乙方遇到不能按时交付的情况，应及时以书面形式将不能按时交付的理由、预期延误时间通知甲方；甲方收到乙方通知后，认为其理由正当的，可以书面形式酌情同意乙方可以延长交付的具体时间。</w:t>
      </w:r>
    </w:p>
    <w:p>
      <w:pPr>
        <w:spacing w:line="560" w:lineRule="exact"/>
        <w:ind w:firstLine="482" w:firstLineChars="200"/>
        <w:outlineLvl w:val="0"/>
        <w:rPr>
          <w:rFonts w:ascii="仿宋" w:hAnsi="仿宋" w:eastAsia="仿宋"/>
          <w:b/>
          <w:color w:val="auto"/>
          <w:sz w:val="24"/>
          <w:highlight w:val="none"/>
        </w:rPr>
      </w:pPr>
      <w:bookmarkStart w:id="105" w:name="_Toc7502"/>
      <w:bookmarkStart w:id="106" w:name="_Toc259093683"/>
      <w:bookmarkStart w:id="107" w:name="_Toc279701254"/>
      <w:bookmarkStart w:id="108" w:name="_Toc487900364"/>
      <w:bookmarkStart w:id="109" w:name="_Ref467378121"/>
      <w:r>
        <w:rPr>
          <w:rFonts w:ascii="仿宋" w:hAnsi="仿宋" w:eastAsia="仿宋"/>
          <w:b/>
          <w:color w:val="auto"/>
          <w:sz w:val="24"/>
          <w:highlight w:val="none"/>
        </w:rPr>
        <w:t>2.</w:t>
      </w:r>
      <w:r>
        <w:rPr>
          <w:rFonts w:hint="eastAsia" w:ascii="仿宋" w:hAnsi="仿宋" w:eastAsia="仿宋"/>
          <w:b/>
          <w:color w:val="auto"/>
          <w:sz w:val="24"/>
          <w:highlight w:val="none"/>
        </w:rPr>
        <w:t>10合同变更</w:t>
      </w:r>
      <w:bookmarkEnd w:id="105"/>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合同继续履行将损害国家利益和社会公共利益的，双方当事人应当以书面形式变更合同。有过错的一方应当承担赔偿责任，双方当事人都有过错的，各自承担相应的责任。</w:t>
      </w:r>
      <w:bookmarkStart w:id="110" w:name="_Toc487900369"/>
      <w:bookmarkStart w:id="111" w:name="_Toc279701259"/>
      <w:bookmarkStart w:id="112" w:name="_Toc259093688"/>
    </w:p>
    <w:p>
      <w:pPr>
        <w:spacing w:line="560" w:lineRule="exact"/>
        <w:ind w:firstLine="482" w:firstLineChars="200"/>
        <w:outlineLvl w:val="0"/>
        <w:rPr>
          <w:rFonts w:ascii="仿宋" w:hAnsi="仿宋" w:eastAsia="仿宋"/>
          <w:b/>
          <w:color w:val="auto"/>
          <w:sz w:val="24"/>
          <w:highlight w:val="none"/>
        </w:rPr>
      </w:pPr>
      <w:bookmarkStart w:id="113" w:name="_Toc22955"/>
      <w:bookmarkStart w:id="114" w:name="_Toc10366"/>
      <w:bookmarkStart w:id="115" w:name="_Toc15237"/>
      <w:r>
        <w:rPr>
          <w:rFonts w:ascii="仿宋" w:hAnsi="仿宋" w:eastAsia="仿宋"/>
          <w:b/>
          <w:color w:val="auto"/>
          <w:sz w:val="24"/>
          <w:highlight w:val="none"/>
        </w:rPr>
        <w:t>2.</w:t>
      </w:r>
      <w:r>
        <w:rPr>
          <w:rFonts w:hint="eastAsia" w:ascii="仿宋" w:hAnsi="仿宋" w:eastAsia="仿宋"/>
          <w:b/>
          <w:color w:val="auto"/>
          <w:sz w:val="24"/>
          <w:highlight w:val="none"/>
        </w:rPr>
        <w:t>11合同转让</w:t>
      </w:r>
      <w:bookmarkEnd w:id="110"/>
      <w:bookmarkEnd w:id="111"/>
      <w:bookmarkEnd w:id="112"/>
      <w:r>
        <w:rPr>
          <w:rFonts w:hint="eastAsia" w:ascii="仿宋" w:hAnsi="仿宋" w:eastAsia="仿宋"/>
          <w:b/>
          <w:color w:val="auto"/>
          <w:sz w:val="24"/>
          <w:highlight w:val="none"/>
        </w:rPr>
        <w:t>和分包</w:t>
      </w:r>
      <w:bookmarkEnd w:id="113"/>
      <w:bookmarkEnd w:id="114"/>
      <w:bookmarkEnd w:id="115"/>
      <w:r>
        <w:rPr>
          <w:rFonts w:hint="eastAsia" w:ascii="仿宋" w:hAnsi="仿宋" w:eastAsia="仿宋"/>
          <w:b/>
          <w:color w:val="auto"/>
          <w:sz w:val="24"/>
          <w:highlight w:val="none"/>
        </w:rPr>
        <w:t>（如有）</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11</w:t>
      </w:r>
      <w:r>
        <w:rPr>
          <w:rFonts w:ascii="仿宋" w:hAnsi="仿宋" w:eastAsia="仿宋"/>
          <w:color w:val="auto"/>
          <w:sz w:val="24"/>
          <w:highlight w:val="none"/>
        </w:rPr>
        <w:t>.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11</w:t>
      </w:r>
      <w:r>
        <w:rPr>
          <w:rFonts w:ascii="仿宋" w:hAnsi="仿宋" w:eastAsia="仿宋"/>
          <w:color w:val="auto"/>
          <w:sz w:val="24"/>
          <w:highlight w:val="none"/>
        </w:rPr>
        <w:t>.2乙方采取分包方式履行合同的，甲方可直接向分包供应商支付款项。</w:t>
      </w:r>
    </w:p>
    <w:p>
      <w:pPr>
        <w:spacing w:line="560" w:lineRule="exact"/>
        <w:ind w:firstLine="482" w:firstLineChars="200"/>
        <w:outlineLvl w:val="0"/>
        <w:rPr>
          <w:rFonts w:ascii="仿宋" w:hAnsi="仿宋" w:eastAsia="仿宋"/>
          <w:b/>
          <w:color w:val="auto"/>
          <w:sz w:val="24"/>
          <w:highlight w:val="none"/>
        </w:rPr>
      </w:pPr>
      <w:bookmarkStart w:id="116" w:name="_Toc16508"/>
      <w:bookmarkStart w:id="117" w:name="_Toc14066"/>
      <w:bookmarkStart w:id="118" w:name="_Toc13566"/>
      <w:r>
        <w:rPr>
          <w:rFonts w:ascii="仿宋" w:hAnsi="仿宋" w:eastAsia="仿宋"/>
          <w:b/>
          <w:color w:val="auto"/>
          <w:sz w:val="24"/>
          <w:highlight w:val="none"/>
        </w:rPr>
        <w:t>2.1</w:t>
      </w:r>
      <w:r>
        <w:rPr>
          <w:rFonts w:hint="eastAsia" w:ascii="仿宋" w:hAnsi="仿宋" w:eastAsia="仿宋"/>
          <w:b/>
          <w:color w:val="auto"/>
          <w:sz w:val="24"/>
          <w:highlight w:val="none"/>
        </w:rPr>
        <w:t>2不可抗力</w:t>
      </w:r>
      <w:bookmarkEnd w:id="116"/>
      <w:bookmarkEnd w:id="117"/>
      <w:bookmarkEnd w:id="118"/>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12</w:t>
      </w:r>
      <w:r>
        <w:rPr>
          <w:rFonts w:ascii="仿宋" w:hAnsi="仿宋" w:eastAsia="仿宋"/>
          <w:color w:val="auto"/>
          <w:sz w:val="24"/>
          <w:highlight w:val="none"/>
        </w:rPr>
        <w:t>.1如果任何一方遭遇法律规定的不可抗力，致使合同履行受阻时，履行合同的期限应予延长，延长的期限应相当于不可抗力所影响的时间；</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2</w:t>
      </w:r>
      <w:r>
        <w:rPr>
          <w:rFonts w:ascii="仿宋" w:hAnsi="仿宋" w:eastAsia="仿宋"/>
          <w:color w:val="auto"/>
          <w:sz w:val="24"/>
          <w:highlight w:val="none"/>
        </w:rPr>
        <w:t xml:space="preserve">.2 </w:t>
      </w:r>
      <w:r>
        <w:rPr>
          <w:rFonts w:hint="eastAsia" w:ascii="仿宋" w:hAnsi="仿宋" w:eastAsia="仿宋"/>
          <w:color w:val="auto"/>
          <w:sz w:val="24"/>
          <w:highlight w:val="none"/>
        </w:rPr>
        <w:t>因不可抗力致使不能实现合同目的的，当事人可以解除合同；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12</w:t>
      </w:r>
      <w:r>
        <w:rPr>
          <w:rFonts w:ascii="仿宋" w:hAnsi="仿宋" w:eastAsia="仿宋"/>
          <w:color w:val="auto"/>
          <w:sz w:val="24"/>
          <w:highlight w:val="none"/>
        </w:rPr>
        <w:t xml:space="preserve">.3 </w:t>
      </w:r>
      <w:r>
        <w:rPr>
          <w:rFonts w:hint="eastAsia" w:ascii="仿宋" w:hAnsi="仿宋" w:eastAsia="仿宋"/>
          <w:color w:val="auto"/>
          <w:sz w:val="24"/>
          <w:highlight w:val="none"/>
        </w:rPr>
        <w:t>因不可抗力致使合同有变更必要的，双方当事人应在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约定时间内以书面形式变更合同；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12</w:t>
      </w:r>
      <w:r>
        <w:rPr>
          <w:rFonts w:ascii="仿宋" w:hAnsi="仿宋" w:eastAsia="仿宋"/>
          <w:color w:val="auto"/>
          <w:sz w:val="24"/>
          <w:highlight w:val="none"/>
        </w:rPr>
        <w:t>.4受不可抗力影响的一方在不可抗力发生后，应在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约定时间内以书面形式通知对方当事人，并在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约定时间内，将有关部门出具的证明文件送达对方当事人。</w:t>
      </w:r>
    </w:p>
    <w:p>
      <w:pPr>
        <w:spacing w:line="560" w:lineRule="exact"/>
        <w:ind w:firstLine="482" w:firstLineChars="200"/>
        <w:outlineLvl w:val="0"/>
        <w:rPr>
          <w:rFonts w:ascii="仿宋" w:hAnsi="仿宋" w:eastAsia="仿宋"/>
          <w:b/>
          <w:color w:val="auto"/>
          <w:sz w:val="24"/>
          <w:highlight w:val="none"/>
        </w:rPr>
      </w:pPr>
      <w:bookmarkStart w:id="119" w:name="_Toc487900365"/>
      <w:bookmarkStart w:id="120" w:name="_Toc6969"/>
      <w:bookmarkStart w:id="121" w:name="_Toc689"/>
      <w:bookmarkStart w:id="122" w:name="_Toc259093684"/>
      <w:bookmarkStart w:id="123" w:name="_Toc279701255"/>
      <w:bookmarkStart w:id="124" w:name="_Toc30676"/>
      <w:r>
        <w:rPr>
          <w:rFonts w:ascii="仿宋" w:hAnsi="仿宋" w:eastAsia="仿宋"/>
          <w:b/>
          <w:color w:val="auto"/>
          <w:sz w:val="24"/>
          <w:highlight w:val="none"/>
        </w:rPr>
        <w:t>2.</w:t>
      </w:r>
      <w:r>
        <w:rPr>
          <w:rFonts w:hint="eastAsia" w:ascii="仿宋" w:hAnsi="仿宋" w:eastAsia="仿宋"/>
          <w:b/>
          <w:color w:val="auto"/>
          <w:sz w:val="24"/>
          <w:highlight w:val="none"/>
        </w:rPr>
        <w:t>13</w:t>
      </w:r>
      <w:r>
        <w:rPr>
          <w:rFonts w:ascii="仿宋" w:hAnsi="仿宋" w:eastAsia="仿宋"/>
          <w:b/>
          <w:color w:val="auto"/>
          <w:sz w:val="24"/>
          <w:highlight w:val="none"/>
        </w:rPr>
        <w:t xml:space="preserve"> </w:t>
      </w:r>
      <w:r>
        <w:rPr>
          <w:rFonts w:hint="eastAsia" w:ascii="仿宋" w:hAnsi="仿宋" w:eastAsia="仿宋"/>
          <w:b/>
          <w:color w:val="auto"/>
          <w:sz w:val="24"/>
          <w:highlight w:val="none"/>
        </w:rPr>
        <w:t>税费</w:t>
      </w:r>
      <w:bookmarkEnd w:id="119"/>
      <w:bookmarkEnd w:id="120"/>
      <w:bookmarkEnd w:id="121"/>
      <w:bookmarkEnd w:id="122"/>
      <w:bookmarkEnd w:id="123"/>
      <w:bookmarkEnd w:id="124"/>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与合同有关的一切税费，均按照中华人民共和国法律的相关规定。</w:t>
      </w:r>
    </w:p>
    <w:p>
      <w:pPr>
        <w:spacing w:line="560" w:lineRule="exact"/>
        <w:ind w:firstLine="482" w:firstLineChars="200"/>
        <w:outlineLvl w:val="0"/>
        <w:rPr>
          <w:rFonts w:ascii="仿宋" w:hAnsi="仿宋" w:eastAsia="仿宋"/>
          <w:b/>
          <w:color w:val="auto"/>
          <w:sz w:val="24"/>
          <w:highlight w:val="none"/>
        </w:rPr>
      </w:pPr>
      <w:bookmarkStart w:id="125" w:name="_Toc16959"/>
      <w:bookmarkStart w:id="126" w:name="_Toc279701258"/>
      <w:bookmarkStart w:id="127" w:name="_Toc7102"/>
      <w:bookmarkStart w:id="128" w:name="_Toc259093687"/>
      <w:bookmarkStart w:id="129" w:name="_Toc8298"/>
      <w:bookmarkStart w:id="130" w:name="_Toc487900368"/>
      <w:r>
        <w:rPr>
          <w:rFonts w:ascii="仿宋" w:hAnsi="仿宋" w:eastAsia="仿宋"/>
          <w:b/>
          <w:color w:val="auto"/>
          <w:sz w:val="24"/>
          <w:highlight w:val="none"/>
        </w:rPr>
        <w:t>2.</w:t>
      </w:r>
      <w:r>
        <w:rPr>
          <w:rFonts w:hint="eastAsia" w:ascii="仿宋" w:hAnsi="仿宋" w:eastAsia="仿宋"/>
          <w:b/>
          <w:color w:val="auto"/>
          <w:sz w:val="24"/>
          <w:highlight w:val="none"/>
        </w:rPr>
        <w:t>14</w:t>
      </w:r>
      <w:r>
        <w:rPr>
          <w:rFonts w:ascii="仿宋" w:hAnsi="仿宋" w:eastAsia="仿宋"/>
          <w:b/>
          <w:color w:val="auto"/>
          <w:sz w:val="24"/>
          <w:highlight w:val="none"/>
        </w:rPr>
        <w:t>乙方破产</w:t>
      </w:r>
      <w:bookmarkEnd w:id="125"/>
      <w:bookmarkEnd w:id="126"/>
      <w:bookmarkEnd w:id="127"/>
      <w:bookmarkEnd w:id="128"/>
      <w:bookmarkEnd w:id="129"/>
      <w:bookmarkEnd w:id="130"/>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仿宋" w:hAnsi="仿宋" w:eastAsia="仿宋"/>
          <w:b/>
          <w:color w:val="auto"/>
          <w:sz w:val="24"/>
          <w:highlight w:val="none"/>
        </w:rPr>
      </w:pPr>
      <w:bookmarkStart w:id="131" w:name="_Toc29333"/>
      <w:bookmarkStart w:id="132" w:name="_Toc6134"/>
      <w:bookmarkStart w:id="133" w:name="_Toc15387"/>
      <w:r>
        <w:rPr>
          <w:rFonts w:ascii="仿宋" w:hAnsi="仿宋" w:eastAsia="仿宋"/>
          <w:b/>
          <w:color w:val="auto"/>
          <w:sz w:val="24"/>
          <w:highlight w:val="none"/>
        </w:rPr>
        <w:t>2.1</w:t>
      </w:r>
      <w:r>
        <w:rPr>
          <w:rFonts w:hint="eastAsia" w:ascii="仿宋" w:hAnsi="仿宋" w:eastAsia="仿宋"/>
          <w:b/>
          <w:color w:val="auto"/>
          <w:sz w:val="24"/>
          <w:highlight w:val="none"/>
        </w:rPr>
        <w:t>5合同中止、终止</w:t>
      </w:r>
      <w:bookmarkEnd w:id="131"/>
      <w:bookmarkEnd w:id="132"/>
      <w:bookmarkEnd w:id="133"/>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5</w:t>
      </w:r>
      <w:r>
        <w:rPr>
          <w:rFonts w:ascii="仿宋" w:hAnsi="仿宋" w:eastAsia="仿宋"/>
          <w:color w:val="auto"/>
          <w:sz w:val="24"/>
          <w:highlight w:val="none"/>
        </w:rPr>
        <w:t xml:space="preserve">.1 </w:t>
      </w:r>
      <w:r>
        <w:rPr>
          <w:rFonts w:hint="eastAsia" w:ascii="仿宋" w:hAnsi="仿宋" w:eastAsia="仿宋"/>
          <w:color w:val="auto"/>
          <w:sz w:val="24"/>
          <w:highlight w:val="none"/>
        </w:rPr>
        <w:t>双方当事人不得擅自中止或者终止合同；</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5</w:t>
      </w:r>
      <w:r>
        <w:rPr>
          <w:rFonts w:ascii="仿宋" w:hAnsi="仿宋" w:eastAsia="仿宋"/>
          <w:color w:val="auto"/>
          <w:sz w:val="24"/>
          <w:highlight w:val="none"/>
        </w:rPr>
        <w:t>.2合同继续履行将损害国家利益和社会公共利益的，双方当事人应当中止或者终止合同。有过错的一方应当承担赔偿责任，双方当事人都有过错的，各自承担相应的责任。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仿宋" w:hAnsi="仿宋" w:eastAsia="仿宋"/>
          <w:b/>
          <w:color w:val="auto"/>
          <w:sz w:val="24"/>
          <w:highlight w:val="none"/>
        </w:rPr>
      </w:pPr>
      <w:bookmarkStart w:id="134" w:name="_Toc1125"/>
      <w:bookmarkStart w:id="135" w:name="_Toc14563"/>
      <w:bookmarkStart w:id="136" w:name="_Toc6596"/>
      <w:r>
        <w:rPr>
          <w:rFonts w:ascii="仿宋" w:hAnsi="仿宋" w:eastAsia="仿宋"/>
          <w:b/>
          <w:color w:val="auto"/>
          <w:sz w:val="24"/>
          <w:highlight w:val="none"/>
        </w:rPr>
        <w:t>2.1</w:t>
      </w:r>
      <w:r>
        <w:rPr>
          <w:rFonts w:hint="eastAsia" w:ascii="仿宋" w:hAnsi="仿宋" w:eastAsia="仿宋"/>
          <w:b/>
          <w:color w:val="auto"/>
          <w:sz w:val="24"/>
          <w:highlight w:val="none"/>
        </w:rPr>
        <w:t>6</w:t>
      </w:r>
      <w:r>
        <w:rPr>
          <w:rFonts w:ascii="仿宋" w:hAnsi="仿宋" w:eastAsia="仿宋"/>
          <w:b/>
          <w:color w:val="auto"/>
          <w:sz w:val="24"/>
          <w:highlight w:val="none"/>
        </w:rPr>
        <w:t>检验和验收</w:t>
      </w:r>
      <w:bookmarkEnd w:id="134"/>
      <w:bookmarkEnd w:id="135"/>
      <w:bookmarkEnd w:id="136"/>
    </w:p>
    <w:p>
      <w:pPr>
        <w:tabs>
          <w:tab w:val="left" w:pos="360"/>
          <w:tab w:val="left" w:pos="540"/>
          <w:tab w:val="left" w:pos="1080"/>
        </w:tabs>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6</w:t>
      </w:r>
      <w:r>
        <w:rPr>
          <w:rFonts w:ascii="仿宋" w:hAnsi="仿宋" w:eastAsia="仿宋"/>
          <w:color w:val="auto"/>
          <w:sz w:val="24"/>
          <w:highlight w:val="none"/>
        </w:rPr>
        <w:t>.1</w:t>
      </w:r>
      <w:r>
        <w:rPr>
          <w:rFonts w:hint="eastAsia" w:ascii="仿宋" w:hAnsi="仿宋" w:eastAsia="仿宋"/>
          <w:color w:val="auto"/>
          <w:sz w:val="24"/>
          <w:highlight w:val="none"/>
        </w:rPr>
        <w:t>服务</w:t>
      </w:r>
      <w:r>
        <w:rPr>
          <w:rFonts w:ascii="仿宋" w:hAnsi="仿宋" w:eastAsia="仿宋"/>
          <w:color w:val="auto"/>
          <w:sz w:val="24"/>
          <w:highlight w:val="none"/>
        </w:rPr>
        <w:t>交付前，乙方应对</w:t>
      </w:r>
      <w:r>
        <w:rPr>
          <w:rFonts w:hint="eastAsia" w:ascii="仿宋" w:hAnsi="仿宋" w:eastAsia="仿宋"/>
          <w:color w:val="auto"/>
          <w:sz w:val="24"/>
          <w:highlight w:val="none"/>
        </w:rPr>
        <w:t>服务</w:t>
      </w:r>
      <w:r>
        <w:rPr>
          <w:rFonts w:ascii="仿宋" w:hAnsi="仿宋" w:eastAsia="仿宋"/>
          <w:color w:val="auto"/>
          <w:sz w:val="24"/>
          <w:highlight w:val="none"/>
        </w:rPr>
        <w:t>的质量、数量等方面进行详细、全面的检验，并向甲方出具证明</w:t>
      </w:r>
      <w:r>
        <w:rPr>
          <w:rFonts w:hint="eastAsia" w:ascii="仿宋" w:hAnsi="仿宋" w:eastAsia="仿宋"/>
          <w:color w:val="auto"/>
          <w:sz w:val="24"/>
          <w:highlight w:val="none"/>
        </w:rPr>
        <w:t>服务</w:t>
      </w:r>
      <w:r>
        <w:rPr>
          <w:rFonts w:ascii="仿宋" w:hAnsi="仿宋" w:eastAsia="仿宋"/>
          <w:color w:val="auto"/>
          <w:sz w:val="24"/>
          <w:highlight w:val="none"/>
        </w:rPr>
        <w:t>符合合同约定的文件；</w:t>
      </w:r>
      <w:r>
        <w:rPr>
          <w:rFonts w:hint="eastAsia" w:ascii="仿宋" w:hAnsi="仿宋" w:eastAsia="仿宋"/>
          <w:color w:val="auto"/>
          <w:sz w:val="24"/>
          <w:highlight w:val="none"/>
        </w:rPr>
        <w:t>服务</w:t>
      </w:r>
      <w:r>
        <w:rPr>
          <w:rFonts w:ascii="仿宋" w:hAnsi="仿宋" w:eastAsia="仿宋"/>
          <w:color w:val="auto"/>
          <w:sz w:val="24"/>
          <w:highlight w:val="none"/>
        </w:rPr>
        <w:t>交付时，乙方在</w:t>
      </w:r>
      <w:r>
        <w:rPr>
          <w:rFonts w:hint="eastAsia" w:ascii="仿宋" w:hAnsi="仿宋" w:eastAsia="仿宋"/>
          <w:color w:val="auto"/>
          <w:sz w:val="24"/>
          <w:highlight w:val="none"/>
        </w:rPr>
        <w:t>合同专用条款约定时间内组织验收，并可依法邀请相关方参加，验收应出具验收书。</w:t>
      </w:r>
    </w:p>
    <w:p>
      <w:pPr>
        <w:tabs>
          <w:tab w:val="left" w:pos="360"/>
          <w:tab w:val="left" w:pos="540"/>
          <w:tab w:val="left" w:pos="1080"/>
        </w:tabs>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6.2</w:t>
      </w:r>
      <w:r>
        <w:rPr>
          <w:rFonts w:ascii="仿宋" w:hAnsi="仿宋" w:eastAsia="仿宋"/>
          <w:color w:val="auto"/>
          <w:sz w:val="24"/>
          <w:highlight w:val="none"/>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6</w:t>
      </w:r>
      <w:r>
        <w:rPr>
          <w:rFonts w:ascii="仿宋" w:hAnsi="仿宋" w:eastAsia="仿宋"/>
          <w:color w:val="auto"/>
          <w:sz w:val="24"/>
          <w:highlight w:val="none"/>
        </w:rPr>
        <w:t>.</w:t>
      </w:r>
      <w:r>
        <w:rPr>
          <w:rFonts w:hint="eastAsia" w:ascii="仿宋" w:hAnsi="仿宋" w:eastAsia="仿宋"/>
          <w:color w:val="auto"/>
          <w:sz w:val="24"/>
          <w:highlight w:val="none"/>
        </w:rPr>
        <w:t>3</w:t>
      </w:r>
      <w:r>
        <w:rPr>
          <w:rFonts w:ascii="仿宋" w:hAnsi="仿宋" w:eastAsia="仿宋"/>
          <w:color w:val="auto"/>
          <w:sz w:val="24"/>
          <w:highlight w:val="none"/>
        </w:rPr>
        <w:t xml:space="preserve"> </w:t>
      </w:r>
      <w:r>
        <w:rPr>
          <w:rFonts w:hint="eastAsia" w:ascii="仿宋" w:hAnsi="仿宋" w:eastAsia="仿宋"/>
          <w:color w:val="auto"/>
          <w:sz w:val="24"/>
          <w:highlight w:val="none"/>
        </w:rPr>
        <w:t>检验和验收标准、程序等具体内容以及前述验收书的效力详见</w:t>
      </w:r>
      <w:r>
        <w:rPr>
          <w:rFonts w:hint="eastAsia" w:ascii="仿宋" w:hAnsi="仿宋" w:eastAsia="仿宋"/>
          <w:b/>
          <w:i/>
          <w:color w:val="auto"/>
          <w:sz w:val="24"/>
          <w:highlight w:val="none"/>
          <w:u w:val="single"/>
        </w:rPr>
        <w:t>合同专用条款</w:t>
      </w:r>
      <w:r>
        <w:rPr>
          <w:rFonts w:hint="eastAsia" w:ascii="仿宋" w:hAnsi="仿宋" w:eastAsia="仿宋"/>
          <w:i/>
          <w:color w:val="auto"/>
          <w:sz w:val="24"/>
          <w:highlight w:val="none"/>
        </w:rPr>
        <w:t>。</w:t>
      </w:r>
    </w:p>
    <w:bookmarkEnd w:id="106"/>
    <w:bookmarkEnd w:id="107"/>
    <w:bookmarkEnd w:id="108"/>
    <w:bookmarkEnd w:id="109"/>
    <w:p>
      <w:pPr>
        <w:spacing w:line="560" w:lineRule="exact"/>
        <w:ind w:firstLine="482" w:firstLineChars="200"/>
        <w:outlineLvl w:val="0"/>
        <w:rPr>
          <w:rFonts w:ascii="仿宋" w:hAnsi="仿宋" w:eastAsia="仿宋"/>
          <w:b/>
          <w:color w:val="auto"/>
          <w:sz w:val="24"/>
          <w:highlight w:val="none"/>
        </w:rPr>
      </w:pPr>
      <w:bookmarkStart w:id="137" w:name="_Toc279701261"/>
      <w:bookmarkStart w:id="138" w:name="_Toc487900371"/>
      <w:bookmarkStart w:id="139" w:name="_Toc259093690"/>
      <w:bookmarkStart w:id="140" w:name="_Toc11284"/>
      <w:bookmarkStart w:id="141" w:name="_Toc19604"/>
      <w:bookmarkStart w:id="142" w:name="_Toc25182"/>
      <w:r>
        <w:rPr>
          <w:rFonts w:ascii="仿宋" w:hAnsi="仿宋" w:eastAsia="仿宋"/>
          <w:b/>
          <w:color w:val="auto"/>
          <w:sz w:val="24"/>
          <w:highlight w:val="none"/>
        </w:rPr>
        <w:t>2.1</w:t>
      </w:r>
      <w:r>
        <w:rPr>
          <w:rFonts w:hint="eastAsia" w:ascii="仿宋" w:hAnsi="仿宋" w:eastAsia="仿宋"/>
          <w:b/>
          <w:color w:val="auto"/>
          <w:sz w:val="24"/>
          <w:highlight w:val="none"/>
        </w:rPr>
        <w:t>7通知</w:t>
      </w:r>
      <w:bookmarkEnd w:id="137"/>
      <w:bookmarkEnd w:id="138"/>
      <w:bookmarkEnd w:id="139"/>
      <w:r>
        <w:rPr>
          <w:rFonts w:hint="eastAsia" w:ascii="仿宋" w:hAnsi="仿宋" w:eastAsia="仿宋"/>
          <w:b/>
          <w:color w:val="auto"/>
          <w:sz w:val="24"/>
          <w:highlight w:val="none"/>
        </w:rPr>
        <w:t>和送达</w:t>
      </w:r>
      <w:bookmarkEnd w:id="140"/>
      <w:bookmarkEnd w:id="141"/>
      <w:bookmarkEnd w:id="142"/>
    </w:p>
    <w:p>
      <w:pPr>
        <w:spacing w:line="560" w:lineRule="exact"/>
        <w:ind w:firstLine="480" w:firstLineChars="200"/>
        <w:rPr>
          <w:rFonts w:ascii="仿宋" w:hAnsi="仿宋" w:eastAsia="仿宋"/>
          <w:color w:val="auto"/>
          <w:sz w:val="24"/>
          <w:highlight w:val="none"/>
        </w:rPr>
      </w:pPr>
      <w:bookmarkStart w:id="143" w:name="_Toc3135"/>
      <w:bookmarkStart w:id="144" w:name="_Toc6698"/>
      <w:bookmarkStart w:id="145" w:name="_Toc487900372"/>
      <w:bookmarkStart w:id="146" w:name="_Toc259093691"/>
      <w:bookmarkStart w:id="147" w:name="_Toc279701262"/>
      <w:r>
        <w:rPr>
          <w:rFonts w:ascii="仿宋" w:hAnsi="仿宋" w:eastAsia="仿宋"/>
          <w:color w:val="auto"/>
          <w:sz w:val="24"/>
          <w:highlight w:val="none"/>
        </w:rPr>
        <w:t>2.1</w:t>
      </w:r>
      <w:r>
        <w:rPr>
          <w:rFonts w:hint="eastAsia" w:ascii="仿宋" w:hAnsi="仿宋" w:eastAsia="仿宋"/>
          <w:color w:val="auto"/>
          <w:sz w:val="24"/>
          <w:highlight w:val="none"/>
        </w:rPr>
        <w:t>7</w:t>
      </w:r>
      <w:r>
        <w:rPr>
          <w:rFonts w:ascii="仿宋" w:hAnsi="仿宋" w:eastAsia="仿宋"/>
          <w:color w:val="auto"/>
          <w:sz w:val="24"/>
          <w:highlight w:val="none"/>
        </w:rPr>
        <w:t>.1</w:t>
      </w:r>
      <w:r>
        <w:rPr>
          <w:rFonts w:hint="eastAsia" w:ascii="仿宋" w:hAnsi="仿宋" w:eastAsia="仿宋"/>
          <w:color w:val="auto"/>
          <w:sz w:val="24"/>
          <w:highlight w:val="none"/>
        </w:rPr>
        <w:t>任何一方因履行合同而以合同第一部分尾部所列明的传真或电子邮件</w:t>
      </w:r>
      <w:r>
        <w:rPr>
          <w:rFonts w:ascii="仿宋" w:hAnsi="仿宋" w:eastAsia="仿宋"/>
          <w:color w:val="auto"/>
          <w:sz w:val="24"/>
          <w:highlight w:val="non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发出的所有通知、文件、材料，均视为已向对方当事人送达；任何一方变更上述送达方式或者地址的，应于</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个工作日内书面通知对方当事人，在对方当事人收到有关变更通知之前，变更前的约定送达方式或者地址仍视为有效。</w:t>
      </w:r>
      <w:bookmarkEnd w:id="143"/>
      <w:bookmarkEnd w:id="144"/>
    </w:p>
    <w:p>
      <w:pPr>
        <w:spacing w:line="560" w:lineRule="exact"/>
        <w:ind w:firstLine="480" w:firstLineChars="200"/>
        <w:rPr>
          <w:rFonts w:ascii="仿宋" w:hAnsi="仿宋" w:eastAsia="仿宋"/>
          <w:color w:val="auto"/>
          <w:sz w:val="24"/>
          <w:highlight w:val="none"/>
        </w:rPr>
      </w:pPr>
      <w:bookmarkStart w:id="148" w:name="_Toc23128"/>
      <w:bookmarkStart w:id="149" w:name="_Toc23294"/>
      <w:r>
        <w:rPr>
          <w:rFonts w:ascii="仿宋" w:hAnsi="仿宋" w:eastAsia="仿宋"/>
          <w:color w:val="auto"/>
          <w:sz w:val="24"/>
          <w:highlight w:val="none"/>
        </w:rPr>
        <w:t>2.1</w:t>
      </w:r>
      <w:r>
        <w:rPr>
          <w:rFonts w:hint="eastAsia" w:ascii="仿宋" w:hAnsi="仿宋" w:eastAsia="仿宋"/>
          <w:color w:val="auto"/>
          <w:sz w:val="24"/>
          <w:highlight w:val="none"/>
        </w:rPr>
        <w:t>7</w:t>
      </w:r>
      <w:r>
        <w:rPr>
          <w:rFonts w:ascii="仿宋" w:hAnsi="仿宋" w:eastAsia="仿宋"/>
          <w:color w:val="auto"/>
          <w:sz w:val="24"/>
          <w:highlight w:val="none"/>
        </w:rPr>
        <w:t>.2以当面交付方式送达的，交付之时视为送达；以电子邮件方式送达的，发出电子邮件之时视为送达；以传真方式送达的，发出传真之时视为送达；以邮寄方式送达</w:t>
      </w:r>
      <w:r>
        <w:rPr>
          <w:rFonts w:hint="eastAsia" w:ascii="仿宋" w:hAnsi="仿宋" w:eastAsia="仿宋"/>
          <w:color w:val="auto"/>
          <w:sz w:val="24"/>
          <w:highlight w:val="none"/>
        </w:rPr>
        <w:t>的，邮件挂号寄出或者交邮之日之次日视为送达。</w:t>
      </w:r>
      <w:bookmarkEnd w:id="148"/>
      <w:bookmarkEnd w:id="149"/>
    </w:p>
    <w:p>
      <w:pPr>
        <w:spacing w:line="560" w:lineRule="exact"/>
        <w:ind w:firstLine="482" w:firstLineChars="200"/>
        <w:outlineLvl w:val="0"/>
        <w:rPr>
          <w:rFonts w:ascii="仿宋" w:hAnsi="仿宋" w:eastAsia="仿宋"/>
          <w:b/>
          <w:color w:val="auto"/>
          <w:sz w:val="24"/>
          <w:highlight w:val="none"/>
        </w:rPr>
      </w:pPr>
      <w:bookmarkStart w:id="150" w:name="_Toc4355"/>
      <w:bookmarkStart w:id="151" w:name="_Toc30599"/>
      <w:bookmarkStart w:id="152" w:name="_Toc18540"/>
      <w:r>
        <w:rPr>
          <w:rFonts w:ascii="仿宋" w:hAnsi="仿宋" w:eastAsia="仿宋"/>
          <w:b/>
          <w:color w:val="auto"/>
          <w:sz w:val="24"/>
          <w:highlight w:val="none"/>
        </w:rPr>
        <w:t>2.1</w:t>
      </w:r>
      <w:r>
        <w:rPr>
          <w:rFonts w:hint="eastAsia" w:ascii="仿宋" w:hAnsi="仿宋" w:eastAsia="仿宋"/>
          <w:b/>
          <w:color w:val="auto"/>
          <w:sz w:val="24"/>
          <w:highlight w:val="none"/>
        </w:rPr>
        <w:t>8</w:t>
      </w:r>
      <w:r>
        <w:rPr>
          <w:rFonts w:ascii="仿宋" w:hAnsi="仿宋" w:eastAsia="仿宋"/>
          <w:b/>
          <w:color w:val="auto"/>
          <w:sz w:val="24"/>
          <w:highlight w:val="none"/>
        </w:rPr>
        <w:t xml:space="preserve"> </w:t>
      </w:r>
      <w:r>
        <w:rPr>
          <w:rFonts w:hint="eastAsia" w:ascii="仿宋" w:hAnsi="仿宋" w:eastAsia="仿宋"/>
          <w:b/>
          <w:color w:val="auto"/>
          <w:sz w:val="24"/>
          <w:highlight w:val="none"/>
        </w:rPr>
        <w:t>计量单位</w:t>
      </w:r>
      <w:bookmarkEnd w:id="145"/>
      <w:bookmarkEnd w:id="146"/>
      <w:bookmarkEnd w:id="147"/>
      <w:bookmarkEnd w:id="150"/>
      <w:bookmarkEnd w:id="151"/>
      <w:bookmarkEnd w:id="152"/>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除技术规范中另有规定外</w:t>
      </w:r>
      <w:r>
        <w:rPr>
          <w:rFonts w:ascii="仿宋" w:hAnsi="仿宋" w:eastAsia="仿宋"/>
          <w:color w:val="auto"/>
          <w:sz w:val="24"/>
          <w:highlight w:val="none"/>
        </w:rPr>
        <w:t>,合同的计量单位均使用国家法定计量单位。</w:t>
      </w:r>
    </w:p>
    <w:p>
      <w:pPr>
        <w:spacing w:line="560" w:lineRule="exact"/>
        <w:ind w:firstLine="482" w:firstLineChars="200"/>
        <w:outlineLvl w:val="0"/>
        <w:rPr>
          <w:rFonts w:ascii="仿宋" w:hAnsi="仿宋" w:eastAsia="仿宋"/>
          <w:b/>
          <w:color w:val="auto"/>
          <w:sz w:val="24"/>
          <w:highlight w:val="none"/>
        </w:rPr>
      </w:pPr>
      <w:bookmarkStart w:id="153" w:name="_Toc18567"/>
      <w:bookmarkStart w:id="154" w:name="_Toc279701263"/>
      <w:bookmarkStart w:id="155" w:name="_Toc12773"/>
      <w:bookmarkStart w:id="156" w:name="_Toc10330"/>
      <w:bookmarkStart w:id="157" w:name="_Toc259093692"/>
      <w:bookmarkStart w:id="158" w:name="_Toc487900373"/>
      <w:r>
        <w:rPr>
          <w:rFonts w:ascii="仿宋" w:hAnsi="仿宋" w:eastAsia="仿宋"/>
          <w:b/>
          <w:color w:val="auto"/>
          <w:sz w:val="24"/>
          <w:highlight w:val="none"/>
        </w:rPr>
        <w:t>2.1</w:t>
      </w:r>
      <w:r>
        <w:rPr>
          <w:rFonts w:hint="eastAsia" w:ascii="仿宋" w:hAnsi="仿宋" w:eastAsia="仿宋"/>
          <w:b/>
          <w:color w:val="auto"/>
          <w:sz w:val="24"/>
          <w:highlight w:val="none"/>
        </w:rPr>
        <w:t>9</w:t>
      </w:r>
      <w:r>
        <w:rPr>
          <w:rFonts w:ascii="仿宋" w:hAnsi="仿宋" w:eastAsia="仿宋"/>
          <w:b/>
          <w:color w:val="auto"/>
          <w:sz w:val="24"/>
          <w:highlight w:val="none"/>
        </w:rPr>
        <w:t xml:space="preserve"> </w:t>
      </w:r>
      <w:r>
        <w:rPr>
          <w:rFonts w:hint="eastAsia" w:ascii="仿宋" w:hAnsi="仿宋" w:eastAsia="仿宋"/>
          <w:b/>
          <w:color w:val="auto"/>
          <w:sz w:val="24"/>
          <w:highlight w:val="none"/>
        </w:rPr>
        <w:t>合同使用的文字和适用的法律</w:t>
      </w:r>
      <w:bookmarkEnd w:id="153"/>
      <w:bookmarkEnd w:id="154"/>
      <w:bookmarkEnd w:id="155"/>
      <w:bookmarkEnd w:id="156"/>
      <w:bookmarkEnd w:id="157"/>
      <w:bookmarkEnd w:id="158"/>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9</w:t>
      </w:r>
      <w:r>
        <w:rPr>
          <w:rFonts w:ascii="仿宋" w:hAnsi="仿宋" w:eastAsia="仿宋"/>
          <w:color w:val="auto"/>
          <w:sz w:val="24"/>
          <w:highlight w:val="none"/>
        </w:rPr>
        <w:t xml:space="preserve">.1 </w:t>
      </w:r>
      <w:r>
        <w:rPr>
          <w:rFonts w:hint="eastAsia" w:ascii="仿宋" w:hAnsi="仿宋" w:eastAsia="仿宋"/>
          <w:color w:val="auto"/>
          <w:sz w:val="24"/>
          <w:highlight w:val="none"/>
        </w:rPr>
        <w:t>合同使用汉语书就、变更和解释；</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9</w:t>
      </w:r>
      <w:r>
        <w:rPr>
          <w:rFonts w:ascii="仿宋" w:hAnsi="仿宋" w:eastAsia="仿宋"/>
          <w:color w:val="auto"/>
          <w:sz w:val="24"/>
          <w:highlight w:val="none"/>
        </w:rPr>
        <w:t xml:space="preserve">.2 </w:t>
      </w:r>
      <w:r>
        <w:rPr>
          <w:rFonts w:hint="eastAsia" w:ascii="仿宋" w:hAnsi="仿宋" w:eastAsia="仿宋"/>
          <w:color w:val="auto"/>
          <w:sz w:val="24"/>
          <w:highlight w:val="none"/>
        </w:rPr>
        <w:t>合同适用中华人民共和国法律。</w:t>
      </w:r>
    </w:p>
    <w:p>
      <w:pPr>
        <w:spacing w:line="560" w:lineRule="exact"/>
        <w:ind w:firstLine="482" w:firstLineChars="200"/>
        <w:outlineLvl w:val="0"/>
        <w:rPr>
          <w:rFonts w:ascii="仿宋" w:hAnsi="仿宋" w:eastAsia="仿宋"/>
          <w:b/>
          <w:color w:val="auto"/>
          <w:sz w:val="24"/>
          <w:highlight w:val="none"/>
        </w:rPr>
      </w:pPr>
      <w:bookmarkStart w:id="159" w:name="_Toc12004"/>
      <w:bookmarkStart w:id="160" w:name="_Toc279701264"/>
      <w:bookmarkStart w:id="161" w:name="_Toc259093693"/>
      <w:bookmarkStart w:id="162" w:name="_Toc16673"/>
      <w:bookmarkStart w:id="163" w:name="_Toc3148"/>
      <w:bookmarkStart w:id="164" w:name="_Toc487900374"/>
      <w:r>
        <w:rPr>
          <w:rFonts w:ascii="仿宋" w:hAnsi="仿宋" w:eastAsia="仿宋"/>
          <w:b/>
          <w:color w:val="auto"/>
          <w:sz w:val="24"/>
          <w:highlight w:val="none"/>
        </w:rPr>
        <w:t>2.</w:t>
      </w:r>
      <w:r>
        <w:rPr>
          <w:rFonts w:hint="eastAsia" w:ascii="仿宋" w:hAnsi="仿宋" w:eastAsia="仿宋"/>
          <w:b/>
          <w:color w:val="auto"/>
          <w:sz w:val="24"/>
          <w:highlight w:val="none"/>
        </w:rPr>
        <w:t>20</w:t>
      </w:r>
      <w:r>
        <w:rPr>
          <w:rFonts w:ascii="仿宋" w:hAnsi="仿宋" w:eastAsia="仿宋"/>
          <w:b/>
          <w:color w:val="auto"/>
          <w:sz w:val="24"/>
          <w:highlight w:val="none"/>
        </w:rPr>
        <w:t xml:space="preserve"> </w:t>
      </w:r>
      <w:r>
        <w:rPr>
          <w:rFonts w:hint="eastAsia" w:ascii="仿宋" w:hAnsi="仿宋" w:eastAsia="仿宋"/>
          <w:b/>
          <w:color w:val="auto"/>
          <w:sz w:val="24"/>
          <w:highlight w:val="none"/>
        </w:rPr>
        <w:t>履约保证金</w:t>
      </w:r>
      <w:bookmarkEnd w:id="159"/>
      <w:bookmarkEnd w:id="160"/>
      <w:bookmarkEnd w:id="161"/>
      <w:bookmarkEnd w:id="162"/>
      <w:bookmarkEnd w:id="163"/>
    </w:p>
    <w:p>
      <w:pPr>
        <w:spacing w:line="560" w:lineRule="exact"/>
        <w:ind w:firstLine="480" w:firstLineChars="200"/>
        <w:outlineLvl w:val="0"/>
        <w:rPr>
          <w:rFonts w:ascii="仿宋" w:hAnsi="仿宋" w:eastAsia="仿宋"/>
          <w:color w:val="auto"/>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 xml:space="preserve">.1 </w:t>
      </w:r>
      <w:r>
        <w:rPr>
          <w:rFonts w:hint="eastAsia" w:ascii="仿宋" w:hAnsi="仿宋" w:eastAsia="仿宋"/>
          <w:color w:val="auto"/>
          <w:sz w:val="24"/>
          <w:highlight w:val="none"/>
        </w:rPr>
        <w:t>采购文件要求乙方提交履约保证金的，乙方应按</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约定的方式，以支票、汇票、本票或者金融机构、担保机构出具的保函等非现金形式，提交不超过合同金额2.</w:t>
      </w:r>
      <w:r>
        <w:rPr>
          <w:rFonts w:ascii="仿宋" w:hAnsi="仿宋" w:eastAsia="仿宋"/>
          <w:color w:val="auto"/>
          <w:sz w:val="24"/>
          <w:highlight w:val="none"/>
        </w:rPr>
        <w:t>5%的履约保证金；鼓励和支持乙方以银行、保险公司出具的保函形式提供履约保证。</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 xml:space="preserve">.2 </w:t>
      </w:r>
      <w:r>
        <w:rPr>
          <w:rFonts w:hint="eastAsia" w:ascii="仿宋" w:hAnsi="仿宋" w:eastAsia="仿宋"/>
          <w:color w:val="auto"/>
          <w:sz w:val="24"/>
          <w:highlight w:val="none"/>
        </w:rPr>
        <w:t>履约保证金在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约定期间内不予退还。乙方在前述约定期间届满前能履行完合同约定义务事项的，甲方在前述约定期间届满之日起</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个工作日内，按</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约定的方式将履约保证金退还乙方，逾期退还的，乙方可要求甲方支付违约金，违约金按每迟延退还一日的应退还而未退还金额的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rPr>
        <w:t>%计算，最高限额为本合同履约保证金的</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rPr>
        <w:t xml:space="preserve">%； </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 xml:space="preserve">.3 </w:t>
      </w:r>
      <w:r>
        <w:rPr>
          <w:rFonts w:hint="eastAsia" w:ascii="仿宋" w:hAnsi="仿宋" w:eastAsia="仿宋"/>
          <w:color w:val="auto"/>
          <w:sz w:val="24"/>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color w:val="auto"/>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.4</w:t>
      </w:r>
      <w:r>
        <w:rPr>
          <w:rFonts w:hint="eastAsia" w:ascii="仿宋" w:hAnsi="仿宋" w:eastAsia="仿宋"/>
          <w:color w:val="auto"/>
          <w:sz w:val="24"/>
          <w:highlight w:val="none"/>
        </w:rPr>
        <w:t>甲方</w:t>
      </w:r>
      <w:r>
        <w:rPr>
          <w:rFonts w:ascii="仿宋" w:hAnsi="仿宋" w:eastAsia="仿宋"/>
          <w:color w:val="auto"/>
          <w:sz w:val="24"/>
          <w:highlight w:val="none"/>
        </w:rPr>
        <w:t>在</w:t>
      </w:r>
      <w:r>
        <w:rPr>
          <w:rFonts w:hint="eastAsia" w:ascii="仿宋" w:hAnsi="仿宋" w:eastAsia="仿宋"/>
          <w:color w:val="auto"/>
          <w:sz w:val="24"/>
          <w:highlight w:val="none"/>
        </w:rPr>
        <w:t>乙方</w:t>
      </w:r>
      <w:r>
        <w:rPr>
          <w:rFonts w:ascii="仿宋" w:hAnsi="仿宋" w:eastAsia="仿宋"/>
          <w:color w:val="auto"/>
          <w:sz w:val="24"/>
          <w:highlight w:val="none"/>
        </w:rPr>
        <w:t>履行完合同约定义务事项后及时退还，延迟退还的，应当按照合同约定和法律规定承担相应的赔偿责任。</w:t>
      </w:r>
    </w:p>
    <w:p>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21</w:t>
      </w:r>
      <w:r>
        <w:rPr>
          <w:rFonts w:ascii="仿宋" w:hAnsi="仿宋" w:eastAsia="仿宋"/>
          <w:color w:val="auto"/>
          <w:sz w:val="24"/>
          <w:highlight w:val="none"/>
        </w:rPr>
        <w:t>对于因甲方原因导致变更、中止或者终止政府采购合同的，甲方应当依照合同约定对供应商受到的损失予以赔偿或者补偿。</w:t>
      </w:r>
    </w:p>
    <w:bookmarkEnd w:id="164"/>
    <w:p>
      <w:pPr>
        <w:spacing w:line="560" w:lineRule="exact"/>
        <w:ind w:firstLine="482" w:firstLineChars="200"/>
        <w:outlineLvl w:val="0"/>
        <w:rPr>
          <w:rFonts w:ascii="仿宋" w:hAnsi="仿宋" w:eastAsia="仿宋"/>
          <w:b/>
          <w:color w:val="auto"/>
          <w:sz w:val="24"/>
          <w:highlight w:val="none"/>
        </w:rPr>
      </w:pPr>
      <w:bookmarkStart w:id="165" w:name="_Toc14001"/>
      <w:bookmarkStart w:id="166" w:name="_Toc6885"/>
      <w:bookmarkStart w:id="167" w:name="_Toc19890"/>
      <w:r>
        <w:rPr>
          <w:rFonts w:ascii="仿宋" w:hAnsi="仿宋" w:eastAsia="仿宋"/>
          <w:b/>
          <w:color w:val="auto"/>
          <w:sz w:val="24"/>
          <w:highlight w:val="none"/>
        </w:rPr>
        <w:t>2.</w:t>
      </w:r>
      <w:r>
        <w:rPr>
          <w:rFonts w:hint="eastAsia" w:ascii="仿宋" w:hAnsi="仿宋" w:eastAsia="仿宋"/>
          <w:b/>
          <w:color w:val="auto"/>
          <w:sz w:val="24"/>
          <w:highlight w:val="none"/>
        </w:rPr>
        <w:t>22合同份数</w:t>
      </w:r>
      <w:bookmarkEnd w:id="165"/>
      <w:bookmarkEnd w:id="166"/>
      <w:bookmarkEnd w:id="167"/>
    </w:p>
    <w:p>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合同份数按</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规定，每份均具有同等法律效力。</w:t>
      </w:r>
    </w:p>
    <w:p>
      <w:pPr>
        <w:spacing w:line="560" w:lineRule="exact"/>
        <w:ind w:firstLine="420"/>
        <w:jc w:val="center"/>
        <w:rPr>
          <w:rFonts w:ascii="仿宋" w:hAnsi="仿宋" w:eastAsia="仿宋"/>
          <w:b/>
          <w:color w:val="auto"/>
          <w:highlight w:val="none"/>
        </w:rPr>
      </w:pPr>
      <w:r>
        <w:rPr>
          <w:rFonts w:ascii="仿宋" w:hAnsi="仿宋" w:eastAsia="仿宋" w:cstheme="minorBidi"/>
          <w:color w:val="auto"/>
          <w:kern w:val="0"/>
          <w:highlight w:val="none"/>
        </w:rPr>
        <w:br w:type="page"/>
      </w:r>
      <w:bookmarkStart w:id="168" w:name="_Toc331685784"/>
      <w:r>
        <w:rPr>
          <w:rFonts w:hint="eastAsia" w:ascii="仿宋" w:hAnsi="仿宋" w:eastAsia="仿宋"/>
          <w:b/>
          <w:color w:val="auto"/>
          <w:highlight w:val="none"/>
        </w:rPr>
        <w:t xml:space="preserve"> </w:t>
      </w:r>
      <w:bookmarkEnd w:id="168"/>
      <w:r>
        <w:rPr>
          <w:rFonts w:hint="eastAsia" w:ascii="仿宋" w:hAnsi="仿宋" w:eastAsia="仿宋"/>
          <w:b/>
          <w:color w:val="auto"/>
          <w:highlight w:val="none"/>
        </w:rPr>
        <w:t>第三部分</w:t>
      </w:r>
      <w:r>
        <w:rPr>
          <w:rFonts w:ascii="仿宋" w:hAnsi="仿宋" w:eastAsia="仿宋"/>
          <w:b/>
          <w:color w:val="auto"/>
          <w:highlight w:val="none"/>
        </w:rPr>
        <w:t xml:space="preserve">  </w:t>
      </w:r>
      <w:r>
        <w:rPr>
          <w:rFonts w:hint="eastAsia" w:ascii="仿宋" w:hAnsi="仿宋" w:eastAsia="仿宋"/>
          <w:b/>
          <w:color w:val="auto"/>
          <w:highlight w:val="none"/>
        </w:rPr>
        <w:t>合同专用条款</w:t>
      </w:r>
    </w:p>
    <w:p>
      <w:pPr>
        <w:spacing w:line="560" w:lineRule="exact"/>
        <w:ind w:left="-420" w:leftChars="-200" w:right="-420" w:rightChars="-200" w:firstLine="480" w:firstLineChars="200"/>
        <w:rPr>
          <w:color w:val="auto"/>
          <w:highlight w:val="none"/>
        </w:rPr>
      </w:pPr>
      <w:r>
        <w:rPr>
          <w:rFonts w:hint="eastAsia" w:ascii="仿宋" w:hAnsi="仿宋" w:eastAsia="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1"/>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spacing w:line="360" w:lineRule="auto"/>
              <w:jc w:val="center"/>
              <w:rPr>
                <w:rFonts w:ascii="仿宋_GB2312" w:hAnsi="楷体" w:eastAsia="仿宋_GB2312"/>
                <w:b/>
                <w:color w:val="auto"/>
                <w:sz w:val="24"/>
                <w:highlight w:val="none"/>
              </w:rPr>
            </w:pPr>
            <w:r>
              <w:rPr>
                <w:rFonts w:hint="eastAsia" w:ascii="仿宋_GB2312" w:hAnsi="楷体" w:eastAsia="仿宋_GB2312"/>
                <w:b/>
                <w:color w:val="auto"/>
                <w:sz w:val="24"/>
                <w:highlight w:val="none"/>
              </w:rPr>
              <w:t>条款号</w:t>
            </w:r>
          </w:p>
        </w:tc>
        <w:tc>
          <w:tcPr>
            <w:tcW w:w="4534" w:type="pct"/>
            <w:vAlign w:val="center"/>
          </w:tcPr>
          <w:p>
            <w:pPr>
              <w:spacing w:line="360" w:lineRule="auto"/>
              <w:jc w:val="center"/>
              <w:rPr>
                <w:rFonts w:ascii="仿宋_GB2312" w:hAnsi="楷体" w:eastAsia="仿宋_GB2312"/>
                <w:b/>
                <w:color w:val="auto"/>
                <w:sz w:val="24"/>
                <w:highlight w:val="none"/>
              </w:rPr>
            </w:pPr>
            <w:r>
              <w:rPr>
                <w:rFonts w:hint="eastAsia" w:ascii="仿宋_GB2312" w:hAnsi="楷体" w:eastAsia="仿宋_GB2312"/>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1.4.4</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1.5.</w:t>
            </w:r>
            <w:r>
              <w:rPr>
                <w:rFonts w:hint="eastAsia" w:ascii="仿宋" w:hAnsi="仿宋" w:eastAsia="仿宋"/>
                <w:color w:val="auto"/>
                <w:sz w:val="24"/>
                <w:highlight w:val="none"/>
              </w:rPr>
              <w:t>7</w:t>
            </w:r>
            <w:r>
              <w:rPr>
                <w:rFonts w:ascii="仿宋" w:hAnsi="仿宋" w:eastAsia="仿宋"/>
                <w:color w:val="auto"/>
                <w:sz w:val="24"/>
                <w:highlight w:val="none"/>
              </w:rPr>
              <w:t xml:space="preserve"> </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1.6</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1.6.1</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1.6.2</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2.3.</w:t>
            </w:r>
            <w:r>
              <w:rPr>
                <w:rFonts w:hint="eastAsia" w:ascii="仿宋" w:hAnsi="仿宋" w:eastAsia="仿宋"/>
                <w:color w:val="auto"/>
                <w:sz w:val="24"/>
                <w:highlight w:val="none"/>
              </w:rPr>
              <w:t>2</w:t>
            </w:r>
          </w:p>
        </w:tc>
        <w:tc>
          <w:tcPr>
            <w:tcW w:w="4534" w:type="pct"/>
            <w:vAlign w:val="center"/>
          </w:tcPr>
          <w:p>
            <w:pPr>
              <w:spacing w:line="360" w:lineRule="auto"/>
              <w:ind w:left="-420" w:leftChars="-200" w:right="-420" w:rightChars="-200" w:firstLine="480" w:firstLineChars="200"/>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2.4.2</w:t>
            </w:r>
          </w:p>
        </w:tc>
        <w:tc>
          <w:tcPr>
            <w:tcW w:w="4534" w:type="pct"/>
            <w:vAlign w:val="center"/>
          </w:tcPr>
          <w:p>
            <w:pPr>
              <w:spacing w:line="360" w:lineRule="auto"/>
              <w:ind w:left="-420" w:leftChars="-200" w:right="-420" w:rightChars="-200" w:firstLine="480" w:firstLineChars="200"/>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2.8</w:t>
            </w:r>
          </w:p>
        </w:tc>
        <w:tc>
          <w:tcPr>
            <w:tcW w:w="4534" w:type="pct"/>
            <w:vAlign w:val="center"/>
          </w:tcPr>
          <w:p>
            <w:pPr>
              <w:spacing w:line="360" w:lineRule="auto"/>
              <w:ind w:left="-420" w:leftChars="-200" w:right="-420" w:rightChars="-200" w:firstLine="480" w:firstLineChars="200"/>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12</w:t>
            </w:r>
            <w:r>
              <w:rPr>
                <w:rFonts w:ascii="仿宋" w:hAnsi="仿宋" w:eastAsia="仿宋"/>
                <w:color w:val="auto"/>
                <w:sz w:val="24"/>
                <w:highlight w:val="none"/>
              </w:rPr>
              <w:t>.</w:t>
            </w:r>
            <w:r>
              <w:rPr>
                <w:rFonts w:hint="eastAsia" w:ascii="仿宋" w:hAnsi="仿宋" w:eastAsia="仿宋"/>
                <w:color w:val="auto"/>
                <w:sz w:val="24"/>
                <w:highlight w:val="none"/>
              </w:rPr>
              <w:t>3</w:t>
            </w:r>
          </w:p>
        </w:tc>
        <w:tc>
          <w:tcPr>
            <w:tcW w:w="4534" w:type="pct"/>
            <w:vAlign w:val="center"/>
          </w:tcPr>
          <w:p>
            <w:pPr>
              <w:spacing w:line="360" w:lineRule="auto"/>
              <w:ind w:left="-420" w:leftChars="-200" w:right="-420" w:rightChars="-200" w:firstLine="480" w:firstLineChars="200"/>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2.12.4</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60" w:lineRule="auto"/>
              <w:rPr>
                <w:rFonts w:ascii="仿宋" w:hAnsi="仿宋" w:eastAsia="仿宋"/>
                <w:color w:val="auto"/>
                <w:sz w:val="24"/>
                <w:highlight w:val="none"/>
              </w:rPr>
            </w:pPr>
            <w:r>
              <w:rPr>
                <w:rFonts w:hint="eastAsia" w:ascii="仿宋" w:hAnsi="仿宋" w:eastAsia="仿宋"/>
                <w:color w:val="auto"/>
                <w:sz w:val="24"/>
                <w:highlight w:val="none"/>
              </w:rPr>
              <w:t xml:space="preserve">2.16.2 </w:t>
            </w:r>
          </w:p>
        </w:tc>
        <w:tc>
          <w:tcPr>
            <w:tcW w:w="4534" w:type="pct"/>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w:t>
            </w:r>
            <w:r>
              <w:rPr>
                <w:rFonts w:hint="eastAsia" w:ascii="仿宋" w:hAnsi="仿宋" w:eastAsia="仿宋"/>
                <w:color w:val="auto"/>
                <w:sz w:val="24"/>
                <w:highlight w:val="none"/>
              </w:rPr>
              <w:t>1</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20</w:t>
            </w:r>
            <w:r>
              <w:rPr>
                <w:rFonts w:ascii="仿宋" w:hAnsi="仿宋" w:eastAsia="仿宋"/>
                <w:color w:val="auto"/>
                <w:sz w:val="24"/>
                <w:highlight w:val="none"/>
              </w:rPr>
              <w:t>.</w:t>
            </w:r>
            <w:r>
              <w:rPr>
                <w:rFonts w:hint="eastAsia" w:ascii="仿宋" w:hAnsi="仿宋" w:eastAsia="仿宋"/>
                <w:color w:val="auto"/>
                <w:sz w:val="24"/>
                <w:highlight w:val="none"/>
              </w:rPr>
              <w:t>2</w:t>
            </w:r>
          </w:p>
        </w:tc>
        <w:tc>
          <w:tcPr>
            <w:tcW w:w="4534" w:type="pct"/>
            <w:vAlign w:val="center"/>
          </w:tcPr>
          <w:p>
            <w:pPr>
              <w:spacing w:line="360" w:lineRule="auto"/>
              <w:rPr>
                <w:rFonts w:ascii="仿宋" w:hAnsi="仿宋" w:eastAsia="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ind w:left="-420" w:leftChars="-200" w:right="-420" w:rightChars="-200" w:firstLine="480" w:firstLineChars="200"/>
              <w:outlineLvl w:val="0"/>
              <w:rPr>
                <w:rFonts w:ascii="仿宋" w:hAnsi="仿宋" w:eastAsia="仿宋"/>
                <w:color w:val="auto"/>
                <w:sz w:val="24"/>
                <w:highlight w:val="none"/>
              </w:rPr>
            </w:pPr>
            <w:r>
              <w:rPr>
                <w:rFonts w:ascii="仿宋" w:hAnsi="仿宋" w:eastAsia="仿宋"/>
                <w:color w:val="auto"/>
                <w:sz w:val="24"/>
                <w:highlight w:val="none"/>
              </w:rPr>
              <w:t>2.2</w:t>
            </w:r>
            <w:r>
              <w:rPr>
                <w:rFonts w:hint="eastAsia" w:ascii="仿宋" w:hAnsi="仿宋" w:eastAsia="仿宋"/>
                <w:color w:val="auto"/>
                <w:sz w:val="24"/>
                <w:highlight w:val="none"/>
              </w:rPr>
              <w:t>2</w:t>
            </w:r>
          </w:p>
        </w:tc>
        <w:tc>
          <w:tcPr>
            <w:tcW w:w="4534" w:type="pct"/>
            <w:vAlign w:val="center"/>
          </w:tcPr>
          <w:p>
            <w:pPr>
              <w:spacing w:line="360" w:lineRule="auto"/>
              <w:rPr>
                <w:rFonts w:ascii="仿宋" w:hAnsi="仿宋" w:eastAsia="仿宋"/>
                <w:color w:val="auto"/>
                <w:sz w:val="24"/>
                <w:highlight w:val="none"/>
              </w:rPr>
            </w:pPr>
          </w:p>
        </w:tc>
      </w:tr>
    </w:tbl>
    <w:p>
      <w:pPr>
        <w:spacing w:line="360" w:lineRule="auto"/>
        <w:ind w:left="-420" w:leftChars="-200" w:right="-420" w:rightChars="-200" w:firstLine="480" w:firstLineChars="200"/>
        <w:rPr>
          <w:rFonts w:ascii="仿宋" w:hAnsi="仿宋" w:eastAsia="仿宋"/>
          <w:color w:val="auto"/>
          <w:sz w:val="24"/>
          <w:highlight w:val="none"/>
        </w:rPr>
      </w:pPr>
    </w:p>
    <w:p>
      <w:pPr>
        <w:spacing w:line="380" w:lineRule="exact"/>
        <w:ind w:firstLine="480" w:firstLineChars="200"/>
        <w:jc w:val="left"/>
        <w:rPr>
          <w:rFonts w:ascii="仿宋_GB2312" w:hAnsi="宋体" w:eastAsia="仿宋_GB2312"/>
          <w:b/>
          <w:color w:val="auto"/>
          <w:sz w:val="36"/>
          <w:szCs w:val="36"/>
          <w:highlight w:val="none"/>
        </w:rPr>
      </w:pPr>
      <w:r>
        <w:rPr>
          <w:rFonts w:hint="eastAsia" w:ascii="仿宋_GB2312" w:hAnsi="宋体" w:eastAsia="仿宋_GB2312"/>
          <w:color w:val="auto"/>
          <w:sz w:val="24"/>
          <w:highlight w:val="none"/>
        </w:rPr>
        <w:t>（注：在正式签约时，根据上述精神应拟就更为详尽的合同书）</w:t>
      </w:r>
    </w:p>
    <w:p>
      <w:pPr>
        <w:snapToGrid w:val="0"/>
        <w:spacing w:line="440" w:lineRule="exact"/>
        <w:jc w:val="center"/>
        <w:rPr>
          <w:rFonts w:ascii="仿宋_GB2312" w:hAnsi="宋体" w:eastAsia="仿宋_GB2312"/>
          <w:b/>
          <w:color w:val="auto"/>
          <w:sz w:val="36"/>
          <w:szCs w:val="36"/>
          <w:highlight w:val="none"/>
        </w:rPr>
      </w:pPr>
    </w:p>
    <w:p>
      <w:pPr>
        <w:rPr>
          <w:color w:val="auto"/>
          <w:highlight w:val="none"/>
        </w:rPr>
      </w:pPr>
    </w:p>
    <w:p>
      <w:pPr>
        <w:pStyle w:val="23"/>
        <w:spacing w:line="800" w:lineRule="exact"/>
        <w:ind w:firstLine="723"/>
        <w:jc w:val="center"/>
        <w:rPr>
          <w:rFonts w:ascii="仿宋_GB2312" w:hAnsi="宋体" w:eastAsia="仿宋_GB2312"/>
          <w:b/>
          <w:color w:val="auto"/>
          <w:sz w:val="36"/>
          <w:szCs w:val="36"/>
          <w:highlight w:val="none"/>
        </w:rPr>
      </w:pPr>
    </w:p>
    <w:p>
      <w:pPr>
        <w:pStyle w:val="23"/>
        <w:pageBreakBefore/>
        <w:spacing w:line="800" w:lineRule="exact"/>
        <w:ind w:firstLine="726"/>
        <w:jc w:val="center"/>
        <w:rPr>
          <w:rFonts w:ascii="仿宋_GB2312" w:hAnsi="宋体" w:eastAsia="仿宋_GB2312"/>
          <w:b/>
          <w:color w:val="auto"/>
          <w:sz w:val="36"/>
          <w:szCs w:val="36"/>
          <w:highlight w:val="none"/>
        </w:rPr>
      </w:pPr>
      <w:r>
        <w:rPr>
          <w:rFonts w:hint="eastAsia" w:ascii="仿宋_GB2312" w:hAnsi="宋体" w:eastAsia="仿宋_GB2312"/>
          <w:b/>
          <w:color w:val="auto"/>
          <w:sz w:val="36"/>
          <w:szCs w:val="36"/>
          <w:highlight w:val="none"/>
        </w:rPr>
        <w:t>第五部分  评标方法及标准</w:t>
      </w:r>
    </w:p>
    <w:p>
      <w:pPr>
        <w:spacing w:line="440" w:lineRule="exact"/>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1、评标方法：</w:t>
      </w:r>
    </w:p>
    <w:p>
      <w:pPr>
        <w:spacing w:line="44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并列的，采用随机抽取的方式确定。</w:t>
      </w:r>
    </w:p>
    <w:p>
      <w:pPr>
        <w:spacing w:line="440" w:lineRule="exact"/>
        <w:ind w:firstLine="472" w:firstLineChars="196"/>
        <w:jc w:val="left"/>
        <w:rPr>
          <w:rFonts w:ascii="仿宋_GB2312" w:hAnsi="宋体" w:eastAsia="仿宋_GB2312"/>
          <w:b/>
          <w:color w:val="auto"/>
          <w:sz w:val="24"/>
          <w:highlight w:val="none"/>
        </w:rPr>
      </w:pPr>
      <w:r>
        <w:rPr>
          <w:rFonts w:hint="eastAsia" w:ascii="仿宋_GB2312" w:hAnsi="宋体" w:eastAsia="仿宋_GB2312"/>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440" w:lineRule="exact"/>
        <w:ind w:firstLine="482" w:firstLineChars="200"/>
        <w:jc w:val="left"/>
        <w:rPr>
          <w:rFonts w:ascii="仿宋_GB2312" w:hAnsi="宋体" w:eastAsia="仿宋_GB2312"/>
          <w:color w:val="auto"/>
          <w:sz w:val="24"/>
          <w:highlight w:val="none"/>
        </w:rPr>
      </w:pPr>
      <w:r>
        <w:rPr>
          <w:rFonts w:hint="eastAsia" w:ascii="仿宋_GB2312" w:hAnsi="宋体" w:eastAsia="仿宋_GB2312"/>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pPr>
        <w:spacing w:line="440" w:lineRule="exact"/>
        <w:jc w:val="left"/>
        <w:rPr>
          <w:rFonts w:ascii="仿宋_GB2312" w:hAnsi="宋体" w:eastAsia="仿宋_GB2312"/>
          <w:color w:val="auto"/>
          <w:sz w:val="24"/>
          <w:highlight w:val="none"/>
        </w:rPr>
      </w:pPr>
      <w:r>
        <w:rPr>
          <w:rFonts w:hint="eastAsia" w:ascii="仿宋_GB2312" w:hAnsi="宋体" w:eastAsia="仿宋_GB2312"/>
          <w:b/>
          <w:color w:val="auto"/>
          <w:sz w:val="24"/>
          <w:highlight w:val="none"/>
        </w:rPr>
        <w:t>2.评分标准：</w:t>
      </w:r>
      <w:r>
        <w:rPr>
          <w:rFonts w:hint="eastAsia" w:ascii="仿宋_GB2312" w:hAnsi="宋体" w:eastAsia="仿宋_GB2312"/>
          <w:color w:val="auto"/>
          <w:sz w:val="24"/>
          <w:highlight w:val="none"/>
        </w:rPr>
        <w:t>共100分，其中商务技术分</w:t>
      </w:r>
      <w:r>
        <w:rPr>
          <w:rFonts w:hint="eastAsia" w:ascii="仿宋_GB2312" w:hAnsi="宋体" w:eastAsia="仿宋_GB2312"/>
          <w:color w:val="auto"/>
          <w:sz w:val="24"/>
          <w:highlight w:val="none"/>
          <w:lang w:val="en-US" w:eastAsia="zh-CN"/>
        </w:rPr>
        <w:t>90</w:t>
      </w:r>
      <w:r>
        <w:rPr>
          <w:rFonts w:hint="eastAsia" w:ascii="仿宋_GB2312" w:hAnsi="宋体" w:eastAsia="仿宋_GB2312"/>
          <w:color w:val="auto"/>
          <w:sz w:val="24"/>
          <w:highlight w:val="none"/>
        </w:rPr>
        <w:t>分，价格分</w:t>
      </w:r>
      <w:r>
        <w:rPr>
          <w:rFonts w:hint="eastAsia" w:ascii="仿宋_GB2312" w:hAnsi="宋体" w:eastAsia="仿宋_GB2312"/>
          <w:color w:val="auto"/>
          <w:sz w:val="24"/>
          <w:highlight w:val="none"/>
          <w:lang w:val="en-US" w:eastAsia="zh-CN"/>
        </w:rPr>
        <w:t>10</w:t>
      </w:r>
      <w:r>
        <w:rPr>
          <w:rFonts w:hint="eastAsia" w:ascii="仿宋_GB2312" w:hAnsi="宋体" w:eastAsia="仿宋_GB2312"/>
          <w:color w:val="auto"/>
          <w:sz w:val="24"/>
          <w:highlight w:val="none"/>
        </w:rPr>
        <w:t>分。评分依下述所列为评标打分依据，分值如下（计算分值时，按其算术平均值保留小数2位）。</w:t>
      </w:r>
    </w:p>
    <w:p>
      <w:pPr>
        <w:spacing w:line="440" w:lineRule="exact"/>
        <w:rPr>
          <w:rFonts w:hint="eastAsia" w:ascii="仿宋_GB2312" w:hAnsi="宋体" w:eastAsia="仿宋_GB2312"/>
          <w:b/>
          <w:bCs/>
          <w:iCs/>
          <w:color w:val="auto"/>
          <w:sz w:val="24"/>
          <w:highlight w:val="none"/>
        </w:rPr>
      </w:pPr>
      <w:r>
        <w:rPr>
          <w:rFonts w:hint="eastAsia" w:ascii="仿宋_GB2312" w:hAnsi="宋体" w:eastAsia="仿宋_GB2312"/>
          <w:b/>
          <w:bCs/>
          <w:iCs/>
          <w:color w:val="auto"/>
          <w:sz w:val="24"/>
          <w:highlight w:val="none"/>
        </w:rPr>
        <w:t>2.1.商务技术分（</w:t>
      </w:r>
      <w:r>
        <w:rPr>
          <w:rFonts w:hint="eastAsia" w:ascii="仿宋_GB2312" w:hAnsi="宋体" w:eastAsia="仿宋_GB2312"/>
          <w:b/>
          <w:bCs/>
          <w:iCs/>
          <w:color w:val="auto"/>
          <w:sz w:val="24"/>
          <w:highlight w:val="none"/>
          <w:lang w:val="en-US" w:eastAsia="zh-CN"/>
        </w:rPr>
        <w:t>9</w:t>
      </w:r>
      <w:r>
        <w:rPr>
          <w:rFonts w:ascii="仿宋_GB2312" w:hAnsi="宋体" w:eastAsia="仿宋_GB2312"/>
          <w:b/>
          <w:bCs/>
          <w:iCs/>
          <w:color w:val="auto"/>
          <w:sz w:val="24"/>
          <w:highlight w:val="none"/>
        </w:rPr>
        <w:t>0</w:t>
      </w:r>
      <w:r>
        <w:rPr>
          <w:rFonts w:hint="eastAsia" w:ascii="仿宋_GB2312" w:hAnsi="宋体" w:eastAsia="仿宋_GB2312"/>
          <w:b/>
          <w:bCs/>
          <w:iCs/>
          <w:color w:val="auto"/>
          <w:sz w:val="24"/>
          <w:highlight w:val="none"/>
        </w:rPr>
        <w:t>分）</w:t>
      </w:r>
    </w:p>
    <w:p>
      <w:pPr>
        <w:pStyle w:val="7"/>
        <w:rPr>
          <w:rFonts w:hint="eastAsia" w:ascii="仿宋_GB2312" w:hAnsi="宋体" w:eastAsia="仿宋_GB2312"/>
          <w:b/>
          <w:bCs/>
          <w:iCs/>
          <w:color w:val="auto"/>
          <w:sz w:val="24"/>
          <w:highlight w:val="none"/>
        </w:rPr>
      </w:pPr>
    </w:p>
    <w:tbl>
      <w:tblPr>
        <w:tblStyle w:val="4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6"/>
        <w:gridCol w:w="6499"/>
        <w:gridCol w:w="12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Align w:val="center"/>
          </w:tcPr>
          <w:p>
            <w:pPr>
              <w:snapToGrid w:val="0"/>
              <w:spacing w:line="240" w:lineRule="atLeas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评审项目</w:t>
            </w:r>
          </w:p>
        </w:tc>
        <w:tc>
          <w:tcPr>
            <w:tcW w:w="6499" w:type="dxa"/>
            <w:vAlign w:val="center"/>
          </w:tcPr>
          <w:p>
            <w:pPr>
              <w:snapToGrid w:val="0"/>
              <w:spacing w:line="240" w:lineRule="atLeas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评分标准</w:t>
            </w:r>
          </w:p>
        </w:tc>
        <w:tc>
          <w:tcPr>
            <w:tcW w:w="1295" w:type="dxa"/>
            <w:vAlign w:val="center"/>
          </w:tcPr>
          <w:p>
            <w:pPr>
              <w:snapToGrid w:val="0"/>
              <w:spacing w:line="240" w:lineRule="atLeast"/>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szCs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Align w:val="center"/>
          </w:tcPr>
          <w:p>
            <w:pPr>
              <w:snapToGrid w:val="0"/>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投标人业绩</w:t>
            </w:r>
          </w:p>
        </w:tc>
        <w:tc>
          <w:tcPr>
            <w:tcW w:w="6499" w:type="dxa"/>
            <w:vAlign w:val="center"/>
          </w:tcPr>
          <w:p>
            <w:pPr>
              <w:pStyle w:val="284"/>
              <w:adjustRightInd w:val="0"/>
              <w:snapToGrid w:val="0"/>
              <w:spacing w:line="240" w:lineRule="atLeas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自2019年1月1日以来（以合同签订时间为准），投标人具有以下业绩：</w:t>
            </w:r>
          </w:p>
          <w:p>
            <w:pPr>
              <w:pStyle w:val="284"/>
              <w:numPr>
                <w:ilvl w:val="0"/>
                <w:numId w:val="7"/>
              </w:numPr>
              <w:adjustRightInd w:val="0"/>
              <w:snapToGrid w:val="0"/>
              <w:spacing w:line="240" w:lineRule="atLeas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lang w:val="en-US" w:eastAsia="zh-CN"/>
              </w:rPr>
              <w:t>具有同类业绩的</w:t>
            </w:r>
            <w:r>
              <w:rPr>
                <w:rFonts w:hint="eastAsia" w:ascii="仿宋" w:hAnsi="仿宋" w:eastAsia="仿宋" w:cs="仿宋"/>
                <w:color w:val="auto"/>
                <w:spacing w:val="4"/>
                <w:sz w:val="24"/>
                <w:szCs w:val="24"/>
                <w:highlight w:val="none"/>
              </w:rPr>
              <w:t>，每项得</w:t>
            </w:r>
            <w:r>
              <w:rPr>
                <w:rFonts w:hint="eastAsia" w:ascii="仿宋" w:hAnsi="仿宋" w:eastAsia="仿宋" w:cs="仿宋"/>
                <w:color w:val="auto"/>
                <w:spacing w:val="4"/>
                <w:sz w:val="24"/>
                <w:szCs w:val="24"/>
                <w:highlight w:val="none"/>
                <w:lang w:val="en-US" w:eastAsia="zh-CN"/>
              </w:rPr>
              <w:t>0.5</w:t>
            </w:r>
            <w:r>
              <w:rPr>
                <w:rFonts w:hint="eastAsia" w:ascii="仿宋" w:hAnsi="仿宋" w:eastAsia="仿宋" w:cs="仿宋"/>
                <w:color w:val="auto"/>
                <w:spacing w:val="4"/>
                <w:sz w:val="24"/>
                <w:szCs w:val="24"/>
                <w:highlight w:val="none"/>
              </w:rPr>
              <w:t>分</w:t>
            </w:r>
            <w:r>
              <w:rPr>
                <w:rFonts w:hint="eastAsia" w:ascii="仿宋" w:hAnsi="仿宋" w:eastAsia="仿宋" w:cs="仿宋"/>
                <w:color w:val="auto"/>
                <w:spacing w:val="4"/>
                <w:sz w:val="24"/>
                <w:szCs w:val="24"/>
                <w:highlight w:val="none"/>
                <w:lang w:eastAsia="zh-CN"/>
              </w:rPr>
              <w:t>，</w:t>
            </w:r>
            <w:r>
              <w:rPr>
                <w:rFonts w:hint="eastAsia" w:ascii="仿宋" w:hAnsi="仿宋" w:eastAsia="仿宋" w:cs="仿宋"/>
                <w:color w:val="auto"/>
                <w:spacing w:val="4"/>
                <w:sz w:val="24"/>
                <w:szCs w:val="24"/>
                <w:highlight w:val="none"/>
                <w:lang w:val="en-US" w:eastAsia="zh-CN"/>
              </w:rPr>
              <w:t>最多1分</w:t>
            </w:r>
            <w:r>
              <w:rPr>
                <w:rFonts w:hint="eastAsia" w:ascii="仿宋" w:hAnsi="仿宋" w:eastAsia="仿宋" w:cs="仿宋"/>
                <w:color w:val="auto"/>
                <w:spacing w:val="4"/>
                <w:sz w:val="24"/>
                <w:szCs w:val="24"/>
                <w:highlight w:val="none"/>
              </w:rPr>
              <w:t>。</w:t>
            </w:r>
          </w:p>
          <w:p>
            <w:pPr>
              <w:pStyle w:val="284"/>
              <w:adjustRightInd w:val="0"/>
              <w:snapToGrid w:val="0"/>
              <w:spacing w:line="240" w:lineRule="atLeast"/>
              <w:rPr>
                <w:rFonts w:hint="eastAsia" w:ascii="仿宋" w:hAnsi="仿宋" w:eastAsia="仿宋" w:cs="仿宋"/>
                <w:color w:val="auto"/>
                <w:spacing w:val="4"/>
                <w:sz w:val="24"/>
                <w:szCs w:val="24"/>
                <w:highlight w:val="none"/>
              </w:rPr>
            </w:pPr>
            <w:r>
              <w:rPr>
                <w:rFonts w:hint="eastAsia" w:ascii="仿宋" w:hAnsi="仿宋" w:eastAsia="仿宋" w:cs="仿宋"/>
                <w:color w:val="auto"/>
                <w:spacing w:val="4"/>
                <w:sz w:val="24"/>
                <w:szCs w:val="24"/>
                <w:highlight w:val="none"/>
              </w:rPr>
              <w:t>（业绩证明材料以签订的合同为准，提供</w:t>
            </w:r>
            <w:r>
              <w:rPr>
                <w:rFonts w:hint="eastAsia" w:ascii="仿宋" w:hAnsi="仿宋" w:eastAsia="仿宋" w:cs="仿宋"/>
                <w:color w:val="auto"/>
                <w:spacing w:val="4"/>
                <w:sz w:val="24"/>
                <w:szCs w:val="24"/>
                <w:highlight w:val="none"/>
                <w:lang w:val="en-US" w:eastAsia="zh-CN"/>
              </w:rPr>
              <w:t>相关证明资料</w:t>
            </w:r>
            <w:r>
              <w:rPr>
                <w:rFonts w:hint="eastAsia" w:ascii="仿宋" w:hAnsi="仿宋" w:eastAsia="仿宋" w:cs="仿宋"/>
                <w:color w:val="auto"/>
                <w:spacing w:val="4"/>
                <w:sz w:val="24"/>
                <w:szCs w:val="24"/>
                <w:highlight w:val="none"/>
              </w:rPr>
              <w:t>扫描件并加盖单位公章。）</w:t>
            </w:r>
          </w:p>
        </w:tc>
        <w:tc>
          <w:tcPr>
            <w:tcW w:w="1295" w:type="dxa"/>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Align w:val="center"/>
          </w:tcPr>
          <w:p>
            <w:pPr>
              <w:snapToGrid w:val="0"/>
              <w:spacing w:line="240" w:lineRule="atLeast"/>
              <w:jc w:val="center"/>
              <w:rPr>
                <w:rFonts w:hint="eastAsia" w:ascii="仿宋" w:hAnsi="仿宋" w:eastAsia="仿宋" w:cs="仿宋"/>
                <w:strike/>
                <w:dstrike w:val="0"/>
                <w:color w:val="auto"/>
                <w:sz w:val="24"/>
                <w:szCs w:val="24"/>
                <w:highlight w:val="none"/>
                <w:lang w:val="en-US" w:eastAsia="zh-CN"/>
              </w:rPr>
            </w:pPr>
            <w:r>
              <w:rPr>
                <w:rFonts w:hint="eastAsia" w:ascii="仿宋" w:hAnsi="仿宋" w:eastAsia="仿宋" w:cs="仿宋"/>
                <w:strike w:val="0"/>
                <w:dstrike w:val="0"/>
                <w:color w:val="auto"/>
                <w:sz w:val="24"/>
                <w:szCs w:val="24"/>
                <w:highlight w:val="none"/>
                <w:lang w:val="en-US" w:eastAsia="zh-CN"/>
              </w:rPr>
              <w:t>荣誉</w:t>
            </w:r>
          </w:p>
        </w:tc>
        <w:tc>
          <w:tcPr>
            <w:tcW w:w="6499" w:type="dxa"/>
            <w:vAlign w:val="center"/>
          </w:tcPr>
          <w:p>
            <w:pPr>
              <w:pStyle w:val="284"/>
              <w:adjustRightInd w:val="0"/>
              <w:snapToGrid w:val="0"/>
              <w:spacing w:line="240" w:lineRule="atLeast"/>
              <w:rPr>
                <w:rFonts w:hint="eastAsia" w:ascii="仿宋" w:hAnsi="仿宋" w:eastAsia="仿宋" w:cs="仿宋"/>
                <w:strike w:val="0"/>
                <w:dstrike w:val="0"/>
                <w:color w:val="auto"/>
                <w:spacing w:val="4"/>
                <w:sz w:val="24"/>
                <w:szCs w:val="24"/>
                <w:highlight w:val="none"/>
              </w:rPr>
            </w:pPr>
            <w:r>
              <w:rPr>
                <w:rFonts w:hint="eastAsia" w:ascii="仿宋" w:hAnsi="仿宋" w:eastAsia="仿宋" w:cs="仿宋"/>
                <w:strike w:val="0"/>
                <w:dstrike w:val="0"/>
                <w:color w:val="auto"/>
                <w:spacing w:val="4"/>
                <w:sz w:val="24"/>
                <w:szCs w:val="24"/>
                <w:highlight w:val="none"/>
              </w:rPr>
              <w:t>自2019年1月1日以来，投标人获得过</w:t>
            </w:r>
            <w:r>
              <w:rPr>
                <w:rFonts w:hint="eastAsia" w:ascii="仿宋" w:hAnsi="仿宋" w:eastAsia="仿宋" w:cs="仿宋"/>
                <w:strike w:val="0"/>
                <w:dstrike w:val="0"/>
                <w:color w:val="auto"/>
                <w:spacing w:val="4"/>
                <w:sz w:val="24"/>
                <w:szCs w:val="24"/>
                <w:highlight w:val="none"/>
                <w:lang w:val="en-US" w:eastAsia="zh-CN"/>
              </w:rPr>
              <w:t>防汛减灾相关的</w:t>
            </w:r>
            <w:r>
              <w:rPr>
                <w:rFonts w:hint="eastAsia" w:ascii="仿宋" w:hAnsi="仿宋" w:eastAsia="仿宋" w:cs="仿宋"/>
                <w:strike w:val="0"/>
                <w:dstrike w:val="0"/>
                <w:color w:val="auto"/>
                <w:spacing w:val="4"/>
                <w:sz w:val="24"/>
                <w:szCs w:val="24"/>
                <w:highlight w:val="none"/>
              </w:rPr>
              <w:t>数字化改革</w:t>
            </w:r>
            <w:r>
              <w:rPr>
                <w:rFonts w:hint="eastAsia" w:ascii="仿宋" w:hAnsi="仿宋" w:eastAsia="仿宋" w:cs="仿宋"/>
                <w:strike w:val="0"/>
                <w:dstrike w:val="0"/>
                <w:color w:val="auto"/>
                <w:spacing w:val="4"/>
                <w:sz w:val="24"/>
                <w:szCs w:val="24"/>
                <w:highlight w:val="none"/>
                <w:lang w:eastAsia="zh-CN"/>
              </w:rPr>
              <w:t>荣誉</w:t>
            </w:r>
            <w:r>
              <w:rPr>
                <w:rFonts w:hint="eastAsia" w:ascii="仿宋" w:hAnsi="仿宋" w:eastAsia="仿宋" w:cs="仿宋"/>
                <w:strike w:val="0"/>
                <w:dstrike w:val="0"/>
                <w:color w:val="auto"/>
                <w:spacing w:val="4"/>
                <w:sz w:val="24"/>
                <w:szCs w:val="24"/>
                <w:highlight w:val="none"/>
              </w:rPr>
              <w:t>的，得</w:t>
            </w:r>
            <w:r>
              <w:rPr>
                <w:rFonts w:hint="eastAsia" w:ascii="仿宋" w:hAnsi="仿宋" w:eastAsia="仿宋" w:cs="仿宋"/>
                <w:strike w:val="0"/>
                <w:dstrike w:val="0"/>
                <w:color w:val="auto"/>
                <w:spacing w:val="4"/>
                <w:sz w:val="24"/>
                <w:szCs w:val="24"/>
                <w:highlight w:val="none"/>
                <w:lang w:val="en-US" w:eastAsia="zh-CN"/>
              </w:rPr>
              <w:t>2</w:t>
            </w:r>
            <w:r>
              <w:rPr>
                <w:rFonts w:hint="eastAsia" w:ascii="仿宋" w:hAnsi="仿宋" w:eastAsia="仿宋" w:cs="仿宋"/>
                <w:strike w:val="0"/>
                <w:dstrike w:val="0"/>
                <w:color w:val="auto"/>
                <w:spacing w:val="4"/>
                <w:sz w:val="24"/>
                <w:szCs w:val="24"/>
                <w:highlight w:val="none"/>
              </w:rPr>
              <w:t>分，没有不得分。</w:t>
            </w:r>
          </w:p>
          <w:p>
            <w:pPr>
              <w:pStyle w:val="284"/>
              <w:adjustRightInd w:val="0"/>
              <w:snapToGrid w:val="0"/>
              <w:spacing w:line="240" w:lineRule="atLeast"/>
              <w:rPr>
                <w:rFonts w:hint="eastAsia" w:ascii="仿宋" w:hAnsi="仿宋" w:eastAsia="仿宋" w:cs="仿宋"/>
                <w:strike w:val="0"/>
                <w:dstrike w:val="0"/>
                <w:color w:val="auto"/>
                <w:spacing w:val="4"/>
                <w:sz w:val="24"/>
                <w:szCs w:val="24"/>
                <w:highlight w:val="none"/>
              </w:rPr>
            </w:pPr>
            <w:r>
              <w:rPr>
                <w:rFonts w:hint="eastAsia" w:ascii="仿宋" w:hAnsi="仿宋" w:eastAsia="仿宋" w:cs="仿宋"/>
                <w:strike w:val="0"/>
                <w:dstrike w:val="0"/>
                <w:color w:val="auto"/>
                <w:spacing w:val="4"/>
                <w:sz w:val="24"/>
                <w:szCs w:val="24"/>
                <w:highlight w:val="none"/>
              </w:rPr>
              <w:t>注；提供</w:t>
            </w:r>
            <w:r>
              <w:rPr>
                <w:rFonts w:hint="eastAsia" w:ascii="仿宋" w:hAnsi="仿宋" w:eastAsia="仿宋" w:cs="仿宋"/>
                <w:strike w:val="0"/>
                <w:dstrike w:val="0"/>
                <w:color w:val="auto"/>
                <w:spacing w:val="4"/>
                <w:sz w:val="24"/>
                <w:szCs w:val="24"/>
                <w:highlight w:val="none"/>
                <w:lang w:val="en-US" w:eastAsia="zh-CN"/>
              </w:rPr>
              <w:t>相关证明资料</w:t>
            </w:r>
            <w:r>
              <w:rPr>
                <w:rFonts w:hint="eastAsia" w:ascii="仿宋" w:hAnsi="仿宋" w:eastAsia="仿宋" w:cs="仿宋"/>
                <w:strike w:val="0"/>
                <w:dstrike w:val="0"/>
                <w:color w:val="auto"/>
                <w:spacing w:val="4"/>
                <w:sz w:val="24"/>
                <w:szCs w:val="24"/>
                <w:highlight w:val="none"/>
              </w:rPr>
              <w:t>扫描件并加盖单位公章，否则不得分。</w:t>
            </w:r>
          </w:p>
        </w:tc>
        <w:tc>
          <w:tcPr>
            <w:tcW w:w="1295" w:type="dxa"/>
            <w:vAlign w:val="center"/>
          </w:tcPr>
          <w:p>
            <w:pPr>
              <w:snapToGrid w:val="0"/>
              <w:spacing w:line="240" w:lineRule="atLeast"/>
              <w:jc w:val="center"/>
              <w:rPr>
                <w:rFonts w:hint="eastAsia" w:ascii="仿宋" w:hAnsi="仿宋" w:eastAsia="仿宋" w:cs="仿宋"/>
                <w:strike w:val="0"/>
                <w:dstrike w:val="0"/>
                <w:color w:val="auto"/>
                <w:kern w:val="2"/>
                <w:sz w:val="24"/>
                <w:szCs w:val="24"/>
                <w:highlight w:val="none"/>
                <w:lang w:val="en-US" w:eastAsia="zh-CN" w:bidi="ar-SA"/>
              </w:rPr>
            </w:pPr>
            <w:r>
              <w:rPr>
                <w:rFonts w:hint="eastAsia" w:ascii="仿宋" w:hAnsi="仿宋" w:eastAsia="仿宋" w:cs="仿宋"/>
                <w:strike w:val="0"/>
                <w:dstrike w:val="0"/>
                <w:color w:val="auto"/>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restart"/>
            <w:vAlign w:val="center"/>
          </w:tcPr>
          <w:p>
            <w:pPr>
              <w:widowControl/>
              <w:snapToGrid w:val="0"/>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投标人资信</w:t>
            </w:r>
          </w:p>
        </w:tc>
        <w:tc>
          <w:tcPr>
            <w:tcW w:w="6499" w:type="dxa"/>
            <w:vAlign w:val="center"/>
          </w:tcPr>
          <w:p>
            <w:pPr>
              <w:widowControl/>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1、投标人具有国家测绘地理信息局核发的地理信息系统工程乙级及以上资质得</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分，没有不得分；</w:t>
            </w:r>
          </w:p>
          <w:p>
            <w:pPr>
              <w:widowControl/>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2、具有水利水电专业工程咨询单位资信能力评价甲级得</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分，乙级资质的得1分，其他不得分。</w:t>
            </w:r>
          </w:p>
          <w:p>
            <w:pPr>
              <w:widowControl/>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3、具有水利行业设计甲级资质的得</w:t>
            </w:r>
            <w:r>
              <w:rPr>
                <w:rFonts w:hint="eastAsia" w:ascii="仿宋" w:hAnsi="仿宋" w:eastAsia="仿宋" w:cs="仿宋"/>
                <w:bCs/>
                <w:color w:val="auto"/>
                <w:spacing w:val="4"/>
                <w:sz w:val="24"/>
                <w:szCs w:val="24"/>
                <w:highlight w:val="none"/>
                <w:lang w:val="en-US" w:eastAsia="zh-CN"/>
              </w:rPr>
              <w:t>3</w:t>
            </w:r>
            <w:r>
              <w:rPr>
                <w:rFonts w:hint="eastAsia" w:ascii="仿宋" w:hAnsi="仿宋" w:eastAsia="仿宋" w:cs="仿宋"/>
                <w:bCs/>
                <w:color w:val="auto"/>
                <w:spacing w:val="4"/>
                <w:sz w:val="24"/>
                <w:szCs w:val="24"/>
                <w:highlight w:val="none"/>
              </w:rPr>
              <w:t>分，乙级资质的得</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w:t>
            </w:r>
            <w:r>
              <w:rPr>
                <w:rFonts w:hint="eastAsia" w:ascii="仿宋" w:hAnsi="仿宋" w:eastAsia="仿宋" w:cs="仿宋"/>
                <w:bCs/>
                <w:color w:val="auto"/>
                <w:spacing w:val="4"/>
                <w:sz w:val="24"/>
                <w:szCs w:val="24"/>
                <w:highlight w:val="none"/>
                <w:lang w:eastAsia="zh-CN"/>
              </w:rPr>
              <w:t>丙</w:t>
            </w:r>
            <w:r>
              <w:rPr>
                <w:rFonts w:hint="eastAsia" w:ascii="仿宋" w:hAnsi="仿宋" w:eastAsia="仿宋" w:cs="仿宋"/>
                <w:bCs/>
                <w:color w:val="auto"/>
                <w:spacing w:val="4"/>
                <w:sz w:val="24"/>
                <w:szCs w:val="24"/>
                <w:highlight w:val="none"/>
              </w:rPr>
              <w:t>级资质的得</w:t>
            </w:r>
            <w:r>
              <w:rPr>
                <w:rFonts w:hint="eastAsia" w:ascii="仿宋" w:hAnsi="仿宋" w:eastAsia="仿宋" w:cs="仿宋"/>
                <w:bCs/>
                <w:color w:val="auto"/>
                <w:spacing w:val="4"/>
                <w:sz w:val="24"/>
                <w:szCs w:val="24"/>
                <w:highlight w:val="none"/>
                <w:lang w:val="en-US" w:eastAsia="zh-CN"/>
              </w:rPr>
              <w:t>1</w:t>
            </w:r>
            <w:r>
              <w:rPr>
                <w:rFonts w:hint="eastAsia" w:ascii="仿宋" w:hAnsi="仿宋" w:eastAsia="仿宋" w:cs="仿宋"/>
                <w:bCs/>
                <w:color w:val="auto"/>
                <w:spacing w:val="4"/>
                <w:sz w:val="24"/>
                <w:szCs w:val="24"/>
                <w:highlight w:val="none"/>
              </w:rPr>
              <w:t>分</w:t>
            </w:r>
            <w:r>
              <w:rPr>
                <w:rFonts w:hint="eastAsia" w:ascii="仿宋" w:hAnsi="仿宋" w:eastAsia="仿宋" w:cs="仿宋"/>
                <w:color w:val="auto"/>
                <w:spacing w:val="4"/>
                <w:sz w:val="24"/>
                <w:szCs w:val="24"/>
                <w:highlight w:val="none"/>
              </w:rPr>
              <w:t>。</w:t>
            </w:r>
          </w:p>
          <w:p>
            <w:pPr>
              <w:widowControl/>
              <w:snapToGrid w:val="0"/>
              <w:spacing w:line="240" w:lineRule="atLeast"/>
              <w:ind w:firstLine="248" w:firstLineChars="100"/>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注</w:t>
            </w:r>
            <w:r>
              <w:rPr>
                <w:rFonts w:hint="eastAsia" w:ascii="仿宋" w:hAnsi="仿宋" w:eastAsia="仿宋" w:cs="仿宋"/>
                <w:bCs/>
                <w:color w:val="auto"/>
                <w:spacing w:val="4"/>
                <w:sz w:val="24"/>
                <w:szCs w:val="24"/>
                <w:highlight w:val="none"/>
                <w:lang w:eastAsia="zh-CN"/>
              </w:rPr>
              <w:t>：</w:t>
            </w:r>
            <w:r>
              <w:rPr>
                <w:rFonts w:hint="eastAsia" w:ascii="仿宋" w:hAnsi="仿宋" w:eastAsia="仿宋" w:cs="仿宋"/>
                <w:color w:val="auto"/>
                <w:spacing w:val="4"/>
                <w:sz w:val="24"/>
                <w:szCs w:val="24"/>
                <w:highlight w:val="none"/>
              </w:rPr>
              <w:t>提供</w:t>
            </w:r>
            <w:r>
              <w:rPr>
                <w:rFonts w:hint="eastAsia" w:ascii="仿宋" w:hAnsi="仿宋" w:eastAsia="仿宋" w:cs="仿宋"/>
                <w:color w:val="auto"/>
                <w:spacing w:val="4"/>
                <w:sz w:val="24"/>
                <w:szCs w:val="24"/>
                <w:highlight w:val="none"/>
                <w:lang w:val="en-US" w:eastAsia="zh-CN"/>
              </w:rPr>
              <w:t>相关证明资料</w:t>
            </w:r>
            <w:r>
              <w:rPr>
                <w:rFonts w:hint="eastAsia" w:ascii="仿宋" w:hAnsi="仿宋" w:eastAsia="仿宋" w:cs="仿宋"/>
                <w:color w:val="auto"/>
                <w:spacing w:val="4"/>
                <w:sz w:val="24"/>
                <w:szCs w:val="24"/>
                <w:highlight w:val="none"/>
              </w:rPr>
              <w:t>扫描件并加盖单位公章</w:t>
            </w:r>
            <w:r>
              <w:rPr>
                <w:rFonts w:hint="eastAsia" w:ascii="仿宋" w:hAnsi="仿宋" w:eastAsia="仿宋" w:cs="仿宋"/>
                <w:bCs/>
                <w:color w:val="auto"/>
                <w:spacing w:val="4"/>
                <w:sz w:val="24"/>
                <w:szCs w:val="24"/>
                <w:highlight w:val="none"/>
              </w:rPr>
              <w:t>，否则不得分。</w:t>
            </w:r>
          </w:p>
        </w:tc>
        <w:tc>
          <w:tcPr>
            <w:tcW w:w="1295" w:type="dxa"/>
            <w:vMerge w:val="restart"/>
            <w:vAlign w:val="center"/>
          </w:tcPr>
          <w:p>
            <w:pPr>
              <w:snapToGrid w:val="0"/>
              <w:spacing w:line="240" w:lineRule="atLeast"/>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widowControl/>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widowControl/>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1、投标人具有水管理平台软件著作权的得</w:t>
            </w:r>
            <w:r>
              <w:rPr>
                <w:rFonts w:hint="eastAsia" w:ascii="仿宋" w:hAnsi="仿宋" w:eastAsia="仿宋" w:cs="仿宋"/>
                <w:bCs/>
                <w:color w:val="auto"/>
                <w:spacing w:val="4"/>
                <w:sz w:val="24"/>
                <w:szCs w:val="24"/>
                <w:highlight w:val="none"/>
                <w:lang w:val="en-US" w:eastAsia="zh-CN"/>
              </w:rPr>
              <w:t>0.5</w:t>
            </w:r>
            <w:r>
              <w:rPr>
                <w:rFonts w:hint="eastAsia" w:ascii="仿宋" w:hAnsi="仿宋" w:eastAsia="仿宋" w:cs="仿宋"/>
                <w:bCs/>
                <w:color w:val="auto"/>
                <w:spacing w:val="4"/>
                <w:sz w:val="24"/>
                <w:szCs w:val="24"/>
                <w:highlight w:val="none"/>
              </w:rPr>
              <w:t>分；没有不得分；</w:t>
            </w:r>
          </w:p>
          <w:p>
            <w:pPr>
              <w:widowControl/>
              <w:snapToGrid w:val="0"/>
              <w:spacing w:line="240" w:lineRule="atLeast"/>
              <w:rPr>
                <w:rFonts w:hint="eastAsia" w:ascii="仿宋" w:hAnsi="仿宋" w:eastAsia="仿宋" w:cs="仿宋"/>
                <w:bCs/>
                <w:strike/>
                <w:dstrike w:val="0"/>
                <w:color w:val="auto"/>
                <w:spacing w:val="4"/>
                <w:sz w:val="24"/>
                <w:szCs w:val="24"/>
                <w:highlight w:val="none"/>
                <w:lang w:val="en-US" w:eastAsia="zh-CN"/>
              </w:rPr>
            </w:pPr>
            <w:r>
              <w:rPr>
                <w:rFonts w:hint="eastAsia" w:ascii="仿宋" w:hAnsi="仿宋" w:eastAsia="仿宋" w:cs="仿宋"/>
                <w:bCs/>
                <w:color w:val="auto"/>
                <w:spacing w:val="4"/>
                <w:sz w:val="24"/>
                <w:szCs w:val="24"/>
                <w:highlight w:val="none"/>
              </w:rPr>
              <w:t>2、投标人具有流域实时洪水概率预报</w:t>
            </w:r>
            <w:r>
              <w:rPr>
                <w:rFonts w:hint="eastAsia" w:ascii="仿宋" w:hAnsi="仿宋" w:eastAsia="仿宋" w:cs="仿宋"/>
                <w:bCs/>
                <w:color w:val="auto"/>
                <w:spacing w:val="4"/>
                <w:sz w:val="24"/>
                <w:szCs w:val="24"/>
                <w:highlight w:val="none"/>
                <w:lang w:val="en-US" w:eastAsia="zh-CN"/>
              </w:rPr>
              <w:t>相关</w:t>
            </w:r>
            <w:r>
              <w:rPr>
                <w:rFonts w:hint="eastAsia" w:ascii="仿宋" w:hAnsi="仿宋" w:eastAsia="仿宋" w:cs="仿宋"/>
                <w:bCs/>
                <w:color w:val="auto"/>
                <w:spacing w:val="4"/>
                <w:sz w:val="24"/>
                <w:szCs w:val="24"/>
                <w:highlight w:val="none"/>
              </w:rPr>
              <w:t>软件著作权的得</w:t>
            </w:r>
            <w:r>
              <w:rPr>
                <w:rFonts w:hint="eastAsia" w:ascii="仿宋" w:hAnsi="仿宋" w:eastAsia="仿宋" w:cs="仿宋"/>
                <w:bCs/>
                <w:color w:val="auto"/>
                <w:spacing w:val="4"/>
                <w:sz w:val="24"/>
                <w:szCs w:val="24"/>
                <w:highlight w:val="none"/>
                <w:lang w:val="en-US" w:eastAsia="zh-CN"/>
              </w:rPr>
              <w:t>0.5</w:t>
            </w:r>
            <w:r>
              <w:rPr>
                <w:rFonts w:hint="eastAsia" w:ascii="仿宋" w:hAnsi="仿宋" w:eastAsia="仿宋" w:cs="仿宋"/>
                <w:bCs/>
                <w:color w:val="auto"/>
                <w:spacing w:val="4"/>
                <w:sz w:val="24"/>
                <w:szCs w:val="24"/>
                <w:highlight w:val="none"/>
              </w:rPr>
              <w:t>分；没有不得分</w:t>
            </w:r>
            <w:r>
              <w:rPr>
                <w:rFonts w:hint="eastAsia" w:ascii="仿宋" w:hAnsi="仿宋" w:eastAsia="仿宋" w:cs="仿宋"/>
                <w:bCs/>
                <w:color w:val="auto"/>
                <w:spacing w:val="4"/>
                <w:sz w:val="24"/>
                <w:szCs w:val="24"/>
                <w:highlight w:val="none"/>
                <w:lang w:eastAsia="zh-CN"/>
              </w:rPr>
              <w:t>。</w:t>
            </w:r>
          </w:p>
          <w:p>
            <w:pPr>
              <w:widowControl/>
              <w:snapToGrid w:val="0"/>
              <w:spacing w:line="240" w:lineRule="atLeast"/>
              <w:rPr>
                <w:rFonts w:hint="eastAsia" w:ascii="仿宋" w:hAnsi="仿宋" w:eastAsia="仿宋" w:cs="仿宋"/>
                <w:b/>
                <w:color w:val="auto"/>
                <w:sz w:val="24"/>
                <w:szCs w:val="24"/>
                <w:highlight w:val="none"/>
              </w:rPr>
            </w:pPr>
            <w:r>
              <w:rPr>
                <w:rFonts w:hint="eastAsia" w:ascii="仿宋" w:hAnsi="仿宋" w:eastAsia="仿宋" w:cs="仿宋"/>
                <w:bCs/>
                <w:color w:val="auto"/>
                <w:spacing w:val="4"/>
                <w:sz w:val="24"/>
                <w:szCs w:val="24"/>
                <w:highlight w:val="none"/>
              </w:rPr>
              <w:t>注</w:t>
            </w:r>
            <w:r>
              <w:rPr>
                <w:rFonts w:hint="eastAsia" w:ascii="仿宋" w:hAnsi="仿宋" w:eastAsia="仿宋" w:cs="仿宋"/>
                <w:bCs/>
                <w:color w:val="auto"/>
                <w:spacing w:val="4"/>
                <w:sz w:val="24"/>
                <w:szCs w:val="24"/>
                <w:highlight w:val="none"/>
                <w:lang w:val="en-US" w:eastAsia="zh-CN"/>
              </w:rPr>
              <w:t>;</w:t>
            </w:r>
            <w:r>
              <w:rPr>
                <w:rFonts w:hint="eastAsia" w:ascii="仿宋" w:hAnsi="仿宋" w:eastAsia="仿宋" w:cs="仿宋"/>
                <w:color w:val="auto"/>
                <w:spacing w:val="4"/>
                <w:sz w:val="24"/>
                <w:szCs w:val="24"/>
                <w:highlight w:val="none"/>
              </w:rPr>
              <w:t>提供</w:t>
            </w:r>
            <w:r>
              <w:rPr>
                <w:rFonts w:hint="eastAsia" w:ascii="仿宋" w:hAnsi="仿宋" w:eastAsia="仿宋" w:cs="仿宋"/>
                <w:color w:val="auto"/>
                <w:spacing w:val="4"/>
                <w:sz w:val="24"/>
                <w:szCs w:val="24"/>
                <w:highlight w:val="none"/>
                <w:lang w:val="en-US" w:eastAsia="zh-CN"/>
              </w:rPr>
              <w:t>相关证明</w:t>
            </w:r>
            <w:r>
              <w:rPr>
                <w:rFonts w:hint="eastAsia" w:ascii="仿宋" w:hAnsi="仿宋" w:eastAsia="仿宋" w:cs="仿宋"/>
                <w:color w:val="auto"/>
                <w:spacing w:val="4"/>
                <w:sz w:val="24"/>
                <w:szCs w:val="24"/>
                <w:highlight w:val="none"/>
              </w:rPr>
              <w:t>扫描件</w:t>
            </w:r>
            <w:r>
              <w:rPr>
                <w:rFonts w:hint="eastAsia" w:ascii="仿宋" w:hAnsi="仿宋" w:eastAsia="仿宋" w:cs="仿宋"/>
                <w:color w:val="auto"/>
                <w:spacing w:val="4"/>
                <w:sz w:val="24"/>
                <w:szCs w:val="24"/>
                <w:highlight w:val="none"/>
                <w:lang w:val="en-US" w:eastAsia="zh-CN"/>
              </w:rPr>
              <w:t>资料</w:t>
            </w:r>
            <w:r>
              <w:rPr>
                <w:rFonts w:hint="eastAsia" w:ascii="仿宋" w:hAnsi="仿宋" w:eastAsia="仿宋" w:cs="仿宋"/>
                <w:color w:val="auto"/>
                <w:spacing w:val="4"/>
                <w:sz w:val="24"/>
                <w:szCs w:val="24"/>
                <w:highlight w:val="none"/>
              </w:rPr>
              <w:t>并加盖单位公章</w:t>
            </w:r>
            <w:r>
              <w:rPr>
                <w:rFonts w:hint="eastAsia" w:ascii="仿宋" w:hAnsi="仿宋" w:eastAsia="仿宋" w:cs="仿宋"/>
                <w:bCs/>
                <w:color w:val="auto"/>
                <w:spacing w:val="4"/>
                <w:sz w:val="24"/>
                <w:szCs w:val="24"/>
                <w:highlight w:val="none"/>
              </w:rPr>
              <w:t>，否则不得分。</w:t>
            </w:r>
          </w:p>
        </w:tc>
        <w:tc>
          <w:tcPr>
            <w:tcW w:w="1295" w:type="dxa"/>
            <w:vMerge w:val="continue"/>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restart"/>
            <w:vAlign w:val="center"/>
          </w:tcPr>
          <w:p>
            <w:pPr>
              <w:pStyle w:val="5"/>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center"/>
              <w:textAlignment w:val="auto"/>
              <w:rPr>
                <w:rFonts w:hint="eastAsia" w:ascii="仿宋" w:hAnsi="仿宋" w:eastAsia="仿宋" w:cs="仿宋"/>
                <w:b w:val="0"/>
                <w:bCs/>
                <w:color w:val="auto"/>
                <w:spacing w:val="4"/>
                <w:sz w:val="24"/>
                <w:szCs w:val="24"/>
                <w:highlight w:val="none"/>
              </w:rPr>
            </w:pPr>
            <w:r>
              <w:rPr>
                <w:rFonts w:hint="eastAsia" w:ascii="仿宋" w:hAnsi="仿宋" w:eastAsia="仿宋" w:cs="仿宋"/>
                <w:b w:val="0"/>
                <w:bCs/>
                <w:color w:val="auto"/>
                <w:spacing w:val="4"/>
                <w:sz w:val="24"/>
                <w:szCs w:val="24"/>
                <w:highlight w:val="none"/>
                <w:lang w:eastAsia="zh-CN"/>
              </w:rPr>
              <w:t>项</w:t>
            </w:r>
            <w:r>
              <w:rPr>
                <w:rFonts w:hint="eastAsia" w:ascii="仿宋" w:hAnsi="仿宋" w:eastAsia="仿宋" w:cs="仿宋"/>
                <w:b w:val="0"/>
                <w:bCs/>
                <w:color w:val="auto"/>
                <w:spacing w:val="4"/>
                <w:sz w:val="24"/>
                <w:szCs w:val="24"/>
                <w:highlight w:val="none"/>
              </w:rPr>
              <w:t>目设计方案</w:t>
            </w: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对流域、区域相关水利规划、工程布局、存在问题及水利数字化建设现状相关情况的熟悉了解程度。好</w:t>
            </w:r>
            <w:r>
              <w:rPr>
                <w:rFonts w:hint="eastAsia" w:ascii="仿宋" w:hAnsi="仿宋" w:eastAsia="仿宋" w:cs="仿宋"/>
                <w:bCs/>
                <w:color w:val="auto"/>
                <w:spacing w:val="4"/>
                <w:sz w:val="24"/>
                <w:szCs w:val="24"/>
                <w:highlight w:val="none"/>
                <w:lang w:val="en-US" w:eastAsia="zh-CN"/>
              </w:rPr>
              <w:t>4</w:t>
            </w:r>
            <w:r>
              <w:rPr>
                <w:rFonts w:hint="eastAsia" w:ascii="仿宋" w:hAnsi="仿宋" w:eastAsia="仿宋" w:cs="仿宋"/>
                <w:bCs/>
                <w:color w:val="auto"/>
                <w:spacing w:val="4"/>
                <w:sz w:val="24"/>
                <w:szCs w:val="24"/>
                <w:highlight w:val="none"/>
              </w:rPr>
              <w:t>分，较好3分，一般1分，差0分。</w:t>
            </w:r>
          </w:p>
        </w:tc>
        <w:tc>
          <w:tcPr>
            <w:tcW w:w="1295" w:type="dxa"/>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对项目总体要求的理解、重难点的分析及其对策，对项目总体要求、工作重点与难点理解透彻、把握精准，提出合理性、针对性的对策。好5分，较好3分，一般1分，差0分。</w:t>
            </w:r>
          </w:p>
        </w:tc>
        <w:tc>
          <w:tcPr>
            <w:tcW w:w="1295" w:type="dxa"/>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流域地理信息、水利工程、水文气象、河道断面、重要设施、社会经济等基础资料收集全面、处理方案合理可行。好</w:t>
            </w:r>
            <w:r>
              <w:rPr>
                <w:rFonts w:hint="eastAsia" w:ascii="仿宋" w:hAnsi="仿宋" w:eastAsia="仿宋" w:cs="仿宋"/>
                <w:bCs/>
                <w:color w:val="auto"/>
                <w:spacing w:val="4"/>
                <w:sz w:val="24"/>
                <w:szCs w:val="24"/>
                <w:highlight w:val="none"/>
                <w:lang w:val="en-US" w:eastAsia="zh-CN"/>
              </w:rPr>
              <w:t>4</w:t>
            </w:r>
            <w:r>
              <w:rPr>
                <w:rFonts w:hint="eastAsia" w:ascii="仿宋" w:hAnsi="仿宋" w:eastAsia="仿宋" w:cs="仿宋"/>
                <w:bCs/>
                <w:color w:val="auto"/>
                <w:spacing w:val="4"/>
                <w:sz w:val="24"/>
                <w:szCs w:val="24"/>
                <w:highlight w:val="none"/>
              </w:rPr>
              <w:t>分，较好3分，一般1分，差0分。</w:t>
            </w:r>
          </w:p>
        </w:tc>
        <w:tc>
          <w:tcPr>
            <w:tcW w:w="1295" w:type="dxa"/>
            <w:vAlign w:val="center"/>
          </w:tcPr>
          <w:p>
            <w:pPr>
              <w:pStyle w:val="36"/>
              <w:snapToGrid w:val="0"/>
              <w:spacing w:before="0" w:beforeAutospacing="0" w:after="0" w:afterAutospacing="0" w:line="240" w:lineRule="atLeast"/>
              <w:jc w:val="center"/>
              <w:rPr>
                <w:rFonts w:hint="eastAsia" w:ascii="仿宋" w:hAnsi="仿宋" w:eastAsia="仿宋" w:cs="仿宋"/>
                <w:bCs/>
                <w:color w:val="auto"/>
                <w:spacing w:val="4"/>
                <w:kern w:val="0"/>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流域预报调度一体化模型构建思路清晰、范围合理、水文水动力及风险研判模型耦合性好。好5分，较好3分，一般1分，差0分。</w:t>
            </w:r>
          </w:p>
        </w:tc>
        <w:tc>
          <w:tcPr>
            <w:tcW w:w="1295" w:type="dxa"/>
            <w:vAlign w:val="center"/>
          </w:tcPr>
          <w:p>
            <w:pPr>
              <w:pStyle w:val="36"/>
              <w:snapToGrid w:val="0"/>
              <w:spacing w:before="0" w:beforeAutospacing="0" w:after="0" w:afterAutospacing="0" w:line="240" w:lineRule="atLeast"/>
              <w:jc w:val="center"/>
              <w:rPr>
                <w:rFonts w:hint="eastAsia" w:ascii="仿宋" w:hAnsi="仿宋" w:eastAsia="仿宋" w:cs="仿宋"/>
                <w:bCs/>
                <w:color w:val="auto"/>
                <w:spacing w:val="4"/>
                <w:kern w:val="0"/>
                <w:sz w:val="24"/>
                <w:szCs w:val="24"/>
                <w:highlight w:val="none"/>
                <w:lang w:val="en-US" w:eastAsia="zh-CN" w:bidi="ar-SA"/>
              </w:rPr>
            </w:pPr>
            <w:r>
              <w:rPr>
                <w:rFonts w:hint="eastAsia" w:ascii="仿宋" w:hAnsi="仿宋" w:eastAsia="仿宋" w:cs="仿宋"/>
                <w:bCs/>
                <w:color w:val="auto"/>
                <w:spacing w:val="4"/>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大中型水库及流域主要防洪控制断面洪水预报方案与参数率定验证选择的历史洪水合适，参数优选方法的科学性、合理性等。好5分，较好3分，一般1分，差0分。</w:t>
            </w:r>
          </w:p>
        </w:tc>
        <w:tc>
          <w:tcPr>
            <w:tcW w:w="1295" w:type="dxa"/>
            <w:vAlign w:val="center"/>
          </w:tcPr>
          <w:p>
            <w:pPr>
              <w:pStyle w:val="36"/>
              <w:snapToGrid w:val="0"/>
              <w:spacing w:before="0" w:beforeAutospacing="0" w:after="0" w:afterAutospacing="0" w:line="240" w:lineRule="atLeast"/>
              <w:jc w:val="center"/>
              <w:rPr>
                <w:rFonts w:hint="eastAsia" w:ascii="仿宋" w:hAnsi="仿宋" w:eastAsia="仿宋" w:cs="仿宋"/>
                <w:bCs/>
                <w:color w:val="auto"/>
                <w:spacing w:val="4"/>
                <w:kern w:val="0"/>
                <w:sz w:val="24"/>
                <w:szCs w:val="24"/>
                <w:highlight w:val="none"/>
                <w:lang w:val="en-US" w:eastAsia="zh-CN" w:bidi="ar-SA"/>
              </w:rPr>
            </w:pPr>
            <w:r>
              <w:rPr>
                <w:rFonts w:hint="eastAsia" w:ascii="仿宋" w:hAnsi="仿宋" w:eastAsia="仿宋" w:cs="仿宋"/>
                <w:bCs/>
                <w:color w:val="auto"/>
                <w:spacing w:val="4"/>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预报调度一体化功能模块设计方案合理，功能实用，符合流域防洪“四预”要求，具有可扩展性和可移植性。好5分，较好3分，一般1分，差0分。</w:t>
            </w:r>
          </w:p>
        </w:tc>
        <w:tc>
          <w:tcPr>
            <w:tcW w:w="1295" w:type="dxa"/>
            <w:vAlign w:val="center"/>
          </w:tcPr>
          <w:p>
            <w:pPr>
              <w:pStyle w:val="36"/>
              <w:snapToGrid w:val="0"/>
              <w:spacing w:before="0" w:beforeAutospacing="0" w:after="0" w:afterAutospacing="0" w:line="240" w:lineRule="atLeast"/>
              <w:jc w:val="center"/>
              <w:rPr>
                <w:rFonts w:hint="eastAsia" w:ascii="仿宋" w:hAnsi="仿宋" w:eastAsia="仿宋" w:cs="仿宋"/>
                <w:bCs/>
                <w:color w:val="auto"/>
                <w:spacing w:val="4"/>
                <w:kern w:val="0"/>
                <w:sz w:val="24"/>
                <w:szCs w:val="24"/>
                <w:highlight w:val="none"/>
                <w:lang w:val="en-US" w:eastAsia="zh-CN" w:bidi="ar-SA"/>
              </w:rPr>
            </w:pPr>
            <w:r>
              <w:rPr>
                <w:rFonts w:hint="eastAsia" w:ascii="仿宋" w:hAnsi="仿宋" w:eastAsia="仿宋" w:cs="仿宋"/>
                <w:bCs/>
                <w:color w:val="auto"/>
                <w:spacing w:val="4"/>
                <w:sz w:val="24"/>
                <w:szCs w:val="24"/>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多跨联动治水、场景大屏等功能模块设计方案，需求清晰，符合浙江省水利数字化改革要求，与“浙里九龙联动治水应用”相衔接。好</w:t>
            </w:r>
            <w:r>
              <w:rPr>
                <w:rFonts w:hint="eastAsia" w:ascii="仿宋" w:hAnsi="仿宋" w:eastAsia="仿宋" w:cs="仿宋"/>
                <w:bCs/>
                <w:color w:val="auto"/>
                <w:spacing w:val="4"/>
                <w:sz w:val="24"/>
                <w:szCs w:val="24"/>
                <w:highlight w:val="none"/>
                <w:lang w:val="en-US" w:eastAsia="zh-CN"/>
              </w:rPr>
              <w:t>5</w:t>
            </w:r>
            <w:r>
              <w:rPr>
                <w:rFonts w:hint="eastAsia" w:ascii="仿宋" w:hAnsi="仿宋" w:eastAsia="仿宋" w:cs="仿宋"/>
                <w:bCs/>
                <w:color w:val="auto"/>
                <w:spacing w:val="4"/>
                <w:sz w:val="24"/>
                <w:szCs w:val="24"/>
                <w:highlight w:val="none"/>
              </w:rPr>
              <w:t>分，较好3分，一般1分，差0分。</w:t>
            </w:r>
          </w:p>
        </w:tc>
        <w:tc>
          <w:tcPr>
            <w:tcW w:w="1295" w:type="dxa"/>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snapToGrid w:val="0"/>
              <w:spacing w:line="240" w:lineRule="atLeast"/>
              <w:jc w:val="center"/>
              <w:rPr>
                <w:rFonts w:hint="eastAsia" w:ascii="仿宋" w:hAnsi="仿宋" w:eastAsia="仿宋" w:cs="仿宋"/>
                <w:bCs/>
                <w:color w:val="auto"/>
                <w:spacing w:val="4"/>
                <w:sz w:val="24"/>
                <w:szCs w:val="24"/>
                <w:highlight w:val="none"/>
              </w:rPr>
            </w:pPr>
          </w:p>
        </w:tc>
        <w:tc>
          <w:tcPr>
            <w:tcW w:w="6499" w:type="dxa"/>
            <w:vAlign w:val="center"/>
          </w:tcPr>
          <w:p>
            <w:pPr>
              <w:pStyle w:val="36"/>
              <w:snapToGrid w:val="0"/>
              <w:spacing w:before="0" w:beforeAutospacing="0" w:after="0" w:afterAutospacing="0" w:line="240" w:lineRule="atLeast"/>
              <w:rPr>
                <w:rStyle w:val="285"/>
                <w:rFonts w:hint="eastAsia" w:ascii="仿宋" w:hAnsi="仿宋" w:eastAsia="仿宋" w:cs="仿宋"/>
                <w:color w:val="auto"/>
                <w:sz w:val="24"/>
                <w:szCs w:val="24"/>
                <w:highlight w:val="none"/>
              </w:rPr>
            </w:pPr>
            <w:r>
              <w:rPr>
                <w:rFonts w:hint="eastAsia" w:ascii="仿宋" w:hAnsi="仿宋" w:eastAsia="仿宋" w:cs="仿宋"/>
                <w:bCs/>
                <w:color w:val="auto"/>
                <w:spacing w:val="4"/>
                <w:sz w:val="24"/>
                <w:szCs w:val="24"/>
                <w:highlight w:val="none"/>
              </w:rPr>
              <w:t>所提供的系统建设方案与绍兴市水管理平台（水旱灾害防御应用）、绍兴市洪水风险图项目成果无缝集成的合理性。好</w:t>
            </w:r>
            <w:r>
              <w:rPr>
                <w:rFonts w:hint="eastAsia" w:ascii="仿宋" w:hAnsi="仿宋" w:eastAsia="仿宋" w:cs="仿宋"/>
                <w:bCs/>
                <w:color w:val="auto"/>
                <w:spacing w:val="4"/>
                <w:sz w:val="24"/>
                <w:szCs w:val="24"/>
                <w:highlight w:val="none"/>
                <w:lang w:val="en-US" w:eastAsia="zh-CN"/>
              </w:rPr>
              <w:t>6</w:t>
            </w:r>
            <w:r>
              <w:rPr>
                <w:rFonts w:hint="eastAsia" w:ascii="仿宋" w:hAnsi="仿宋" w:eastAsia="仿宋" w:cs="仿宋"/>
                <w:bCs/>
                <w:color w:val="auto"/>
                <w:spacing w:val="4"/>
                <w:sz w:val="24"/>
                <w:szCs w:val="24"/>
                <w:highlight w:val="none"/>
              </w:rPr>
              <w:t>分，较好3分，一般1分，差0分。</w:t>
            </w:r>
          </w:p>
        </w:tc>
        <w:tc>
          <w:tcPr>
            <w:tcW w:w="1295" w:type="dxa"/>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Align w:val="center"/>
          </w:tcPr>
          <w:p>
            <w:pPr>
              <w:pStyle w:val="5"/>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center"/>
              <w:textAlignment w:val="auto"/>
              <w:rPr>
                <w:rFonts w:hint="eastAsia" w:ascii="仿宋" w:hAnsi="仿宋" w:eastAsia="仿宋" w:cs="仿宋"/>
                <w:b w:val="0"/>
                <w:bCs/>
                <w:color w:val="auto"/>
                <w:spacing w:val="4"/>
                <w:sz w:val="24"/>
                <w:szCs w:val="24"/>
                <w:highlight w:val="none"/>
              </w:rPr>
            </w:pPr>
            <w:r>
              <w:rPr>
                <w:rFonts w:hint="eastAsia" w:ascii="仿宋" w:hAnsi="仿宋" w:eastAsia="仿宋" w:cs="仿宋"/>
                <w:b w:val="0"/>
                <w:bCs/>
                <w:color w:val="auto"/>
                <w:spacing w:val="4"/>
                <w:sz w:val="24"/>
                <w:szCs w:val="24"/>
                <w:highlight w:val="none"/>
              </w:rPr>
              <w:t>系统现场讲解及演示</w:t>
            </w:r>
          </w:p>
        </w:tc>
        <w:tc>
          <w:tcPr>
            <w:tcW w:w="6499" w:type="dxa"/>
            <w:vAlign w:val="center"/>
          </w:tcPr>
          <w:p>
            <w:pPr>
              <w:pStyle w:val="5"/>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left"/>
              <w:textAlignment w:val="auto"/>
              <w:rPr>
                <w:rFonts w:hint="default" w:ascii="仿宋" w:hAnsi="仿宋" w:eastAsia="仿宋" w:cs="仿宋"/>
                <w:b w:val="0"/>
                <w:bCs/>
                <w:color w:val="auto"/>
                <w:spacing w:val="4"/>
                <w:sz w:val="24"/>
                <w:szCs w:val="24"/>
                <w:highlight w:val="none"/>
                <w:lang w:val="en-US"/>
              </w:rPr>
            </w:pPr>
            <w:r>
              <w:rPr>
                <w:rFonts w:hint="eastAsia" w:ascii="仿宋_GB2312" w:hAnsi="仿宋" w:eastAsia="仿宋_GB2312"/>
                <w:color w:val="auto"/>
                <w:sz w:val="24"/>
                <w:highlight w:val="none"/>
              </w:rPr>
              <w:t>演示内容通过录制视频以U盘存储形式</w:t>
            </w:r>
            <w:r>
              <w:rPr>
                <w:rFonts w:hint="eastAsia" w:ascii="仿宋_GB2312" w:hAnsi="仿宋" w:eastAsia="仿宋_GB2312"/>
                <w:color w:val="auto"/>
                <w:sz w:val="24"/>
                <w:highlight w:val="none"/>
                <w:lang w:val="en-US" w:eastAsia="zh-CN"/>
              </w:rPr>
              <w:t>提交，提交时间及地点详见前附表，采用PPT演示或视频演示无讲解的最多计5分，不演示的对应项不得分。</w:t>
            </w:r>
          </w:p>
          <w:p>
            <w:pPr>
              <w:pStyle w:val="5"/>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left"/>
              <w:textAlignment w:val="auto"/>
              <w:rPr>
                <w:rFonts w:hint="eastAsia" w:ascii="仿宋" w:hAnsi="仿宋" w:eastAsia="仿宋" w:cs="仿宋"/>
                <w:b w:val="0"/>
                <w:bCs/>
                <w:color w:val="auto"/>
                <w:spacing w:val="4"/>
                <w:sz w:val="24"/>
                <w:szCs w:val="24"/>
                <w:highlight w:val="none"/>
                <w:lang w:eastAsia="zh-CN"/>
              </w:rPr>
            </w:pPr>
            <w:r>
              <w:rPr>
                <w:rFonts w:hint="eastAsia" w:ascii="仿宋" w:hAnsi="仿宋" w:eastAsia="仿宋" w:cs="仿宋"/>
                <w:b w:val="0"/>
                <w:bCs/>
                <w:color w:val="auto"/>
                <w:spacing w:val="4"/>
                <w:sz w:val="24"/>
                <w:szCs w:val="24"/>
                <w:highlight w:val="none"/>
              </w:rPr>
              <w:t>①演示洪水预报-水库调度-河道洪水演进-风险分析全链条式过程，展示流域三张图：概化图、剖面图、风险图，好4分，一般2分，差</w:t>
            </w:r>
            <w:r>
              <w:rPr>
                <w:rFonts w:hint="eastAsia" w:ascii="仿宋" w:hAnsi="仿宋" w:eastAsia="仿宋" w:cs="仿宋"/>
                <w:b w:val="0"/>
                <w:bCs/>
                <w:color w:val="auto"/>
                <w:spacing w:val="4"/>
                <w:sz w:val="24"/>
                <w:szCs w:val="24"/>
                <w:highlight w:val="none"/>
                <w:lang w:val="en-US" w:eastAsia="zh-CN"/>
              </w:rPr>
              <w:t>1</w:t>
            </w:r>
            <w:r>
              <w:rPr>
                <w:rFonts w:hint="eastAsia" w:ascii="仿宋" w:hAnsi="仿宋" w:eastAsia="仿宋" w:cs="仿宋"/>
                <w:b w:val="0"/>
                <w:bCs/>
                <w:color w:val="auto"/>
                <w:spacing w:val="4"/>
                <w:sz w:val="24"/>
                <w:szCs w:val="24"/>
                <w:highlight w:val="none"/>
              </w:rPr>
              <w:t>分</w:t>
            </w:r>
            <w:r>
              <w:rPr>
                <w:rFonts w:hint="eastAsia" w:ascii="仿宋" w:hAnsi="仿宋" w:eastAsia="仿宋" w:cs="仿宋"/>
                <w:b w:val="0"/>
                <w:bCs/>
                <w:color w:val="auto"/>
                <w:spacing w:val="4"/>
                <w:sz w:val="24"/>
                <w:szCs w:val="24"/>
                <w:highlight w:val="none"/>
                <w:lang w:eastAsia="zh-CN"/>
              </w:rPr>
              <w:t>。</w:t>
            </w:r>
          </w:p>
          <w:p>
            <w:pPr>
              <w:pStyle w:val="5"/>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left"/>
              <w:textAlignment w:val="auto"/>
              <w:rPr>
                <w:rFonts w:hint="eastAsia" w:ascii="仿宋" w:hAnsi="仿宋" w:eastAsia="仿宋" w:cs="仿宋"/>
                <w:b w:val="0"/>
                <w:bCs/>
                <w:color w:val="auto"/>
                <w:spacing w:val="4"/>
                <w:sz w:val="24"/>
                <w:szCs w:val="24"/>
                <w:highlight w:val="none"/>
                <w:lang w:eastAsia="zh-CN"/>
              </w:rPr>
            </w:pPr>
            <w:r>
              <w:rPr>
                <w:rFonts w:hint="eastAsia" w:ascii="仿宋" w:hAnsi="仿宋" w:eastAsia="仿宋" w:cs="仿宋"/>
                <w:b w:val="0"/>
                <w:bCs/>
                <w:color w:val="auto"/>
                <w:spacing w:val="4"/>
                <w:sz w:val="24"/>
                <w:szCs w:val="24"/>
                <w:highlight w:val="none"/>
              </w:rPr>
              <w:t>②针对不同用户需求提供“一键调度”和“专家模式”，并可满足实际操作运用，好</w:t>
            </w:r>
            <w:r>
              <w:rPr>
                <w:rFonts w:hint="eastAsia" w:ascii="仿宋" w:hAnsi="仿宋" w:eastAsia="仿宋" w:cs="仿宋"/>
                <w:b w:val="0"/>
                <w:bCs/>
                <w:color w:val="auto"/>
                <w:spacing w:val="4"/>
                <w:sz w:val="24"/>
                <w:szCs w:val="24"/>
                <w:highlight w:val="none"/>
                <w:lang w:val="en-US" w:eastAsia="zh-CN"/>
              </w:rPr>
              <w:t>4</w:t>
            </w:r>
            <w:r>
              <w:rPr>
                <w:rFonts w:hint="eastAsia" w:ascii="仿宋" w:hAnsi="仿宋" w:eastAsia="仿宋" w:cs="仿宋"/>
                <w:b w:val="0"/>
                <w:bCs/>
                <w:color w:val="auto"/>
                <w:spacing w:val="4"/>
                <w:sz w:val="24"/>
                <w:szCs w:val="24"/>
                <w:highlight w:val="none"/>
              </w:rPr>
              <w:t>分，一般</w:t>
            </w:r>
            <w:r>
              <w:rPr>
                <w:rFonts w:hint="eastAsia" w:ascii="仿宋" w:hAnsi="仿宋" w:eastAsia="仿宋" w:cs="仿宋"/>
                <w:b w:val="0"/>
                <w:bCs/>
                <w:color w:val="auto"/>
                <w:spacing w:val="4"/>
                <w:sz w:val="24"/>
                <w:szCs w:val="24"/>
                <w:highlight w:val="none"/>
                <w:lang w:val="en-US" w:eastAsia="zh-CN"/>
              </w:rPr>
              <w:t>2</w:t>
            </w:r>
            <w:r>
              <w:rPr>
                <w:rFonts w:hint="eastAsia" w:ascii="仿宋" w:hAnsi="仿宋" w:eastAsia="仿宋" w:cs="仿宋"/>
                <w:b w:val="0"/>
                <w:bCs/>
                <w:color w:val="auto"/>
                <w:spacing w:val="4"/>
                <w:sz w:val="24"/>
                <w:szCs w:val="24"/>
                <w:highlight w:val="none"/>
              </w:rPr>
              <w:t>分，差</w:t>
            </w:r>
            <w:r>
              <w:rPr>
                <w:rFonts w:hint="eastAsia" w:ascii="仿宋" w:hAnsi="仿宋" w:eastAsia="仿宋" w:cs="仿宋"/>
                <w:b w:val="0"/>
                <w:bCs/>
                <w:color w:val="auto"/>
                <w:spacing w:val="4"/>
                <w:sz w:val="24"/>
                <w:szCs w:val="24"/>
                <w:highlight w:val="none"/>
                <w:lang w:val="en-US" w:eastAsia="zh-CN"/>
              </w:rPr>
              <w:t>1</w:t>
            </w:r>
            <w:r>
              <w:rPr>
                <w:rFonts w:hint="eastAsia" w:ascii="仿宋" w:hAnsi="仿宋" w:eastAsia="仿宋" w:cs="仿宋"/>
                <w:b w:val="0"/>
                <w:bCs/>
                <w:color w:val="auto"/>
                <w:spacing w:val="4"/>
                <w:sz w:val="24"/>
                <w:szCs w:val="24"/>
                <w:highlight w:val="none"/>
              </w:rPr>
              <w:t>分</w:t>
            </w:r>
            <w:r>
              <w:rPr>
                <w:rFonts w:hint="eastAsia" w:ascii="仿宋" w:hAnsi="仿宋" w:eastAsia="仿宋" w:cs="仿宋"/>
                <w:b w:val="0"/>
                <w:bCs/>
                <w:color w:val="auto"/>
                <w:spacing w:val="4"/>
                <w:sz w:val="24"/>
                <w:szCs w:val="24"/>
                <w:highlight w:val="none"/>
                <w:lang w:eastAsia="zh-CN"/>
              </w:rPr>
              <w:t>。</w:t>
            </w:r>
          </w:p>
          <w:p>
            <w:pPr>
              <w:pStyle w:val="5"/>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left"/>
              <w:textAlignment w:val="auto"/>
              <w:rPr>
                <w:rFonts w:hint="eastAsia" w:ascii="仿宋" w:hAnsi="仿宋" w:eastAsia="仿宋" w:cs="仿宋"/>
                <w:b w:val="0"/>
                <w:bCs/>
                <w:color w:val="auto"/>
                <w:spacing w:val="4"/>
                <w:sz w:val="24"/>
                <w:szCs w:val="24"/>
                <w:highlight w:val="none"/>
              </w:rPr>
            </w:pPr>
            <w:r>
              <w:rPr>
                <w:rFonts w:hint="eastAsia" w:ascii="仿宋" w:hAnsi="仿宋" w:eastAsia="仿宋" w:cs="仿宋"/>
                <w:b w:val="0"/>
                <w:bCs/>
                <w:color w:val="auto"/>
                <w:spacing w:val="4"/>
                <w:sz w:val="24"/>
                <w:szCs w:val="24"/>
                <w:highlight w:val="none"/>
              </w:rPr>
              <w:t>③</w:t>
            </w:r>
            <w:r>
              <w:rPr>
                <w:rFonts w:hint="eastAsia" w:ascii="仿宋" w:hAnsi="仿宋" w:eastAsia="仿宋" w:cs="仿宋"/>
                <w:b w:val="0"/>
                <w:bCs/>
                <w:color w:val="auto"/>
                <w:spacing w:val="4"/>
                <w:sz w:val="24"/>
                <w:szCs w:val="24"/>
                <w:highlight w:val="none"/>
                <w:lang w:val="en-US" w:eastAsia="zh-CN"/>
              </w:rPr>
              <w:t>基于曹娥江流域三维数据底板的防洪数据驾驶舱，包括流域防汛态势和防洪“四预”（预报、预警、预演、预案）等功能，好4分，一般2分，差1分。</w:t>
            </w:r>
          </w:p>
          <w:p>
            <w:pPr>
              <w:pStyle w:val="5"/>
              <w:keepNext/>
              <w:keepLines/>
              <w:pageBreakBefore w:val="0"/>
              <w:widowControl w:val="0"/>
              <w:numPr>
                <w:ilvl w:val="0"/>
                <w:numId w:val="0"/>
              </w:numPr>
              <w:kinsoku/>
              <w:wordWrap/>
              <w:overflowPunct/>
              <w:topLinePunct w:val="0"/>
              <w:autoSpaceDE/>
              <w:autoSpaceDN/>
              <w:bidi w:val="0"/>
              <w:adjustRightInd/>
              <w:snapToGrid w:val="0"/>
              <w:spacing w:before="0" w:after="0" w:line="240" w:lineRule="atLeast"/>
              <w:ind w:left="0" w:leftChars="0"/>
              <w:jc w:val="left"/>
              <w:textAlignment w:val="auto"/>
              <w:rPr>
                <w:rFonts w:hint="default" w:eastAsia="宋体"/>
                <w:color w:val="auto"/>
                <w:highlight w:val="none"/>
                <w:lang w:val="en-US" w:eastAsia="zh-CN"/>
              </w:rPr>
            </w:pPr>
            <w:r>
              <w:rPr>
                <w:rFonts w:hint="eastAsia" w:ascii="仿宋" w:hAnsi="仿宋" w:eastAsia="仿宋" w:cs="仿宋"/>
                <w:b w:val="0"/>
                <w:bCs/>
                <w:color w:val="auto"/>
                <w:spacing w:val="4"/>
                <w:sz w:val="24"/>
                <w:szCs w:val="24"/>
                <w:highlight w:val="none"/>
                <w:lang w:val="en-US" w:eastAsia="zh-CN"/>
              </w:rPr>
              <w:t>④</w:t>
            </w:r>
            <w:r>
              <w:rPr>
                <w:rFonts w:hint="eastAsia" w:ascii="仿宋" w:hAnsi="仿宋" w:eastAsia="仿宋" w:cs="仿宋"/>
                <w:b w:val="0"/>
                <w:bCs/>
                <w:color w:val="auto"/>
                <w:spacing w:val="4"/>
                <w:sz w:val="24"/>
                <w:szCs w:val="24"/>
                <w:highlight w:val="none"/>
              </w:rPr>
              <w:t>可交互式基于概化图和地图设置的水库、闸站、蓄滞洪区调度功能，并直观展示水库、闸站、蓄滞洪区计算成果数据，好</w:t>
            </w:r>
            <w:r>
              <w:rPr>
                <w:rFonts w:hint="eastAsia" w:ascii="仿宋" w:hAnsi="仿宋" w:eastAsia="仿宋" w:cs="仿宋"/>
                <w:b w:val="0"/>
                <w:bCs/>
                <w:color w:val="auto"/>
                <w:spacing w:val="4"/>
                <w:sz w:val="24"/>
                <w:szCs w:val="24"/>
                <w:highlight w:val="none"/>
                <w:lang w:val="en-US" w:eastAsia="zh-CN"/>
              </w:rPr>
              <w:t>4</w:t>
            </w:r>
            <w:r>
              <w:rPr>
                <w:rFonts w:hint="eastAsia" w:ascii="仿宋" w:hAnsi="仿宋" w:eastAsia="仿宋" w:cs="仿宋"/>
                <w:b w:val="0"/>
                <w:bCs/>
                <w:color w:val="auto"/>
                <w:spacing w:val="4"/>
                <w:sz w:val="24"/>
                <w:szCs w:val="24"/>
                <w:highlight w:val="none"/>
              </w:rPr>
              <w:t>分，一般1分，差0分。</w:t>
            </w:r>
          </w:p>
        </w:tc>
        <w:tc>
          <w:tcPr>
            <w:tcW w:w="1295" w:type="dxa"/>
            <w:vAlign w:val="center"/>
          </w:tcPr>
          <w:p>
            <w:pPr>
              <w:pStyle w:val="5"/>
              <w:numPr>
                <w:ilvl w:val="0"/>
                <w:numId w:val="0"/>
              </w:numPr>
              <w:snapToGrid w:val="0"/>
              <w:spacing w:before="0" w:after="0" w:line="240" w:lineRule="atLeast"/>
              <w:ind w:left="425" w:leftChars="0"/>
              <w:rPr>
                <w:rFonts w:hint="default" w:ascii="仿宋" w:hAnsi="仿宋" w:eastAsia="仿宋" w:cs="仿宋"/>
                <w:b w:val="0"/>
                <w:bCs/>
                <w:color w:val="auto"/>
                <w:spacing w:val="4"/>
                <w:kern w:val="2"/>
                <w:sz w:val="24"/>
                <w:szCs w:val="24"/>
                <w:highlight w:val="none"/>
                <w:lang w:val="en-US" w:eastAsia="zh-CN" w:bidi="ar-SA"/>
              </w:rPr>
            </w:pPr>
            <w:r>
              <w:rPr>
                <w:rFonts w:hint="eastAsia" w:ascii="仿宋" w:hAnsi="仿宋" w:eastAsia="仿宋" w:cs="仿宋"/>
                <w:b w:val="0"/>
                <w:bCs/>
                <w:color w:val="auto"/>
                <w:spacing w:val="4"/>
                <w:sz w:val="24"/>
                <w:szCs w:val="24"/>
                <w:highlight w:val="none"/>
                <w:lang w:val="en-US" w:eastAsia="zh-CN"/>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restart"/>
            <w:vAlign w:val="center"/>
          </w:tcPr>
          <w:p>
            <w:pPr>
              <w:snapToGrid w:val="0"/>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项目组配备</w:t>
            </w:r>
          </w:p>
        </w:tc>
        <w:tc>
          <w:tcPr>
            <w:tcW w:w="6499" w:type="dxa"/>
            <w:vAlign w:val="center"/>
          </w:tcPr>
          <w:p>
            <w:pPr>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投标人项目负责人</w:t>
            </w:r>
            <w:r>
              <w:rPr>
                <w:rFonts w:hint="eastAsia" w:ascii="仿宋" w:hAnsi="仿宋" w:eastAsia="仿宋" w:cs="仿宋"/>
                <w:bCs/>
                <w:color w:val="auto"/>
                <w:spacing w:val="4"/>
                <w:sz w:val="24"/>
                <w:szCs w:val="24"/>
                <w:highlight w:val="none"/>
                <w:lang w:val="en-US" w:eastAsia="zh-CN"/>
              </w:rPr>
              <w:t>同时</w:t>
            </w:r>
            <w:r>
              <w:rPr>
                <w:rFonts w:hint="eastAsia" w:ascii="仿宋" w:hAnsi="仿宋" w:eastAsia="仿宋" w:cs="仿宋"/>
                <w:bCs/>
                <w:color w:val="auto"/>
                <w:spacing w:val="4"/>
                <w:sz w:val="24"/>
                <w:szCs w:val="24"/>
                <w:highlight w:val="none"/>
              </w:rPr>
              <w:t>具</w:t>
            </w:r>
            <w:r>
              <w:rPr>
                <w:rFonts w:hint="eastAsia" w:ascii="仿宋" w:hAnsi="仿宋" w:eastAsia="仿宋" w:cs="仿宋"/>
                <w:bCs/>
                <w:color w:val="auto"/>
                <w:spacing w:val="4"/>
                <w:sz w:val="24"/>
                <w:szCs w:val="24"/>
                <w:highlight w:val="none"/>
                <w:lang w:val="en-US" w:eastAsia="zh-CN"/>
              </w:rPr>
              <w:t>有</w:t>
            </w:r>
            <w:r>
              <w:rPr>
                <w:rFonts w:hint="eastAsia" w:ascii="仿宋" w:hAnsi="仿宋" w:eastAsia="仿宋" w:cs="仿宋"/>
                <w:bCs/>
                <w:color w:val="auto"/>
                <w:spacing w:val="4"/>
                <w:sz w:val="24"/>
                <w:szCs w:val="24"/>
                <w:highlight w:val="none"/>
              </w:rPr>
              <w:t>水利规划设计副高级及以上职称、信息化副高级及以上职称证书的</w:t>
            </w:r>
            <w:r>
              <w:rPr>
                <w:rFonts w:hint="eastAsia" w:ascii="仿宋" w:hAnsi="仿宋" w:eastAsia="仿宋" w:cs="仿宋"/>
                <w:bCs/>
                <w:color w:val="auto"/>
                <w:spacing w:val="4"/>
                <w:sz w:val="24"/>
                <w:szCs w:val="24"/>
                <w:highlight w:val="none"/>
                <w:lang w:val="en-US" w:eastAsia="zh-CN"/>
              </w:rPr>
              <w:t>得3分，具有其中1项得1分</w:t>
            </w:r>
            <w:r>
              <w:rPr>
                <w:rFonts w:hint="eastAsia" w:ascii="仿宋" w:hAnsi="仿宋" w:eastAsia="仿宋" w:cs="仿宋"/>
                <w:bCs/>
                <w:color w:val="auto"/>
                <w:spacing w:val="4"/>
                <w:sz w:val="24"/>
                <w:szCs w:val="24"/>
                <w:highlight w:val="none"/>
              </w:rPr>
              <w:t>，没有不得分。</w:t>
            </w:r>
          </w:p>
          <w:p>
            <w:pPr>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（须提供最近6个月社保缴纳证明材料及人员证书扫描件并加盖单位公章，否则不得分）。</w:t>
            </w:r>
          </w:p>
        </w:tc>
        <w:tc>
          <w:tcPr>
            <w:tcW w:w="1295" w:type="dxa"/>
            <w:vMerge w:val="restart"/>
            <w:vAlign w:val="center"/>
          </w:tcPr>
          <w:p>
            <w:pPr>
              <w:snapToGrid w:val="0"/>
              <w:spacing w:line="240" w:lineRule="atLeast"/>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adjustRightInd w:val="0"/>
              <w:snapToGrid w:val="0"/>
              <w:spacing w:line="240" w:lineRule="atLeast"/>
              <w:jc w:val="left"/>
              <w:textAlignment w:val="center"/>
              <w:rPr>
                <w:rFonts w:hint="eastAsia" w:ascii="仿宋" w:hAnsi="仿宋" w:eastAsia="仿宋" w:cs="仿宋"/>
                <w:bCs/>
                <w:color w:val="auto"/>
                <w:spacing w:val="4"/>
                <w:sz w:val="24"/>
                <w:szCs w:val="24"/>
                <w:highlight w:val="none"/>
                <w:lang w:val="en-US" w:eastAsia="zh-CN"/>
              </w:rPr>
            </w:pPr>
            <w:r>
              <w:rPr>
                <w:rFonts w:hint="eastAsia" w:ascii="仿宋" w:hAnsi="仿宋" w:eastAsia="仿宋" w:cs="仿宋"/>
                <w:bCs/>
                <w:color w:val="auto"/>
                <w:spacing w:val="4"/>
                <w:sz w:val="24"/>
                <w:szCs w:val="24"/>
                <w:highlight w:val="none"/>
                <w:lang w:val="en-US" w:eastAsia="zh-CN"/>
              </w:rPr>
              <w:t>投标人技术负责人同时具有水利工程信息化正高级职称及注册咨询工程师（投资）证书得3分，</w:t>
            </w:r>
            <w:r>
              <w:rPr>
                <w:rFonts w:hint="eastAsia" w:ascii="仿宋" w:hAnsi="仿宋" w:eastAsia="仿宋" w:cs="仿宋"/>
                <w:bCs/>
                <w:color w:val="auto"/>
                <w:spacing w:val="4"/>
                <w:sz w:val="24"/>
                <w:szCs w:val="24"/>
                <w:highlight w:val="none"/>
              </w:rPr>
              <w:t>没有不得分。</w:t>
            </w:r>
          </w:p>
          <w:p>
            <w:pPr>
              <w:adjustRightInd w:val="0"/>
              <w:snapToGrid w:val="0"/>
              <w:spacing w:line="240" w:lineRule="atLeast"/>
              <w:jc w:val="left"/>
              <w:textAlignment w:val="center"/>
              <w:rPr>
                <w:rFonts w:hint="default"/>
                <w:color w:val="auto"/>
                <w:highlight w:val="none"/>
                <w:lang w:val="en-US" w:eastAsia="zh-CN"/>
              </w:rPr>
            </w:pPr>
            <w:r>
              <w:rPr>
                <w:rFonts w:hint="eastAsia" w:ascii="仿宋" w:hAnsi="仿宋" w:eastAsia="仿宋" w:cs="仿宋"/>
                <w:bCs/>
                <w:color w:val="auto"/>
                <w:spacing w:val="4"/>
                <w:sz w:val="24"/>
                <w:szCs w:val="24"/>
                <w:highlight w:val="none"/>
                <w:lang w:val="en-US" w:eastAsia="zh-CN"/>
              </w:rPr>
              <w:t>（须提供最近6个月社保缴纳证明材料及人员证书扫描件并加盖单位公章，否则不得分）。</w:t>
            </w:r>
          </w:p>
        </w:tc>
        <w:tc>
          <w:tcPr>
            <w:tcW w:w="1295" w:type="dxa"/>
            <w:vMerge w:val="continue"/>
            <w:vAlign w:val="center"/>
          </w:tcPr>
          <w:p>
            <w:pPr>
              <w:snapToGrid w:val="0"/>
              <w:spacing w:line="240" w:lineRule="atLeast"/>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widowControl/>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配置软件开发相关技术人员：</w:t>
            </w:r>
          </w:p>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1、配置了软件设计师的得1分；</w:t>
            </w:r>
          </w:p>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2、配置了系统架构设计师的得1分；</w:t>
            </w:r>
          </w:p>
          <w:p>
            <w:pPr>
              <w:widowControl/>
              <w:adjustRightInd w:val="0"/>
              <w:snapToGrid w:val="0"/>
              <w:spacing w:line="240" w:lineRule="atLeast"/>
              <w:jc w:val="left"/>
              <w:textAlignment w:val="center"/>
              <w:rPr>
                <w:rFonts w:hint="eastAsia" w:ascii="仿宋" w:hAnsi="仿宋" w:eastAsia="仿宋" w:cs="仿宋"/>
                <w:b/>
                <w:color w:val="auto"/>
                <w:sz w:val="24"/>
                <w:szCs w:val="24"/>
                <w:highlight w:val="none"/>
              </w:rPr>
            </w:pPr>
            <w:r>
              <w:rPr>
                <w:rFonts w:hint="eastAsia" w:ascii="仿宋" w:hAnsi="仿宋" w:eastAsia="仿宋" w:cs="仿宋"/>
                <w:bCs/>
                <w:color w:val="auto"/>
                <w:spacing w:val="4"/>
                <w:sz w:val="24"/>
                <w:szCs w:val="24"/>
                <w:highlight w:val="none"/>
              </w:rPr>
              <w:t>（以上人员不含项目负责人及水利相关专业技术人员。须提供最近6个月社保缴纳证明材料及人员证书扫描件并加盖单位公章，否则不得分）。</w:t>
            </w:r>
          </w:p>
        </w:tc>
        <w:tc>
          <w:tcPr>
            <w:tcW w:w="1295" w:type="dxa"/>
            <w:vMerge w:val="continue"/>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widowControl/>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widowControl/>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配置水利相关专业技术人员：</w:t>
            </w:r>
          </w:p>
          <w:p>
            <w:pPr>
              <w:widowControl/>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1、配置了水利水电规划设计专业正高级职称人员的</w:t>
            </w:r>
            <w:r>
              <w:rPr>
                <w:rFonts w:hint="eastAsia" w:ascii="仿宋" w:hAnsi="仿宋" w:eastAsia="仿宋" w:cs="仿宋"/>
                <w:bCs/>
                <w:color w:val="auto"/>
                <w:spacing w:val="4"/>
                <w:sz w:val="24"/>
                <w:szCs w:val="24"/>
                <w:highlight w:val="none"/>
                <w:lang w:val="en-US" w:eastAsia="zh-CN"/>
              </w:rPr>
              <w:t>每位</w:t>
            </w:r>
            <w:r>
              <w:rPr>
                <w:rFonts w:hint="eastAsia" w:ascii="仿宋" w:hAnsi="仿宋" w:eastAsia="仿宋" w:cs="仿宋"/>
                <w:bCs/>
                <w:color w:val="auto"/>
                <w:spacing w:val="4"/>
                <w:sz w:val="24"/>
                <w:szCs w:val="24"/>
                <w:highlight w:val="none"/>
              </w:rPr>
              <w:t>得</w:t>
            </w:r>
            <w:r>
              <w:rPr>
                <w:rFonts w:hint="eastAsia" w:ascii="仿宋" w:hAnsi="仿宋" w:eastAsia="仿宋" w:cs="仿宋"/>
                <w:bCs/>
                <w:color w:val="auto"/>
                <w:spacing w:val="4"/>
                <w:sz w:val="24"/>
                <w:szCs w:val="24"/>
                <w:highlight w:val="none"/>
                <w:lang w:val="en-US" w:eastAsia="zh-CN"/>
              </w:rPr>
              <w:t>1分，</w:t>
            </w:r>
            <w:r>
              <w:rPr>
                <w:rFonts w:hint="eastAsia" w:ascii="仿宋" w:hAnsi="仿宋" w:eastAsia="仿宋" w:cs="仿宋"/>
                <w:bCs/>
                <w:color w:val="auto"/>
                <w:spacing w:val="4"/>
                <w:sz w:val="24"/>
                <w:szCs w:val="24"/>
                <w:highlight w:val="none"/>
              </w:rPr>
              <w:t>2分，副高级职称人员的得1分，没有不得分；</w:t>
            </w:r>
          </w:p>
          <w:p>
            <w:pPr>
              <w:widowControl/>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2、配置了</w:t>
            </w:r>
            <w:r>
              <w:rPr>
                <w:rFonts w:hint="eastAsia" w:ascii="仿宋" w:hAnsi="仿宋" w:eastAsia="仿宋" w:cs="仿宋"/>
                <w:bCs/>
                <w:color w:val="auto"/>
                <w:spacing w:val="4"/>
                <w:sz w:val="24"/>
                <w:szCs w:val="24"/>
                <w:highlight w:val="none"/>
                <w:lang w:val="en-US" w:eastAsia="zh-CN"/>
              </w:rPr>
              <w:t>水利工程管理</w:t>
            </w:r>
            <w:r>
              <w:rPr>
                <w:rFonts w:hint="eastAsia" w:ascii="仿宋" w:hAnsi="仿宋" w:eastAsia="仿宋" w:cs="仿宋"/>
                <w:bCs/>
                <w:color w:val="auto"/>
                <w:spacing w:val="4"/>
                <w:sz w:val="24"/>
                <w:szCs w:val="24"/>
                <w:highlight w:val="none"/>
              </w:rPr>
              <w:t>专业正高级职称人员的得2分，副高级职称人员的得1分，没有不得分；</w:t>
            </w:r>
          </w:p>
          <w:p>
            <w:pPr>
              <w:widowControl/>
              <w:adjustRightInd w:val="0"/>
              <w:snapToGrid w:val="0"/>
              <w:spacing w:line="240" w:lineRule="atLeast"/>
              <w:jc w:val="left"/>
              <w:textAlignment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（以上人员不含项目负责人</w:t>
            </w:r>
            <w:r>
              <w:rPr>
                <w:rFonts w:hint="eastAsia" w:ascii="仿宋" w:hAnsi="仿宋" w:eastAsia="仿宋" w:cs="仿宋"/>
                <w:bCs/>
                <w:color w:val="auto"/>
                <w:spacing w:val="4"/>
                <w:sz w:val="24"/>
                <w:szCs w:val="24"/>
                <w:highlight w:val="none"/>
                <w:lang w:eastAsia="zh-CN"/>
              </w:rPr>
              <w:t>、</w:t>
            </w:r>
            <w:r>
              <w:rPr>
                <w:rFonts w:hint="eastAsia" w:ascii="仿宋" w:hAnsi="仿宋" w:eastAsia="仿宋" w:cs="仿宋"/>
                <w:bCs/>
                <w:color w:val="auto"/>
                <w:spacing w:val="4"/>
                <w:sz w:val="24"/>
                <w:szCs w:val="24"/>
                <w:highlight w:val="none"/>
                <w:lang w:val="en-US" w:eastAsia="zh-CN"/>
              </w:rPr>
              <w:t>技术负责任人</w:t>
            </w:r>
            <w:r>
              <w:rPr>
                <w:rFonts w:hint="eastAsia" w:ascii="仿宋" w:hAnsi="仿宋" w:eastAsia="仿宋" w:cs="仿宋"/>
                <w:bCs/>
                <w:color w:val="auto"/>
                <w:spacing w:val="4"/>
                <w:sz w:val="24"/>
                <w:szCs w:val="24"/>
                <w:highlight w:val="none"/>
              </w:rPr>
              <w:t>及系统开发相关技术人员。须提供最近6个月社保缴纳证明材料及人员证书扫描件并加盖单位公章，否则不得分）。</w:t>
            </w:r>
          </w:p>
        </w:tc>
        <w:tc>
          <w:tcPr>
            <w:tcW w:w="1295" w:type="dxa"/>
            <w:vMerge w:val="continue"/>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restart"/>
            <w:vAlign w:val="center"/>
          </w:tcPr>
          <w:p>
            <w:pPr>
              <w:widowControl/>
              <w:snapToGrid w:val="0"/>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项目组织实施</w:t>
            </w: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投标人按照招标人的要求，提供详实的进度计划。根据进度阶段的划分以及工作量及工期安排的合理性综合评分。0-</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w:t>
            </w:r>
          </w:p>
        </w:tc>
        <w:tc>
          <w:tcPr>
            <w:tcW w:w="1295" w:type="dxa"/>
            <w:vMerge w:val="restart"/>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Merge w:val="continue"/>
            <w:vAlign w:val="center"/>
          </w:tcPr>
          <w:p>
            <w:pPr>
              <w:widowControl/>
              <w:snapToGrid w:val="0"/>
              <w:spacing w:line="240" w:lineRule="atLeast"/>
              <w:jc w:val="center"/>
              <w:rPr>
                <w:rFonts w:hint="eastAsia" w:ascii="仿宋" w:hAnsi="仿宋" w:eastAsia="仿宋" w:cs="仿宋"/>
                <w:color w:val="auto"/>
                <w:sz w:val="24"/>
                <w:szCs w:val="24"/>
                <w:highlight w:val="none"/>
              </w:rPr>
            </w:pP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根据投标人为了保证项目进度计划的顺利实施，提供项目实施沟通管理、变更管理、风险管理等方面的计划进行综合评分。0-</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w:t>
            </w:r>
          </w:p>
        </w:tc>
        <w:tc>
          <w:tcPr>
            <w:tcW w:w="1295" w:type="dxa"/>
            <w:vMerge w:val="continue"/>
            <w:vAlign w:val="center"/>
          </w:tcPr>
          <w:p>
            <w:pPr>
              <w:snapToGrid w:val="0"/>
              <w:spacing w:line="240" w:lineRule="atLeast"/>
              <w:ind w:left="29" w:leftChars="0"/>
              <w:jc w:val="center"/>
              <w:rPr>
                <w:rFonts w:hint="eastAsia" w:ascii="仿宋" w:hAnsi="仿宋" w:eastAsia="仿宋" w:cs="仿宋"/>
                <w:bCs/>
                <w:color w:val="auto"/>
                <w:spacing w:val="4"/>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Align w:val="center"/>
          </w:tcPr>
          <w:p>
            <w:pPr>
              <w:snapToGrid w:val="0"/>
              <w:spacing w:line="240" w:lineRule="atLeast"/>
              <w:jc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质量保证措施</w:t>
            </w:r>
          </w:p>
        </w:tc>
        <w:tc>
          <w:tcPr>
            <w:tcW w:w="6499" w:type="dxa"/>
            <w:vAlign w:val="center"/>
          </w:tcPr>
          <w:p>
            <w:pPr>
              <w:pStyle w:val="36"/>
              <w:snapToGrid w:val="0"/>
              <w:spacing w:before="0" w:beforeAutospacing="0" w:after="0" w:afterAutospacing="0"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投标人按招标人要求有明确的质量保证目标，质量保证措施和体系合理先进并具有详细的实施内容等，有明确的ISO质量管理体系和二级校审制度等，进行综合评分。0-</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w:t>
            </w:r>
          </w:p>
        </w:tc>
        <w:tc>
          <w:tcPr>
            <w:tcW w:w="1295" w:type="dxa"/>
            <w:vAlign w:val="center"/>
          </w:tcPr>
          <w:p>
            <w:pPr>
              <w:snapToGrid w:val="0"/>
              <w:spacing w:line="240" w:lineRule="atLeast"/>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Align w:val="center"/>
          </w:tcPr>
          <w:p>
            <w:pPr>
              <w:widowControl/>
              <w:snapToGrid w:val="0"/>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售后服务</w:t>
            </w:r>
          </w:p>
        </w:tc>
        <w:tc>
          <w:tcPr>
            <w:tcW w:w="6499" w:type="dxa"/>
            <w:vAlign w:val="center"/>
          </w:tcPr>
          <w:p>
            <w:pPr>
              <w:snapToGrid w:val="0"/>
              <w:spacing w:line="240" w:lineRule="atLeast"/>
              <w:rPr>
                <w:rFonts w:hint="eastAsia" w:ascii="仿宋" w:hAnsi="仿宋" w:eastAsia="仿宋" w:cs="仿宋"/>
                <w:snapToGrid w:val="0"/>
                <w:color w:val="auto"/>
                <w:sz w:val="24"/>
                <w:szCs w:val="24"/>
                <w:highlight w:val="none"/>
              </w:rPr>
            </w:pPr>
            <w:r>
              <w:rPr>
                <w:rFonts w:hint="eastAsia" w:ascii="仿宋" w:hAnsi="仿宋" w:eastAsia="仿宋" w:cs="仿宋"/>
                <w:bCs/>
                <w:color w:val="auto"/>
                <w:spacing w:val="4"/>
                <w:sz w:val="24"/>
                <w:szCs w:val="24"/>
                <w:highlight w:val="none"/>
              </w:rPr>
              <w:t>根据投标人提供的售后服务方案、售后服务承诺的可行性、完整性以及服务承诺落实的保障措施，服务网点情况（须提供营业执照等相关证明材料复印件），服务响应能力，现场技术服务能力，维护期内外的后续技术支持等进行综合评分。好：</w:t>
            </w:r>
            <w:r>
              <w:rPr>
                <w:rFonts w:hint="eastAsia" w:ascii="仿宋" w:hAnsi="仿宋" w:eastAsia="仿宋" w:cs="仿宋"/>
                <w:bCs/>
                <w:color w:val="auto"/>
                <w:spacing w:val="4"/>
                <w:sz w:val="24"/>
                <w:szCs w:val="24"/>
                <w:highlight w:val="none"/>
                <w:lang w:val="en-US" w:eastAsia="zh-CN"/>
              </w:rPr>
              <w:t>4</w:t>
            </w:r>
            <w:r>
              <w:rPr>
                <w:rFonts w:hint="eastAsia" w:ascii="仿宋" w:hAnsi="仿宋" w:eastAsia="仿宋" w:cs="仿宋"/>
                <w:bCs/>
                <w:color w:val="auto"/>
                <w:spacing w:val="4"/>
                <w:sz w:val="24"/>
                <w:szCs w:val="24"/>
                <w:highlight w:val="none"/>
              </w:rPr>
              <w:t>分，良：2分，一般：1分。</w:t>
            </w:r>
          </w:p>
        </w:tc>
        <w:tc>
          <w:tcPr>
            <w:tcW w:w="1295" w:type="dxa"/>
            <w:vAlign w:val="center"/>
          </w:tcPr>
          <w:p>
            <w:pPr>
              <w:snapToGrid w:val="0"/>
              <w:spacing w:line="240" w:lineRule="atLeas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276" w:type="dxa"/>
            <w:vAlign w:val="center"/>
          </w:tcPr>
          <w:p>
            <w:pPr>
              <w:snapToGrid w:val="0"/>
              <w:spacing w:line="240" w:lineRule="atLeast"/>
              <w:jc w:val="center"/>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培训</w:t>
            </w:r>
          </w:p>
        </w:tc>
        <w:tc>
          <w:tcPr>
            <w:tcW w:w="6499" w:type="dxa"/>
            <w:vAlign w:val="center"/>
          </w:tcPr>
          <w:p>
            <w:pPr>
              <w:snapToGrid w:val="0"/>
              <w:spacing w:line="240" w:lineRule="atLeast"/>
              <w:rPr>
                <w:rFonts w:hint="eastAsia" w:ascii="仿宋" w:hAnsi="仿宋" w:eastAsia="仿宋" w:cs="仿宋"/>
                <w:bCs/>
                <w:color w:val="auto"/>
                <w:spacing w:val="4"/>
                <w:sz w:val="24"/>
                <w:szCs w:val="24"/>
                <w:highlight w:val="none"/>
              </w:rPr>
            </w:pPr>
            <w:r>
              <w:rPr>
                <w:rFonts w:hint="eastAsia" w:ascii="仿宋" w:hAnsi="仿宋" w:eastAsia="仿宋" w:cs="仿宋"/>
                <w:bCs/>
                <w:color w:val="auto"/>
                <w:spacing w:val="4"/>
                <w:sz w:val="24"/>
                <w:szCs w:val="24"/>
                <w:highlight w:val="none"/>
              </w:rPr>
              <w:t>根据投标人培训计划方案的合理性以及与相关要求的符合性进行综合评分。0-</w:t>
            </w:r>
            <w:r>
              <w:rPr>
                <w:rFonts w:hint="eastAsia" w:ascii="仿宋" w:hAnsi="仿宋" w:eastAsia="仿宋" w:cs="仿宋"/>
                <w:bCs/>
                <w:color w:val="auto"/>
                <w:spacing w:val="4"/>
                <w:sz w:val="24"/>
                <w:szCs w:val="24"/>
                <w:highlight w:val="none"/>
                <w:lang w:val="en-US" w:eastAsia="zh-CN"/>
              </w:rPr>
              <w:t>2</w:t>
            </w:r>
            <w:r>
              <w:rPr>
                <w:rFonts w:hint="eastAsia" w:ascii="仿宋" w:hAnsi="仿宋" w:eastAsia="仿宋" w:cs="仿宋"/>
                <w:bCs/>
                <w:color w:val="auto"/>
                <w:spacing w:val="4"/>
                <w:sz w:val="24"/>
                <w:szCs w:val="24"/>
                <w:highlight w:val="none"/>
              </w:rPr>
              <w:t>分。</w:t>
            </w:r>
          </w:p>
        </w:tc>
        <w:tc>
          <w:tcPr>
            <w:tcW w:w="1295" w:type="dxa"/>
            <w:vAlign w:val="center"/>
          </w:tcPr>
          <w:p>
            <w:pPr>
              <w:snapToGrid w:val="0"/>
              <w:spacing w:line="240" w:lineRule="atLeast"/>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2</w:t>
            </w:r>
          </w:p>
        </w:tc>
      </w:tr>
    </w:tbl>
    <w:p>
      <w:pPr>
        <w:pStyle w:val="7"/>
        <w:rPr>
          <w:rFonts w:hint="eastAsia" w:ascii="仿宋_GB2312" w:hAnsi="宋体" w:eastAsia="仿宋_GB2312"/>
          <w:b/>
          <w:bCs/>
          <w:iCs/>
          <w:color w:val="auto"/>
          <w:sz w:val="24"/>
          <w:highlight w:val="none"/>
        </w:rPr>
      </w:pPr>
    </w:p>
    <w:p>
      <w:pPr>
        <w:spacing w:line="440" w:lineRule="exact"/>
        <w:rPr>
          <w:rFonts w:ascii="仿宋_GB2312" w:hAnsi="宋体" w:eastAsia="仿宋_GB2312"/>
          <w:b/>
          <w:bCs/>
          <w:iCs/>
          <w:color w:val="auto"/>
          <w:sz w:val="24"/>
          <w:highlight w:val="none"/>
        </w:rPr>
      </w:pPr>
      <w:r>
        <w:rPr>
          <w:rFonts w:hint="eastAsia" w:ascii="仿宋_GB2312" w:hAnsi="宋体" w:eastAsia="仿宋_GB2312"/>
          <w:b/>
          <w:bCs/>
          <w:iCs/>
          <w:color w:val="auto"/>
          <w:sz w:val="24"/>
          <w:highlight w:val="none"/>
        </w:rPr>
        <w:t>2.2价格分（</w:t>
      </w:r>
      <w:r>
        <w:rPr>
          <w:rFonts w:hint="eastAsia" w:ascii="仿宋_GB2312" w:hAnsi="宋体" w:eastAsia="仿宋_GB2312"/>
          <w:b/>
          <w:bCs/>
          <w:iCs/>
          <w:color w:val="auto"/>
          <w:sz w:val="24"/>
          <w:highlight w:val="none"/>
          <w:lang w:val="en-US" w:eastAsia="zh-CN"/>
        </w:rPr>
        <w:t>1</w:t>
      </w:r>
      <w:r>
        <w:rPr>
          <w:rFonts w:ascii="仿宋_GB2312" w:hAnsi="宋体" w:eastAsia="仿宋_GB2312"/>
          <w:b/>
          <w:bCs/>
          <w:iCs/>
          <w:color w:val="auto"/>
          <w:sz w:val="24"/>
          <w:highlight w:val="none"/>
        </w:rPr>
        <w:t>0</w:t>
      </w:r>
      <w:r>
        <w:rPr>
          <w:rFonts w:hint="eastAsia" w:ascii="仿宋_GB2312" w:hAnsi="宋体" w:eastAsia="仿宋_GB2312"/>
          <w:b/>
          <w:bCs/>
          <w:iCs/>
          <w:color w:val="auto"/>
          <w:sz w:val="24"/>
          <w:highlight w:val="none"/>
        </w:rPr>
        <w:t>分）</w:t>
      </w:r>
    </w:p>
    <w:p>
      <w:pPr>
        <w:spacing w:line="440" w:lineRule="exact"/>
        <w:rPr>
          <w:rFonts w:ascii="仿宋_GB2312" w:hAnsi="宋体" w:eastAsia="仿宋_GB2312"/>
          <w:bCs/>
          <w:iCs/>
          <w:color w:val="auto"/>
          <w:sz w:val="24"/>
          <w:highlight w:val="none"/>
        </w:rPr>
      </w:pPr>
      <w:r>
        <w:rPr>
          <w:rFonts w:hint="eastAsia" w:ascii="仿宋_GB2312" w:hAnsi="宋体" w:eastAsia="仿宋_GB2312"/>
          <w:bCs/>
          <w:iCs/>
          <w:color w:val="auto"/>
          <w:sz w:val="24"/>
          <w:highlight w:val="none"/>
        </w:rPr>
        <w:t>2.2.1评标基准价：即满足招标文件要求且投标价格最低的投标报价为评标基准价，其价格分为满分。</w:t>
      </w:r>
    </w:p>
    <w:p>
      <w:pPr>
        <w:spacing w:line="440" w:lineRule="exact"/>
        <w:rPr>
          <w:rFonts w:ascii="仿宋_GB2312" w:hAnsi="宋体" w:eastAsia="仿宋_GB2312"/>
          <w:bCs/>
          <w:iCs/>
          <w:color w:val="auto"/>
          <w:sz w:val="24"/>
          <w:highlight w:val="none"/>
        </w:rPr>
      </w:pPr>
      <w:r>
        <w:rPr>
          <w:rFonts w:hint="eastAsia" w:ascii="仿宋_GB2312" w:hAnsi="宋体" w:eastAsia="仿宋_GB2312"/>
          <w:bCs/>
          <w:iCs/>
          <w:color w:val="auto"/>
          <w:sz w:val="24"/>
          <w:highlight w:val="none"/>
        </w:rPr>
        <w:t>2.2.2其他投标人的价格分统一按照下列公式计算：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hAnsi="宋体" w:eastAsia="仿宋_GB2312"/>
          <w:bCs/>
          <w:iCs/>
          <w:color w:val="auto"/>
          <w:sz w:val="24"/>
          <w:highlight w:val="none"/>
        </w:rPr>
      </w:pPr>
      <w:r>
        <w:rPr>
          <w:rFonts w:hint="eastAsia" w:ascii="仿宋_GB2312" w:hAnsi="宋体" w:eastAsia="仿宋_GB2312"/>
          <w:bCs/>
          <w:iCs/>
          <w:color w:val="auto"/>
          <w:sz w:val="24"/>
          <w:highlight w:val="none"/>
        </w:rPr>
        <w:t>投标报价得分=(评标基准价／投标报价)×价格权值×100</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hAnsi="宋体" w:eastAsia="仿宋_GB2312"/>
          <w:bCs/>
          <w:iCs/>
          <w:color w:val="auto"/>
          <w:sz w:val="24"/>
          <w:highlight w:val="none"/>
        </w:rPr>
      </w:pPr>
      <w:r>
        <w:rPr>
          <w:rFonts w:hint="eastAsia" w:ascii="仿宋_GB2312" w:hAnsi="宋体" w:eastAsia="仿宋_GB2312"/>
          <w:bCs/>
          <w:iCs/>
          <w:color w:val="auto"/>
          <w:sz w:val="24"/>
          <w:highlight w:val="none"/>
        </w:rPr>
        <w:t>即：投标报价得分=(评标基准价／投标报价)×</w:t>
      </w:r>
      <w:r>
        <w:rPr>
          <w:rFonts w:hint="eastAsia" w:ascii="仿宋_GB2312" w:hAnsi="宋体" w:eastAsia="仿宋_GB2312"/>
          <w:bCs/>
          <w:iCs/>
          <w:color w:val="auto"/>
          <w:sz w:val="24"/>
          <w:highlight w:val="none"/>
          <w:lang w:val="en-US" w:eastAsia="zh-CN"/>
        </w:rPr>
        <w:t>1</w:t>
      </w:r>
      <w:r>
        <w:rPr>
          <w:rFonts w:ascii="仿宋_GB2312" w:hAnsi="宋体" w:eastAsia="仿宋_GB2312"/>
          <w:bCs/>
          <w:iCs/>
          <w:color w:val="auto"/>
          <w:sz w:val="24"/>
          <w:highlight w:val="none"/>
        </w:rPr>
        <w:t>0</w:t>
      </w:r>
    </w:p>
    <w:bookmarkEnd w:id="8"/>
    <w:bookmarkEnd w:id="9"/>
    <w:bookmarkEnd w:id="10"/>
    <w:bookmarkEnd w:id="11"/>
    <w:p>
      <w:pPr>
        <w:snapToGrid w:val="0"/>
        <w:spacing w:line="360" w:lineRule="auto"/>
        <w:rPr>
          <w:rFonts w:ascii="仿宋_GB2312" w:hAnsi="仿宋_GB2312" w:eastAsia="仿宋_GB2312" w:cs="仿宋_GB2312"/>
          <w:b/>
          <w:color w:val="auto"/>
          <w:sz w:val="36"/>
          <w:szCs w:val="20"/>
          <w:highlight w:val="none"/>
        </w:rPr>
      </w:pPr>
    </w:p>
    <w:p>
      <w:pPr>
        <w:pageBreakBefore/>
        <w:snapToGrid w:val="0"/>
        <w:spacing w:line="360" w:lineRule="auto"/>
        <w:jc w:val="center"/>
        <w:rPr>
          <w:rFonts w:ascii="仿宋_GB2312" w:hAnsi="仿宋_GB2312" w:eastAsia="仿宋_GB2312" w:cs="仿宋_GB2312"/>
          <w:b/>
          <w:color w:val="auto"/>
          <w:sz w:val="36"/>
          <w:szCs w:val="20"/>
          <w:highlight w:val="none"/>
        </w:rPr>
      </w:pPr>
      <w:r>
        <w:rPr>
          <w:rFonts w:hint="eastAsia" w:ascii="仿宋_GB2312" w:hAnsi="仿宋_GB2312" w:eastAsia="仿宋_GB2312" w:cs="仿宋_GB2312"/>
          <w:b/>
          <w:color w:val="auto"/>
          <w:sz w:val="36"/>
          <w:szCs w:val="20"/>
          <w:highlight w:val="none"/>
        </w:rPr>
        <w:t>第六部分</w:t>
      </w:r>
      <w:r>
        <w:rPr>
          <w:rFonts w:hint="eastAsia" w:ascii="仿宋_GB2312" w:hAnsi="宋体" w:eastAsia="仿宋_GB2312"/>
          <w:b/>
          <w:color w:val="auto"/>
          <w:sz w:val="36"/>
          <w:szCs w:val="36"/>
          <w:highlight w:val="none"/>
        </w:rPr>
        <w:t>投标文件</w:t>
      </w:r>
      <w:r>
        <w:rPr>
          <w:rFonts w:hint="eastAsia" w:ascii="仿宋_GB2312" w:hAnsi="仿宋_GB2312" w:eastAsia="仿宋_GB2312" w:cs="仿宋_GB2312"/>
          <w:b/>
          <w:color w:val="auto"/>
          <w:sz w:val="36"/>
          <w:szCs w:val="20"/>
          <w:highlight w:val="none"/>
        </w:rPr>
        <w:t>应提交的有关格式范例</w:t>
      </w:r>
    </w:p>
    <w:p>
      <w:pPr>
        <w:spacing w:line="360" w:lineRule="auto"/>
        <w:ind w:firstLine="480" w:firstLineChars="200"/>
        <w:outlineLvl w:val="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投标人按照以下格式编制投标文件，并将报价文件、商务技术（资信）文件分别编制成册。</w:t>
      </w:r>
    </w:p>
    <w:p>
      <w:pPr>
        <w:spacing w:line="360" w:lineRule="auto"/>
        <w:ind w:firstLine="480" w:firstLineChars="200"/>
        <w:outlineLvl w:val="0"/>
        <w:rPr>
          <w:rFonts w:ascii="仿宋_GB2312" w:hAnsi="仿宋_GB2312" w:eastAsia="仿宋_GB2312" w:cs="仿宋_GB2312"/>
          <w:color w:val="auto"/>
          <w:sz w:val="24"/>
          <w:highlight w:val="none"/>
        </w:rPr>
      </w:pPr>
    </w:p>
    <w:p>
      <w:pPr>
        <w:spacing w:line="360" w:lineRule="auto"/>
        <w:ind w:firstLine="480" w:firstLineChars="200"/>
        <w:outlineLvl w:val="0"/>
        <w:rPr>
          <w:rFonts w:ascii="仿宋_GB2312" w:hAnsi="仿宋_GB2312" w:eastAsia="仿宋_GB2312" w:cs="仿宋_GB2312"/>
          <w:color w:val="auto"/>
          <w:sz w:val="24"/>
          <w:highlight w:val="none"/>
        </w:rPr>
      </w:pPr>
    </w:p>
    <w:p>
      <w:pPr>
        <w:spacing w:line="360" w:lineRule="auto"/>
        <w:ind w:firstLine="480" w:firstLineChars="200"/>
        <w:outlineLvl w:val="0"/>
        <w:rPr>
          <w:rFonts w:ascii="仿宋_GB2312" w:hAnsi="仿宋_GB2312" w:eastAsia="仿宋_GB2312" w:cs="仿宋_GB2312"/>
          <w:color w:val="auto"/>
          <w:sz w:val="24"/>
          <w:highlight w:val="none"/>
        </w:rPr>
      </w:pPr>
    </w:p>
    <w:p>
      <w:pPr>
        <w:spacing w:line="360" w:lineRule="auto"/>
        <w:ind w:firstLine="480" w:firstLineChars="200"/>
        <w:outlineLvl w:val="0"/>
        <w:rPr>
          <w:rFonts w:ascii="仿宋_GB2312" w:hAnsi="仿宋_GB2312" w:eastAsia="仿宋_GB2312" w:cs="仿宋_GB2312"/>
          <w:color w:val="auto"/>
          <w:sz w:val="24"/>
          <w:highlight w:val="none"/>
        </w:rPr>
      </w:pPr>
    </w:p>
    <w:p>
      <w:pPr>
        <w:spacing w:line="360" w:lineRule="auto"/>
        <w:ind w:firstLine="480" w:firstLineChars="200"/>
        <w:outlineLvl w:val="0"/>
        <w:rPr>
          <w:rFonts w:ascii="仿宋_GB2312" w:hAnsi="仿宋_GB2312" w:eastAsia="仿宋_GB2312" w:cs="仿宋_GB2312"/>
          <w:color w:val="auto"/>
          <w:sz w:val="24"/>
          <w:highlight w:val="none"/>
        </w:rPr>
      </w:pPr>
    </w:p>
    <w:p>
      <w:pPr>
        <w:snapToGrid w:val="0"/>
        <w:spacing w:line="360" w:lineRule="auto"/>
        <w:jc w:val="center"/>
        <w:rPr>
          <w:rFonts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报价文件部分</w:t>
      </w:r>
    </w:p>
    <w:p>
      <w:pPr>
        <w:spacing w:line="360" w:lineRule="auto"/>
        <w:jc w:val="center"/>
        <w:outlineLvl w:val="0"/>
        <w:rPr>
          <w:rFonts w:ascii="仿宋_GB2312" w:hAnsi="仿宋_GB2312" w:eastAsia="仿宋_GB2312" w:cs="仿宋_GB2312"/>
          <w:b/>
          <w:color w:val="auto"/>
          <w:kern w:val="0"/>
          <w:sz w:val="24"/>
          <w:highlight w:val="none"/>
        </w:rPr>
      </w:pPr>
    </w:p>
    <w:p>
      <w:pPr>
        <w:spacing w:line="360" w:lineRule="auto"/>
        <w:jc w:val="center"/>
        <w:outlineLvl w:val="0"/>
        <w:rPr>
          <w:rFonts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目录</w:t>
      </w:r>
    </w:p>
    <w:p>
      <w:pPr>
        <w:spacing w:line="360" w:lineRule="auto"/>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（1）投标响应函……………………………………………………（页码）</w:t>
      </w:r>
    </w:p>
    <w:p>
      <w:pPr>
        <w:spacing w:line="360" w:lineRule="auto"/>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（2）开标一览表……………………………………………………（页码）</w:t>
      </w:r>
    </w:p>
    <w:p>
      <w:pPr>
        <w:spacing w:line="360" w:lineRule="auto"/>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（3）中小企业声明函………………………………………………（页码）</w:t>
      </w:r>
    </w:p>
    <w:p>
      <w:pPr>
        <w:spacing w:line="360" w:lineRule="auto"/>
        <w:outlineLvl w:val="0"/>
        <w:rPr>
          <w:rFonts w:ascii="仿宋_GB2312" w:hAnsi="宋体" w:eastAsia="仿宋_GB2312"/>
          <w:b/>
          <w:color w:val="auto"/>
          <w:sz w:val="36"/>
          <w:szCs w:val="36"/>
          <w:highlight w:val="none"/>
        </w:rPr>
      </w:pPr>
      <w:r>
        <w:rPr>
          <w:rFonts w:hint="eastAsia" w:ascii="仿宋_GB2312" w:hAnsi="仿宋_GB2312" w:eastAsia="仿宋_GB2312" w:cs="仿宋_GB2312"/>
          <w:color w:val="auto"/>
          <w:sz w:val="24"/>
          <w:highlight w:val="none"/>
        </w:rPr>
        <w:t>（4）残疾人福利性单位声明函</w:t>
      </w:r>
      <w:r>
        <w:rPr>
          <w:rFonts w:hint="eastAsia" w:ascii="仿宋_GB2312" w:hAnsi="仿宋_GB2312" w:eastAsia="仿宋_GB2312" w:cs="仿宋_GB2312"/>
          <w:color w:val="auto"/>
          <w:kern w:val="0"/>
          <w:sz w:val="24"/>
          <w:highlight w:val="none"/>
        </w:rPr>
        <w:t>……………………………………（页码）</w:t>
      </w:r>
    </w:p>
    <w:p>
      <w:pPr>
        <w:pStyle w:val="19"/>
        <w:spacing w:line="800" w:lineRule="atLeast"/>
        <w:ind w:left="0" w:leftChars="0"/>
        <w:rPr>
          <w:rFonts w:ascii="仿宋_GB2312" w:hAnsi="宋体" w:eastAsia="仿宋_GB2312"/>
          <w:b/>
          <w:color w:val="auto"/>
          <w:sz w:val="36"/>
          <w:szCs w:val="36"/>
          <w:highlight w:val="none"/>
        </w:rPr>
      </w:pPr>
    </w:p>
    <w:p>
      <w:pPr>
        <w:pStyle w:val="19"/>
        <w:spacing w:line="800" w:lineRule="atLeast"/>
        <w:ind w:left="0" w:leftChars="0"/>
        <w:rPr>
          <w:rFonts w:ascii="仿宋_GB2312" w:hAnsi="宋体" w:eastAsia="仿宋_GB2312"/>
          <w:b/>
          <w:color w:val="auto"/>
          <w:sz w:val="36"/>
          <w:szCs w:val="36"/>
          <w:highlight w:val="none"/>
        </w:rPr>
      </w:pPr>
    </w:p>
    <w:p>
      <w:pPr>
        <w:pStyle w:val="19"/>
        <w:spacing w:line="800" w:lineRule="atLeast"/>
        <w:ind w:left="0" w:leftChars="0"/>
        <w:rPr>
          <w:rFonts w:ascii="仿宋_GB2312" w:hAnsi="宋体" w:eastAsia="仿宋_GB2312"/>
          <w:b/>
          <w:color w:val="auto"/>
          <w:sz w:val="36"/>
          <w:szCs w:val="36"/>
          <w:highlight w:val="none"/>
        </w:rPr>
      </w:pPr>
    </w:p>
    <w:p>
      <w:pPr>
        <w:rPr>
          <w:rFonts w:ascii="仿宋_GB2312" w:hAnsi="宋体" w:eastAsia="仿宋_GB2312"/>
          <w:b/>
          <w:color w:val="auto"/>
          <w:sz w:val="30"/>
          <w:szCs w:val="30"/>
          <w:highlight w:val="none"/>
        </w:rPr>
      </w:pPr>
    </w:p>
    <w:p>
      <w:pPr>
        <w:rPr>
          <w:rFonts w:ascii="仿宋_GB2312" w:hAnsi="宋体" w:eastAsia="仿宋_GB2312"/>
          <w:b/>
          <w:color w:val="auto"/>
          <w:sz w:val="30"/>
          <w:szCs w:val="30"/>
          <w:highlight w:val="none"/>
        </w:rPr>
      </w:pPr>
    </w:p>
    <w:p>
      <w:pPr>
        <w:pageBreakBefore/>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1、投标响应函（格式）</w:t>
      </w:r>
    </w:p>
    <w:p>
      <w:pPr>
        <w:pStyle w:val="67"/>
        <w:spacing w:afterLines="0" w:line="440" w:lineRule="exact"/>
        <w:ind w:firstLine="0" w:firstLineChars="0"/>
        <w:rPr>
          <w:rFonts w:ascii="仿宋_GB2312" w:hAnsi="宋体" w:eastAsia="仿宋_GB2312"/>
          <w:color w:val="auto"/>
          <w:szCs w:val="24"/>
          <w:highlight w:val="none"/>
        </w:rPr>
      </w:pPr>
    </w:p>
    <w:p>
      <w:pPr>
        <w:pStyle w:val="67"/>
        <w:spacing w:afterLines="0" w:line="440" w:lineRule="exact"/>
        <w:ind w:firstLine="0" w:firstLineChars="0"/>
        <w:rPr>
          <w:rFonts w:ascii="仿宋_GB2312" w:hAnsi="宋体" w:eastAsia="仿宋_GB2312"/>
          <w:color w:val="auto"/>
          <w:szCs w:val="24"/>
          <w:highlight w:val="none"/>
        </w:rPr>
      </w:pPr>
      <w:r>
        <w:rPr>
          <w:rFonts w:hint="eastAsia" w:ascii="仿宋_GB2312" w:hAnsi="宋体" w:eastAsia="仿宋_GB2312"/>
          <w:color w:val="auto"/>
          <w:szCs w:val="24"/>
          <w:highlight w:val="none"/>
        </w:rPr>
        <w:t>致：</w:t>
      </w:r>
      <w:r>
        <w:rPr>
          <w:rFonts w:hint="eastAsia" w:ascii="仿宋_GB2312" w:hAnsi="宋体" w:eastAsia="仿宋_GB2312"/>
          <w:color w:val="auto"/>
          <w:szCs w:val="24"/>
          <w:highlight w:val="none"/>
          <w:u w:val="single"/>
          <w:lang w:eastAsia="zh-CN"/>
        </w:rPr>
        <w:t>绍兴市防汛防旱应急保障中心</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根据贵方招标文件（</w:t>
      </w:r>
      <w:r>
        <w:rPr>
          <w:rFonts w:hint="eastAsia" w:ascii="仿宋_GB2312" w:hAnsi="宋体" w:eastAsia="仿宋_GB2312"/>
          <w:b/>
          <w:color w:val="auto"/>
          <w:szCs w:val="24"/>
          <w:highlight w:val="none"/>
          <w:u w:val="single"/>
        </w:rPr>
        <w:t>填写招标编号：</w:t>
      </w:r>
      <w:r>
        <w:rPr>
          <w:rFonts w:hint="eastAsia" w:ascii="仿宋_GB2312" w:hAnsi="宋体" w:eastAsia="仿宋_GB2312"/>
          <w:color w:val="auto"/>
          <w:szCs w:val="24"/>
          <w:highlight w:val="none"/>
        </w:rPr>
        <w:t>）的要求，正式授权</w:t>
      </w:r>
      <w:r>
        <w:rPr>
          <w:rFonts w:hint="eastAsia" w:ascii="仿宋_GB2312" w:hAnsi="宋体" w:eastAsia="仿宋_GB2312"/>
          <w:b/>
          <w:color w:val="auto"/>
          <w:szCs w:val="24"/>
          <w:highlight w:val="none"/>
          <w:u w:val="single"/>
        </w:rPr>
        <w:t>（全权代表姓名    、单位    、职务   ）</w:t>
      </w:r>
      <w:r>
        <w:rPr>
          <w:rFonts w:hint="eastAsia" w:ascii="仿宋_GB2312" w:hAnsi="宋体" w:eastAsia="仿宋_GB2312"/>
          <w:color w:val="auto"/>
          <w:szCs w:val="24"/>
          <w:highlight w:val="none"/>
        </w:rPr>
        <w:t>代表投标人</w:t>
      </w:r>
      <w:r>
        <w:rPr>
          <w:rFonts w:hint="eastAsia" w:ascii="仿宋_GB2312" w:hAnsi="宋体" w:eastAsia="仿宋_GB2312"/>
          <w:color w:val="auto"/>
          <w:szCs w:val="24"/>
          <w:highlight w:val="none"/>
          <w:u w:val="single"/>
        </w:rPr>
        <w:t>（</w:t>
      </w:r>
      <w:r>
        <w:rPr>
          <w:rFonts w:hint="eastAsia" w:ascii="仿宋_GB2312" w:hAnsi="宋体" w:eastAsia="仿宋_GB2312"/>
          <w:b/>
          <w:color w:val="auto"/>
          <w:szCs w:val="24"/>
          <w:highlight w:val="none"/>
          <w:u w:val="single"/>
        </w:rPr>
        <w:t xml:space="preserve">填写单位    、地址   </w:t>
      </w:r>
      <w:r>
        <w:rPr>
          <w:rFonts w:hint="eastAsia" w:ascii="仿宋_GB2312" w:hAnsi="宋体" w:eastAsia="仿宋_GB2312"/>
          <w:color w:val="auto"/>
          <w:szCs w:val="24"/>
          <w:highlight w:val="none"/>
          <w:u w:val="single"/>
        </w:rPr>
        <w:t>）</w:t>
      </w:r>
      <w:r>
        <w:rPr>
          <w:rFonts w:hint="eastAsia" w:ascii="仿宋_GB2312" w:hAnsi="宋体" w:eastAsia="仿宋_GB2312"/>
          <w:color w:val="auto"/>
          <w:szCs w:val="24"/>
          <w:highlight w:val="none"/>
        </w:rPr>
        <w:t>提交投标文件。</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我方已完全明白招标文件的所有条款要求，兹声明同意如下：</w:t>
      </w:r>
    </w:p>
    <w:p>
      <w:pPr>
        <w:pStyle w:val="14"/>
        <w:tabs>
          <w:tab w:val="clear" w:pos="1697"/>
        </w:tabs>
        <w:spacing w:afterLines="0" w:line="440" w:lineRule="exact"/>
        <w:ind w:left="0" w:firstLine="480" w:firstLineChars="200"/>
        <w:rPr>
          <w:rFonts w:ascii="仿宋_GB2312" w:hAnsi="宋体" w:eastAsia="仿宋_GB2312"/>
          <w:color w:val="auto"/>
          <w:szCs w:val="24"/>
          <w:highlight w:val="none"/>
        </w:rPr>
      </w:pPr>
      <w:r>
        <w:rPr>
          <w:rFonts w:hint="eastAsia" w:ascii="仿宋_GB2312" w:hAnsi="宋体" w:eastAsia="仿宋_GB2312"/>
          <w:color w:val="auto"/>
          <w:szCs w:val="24"/>
          <w:highlight w:val="none"/>
        </w:rPr>
        <w:t>1.</w:t>
      </w:r>
      <w:r>
        <w:rPr>
          <w:rFonts w:hint="eastAsia" w:ascii="仿宋_GB2312" w:hAnsi="仿宋" w:eastAsia="仿宋_GB2312" w:cs="仿宋_GB2312"/>
          <w:color w:val="auto"/>
          <w:highlight w:val="none"/>
        </w:rPr>
        <w:t>我方同意在投标人</w:t>
      </w:r>
      <w:r>
        <w:rPr>
          <w:rFonts w:hint="eastAsia" w:ascii="仿宋_GB2312" w:hAnsi="仿宋" w:eastAsia="仿宋_GB2312" w:cs="仿宋_GB2312"/>
          <w:color w:val="auto"/>
          <w:kern w:val="44"/>
          <w:highlight w:val="none"/>
        </w:rPr>
        <w:t>须知</w:t>
      </w:r>
      <w:r>
        <w:rPr>
          <w:rFonts w:hint="eastAsia" w:ascii="仿宋_GB2312" w:hAnsi="仿宋" w:eastAsia="仿宋_GB2312" w:cs="仿宋_GB2312"/>
          <w:color w:val="auto"/>
          <w:highlight w:val="none"/>
        </w:rPr>
        <w:t>规定的开标日期起遵守本投标文件中的承诺且在投标有效期满之前均具有约束力</w:t>
      </w:r>
      <w:r>
        <w:rPr>
          <w:rFonts w:hint="eastAsia" w:ascii="仿宋_GB2312" w:hAnsi="宋体" w:eastAsia="仿宋_GB2312"/>
          <w:color w:val="auto"/>
          <w:szCs w:val="24"/>
          <w:highlight w:val="none"/>
        </w:rPr>
        <w:t>。</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2.我方承诺已经具备《中华人民共和国政府采购法》中规定的参加政府采购活动的供应商应当具备的条件。</w:t>
      </w:r>
    </w:p>
    <w:p>
      <w:pPr>
        <w:pStyle w:val="67"/>
        <w:spacing w:afterLines="0" w:line="440" w:lineRule="exact"/>
        <w:ind w:firstLine="480"/>
        <w:rPr>
          <w:rFonts w:ascii="仿宋_GB2312" w:eastAsia="仿宋_GB2312"/>
          <w:color w:val="auto"/>
          <w:highlight w:val="none"/>
        </w:rPr>
      </w:pPr>
      <w:r>
        <w:rPr>
          <w:rFonts w:hint="eastAsia" w:ascii="仿宋_GB2312" w:hAnsi="宋体" w:eastAsia="仿宋_GB2312"/>
          <w:color w:val="auto"/>
          <w:szCs w:val="24"/>
          <w:highlight w:val="none"/>
        </w:rPr>
        <w:t>3.</w:t>
      </w:r>
      <w:r>
        <w:rPr>
          <w:rFonts w:hint="eastAsia" w:ascii="仿宋_GB2312" w:eastAsia="仿宋_GB2312"/>
          <w:color w:val="auto"/>
          <w:highlight w:val="none"/>
        </w:rPr>
        <w:t>本公司投标文件中填列的技术参数、配置、服务、数量等相关内容都是真实、准确的。保证在本次项目中所提供的资料全部真实和合法。同意向绍兴市防汛防旱应急保障中心提供可能另外要求的与投标有关的任何数据或资料。</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4.我方理解贵方将不受你们所收到的最低报价的约束。</w:t>
      </w:r>
    </w:p>
    <w:p>
      <w:pPr>
        <w:pStyle w:val="14"/>
        <w:tabs>
          <w:tab w:val="clear" w:pos="1697"/>
        </w:tabs>
        <w:spacing w:afterLines="0" w:line="440" w:lineRule="exact"/>
        <w:ind w:left="0" w:firstLine="480" w:firstLineChars="200"/>
        <w:rPr>
          <w:rFonts w:ascii="仿宋_GB2312" w:hAnsi="宋体" w:eastAsia="仿宋_GB2312"/>
          <w:color w:val="auto"/>
          <w:szCs w:val="24"/>
          <w:highlight w:val="none"/>
        </w:rPr>
      </w:pPr>
      <w:r>
        <w:rPr>
          <w:rFonts w:hint="eastAsia" w:ascii="仿宋_GB2312" w:hAnsi="宋体" w:eastAsia="仿宋_GB2312"/>
          <w:color w:val="auto"/>
          <w:highlight w:val="none"/>
        </w:rPr>
        <w:t>5.</w:t>
      </w:r>
      <w:r>
        <w:rPr>
          <w:rFonts w:hint="eastAsia" w:ascii="仿宋_GB2312" w:hAnsi="宋体" w:eastAsia="仿宋_GB2312"/>
          <w:color w:val="auto"/>
          <w:szCs w:val="24"/>
          <w:highlight w:val="none"/>
        </w:rPr>
        <w:t>本投标自开标之日（投标截止之日）起90天内有效。</w:t>
      </w:r>
    </w:p>
    <w:p>
      <w:pPr>
        <w:pStyle w:val="67"/>
        <w:spacing w:afterLines="0" w:line="440" w:lineRule="exact"/>
        <w:ind w:firstLine="480"/>
        <w:rPr>
          <w:rFonts w:ascii="仿宋_GB2312" w:hAnsi="仿宋_GB2312" w:eastAsia="仿宋_GB2312" w:cs="仿宋_GB2312"/>
          <w:color w:val="auto"/>
          <w:highlight w:val="none"/>
        </w:rPr>
      </w:pPr>
      <w:r>
        <w:rPr>
          <w:rFonts w:hint="eastAsia" w:ascii="仿宋_GB2312" w:hAnsi="宋体" w:eastAsia="仿宋_GB2312"/>
          <w:color w:val="auto"/>
          <w:szCs w:val="24"/>
          <w:highlight w:val="none"/>
        </w:rPr>
        <w:t>6</w:t>
      </w:r>
      <w:r>
        <w:rPr>
          <w:rFonts w:hint="eastAsia" w:ascii="仿宋_GB2312" w:hAnsi="仿宋_GB2312" w:eastAsia="仿宋_GB2312" w:cs="仿宋_GB2312"/>
          <w:color w:val="auto"/>
          <w:highlight w:val="none"/>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a)提供虚假材料谋取中标、成交的；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b)采取不正当手段诋毁、排挤其他供应商的；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c)与采购人、其它供应商或者采购代理机构恶意串通的；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d)向采购人、采购代理机构行贿或者提供其他不正当利益的；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e)在招标采购过程中与采购人进行协商谈判的；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f)拒绝有关部门监督检查或提供虚假情况的。</w:t>
      </w:r>
    </w:p>
    <w:p>
      <w:pPr>
        <w:snapToGrid w:val="0"/>
        <w:spacing w:line="44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供应商有前款第a)至e)项情形之一的，中标、成交无效。</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地址：　　　　　　　　　　　　　　　邮政编码：</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电话：                              传真：</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开户银行：                          帐号：</w:t>
      </w:r>
    </w:p>
    <w:p>
      <w:pPr>
        <w:pStyle w:val="67"/>
        <w:spacing w:afterLines="0" w:line="440" w:lineRule="exact"/>
        <w:ind w:firstLine="480"/>
        <w:rPr>
          <w:rFonts w:ascii="仿宋_GB2312" w:hAnsi="宋体" w:eastAsia="仿宋_GB2312"/>
          <w:color w:val="auto"/>
          <w:szCs w:val="24"/>
          <w:highlight w:val="none"/>
        </w:rPr>
      </w:pPr>
      <w:r>
        <w:rPr>
          <w:rFonts w:hint="eastAsia" w:ascii="仿宋_GB2312" w:hAnsi="宋体" w:eastAsia="仿宋_GB2312"/>
          <w:color w:val="auto"/>
          <w:szCs w:val="24"/>
          <w:highlight w:val="none"/>
        </w:rPr>
        <w:t>法定代表人或其授权代表(签字或盖章)：</w:t>
      </w:r>
    </w:p>
    <w:p>
      <w:pPr>
        <w:pStyle w:val="67"/>
        <w:spacing w:afterLines="0" w:line="440" w:lineRule="exact"/>
        <w:ind w:firstLine="480"/>
        <w:rPr>
          <w:rFonts w:ascii="仿宋_GB2312" w:hAnsi="宋体" w:eastAsia="仿宋_GB2312"/>
          <w:b/>
          <w:color w:val="auto"/>
          <w:sz w:val="30"/>
          <w:szCs w:val="30"/>
          <w:highlight w:val="none"/>
        </w:rPr>
      </w:pPr>
      <w:r>
        <w:rPr>
          <w:rFonts w:hint="eastAsia" w:ascii="仿宋_GB2312" w:hAnsi="宋体" w:eastAsia="仿宋_GB2312"/>
          <w:color w:val="auto"/>
          <w:szCs w:val="24"/>
          <w:highlight w:val="none"/>
        </w:rPr>
        <w:t xml:space="preserve">投标人(电子签章)：　　　　　　　　　日期：   </w:t>
      </w:r>
    </w:p>
    <w:p>
      <w:pPr>
        <w:pageBreakBefore/>
        <w:spacing w:line="800" w:lineRule="exact"/>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2、开标一览表（格式）</w:t>
      </w:r>
    </w:p>
    <w:p>
      <w:pPr>
        <w:spacing w:line="400" w:lineRule="exact"/>
        <w:rPr>
          <w:rFonts w:ascii="仿宋_GB2312" w:hAnsi="宋体" w:eastAsia="仿宋_GB2312"/>
          <w:color w:val="auto"/>
          <w:sz w:val="24"/>
          <w:highlight w:val="none"/>
        </w:rPr>
      </w:pPr>
    </w:p>
    <w:p>
      <w:pPr>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投标人名称：</w:t>
      </w:r>
    </w:p>
    <w:p>
      <w:pPr>
        <w:snapToGrid w:val="0"/>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标    项：</w:t>
      </w:r>
    </w:p>
    <w:p>
      <w:pPr>
        <w:snapToGrid w:val="0"/>
        <w:spacing w:line="400" w:lineRule="exac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招标编号：</w:t>
      </w:r>
    </w:p>
    <w:p>
      <w:pPr>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单位：元</w:t>
      </w:r>
    </w:p>
    <w:tbl>
      <w:tblPr>
        <w:tblStyle w:val="41"/>
        <w:tblW w:w="8926"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7"/>
        <w:gridCol w:w="1080"/>
        <w:gridCol w:w="1261"/>
        <w:gridCol w:w="900"/>
        <w:gridCol w:w="720"/>
        <w:gridCol w:w="1440"/>
        <w:gridCol w:w="540"/>
        <w:gridCol w:w="540"/>
        <w:gridCol w:w="720"/>
        <w:gridCol w:w="1078"/>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tabs>
                <w:tab w:val="left" w:pos="540"/>
              </w:tabs>
              <w:adjustRightInd w:val="0"/>
              <w:snapToGrid w:val="0"/>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序号</w:t>
            </w:r>
          </w:p>
        </w:tc>
        <w:tc>
          <w:tcPr>
            <w:tcW w:w="1080" w:type="dxa"/>
            <w:tcBorders>
              <w:right w:val="single" w:color="auto" w:sz="4" w:space="0"/>
            </w:tcBorders>
            <w:vAlign w:val="center"/>
          </w:tcPr>
          <w:p>
            <w:pPr>
              <w:adjustRightInd w:val="0"/>
              <w:snapToGrid w:val="0"/>
              <w:ind w:left="-107" w:leftChars="-51" w:right="-107" w:rightChars="-51" w:firstLine="2"/>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名称</w:t>
            </w:r>
          </w:p>
        </w:tc>
        <w:tc>
          <w:tcPr>
            <w:tcW w:w="1261" w:type="dxa"/>
            <w:tcBorders>
              <w:left w:val="single" w:color="auto" w:sz="4" w:space="0"/>
            </w:tcBorders>
            <w:vAlign w:val="center"/>
          </w:tcPr>
          <w:p>
            <w:pPr>
              <w:adjustRightInd w:val="0"/>
              <w:snapToGrid w:val="0"/>
              <w:ind w:left="-107" w:leftChars="-51" w:right="-107" w:rightChars="-51"/>
              <w:rPr>
                <w:rFonts w:ascii="宋体" w:hAnsi="宋体"/>
                <w:color w:val="auto"/>
                <w:spacing w:val="20"/>
                <w:sz w:val="18"/>
                <w:szCs w:val="18"/>
                <w:highlight w:val="none"/>
              </w:rPr>
            </w:pPr>
            <w:r>
              <w:rPr>
                <w:rFonts w:hint="eastAsia" w:ascii="宋体" w:hAnsi="宋体"/>
                <w:color w:val="auto"/>
                <w:spacing w:val="20"/>
                <w:sz w:val="18"/>
                <w:szCs w:val="18"/>
                <w:highlight w:val="none"/>
              </w:rPr>
              <w:t>货物的制造商或服务的提供商</w:t>
            </w:r>
          </w:p>
        </w:tc>
        <w:tc>
          <w:tcPr>
            <w:tcW w:w="900" w:type="dxa"/>
            <w:vAlign w:val="center"/>
          </w:tcPr>
          <w:p>
            <w:pPr>
              <w:adjustRightInd w:val="0"/>
              <w:snapToGrid w:val="0"/>
              <w:ind w:left="-107" w:leftChars="-51" w:right="-107" w:rightChars="-51" w:firstLine="1"/>
              <w:rPr>
                <w:rFonts w:ascii="宋体" w:hAnsi="宋体"/>
                <w:color w:val="auto"/>
                <w:spacing w:val="20"/>
                <w:sz w:val="18"/>
                <w:szCs w:val="18"/>
                <w:highlight w:val="none"/>
              </w:rPr>
            </w:pPr>
            <w:r>
              <w:rPr>
                <w:rFonts w:hint="eastAsia" w:ascii="宋体" w:hAnsi="宋体"/>
                <w:color w:val="auto"/>
                <w:spacing w:val="20"/>
                <w:sz w:val="18"/>
                <w:szCs w:val="18"/>
                <w:highlight w:val="none"/>
              </w:rPr>
              <w:t>品牌（如有）</w:t>
            </w:r>
          </w:p>
        </w:tc>
        <w:tc>
          <w:tcPr>
            <w:tcW w:w="720" w:type="dxa"/>
            <w:vAlign w:val="center"/>
          </w:tcPr>
          <w:p>
            <w:pPr>
              <w:adjustRightInd w:val="0"/>
              <w:snapToGrid w:val="0"/>
              <w:ind w:left="-107" w:leftChars="-51" w:right="-107" w:rightChars="-51"/>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数量</w:t>
            </w:r>
          </w:p>
        </w:tc>
        <w:tc>
          <w:tcPr>
            <w:tcW w:w="1440" w:type="dxa"/>
            <w:vAlign w:val="center"/>
          </w:tcPr>
          <w:p>
            <w:pPr>
              <w:adjustRightInd w:val="0"/>
              <w:snapToGrid w:val="0"/>
              <w:ind w:left="-107" w:leftChars="-51" w:right="-107" w:rightChars="-51" w:firstLine="1"/>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型号和规格</w:t>
            </w:r>
            <w:r>
              <w:rPr>
                <w:rFonts w:hint="eastAsia" w:ascii="宋体" w:hAnsi="宋体"/>
                <w:b/>
                <w:color w:val="auto"/>
                <w:sz w:val="18"/>
                <w:szCs w:val="18"/>
                <w:highlight w:val="none"/>
              </w:rPr>
              <w:t>（或具体服务）</w:t>
            </w:r>
          </w:p>
        </w:tc>
        <w:tc>
          <w:tcPr>
            <w:tcW w:w="540" w:type="dxa"/>
            <w:tcBorders>
              <w:right w:val="single" w:color="auto" w:sz="4" w:space="0"/>
            </w:tcBorders>
            <w:vAlign w:val="center"/>
          </w:tcPr>
          <w:p>
            <w:pPr>
              <w:adjustRightInd w:val="0"/>
              <w:snapToGrid w:val="0"/>
              <w:ind w:left="-107" w:leftChars="-51" w:right="-107" w:rightChars="-51" w:firstLine="1"/>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单价</w:t>
            </w:r>
          </w:p>
        </w:tc>
        <w:tc>
          <w:tcPr>
            <w:tcW w:w="540" w:type="dxa"/>
            <w:tcBorders>
              <w:left w:val="single" w:color="auto" w:sz="4" w:space="0"/>
            </w:tcBorders>
            <w:vAlign w:val="center"/>
          </w:tcPr>
          <w:p>
            <w:pPr>
              <w:adjustRightInd w:val="0"/>
              <w:snapToGrid w:val="0"/>
              <w:ind w:left="-107" w:leftChars="-51" w:right="-107" w:rightChars="-51" w:firstLine="1"/>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总价</w:t>
            </w:r>
          </w:p>
        </w:tc>
        <w:tc>
          <w:tcPr>
            <w:tcW w:w="720" w:type="dxa"/>
            <w:vAlign w:val="center"/>
          </w:tcPr>
          <w:p>
            <w:pPr>
              <w:adjustRightInd w:val="0"/>
              <w:snapToGrid w:val="0"/>
              <w:ind w:left="0" w:leftChars="-51" w:right="-107" w:rightChars="-51" w:hanging="107" w:hangingChars="49"/>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交货期</w:t>
            </w:r>
          </w:p>
        </w:tc>
        <w:tc>
          <w:tcPr>
            <w:tcW w:w="1078" w:type="dxa"/>
            <w:vAlign w:val="center"/>
          </w:tcPr>
          <w:p>
            <w:pPr>
              <w:tabs>
                <w:tab w:val="left" w:pos="1224"/>
              </w:tabs>
              <w:adjustRightInd w:val="0"/>
              <w:snapToGrid w:val="0"/>
              <w:ind w:right="-107" w:rightChars="-51"/>
              <w:rPr>
                <w:rFonts w:ascii="宋体" w:hAnsi="宋体"/>
                <w:color w:val="auto"/>
                <w:spacing w:val="20"/>
                <w:sz w:val="18"/>
                <w:szCs w:val="18"/>
                <w:highlight w:val="none"/>
              </w:rPr>
            </w:pPr>
            <w:r>
              <w:rPr>
                <w:rFonts w:hint="eastAsia" w:ascii="宋体" w:hAnsi="宋体"/>
                <w:color w:val="auto"/>
                <w:spacing w:val="20"/>
                <w:sz w:val="18"/>
                <w:szCs w:val="18"/>
                <w:highlight w:val="none"/>
              </w:rPr>
              <w:t>质保期/服务要求（年限）</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1</w:t>
            </w:r>
          </w:p>
        </w:tc>
        <w:tc>
          <w:tcPr>
            <w:tcW w:w="108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261"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90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44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078" w:type="dxa"/>
          </w:tcPr>
          <w:p>
            <w:pPr>
              <w:adjustRightInd w:val="0"/>
              <w:snapToGrid w:val="0"/>
              <w:ind w:right="172" w:rightChars="82" w:firstLine="444" w:firstLineChars="202"/>
              <w:rPr>
                <w:rFonts w:ascii="宋体" w:hAnsi="宋体"/>
                <w:color w:val="auto"/>
                <w:spacing w:val="20"/>
                <w:sz w:val="18"/>
                <w:szCs w:val="18"/>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2</w:t>
            </w:r>
          </w:p>
        </w:tc>
        <w:tc>
          <w:tcPr>
            <w:tcW w:w="108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261"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90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4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078" w:type="dxa"/>
          </w:tcPr>
          <w:p>
            <w:pPr>
              <w:adjustRightInd w:val="0"/>
              <w:snapToGrid w:val="0"/>
              <w:ind w:right="172" w:rightChars="82" w:firstLine="444" w:firstLineChars="202"/>
              <w:rPr>
                <w:rFonts w:ascii="宋体" w:hAnsi="宋体"/>
                <w:color w:val="auto"/>
                <w:spacing w:val="20"/>
                <w:sz w:val="18"/>
                <w:szCs w:val="18"/>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3</w:t>
            </w:r>
          </w:p>
        </w:tc>
        <w:tc>
          <w:tcPr>
            <w:tcW w:w="108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261"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90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4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078" w:type="dxa"/>
          </w:tcPr>
          <w:p>
            <w:pPr>
              <w:adjustRightInd w:val="0"/>
              <w:snapToGrid w:val="0"/>
              <w:ind w:right="172" w:rightChars="82" w:firstLine="444" w:firstLineChars="202"/>
              <w:rPr>
                <w:rFonts w:ascii="宋体" w:hAnsi="宋体"/>
                <w:color w:val="auto"/>
                <w:spacing w:val="20"/>
                <w:sz w:val="18"/>
                <w:szCs w:val="18"/>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4</w:t>
            </w:r>
          </w:p>
        </w:tc>
        <w:tc>
          <w:tcPr>
            <w:tcW w:w="108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261"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90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4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righ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540" w:type="dxa"/>
            <w:tcBorders>
              <w:left w:val="single" w:color="auto" w:sz="4" w:space="0"/>
            </w:tcBorders>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720" w:type="dxa"/>
            <w:vAlign w:val="center"/>
          </w:tcPr>
          <w:p>
            <w:pPr>
              <w:adjustRightInd w:val="0"/>
              <w:snapToGrid w:val="0"/>
              <w:ind w:right="172" w:rightChars="82" w:firstLine="444" w:firstLineChars="202"/>
              <w:rPr>
                <w:rFonts w:ascii="宋体" w:hAnsi="宋体"/>
                <w:color w:val="auto"/>
                <w:spacing w:val="20"/>
                <w:sz w:val="18"/>
                <w:szCs w:val="18"/>
                <w:highlight w:val="none"/>
              </w:rPr>
            </w:pPr>
          </w:p>
        </w:tc>
        <w:tc>
          <w:tcPr>
            <w:tcW w:w="1078" w:type="dxa"/>
          </w:tcPr>
          <w:p>
            <w:pPr>
              <w:adjustRightInd w:val="0"/>
              <w:snapToGrid w:val="0"/>
              <w:ind w:right="172" w:rightChars="82" w:firstLine="444" w:firstLineChars="202"/>
              <w:rPr>
                <w:rFonts w:ascii="宋体" w:hAnsi="宋体"/>
                <w:color w:val="auto"/>
                <w:spacing w:val="20"/>
                <w:sz w:val="18"/>
                <w:szCs w:val="18"/>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0" w:hRule="atLeast"/>
        </w:trPr>
        <w:tc>
          <w:tcPr>
            <w:tcW w:w="1727" w:type="dxa"/>
            <w:gridSpan w:val="2"/>
            <w:vMerge w:val="restart"/>
            <w:tcBorders>
              <w:right w:val="single" w:color="auto" w:sz="4" w:space="0"/>
            </w:tcBorders>
            <w:vAlign w:val="center"/>
          </w:tcPr>
          <w:p>
            <w:pPr>
              <w:adjustRightInd w:val="0"/>
              <w:snapToGrid w:val="0"/>
              <w:ind w:right="172" w:rightChars="82" w:firstLine="444" w:firstLineChars="202"/>
              <w:jc w:val="center"/>
              <w:rPr>
                <w:rFonts w:ascii="宋体" w:hAnsi="宋体"/>
                <w:color w:val="auto"/>
                <w:spacing w:val="20"/>
                <w:sz w:val="18"/>
                <w:szCs w:val="18"/>
                <w:highlight w:val="none"/>
              </w:rPr>
            </w:pPr>
            <w:r>
              <w:rPr>
                <w:rFonts w:hint="eastAsia" w:ascii="宋体" w:hAnsi="宋体"/>
                <w:color w:val="auto"/>
                <w:spacing w:val="20"/>
                <w:sz w:val="18"/>
                <w:szCs w:val="18"/>
                <w:highlight w:val="none"/>
              </w:rPr>
              <w:t>投标总价</w:t>
            </w:r>
          </w:p>
        </w:tc>
        <w:tc>
          <w:tcPr>
            <w:tcW w:w="7199" w:type="dxa"/>
            <w:gridSpan w:val="8"/>
            <w:tcBorders>
              <w:left w:val="single" w:color="auto" w:sz="4" w:space="0"/>
              <w:bottom w:val="single" w:color="auto" w:sz="4" w:space="0"/>
            </w:tcBorders>
            <w:vAlign w:val="center"/>
          </w:tcPr>
          <w:p>
            <w:pPr>
              <w:adjustRightInd w:val="0"/>
              <w:snapToGrid w:val="0"/>
              <w:ind w:right="172" w:rightChars="82"/>
              <w:rPr>
                <w:rFonts w:ascii="宋体" w:hAnsi="宋体"/>
                <w:color w:val="auto"/>
                <w:spacing w:val="20"/>
                <w:sz w:val="18"/>
                <w:szCs w:val="18"/>
                <w:highlight w:val="none"/>
              </w:rPr>
            </w:pPr>
            <w:r>
              <w:rPr>
                <w:rFonts w:hint="eastAsia" w:ascii="宋体" w:hAnsi="宋体"/>
                <w:color w:val="auto"/>
                <w:spacing w:val="20"/>
                <w:sz w:val="18"/>
                <w:szCs w:val="18"/>
                <w:highlight w:val="none"/>
              </w:rPr>
              <w:t>小写：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7" w:hRule="atLeast"/>
        </w:trPr>
        <w:tc>
          <w:tcPr>
            <w:tcW w:w="1727" w:type="dxa"/>
            <w:gridSpan w:val="2"/>
            <w:vMerge w:val="continue"/>
            <w:tcBorders>
              <w:right w:val="single" w:color="auto" w:sz="4" w:space="0"/>
            </w:tcBorders>
            <w:vAlign w:val="center"/>
          </w:tcPr>
          <w:p>
            <w:pPr>
              <w:adjustRightInd w:val="0"/>
              <w:snapToGrid w:val="0"/>
              <w:ind w:right="172" w:rightChars="82" w:firstLine="444" w:firstLineChars="202"/>
              <w:jc w:val="center"/>
              <w:rPr>
                <w:rFonts w:ascii="宋体" w:hAnsi="宋体"/>
                <w:color w:val="auto"/>
                <w:spacing w:val="20"/>
                <w:sz w:val="18"/>
                <w:szCs w:val="18"/>
                <w:highlight w:val="none"/>
              </w:rPr>
            </w:pPr>
          </w:p>
        </w:tc>
        <w:tc>
          <w:tcPr>
            <w:tcW w:w="7199" w:type="dxa"/>
            <w:gridSpan w:val="8"/>
            <w:tcBorders>
              <w:top w:val="single" w:color="auto" w:sz="4" w:space="0"/>
              <w:left w:val="single" w:color="auto" w:sz="4" w:space="0"/>
            </w:tcBorders>
            <w:vAlign w:val="center"/>
          </w:tcPr>
          <w:p>
            <w:pPr>
              <w:adjustRightInd w:val="0"/>
              <w:snapToGrid w:val="0"/>
              <w:ind w:right="172" w:rightChars="82"/>
              <w:rPr>
                <w:rFonts w:ascii="宋体" w:hAnsi="宋体"/>
                <w:color w:val="auto"/>
                <w:spacing w:val="20"/>
                <w:sz w:val="18"/>
                <w:szCs w:val="18"/>
                <w:highlight w:val="none"/>
              </w:rPr>
            </w:pPr>
            <w:r>
              <w:rPr>
                <w:rFonts w:hint="eastAsia" w:ascii="宋体" w:hAnsi="宋体"/>
                <w:color w:val="auto"/>
                <w:spacing w:val="20"/>
                <w:sz w:val="18"/>
                <w:szCs w:val="18"/>
                <w:highlight w:val="none"/>
              </w:rPr>
              <w:t>大写：</w:t>
            </w:r>
          </w:p>
        </w:tc>
      </w:tr>
    </w:tbl>
    <w:p>
      <w:pPr>
        <w:snapToGrid w:val="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注: 1.报价一经涂改，应在涂改处加盖单位电子签章或者由法定代表人或其授权代表签字或盖章，否则其投标作无效投标处理。</w:t>
      </w:r>
    </w:p>
    <w:p>
      <w:pPr>
        <w:snapToGrid w:val="0"/>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2.招标人不接受某一标项中有2个(含)以上的报价或方案，若投标人在此表中有2个（含）以上的报价或方案，其投标作无效投标处理。</w:t>
      </w:r>
    </w:p>
    <w:p>
      <w:pPr>
        <w:ind w:left="-2" w:leftChars="-1" w:firstLine="480" w:firstLineChars="20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3.投标人需按本表格式填写，如无对应内容，则填写：“无或/”。</w:t>
      </w:r>
    </w:p>
    <w:p>
      <w:pPr>
        <w:snapToGrid w:val="0"/>
        <w:ind w:left="48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4.有关本项目实施所涉及的一切费用均计入报价。</w:t>
      </w:r>
    </w:p>
    <w:p>
      <w:pPr>
        <w:snapToGrid w:val="0"/>
        <w:ind w:firstLine="480" w:firstLineChars="200"/>
        <w:jc w:val="left"/>
        <w:rPr>
          <w:rFonts w:ascii="仿宋_GB2312" w:hAnsi="宋体" w:eastAsia="仿宋_GB2312"/>
          <w:b/>
          <w:color w:val="auto"/>
          <w:sz w:val="24"/>
          <w:highlight w:val="none"/>
        </w:rPr>
      </w:pPr>
      <w:r>
        <w:rPr>
          <w:rFonts w:hint="eastAsia" w:ascii="仿宋_GB2312" w:hAnsi="仿宋_GB2312" w:eastAsia="仿宋_GB2312" w:cs="仿宋_GB2312"/>
          <w:color w:val="auto"/>
          <w:kern w:val="0"/>
          <w:sz w:val="24"/>
          <w:highlight w:val="none"/>
          <w:lang w:val="zh-CN"/>
        </w:rPr>
        <w:t>5.</w:t>
      </w:r>
      <w:r>
        <w:rPr>
          <w:rFonts w:hint="eastAsia" w:ascii="仿宋_GB2312" w:hAnsi="宋体" w:eastAsia="仿宋_GB2312"/>
          <w:color w:val="auto"/>
          <w:kern w:val="0"/>
          <w:sz w:val="24"/>
          <w:highlight w:val="none"/>
          <w:lang w:val="zh-CN"/>
        </w:rPr>
        <w:t>以上表格要求细分项目及报价，</w:t>
      </w:r>
      <w:r>
        <w:rPr>
          <w:rFonts w:hint="eastAsia" w:ascii="仿宋_GB2312" w:hAnsi="仿宋" w:eastAsia="仿宋_GB2312" w:cs="Arial"/>
          <w:b/>
          <w:color w:val="auto"/>
          <w:kern w:val="0"/>
          <w:sz w:val="24"/>
          <w:highlight w:val="none"/>
        </w:rPr>
        <w:t>在“规格型号（或具体服务）”一栏中，货物类项目填写规格型号，服务类项目填写具体服务。</w:t>
      </w:r>
      <w:r>
        <w:rPr>
          <w:rFonts w:hint="eastAsia" w:ascii="仿宋_GB2312" w:hAnsi="宋体" w:eastAsia="仿宋_GB2312"/>
          <w:b/>
          <w:color w:val="auto"/>
          <w:sz w:val="24"/>
          <w:highlight w:val="none"/>
        </w:rPr>
        <w:t>服务包含但不仅限于：服务方案、次数或人数、服务年限等，产品包含但不仅限于:名称、品牌、型号、生产厂商、数量、质保期等。</w:t>
      </w:r>
    </w:p>
    <w:p>
      <w:pPr>
        <w:ind w:firstLine="482" w:firstLineChars="200"/>
        <w:rPr>
          <w:rFonts w:ascii="仿宋_GB2312" w:hAnsi="宋体" w:eastAsia="仿宋_GB2312"/>
          <w:b/>
          <w:color w:val="auto"/>
          <w:kern w:val="0"/>
          <w:sz w:val="24"/>
          <w:highlight w:val="none"/>
          <w:lang w:val="zh-CN"/>
        </w:rPr>
      </w:pPr>
      <w:r>
        <w:rPr>
          <w:rFonts w:hint="eastAsia" w:ascii="仿宋_GB2312" w:hAnsi="宋体" w:eastAsia="仿宋_GB2312"/>
          <w:b/>
          <w:color w:val="auto"/>
          <w:sz w:val="24"/>
          <w:highlight w:val="none"/>
        </w:rPr>
        <w:t>6</w:t>
      </w:r>
      <w:r>
        <w:rPr>
          <w:rFonts w:hint="eastAsia" w:ascii="仿宋_GB2312" w:hAnsi="宋体" w:eastAsia="仿宋_GB2312"/>
          <w:b/>
          <w:color w:val="auto"/>
          <w:kern w:val="0"/>
          <w:sz w:val="24"/>
          <w:highlight w:val="none"/>
          <w:lang w:val="zh-CN"/>
        </w:rPr>
        <w:t>.特别提示：采购机构将对</w:t>
      </w:r>
      <w:r>
        <w:rPr>
          <w:rFonts w:hint="eastAsia" w:ascii="仿宋_GB2312" w:hAnsi="仿宋" w:eastAsia="仿宋_GB2312" w:cs="宋体"/>
          <w:b/>
          <w:color w:val="auto"/>
          <w:kern w:val="0"/>
          <w:sz w:val="24"/>
          <w:highlight w:val="none"/>
        </w:rPr>
        <w:t>项目名称和项目编号，中标供应商名称、地址和中标金额，主要中标标的的名称、规格型号、数量、单价、服务要求等</w:t>
      </w:r>
      <w:r>
        <w:rPr>
          <w:rFonts w:hint="eastAsia" w:ascii="仿宋_GB2312" w:hAnsi="宋体" w:eastAsia="仿宋_GB2312"/>
          <w:b/>
          <w:color w:val="auto"/>
          <w:kern w:val="0"/>
          <w:sz w:val="24"/>
          <w:highlight w:val="none"/>
          <w:lang w:val="zh-CN"/>
        </w:rPr>
        <w:t>予以公示。请把上述涉及的内容完整填写在开标一览表中。</w:t>
      </w:r>
    </w:p>
    <w:p>
      <w:pPr>
        <w:spacing w:line="360" w:lineRule="auto"/>
        <w:ind w:left="-3" w:leftChars="-72" w:right="-817" w:rightChars="-389" w:hanging="148" w:hangingChars="62"/>
        <w:rPr>
          <w:rFonts w:ascii="仿宋_GB2312" w:hAnsi="宋体" w:eastAsia="仿宋_GB2312"/>
          <w:color w:val="auto"/>
          <w:sz w:val="24"/>
          <w:highlight w:val="none"/>
        </w:rPr>
      </w:pPr>
    </w:p>
    <w:p>
      <w:pPr>
        <w:spacing w:line="360" w:lineRule="auto"/>
        <w:ind w:left="-4" w:leftChars="-2" w:right="-817" w:rightChars="-389" w:firstLine="2"/>
        <w:rPr>
          <w:rFonts w:ascii="仿宋_GB2312" w:hAnsi="宋体" w:eastAsia="仿宋_GB2312"/>
          <w:color w:val="auto"/>
          <w:sz w:val="24"/>
          <w:highlight w:val="none"/>
        </w:rPr>
      </w:pPr>
      <w:r>
        <w:rPr>
          <w:rFonts w:hint="eastAsia" w:ascii="仿宋_GB2312" w:hAnsi="宋体" w:eastAsia="仿宋_GB2312"/>
          <w:color w:val="auto"/>
          <w:sz w:val="24"/>
          <w:highlight w:val="none"/>
        </w:rPr>
        <w:t>投标人（电子签章）：</w:t>
      </w:r>
    </w:p>
    <w:p>
      <w:pPr>
        <w:spacing w:line="360" w:lineRule="auto"/>
        <w:outlineLvl w:val="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法定代表人或其授权代表（签字或盖章）：            日期：    年   月   日</w:t>
      </w:r>
    </w:p>
    <w:p>
      <w:pPr>
        <w:pageBreakBefore/>
        <w:spacing w:line="360" w:lineRule="auto"/>
        <w:jc w:val="center"/>
        <w:outlineLvl w:val="0"/>
        <w:rPr>
          <w:rFonts w:ascii="仿宋_GB2312" w:hAnsi="仿宋_GB2312" w:eastAsia="仿宋_GB2312" w:cs="仿宋_GB2312"/>
          <w:b/>
          <w:color w:val="auto"/>
          <w:kern w:val="0"/>
          <w:sz w:val="36"/>
          <w:szCs w:val="36"/>
          <w:highlight w:val="none"/>
        </w:rPr>
      </w:pPr>
      <w:r>
        <w:rPr>
          <w:rFonts w:hint="eastAsia" w:ascii="仿宋_GB2312" w:hAnsi="仿宋_GB2312" w:eastAsia="仿宋_GB2312" w:cs="仿宋_GB2312"/>
          <w:b/>
          <w:color w:val="auto"/>
          <w:kern w:val="0"/>
          <w:sz w:val="36"/>
          <w:szCs w:val="36"/>
          <w:highlight w:val="none"/>
        </w:rPr>
        <w:t>商务技术（资信）文件部分</w:t>
      </w:r>
    </w:p>
    <w:p>
      <w:pPr>
        <w:spacing w:line="360" w:lineRule="auto"/>
        <w:jc w:val="center"/>
        <w:outlineLvl w:val="0"/>
        <w:rPr>
          <w:rFonts w:ascii="仿宋_GB2312" w:hAnsi="仿宋_GB2312" w:eastAsia="仿宋_GB2312" w:cs="仿宋_GB2312"/>
          <w:b/>
          <w:color w:val="auto"/>
          <w:kern w:val="0"/>
          <w:sz w:val="24"/>
          <w:highlight w:val="none"/>
        </w:rPr>
      </w:pPr>
    </w:p>
    <w:p>
      <w:pPr>
        <w:spacing w:line="360" w:lineRule="auto"/>
        <w:jc w:val="center"/>
        <w:outlineLvl w:val="0"/>
        <w:rPr>
          <w:rFonts w:ascii="仿宋_GB2312" w:hAnsi="仿宋_GB2312" w:eastAsia="仿宋_GB2312" w:cs="仿宋_GB2312"/>
          <w:b/>
          <w:color w:val="auto"/>
          <w:kern w:val="0"/>
          <w:sz w:val="28"/>
          <w:szCs w:val="28"/>
          <w:highlight w:val="none"/>
        </w:rPr>
      </w:pPr>
      <w:r>
        <w:rPr>
          <w:rFonts w:hint="eastAsia" w:ascii="仿宋_GB2312" w:hAnsi="仿宋_GB2312" w:eastAsia="仿宋_GB2312" w:cs="仿宋_GB2312"/>
          <w:b/>
          <w:color w:val="auto"/>
          <w:kern w:val="0"/>
          <w:sz w:val="28"/>
          <w:szCs w:val="28"/>
          <w:highlight w:val="none"/>
        </w:rPr>
        <w:t>目录</w:t>
      </w:r>
    </w:p>
    <w:p>
      <w:pPr>
        <w:pStyle w:val="191"/>
        <w:keepNext w:val="0"/>
        <w:keepLines w:val="0"/>
        <w:pageBreakBefore w:val="0"/>
        <w:widowControl w:val="0"/>
        <w:kinsoku/>
        <w:wordWrap/>
        <w:overflowPunct/>
        <w:topLinePunct w:val="0"/>
        <w:autoSpaceDE/>
        <w:autoSpaceDN/>
        <w:bidi w:val="0"/>
        <w:spacing w:line="360" w:lineRule="auto"/>
        <w:ind w:left="0" w:firstLine="0" w:firstLineChars="0"/>
        <w:textAlignment w:val="auto"/>
        <w:outlineLvl w:val="1"/>
        <w:rPr>
          <w:rFonts w:hAnsi="仿宋_GB2312" w:cs="仿宋_GB2312"/>
          <w:color w:val="auto"/>
          <w:highlight w:val="none"/>
        </w:rPr>
      </w:pPr>
      <w:r>
        <w:rPr>
          <w:rFonts w:hint="eastAsia" w:hAnsi="仿宋_GB2312" w:cs="仿宋_GB2312"/>
          <w:color w:val="auto"/>
          <w:highlight w:val="none"/>
        </w:rPr>
        <w:t>（1）法定代表人授权书 …………………………………………………………（页码）</w:t>
      </w:r>
    </w:p>
    <w:p>
      <w:pPr>
        <w:pStyle w:val="191"/>
        <w:keepNext w:val="0"/>
        <w:keepLines w:val="0"/>
        <w:pageBreakBefore w:val="0"/>
        <w:widowControl w:val="0"/>
        <w:kinsoku/>
        <w:wordWrap/>
        <w:overflowPunct/>
        <w:topLinePunct w:val="0"/>
        <w:autoSpaceDE/>
        <w:autoSpaceDN/>
        <w:bidi w:val="0"/>
        <w:spacing w:line="360" w:lineRule="auto"/>
        <w:ind w:left="0" w:firstLine="0" w:firstLineChars="0"/>
        <w:textAlignment w:val="auto"/>
        <w:outlineLvl w:val="1"/>
        <w:rPr>
          <w:rFonts w:hAnsi="仿宋_GB2312" w:cs="仿宋_GB2312"/>
          <w:color w:val="auto"/>
          <w:highlight w:val="none"/>
        </w:rPr>
      </w:pPr>
      <w:r>
        <w:rPr>
          <w:rFonts w:hint="eastAsia" w:hAnsi="仿宋_GB2312" w:cs="仿宋_GB2312"/>
          <w:color w:val="auto"/>
          <w:highlight w:val="none"/>
        </w:rPr>
        <w:t>（2）授权代表社保证明（复印件）………………………………………………（页码）</w:t>
      </w:r>
    </w:p>
    <w:p>
      <w:pPr>
        <w:pStyle w:val="191"/>
        <w:keepNext w:val="0"/>
        <w:keepLines w:val="0"/>
        <w:pageBreakBefore w:val="0"/>
        <w:widowControl w:val="0"/>
        <w:kinsoku/>
        <w:wordWrap/>
        <w:overflowPunct/>
        <w:topLinePunct w:val="0"/>
        <w:autoSpaceDE/>
        <w:autoSpaceDN/>
        <w:bidi w:val="0"/>
        <w:spacing w:line="360" w:lineRule="auto"/>
        <w:ind w:left="0" w:firstLine="0" w:firstLineChars="0"/>
        <w:textAlignment w:val="auto"/>
        <w:outlineLvl w:val="1"/>
        <w:rPr>
          <w:rFonts w:hAnsi="仿宋_GB2312" w:cs="仿宋_GB2312"/>
          <w:color w:val="auto"/>
          <w:highlight w:val="none"/>
        </w:rPr>
      </w:pPr>
      <w:r>
        <w:rPr>
          <w:rFonts w:hint="eastAsia" w:hAnsi="仿宋_GB2312" w:cs="仿宋_GB2312"/>
          <w:color w:val="auto"/>
          <w:highlight w:val="none"/>
        </w:rPr>
        <w:t>（3）法定代表人及其授权代表的身份证（复印件）……………………………（页码）</w:t>
      </w:r>
    </w:p>
    <w:p>
      <w:pPr>
        <w:pStyle w:val="191"/>
        <w:keepNext w:val="0"/>
        <w:keepLines w:val="0"/>
        <w:pageBreakBefore w:val="0"/>
        <w:widowControl w:val="0"/>
        <w:kinsoku/>
        <w:wordWrap/>
        <w:overflowPunct/>
        <w:topLinePunct w:val="0"/>
        <w:autoSpaceDE/>
        <w:autoSpaceDN/>
        <w:bidi w:val="0"/>
        <w:spacing w:line="360" w:lineRule="auto"/>
        <w:ind w:left="0" w:firstLine="0" w:firstLineChars="0"/>
        <w:textAlignment w:val="auto"/>
        <w:outlineLvl w:val="1"/>
        <w:rPr>
          <w:rFonts w:hAnsi="仿宋_GB2312" w:cs="仿宋_GB2312"/>
          <w:color w:val="auto"/>
          <w:highlight w:val="none"/>
        </w:rPr>
      </w:pPr>
      <w:r>
        <w:rPr>
          <w:rFonts w:hint="eastAsia" w:hAnsi="仿宋_GB2312" w:cs="仿宋_GB2312"/>
          <w:color w:val="auto"/>
          <w:highlight w:val="none"/>
        </w:rPr>
        <w:t>（4）法定代表人身份证明书………………………………………………………（页码）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（5）所有与符合性审查有关的资信文件（复印件）（营业执照、2021年度财务报表、纳税和社保缴纳证明</w:t>
      </w:r>
      <w:r>
        <w:rPr>
          <w:rFonts w:hint="eastAsia" w:ascii="仿宋_GB2312" w:hAnsi="仿宋_GB2312" w:eastAsia="仿宋_GB2312" w:cs="仿宋_GB2312"/>
          <w:color w:val="auto"/>
          <w:kern w:val="0"/>
          <w:sz w:val="24"/>
          <w:highlight w:val="none"/>
        </w:rPr>
        <w:t>）</w:t>
      </w:r>
      <w:r>
        <w:rPr>
          <w:rFonts w:hint="eastAsia" w:hAnsi="仿宋_GB2312" w:cs="仿宋_GB2312"/>
          <w:color w:val="auto"/>
          <w:highlight w:val="none"/>
          <w:lang w:val="zh-CN"/>
        </w:rPr>
        <w:t>………………………………………………………</w:t>
      </w:r>
      <w:r>
        <w:rPr>
          <w:rFonts w:hint="eastAsia" w:hAnsi="仿宋_GB2312" w:cs="仿宋_GB2312"/>
          <w:color w:val="auto"/>
          <w:highlight w:val="none"/>
        </w:rPr>
        <w:t>…………</w:t>
      </w:r>
      <w:r>
        <w:rPr>
          <w:rFonts w:hint="eastAsia" w:hAnsi="仿宋_GB2312" w:cs="仿宋_GB2312"/>
          <w:color w:val="auto"/>
          <w:highlight w:val="none"/>
          <w:lang w:val="zh-CN"/>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napToGrid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（6）具有履</w:t>
      </w:r>
      <w:r>
        <w:rPr>
          <w:rFonts w:hint="eastAsia" w:ascii="仿宋_GB2312" w:hAnsi="仿宋_GB2312" w:eastAsia="仿宋_GB2312" w:cs="仿宋_GB2312"/>
          <w:color w:val="auto"/>
          <w:kern w:val="0"/>
          <w:sz w:val="24"/>
          <w:highlight w:val="none"/>
        </w:rPr>
        <w:t>行合同所必需的设备和专业技术能力的承诺函……………………（页码）</w:t>
      </w:r>
    </w:p>
    <w:p>
      <w:pPr>
        <w:pStyle w:val="191"/>
        <w:keepNext w:val="0"/>
        <w:keepLines w:val="0"/>
        <w:pageBreakBefore w:val="0"/>
        <w:widowControl w:val="0"/>
        <w:kinsoku/>
        <w:wordWrap/>
        <w:overflowPunct/>
        <w:topLinePunct w:val="0"/>
        <w:autoSpaceDE/>
        <w:autoSpaceDN/>
        <w:bidi w:val="0"/>
        <w:spacing w:line="360" w:lineRule="auto"/>
        <w:ind w:firstLine="0" w:firstLineChars="0"/>
        <w:textAlignment w:val="auto"/>
        <w:outlineLvl w:val="1"/>
        <w:rPr>
          <w:rFonts w:hAnsi="仿宋_GB2312" w:cs="仿宋_GB2312"/>
          <w:color w:val="auto"/>
          <w:kern w:val="0"/>
          <w:highlight w:val="none"/>
        </w:rPr>
      </w:pPr>
      <w:r>
        <w:rPr>
          <w:rFonts w:hint="eastAsia" w:hAnsi="仿宋_GB2312" w:cs="仿宋_GB2312"/>
          <w:color w:val="auto"/>
          <w:highlight w:val="none"/>
        </w:rPr>
        <w:t>（7）重大违法记录的声明</w:t>
      </w:r>
      <w:r>
        <w:rPr>
          <w:rFonts w:hint="eastAsia" w:hAnsi="仿宋_GB2312" w:cs="仿宋_GB2312"/>
          <w:color w:val="auto"/>
          <w:kern w:val="0"/>
          <w:highlight w:val="none"/>
        </w:rPr>
        <w:t xml:space="preserve"> …</w:t>
      </w:r>
      <w:r>
        <w:rPr>
          <w:rFonts w:hint="eastAsia" w:hAnsi="仿宋_GB2312" w:cs="仿宋_GB2312"/>
          <w:color w:val="auto"/>
          <w:highlight w:val="none"/>
        </w:rPr>
        <w:t>……………………………………………………</w:t>
      </w:r>
      <w:r>
        <w:rPr>
          <w:rFonts w:hint="eastAsia" w:hAnsi="仿宋_GB2312" w:cs="仿宋_GB2312"/>
          <w:color w:val="auto"/>
          <w:kern w:val="0"/>
          <w:highlight w:val="none"/>
        </w:rPr>
        <w:t>（页码）</w:t>
      </w:r>
    </w:p>
    <w:p>
      <w:pPr>
        <w:pStyle w:val="191"/>
        <w:keepNext w:val="0"/>
        <w:keepLines w:val="0"/>
        <w:pageBreakBefore w:val="0"/>
        <w:widowControl w:val="0"/>
        <w:kinsoku/>
        <w:wordWrap/>
        <w:overflowPunct/>
        <w:topLinePunct w:val="0"/>
        <w:autoSpaceDE/>
        <w:autoSpaceDN/>
        <w:bidi w:val="0"/>
        <w:spacing w:line="360" w:lineRule="auto"/>
        <w:ind w:firstLine="0" w:firstLineChars="0"/>
        <w:textAlignment w:val="auto"/>
        <w:outlineLvl w:val="1"/>
        <w:rPr>
          <w:rFonts w:hAnsi="仿宋_GB2312" w:cs="仿宋_GB2312"/>
          <w:color w:val="auto"/>
          <w:highlight w:val="none"/>
        </w:rPr>
      </w:pPr>
      <w:r>
        <w:rPr>
          <w:rFonts w:hint="eastAsia" w:hAnsi="仿宋_GB2312" w:cs="仿宋_GB2312"/>
          <w:color w:val="auto"/>
          <w:highlight w:val="none"/>
        </w:rPr>
        <w:t>（8）符合特定资格条件（如果项目要求）的有关证明材料（复印件）………（页码）</w:t>
      </w:r>
    </w:p>
    <w:p>
      <w:pPr>
        <w:pStyle w:val="191"/>
        <w:keepNext w:val="0"/>
        <w:keepLines w:val="0"/>
        <w:pageBreakBefore w:val="0"/>
        <w:widowControl w:val="0"/>
        <w:kinsoku/>
        <w:wordWrap/>
        <w:overflowPunct/>
        <w:topLinePunct w:val="0"/>
        <w:autoSpaceDE/>
        <w:autoSpaceDN/>
        <w:bidi w:val="0"/>
        <w:spacing w:line="360" w:lineRule="auto"/>
        <w:ind w:left="0" w:firstLine="0" w:firstLineChars="0"/>
        <w:textAlignment w:val="auto"/>
        <w:outlineLvl w:val="1"/>
        <w:rPr>
          <w:rFonts w:hAnsi="仿宋_GB2312" w:cs="仿宋_GB2312"/>
          <w:color w:val="auto"/>
          <w:highlight w:val="none"/>
        </w:rPr>
      </w:pPr>
      <w:r>
        <w:rPr>
          <w:rFonts w:hint="eastAsia" w:hAnsi="仿宋_GB2312" w:cs="仿宋_GB2312"/>
          <w:color w:val="auto"/>
          <w:highlight w:val="none"/>
        </w:rPr>
        <w:t>（9）</w:t>
      </w:r>
      <w:r>
        <w:rPr>
          <w:rFonts w:hint="eastAsia" w:hAnsi="仿宋_GB2312" w:cs="仿宋_GB2312"/>
          <w:snapToGrid w:val="0"/>
          <w:color w:val="auto"/>
          <w:highlight w:val="none"/>
        </w:rPr>
        <w:t>非本地投标人售后服务机构证明材料</w:t>
      </w:r>
      <w:r>
        <w:rPr>
          <w:rFonts w:hint="eastAsia" w:hAnsi="仿宋_GB2312" w:cs="仿宋_GB2312"/>
          <w:color w:val="auto"/>
          <w:highlight w:val="none"/>
        </w:rPr>
        <w:t>……………………………………（页码）</w:t>
      </w:r>
    </w:p>
    <w:p>
      <w:pPr>
        <w:pStyle w:val="191"/>
        <w:keepNext w:val="0"/>
        <w:keepLines w:val="0"/>
        <w:pageBreakBefore w:val="0"/>
        <w:widowControl w:val="0"/>
        <w:kinsoku/>
        <w:wordWrap/>
        <w:overflowPunct/>
        <w:topLinePunct w:val="0"/>
        <w:autoSpaceDE/>
        <w:autoSpaceDN/>
        <w:bidi w:val="0"/>
        <w:spacing w:line="360" w:lineRule="auto"/>
        <w:ind w:left="0" w:firstLine="0" w:firstLineChars="0"/>
        <w:textAlignment w:val="auto"/>
        <w:outlineLvl w:val="1"/>
        <w:rPr>
          <w:rFonts w:hAnsi="仿宋_GB2312" w:cs="仿宋_GB2312"/>
          <w:color w:val="auto"/>
          <w:highlight w:val="none"/>
        </w:rPr>
      </w:pPr>
      <w:r>
        <w:rPr>
          <w:rFonts w:hint="eastAsia" w:hAnsi="仿宋_GB2312" w:cs="仿宋_GB2312"/>
          <w:color w:val="auto"/>
          <w:highlight w:val="none"/>
        </w:rPr>
        <w:t>（10）</w:t>
      </w:r>
      <w:r>
        <w:rPr>
          <w:rFonts w:hint="eastAsia" w:hAnsi="仿宋_GB2312" w:cs="仿宋_GB2312"/>
          <w:color w:val="auto"/>
          <w:highlight w:val="none"/>
          <w:lang w:val="zh-CN"/>
        </w:rPr>
        <w:t>主要业绩证明…………………………………………………</w:t>
      </w:r>
      <w:r>
        <w:rPr>
          <w:rFonts w:hint="eastAsia" w:hAnsi="仿宋_GB2312" w:cs="仿宋_GB2312"/>
          <w:color w:val="auto"/>
          <w:highlight w:val="none"/>
        </w:rPr>
        <w:t>…………</w:t>
      </w:r>
      <w:r>
        <w:rPr>
          <w:rFonts w:hint="eastAsia" w:hAnsi="仿宋_GB2312" w:cs="仿宋_GB2312"/>
          <w:color w:val="auto"/>
          <w:highlight w:val="none"/>
          <w:lang w:val="zh-CN"/>
        </w:rPr>
        <w:t>…</w:t>
      </w:r>
      <w:r>
        <w:rPr>
          <w:rFonts w:hint="eastAsia" w:hAnsi="仿宋_GB2312" w:cs="仿宋_GB2312"/>
          <w:color w:val="auto"/>
          <w:highlight w:val="none"/>
        </w:rPr>
        <w:t>（页码）</w:t>
      </w:r>
    </w:p>
    <w:p>
      <w:pPr>
        <w:pStyle w:val="191"/>
        <w:keepNext w:val="0"/>
        <w:keepLines w:val="0"/>
        <w:pageBreakBefore w:val="0"/>
        <w:widowControl w:val="0"/>
        <w:kinsoku/>
        <w:wordWrap/>
        <w:overflowPunct/>
        <w:topLinePunct w:val="0"/>
        <w:autoSpaceDE/>
        <w:autoSpaceDN/>
        <w:bidi w:val="0"/>
        <w:spacing w:line="360" w:lineRule="auto"/>
        <w:ind w:left="0" w:firstLine="0" w:firstLineChars="0"/>
        <w:textAlignment w:val="auto"/>
        <w:outlineLvl w:val="1"/>
        <w:rPr>
          <w:rFonts w:hAnsi="仿宋_GB2312" w:cs="仿宋_GB2312"/>
          <w:color w:val="auto"/>
          <w:highlight w:val="none"/>
        </w:rPr>
      </w:pPr>
      <w:r>
        <w:rPr>
          <w:rFonts w:hint="eastAsia" w:hAnsi="仿宋_GB2312" w:cs="仿宋_GB2312"/>
          <w:color w:val="auto"/>
          <w:highlight w:val="none"/>
        </w:rPr>
        <w:t>（11）廉政承诺书 …………………………………………………………………（页码）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（12）技术解决方案…………………………………………………</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（13）技术偏离说明表………………………………………………</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（14）组织实施方案……………………………………………</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（15）售后服务方案……………………………………………</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（16）项目小组人员名单………………………………………</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（17）</w:t>
      </w:r>
      <w:r>
        <w:rPr>
          <w:rFonts w:hint="eastAsia" w:ascii="仿宋_GB2312" w:hAnsi="仿宋_GB2312" w:eastAsia="仿宋_GB2312" w:cs="仿宋_GB2312"/>
          <w:color w:val="auto"/>
          <w:kern w:val="0"/>
          <w:sz w:val="24"/>
          <w:highlight w:val="none"/>
          <w:lang w:val="zh-CN"/>
        </w:rPr>
        <w:t>优惠条件及特殊承诺……………………………………</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（18）</w:t>
      </w:r>
      <w:r>
        <w:rPr>
          <w:rFonts w:hint="eastAsia" w:ascii="仿宋_GB2312" w:hAnsi="仿宋_GB2312" w:eastAsia="仿宋_GB2312" w:cs="仿宋_GB2312"/>
          <w:color w:val="auto"/>
          <w:kern w:val="0"/>
          <w:sz w:val="24"/>
          <w:highlight w:val="none"/>
          <w:lang w:val="zh-CN"/>
        </w:rPr>
        <w:t>备品备件及供选择的配套零部件清单………………………</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（19）</w:t>
      </w:r>
      <w:r>
        <w:rPr>
          <w:rFonts w:hint="eastAsia" w:ascii="仿宋_GB2312" w:hAnsi="仿宋_GB2312" w:eastAsia="仿宋_GB2312" w:cs="仿宋_GB2312"/>
          <w:color w:val="auto"/>
          <w:kern w:val="0"/>
          <w:sz w:val="24"/>
          <w:highlight w:val="none"/>
          <w:lang w:val="zh-CN"/>
        </w:rPr>
        <w:t>培训计划………………………………………………………</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（20）</w:t>
      </w:r>
      <w:r>
        <w:rPr>
          <w:rFonts w:hint="eastAsia" w:ascii="仿宋_GB2312" w:hAnsi="仿宋_GB2312" w:eastAsia="仿宋_GB2312" w:cs="仿宋_GB2312"/>
          <w:color w:val="auto"/>
          <w:kern w:val="0"/>
          <w:sz w:val="24"/>
          <w:highlight w:val="none"/>
          <w:lang w:val="zh-CN"/>
        </w:rPr>
        <w:t>验收方案…………………………………………………………</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（2</w:t>
      </w:r>
      <w:r>
        <w:rPr>
          <w:rFonts w:ascii="仿宋_GB2312" w:hAnsi="仿宋_GB2312" w:eastAsia="仿宋_GB2312" w:cs="仿宋_GB2312"/>
          <w:color w:val="auto"/>
          <w:kern w:val="0"/>
          <w:sz w:val="24"/>
          <w:highlight w:val="none"/>
        </w:rPr>
        <w:t>1</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认为需要的其他商务技术（资信）文件或说明………………</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（2</w:t>
      </w:r>
      <w:r>
        <w:rPr>
          <w:rFonts w:ascii="仿宋_GB2312" w:hAnsi="仿宋_GB2312" w:eastAsia="仿宋_GB2312" w:cs="仿宋_GB2312"/>
          <w:color w:val="auto"/>
          <w:kern w:val="0"/>
          <w:sz w:val="24"/>
          <w:highlight w:val="none"/>
        </w:rPr>
        <w:t>2</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联合协议（如有）……………………………………………………</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（2</w:t>
      </w:r>
      <w:r>
        <w:rPr>
          <w:rFonts w:ascii="仿宋_GB2312" w:hAnsi="仿宋_GB2312" w:eastAsia="仿宋_GB2312" w:cs="仿宋_GB2312"/>
          <w:color w:val="auto"/>
          <w:kern w:val="0"/>
          <w:sz w:val="24"/>
          <w:highlight w:val="none"/>
        </w:rPr>
        <w:t>3</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分包意向协议（如有）…………………………………………</w:t>
      </w:r>
      <w:r>
        <w:rPr>
          <w:rFonts w:hint="eastAsia" w:hAnsi="仿宋_GB2312" w:cs="仿宋_GB2312"/>
          <w:color w:val="auto"/>
          <w:highlight w:val="none"/>
        </w:rPr>
        <w:t>……………</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（2</w:t>
      </w:r>
      <w:r>
        <w:rPr>
          <w:rFonts w:ascii="仿宋_GB2312" w:hAnsi="仿宋_GB2312" w:eastAsia="仿宋_GB2312" w:cs="仿宋_GB2312"/>
          <w:color w:val="auto"/>
          <w:kern w:val="0"/>
          <w:sz w:val="24"/>
          <w:highlight w:val="none"/>
        </w:rPr>
        <w:t>4</w:t>
      </w:r>
      <w:r>
        <w:rPr>
          <w:rFonts w:hint="eastAsia" w:ascii="仿宋_GB2312" w:hAnsi="仿宋_GB2312" w:eastAsia="仿宋_GB2312" w:cs="仿宋_GB2312"/>
          <w:color w:val="auto"/>
          <w:kern w:val="0"/>
          <w:sz w:val="24"/>
          <w:highlight w:val="none"/>
        </w:rPr>
        <w:t>）中小企业声明函</w:t>
      </w:r>
      <w:r>
        <w:rPr>
          <w:rFonts w:hint="eastAsia" w:ascii="仿宋_GB2312" w:hAnsi="仿宋_GB2312" w:eastAsia="仿宋_GB2312" w:cs="仿宋_GB2312"/>
          <w:color w:val="auto"/>
          <w:kern w:val="0"/>
          <w:sz w:val="24"/>
          <w:highlight w:val="none"/>
          <w:lang w:val="zh-CN"/>
        </w:rPr>
        <w:t>（如有）</w:t>
      </w:r>
      <w:r>
        <w:rPr>
          <w:rFonts w:hint="eastAsia" w:ascii="仿宋_GB2312" w:hAnsi="仿宋_GB2312" w:eastAsia="仿宋_GB2312" w:cs="仿宋_GB2312"/>
          <w:color w:val="auto"/>
          <w:kern w:val="0"/>
          <w:sz w:val="24"/>
          <w:highlight w:val="none"/>
        </w:rPr>
        <w:t>……………………………………………………（页码）</w:t>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注：以上目录是基本格式要求，各投标人可根据自身情况和评分标准进一步细化。</w:t>
      </w:r>
    </w:p>
    <w:p>
      <w:pPr>
        <w:pageBreakBefore/>
        <w:spacing w:line="800" w:lineRule="exact"/>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 xml:space="preserve">1、法定代表人授权委托书（格式） </w:t>
      </w:r>
      <w:r>
        <w:rPr>
          <w:rFonts w:hint="eastAsia" w:ascii="仿宋_GB2312" w:hAnsi="仿宋" w:eastAsia="仿宋_GB2312" w:cs="仿宋_GB2312"/>
          <w:b/>
          <w:color w:val="auto"/>
          <w:kern w:val="0"/>
          <w:sz w:val="32"/>
          <w:szCs w:val="32"/>
          <w:highlight w:val="none"/>
          <w:lang w:val="zh-CN"/>
        </w:rPr>
        <w:t>（适用于非联合体投标）</w:t>
      </w:r>
    </w:p>
    <w:p>
      <w:pPr>
        <w:jc w:val="center"/>
        <w:rPr>
          <w:rFonts w:ascii="仿宋_GB2312" w:hAnsi="宋体" w:eastAsia="仿宋_GB2312"/>
          <w:b/>
          <w:color w:val="auto"/>
          <w:sz w:val="24"/>
          <w:highlight w:val="none"/>
        </w:rPr>
      </w:pPr>
    </w:p>
    <w:p>
      <w:pPr>
        <w:snapToGrid w:val="0"/>
        <w:spacing w:line="5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本授权委托书声明：我</w:t>
      </w:r>
      <w:r>
        <w:rPr>
          <w:rFonts w:hint="eastAsia" w:ascii="仿宋_GB2312" w:hAnsi="宋体" w:eastAsia="仿宋_GB2312"/>
          <w:color w:val="auto"/>
          <w:sz w:val="24"/>
          <w:highlight w:val="none"/>
          <w:u w:val="single"/>
        </w:rPr>
        <w:t xml:space="preserve">         (填写姓名)</w:t>
      </w:r>
      <w:r>
        <w:rPr>
          <w:rFonts w:hint="eastAsia" w:ascii="仿宋_GB2312" w:hAnsi="宋体" w:eastAsia="仿宋_GB2312"/>
          <w:color w:val="auto"/>
          <w:sz w:val="24"/>
          <w:highlight w:val="none"/>
        </w:rPr>
        <w:t>系</w:t>
      </w:r>
      <w:r>
        <w:rPr>
          <w:rFonts w:hint="eastAsia" w:ascii="仿宋_GB2312" w:hAnsi="宋体" w:eastAsia="仿宋_GB2312"/>
          <w:color w:val="auto"/>
          <w:sz w:val="24"/>
          <w:highlight w:val="none"/>
          <w:u w:val="single"/>
        </w:rPr>
        <w:t xml:space="preserve">                   （填写投标人单位全称）</w:t>
      </w:r>
      <w:r>
        <w:rPr>
          <w:rFonts w:hint="eastAsia" w:ascii="仿宋_GB2312" w:hAnsi="宋体" w:eastAsia="仿宋_GB2312"/>
          <w:color w:val="auto"/>
          <w:sz w:val="24"/>
          <w:highlight w:val="none"/>
        </w:rPr>
        <w:t>的法定代表人，现授权委托</w:t>
      </w:r>
      <w:r>
        <w:rPr>
          <w:rFonts w:hint="eastAsia" w:ascii="仿宋_GB2312" w:hAnsi="宋体" w:eastAsia="仿宋_GB2312"/>
          <w:color w:val="auto"/>
          <w:sz w:val="24"/>
          <w:highlight w:val="none"/>
          <w:u w:val="single"/>
        </w:rPr>
        <w:t xml:space="preserve">          （填写单位全称）</w:t>
      </w:r>
      <w:r>
        <w:rPr>
          <w:rFonts w:hint="eastAsia" w:ascii="仿宋_GB2312" w:hAnsi="宋体" w:eastAsia="仿宋_GB2312"/>
          <w:color w:val="auto"/>
          <w:sz w:val="24"/>
          <w:highlight w:val="none"/>
        </w:rPr>
        <w:t>的</w:t>
      </w:r>
      <w:r>
        <w:rPr>
          <w:rFonts w:hint="eastAsia" w:ascii="仿宋_GB2312" w:hAnsi="宋体" w:eastAsia="仿宋_GB2312"/>
          <w:color w:val="auto"/>
          <w:sz w:val="24"/>
          <w:highlight w:val="none"/>
          <w:u w:val="single"/>
        </w:rPr>
        <w:t xml:space="preserve">        （填写姓名）</w:t>
      </w:r>
      <w:r>
        <w:rPr>
          <w:rFonts w:hint="eastAsia" w:ascii="仿宋_GB2312" w:hAnsi="宋体" w:eastAsia="仿宋_GB2312"/>
          <w:color w:val="auto"/>
          <w:sz w:val="24"/>
          <w:highlight w:val="none"/>
        </w:rPr>
        <w:t>为我公司授权代表，</w:t>
      </w:r>
      <w:r>
        <w:rPr>
          <w:rFonts w:hint="eastAsia" w:ascii="仿宋_GB2312" w:hAnsi="宋体" w:eastAsia="仿宋_GB2312"/>
          <w:color w:val="auto"/>
          <w:sz w:val="24"/>
          <w:highlight w:val="none"/>
          <w:u w:val="single"/>
        </w:rPr>
        <w:t>（填写身份证号码：                       ）</w:t>
      </w:r>
      <w:r>
        <w:rPr>
          <w:rFonts w:hint="eastAsia" w:ascii="仿宋_GB2312" w:hAnsi="宋体" w:eastAsia="仿宋_GB2312"/>
          <w:color w:val="auto"/>
          <w:sz w:val="24"/>
          <w:highlight w:val="none"/>
        </w:rPr>
        <w:t>。以本公司的名义参加</w:t>
      </w:r>
      <w:r>
        <w:rPr>
          <w:rFonts w:hint="eastAsia" w:ascii="仿宋_GB2312" w:hAnsi="宋体" w:eastAsia="仿宋_GB2312"/>
          <w:color w:val="auto"/>
          <w:sz w:val="24"/>
          <w:highlight w:val="none"/>
          <w:u w:val="single"/>
          <w:lang w:eastAsia="zh-CN"/>
        </w:rPr>
        <w:t>绍兴市防汛防旱应急保障中心</w:t>
      </w:r>
      <w:r>
        <w:rPr>
          <w:rFonts w:hint="eastAsia" w:ascii="仿宋_GB2312" w:hAnsi="宋体" w:eastAsia="仿宋_GB2312"/>
          <w:color w:val="auto"/>
          <w:sz w:val="24"/>
          <w:highlight w:val="none"/>
        </w:rPr>
        <w:t>组织的</w:t>
      </w:r>
      <w:r>
        <w:rPr>
          <w:rFonts w:hint="eastAsia" w:ascii="仿宋_GB2312" w:hAnsi="宋体" w:eastAsia="仿宋_GB2312"/>
          <w:color w:val="auto"/>
          <w:sz w:val="24"/>
          <w:highlight w:val="none"/>
          <w:u w:val="single"/>
          <w:lang w:eastAsia="zh-CN"/>
        </w:rPr>
        <w:t>曹娥江流域预报调度一体化项目</w:t>
      </w:r>
      <w:r>
        <w:rPr>
          <w:rFonts w:hint="eastAsia" w:ascii="仿宋_GB2312" w:hAnsi="宋体" w:eastAsia="仿宋_GB2312"/>
          <w:color w:val="auto"/>
          <w:sz w:val="24"/>
          <w:highlight w:val="none"/>
        </w:rPr>
        <w:t>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在撤销授权的书面通知以前，本授权书一直有效。全权代表在授权书有效期内签署的所有文件不因授权的撤销而失效。</w:t>
      </w:r>
    </w:p>
    <w:p>
      <w:pPr>
        <w:spacing w:line="5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授权代表无转委托权。特此委托。</w:t>
      </w:r>
    </w:p>
    <w:p>
      <w:pPr>
        <w:snapToGrid w:val="0"/>
        <w:spacing w:line="600" w:lineRule="exact"/>
        <w:jc w:val="lef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授权代表姓名：              性别：               年龄：</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单位：                      部门：               职务：</w:t>
      </w:r>
    </w:p>
    <w:p>
      <w:pPr>
        <w:spacing w:line="360" w:lineRule="exact"/>
        <w:rPr>
          <w:rFonts w:ascii="仿宋_GB2312" w:hAnsi="宋体" w:eastAsia="仿宋_GB2312"/>
          <w:color w:val="auto"/>
          <w:sz w:val="24"/>
          <w:highlight w:val="none"/>
        </w:rPr>
      </w:pPr>
    </w:p>
    <w:p>
      <w:pPr>
        <w:widowControl/>
        <w:snapToGrid w:val="0"/>
        <w:spacing w:line="440" w:lineRule="exact"/>
        <w:rPr>
          <w:rFonts w:ascii="仿宋_GB2312" w:hAnsi="宋体" w:eastAsia="仿宋_GB2312"/>
          <w:color w:val="auto"/>
          <w:sz w:val="24"/>
          <w:highlight w:val="none"/>
        </w:rPr>
      </w:pPr>
      <w:r>
        <w:rPr>
          <w:rFonts w:hint="eastAsia" w:ascii="仿宋_GB2312" w:hAnsi="宋体" w:eastAsia="仿宋_GB2312"/>
          <w:color w:val="auto"/>
          <w:kern w:val="0"/>
          <w:sz w:val="24"/>
          <w:highlight w:val="none"/>
        </w:rPr>
        <w:t>办公地址：                  联系电话：           传真：</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投标人（电子签章）：</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法定代表人（签字或盖章）：</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p>
    <w:p>
      <w:pPr>
        <w:ind w:firstLine="5280" w:firstLineChars="2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日期：    年   月   日</w:t>
      </w:r>
    </w:p>
    <w:p>
      <w:pPr>
        <w:ind w:firstLine="4920" w:firstLineChars="2050"/>
        <w:jc w:val="left"/>
        <w:rPr>
          <w:rFonts w:ascii="仿宋_GB2312" w:hAnsi="宋体" w:eastAsia="仿宋_GB2312"/>
          <w:color w:val="auto"/>
          <w:sz w:val="24"/>
          <w:highlight w:val="none"/>
        </w:rPr>
      </w:pPr>
    </w:p>
    <w:p>
      <w:pPr>
        <w:spacing w:line="800" w:lineRule="exact"/>
        <w:rPr>
          <w:rFonts w:ascii="仿宋_GB2312" w:hAnsi="宋体" w:eastAsia="仿宋_GB2312"/>
          <w:b/>
          <w:color w:val="auto"/>
          <w:sz w:val="24"/>
          <w:highlight w:val="none"/>
        </w:rPr>
      </w:pPr>
    </w:p>
    <w:p>
      <w:pPr>
        <w:spacing w:line="800" w:lineRule="exact"/>
        <w:rPr>
          <w:rFonts w:ascii="仿宋_GB2312" w:hAnsi="宋体" w:eastAsia="仿宋_GB2312"/>
          <w:b/>
          <w:color w:val="auto"/>
          <w:sz w:val="24"/>
          <w:highlight w:val="none"/>
        </w:rPr>
      </w:pPr>
    </w:p>
    <w:p>
      <w:pPr>
        <w:pageBreakBefore/>
        <w:spacing w:line="800" w:lineRule="exact"/>
        <w:jc w:val="center"/>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 xml:space="preserve">法定代表人授权委托书（格式） </w:t>
      </w:r>
      <w:r>
        <w:rPr>
          <w:rFonts w:hint="eastAsia" w:ascii="仿宋_GB2312" w:hAnsi="仿宋" w:eastAsia="仿宋_GB2312" w:cs="仿宋_GB2312"/>
          <w:b/>
          <w:color w:val="auto"/>
          <w:kern w:val="0"/>
          <w:sz w:val="32"/>
          <w:szCs w:val="32"/>
          <w:highlight w:val="none"/>
          <w:lang w:val="zh-CN"/>
        </w:rPr>
        <w:t>（适用于联合体投标）</w:t>
      </w:r>
    </w:p>
    <w:p>
      <w:pPr>
        <w:jc w:val="center"/>
        <w:rPr>
          <w:rFonts w:ascii="仿宋_GB2312" w:hAnsi="宋体" w:eastAsia="仿宋_GB2312"/>
          <w:b/>
          <w:color w:val="auto"/>
          <w:sz w:val="24"/>
          <w:highlight w:val="none"/>
        </w:rPr>
      </w:pPr>
    </w:p>
    <w:p>
      <w:pPr>
        <w:snapToGrid w:val="0"/>
        <w:spacing w:line="5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本授权委托书声明：</w:t>
      </w:r>
    </w:p>
    <w:p>
      <w:pPr>
        <w:snapToGrid w:val="0"/>
        <w:spacing w:line="5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现授权委托</w:t>
      </w:r>
      <w:r>
        <w:rPr>
          <w:rFonts w:hint="eastAsia" w:ascii="仿宋_GB2312" w:hAnsi="宋体" w:eastAsia="仿宋_GB2312"/>
          <w:color w:val="auto"/>
          <w:sz w:val="24"/>
          <w:highlight w:val="none"/>
          <w:u w:val="single"/>
        </w:rPr>
        <w:t xml:space="preserve">                  （填写单位全称）</w:t>
      </w:r>
      <w:r>
        <w:rPr>
          <w:rFonts w:hint="eastAsia" w:ascii="仿宋_GB2312" w:hAnsi="宋体" w:eastAsia="仿宋_GB2312"/>
          <w:color w:val="auto"/>
          <w:sz w:val="24"/>
          <w:highlight w:val="none"/>
        </w:rPr>
        <w:t>的</w:t>
      </w:r>
      <w:r>
        <w:rPr>
          <w:rFonts w:hint="eastAsia" w:ascii="仿宋_GB2312" w:hAnsi="宋体" w:eastAsia="仿宋_GB2312"/>
          <w:color w:val="auto"/>
          <w:sz w:val="24"/>
          <w:highlight w:val="none"/>
          <w:u w:val="single"/>
        </w:rPr>
        <w:t xml:space="preserve">       （填写姓名）</w:t>
      </w:r>
      <w:r>
        <w:rPr>
          <w:rFonts w:hint="eastAsia" w:ascii="仿宋_GB2312" w:hAnsi="宋体" w:eastAsia="仿宋_GB2312"/>
          <w:color w:val="auto"/>
          <w:sz w:val="24"/>
          <w:highlight w:val="none"/>
        </w:rPr>
        <w:t>为我方授权代表，</w:t>
      </w:r>
      <w:r>
        <w:rPr>
          <w:rFonts w:hint="eastAsia" w:ascii="仿宋_GB2312" w:hAnsi="宋体" w:eastAsia="仿宋_GB2312"/>
          <w:color w:val="auto"/>
          <w:sz w:val="24"/>
          <w:highlight w:val="none"/>
          <w:u w:val="single"/>
        </w:rPr>
        <w:t>（填写身份证号码：                       ）</w:t>
      </w:r>
      <w:r>
        <w:rPr>
          <w:rFonts w:hint="eastAsia" w:ascii="仿宋_GB2312" w:hAnsi="宋体" w:eastAsia="仿宋_GB2312"/>
          <w:color w:val="auto"/>
          <w:sz w:val="24"/>
          <w:highlight w:val="none"/>
        </w:rPr>
        <w:t>。以我方的名义参加</w:t>
      </w:r>
      <w:r>
        <w:rPr>
          <w:rFonts w:hint="eastAsia" w:ascii="仿宋_GB2312" w:hAnsi="宋体" w:eastAsia="仿宋_GB2312"/>
          <w:color w:val="auto"/>
          <w:sz w:val="24"/>
          <w:highlight w:val="none"/>
          <w:u w:val="single"/>
          <w:lang w:eastAsia="zh-CN"/>
        </w:rPr>
        <w:t>绍兴市防汛防旱应急保障中心</w:t>
      </w:r>
      <w:r>
        <w:rPr>
          <w:rFonts w:hint="eastAsia" w:ascii="仿宋_GB2312" w:hAnsi="宋体" w:eastAsia="仿宋_GB2312"/>
          <w:color w:val="auto"/>
          <w:sz w:val="24"/>
          <w:highlight w:val="none"/>
        </w:rPr>
        <w:t>组织的</w:t>
      </w:r>
      <w:r>
        <w:rPr>
          <w:rFonts w:hint="eastAsia" w:ascii="仿宋_GB2312" w:hAnsi="宋体" w:eastAsia="仿宋_GB2312"/>
          <w:color w:val="auto"/>
          <w:sz w:val="24"/>
          <w:highlight w:val="none"/>
          <w:u w:val="single"/>
          <w:lang w:eastAsia="zh-CN"/>
        </w:rPr>
        <w:t>曹娥江流域预报调度一体化项目</w:t>
      </w:r>
      <w:r>
        <w:rPr>
          <w:rFonts w:hint="eastAsia" w:ascii="仿宋_GB2312" w:hAnsi="宋体" w:eastAsia="仿宋_GB2312"/>
          <w:color w:val="auto"/>
          <w:sz w:val="24"/>
          <w:highlight w:val="none"/>
        </w:rPr>
        <w:t>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在撤销授权的书面通知以前，本授权书一直有效。全权代表在授权书有效期内签署的所有文件不因授权的撤销而失效。</w:t>
      </w:r>
    </w:p>
    <w:p>
      <w:pPr>
        <w:spacing w:line="5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授权代表无转委托权。特此委托。</w:t>
      </w:r>
    </w:p>
    <w:p>
      <w:pPr>
        <w:snapToGrid w:val="0"/>
        <w:spacing w:line="600" w:lineRule="exact"/>
        <w:jc w:val="lef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授权代表姓名：              性别：               年龄：</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单位：                      部门：               职务：</w:t>
      </w:r>
    </w:p>
    <w:p>
      <w:pPr>
        <w:spacing w:line="360" w:lineRule="exact"/>
        <w:rPr>
          <w:rFonts w:ascii="仿宋_GB2312" w:hAnsi="宋体" w:eastAsia="仿宋_GB2312"/>
          <w:color w:val="auto"/>
          <w:sz w:val="24"/>
          <w:highlight w:val="none"/>
        </w:rPr>
      </w:pPr>
    </w:p>
    <w:p>
      <w:pPr>
        <w:widowControl/>
        <w:snapToGrid w:val="0"/>
        <w:spacing w:line="440" w:lineRule="exact"/>
        <w:rPr>
          <w:rFonts w:ascii="仿宋_GB2312" w:hAnsi="宋体" w:eastAsia="仿宋_GB2312"/>
          <w:color w:val="auto"/>
          <w:sz w:val="24"/>
          <w:highlight w:val="none"/>
        </w:rPr>
      </w:pPr>
      <w:r>
        <w:rPr>
          <w:rFonts w:hint="eastAsia" w:ascii="仿宋_GB2312" w:hAnsi="宋体" w:eastAsia="仿宋_GB2312"/>
          <w:color w:val="auto"/>
          <w:kern w:val="0"/>
          <w:sz w:val="24"/>
          <w:highlight w:val="none"/>
        </w:rPr>
        <w:t>办公地址：                  联系电话：           传真：</w:t>
      </w:r>
    </w:p>
    <w:p>
      <w:pPr>
        <w:spacing w:line="360" w:lineRule="exact"/>
        <w:rPr>
          <w:rFonts w:ascii="仿宋_GB2312" w:hAnsi="宋体" w:eastAsia="仿宋_GB2312"/>
          <w:color w:val="auto"/>
          <w:sz w:val="24"/>
          <w:highlight w:val="none"/>
        </w:rPr>
      </w:pPr>
    </w:p>
    <w:p>
      <w:pPr>
        <w:spacing w:line="360" w:lineRule="exact"/>
        <w:rPr>
          <w:rFonts w:ascii="仿宋_GB2312" w:hAnsi="宋体" w:eastAsia="仿宋_GB2312"/>
          <w:color w:val="auto"/>
          <w:sz w:val="24"/>
          <w:highlight w:val="none"/>
        </w:rPr>
      </w:pPr>
    </w:p>
    <w:p>
      <w:pPr>
        <w:jc w:val="center"/>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 xml:space="preserve">年  </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月   日</w:t>
      </w:r>
    </w:p>
    <w:p>
      <w:pPr>
        <w:spacing w:line="800" w:lineRule="exact"/>
        <w:rPr>
          <w:rFonts w:ascii="仿宋_GB2312" w:hAnsi="宋体" w:eastAsia="仿宋_GB2312"/>
          <w:b/>
          <w:color w:val="auto"/>
          <w:sz w:val="24"/>
          <w:highlight w:val="none"/>
        </w:rPr>
      </w:pPr>
    </w:p>
    <w:p>
      <w:pPr>
        <w:pageBreakBefore/>
        <w:spacing w:line="800" w:lineRule="exact"/>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2、授权代表社保证明（复印件）</w:t>
      </w:r>
    </w:p>
    <w:p>
      <w:pPr>
        <w:spacing w:line="800" w:lineRule="exact"/>
        <w:ind w:firstLine="480" w:firstLineChars="200"/>
        <w:rPr>
          <w:rFonts w:ascii="仿宋_GB2312" w:hAnsi="宋体" w:eastAsia="仿宋_GB2312"/>
          <w:color w:val="auto"/>
          <w:sz w:val="24"/>
          <w:highlight w:val="none"/>
          <w:u w:val="wave"/>
        </w:rPr>
      </w:pPr>
      <w:r>
        <w:rPr>
          <w:rFonts w:hint="eastAsia" w:ascii="仿宋_GB2312" w:hAnsi="宋体" w:eastAsia="仿宋_GB2312"/>
          <w:color w:val="auto"/>
          <w:sz w:val="24"/>
          <w:highlight w:val="none"/>
          <w:u w:val="wave"/>
        </w:rPr>
        <w:t>出具距投标截止时间一个月以内的社保机构盖公章的授权代表社保缴纳证明（如授权代表为</w:t>
      </w:r>
      <w:r>
        <w:rPr>
          <w:rFonts w:ascii="仿宋_GB2312" w:hAnsi="宋体" w:eastAsia="仿宋_GB2312"/>
          <w:color w:val="auto"/>
          <w:sz w:val="24"/>
          <w:highlight w:val="none"/>
          <w:u w:val="wave"/>
        </w:rPr>
        <w:t>离退休返聘人员的，投标响应文件技术部分内</w:t>
      </w:r>
      <w:r>
        <w:rPr>
          <w:rFonts w:hint="eastAsia" w:ascii="仿宋_GB2312" w:hAnsi="宋体" w:eastAsia="仿宋_GB2312"/>
          <w:color w:val="auto"/>
          <w:sz w:val="24"/>
          <w:highlight w:val="none"/>
          <w:u w:val="wave"/>
        </w:rPr>
        <w:t>需提供</w:t>
      </w:r>
      <w:r>
        <w:rPr>
          <w:rFonts w:ascii="仿宋_GB2312" w:hAnsi="宋体" w:eastAsia="仿宋_GB2312"/>
          <w:color w:val="auto"/>
          <w:sz w:val="24"/>
          <w:highlight w:val="none"/>
          <w:u w:val="wave"/>
        </w:rPr>
        <w:t>退休证明及单位聘用证明</w:t>
      </w:r>
      <w:r>
        <w:rPr>
          <w:rFonts w:hint="eastAsia" w:ascii="仿宋_GB2312" w:hAnsi="宋体" w:eastAsia="仿宋_GB2312"/>
          <w:color w:val="auto"/>
          <w:sz w:val="24"/>
          <w:highlight w:val="none"/>
          <w:u w:val="wave"/>
        </w:rPr>
        <w:t>；如由第三方代理社保事项的，则需提供委托代理协议复印件），格式自拟。</w:t>
      </w:r>
      <w:r>
        <w:rPr>
          <w:rFonts w:ascii="仿宋_GB2312" w:hAnsi="宋体" w:eastAsia="仿宋_GB2312"/>
          <w:b/>
          <w:color w:val="auto"/>
          <w:sz w:val="24"/>
          <w:highlight w:val="none"/>
        </w:rPr>
        <w:t>未提供</w:t>
      </w:r>
      <w:r>
        <w:rPr>
          <w:rFonts w:hint="eastAsia" w:ascii="仿宋_GB2312" w:hAnsi="宋体" w:eastAsia="仿宋_GB2312"/>
          <w:b/>
          <w:color w:val="auto"/>
          <w:sz w:val="24"/>
          <w:highlight w:val="none"/>
        </w:rPr>
        <w:t>上述</w:t>
      </w:r>
      <w:r>
        <w:rPr>
          <w:rFonts w:ascii="仿宋_GB2312" w:hAnsi="宋体" w:eastAsia="仿宋_GB2312"/>
          <w:b/>
          <w:color w:val="auto"/>
          <w:sz w:val="24"/>
          <w:highlight w:val="none"/>
        </w:rPr>
        <w:t>证明的投标</w:t>
      </w:r>
      <w:r>
        <w:rPr>
          <w:rFonts w:hint="eastAsia" w:ascii="仿宋_GB2312" w:hAnsi="宋体" w:eastAsia="仿宋_GB2312"/>
          <w:b/>
          <w:color w:val="auto"/>
          <w:sz w:val="24"/>
          <w:highlight w:val="none"/>
        </w:rPr>
        <w:t>做无效投标处理</w:t>
      </w:r>
      <w:r>
        <w:rPr>
          <w:rFonts w:ascii="仿宋_GB2312" w:hAnsi="宋体" w:eastAsia="仿宋_GB2312"/>
          <w:b/>
          <w:color w:val="auto"/>
          <w:sz w:val="24"/>
          <w:highlight w:val="none"/>
        </w:rPr>
        <w:t>。</w:t>
      </w:r>
    </w:p>
    <w:p>
      <w:pPr>
        <w:spacing w:line="800" w:lineRule="exact"/>
        <w:ind w:firstLine="4320" w:firstLineChars="1800"/>
        <w:rPr>
          <w:rFonts w:ascii="仿宋_GB2312" w:hAnsi="宋体" w:eastAsia="仿宋_GB2312"/>
          <w:color w:val="auto"/>
          <w:sz w:val="24"/>
          <w:highlight w:val="none"/>
        </w:rPr>
      </w:pPr>
    </w:p>
    <w:p>
      <w:pPr>
        <w:spacing w:line="800" w:lineRule="exact"/>
        <w:ind w:firstLine="4337" w:firstLineChars="1800"/>
        <w:rPr>
          <w:rFonts w:ascii="仿宋_GB2312" w:hAnsi="宋体" w:eastAsia="仿宋_GB2312"/>
          <w:b/>
          <w:color w:val="auto"/>
          <w:sz w:val="24"/>
          <w:highlight w:val="none"/>
        </w:rPr>
      </w:pPr>
    </w:p>
    <w:p>
      <w:pPr>
        <w:spacing w:line="800" w:lineRule="exact"/>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3、法定代表人及其授权代表身份证复印件（正反面）</w:t>
      </w:r>
    </w:p>
    <w:p>
      <w:pPr>
        <w:spacing w:line="800" w:lineRule="exact"/>
        <w:rPr>
          <w:rFonts w:ascii="仿宋_GB2312" w:hAnsi="宋体" w:eastAsia="仿宋_GB2312"/>
          <w:b/>
          <w:color w:val="auto"/>
          <w:sz w:val="24"/>
          <w:highlight w:val="none"/>
        </w:rPr>
      </w:pPr>
    </w:p>
    <w:p>
      <w:pPr>
        <w:spacing w:line="800" w:lineRule="exact"/>
        <w:rPr>
          <w:rFonts w:ascii="仿宋_GB2312" w:hAnsi="宋体" w:eastAsia="仿宋_GB2312"/>
          <w:b/>
          <w:color w:val="auto"/>
          <w:sz w:val="24"/>
          <w:highlight w:val="none"/>
        </w:rPr>
      </w:pPr>
    </w:p>
    <w:p>
      <w:pPr>
        <w:spacing w:line="800" w:lineRule="exact"/>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4、法定代表人身份证明书(格式)</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投 标 人：</w:t>
      </w:r>
      <w:r>
        <w:rPr>
          <w:rFonts w:hint="eastAsia" w:ascii="仿宋_GB2312" w:hAnsi="宋体" w:eastAsia="仿宋_GB2312"/>
          <w:color w:val="auto"/>
          <w:sz w:val="24"/>
          <w:highlight w:val="none"/>
          <w:u w:val="single"/>
        </w:rPr>
        <w:t xml:space="preserve">                          </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地    址：</w:t>
      </w:r>
      <w:r>
        <w:rPr>
          <w:rFonts w:hint="eastAsia" w:ascii="仿宋_GB2312" w:hAnsi="宋体" w:eastAsia="仿宋_GB2312"/>
          <w:color w:val="auto"/>
          <w:sz w:val="24"/>
          <w:highlight w:val="none"/>
          <w:u w:val="single"/>
        </w:rPr>
        <w:t xml:space="preserve">                          </w:t>
      </w:r>
    </w:p>
    <w:p>
      <w:pPr>
        <w:spacing w:line="440" w:lineRule="exact"/>
        <w:ind w:right="281" w:rightChars="134"/>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姓    名：</w:t>
      </w:r>
      <w:r>
        <w:rPr>
          <w:rFonts w:hint="eastAsia" w:ascii="仿宋_GB2312" w:hAnsi="宋体" w:eastAsia="仿宋_GB2312"/>
          <w:color w:val="auto"/>
          <w:sz w:val="24"/>
          <w:highlight w:val="none"/>
          <w:u w:val="single"/>
        </w:rPr>
        <w:t xml:space="preserve">                          </w:t>
      </w:r>
    </w:p>
    <w:p>
      <w:pPr>
        <w:spacing w:line="440" w:lineRule="exact"/>
        <w:ind w:right="281" w:rightChars="134"/>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身份证号码：</w:t>
      </w:r>
      <w:r>
        <w:rPr>
          <w:rFonts w:hint="eastAsia" w:ascii="仿宋_GB2312" w:hAnsi="宋体" w:eastAsia="仿宋_GB2312"/>
          <w:color w:val="auto"/>
          <w:sz w:val="24"/>
          <w:highlight w:val="none"/>
          <w:u w:val="single"/>
        </w:rPr>
        <w:t xml:space="preserve">                        </w:t>
      </w:r>
    </w:p>
    <w:p>
      <w:pPr>
        <w:spacing w:line="440" w:lineRule="exact"/>
        <w:ind w:right="281" w:rightChars="134"/>
        <w:rPr>
          <w:rFonts w:ascii="仿宋_GB2312" w:hAnsi="宋体" w:eastAsia="仿宋_GB2312"/>
          <w:color w:val="auto"/>
          <w:sz w:val="24"/>
          <w:highlight w:val="none"/>
        </w:rPr>
      </w:pPr>
      <w:r>
        <w:rPr>
          <w:rFonts w:hint="eastAsia" w:ascii="仿宋_GB2312" w:hAnsi="宋体" w:eastAsia="仿宋_GB2312"/>
          <w:color w:val="auto"/>
          <w:sz w:val="24"/>
          <w:highlight w:val="none"/>
        </w:rPr>
        <w:t>职   务：</w:t>
      </w:r>
      <w:r>
        <w:rPr>
          <w:rFonts w:hint="eastAsia" w:ascii="仿宋_GB2312" w:hAnsi="宋体" w:eastAsia="仿宋_GB2312"/>
          <w:color w:val="auto"/>
          <w:sz w:val="24"/>
          <w:highlight w:val="none"/>
          <w:u w:val="single"/>
        </w:rPr>
        <w:t xml:space="preserve">                           </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系</w:t>
      </w:r>
      <w:r>
        <w:rPr>
          <w:rFonts w:hint="eastAsia" w:ascii="仿宋_GB2312" w:hAnsi="宋体" w:eastAsia="仿宋_GB2312"/>
          <w:color w:val="auto"/>
          <w:sz w:val="24"/>
          <w:highlight w:val="none"/>
          <w:u w:val="single"/>
        </w:rPr>
        <w:t xml:space="preserve">                           （填写投标人名称）</w:t>
      </w:r>
      <w:r>
        <w:rPr>
          <w:rFonts w:hint="eastAsia" w:ascii="仿宋_GB2312" w:hAnsi="宋体" w:eastAsia="仿宋_GB2312"/>
          <w:color w:val="auto"/>
          <w:sz w:val="24"/>
          <w:highlight w:val="none"/>
        </w:rPr>
        <w:t>的法定代表人。</w:t>
      </w: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特此证明。</w:t>
      </w:r>
    </w:p>
    <w:p>
      <w:pPr>
        <w:spacing w:line="440" w:lineRule="exact"/>
        <w:rPr>
          <w:rFonts w:ascii="仿宋_GB2312" w:hAnsi="宋体" w:eastAsia="仿宋_GB2312"/>
          <w:color w:val="auto"/>
          <w:sz w:val="24"/>
          <w:highlight w:val="none"/>
        </w:rPr>
      </w:pPr>
    </w:p>
    <w:p>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投标人：                             （电子签章）</w:t>
      </w:r>
    </w:p>
    <w:p>
      <w:pPr>
        <w:spacing w:line="440" w:lineRule="exact"/>
        <w:ind w:right="480"/>
        <w:rPr>
          <w:rFonts w:ascii="仿宋_GB2312" w:hAnsi="宋体" w:eastAsia="仿宋_GB2312"/>
          <w:color w:val="auto"/>
          <w:sz w:val="24"/>
          <w:highlight w:val="none"/>
        </w:rPr>
      </w:pPr>
    </w:p>
    <w:p>
      <w:pPr>
        <w:spacing w:line="440" w:lineRule="exact"/>
        <w:ind w:right="720"/>
        <w:jc w:val="right"/>
        <w:rPr>
          <w:rFonts w:ascii="仿宋_GB2312" w:hAnsi="宋体" w:eastAsia="仿宋_GB2312"/>
          <w:color w:val="auto"/>
          <w:sz w:val="24"/>
          <w:highlight w:val="none"/>
        </w:rPr>
      </w:pPr>
      <w:r>
        <w:rPr>
          <w:rFonts w:hint="eastAsia" w:ascii="仿宋_GB2312" w:hAnsi="宋体" w:eastAsia="仿宋_GB2312"/>
          <w:color w:val="auto"/>
          <w:sz w:val="24"/>
          <w:highlight w:val="none"/>
        </w:rPr>
        <w:t>年   月   日</w:t>
      </w:r>
    </w:p>
    <w:p>
      <w:pPr>
        <w:pageBreakBefore/>
        <w:rPr>
          <w:rFonts w:ascii="仿宋_GB2312" w:hAnsi="仿宋_GB2312" w:eastAsia="仿宋_GB2312" w:cs="仿宋_GB2312"/>
          <w:b/>
          <w:color w:val="auto"/>
          <w:sz w:val="28"/>
          <w:szCs w:val="28"/>
          <w:highlight w:val="none"/>
        </w:rPr>
      </w:pPr>
      <w:r>
        <w:rPr>
          <w:rFonts w:hint="eastAsia" w:ascii="仿宋_GB2312" w:hAnsi="宋体" w:eastAsia="仿宋_GB2312"/>
          <w:b/>
          <w:color w:val="auto"/>
          <w:sz w:val="30"/>
          <w:szCs w:val="30"/>
          <w:highlight w:val="none"/>
        </w:rPr>
        <w:t>5、与符合性审查有关的资信文件（复印件）</w:t>
      </w:r>
      <w:r>
        <w:rPr>
          <w:rFonts w:hint="eastAsia" w:ascii="仿宋_GB2312" w:hAnsi="宋体" w:eastAsia="仿宋_GB2312"/>
          <w:b/>
          <w:color w:val="auto"/>
          <w:sz w:val="28"/>
          <w:szCs w:val="28"/>
          <w:highlight w:val="none"/>
        </w:rPr>
        <w:t>（1</w:t>
      </w:r>
      <w:r>
        <w:rPr>
          <w:rFonts w:hint="eastAsia" w:ascii="仿宋_GB2312" w:hAnsi="仿宋_GB2312" w:eastAsia="仿宋_GB2312" w:cs="仿宋_GB2312"/>
          <w:b/>
          <w:color w:val="auto"/>
          <w:kern w:val="0"/>
          <w:sz w:val="28"/>
          <w:szCs w:val="28"/>
          <w:highlight w:val="none"/>
          <w:lang w:val="zh-CN"/>
        </w:rPr>
        <w:t>.</w:t>
      </w:r>
      <w:r>
        <w:rPr>
          <w:rFonts w:hint="eastAsia" w:ascii="仿宋_GB2312" w:hAnsi="仿宋_GB2312" w:eastAsia="仿宋_GB2312" w:cs="仿宋_GB2312"/>
          <w:b/>
          <w:color w:val="auto"/>
          <w:sz w:val="28"/>
          <w:szCs w:val="28"/>
          <w:highlight w:val="none"/>
        </w:rPr>
        <w:t>营业执照（或事业法人登记证或其他登记证明材料）（复印件）；2.财务报表资料文件（2021年度资产负债表等财务报表资料文件(新成立的公司，提供情况说明，格式自拟)）；</w:t>
      </w:r>
      <w:r>
        <w:rPr>
          <w:rFonts w:hint="eastAsia" w:ascii="仿宋_GB2312" w:hAnsi="宋体" w:eastAsia="仿宋_GB2312"/>
          <w:b/>
          <w:color w:val="auto"/>
          <w:sz w:val="28"/>
          <w:szCs w:val="28"/>
          <w:highlight w:val="none"/>
        </w:rPr>
        <w:t>3.提供依法缴纳税收和社会保障资金的良好记录证明，税收和社保证明打印时间不得早于投标截止时间前1个月；4.其他资料由投标人根据采购需求及招标文件要求编制。）</w:t>
      </w: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napToGrid w:val="0"/>
        <w:spacing w:line="360" w:lineRule="auto"/>
        <w:ind w:right="480"/>
        <w:jc w:val="center"/>
        <w:rPr>
          <w:rFonts w:ascii="仿宋_GB2312" w:hAnsi="仿宋_GB2312" w:eastAsia="仿宋_GB2312" w:cs="仿宋_GB2312"/>
          <w:b/>
          <w:color w:val="auto"/>
          <w:kern w:val="0"/>
          <w:sz w:val="32"/>
          <w:szCs w:val="32"/>
          <w:highlight w:val="none"/>
          <w:lang w:val="zh-CN"/>
        </w:rPr>
      </w:pPr>
    </w:p>
    <w:p>
      <w:pPr>
        <w:snapToGrid w:val="0"/>
        <w:spacing w:line="360" w:lineRule="auto"/>
        <w:ind w:right="480"/>
        <w:rPr>
          <w:rFonts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t>6、具有履行合同所必需的设备和专业技术能力的承诺函</w:t>
      </w:r>
    </w:p>
    <w:p>
      <w:pPr>
        <w:snapToGrid w:val="0"/>
        <w:spacing w:line="360" w:lineRule="auto"/>
        <w:rPr>
          <w:rFonts w:ascii="仿宋" w:hAnsi="仿宋" w:eastAsia="仿宋" w:cs="仿宋_GB2312"/>
          <w:color w:val="auto"/>
          <w:sz w:val="24"/>
          <w:highlight w:val="none"/>
        </w:rPr>
      </w:pPr>
      <w:r>
        <w:rPr>
          <w:rFonts w:hint="eastAsia" w:ascii="仿宋_GB2312" w:hAnsi="仿宋_GB2312" w:eastAsia="仿宋_GB2312" w:cs="仿宋_GB2312"/>
          <w:color w:val="auto"/>
          <w:sz w:val="24"/>
          <w:highlight w:val="none"/>
          <w:lang w:eastAsia="zh-CN"/>
        </w:rPr>
        <w:t>绍兴市防汛防旱应急保障中心</w:t>
      </w:r>
      <w:r>
        <w:rPr>
          <w:rFonts w:hint="eastAsia" w:ascii="仿宋_GB2312" w:hAnsi="仿宋_GB2312" w:eastAsia="仿宋_GB2312" w:cs="仿宋_GB2312"/>
          <w:color w:val="auto"/>
          <w:kern w:val="0"/>
          <w:sz w:val="24"/>
          <w:highlight w:val="none"/>
          <w:lang w:val="zh-CN"/>
        </w:rPr>
        <w:t>：</w:t>
      </w:r>
    </w:p>
    <w:p>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我方郑重承诺，我方具有履行</w:t>
      </w:r>
      <w:r>
        <w:rPr>
          <w:rFonts w:hint="eastAsia" w:ascii="仿宋" w:hAnsi="仿宋" w:eastAsia="仿宋" w:cs="仿宋_GB2312"/>
          <w:color w:val="auto"/>
          <w:sz w:val="24"/>
          <w:highlight w:val="none"/>
          <w:lang w:eastAsia="zh-CN"/>
        </w:rPr>
        <w:t>曹娥江流域预报调度一体化项目</w:t>
      </w:r>
      <w:r>
        <w:rPr>
          <w:rFonts w:hint="eastAsia" w:ascii="仿宋" w:hAnsi="仿宋" w:eastAsia="仿宋" w:cs="仿宋_GB2312"/>
          <w:color w:val="auto"/>
          <w:sz w:val="24"/>
          <w:highlight w:val="none"/>
        </w:rPr>
        <w:t>（招标编号:GSHZJ-2022-N000697）合同所必需的设备和专业技术能力。如中标，我方将保证合同顺利履行。</w:t>
      </w: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  日</w:t>
      </w:r>
    </w:p>
    <w:p>
      <w:pPr>
        <w:spacing w:line="360" w:lineRule="auto"/>
        <w:jc w:val="center"/>
        <w:rPr>
          <w:rFonts w:ascii="仿宋_GB2312" w:hAnsi="仿宋_GB2312" w:eastAsia="仿宋_GB2312" w:cs="仿宋_GB2312"/>
          <w:b/>
          <w:color w:val="auto"/>
          <w:kern w:val="0"/>
          <w:sz w:val="32"/>
          <w:szCs w:val="32"/>
          <w:highlight w:val="none"/>
        </w:rPr>
      </w:pPr>
    </w:p>
    <w:p>
      <w:pPr>
        <w:spacing w:line="360" w:lineRule="auto"/>
        <w:jc w:val="center"/>
        <w:rPr>
          <w:rFonts w:ascii="仿宋_GB2312" w:hAnsi="仿宋_GB2312" w:eastAsia="仿宋_GB2312" w:cs="仿宋_GB2312"/>
          <w:b/>
          <w:color w:val="auto"/>
          <w:kern w:val="0"/>
          <w:sz w:val="32"/>
          <w:szCs w:val="32"/>
          <w:highlight w:val="none"/>
        </w:rPr>
      </w:pPr>
    </w:p>
    <w:p>
      <w:pPr>
        <w:pageBreakBefore/>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color w:val="auto"/>
          <w:kern w:val="0"/>
          <w:sz w:val="32"/>
          <w:szCs w:val="32"/>
          <w:highlight w:val="none"/>
        </w:rPr>
        <w:t>7、重大违法记录的声明</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lang w:eastAsia="zh-CN"/>
        </w:rPr>
        <w:t>绍兴市防汛防旱应急保障中心</w:t>
      </w:r>
      <w:r>
        <w:rPr>
          <w:rFonts w:hint="eastAsia" w:ascii="仿宋_GB2312" w:hAnsi="仿宋_GB2312" w:eastAsia="仿宋_GB2312" w:cs="仿宋_GB2312"/>
          <w:color w:val="auto"/>
          <w:kern w:val="0"/>
          <w:sz w:val="24"/>
          <w:highlight w:val="none"/>
          <w:lang w:val="zh-CN"/>
        </w:rPr>
        <w:t>：</w:t>
      </w:r>
    </w:p>
    <w:p>
      <w:pPr>
        <w:spacing w:line="360" w:lineRule="auto"/>
        <w:ind w:firstLine="480" w:firstLineChars="200"/>
        <w:rPr>
          <w:rFonts w:ascii="仿宋_GB2312" w:hAnsi="仿宋_GB2312" w:eastAsia="仿宋_GB2312" w:cs="仿宋_GB2312"/>
          <w:color w:val="auto"/>
          <w:sz w:val="24"/>
          <w:szCs w:val="20"/>
          <w:highlight w:val="none"/>
        </w:rPr>
      </w:pPr>
      <w:r>
        <w:rPr>
          <w:rFonts w:hint="eastAsia" w:ascii="仿宋_GB2312" w:hAnsi="仿宋_GB2312" w:eastAsia="仿宋_GB2312" w:cs="仿宋_GB2312"/>
          <w:color w:val="auto"/>
          <w:kern w:val="0"/>
          <w:sz w:val="24"/>
          <w:highlight w:val="none"/>
          <w:lang w:val="zh-CN"/>
        </w:rPr>
        <w:t>我公司</w:t>
      </w:r>
      <w:r>
        <w:rPr>
          <w:rFonts w:hint="eastAsia" w:ascii="仿宋_GB2312" w:hAnsi="仿宋_GB2312" w:eastAsia="仿宋_GB2312" w:cs="仿宋_GB2312"/>
          <w:color w:val="auto"/>
          <w:sz w:val="24"/>
          <w:highlight w:val="none"/>
        </w:rPr>
        <w:t>声明参加本次政府采购活动前三年内未</w:t>
      </w:r>
      <w:r>
        <w:rPr>
          <w:rFonts w:hint="eastAsia" w:ascii="仿宋_GB2312" w:hAnsi="仿宋_GB2312" w:eastAsia="仿宋_GB2312" w:cs="仿宋_GB2312"/>
          <w:color w:val="auto"/>
          <w:sz w:val="24"/>
          <w:szCs w:val="20"/>
          <w:highlight w:val="none"/>
        </w:rPr>
        <w:t>被列入“黑名单”</w:t>
      </w:r>
      <w:r>
        <w:rPr>
          <w:rFonts w:hint="eastAsia" w:ascii="仿宋_GB2312" w:hAnsi="仿宋_GB2312" w:eastAsia="仿宋_GB2312" w:cs="仿宋_GB2312"/>
          <w:color w:val="auto"/>
          <w:sz w:val="24"/>
          <w:highlight w:val="none"/>
        </w:rPr>
        <w:t>，在</w:t>
      </w:r>
      <w:r>
        <w:rPr>
          <w:rFonts w:hint="eastAsia" w:ascii="仿宋_GB2312" w:hAnsi="仿宋_GB2312" w:eastAsia="仿宋_GB2312" w:cs="仿宋_GB2312"/>
          <w:color w:val="auto"/>
          <w:kern w:val="0"/>
          <w:sz w:val="24"/>
          <w:highlight w:val="none"/>
        </w:rPr>
        <w:t>经营活动中</w:t>
      </w:r>
      <w:r>
        <w:rPr>
          <w:rFonts w:hint="eastAsia" w:ascii="仿宋_GB2312" w:hAnsi="仿宋_GB2312" w:eastAsia="仿宋_GB2312" w:cs="仿宋_GB2312"/>
          <w:color w:val="auto"/>
          <w:sz w:val="24"/>
          <w:highlight w:val="none"/>
        </w:rPr>
        <w:t>没有重大违法记录</w:t>
      </w:r>
      <w:r>
        <w:rPr>
          <w:rFonts w:hint="eastAsia" w:ascii="仿宋_GB2312" w:hAnsi="仿宋_GB2312" w:eastAsia="仿宋_GB2312" w:cs="仿宋_GB2312"/>
          <w:color w:val="auto"/>
          <w:sz w:val="24"/>
          <w:szCs w:val="20"/>
          <w:highlight w:val="none"/>
        </w:rPr>
        <w:t>。我方通过“信用中国”网站（www.creditchina.gov.cn）、中国政府采购网（www.ccgp.gov.cn）查询，未被列入失信被执行人、重大税收违法案件当事人名单、政府采购严重违法失信行为记录名单。（另，提供自招标公告发布之日起至投标截止日内任意时间查询结果的网页截图）</w:t>
      </w:r>
    </w:p>
    <w:p>
      <w:pPr>
        <w:spacing w:line="360" w:lineRule="auto"/>
        <w:ind w:firstLine="480" w:firstLineChars="200"/>
        <w:rPr>
          <w:rFonts w:ascii="仿宋_GB2312" w:hAnsi="仿宋_GB2312" w:eastAsia="仿宋_GB2312" w:cs="仿宋_GB2312"/>
          <w:color w:val="auto"/>
          <w:sz w:val="24"/>
          <w:szCs w:val="20"/>
          <w:highlight w:val="none"/>
        </w:rPr>
      </w:pP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napToGrid w:val="0"/>
        <w:spacing w:line="360" w:lineRule="auto"/>
        <w:rPr>
          <w:rFonts w:ascii="仿宋_GB2312" w:hAnsi="仿宋_GB2312" w:eastAsia="仿宋_GB2312" w:cs="仿宋_GB2312"/>
          <w:b/>
          <w:color w:val="auto"/>
          <w:sz w:val="30"/>
          <w:szCs w:val="30"/>
          <w:highlight w:val="none"/>
        </w:rPr>
      </w:pPr>
    </w:p>
    <w:p>
      <w:pPr>
        <w:snapToGrid w:val="0"/>
        <w:spacing w:line="360" w:lineRule="auto"/>
        <w:rPr>
          <w:rFonts w:ascii="仿宋_GB2312" w:hAnsi="仿宋_GB2312" w:eastAsia="仿宋_GB2312" w:cs="仿宋_GB2312"/>
          <w:b/>
          <w:color w:val="auto"/>
          <w:sz w:val="30"/>
          <w:szCs w:val="30"/>
          <w:highlight w:val="none"/>
        </w:rPr>
      </w:pPr>
    </w:p>
    <w:p>
      <w:pPr>
        <w:snapToGrid w:val="0"/>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8、特定资格条件要求的资质文件（复印件）</w:t>
      </w:r>
    </w:p>
    <w:p>
      <w:pPr>
        <w:widowControl/>
        <w:spacing w:line="360" w:lineRule="auto"/>
        <w:ind w:firstLine="480" w:firstLineChars="200"/>
        <w:jc w:val="left"/>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24"/>
          <w:highlight w:val="none"/>
        </w:rPr>
        <w:t>（由投标人根据招标公告合格的投标人应具备的特定资格要求编制）</w:t>
      </w: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p>
    <w:p>
      <w:pPr>
        <w:spacing w:line="360" w:lineRule="auto"/>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9、非本地投标人售后服务机构证明材料</w:t>
      </w:r>
    </w:p>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（由非本地投标人根据采购需求及招标文件要求编制）</w:t>
      </w:r>
    </w:p>
    <w:p>
      <w:pPr>
        <w:spacing w:line="360" w:lineRule="auto"/>
        <w:jc w:val="center"/>
        <w:rPr>
          <w:rFonts w:ascii="仿宋_GB2312" w:hAnsi="仿宋_GB2312" w:eastAsia="仿宋_GB2312" w:cs="仿宋_GB2312"/>
          <w:b/>
          <w:color w:val="auto"/>
          <w:sz w:val="32"/>
          <w:szCs w:val="32"/>
          <w:highlight w:val="none"/>
        </w:rPr>
      </w:pPr>
    </w:p>
    <w:p>
      <w:pPr>
        <w:spacing w:line="360" w:lineRule="auto"/>
        <w:jc w:val="center"/>
        <w:rPr>
          <w:rFonts w:ascii="仿宋_GB2312" w:hAnsi="仿宋_GB2312" w:eastAsia="仿宋_GB2312" w:cs="仿宋_GB2312"/>
          <w:b/>
          <w:color w:val="auto"/>
          <w:sz w:val="32"/>
          <w:szCs w:val="32"/>
          <w:highlight w:val="none"/>
        </w:rPr>
      </w:pPr>
    </w:p>
    <w:p>
      <w:pPr>
        <w:spacing w:line="360" w:lineRule="auto"/>
        <w:jc w:val="center"/>
        <w:rPr>
          <w:rFonts w:ascii="仿宋_GB2312" w:hAnsi="仿宋_GB2312" w:eastAsia="仿宋_GB2312" w:cs="仿宋_GB2312"/>
          <w:b/>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10、</w:t>
      </w:r>
      <w:r>
        <w:rPr>
          <w:rFonts w:hint="eastAsia" w:ascii="仿宋_GB2312" w:hAnsi="仿宋_GB2312" w:eastAsia="仿宋_GB2312" w:cs="仿宋_GB2312"/>
          <w:b/>
          <w:color w:val="auto"/>
          <w:kern w:val="0"/>
          <w:sz w:val="32"/>
          <w:szCs w:val="32"/>
          <w:highlight w:val="none"/>
          <w:lang w:val="zh-CN"/>
        </w:rPr>
        <w:t>主要业绩证明</w:t>
      </w:r>
    </w:p>
    <w:p>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41"/>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注：投标人可按上述的格式自行编制，须随表提交相应的合同复印件和用户单位验收证明并注明页码。</w:t>
      </w: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pStyle w:val="192"/>
        <w:ind w:firstLine="0"/>
        <w:jc w:val="both"/>
        <w:rPr>
          <w:rFonts w:hAnsi="仿宋_GB2312" w:cs="仿宋_GB2312"/>
          <w:color w:val="auto"/>
          <w:highlight w:val="none"/>
        </w:rPr>
      </w:pPr>
    </w:p>
    <w:p>
      <w:pPr>
        <w:pStyle w:val="192"/>
        <w:pageBreakBefore/>
        <w:ind w:firstLine="0"/>
        <w:jc w:val="both"/>
        <w:rPr>
          <w:rFonts w:hAnsi="仿宋_GB2312" w:cs="仿宋_GB2312"/>
          <w:color w:val="auto"/>
          <w:highlight w:val="none"/>
        </w:rPr>
      </w:pPr>
      <w:r>
        <w:rPr>
          <w:rFonts w:hint="eastAsia" w:hAnsi="仿宋_GB2312" w:cs="仿宋_GB2312"/>
          <w:color w:val="auto"/>
          <w:highlight w:val="none"/>
        </w:rPr>
        <w:t>11、廉政承诺书</w:t>
      </w: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sz w:val="24"/>
          <w:highlight w:val="none"/>
          <w:lang w:eastAsia="zh-CN"/>
        </w:rPr>
        <w:t>绍兴市防汛防旱应急保障中心</w:t>
      </w:r>
      <w:r>
        <w:rPr>
          <w:rFonts w:hint="eastAsia"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我单位响应你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 xml:space="preserve">项目招标要求参加投标。在这次投标过程中和中标后，我们将严格遵守国家法律法规要求，并郑重承诺：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四、不为项目有关人员及部门出国（境）、旅游等提供方便；    </w:t>
      </w:r>
    </w:p>
    <w:p>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五、不为项目有关人员个人装修住房、婚丧嫁娶、配偶子女工作安排等提供好处；    </w:t>
      </w:r>
    </w:p>
    <w:p>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六、严格遵守政府采购法等法律法规，诚实守信，合法经营，坚决抵制各种违法违纪行为。    </w:t>
      </w:r>
    </w:p>
    <w:p>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如违反上述承诺，你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有权立即取消我单位投标、中标或在建项目的建设资格，有权拒绝我单位在一定时期内进入你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pageBreakBefore/>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12、技术解决方案</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spacing w:line="360" w:lineRule="auto"/>
        <w:jc w:val="center"/>
        <w:rPr>
          <w:rFonts w:ascii="仿宋_GB2312" w:hAnsi="仿宋_GB2312" w:eastAsia="仿宋_GB2312" w:cs="仿宋_GB2312"/>
          <w:color w:val="auto"/>
          <w:sz w:val="24"/>
          <w:highlight w:val="none"/>
        </w:rPr>
      </w:pPr>
    </w:p>
    <w:p>
      <w:pPr>
        <w:snapToGrid w:val="0"/>
        <w:spacing w:line="360" w:lineRule="auto"/>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41"/>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pPr>
        <w:autoSpaceDE w:val="0"/>
        <w:autoSpaceDN w:val="0"/>
        <w:spacing w:line="360" w:lineRule="auto"/>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pPr>
        <w:autoSpaceDE w:val="0"/>
        <w:autoSpaceDN w:val="0"/>
        <w:spacing w:line="360" w:lineRule="auto"/>
        <w:ind w:firstLine="551" w:firstLineChars="196"/>
        <w:jc w:val="left"/>
        <w:rPr>
          <w:rFonts w:ascii="仿宋_GB2312" w:hAnsi="仿宋_GB2312" w:eastAsia="仿宋_GB2312" w:cs="仿宋_GB2312"/>
          <w:b/>
          <w:color w:val="auto"/>
          <w:kern w:val="0"/>
          <w:sz w:val="28"/>
          <w:szCs w:val="28"/>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2.5pt;" o:ole="t" filled="f" o:preferrelative="t" stroked="f" coordsize="21600,21600">
            <v:path/>
            <v:fill on="f" focussize="0,0"/>
            <v:stroke on="f" joinstyle="miter"/>
            <v:imagedata r:id="rId12" o:title=""/>
            <o:lock v:ext="edit" aspectratio="t"/>
            <w10:wrap type="none"/>
            <w10:anchorlock/>
          </v:shape>
          <o:OLEObject Type="Embed" ProgID="Package" ShapeID="_x0000_i1025" DrawAspect="Content" ObjectID="_1468075725" r:id="rId11">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75pt;" o:ole="t" filled="f" o:preferrelative="t" stroked="f" coordsize="21600,21600">
            <v:path/>
            <v:fill on="f" focussize="0,0"/>
            <v:stroke on="f" joinstyle="miter"/>
            <v:imagedata r:id="rId14" o:title=""/>
            <o:lock v:ext="edit" aspectratio="t"/>
            <w10:wrap type="none"/>
            <w10:anchorlock/>
          </v:shape>
          <o:OLEObject Type="Embed" ProgID="Package" ShapeID="_x0000_i1026" DrawAspect="Content" ObjectID="_1468075726" r:id="rId13">
            <o:LockedField>false</o:LockedField>
          </o:OLEObject>
        </w:object>
      </w: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highlight w:val="none"/>
          <w:lang w:val="zh-CN"/>
        </w:rPr>
      </w:pPr>
    </w:p>
    <w:p>
      <w:pPr>
        <w:pageBreakBefore/>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13、技术偏离说明表</w:t>
      </w:r>
    </w:p>
    <w:p>
      <w:pPr>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24"/>
          <w:highlight w:val="none"/>
        </w:rPr>
        <w:t>（由投标人根据采购需求及招标文件要求编制）</w:t>
      </w:r>
    </w:p>
    <w:tbl>
      <w:tblPr>
        <w:tblStyle w:val="41"/>
        <w:tblW w:w="8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3087"/>
        <w:gridCol w:w="3818"/>
        <w:gridCol w:w="1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13"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序号</w:t>
            </w:r>
          </w:p>
        </w:tc>
        <w:tc>
          <w:tcPr>
            <w:tcW w:w="3087"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招标文件要求</w:t>
            </w:r>
          </w:p>
        </w:tc>
        <w:tc>
          <w:tcPr>
            <w:tcW w:w="3818"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投标响应</w:t>
            </w:r>
          </w:p>
        </w:tc>
        <w:tc>
          <w:tcPr>
            <w:tcW w:w="1201"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招标文件技术要求</w:t>
            </w:r>
          </w:p>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请填写投标产品技术指标对应详细描述</w:t>
            </w: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无偏离/正偏离/负偏离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可自行添加行</w:t>
            </w: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详细参数可自行加行</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2</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请填写售后服务要求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3</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请填写保修期要求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4</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请填写安装要求(如有)</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5</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请填写验收方式要求(如有)</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6</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请填写付款方式要求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7</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请填写到货期要求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8</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9</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color w:val="auto"/>
                <w:sz w:val="24"/>
                <w:highlight w:val="none"/>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color w:val="auto"/>
                <w:sz w:val="24"/>
                <w:highlight w:val="none"/>
              </w:rPr>
            </w:pPr>
          </w:p>
        </w:tc>
      </w:tr>
    </w:tbl>
    <w:p>
      <w:pPr>
        <w:tabs>
          <w:tab w:val="left" w:pos="570"/>
        </w:tabs>
        <w:spacing w:line="440" w:lineRule="exact"/>
        <w:ind w:firstLine="120" w:firstLineChars="5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注：1.此表须与</w:t>
      </w:r>
      <w:r>
        <w:rPr>
          <w:rFonts w:hint="eastAsia" w:ascii="仿宋_GB2312" w:hAnsi="宋体" w:eastAsia="仿宋_GB2312"/>
          <w:color w:val="auto"/>
          <w:kern w:val="0"/>
          <w:sz w:val="24"/>
          <w:highlight w:val="none"/>
        </w:rPr>
        <w:t>招标文件“</w:t>
      </w:r>
      <w:r>
        <w:rPr>
          <w:rFonts w:hint="eastAsia" w:ascii="仿宋_GB2312" w:hAnsi="宋体" w:eastAsia="仿宋_GB2312"/>
          <w:color w:val="auto"/>
          <w:sz w:val="24"/>
          <w:highlight w:val="none"/>
        </w:rPr>
        <w:t>招标项目说明及要求</w:t>
      </w:r>
      <w:r>
        <w:rPr>
          <w:rFonts w:hint="eastAsia" w:ascii="仿宋_GB2312" w:hAnsi="宋体" w:eastAsia="仿宋_GB2312"/>
          <w:color w:val="auto"/>
          <w:kern w:val="0"/>
          <w:sz w:val="24"/>
          <w:highlight w:val="none"/>
        </w:rPr>
        <w:t>”</w:t>
      </w:r>
      <w:r>
        <w:rPr>
          <w:rFonts w:hint="eastAsia" w:ascii="仿宋_GB2312" w:hAnsi="宋体" w:eastAsia="仿宋_GB2312"/>
          <w:color w:val="auto"/>
          <w:sz w:val="24"/>
          <w:highlight w:val="none"/>
        </w:rPr>
        <w:t>相应标项内的所有技术规格相比较且一一对应</w:t>
      </w:r>
      <w:r>
        <w:rPr>
          <w:rFonts w:hint="eastAsia" w:ascii="仿宋_GB2312" w:hAnsi="宋体" w:eastAsia="仿宋_GB2312" w:cs="宋体"/>
          <w:color w:val="auto"/>
          <w:sz w:val="24"/>
          <w:highlight w:val="none"/>
        </w:rPr>
        <w:t>真实逐条</w:t>
      </w:r>
      <w:r>
        <w:rPr>
          <w:rFonts w:hint="eastAsia" w:ascii="仿宋_GB2312" w:hAnsi="宋体" w:eastAsia="仿宋_GB2312"/>
          <w:color w:val="auto"/>
          <w:sz w:val="24"/>
          <w:highlight w:val="none"/>
        </w:rPr>
        <w:t>填列。</w:t>
      </w:r>
    </w:p>
    <w:p>
      <w:pPr>
        <w:tabs>
          <w:tab w:val="left" w:pos="570"/>
        </w:tabs>
        <w:spacing w:line="440" w:lineRule="exact"/>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w:t>
      </w:r>
      <w:r>
        <w:rPr>
          <w:rFonts w:hint="eastAsia" w:ascii="仿宋_GB2312" w:hAnsi="宋体" w:eastAsia="仿宋_GB2312" w:cs="宋体"/>
          <w:color w:val="auto"/>
          <w:sz w:val="24"/>
          <w:highlight w:val="none"/>
        </w:rPr>
        <w:t>投标人递交的技术规格书中必须真实逐条列明，否则由投标人自行承担相关风险。</w:t>
      </w:r>
    </w:p>
    <w:p>
      <w:pPr>
        <w:autoSpaceDE w:val="0"/>
        <w:autoSpaceDN w:val="0"/>
        <w:spacing w:line="360" w:lineRule="auto"/>
        <w:ind w:firstLine="5040" w:firstLineChars="2100"/>
        <w:rPr>
          <w:rFonts w:ascii="仿宋_GB2312" w:hAnsi="仿宋_GB2312" w:eastAsia="仿宋_GB2312" w:cs="仿宋_GB2312"/>
          <w:color w:val="auto"/>
          <w:kern w:val="0"/>
          <w:sz w:val="24"/>
          <w:highlight w:val="none"/>
          <w:lang w:val="zh-CN"/>
        </w:rPr>
      </w:pP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pPr>
        <w:pageBreakBefore/>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zh-CN"/>
        </w:rPr>
        <w:t>14、组织实施方案</w:t>
      </w:r>
    </w:p>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41"/>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88" w:type="dxa"/>
            <w:vAlign w:val="center"/>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p>
    <w:p>
      <w:pPr>
        <w:pageBreakBefore/>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15、售后服务方案</w:t>
      </w:r>
    </w:p>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41"/>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pPr>
              <w:autoSpaceDE w:val="0"/>
              <w:autoSpaceDN w:val="0"/>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pPr>
              <w:autoSpaceDE w:val="0"/>
              <w:autoSpaceDN w:val="0"/>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pPr>
              <w:autoSpaceDE w:val="0"/>
              <w:autoSpaceDN w:val="0"/>
              <w:spacing w:line="360" w:lineRule="auto"/>
              <w:jc w:val="center"/>
              <w:rPr>
                <w:rFonts w:ascii="仿宋_GB2312" w:hAnsi="仿宋_GB2312" w:eastAsia="仿宋_GB2312" w:cs="仿宋_GB2312"/>
                <w:color w:val="auto"/>
                <w:sz w:val="24"/>
                <w:highlight w:val="none"/>
              </w:rPr>
            </w:pPr>
          </w:p>
        </w:tc>
      </w:tr>
    </w:tbl>
    <w:p>
      <w:pPr>
        <w:autoSpaceDE w:val="0"/>
        <w:autoSpaceDN w:val="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pPr>
        <w:autoSpaceDE w:val="0"/>
        <w:autoSpaceDN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41"/>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r>
    </w:tbl>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pageBreakBefore/>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16、项目小组人员名单</w:t>
      </w:r>
    </w:p>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41"/>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41"/>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r>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bl>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pageBreakBefore/>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17、</w:t>
      </w:r>
      <w:r>
        <w:rPr>
          <w:rFonts w:hint="eastAsia" w:ascii="仿宋_GB2312" w:hAnsi="仿宋_GB2312" w:eastAsia="仿宋_GB2312" w:cs="仿宋_GB2312"/>
          <w:b/>
          <w:color w:val="auto"/>
          <w:kern w:val="0"/>
          <w:sz w:val="32"/>
          <w:szCs w:val="32"/>
          <w:highlight w:val="none"/>
          <w:lang w:val="zh-CN"/>
        </w:rPr>
        <w:t>优惠条件及特殊承诺</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spacing w:line="360" w:lineRule="auto"/>
        <w:rPr>
          <w:rFonts w:ascii="仿宋_GB2312" w:hAnsi="仿宋_GB2312" w:eastAsia="仿宋_GB2312" w:cs="仿宋_GB2312"/>
          <w:color w:val="auto"/>
          <w:sz w:val="18"/>
          <w:szCs w:val="18"/>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rPr>
          <w:rFonts w:ascii="仿宋_GB2312" w:hAnsi="仿宋_GB2312" w:eastAsia="仿宋_GB2312" w:cs="仿宋_GB2312"/>
          <w:b/>
          <w:bCs/>
          <w:color w:val="auto"/>
          <w:sz w:val="18"/>
          <w:szCs w:val="18"/>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18、</w:t>
      </w:r>
      <w:r>
        <w:rPr>
          <w:rFonts w:hint="eastAsia" w:ascii="仿宋_GB2312" w:hAnsi="仿宋_GB2312" w:eastAsia="仿宋_GB2312" w:cs="仿宋_GB2312"/>
          <w:b/>
          <w:color w:val="auto"/>
          <w:kern w:val="0"/>
          <w:sz w:val="32"/>
          <w:szCs w:val="32"/>
          <w:highlight w:val="none"/>
          <w:lang w:val="zh-CN"/>
        </w:rPr>
        <w:t>备品备件及供选择的配套零部件清单</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napToGrid w:val="0"/>
        <w:spacing w:line="360" w:lineRule="auto"/>
        <w:ind w:right="1440"/>
        <w:jc w:val="righ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pageBreakBefore/>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19、</w:t>
      </w:r>
      <w:r>
        <w:rPr>
          <w:rFonts w:hint="eastAsia" w:ascii="仿宋_GB2312" w:hAnsi="仿宋_GB2312" w:eastAsia="仿宋_GB2312" w:cs="仿宋_GB2312"/>
          <w:b/>
          <w:color w:val="auto"/>
          <w:kern w:val="0"/>
          <w:sz w:val="32"/>
          <w:szCs w:val="32"/>
          <w:highlight w:val="none"/>
          <w:lang w:val="zh-CN"/>
        </w:rPr>
        <w:t>培训计划</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keepNext/>
        <w:autoSpaceDE w:val="0"/>
        <w:autoSpaceDN w:val="0"/>
        <w:spacing w:line="360" w:lineRule="auto"/>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41"/>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rPr>
          <w:trHeight w:val="764"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_GB2312" w:hAnsi="仿宋_GB2312" w:eastAsia="仿宋_GB2312" w:cs="仿宋_GB2312"/>
                <w:color w:val="auto"/>
                <w:sz w:val="24"/>
                <w:highlight w:val="none"/>
              </w:rPr>
            </w:pPr>
          </w:p>
        </w:tc>
      </w:tr>
      <w:tr>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ascii="仿宋_GB2312" w:hAnsi="仿宋_GB2312" w:eastAsia="仿宋_GB2312" w:cs="仿宋_GB2312"/>
                <w:color w:val="auto"/>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pPr>
        <w:numPr>
          <w:ilvl w:val="0"/>
          <w:numId w:val="8"/>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pageBreakBefore/>
        <w:spacing w:line="360" w:lineRule="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20、验收方案</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spacing w:line="360" w:lineRule="auto"/>
        <w:jc w:val="center"/>
        <w:rPr>
          <w:rFonts w:ascii="仿宋_GB2312" w:hAnsi="仿宋_GB2312" w:eastAsia="仿宋_GB2312" w:cs="仿宋_GB2312"/>
          <w:color w:val="auto"/>
          <w:sz w:val="24"/>
          <w:highlight w:val="none"/>
        </w:rPr>
      </w:pP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jc w:val="center"/>
        <w:rPr>
          <w:rFonts w:ascii="仿宋_GB2312" w:hAnsi="仿宋_GB2312" w:eastAsia="仿宋_GB2312" w:cs="仿宋_GB2312"/>
          <w:b/>
          <w:bCs/>
          <w:color w:val="auto"/>
          <w:sz w:val="30"/>
          <w:szCs w:val="30"/>
          <w:highlight w:val="none"/>
        </w:rPr>
      </w:pPr>
    </w:p>
    <w:p>
      <w:pPr>
        <w:spacing w:line="360" w:lineRule="auto"/>
        <w:jc w:val="center"/>
        <w:rPr>
          <w:rFonts w:ascii="仿宋_GB2312" w:hAnsi="仿宋_GB2312" w:eastAsia="仿宋_GB2312" w:cs="仿宋_GB2312"/>
          <w:b/>
          <w:bCs/>
          <w:color w:val="auto"/>
          <w:sz w:val="30"/>
          <w:szCs w:val="30"/>
          <w:highlight w:val="none"/>
        </w:rPr>
      </w:pPr>
    </w:p>
    <w:p>
      <w:pPr>
        <w:spacing w:line="360" w:lineRule="auto"/>
        <w:jc w:val="center"/>
        <w:rPr>
          <w:rFonts w:ascii="仿宋_GB2312" w:hAnsi="仿宋_GB2312" w:eastAsia="仿宋_GB2312" w:cs="仿宋_GB2312"/>
          <w:b/>
          <w:bCs/>
          <w:color w:val="auto"/>
          <w:sz w:val="24"/>
          <w:highlight w:val="none"/>
        </w:rPr>
      </w:pPr>
    </w:p>
    <w:p>
      <w:pPr>
        <w:spacing w:line="360" w:lineRule="auto"/>
        <w:jc w:val="center"/>
        <w:rPr>
          <w:rFonts w:ascii="仿宋_GB2312" w:hAnsi="仿宋_GB2312" w:eastAsia="仿宋_GB2312" w:cs="仿宋_GB2312"/>
          <w:b/>
          <w:bCs/>
          <w:color w:val="auto"/>
          <w:sz w:val="24"/>
          <w:highlight w:val="none"/>
        </w:rPr>
      </w:pPr>
    </w:p>
    <w:p>
      <w:pPr>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21、认为需要的</w:t>
      </w:r>
      <w:r>
        <w:rPr>
          <w:rFonts w:hint="eastAsia" w:ascii="仿宋_GB2312" w:hAnsi="仿宋_GB2312" w:eastAsia="仿宋_GB2312" w:cs="仿宋_GB2312"/>
          <w:b/>
          <w:color w:val="auto"/>
          <w:kern w:val="0"/>
          <w:sz w:val="32"/>
          <w:szCs w:val="32"/>
          <w:highlight w:val="none"/>
          <w:lang w:val="zh-CN"/>
        </w:rPr>
        <w:t>其他商务技术（资信）文件或说明</w:t>
      </w:r>
    </w:p>
    <w:p>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spacing w:line="360" w:lineRule="auto"/>
        <w:rPr>
          <w:rFonts w:ascii="仿宋_GB2312" w:hAnsi="仿宋_GB2312" w:eastAsia="仿宋_GB2312" w:cs="仿宋_GB2312"/>
          <w:color w:val="auto"/>
          <w:sz w:val="24"/>
          <w:highlight w:val="none"/>
        </w:rPr>
      </w:pPr>
    </w:p>
    <w:p>
      <w:pPr>
        <w:spacing w:line="360" w:lineRule="auto"/>
        <w:ind w:firstLine="480" w:firstLineChars="200"/>
        <w:rPr>
          <w:rFonts w:ascii="仿宋_GB2312" w:hAnsi="仿宋_GB2312" w:eastAsia="仿宋_GB2312" w:cs="仿宋_GB2312"/>
          <w:color w:val="auto"/>
          <w:sz w:val="24"/>
          <w:szCs w:val="20"/>
          <w:highlight w:val="none"/>
        </w:rPr>
      </w:pPr>
    </w:p>
    <w:p>
      <w:pPr>
        <w:snapToGrid w:val="0"/>
        <w:spacing w:line="360" w:lineRule="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投标人 (电子签章)：</w:t>
      </w:r>
    </w:p>
    <w:p>
      <w:pPr>
        <w:snapToGrid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法定代表人或其授权代表(签字或盖章)：</w:t>
      </w:r>
    </w:p>
    <w:p>
      <w:pPr>
        <w:snapToGrid w:val="0"/>
        <w:spacing w:line="360" w:lineRule="auto"/>
        <w:ind w:firstLine="5160" w:firstLineChars="215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 xml:space="preserve">：  年  </w:t>
      </w:r>
      <w:r>
        <w:rPr>
          <w:rFonts w:hint="eastAsia" w:ascii="仿宋_GB2312" w:hAnsi="仿宋_GB2312" w:eastAsia="仿宋_GB2312" w:cs="仿宋_GB2312"/>
          <w:color w:val="auto"/>
          <w:kern w:val="0"/>
          <w:sz w:val="24"/>
          <w:highlight w:val="none"/>
          <w:lang w:val="zh-CN"/>
        </w:rPr>
        <w:t>月日</w:t>
      </w: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ascii="仿宋_GB2312" w:hAnsi="仿宋_GB2312" w:eastAsia="仿宋_GB2312" w:cs="仿宋_GB2312"/>
          <w:color w:val="auto"/>
          <w:kern w:val="0"/>
          <w:sz w:val="24"/>
          <w:highlight w:val="none"/>
          <w:lang w:val="zh-CN"/>
        </w:rPr>
      </w:pPr>
    </w:p>
    <w:p>
      <w:pPr>
        <w:spacing w:line="360" w:lineRule="auto"/>
        <w:rPr>
          <w:rFonts w:hint="eastAsia" w:ascii="仿宋_GB2312" w:hAnsi="仿宋_GB2312" w:eastAsia="仿宋_GB2312" w:cs="仿宋_GB2312"/>
          <w:b/>
          <w:color w:val="auto"/>
          <w:kern w:val="0"/>
          <w:sz w:val="32"/>
          <w:szCs w:val="32"/>
          <w:highlight w:val="none"/>
          <w:lang w:val="zh-CN"/>
        </w:rPr>
      </w:pPr>
    </w:p>
    <w:p>
      <w:pPr>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color w:val="auto"/>
          <w:kern w:val="0"/>
          <w:sz w:val="32"/>
          <w:szCs w:val="32"/>
          <w:highlight w:val="none"/>
          <w:lang w:val="zh-CN"/>
        </w:rPr>
        <w:t>22、联合协议</w:t>
      </w:r>
    </w:p>
    <w:p>
      <w:pPr>
        <w:widowControl/>
        <w:spacing w:line="360" w:lineRule="auto"/>
        <w:ind w:firstLine="482" w:firstLineChars="200"/>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rPr>
        <w:t>提供的全部货物由小微企业制造，其合同份额占到合同总金额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，对联合体报价给予</w:t>
      </w:r>
      <w:r>
        <w:rPr>
          <w:rFonts w:ascii="仿宋_GB2312" w:hAnsi="仿宋" w:eastAsia="仿宋_GB2312" w:cs="仿宋_GB2312"/>
          <w:b/>
          <w:color w:val="auto"/>
          <w:kern w:val="0"/>
          <w:sz w:val="24"/>
          <w:highlight w:val="none"/>
          <w:lang w:val="zh-CN"/>
        </w:rPr>
        <w:t>3%的扣除</w:t>
      </w:r>
      <w:r>
        <w:rPr>
          <w:rFonts w:hint="eastAsia" w:ascii="仿宋_GB2312" w:hAnsi="仿宋" w:eastAsia="仿宋_GB2312" w:cs="仿宋_GB2312"/>
          <w:b/>
          <w:color w:val="auto"/>
          <w:kern w:val="0"/>
          <w:sz w:val="24"/>
          <w:highlight w:val="none"/>
          <w:lang w:val="zh-CN"/>
        </w:rPr>
        <w:t>，</w:t>
      </w:r>
      <w:r>
        <w:rPr>
          <w:rFonts w:ascii="仿宋_GB2312" w:hAnsi="仿宋" w:eastAsia="仿宋_GB2312" w:cs="仿宋_GB2312"/>
          <w:b/>
          <w:color w:val="auto"/>
          <w:kern w:val="0"/>
          <w:sz w:val="24"/>
          <w:highlight w:val="none"/>
          <w:lang w:val="zh-CN"/>
        </w:rPr>
        <w:t>须提供</w:t>
      </w:r>
      <w:r>
        <w:rPr>
          <w:rFonts w:hint="eastAsia" w:ascii="仿宋_GB2312" w:hAnsi="仿宋" w:eastAsia="仿宋_GB2312" w:cs="仿宋_GB2312"/>
          <w:b/>
          <w:color w:val="auto"/>
          <w:kern w:val="0"/>
          <w:sz w:val="24"/>
          <w:highlight w:val="none"/>
          <w:lang w:val="zh-CN"/>
        </w:rPr>
        <w:t>《</w:t>
      </w:r>
      <w:r>
        <w:rPr>
          <w:rFonts w:ascii="仿宋_GB2312" w:hAnsi="仿宋" w:eastAsia="仿宋_GB2312" w:cs="仿宋_GB2312"/>
          <w:b/>
          <w:color w:val="auto"/>
          <w:kern w:val="0"/>
          <w:sz w:val="24"/>
          <w:highlight w:val="none"/>
          <w:lang w:val="zh-CN"/>
        </w:rPr>
        <w:t>中小企业声明函</w:t>
      </w:r>
      <w:r>
        <w:rPr>
          <w:rFonts w:hint="eastAsia" w:ascii="仿宋_GB2312" w:hAnsi="仿宋" w:eastAsia="仿宋_GB2312" w:cs="仿宋_GB2312"/>
          <w:b/>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w:t>
      </w:r>
      <w:r>
        <w:rPr>
          <w:rFonts w:hint="eastAsia" w:ascii="仿宋_GB2312" w:hAnsi="仿宋_GB2312" w:eastAsia="仿宋_GB2312" w:cs="仿宋_GB2312"/>
          <w:color w:val="auto"/>
          <w:kern w:val="0"/>
          <w:sz w:val="24"/>
          <w:highlight w:val="none"/>
          <w:lang w:val="zh-CN"/>
        </w:rPr>
        <w:t>电子签章</w:t>
      </w:r>
      <w:r>
        <w:rPr>
          <w:rFonts w:ascii="仿宋_GB2312" w:hAnsi="仿宋" w:eastAsia="仿宋_GB2312" w:cs="仿宋_GB2312"/>
          <w:color w:val="auto"/>
          <w:kern w:val="0"/>
          <w:sz w:val="24"/>
          <w:highlight w:val="none"/>
          <w:lang w:val="zh-CN"/>
        </w:rPr>
        <w:t>/公章)：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snapToGrid w:val="0"/>
        <w:spacing w:line="360" w:lineRule="auto"/>
        <w:ind w:right="480"/>
        <w:rPr>
          <w:rFonts w:ascii="仿宋_GB2312" w:hAnsi="仿宋" w:eastAsia="仿宋_GB2312" w:cs="仿宋_GB2312"/>
          <w:b/>
          <w:color w:val="auto"/>
          <w:kern w:val="0"/>
          <w:sz w:val="32"/>
          <w:szCs w:val="32"/>
          <w:highlight w:val="none"/>
          <w:lang w:val="zh-CN"/>
        </w:rPr>
        <w:sectPr>
          <w:headerReference r:id="rId5" w:type="first"/>
          <w:footerReference r:id="rId7" w:type="first"/>
          <w:footerReference r:id="rId6" w:type="default"/>
          <w:pgSz w:w="11906" w:h="16838"/>
          <w:pgMar w:top="1276" w:right="1418" w:bottom="1247" w:left="1418" w:header="851" w:footer="992" w:gutter="0"/>
          <w:cols w:space="720" w:num="1"/>
          <w:titlePg/>
          <w:docGrid w:linePitch="312" w:charSpace="0"/>
        </w:sectPr>
      </w:pPr>
    </w:p>
    <w:p>
      <w:pPr>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color w:val="auto"/>
          <w:kern w:val="0"/>
          <w:sz w:val="32"/>
          <w:szCs w:val="32"/>
          <w:highlight w:val="none"/>
          <w:lang w:val="zh-CN"/>
        </w:rPr>
        <w:t>23、分包意向协议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snapToGrid w:val="0"/>
        <w:spacing w:line="360" w:lineRule="auto"/>
        <w:ind w:firstLine="576"/>
        <w:rPr>
          <w:color w:val="auto"/>
          <w:highlight w:val="none"/>
        </w:rPr>
      </w:pPr>
      <w:r>
        <w:rPr>
          <w:rFonts w:hint="eastAsia" w:cs="仿宋_GB2312"/>
          <w:color w:val="auto"/>
          <w:kern w:val="0"/>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u w:val="single"/>
        </w:rPr>
        <w:t>（分包供应商名称）提供的货物全部由小微企业制造，</w:t>
      </w:r>
      <w:r>
        <w:rPr>
          <w:rFonts w:hint="eastAsia" w:ascii="仿宋_GB2312" w:hAnsi="仿宋" w:eastAsia="仿宋_GB2312" w:cs="仿宋_GB2312"/>
          <w:color w:val="auto"/>
          <w:kern w:val="0"/>
          <w:sz w:val="24"/>
          <w:highlight w:val="none"/>
        </w:rPr>
        <w:t>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olor w:val="auto"/>
          <w:highlight w:val="none"/>
        </w:rPr>
        <w:t>。</w:t>
      </w:r>
      <w:r>
        <w:rPr>
          <w:rFonts w:hint="eastAsia" w:ascii="仿宋_GB2312" w:hAnsi="仿宋" w:eastAsia="仿宋_GB2312" w:cs="仿宋_GB2312"/>
          <w:b/>
          <w:color w:val="auto"/>
          <w:kern w:val="0"/>
          <w:sz w:val="24"/>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的，对大中型企业的报价给予</w:t>
      </w:r>
      <w:r>
        <w:rPr>
          <w:rFonts w:ascii="仿宋_GB2312" w:hAnsi="仿宋" w:eastAsia="仿宋_GB2312" w:cs="仿宋_GB2312"/>
          <w:b/>
          <w:color w:val="auto"/>
          <w:kern w:val="0"/>
          <w:sz w:val="24"/>
          <w:highlight w:val="none"/>
          <w:lang w:val="zh-CN"/>
        </w:rPr>
        <w:t>3%的扣除</w:t>
      </w:r>
      <w:r>
        <w:rPr>
          <w:rFonts w:hint="eastAsia" w:ascii="仿宋_GB2312" w:hAnsi="仿宋" w:eastAsia="仿宋_GB2312" w:cs="仿宋_GB2312"/>
          <w:b/>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投标人名称(</w:t>
      </w:r>
      <w:r>
        <w:rPr>
          <w:rFonts w:hint="eastAsia" w:ascii="仿宋_GB2312" w:hAnsi="仿宋_GB2312" w:eastAsia="仿宋_GB2312" w:cs="仿宋_GB2312"/>
          <w:color w:val="auto"/>
          <w:kern w:val="0"/>
          <w:sz w:val="24"/>
          <w:highlight w:val="none"/>
          <w:lang w:val="zh-CN"/>
        </w:rPr>
        <w:t>电子签章</w:t>
      </w:r>
      <w:r>
        <w:rPr>
          <w:rFonts w:ascii="仿宋_GB2312" w:hAnsi="仿宋" w:eastAsia="仿宋_GB2312" w:cs="仿宋_GB2312"/>
          <w:color w:val="auto"/>
          <w:kern w:val="0"/>
          <w:sz w:val="24"/>
          <w:highlight w:val="none"/>
          <w:lang w:val="zh-CN"/>
        </w:rPr>
        <w:t>)：</w:t>
      </w:r>
    </w:p>
    <w:p>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pageBreakBefore/>
        <w:spacing w:line="360" w:lineRule="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color w:val="auto"/>
          <w:kern w:val="0"/>
          <w:sz w:val="32"/>
          <w:szCs w:val="32"/>
          <w:highlight w:val="none"/>
          <w:lang w:val="zh-CN"/>
        </w:rPr>
        <w:t>24、落实政府采购政策需满足的资格要求</w:t>
      </w:r>
    </w:p>
    <w:p>
      <w:pPr>
        <w:spacing w:line="440" w:lineRule="exact"/>
        <w:rPr>
          <w:rFonts w:ascii="仿宋_GB2312" w:hAnsi="仿宋" w:eastAsia="仿宋_GB2312"/>
          <w:b/>
          <w:color w:val="auto"/>
          <w:sz w:val="24"/>
          <w:highlight w:val="none"/>
        </w:rPr>
      </w:pPr>
      <w:r>
        <w:rPr>
          <w:rFonts w:hint="eastAsia" w:ascii="仿宋_GB2312" w:hAnsi="仿宋" w:eastAsia="仿宋_GB2312" w:cs="仿宋_GB2312"/>
          <w:b/>
          <w:color w:val="auto"/>
          <w:sz w:val="24"/>
          <w:highlight w:val="none"/>
        </w:rPr>
        <w:t>（根据招标公告</w:t>
      </w:r>
      <w:r>
        <w:rPr>
          <w:rFonts w:hint="eastAsia" w:ascii="仿宋_GB2312" w:hAnsi="仿宋" w:eastAsia="仿宋_GB2312"/>
          <w:b/>
          <w:color w:val="auto"/>
          <w:sz w:val="24"/>
          <w:highlight w:val="none"/>
        </w:rPr>
        <w:t>落实政府采购政策需满足的资格要求选择提供相应的材料；未要求的，无需提供</w:t>
      </w:r>
      <w:r>
        <w:rPr>
          <w:rFonts w:hint="eastAsia" w:ascii="仿宋_GB2312" w:hAnsi="仿宋" w:eastAsia="仿宋_GB2312" w:cs="仿宋_GB2312"/>
          <w:b/>
          <w:color w:val="auto"/>
          <w:sz w:val="24"/>
          <w:highlight w:val="none"/>
        </w:rPr>
        <w:t>）</w:t>
      </w:r>
    </w:p>
    <w:p>
      <w:pPr>
        <w:snapToGrid w:val="0"/>
        <w:spacing w:line="440" w:lineRule="exact"/>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A</w:t>
      </w:r>
      <w:r>
        <w:rPr>
          <w:rFonts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rPr>
        <w:t>专门面向中小企业，货物全部由符合政策要求的中小企业（或小微企业）制造或者服务全部由符合政策要求的中小企业（或小微企业）承接的，提供相应的</w:t>
      </w:r>
      <w:r>
        <w:rPr>
          <w:rFonts w:hint="eastAsia" w:ascii="仿宋_GB2312" w:hAnsi="仿宋" w:eastAsia="仿宋_GB2312" w:cs="仿宋_GB2312"/>
          <w:b/>
          <w:color w:val="auto"/>
          <w:sz w:val="24"/>
          <w:highlight w:val="none"/>
        </w:rPr>
        <w:t>中小企业声明函</w:t>
      </w:r>
      <w:r>
        <w:rPr>
          <w:rFonts w:hint="eastAsia" w:ascii="仿宋_GB2312" w:hAnsi="仿宋" w:eastAsia="仿宋_GB2312" w:cs="仿宋_GB2312"/>
          <w:color w:val="auto"/>
          <w:sz w:val="24"/>
          <w:highlight w:val="none"/>
        </w:rPr>
        <w:t>（附件）。</w:t>
      </w:r>
      <w:r>
        <w:rPr>
          <w:rFonts w:ascii="仿宋_GB2312" w:hAnsi="仿宋" w:eastAsia="仿宋_GB2312" w:cs="仿宋_GB2312"/>
          <w:color w:val="auto"/>
          <w:sz w:val="24"/>
          <w:highlight w:val="none"/>
        </w:rPr>
        <w:t xml:space="preserve"> </w:t>
      </w:r>
    </w:p>
    <w:p>
      <w:pPr>
        <w:widowControl/>
        <w:spacing w:line="440" w:lineRule="exact"/>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B.</w:t>
      </w:r>
      <w:r>
        <w:rPr>
          <w:rFonts w:hint="eastAsia" w:ascii="仿宋_GB2312" w:hAnsi="仿宋" w:eastAsia="仿宋_GB2312" w:cs="仿宋_GB2312"/>
          <w:color w:val="auto"/>
          <w:sz w:val="24"/>
          <w:highlight w:val="none"/>
        </w:rPr>
        <w:t>要求以联合体形式参加的，提供联合协议和</w:t>
      </w:r>
      <w:r>
        <w:rPr>
          <w:rFonts w:hint="eastAsia" w:ascii="仿宋_GB2312" w:hAnsi="仿宋" w:eastAsia="仿宋_GB2312" w:cs="仿宋_GB2312"/>
          <w:b/>
          <w:color w:val="auto"/>
          <w:sz w:val="24"/>
          <w:highlight w:val="none"/>
        </w:rPr>
        <w:t>中小企业声明函</w:t>
      </w:r>
      <w:r>
        <w:rPr>
          <w:rFonts w:hint="eastAsia" w:ascii="仿宋_GB2312" w:hAnsi="仿宋" w:eastAsia="仿宋_GB2312" w:cs="仿宋_GB2312"/>
          <w:color w:val="auto"/>
          <w:sz w:val="24"/>
          <w:highlight w:val="none"/>
        </w:rPr>
        <w:t>（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adjustRightInd w:val="0"/>
        <w:snapToGrid w:val="0"/>
        <w:spacing w:before="50" w:after="50" w:line="360" w:lineRule="auto"/>
        <w:jc w:val="center"/>
        <w:rPr>
          <w:rFonts w:ascii="仿宋_GB2312" w:hAnsi="仿宋" w:eastAsia="仿宋_GB2312" w:cs="仿宋_GB2312"/>
          <w:b/>
          <w:color w:val="auto"/>
          <w:kern w:val="0"/>
          <w:sz w:val="32"/>
          <w:szCs w:val="32"/>
          <w:highlight w:val="none"/>
          <w:lang w:val="zh-CN"/>
        </w:rPr>
      </w:pPr>
    </w:p>
    <w:p>
      <w:pPr>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br w:type="page"/>
      </w:r>
    </w:p>
    <w:p>
      <w:pPr>
        <w:adjustRightInd w:val="0"/>
        <w:snapToGrid w:val="0"/>
        <w:spacing w:before="50" w:after="50" w:line="360" w:lineRule="auto"/>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联合协议</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jc w:val="center"/>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 xml:space="preserve">  年</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 xml:space="preserve">  月 </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 xml:space="preserve">  日</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82" w:firstLineChars="200"/>
        <w:rPr>
          <w:rFonts w:ascii="仿宋_GB2312" w:hAnsi="仿宋" w:eastAsia="仿宋_GB2312" w:cs="仿宋_GB2312"/>
          <w:b/>
          <w:color w:val="auto"/>
          <w:sz w:val="24"/>
          <w:highlight w:val="none"/>
        </w:rPr>
      </w:pPr>
    </w:p>
    <w:p>
      <w:pPr>
        <w:spacing w:line="360" w:lineRule="auto"/>
        <w:ind w:firstLine="482" w:firstLineChars="200"/>
        <w:rPr>
          <w:rFonts w:ascii="仿宋_GB2312" w:hAnsi="仿宋" w:eastAsia="仿宋_GB2312" w:cs="仿宋_GB2312"/>
          <w:b/>
          <w:color w:val="auto"/>
          <w:sz w:val="24"/>
          <w:highlight w:val="none"/>
        </w:rPr>
      </w:pPr>
    </w:p>
    <w:p>
      <w:pPr>
        <w:spacing w:line="360" w:lineRule="auto"/>
        <w:ind w:firstLine="482" w:firstLineChars="200"/>
        <w:rPr>
          <w:rFonts w:ascii="仿宋_GB2312" w:hAnsi="仿宋" w:eastAsia="仿宋_GB2312" w:cs="仿宋_GB2312"/>
          <w:b/>
          <w:color w:val="auto"/>
          <w:sz w:val="24"/>
          <w:highlight w:val="none"/>
        </w:rPr>
      </w:pPr>
    </w:p>
    <w:p>
      <w:pPr>
        <w:pageBreakBefore/>
        <w:spacing w:line="360" w:lineRule="auto"/>
        <w:ind w:firstLine="482" w:firstLineChars="200"/>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sz w:val="24"/>
          <w:highlight w:val="none"/>
        </w:rPr>
        <w:t>C、</w:t>
      </w:r>
      <w:r>
        <w:rPr>
          <w:rFonts w:hint="eastAsia" w:ascii="仿宋_GB2312" w:hAnsi="仿宋" w:eastAsia="仿宋_GB2312" w:cs="仿宋_GB2312"/>
          <w:color w:val="auto"/>
          <w:sz w:val="24"/>
          <w:highlight w:val="none"/>
        </w:rPr>
        <w:t>要求合同分包的，提供分包意向协议和</w:t>
      </w:r>
      <w:r>
        <w:rPr>
          <w:rFonts w:hint="eastAsia" w:ascii="仿宋_GB2312" w:hAnsi="仿宋" w:eastAsia="仿宋_GB2312" w:cs="仿宋_GB2312"/>
          <w:b/>
          <w:color w:val="auto"/>
          <w:sz w:val="24"/>
          <w:highlight w:val="none"/>
        </w:rPr>
        <w:t>中小企业声明函（附件）</w:t>
      </w:r>
      <w:r>
        <w:rPr>
          <w:rFonts w:hint="eastAsia" w:ascii="仿宋_GB2312" w:hAnsi="仿宋" w:eastAsia="仿宋_GB2312" w:cs="仿宋_GB2312"/>
          <w:color w:val="auto"/>
          <w:sz w:val="24"/>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w:t>
      </w:r>
      <w:r>
        <w:rPr>
          <w:rFonts w:hint="eastAsia" w:ascii="仿宋_GB2312" w:hAnsi="仿宋" w:eastAsia="仿宋_GB2312" w:cs="仿宋_GB2312"/>
          <w:color w:val="auto"/>
          <w:kern w:val="0"/>
          <w:sz w:val="24"/>
          <w:highlight w:val="none"/>
          <w:lang w:val="zh-CN"/>
        </w:rPr>
        <w:t>应商名称），具备承担</w:t>
      </w:r>
      <w:r>
        <w:rPr>
          <w:rFonts w:ascii="仿宋_GB2312" w:hAnsi="仿宋" w:eastAsia="仿宋_GB2312" w:cs="仿宋_GB2312"/>
          <w:color w:val="auto"/>
          <w:kern w:val="0"/>
          <w:sz w:val="24"/>
          <w:highlight w:val="non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snapToGrid w:val="0"/>
        <w:spacing w:line="360" w:lineRule="auto"/>
        <w:ind w:firstLine="964" w:firstLineChars="400"/>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left="5758" w:leftChars="342" w:hanging="5040" w:hangingChars="2100"/>
        <w:rPr>
          <w:rFonts w:ascii="仿宋_GB2312" w:hAnsi="仿宋" w:eastAsia="仿宋_GB2312" w:cs="仿宋_GB2312"/>
          <w:color w:val="auto"/>
          <w:kern w:val="0"/>
          <w:sz w:val="24"/>
          <w:highlight w:val="none"/>
          <w:lang w:val="zh-CN"/>
        </w:rPr>
      </w:pP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ascii="仿宋_GB2312" w:hAnsi="仿宋" w:eastAsia="仿宋_GB2312" w:cs="仿宋_GB2312"/>
          <w:color w:val="auto"/>
          <w:kern w:val="0"/>
          <w:sz w:val="24"/>
          <w:highlight w:val="none"/>
          <w:lang w:val="zh-CN"/>
        </w:rPr>
        <w:t xml:space="preserve">  。                                         投标人名称(电子签名)：</w:t>
      </w:r>
    </w:p>
    <w:p>
      <w:pPr>
        <w:snapToGrid w:val="0"/>
        <w:spacing w:line="360" w:lineRule="auto"/>
        <w:ind w:firstLine="5880" w:firstLineChars="24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ind w:firstLine="6000" w:firstLineChars="2500"/>
        <w:rPr>
          <w:color w:val="auto"/>
          <w:highlight w:val="none"/>
        </w:rPr>
      </w:pPr>
      <w:r>
        <w:rPr>
          <w:rFonts w:hint="eastAsia" w:ascii="仿宋_GB2312" w:hAnsi="仿宋" w:eastAsia="仿宋_GB2312" w:cs="仿宋_GB2312"/>
          <w:color w:val="auto"/>
          <w:kern w:val="0"/>
          <w:sz w:val="24"/>
          <w:highlight w:val="none"/>
          <w:lang w:val="zh-CN"/>
        </w:rPr>
        <w:t>……</w:t>
      </w:r>
    </w:p>
    <w:p>
      <w:pPr>
        <w:spacing w:line="360" w:lineRule="auto"/>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w:t>
      </w:r>
      <w:r>
        <w:rPr>
          <w:rFonts w:hint="eastAsia"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lang w:val="zh-CN"/>
        </w:rPr>
        <w:t xml:space="preserve">  月   日</w:t>
      </w:r>
    </w:p>
    <w:p>
      <w:pPr>
        <w:pageBreakBefore/>
        <w:jc w:val="center"/>
        <w:rPr>
          <w:rFonts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业务专用章使用说明函</w:t>
      </w:r>
    </w:p>
    <w:p>
      <w:pPr>
        <w:spacing w:line="360" w:lineRule="auto"/>
        <w:rPr>
          <w:rFonts w:ascii="仿宋" w:hAnsi="仿宋" w:eastAsia="仿宋" w:cs="仿宋_GB2312"/>
          <w:color w:val="auto"/>
          <w:sz w:val="24"/>
          <w:highlight w:val="none"/>
          <w:u w:val="single"/>
        </w:rPr>
      </w:pPr>
    </w:p>
    <w:p>
      <w:pPr>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u w:val="single"/>
        </w:rPr>
        <w:t>（采购人）、（采购代理机构）</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仿宋_GB2312"/>
          <w:color w:val="auto"/>
          <w:kern w:val="0"/>
          <w:sz w:val="24"/>
          <w:highlight w:val="none"/>
          <w:lang w:val="zh-CN"/>
        </w:rPr>
        <w:t>我方</w:t>
      </w:r>
      <w:r>
        <w:rPr>
          <w:rFonts w:ascii="仿宋" w:hAnsi="仿宋" w:eastAsia="仿宋" w:cs="仿宋_GB2312"/>
          <w:color w:val="auto"/>
          <w:kern w:val="0"/>
          <w:sz w:val="24"/>
          <w:highlight w:val="none"/>
          <w:u w:val="single"/>
          <w:lang w:val="zh-CN"/>
        </w:rPr>
        <w:t xml:space="preserve">                         </w:t>
      </w:r>
      <w:r>
        <w:rPr>
          <w:rFonts w:ascii="仿宋" w:hAnsi="仿宋" w:eastAsia="仿宋" w:cs="仿宋_GB2312"/>
          <w:color w:val="auto"/>
          <w:sz w:val="24"/>
          <w:highlight w:val="none"/>
        </w:rPr>
        <w:t>(投标人全称)</w:t>
      </w:r>
      <w:r>
        <w:rPr>
          <w:rFonts w:hint="eastAsia" w:ascii="仿宋" w:hAnsi="仿宋" w:eastAsia="仿宋"/>
          <w:color w:val="auto"/>
          <w:sz w:val="24"/>
          <w:highlight w:val="none"/>
        </w:rPr>
        <w:t>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仿宋_GB2312"/>
          <w:color w:val="auto"/>
          <w:sz w:val="24"/>
          <w:highlight w:val="none"/>
        </w:rPr>
        <w:t>你方组织的</w:t>
      </w:r>
      <w:r>
        <w:rPr>
          <w:rFonts w:hint="eastAsia" w:ascii="仿宋_GB2312" w:hAnsi="仿宋" w:eastAsia="仿宋_GB2312" w:cs="仿宋_GB2312"/>
          <w:color w:val="auto"/>
          <w:sz w:val="24"/>
          <w:highlight w:val="none"/>
        </w:rPr>
        <w:t>（项目名称）项目</w:t>
      </w:r>
      <w:r>
        <w:rPr>
          <w:rFonts w:hint="eastAsia" w:ascii="仿宋" w:hAnsi="仿宋" w:eastAsia="仿宋" w:cs="仿宋_GB2312"/>
          <w:color w:val="auto"/>
          <w:sz w:val="24"/>
          <w:highlight w:val="none"/>
        </w:rPr>
        <w:t>【招标编号：（采购编号）</w:t>
      </w:r>
      <w:r>
        <w:rPr>
          <w:rFonts w:ascii="仿宋" w:hAnsi="仿宋" w:eastAsia="仿宋" w:cs="仿宋_GB2312"/>
          <w:color w:val="auto"/>
          <w:sz w:val="24"/>
          <w:highlight w:val="none"/>
        </w:rPr>
        <w:t>】</w:t>
      </w:r>
      <w:r>
        <w:rPr>
          <w:rFonts w:hint="eastAsia" w:ascii="仿宋" w:hAnsi="仿宋" w:eastAsia="仿宋" w:cs="宋体"/>
          <w:bCs/>
          <w:color w:val="auto"/>
          <w:sz w:val="24"/>
          <w:highlight w:val="none"/>
        </w:rPr>
        <w:t>投标活动中作如下说明：</w:t>
      </w:r>
      <w:r>
        <w:rPr>
          <w:rFonts w:hint="eastAsia" w:ascii="仿宋" w:hAnsi="仿宋" w:eastAsia="仿宋" w:cs="宋体"/>
          <w:color w:val="auto"/>
          <w:sz w:val="24"/>
          <w:highlight w:val="none"/>
        </w:rPr>
        <w:t>我方所使用的“</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专用章”与法定名称章具有同等的法律效力，对使用“</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专用章”的行为予以完全承认，并愿意承担相应责任。</w:t>
      </w:r>
      <w:r>
        <w:rPr>
          <w:rFonts w:ascii="仿宋" w:hAnsi="仿宋" w:eastAsia="仿宋" w:cs="宋体"/>
          <w:color w:val="auto"/>
          <w:sz w:val="24"/>
          <w:highlight w:val="none"/>
        </w:rPr>
        <w:t xml:space="preserve">   </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right="480"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rPr>
        <w:t>投标单位（法定名称章）：</w:t>
      </w:r>
    </w:p>
    <w:p>
      <w:pPr>
        <w:ind w:right="1440" w:firstLine="494"/>
        <w:jc w:val="center"/>
        <w:rPr>
          <w:rFonts w:ascii="仿宋" w:hAnsi="仿宋" w:eastAsia="仿宋" w:cs="宋体"/>
          <w:color w:val="auto"/>
          <w:sz w:val="24"/>
          <w:highlight w:val="none"/>
        </w:rPr>
      </w:pPr>
      <w:r>
        <w:rPr>
          <w:rFonts w:ascii="仿宋" w:hAnsi="仿宋" w:eastAsia="仿宋" w:cs="宋体"/>
          <w:color w:val="auto"/>
          <w:sz w:val="24"/>
          <w:highlight w:val="none"/>
        </w:rPr>
        <w:t xml:space="preserve">                              日期：      年     月    日</w:t>
      </w:r>
    </w:p>
    <w:p>
      <w:pPr>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pPr>
        <w:spacing w:line="360" w:lineRule="auto"/>
        <w:rPr>
          <w:rFonts w:ascii="仿宋" w:hAnsi="仿宋" w:eastAsia="仿宋"/>
          <w:bCs/>
          <w:color w:val="auto"/>
          <w:sz w:val="24"/>
          <w:highlight w:val="none"/>
        </w:rPr>
      </w:pPr>
      <w:r>
        <w:rPr>
          <w:rFonts w:ascii="仿宋" w:hAnsi="仿宋" w:eastAsia="仿宋"/>
          <w:b/>
          <w:bCs/>
          <w:color w:val="auto"/>
          <w:sz w:val="24"/>
          <w:highlight w:val="none"/>
        </w:rPr>
        <w:pict>
          <v:rect id="Rectangle 17" o:spid="_x0000_s2052" o:spt="1" style="position:absolute;left:0pt;margin-left:238.9pt;margin-top:28.05pt;height:177.45pt;width:212.95pt;z-index:-251657216;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">
            <v:path/>
            <v:fill focussize="0,0"/>
            <v:stroke miterlimit="2"/>
            <v:imagedata o:title=""/>
            <o:lock v:ext="edit"/>
          </v:rect>
        </w:pict>
      </w:r>
      <w:r>
        <w:rPr>
          <w:rFonts w:ascii="仿宋" w:hAnsi="仿宋" w:eastAsia="仿宋"/>
          <w:b/>
          <w:bCs/>
          <w:color w:val="auto"/>
          <w:sz w:val="24"/>
          <w:highlight w:val="none"/>
        </w:rPr>
        <w:pict>
          <v:rect id="Rectangle 16" o:spid="_x0000_s2051" o:spt="1" style="position:absolute;left:0pt;margin-left:-7.2pt;margin-top:30.3pt;height:177.45pt;width:208.5pt;z-index:-251656192;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">
            <v:path/>
            <v:fill focussize="0,0"/>
            <v:stroke miterlimit="2"/>
            <v:imagedata o:title=""/>
            <o:lock v:ext="edit"/>
          </v:rect>
        </w:pict>
      </w:r>
      <w:r>
        <w:rPr>
          <w:rFonts w:hint="eastAsia" w:ascii="仿宋" w:hAnsi="仿宋" w:eastAsia="仿宋" w:cs="宋体"/>
          <w:color w:val="auto"/>
          <w:sz w:val="24"/>
          <w:highlight w:val="none"/>
        </w:rPr>
        <w:t>投标单位法定名称章（印模）</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投标单位“</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专用章”（印模）</w:t>
      </w: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jc w:val="center"/>
        <w:rPr>
          <w:rFonts w:ascii="仿宋" w:hAnsi="仿宋" w:eastAsia="仿宋" w:cs="仿宋"/>
          <w:b/>
          <w:bCs/>
          <w:color w:val="auto"/>
          <w:sz w:val="44"/>
          <w:szCs w:val="44"/>
          <w:highlight w:val="none"/>
        </w:rPr>
      </w:pPr>
    </w:p>
    <w:p>
      <w:pPr>
        <w:pageBreakBefore/>
        <w:rPr>
          <w:rFonts w:ascii="仿宋_GB2312" w:eastAsia="仿宋_GB2312"/>
          <w:b/>
          <w:color w:val="auto"/>
          <w:sz w:val="32"/>
          <w:szCs w:val="32"/>
          <w:highlight w:val="none"/>
        </w:rPr>
      </w:pPr>
      <w:r>
        <w:rPr>
          <w:rFonts w:hint="eastAsia" w:ascii="仿宋_GB2312" w:eastAsia="仿宋_GB2312"/>
          <w:b/>
          <w:color w:val="auto"/>
          <w:sz w:val="32"/>
          <w:szCs w:val="32"/>
          <w:highlight w:val="none"/>
        </w:rPr>
        <w:t>中小企业声明函</w:t>
      </w:r>
    </w:p>
    <w:p>
      <w:pPr>
        <w:rPr>
          <w:rFonts w:ascii="仿宋_GB2312" w:eastAsia="仿宋_GB2312"/>
          <w:b/>
          <w:color w:val="auto"/>
          <w:sz w:val="32"/>
          <w:szCs w:val="32"/>
          <w:highlight w:val="none"/>
        </w:rPr>
      </w:pPr>
      <w:r>
        <w:rPr>
          <w:rFonts w:hint="eastAsia" w:ascii="仿宋_GB2312" w:hAnsi="仿宋" w:eastAsia="仿宋_GB2312" w:cs="仿宋_GB2312"/>
          <w:b/>
          <w:color w:val="auto"/>
          <w:sz w:val="24"/>
          <w:highlight w:val="none"/>
        </w:rPr>
        <w:t xml:space="preserve"> [为落实政府采购政策，符合《政府采购促进中小企业发展管理办法》和《浙江省财政厅关于进一步发挥政府采购政策功能全力推动经济稳进提质的通知》规定的中小微企业拟享受扶持政策的，需提供中小企业声明函</w:t>
      </w:r>
      <w:r>
        <w:rPr>
          <w:rFonts w:ascii="仿宋_GB2312" w:hAnsi="仿宋" w:eastAsia="仿宋_GB2312" w:cs="仿宋_GB2312"/>
          <w:b/>
          <w:color w:val="auto"/>
          <w:sz w:val="24"/>
          <w:highlight w:val="none"/>
        </w:rPr>
        <w:t>。</w:t>
      </w:r>
      <w:r>
        <w:rPr>
          <w:rFonts w:hint="eastAsia" w:ascii="仿宋_GB2312" w:hAnsi="仿宋" w:eastAsia="仿宋_GB2312" w:cs="仿宋_GB2312"/>
          <w:b/>
          <w:color w:val="auto"/>
          <w:sz w:val="24"/>
          <w:highlight w:val="none"/>
        </w:rPr>
        <w:t>]</w:t>
      </w:r>
    </w:p>
    <w:p>
      <w:pPr>
        <w:pageBreakBefore/>
        <w:rPr>
          <w:rFonts w:ascii="仿宋_GB2312" w:hAnsi="仿宋_GB2312" w:eastAsia="仿宋_GB2312" w:cs="仿宋_GB2312"/>
          <w:b/>
          <w:color w:val="auto"/>
          <w:sz w:val="32"/>
          <w:szCs w:val="32"/>
          <w:highlight w:val="none"/>
        </w:rPr>
      </w:pPr>
    </w:p>
    <w:p>
      <w:pPr>
        <w:jc w:val="center"/>
        <w:rPr>
          <w:rFonts w:ascii="仿宋_GB2312" w:hAnsi="仿宋_GB2312" w:eastAsia="仿宋_GB2312" w:cs="仿宋_GB2312"/>
          <w:b/>
          <w:color w:val="auto"/>
          <w:sz w:val="32"/>
          <w:highlight w:val="none"/>
        </w:rPr>
      </w:pPr>
      <w:r>
        <w:rPr>
          <w:rFonts w:hint="eastAsia" w:ascii="仿宋_GB2312" w:hAnsi="仿宋_GB2312" w:eastAsia="仿宋_GB2312" w:cs="仿宋_GB2312"/>
          <w:b/>
          <w:color w:val="auto"/>
          <w:sz w:val="32"/>
          <w:highlight w:val="none"/>
        </w:rPr>
        <w:t>中小企业声明函（货物）</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本公司（联合体）郑重声明，根据《政府采购促进中小企业发展管理办法》 （财库</w:t>
      </w:r>
      <w:r>
        <w:rPr>
          <w:rFonts w:hint="eastAsia" w:ascii="宋体" w:hAnsi="宋体" w:cs="宋体"/>
          <w:color w:val="auto"/>
          <w:sz w:val="24"/>
          <w:highlight w:val="none"/>
        </w:rPr>
        <w:t>﹝</w:t>
      </w:r>
      <w:r>
        <w:rPr>
          <w:rFonts w:hint="eastAsia" w:ascii="仿宋_GB2312" w:hAnsi="仿宋_GB2312" w:eastAsia="仿宋_GB2312" w:cs="仿宋_GB2312"/>
          <w:color w:val="auto"/>
          <w:sz w:val="24"/>
          <w:highlight w:val="none"/>
        </w:rPr>
        <w:t>2020</w:t>
      </w:r>
      <w:r>
        <w:rPr>
          <w:rFonts w:hint="eastAsia" w:ascii="宋体" w:hAnsi="宋体" w:cs="宋体"/>
          <w:color w:val="auto"/>
          <w:sz w:val="24"/>
          <w:highlight w:val="none"/>
        </w:rPr>
        <w:t>﹞</w:t>
      </w:r>
      <w:r>
        <w:rPr>
          <w:rFonts w:hint="eastAsia" w:ascii="仿宋_GB2312" w:hAnsi="仿宋_GB2312" w:eastAsia="仿宋_GB2312" w:cs="仿宋_GB2312"/>
          <w:color w:val="auto"/>
          <w:sz w:val="24"/>
          <w:highlight w:val="none"/>
        </w:rPr>
        <w:t>46 号）的规定，本公司（联合体）参加</w:t>
      </w:r>
      <w:r>
        <w:rPr>
          <w:rFonts w:hint="eastAsia" w:ascii="仿宋_GB2312" w:hAnsi="仿宋_GB2312" w:eastAsia="仿宋_GB2312" w:cs="仿宋_GB2312"/>
          <w:color w:val="auto"/>
          <w:sz w:val="24"/>
          <w:highlight w:val="none"/>
          <w:u w:val="single"/>
        </w:rPr>
        <w:t xml:space="preserve"> xxx </w:t>
      </w:r>
      <w:r>
        <w:rPr>
          <w:rFonts w:hint="eastAsia" w:ascii="仿宋_GB2312" w:hAnsi="仿宋_GB2312" w:eastAsia="仿宋_GB2312" w:cs="仿宋_GB2312"/>
          <w:color w:val="auto"/>
          <w:sz w:val="24"/>
          <w:highlight w:val="none"/>
        </w:rPr>
        <w:t>的</w:t>
      </w:r>
      <w:r>
        <w:rPr>
          <w:rFonts w:hint="eastAsia" w:ascii="仿宋_GB2312" w:hAnsi="仿宋_GB2312" w:eastAsia="仿宋_GB2312" w:cs="仿宋_GB2312"/>
          <w:color w:val="auto"/>
          <w:sz w:val="24"/>
          <w:highlight w:val="none"/>
          <w:u w:val="single"/>
        </w:rPr>
        <w:t>xxx项目</w:t>
      </w:r>
      <w:r>
        <w:rPr>
          <w:rFonts w:hint="eastAsia" w:ascii="仿宋_GB2312" w:hAnsi="仿宋_GB2312" w:eastAsia="仿宋_GB2312" w:cs="仿宋_GB2312"/>
          <w:color w:val="auto"/>
          <w:sz w:val="24"/>
          <w:highlight w:val="none"/>
        </w:rPr>
        <w:t>采购活动，提供的货物全部由符合政策要求的中小企业制造。相关企业（含联合体中的中小企业、签订分包意向协议的中小企业）的具体情况如下：</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u w:val="single"/>
        </w:rPr>
        <w:t xml:space="preserve">        （标的名称）</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single"/>
        </w:rPr>
        <w:t>（采购文件中明确的所属行业）</w:t>
      </w:r>
      <w:r>
        <w:rPr>
          <w:rFonts w:hint="eastAsia" w:ascii="仿宋_GB2312" w:hAnsi="仿宋_GB2312" w:eastAsia="仿宋_GB2312" w:cs="仿宋_GB2312"/>
          <w:color w:val="auto"/>
          <w:sz w:val="24"/>
          <w:highlight w:val="none"/>
        </w:rPr>
        <w:t>行业 ；制造商为</w:t>
      </w:r>
      <w:r>
        <w:rPr>
          <w:rFonts w:hint="eastAsia" w:ascii="仿宋_GB2312" w:hAnsi="仿宋_GB2312" w:eastAsia="仿宋_GB2312" w:cs="仿宋_GB2312"/>
          <w:color w:val="auto"/>
          <w:sz w:val="24"/>
          <w:highlight w:val="none"/>
          <w:u w:val="single"/>
        </w:rPr>
        <w:t xml:space="preserve">           （企业名称） </w:t>
      </w:r>
      <w:r>
        <w:rPr>
          <w:rFonts w:hint="eastAsia" w:ascii="仿宋_GB2312" w:hAnsi="仿宋_GB2312" w:eastAsia="仿宋_GB2312" w:cs="仿宋_GB2312"/>
          <w:color w:val="auto"/>
          <w:sz w:val="24"/>
          <w:highlight w:val="none"/>
        </w:rPr>
        <w:t>，从业人员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万元，属于</w:t>
      </w:r>
      <w:r>
        <w:rPr>
          <w:rFonts w:hint="eastAsia" w:ascii="仿宋_GB2312" w:hAnsi="仿宋_GB2312" w:eastAsia="仿宋_GB2312" w:cs="仿宋_GB2312"/>
          <w:color w:val="auto"/>
          <w:sz w:val="24"/>
          <w:highlight w:val="none"/>
          <w:u w:val="single"/>
        </w:rPr>
        <w:t xml:space="preserve">     （中型企业、小型企业、微型企业）</w:t>
      </w:r>
      <w:r>
        <w:rPr>
          <w:rFonts w:hint="eastAsia" w:ascii="仿宋_GB2312" w:hAnsi="仿宋_GB2312" w:eastAsia="仿宋_GB2312" w:cs="仿宋_GB2312"/>
          <w:color w:val="auto"/>
          <w:sz w:val="24"/>
          <w:highlight w:val="none"/>
        </w:rPr>
        <w:t xml:space="preserve"> ；</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u w:val="single"/>
        </w:rPr>
        <w:t xml:space="preserve">        （标的名称）</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single"/>
        </w:rPr>
        <w:t>（采购文件中明确的所属行业）</w:t>
      </w:r>
      <w:r>
        <w:rPr>
          <w:rFonts w:hint="eastAsia" w:ascii="仿宋_GB2312" w:hAnsi="仿宋_GB2312" w:eastAsia="仿宋_GB2312" w:cs="仿宋_GB2312"/>
          <w:color w:val="auto"/>
          <w:sz w:val="24"/>
          <w:highlight w:val="none"/>
        </w:rPr>
        <w:t>行业 ；制造商为</w:t>
      </w:r>
      <w:r>
        <w:rPr>
          <w:rFonts w:hint="eastAsia" w:ascii="仿宋_GB2312" w:hAnsi="仿宋_GB2312" w:eastAsia="仿宋_GB2312" w:cs="仿宋_GB2312"/>
          <w:color w:val="auto"/>
          <w:sz w:val="24"/>
          <w:highlight w:val="none"/>
          <w:u w:val="single"/>
        </w:rPr>
        <w:t xml:space="preserve">           （企业名称） </w:t>
      </w:r>
      <w:r>
        <w:rPr>
          <w:rFonts w:hint="eastAsia" w:ascii="仿宋_GB2312" w:hAnsi="仿宋_GB2312" w:eastAsia="仿宋_GB2312" w:cs="仿宋_GB2312"/>
          <w:color w:val="auto"/>
          <w:sz w:val="24"/>
          <w:highlight w:val="none"/>
        </w:rPr>
        <w:t>，从业人员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万元，属于</w:t>
      </w:r>
      <w:r>
        <w:rPr>
          <w:rFonts w:hint="eastAsia" w:ascii="仿宋_GB2312" w:hAnsi="仿宋_GB2312" w:eastAsia="仿宋_GB2312" w:cs="仿宋_GB2312"/>
          <w:color w:val="auto"/>
          <w:sz w:val="24"/>
          <w:highlight w:val="none"/>
          <w:u w:val="single"/>
        </w:rPr>
        <w:t xml:space="preserve">     （中型企业、小型企业、微型企业）</w:t>
      </w:r>
      <w:r>
        <w:rPr>
          <w:rFonts w:hint="eastAsia" w:ascii="仿宋_GB2312" w:hAnsi="仿宋_GB2312" w:eastAsia="仿宋_GB2312" w:cs="仿宋_GB2312"/>
          <w:color w:val="auto"/>
          <w:sz w:val="24"/>
          <w:highlight w:val="none"/>
        </w:rPr>
        <w:t xml:space="preserve"> ；</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以上企业，不属于大企业的分支机构，不存在控股股东为大企业的情形，也不存在与大企业的负责人为同一人的情形。</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本企业对上述声明内容的真实性负责。如有虚假，将依法承担相应责任。</w:t>
      </w:r>
    </w:p>
    <w:p>
      <w:pPr>
        <w:ind w:right="420" w:firstLine="5880" w:firstLineChars="2450"/>
        <w:jc w:val="left"/>
        <w:rPr>
          <w:rFonts w:ascii="仿宋_GB2312" w:hAnsi="仿宋_GB2312" w:eastAsia="仿宋_GB2312" w:cs="仿宋_GB2312"/>
          <w:color w:val="auto"/>
          <w:sz w:val="24"/>
          <w:highlight w:val="none"/>
        </w:rPr>
      </w:pPr>
    </w:p>
    <w:p>
      <w:pPr>
        <w:ind w:right="420" w:firstLine="5880" w:firstLineChars="24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企业名称（盖章）： </w:t>
      </w:r>
    </w:p>
    <w:p>
      <w:pPr>
        <w:ind w:right="420" w:firstLine="5520" w:firstLineChars="2300"/>
        <w:rPr>
          <w:rFonts w:ascii="仿宋_GB2312" w:eastAsia="仿宋_GB2312"/>
          <w:color w:val="auto"/>
          <w:highlight w:val="none"/>
        </w:rPr>
      </w:pPr>
      <w:r>
        <w:rPr>
          <w:rFonts w:hint="eastAsia" w:ascii="仿宋_GB2312" w:hAnsi="仿宋_GB2312" w:eastAsia="仿宋_GB2312" w:cs="仿宋_GB2312"/>
          <w:color w:val="auto"/>
          <w:sz w:val="24"/>
          <w:highlight w:val="none"/>
        </w:rPr>
        <w:t xml:space="preserve">日期：   年   月 </w:t>
      </w:r>
      <w:r>
        <w:rPr>
          <w:rFonts w:hint="eastAsia" w:ascii="仿宋_GB2312" w:eastAsia="仿宋_GB2312"/>
          <w:color w:val="auto"/>
          <w:highlight w:val="none"/>
        </w:rPr>
        <w:t xml:space="preserve">  日</w:t>
      </w:r>
    </w:p>
    <w:p>
      <w:pPr>
        <w:jc w:val="center"/>
        <w:rPr>
          <w:rFonts w:ascii="仿宋_GB2312" w:hAnsi="仿宋_GB2312" w:eastAsia="仿宋_GB2312" w:cs="仿宋_GB2312"/>
          <w:b/>
          <w:color w:val="auto"/>
          <w:sz w:val="18"/>
          <w:highlight w:val="none"/>
        </w:rPr>
      </w:pPr>
    </w:p>
    <w:p>
      <w:pPr>
        <w:jc w:val="center"/>
        <w:rPr>
          <w:rFonts w:ascii="仿宋_GB2312" w:hAnsi="仿宋_GB2312" w:eastAsia="仿宋_GB2312" w:cs="仿宋_GB2312"/>
          <w:b/>
          <w:color w:val="auto"/>
          <w:sz w:val="32"/>
          <w:highlight w:val="none"/>
        </w:rPr>
      </w:pPr>
    </w:p>
    <w:p>
      <w:pPr>
        <w:jc w:val="center"/>
        <w:rPr>
          <w:rFonts w:ascii="仿宋_GB2312" w:hAnsi="仿宋_GB2312" w:eastAsia="仿宋_GB2312" w:cs="仿宋_GB2312"/>
          <w:b/>
          <w:color w:val="auto"/>
          <w:sz w:val="32"/>
          <w:highlight w:val="none"/>
        </w:rPr>
      </w:pPr>
    </w:p>
    <w:p>
      <w:pP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w:t>
      </w:r>
    </w:p>
    <w:p>
      <w:pPr>
        <w:rPr>
          <w:rFonts w:ascii="仿宋" w:hAnsi="仿宋" w:eastAsia="仿宋"/>
          <w:b/>
          <w:color w:val="auto"/>
          <w:sz w:val="24"/>
          <w:highlight w:val="none"/>
        </w:rPr>
      </w:pPr>
      <w:r>
        <w:rPr>
          <w:rFonts w:hint="eastAsia" w:ascii="仿宋" w:hAnsi="仿宋" w:eastAsia="仿宋"/>
          <w:b/>
          <w:color w:val="auto"/>
          <w:sz w:val="24"/>
          <w:highlight w:val="none"/>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仿宋_GB2312" w:hAnsi="仿宋_GB2312" w:eastAsia="仿宋_GB2312" w:cs="仿宋_GB2312"/>
          <w:color w:val="auto"/>
          <w:sz w:val="24"/>
          <w:highlight w:val="none"/>
        </w:rPr>
        <w:t>如国家颁布新的企业划型标准，则按最新标准执行。</w:t>
      </w:r>
      <w:r>
        <w:rPr>
          <w:rFonts w:hint="eastAsia" w:ascii="仿宋" w:hAnsi="仿宋" w:eastAsia="仿宋"/>
          <w:b/>
          <w:color w:val="auto"/>
          <w:sz w:val="24"/>
          <w:highlight w:val="none"/>
        </w:rPr>
        <w:t>）；④投标人提供的《中小企业声明函》与实际情况不符的或者未按以上要求填写的，中小企业声明函无效，不享受中小企业扶持政策。声明内容不实的，属于提供虚假材料谋取中标、成交的，依法承担法律责任。</w:t>
      </w:r>
    </w:p>
    <w:p>
      <w:pPr>
        <w:rPr>
          <w:rFonts w:ascii="仿宋_GB2312" w:hAnsi="仿宋_GB2312" w:eastAsia="仿宋_GB2312" w:cs="仿宋_GB2312"/>
          <w:color w:val="auto"/>
          <w:sz w:val="24"/>
          <w:highlight w:val="none"/>
        </w:rPr>
      </w:pPr>
      <w:r>
        <w:rPr>
          <w:rFonts w:hint="eastAsia" w:ascii="仿宋" w:hAnsi="仿宋" w:eastAsia="仿宋"/>
          <w:color w:val="auto"/>
          <w:sz w:val="24"/>
          <w:highlight w:val="none"/>
        </w:rPr>
        <w:t>2.根据《政府采购促进中小企业发展管理办法》的通知（财库〔2020〕46号）规定，</w:t>
      </w:r>
      <w:r>
        <w:rPr>
          <w:rFonts w:hint="eastAsia" w:ascii="仿宋_GB2312" w:hAnsi="仿宋_GB2312" w:eastAsia="仿宋_GB2312" w:cs="仿宋_GB2312"/>
          <w:color w:val="auto"/>
          <w:sz w:val="24"/>
          <w:highlight w:val="none"/>
        </w:rPr>
        <w:t>中标、成交供应商享受中小企业扶持政策的，采购代理机构将随中标、成交结果公开中标、成交供应商的《中小企业声明函》。</w:t>
      </w:r>
      <w:r>
        <w:rPr>
          <w:rFonts w:ascii="仿宋_GB2312" w:hAnsi="仿宋_GB2312" w:eastAsia="仿宋_GB2312" w:cs="仿宋_GB2312"/>
          <w:color w:val="auto"/>
          <w:sz w:val="24"/>
          <w:highlight w:val="none"/>
        </w:rPr>
        <w:t xml:space="preserve"> </w:t>
      </w:r>
    </w:p>
    <w:p>
      <w:pPr>
        <w:pageBreakBefore/>
        <w:jc w:val="center"/>
        <w:rPr>
          <w:rFonts w:ascii="仿宋_GB2312" w:hAnsi="仿宋_GB2312" w:eastAsia="仿宋_GB2312" w:cs="仿宋_GB2312"/>
          <w:b/>
          <w:color w:val="auto"/>
          <w:sz w:val="32"/>
          <w:highlight w:val="none"/>
        </w:rPr>
      </w:pPr>
      <w:r>
        <w:rPr>
          <w:rFonts w:hint="eastAsia" w:ascii="仿宋_GB2312" w:hAnsi="仿宋_GB2312" w:eastAsia="仿宋_GB2312" w:cs="仿宋_GB2312"/>
          <w:b/>
          <w:color w:val="auto"/>
          <w:sz w:val="32"/>
          <w:highlight w:val="none"/>
        </w:rPr>
        <w:t>中小企业声明函（工程、服务）</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本公司（联合体）郑重声明，根据《政府采购促进中小企业发展管理办法》 （财库</w:t>
      </w:r>
      <w:r>
        <w:rPr>
          <w:rFonts w:hint="eastAsia" w:ascii="宋体" w:hAnsi="宋体" w:cs="宋体"/>
          <w:color w:val="auto"/>
          <w:sz w:val="24"/>
          <w:highlight w:val="none"/>
        </w:rPr>
        <w:t>﹝</w:t>
      </w:r>
      <w:r>
        <w:rPr>
          <w:rFonts w:hint="eastAsia" w:ascii="仿宋_GB2312" w:hAnsi="仿宋_GB2312" w:eastAsia="仿宋_GB2312" w:cs="仿宋_GB2312"/>
          <w:color w:val="auto"/>
          <w:sz w:val="24"/>
          <w:highlight w:val="none"/>
        </w:rPr>
        <w:t>2020</w:t>
      </w:r>
      <w:r>
        <w:rPr>
          <w:rFonts w:hint="eastAsia" w:ascii="宋体" w:hAnsi="宋体" w:cs="宋体"/>
          <w:color w:val="auto"/>
          <w:sz w:val="24"/>
          <w:highlight w:val="none"/>
        </w:rPr>
        <w:t>﹞</w:t>
      </w:r>
      <w:r>
        <w:rPr>
          <w:rFonts w:hint="eastAsia" w:ascii="仿宋_GB2312" w:hAnsi="仿宋_GB2312" w:eastAsia="仿宋_GB2312" w:cs="仿宋_GB2312"/>
          <w:color w:val="auto"/>
          <w:sz w:val="24"/>
          <w:highlight w:val="none"/>
        </w:rPr>
        <w:t>46 号）的规定，本公司（联合体）参加</w:t>
      </w:r>
      <w:r>
        <w:rPr>
          <w:rFonts w:hint="eastAsia" w:ascii="仿宋_GB2312" w:hAnsi="仿宋_GB2312" w:eastAsia="仿宋_GB2312" w:cs="仿宋_GB2312"/>
          <w:color w:val="auto"/>
          <w:sz w:val="24"/>
          <w:highlight w:val="none"/>
          <w:u w:val="single"/>
        </w:rPr>
        <w:t xml:space="preserve"> xxx </w:t>
      </w:r>
      <w:r>
        <w:rPr>
          <w:rFonts w:hint="eastAsia" w:ascii="仿宋_GB2312" w:hAnsi="仿宋_GB2312" w:eastAsia="仿宋_GB2312" w:cs="仿宋_GB2312"/>
          <w:color w:val="auto"/>
          <w:sz w:val="24"/>
          <w:highlight w:val="none"/>
        </w:rPr>
        <w:t>的</w:t>
      </w:r>
      <w:r>
        <w:rPr>
          <w:rFonts w:hint="eastAsia" w:ascii="仿宋_GB2312" w:hAnsi="仿宋_GB2312" w:eastAsia="仿宋_GB2312" w:cs="仿宋_GB2312"/>
          <w:color w:val="auto"/>
          <w:sz w:val="24"/>
          <w:highlight w:val="none"/>
          <w:u w:val="single"/>
        </w:rPr>
        <w:t>xxx项目</w:t>
      </w:r>
      <w:r>
        <w:rPr>
          <w:rFonts w:hint="eastAsia" w:ascii="仿宋_GB2312" w:hAnsi="仿宋_GB2312" w:eastAsia="仿宋_GB2312" w:cs="仿宋_GB2312"/>
          <w:color w:val="auto"/>
          <w:sz w:val="24"/>
          <w:highlight w:val="none"/>
        </w:rPr>
        <w:t>采购活动，工程的施工单位全部为符合政策要求的中小企业（或者：服务全部由符合政策要求的中小企业承接） 。相关企业（含联合体中的中小企业、签订分包意向协议的中小企业）的具体情况如下：</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hAnsi="仿宋_GB2312" w:eastAsia="仿宋_GB2312" w:cs="仿宋_GB2312"/>
          <w:color w:val="auto"/>
          <w:sz w:val="24"/>
          <w:highlight w:val="none"/>
          <w:u w:val="single"/>
        </w:rPr>
        <w:t xml:space="preserve">        （标的名称）</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single"/>
        </w:rPr>
        <w:t>（采购文件中明确的所属行业）行业</w:t>
      </w:r>
      <w:r>
        <w:rPr>
          <w:rFonts w:hint="eastAsia" w:ascii="仿宋_GB2312" w:hAnsi="仿宋_GB2312" w:eastAsia="仿宋_GB2312" w:cs="仿宋_GB2312"/>
          <w:color w:val="auto"/>
          <w:sz w:val="24"/>
          <w:highlight w:val="none"/>
        </w:rPr>
        <w:t>；承建（承接）企业为</w:t>
      </w:r>
      <w:r>
        <w:rPr>
          <w:rFonts w:hint="eastAsia" w:ascii="仿宋_GB2312" w:hAnsi="仿宋_GB2312" w:eastAsia="仿宋_GB2312" w:cs="仿宋_GB2312"/>
          <w:color w:val="auto"/>
          <w:sz w:val="24"/>
          <w:highlight w:val="none"/>
          <w:u w:val="single"/>
        </w:rPr>
        <w:t xml:space="preserve">           （企业名称） </w:t>
      </w:r>
      <w:r>
        <w:rPr>
          <w:rFonts w:hint="eastAsia" w:ascii="仿宋_GB2312" w:hAnsi="仿宋_GB2312" w:eastAsia="仿宋_GB2312" w:cs="仿宋_GB2312"/>
          <w:color w:val="auto"/>
          <w:sz w:val="24"/>
          <w:highlight w:val="none"/>
        </w:rPr>
        <w:t>，从业人员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万元，属于</w:t>
      </w:r>
      <w:r>
        <w:rPr>
          <w:rFonts w:hint="eastAsia" w:ascii="仿宋_GB2312" w:hAnsi="仿宋_GB2312" w:eastAsia="仿宋_GB2312" w:cs="仿宋_GB2312"/>
          <w:color w:val="auto"/>
          <w:sz w:val="24"/>
          <w:highlight w:val="none"/>
          <w:u w:val="single"/>
        </w:rPr>
        <w:t xml:space="preserve">          （中型企业、小型企业、微型企业）</w:t>
      </w:r>
      <w:r>
        <w:rPr>
          <w:rFonts w:hint="eastAsia" w:ascii="仿宋_GB2312" w:hAnsi="仿宋_GB2312" w:eastAsia="仿宋_GB2312" w:cs="仿宋_GB2312"/>
          <w:color w:val="auto"/>
          <w:sz w:val="24"/>
          <w:highlight w:val="none"/>
        </w:rPr>
        <w:t xml:space="preserve"> ；</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u w:val="single"/>
        </w:rPr>
        <w:t xml:space="preserve">        （标的名称）</w:t>
      </w:r>
      <w:r>
        <w:rPr>
          <w:rFonts w:hint="eastAsia" w:ascii="仿宋_GB2312" w:hAnsi="仿宋_GB2312" w:eastAsia="仿宋_GB2312" w:cs="仿宋_GB2312"/>
          <w:color w:val="auto"/>
          <w:sz w:val="24"/>
          <w:highlight w:val="none"/>
        </w:rPr>
        <w:t>，属于</w:t>
      </w:r>
      <w:r>
        <w:rPr>
          <w:rFonts w:hint="eastAsia" w:ascii="仿宋_GB2312" w:hAnsi="仿宋_GB2312" w:eastAsia="仿宋_GB2312" w:cs="仿宋_GB2312"/>
          <w:color w:val="auto"/>
          <w:sz w:val="24"/>
          <w:highlight w:val="none"/>
          <w:u w:val="single"/>
        </w:rPr>
        <w:t>（采购文件中明确的所属行业）行业</w:t>
      </w:r>
      <w:r>
        <w:rPr>
          <w:rFonts w:hint="eastAsia" w:ascii="仿宋_GB2312" w:hAnsi="仿宋_GB2312" w:eastAsia="仿宋_GB2312" w:cs="仿宋_GB2312"/>
          <w:color w:val="auto"/>
          <w:sz w:val="24"/>
          <w:highlight w:val="none"/>
        </w:rPr>
        <w:t>；承建（承接）企业为</w:t>
      </w:r>
      <w:r>
        <w:rPr>
          <w:rFonts w:hint="eastAsia" w:ascii="仿宋_GB2312" w:hAnsi="仿宋_GB2312" w:eastAsia="仿宋_GB2312" w:cs="仿宋_GB2312"/>
          <w:color w:val="auto"/>
          <w:sz w:val="24"/>
          <w:highlight w:val="none"/>
          <w:u w:val="single"/>
        </w:rPr>
        <w:t xml:space="preserve">           （企业名称） </w:t>
      </w:r>
      <w:r>
        <w:rPr>
          <w:rFonts w:hint="eastAsia" w:ascii="仿宋_GB2312" w:hAnsi="仿宋_GB2312" w:eastAsia="仿宋_GB2312" w:cs="仿宋_GB2312"/>
          <w:color w:val="auto"/>
          <w:sz w:val="24"/>
          <w:highlight w:val="none"/>
        </w:rPr>
        <w:t>，从业人员</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人，营业收入为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万元，资产总额为</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万元 ，属于</w:t>
      </w:r>
      <w:r>
        <w:rPr>
          <w:rFonts w:hint="eastAsia" w:ascii="仿宋_GB2312" w:hAnsi="仿宋_GB2312" w:eastAsia="仿宋_GB2312" w:cs="仿宋_GB2312"/>
          <w:color w:val="auto"/>
          <w:sz w:val="24"/>
          <w:highlight w:val="none"/>
          <w:u w:val="single"/>
        </w:rPr>
        <w:t xml:space="preserve">       （中型企业、小型企业、微型企业）</w:t>
      </w:r>
      <w:r>
        <w:rPr>
          <w:rFonts w:hint="eastAsia" w:ascii="仿宋_GB2312" w:hAnsi="仿宋_GB2312" w:eastAsia="仿宋_GB2312" w:cs="仿宋_GB2312"/>
          <w:color w:val="auto"/>
          <w:sz w:val="24"/>
          <w:highlight w:val="none"/>
        </w:rPr>
        <w:t xml:space="preserve"> ；</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以上企业，不属于大企业的分支机构，不存在控股股东为大企业的情形，也不存在与大企业的负责人为同一人的情形。</w:t>
      </w:r>
    </w:p>
    <w:p>
      <w:pPr>
        <w:spacing w:line="340" w:lineRule="exact"/>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本企业对上述声明内容的真实性负责。如有虚假，将依法承担相应责任。</w:t>
      </w:r>
    </w:p>
    <w:p>
      <w:pPr>
        <w:ind w:right="420" w:firstLine="5880" w:firstLineChars="2450"/>
        <w:jc w:val="left"/>
        <w:rPr>
          <w:rFonts w:ascii="仿宋_GB2312" w:hAnsi="仿宋_GB2312" w:eastAsia="仿宋_GB2312" w:cs="仿宋_GB2312"/>
          <w:color w:val="auto"/>
          <w:sz w:val="24"/>
          <w:highlight w:val="none"/>
        </w:rPr>
      </w:pPr>
    </w:p>
    <w:p>
      <w:pPr>
        <w:ind w:right="420" w:firstLine="5880" w:firstLineChars="24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企业名称（盖章）： </w:t>
      </w:r>
    </w:p>
    <w:p>
      <w:pPr>
        <w:ind w:right="420" w:firstLine="5520" w:firstLineChars="2300"/>
        <w:rPr>
          <w:rFonts w:ascii="仿宋_GB2312" w:eastAsia="仿宋_GB2312"/>
          <w:color w:val="auto"/>
          <w:highlight w:val="none"/>
        </w:rPr>
      </w:pPr>
      <w:r>
        <w:rPr>
          <w:rFonts w:hint="eastAsia" w:ascii="仿宋_GB2312" w:hAnsi="仿宋_GB2312" w:eastAsia="仿宋_GB2312" w:cs="仿宋_GB2312"/>
          <w:color w:val="auto"/>
          <w:sz w:val="24"/>
          <w:highlight w:val="none"/>
        </w:rPr>
        <w:t xml:space="preserve">日期：   年   月 </w:t>
      </w:r>
      <w:r>
        <w:rPr>
          <w:rFonts w:hint="eastAsia" w:ascii="仿宋_GB2312" w:eastAsia="仿宋_GB2312"/>
          <w:color w:val="auto"/>
          <w:highlight w:val="none"/>
        </w:rPr>
        <w:t xml:space="preserve">  日</w:t>
      </w: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p>
    <w:p>
      <w:pP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w:t>
      </w:r>
    </w:p>
    <w:p>
      <w:pPr>
        <w:rPr>
          <w:rFonts w:ascii="仿宋" w:hAnsi="仿宋" w:eastAsia="仿宋"/>
          <w:b/>
          <w:color w:val="auto"/>
          <w:sz w:val="24"/>
          <w:highlight w:val="none"/>
        </w:rPr>
      </w:pPr>
      <w:r>
        <w:rPr>
          <w:rFonts w:hint="eastAsia" w:ascii="仿宋" w:hAnsi="仿宋" w:eastAsia="仿宋"/>
          <w:b/>
          <w:color w:val="auto"/>
          <w:sz w:val="24"/>
          <w:highlight w:val="none"/>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仿宋_GB2312" w:hAnsi="仿宋_GB2312" w:eastAsia="仿宋_GB2312" w:cs="仿宋_GB2312"/>
          <w:color w:val="auto"/>
          <w:sz w:val="24"/>
          <w:highlight w:val="none"/>
        </w:rPr>
        <w:t>如国家颁布新的企业划型标准，则按最新标准执行。</w:t>
      </w:r>
      <w:r>
        <w:rPr>
          <w:rFonts w:hint="eastAsia" w:ascii="仿宋" w:hAnsi="仿宋" w:eastAsia="仿宋"/>
          <w:b/>
          <w:color w:val="auto"/>
          <w:sz w:val="24"/>
          <w:highlight w:val="none"/>
        </w:rPr>
        <w:t>）；④投标人提供的《中小企业声明函》与实际情况不符的或者未按以上要求填写的，中小企业声明函无效，不享受中小企业扶持政策。声明内容不实的，属于提供虚假材料谋取中标、成交的，依法承担法律责任。</w:t>
      </w:r>
    </w:p>
    <w:p>
      <w:pPr>
        <w:rPr>
          <w:rFonts w:ascii="仿宋_GB2312" w:hAnsi="仿宋_GB2312" w:eastAsia="仿宋_GB2312" w:cs="仿宋_GB2312"/>
          <w:color w:val="auto"/>
          <w:sz w:val="24"/>
          <w:highlight w:val="none"/>
        </w:rPr>
      </w:pPr>
      <w:r>
        <w:rPr>
          <w:rFonts w:hint="eastAsia" w:ascii="仿宋" w:hAnsi="仿宋" w:eastAsia="仿宋"/>
          <w:color w:val="auto"/>
          <w:sz w:val="24"/>
          <w:highlight w:val="none"/>
        </w:rPr>
        <w:t>2.根据《政府采购促进中小企业发展管理办法》的通知（财库〔2020〕46号）规定，</w:t>
      </w:r>
      <w:r>
        <w:rPr>
          <w:rFonts w:hint="eastAsia" w:ascii="仿宋_GB2312" w:hAnsi="仿宋_GB2312" w:eastAsia="仿宋_GB2312" w:cs="仿宋_GB2312"/>
          <w:color w:val="auto"/>
          <w:sz w:val="24"/>
          <w:highlight w:val="none"/>
        </w:rPr>
        <w:t>中标、成交供应商享受中小企业扶持政策的，采购代理机构将随中标、成交结果公开中标、成交供应商的《中小企业声明函》。</w:t>
      </w:r>
    </w:p>
    <w:p>
      <w:pPr>
        <w:rPr>
          <w:rFonts w:ascii="仿宋_GB2312" w:hAnsi="仿宋_GB2312" w:eastAsia="仿宋_GB2312" w:cs="仿宋_GB2312"/>
          <w:color w:val="auto"/>
          <w:sz w:val="24"/>
          <w:highlight w:val="none"/>
        </w:rPr>
      </w:pPr>
    </w:p>
    <w:p>
      <w:pPr>
        <w:pageBreakBefore/>
        <w:spacing w:line="588" w:lineRule="exact"/>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残疾人福利性单位声明函</w:t>
      </w:r>
    </w:p>
    <w:p>
      <w:pPr>
        <w:spacing w:line="588" w:lineRule="exact"/>
        <w:rPr>
          <w:rFonts w:ascii="仿宋_GB2312" w:eastAsia="仿宋_GB2312"/>
          <w:b/>
          <w:color w:val="auto"/>
          <w:spacing w:val="6"/>
          <w:sz w:val="30"/>
          <w:szCs w:val="30"/>
          <w:highlight w:val="none"/>
        </w:rPr>
      </w:pPr>
    </w:p>
    <w:p>
      <w:pPr>
        <w:spacing w:line="588"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的</w:t>
      </w:r>
      <w:r>
        <w:rPr>
          <w:rFonts w:hint="eastAsia" w:ascii="仿宋_GB2312" w:hAnsi="仿宋_GB2312" w:eastAsia="仿宋_GB2312" w:cs="仿宋_GB2312"/>
          <w:color w:val="auto"/>
          <w:sz w:val="24"/>
          <w:highlight w:val="none"/>
          <w:u w:val="single"/>
        </w:rPr>
        <w:t xml:space="preserve">                 项目</w:t>
      </w:r>
      <w:r>
        <w:rPr>
          <w:rFonts w:hint="eastAsia" w:ascii="仿宋_GB2312" w:hAnsi="仿宋_GB2312" w:eastAsia="仿宋_GB2312" w:cs="仿宋_GB2312"/>
          <w:color w:val="auto"/>
          <w:sz w:val="24"/>
          <w:highlight w:val="none"/>
        </w:rPr>
        <w:t>采购活动提供本单位制造的货物（由本单位承担工程/提供服务），或者提供其他残疾人福利性单位制造的货物（不包括使用非残疾人福利性单位注册商标的货物）。</w:t>
      </w:r>
    </w:p>
    <w:p>
      <w:pPr>
        <w:spacing w:line="588"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本单位对上述声明的真实性负责。如有虚假，将依法承担相应责任。</w:t>
      </w:r>
    </w:p>
    <w:p>
      <w:pPr>
        <w:spacing w:line="588" w:lineRule="exact"/>
        <w:ind w:firstLine="480" w:firstLineChars="200"/>
        <w:rPr>
          <w:rFonts w:ascii="仿宋_GB2312" w:hAnsi="仿宋_GB2312" w:eastAsia="仿宋_GB2312" w:cs="仿宋_GB2312"/>
          <w:color w:val="auto"/>
          <w:sz w:val="24"/>
          <w:highlight w:val="none"/>
        </w:rPr>
      </w:pPr>
    </w:p>
    <w:p>
      <w:pPr>
        <w:spacing w:line="588" w:lineRule="exact"/>
        <w:ind w:firstLine="480" w:firstLineChars="200"/>
        <w:rPr>
          <w:rFonts w:ascii="仿宋_GB2312" w:hAnsi="仿宋_GB2312" w:eastAsia="仿宋_GB2312" w:cs="仿宋_GB2312"/>
          <w:color w:val="auto"/>
          <w:sz w:val="24"/>
          <w:highlight w:val="none"/>
        </w:rPr>
      </w:pPr>
    </w:p>
    <w:p>
      <w:pPr>
        <w:ind w:right="420" w:firstLine="5880" w:firstLineChars="24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声明单位（盖章）： </w:t>
      </w:r>
    </w:p>
    <w:p>
      <w:pPr>
        <w:ind w:right="420" w:firstLine="5520" w:firstLineChars="2300"/>
        <w:rPr>
          <w:rFonts w:ascii="仿宋_GB2312" w:eastAsia="仿宋_GB2312"/>
          <w:color w:val="auto"/>
          <w:highlight w:val="none"/>
        </w:rPr>
      </w:pPr>
      <w:r>
        <w:rPr>
          <w:rFonts w:hint="eastAsia" w:ascii="仿宋_GB2312" w:hAnsi="仿宋_GB2312" w:eastAsia="仿宋_GB2312" w:cs="仿宋_GB2312"/>
          <w:color w:val="auto"/>
          <w:sz w:val="24"/>
          <w:highlight w:val="none"/>
        </w:rPr>
        <w:t xml:space="preserve">日期：   年     月 </w:t>
      </w:r>
      <w:r>
        <w:rPr>
          <w:rFonts w:hint="eastAsia" w:ascii="仿宋_GB2312" w:eastAsia="仿宋_GB2312"/>
          <w:color w:val="auto"/>
          <w:highlight w:val="none"/>
        </w:rPr>
        <w:t xml:space="preserve">    日</w:t>
      </w:r>
    </w:p>
    <w:p>
      <w:pPr>
        <w:rPr>
          <w:rFonts w:ascii="仿宋_GB2312" w:hAnsi="仿宋_GB2312" w:eastAsia="仿宋_GB2312" w:cs="仿宋_GB2312"/>
          <w:color w:val="auto"/>
          <w:sz w:val="24"/>
          <w:highlight w:val="none"/>
        </w:rPr>
      </w:pPr>
    </w:p>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w:t>
      </w:r>
      <w:r>
        <w:rPr>
          <w:rFonts w:hint="eastAsia" w:ascii="仿宋_GB2312" w:hAnsi="仿宋" w:eastAsia="仿宋_GB2312"/>
          <w:color w:val="auto"/>
          <w:sz w:val="24"/>
          <w:highlight w:val="none"/>
        </w:rPr>
        <w:t>根据《财政部 民政部 中国残疾人联合会关于促进残疾人就业政府采购政策的通知》（财库〔2017〕141号）规定填报。</w:t>
      </w:r>
    </w:p>
    <w:p>
      <w:pPr>
        <w:rPr>
          <w:rFonts w:ascii="仿宋_GB2312" w:eastAsia="仿宋_GB2312"/>
          <w:color w:val="auto"/>
          <w:highlight w:val="none"/>
        </w:rPr>
      </w:pPr>
    </w:p>
    <w:p>
      <w:pPr>
        <w:tabs>
          <w:tab w:val="left" w:pos="4860"/>
        </w:tabs>
        <w:ind w:right="1559" w:firstLine="480" w:firstLineChars="200"/>
        <w:jc w:val="left"/>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object>
          <v:shape id="_x0000_i1027" o:spt="75" type="#_x0000_t75" style="height:42pt;width:390pt;" o:ole="t" filled="f" o:preferrelative="t" stroked="f" coordsize="21600,21600">
            <v:path/>
            <v:fill on="f" focussize="0,0"/>
            <v:stroke on="f" joinstyle="miter"/>
            <v:imagedata r:id="rId16" o:title=""/>
            <o:lock v:ext="edit" aspectratio="t"/>
            <w10:wrap type="none"/>
            <w10:anchorlock/>
          </v:shape>
          <o:OLEObject Type="Embed" ProgID="Package" ShapeID="_x0000_i1027" DrawAspect="Content" ObjectID="_1468075727" r:id="rId15">
            <o:LockedField>false</o:LockedField>
          </o:OLEObject>
        </w:object>
      </w:r>
    </w:p>
    <w:p>
      <w:pPr>
        <w:ind w:firstLine="420" w:firstLineChars="200"/>
        <w:rPr>
          <w:rFonts w:ascii="仿宋_GB2312" w:eastAsia="仿宋_GB2312"/>
          <w:color w:val="auto"/>
          <w:highlight w:val="none"/>
        </w:rPr>
      </w:pPr>
    </w:p>
    <w:p>
      <w:pPr>
        <w:ind w:firstLine="420" w:firstLineChars="200"/>
        <w:rPr>
          <w:rFonts w:ascii="仿宋_GB2312" w:eastAsia="仿宋_GB2312"/>
          <w:color w:val="auto"/>
          <w:highlight w:val="none"/>
        </w:rPr>
      </w:pPr>
    </w:p>
    <w:p>
      <w:pPr>
        <w:ind w:firstLine="420" w:firstLineChars="200"/>
        <w:rPr>
          <w:rFonts w:ascii="仿宋_GB2312" w:eastAsia="仿宋_GB2312"/>
          <w:color w:val="auto"/>
          <w:highlight w:val="none"/>
        </w:rPr>
      </w:pPr>
    </w:p>
    <w:p>
      <w:pPr>
        <w:ind w:firstLine="420" w:firstLineChars="200"/>
        <w:rPr>
          <w:rFonts w:ascii="仿宋_GB2312" w:eastAsia="仿宋_GB2312"/>
          <w:color w:val="auto"/>
          <w:highlight w:val="none"/>
        </w:rPr>
      </w:pPr>
    </w:p>
    <w:p>
      <w:pPr>
        <w:rPr>
          <w:rFonts w:ascii="仿宋_GB2312" w:hAnsi="仿宋_GB2312" w:eastAsia="仿宋_GB2312" w:cs="仿宋_GB2312"/>
          <w:b/>
          <w:color w:val="auto"/>
          <w:sz w:val="24"/>
          <w:highlight w:val="none"/>
        </w:rPr>
      </w:pPr>
    </w:p>
    <w:p>
      <w:pPr>
        <w:spacing w:line="400" w:lineRule="exact"/>
        <w:rPr>
          <w:rFonts w:ascii="仿宋_GB2312" w:hAnsi="宋体" w:eastAsia="仿宋_GB2312"/>
          <w:b/>
          <w:color w:val="auto"/>
          <w:sz w:val="24"/>
          <w:highlight w:val="none"/>
        </w:rPr>
      </w:pPr>
      <w:r>
        <w:rPr>
          <w:rFonts w:ascii="仿宋_GB2312" w:hAnsi="宋体" w:eastAsia="仿宋_GB2312"/>
          <w:b/>
          <w:color w:val="auto"/>
          <w:sz w:val="24"/>
          <w:highlight w:val="none"/>
        </w:rPr>
        <w:t>注</w:t>
      </w:r>
      <w:r>
        <w:rPr>
          <w:rFonts w:hint="eastAsia" w:ascii="仿宋_GB2312" w:hAnsi="宋体" w:eastAsia="仿宋_GB2312"/>
          <w:b/>
          <w:color w:val="auto"/>
          <w:sz w:val="24"/>
          <w:highlight w:val="none"/>
        </w:rPr>
        <w:t>：</w:t>
      </w:r>
      <w:r>
        <w:rPr>
          <w:rFonts w:hint="eastAsia" w:ascii="仿宋_GB2312" w:hAnsi="仿宋_GB2312" w:eastAsia="仿宋_GB2312" w:cs="仿宋_GB2312"/>
          <w:color w:val="auto"/>
          <w:sz w:val="24"/>
          <w:highlight w:val="none"/>
        </w:rPr>
        <w:t>符合《关于促进残疾人就业政府采购政策的通知》（财库〔2017〕141号）规定的条件并提供提供《残疾人福利性单位声明函》（附件4）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jc w:val="center"/>
        <w:rPr>
          <w:rFonts w:ascii="仿宋" w:hAnsi="仿宋" w:eastAsia="仿宋" w:cs="仿宋"/>
          <w:b/>
          <w:bCs/>
          <w:color w:val="auto"/>
          <w:sz w:val="44"/>
          <w:szCs w:val="44"/>
          <w:highlight w:val="none"/>
        </w:rPr>
      </w:pPr>
    </w:p>
    <w:p>
      <w:pPr>
        <w:pageBreakBefore/>
        <w:jc w:val="center"/>
        <w:rPr>
          <w:rFonts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质疑函范本</w:t>
      </w:r>
    </w:p>
    <w:p>
      <w:pPr>
        <w:adjustRightInd w:val="0"/>
        <w:snapToGrid w:val="0"/>
        <w:spacing w:line="360" w:lineRule="auto"/>
        <w:rPr>
          <w:rFonts w:ascii="黑体" w:hAnsi="黑体" w:eastAsia="黑体" w:cs="仿宋"/>
          <w:bCs/>
          <w:color w:val="auto"/>
          <w:sz w:val="32"/>
          <w:szCs w:val="32"/>
          <w:highlight w:val="none"/>
        </w:rPr>
      </w:pPr>
      <w:r>
        <w:rPr>
          <w:rFonts w:hint="eastAsia" w:ascii="黑体" w:hAnsi="黑体" w:eastAsia="黑体" w:cs="仿宋"/>
          <w:bCs/>
          <w:color w:val="auto"/>
          <w:sz w:val="32"/>
          <w:szCs w:val="32"/>
          <w:highlight w:val="none"/>
        </w:rPr>
        <w:t>一、质疑供应商基本信息</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质疑供应商：</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地址：</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邮编：</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联系人：</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联系电话：</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授权代表：</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联系电话：</w:t>
      </w:r>
      <w:r>
        <w:rPr>
          <w:rFonts w:hint="eastAsia" w:ascii="仿宋" w:hAnsi="仿宋" w:eastAsia="仿宋" w:cs="仿宋"/>
          <w:color w:val="auto"/>
          <w:sz w:val="32"/>
          <w:szCs w:val="32"/>
          <w:highlight w:val="none"/>
          <w:u w:val="dotted"/>
        </w:rPr>
        <w:t xml:space="preserve">                                           </w:t>
      </w:r>
      <w:r>
        <w:rPr>
          <w:rFonts w:ascii="仿宋" w:hAnsi="仿宋" w:eastAsia="仿宋" w:cs="仿宋"/>
          <w:color w:val="auto"/>
          <w:sz w:val="32"/>
          <w:szCs w:val="32"/>
          <w:highlight w:val="none"/>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地址：</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邮编：</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黑体" w:hAnsi="黑体" w:eastAsia="黑体" w:cs="仿宋"/>
          <w:bCs/>
          <w:color w:val="auto"/>
          <w:sz w:val="32"/>
          <w:szCs w:val="32"/>
          <w:highlight w:val="none"/>
        </w:rPr>
      </w:pPr>
      <w:r>
        <w:rPr>
          <w:rFonts w:hint="eastAsia" w:ascii="黑体" w:hAnsi="黑体" w:eastAsia="黑体" w:cs="仿宋"/>
          <w:bCs/>
          <w:color w:val="auto"/>
          <w:sz w:val="32"/>
          <w:szCs w:val="32"/>
          <w:highlight w:val="none"/>
        </w:rPr>
        <w:t>二、质疑项目基本情况</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质疑项目的名称：</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质疑项目的编号：</w:t>
      </w:r>
      <w:r>
        <w:rPr>
          <w:rFonts w:hint="eastAsia" w:ascii="仿宋" w:hAnsi="仿宋" w:eastAsia="仿宋" w:cs="仿宋"/>
          <w:color w:val="auto"/>
          <w:sz w:val="32"/>
          <w:szCs w:val="32"/>
          <w:highlight w:val="none"/>
          <w:u w:val="dotted"/>
        </w:rPr>
        <w:t xml:space="preserve">               </w:t>
      </w:r>
      <w:r>
        <w:rPr>
          <w:rFonts w:hint="eastAsia" w:ascii="仿宋" w:hAnsi="仿宋" w:eastAsia="仿宋" w:cs="仿宋"/>
          <w:color w:val="auto"/>
          <w:sz w:val="32"/>
          <w:szCs w:val="32"/>
          <w:highlight w:val="none"/>
        </w:rPr>
        <w:t>包号：</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采购人名称：</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采购文件获取日期：</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黑体" w:hAnsi="黑体" w:eastAsia="黑体" w:cs="仿宋"/>
          <w:bCs/>
          <w:color w:val="auto"/>
          <w:sz w:val="32"/>
          <w:szCs w:val="32"/>
          <w:highlight w:val="none"/>
        </w:rPr>
      </w:pPr>
      <w:r>
        <w:rPr>
          <w:rFonts w:hint="eastAsia" w:ascii="黑体" w:hAnsi="黑体" w:eastAsia="黑体" w:cs="仿宋"/>
          <w:bCs/>
          <w:color w:val="auto"/>
          <w:sz w:val="32"/>
          <w:szCs w:val="32"/>
          <w:highlight w:val="none"/>
        </w:rPr>
        <w:t>三、质疑事项具体内容</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质疑事项1：</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事实依据：</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法律依据：</w:t>
      </w: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u w:val="dotted"/>
        </w:rPr>
        <w:t xml:space="preserve">                                                     </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质疑事项2</w:t>
      </w:r>
    </w:p>
    <w:p>
      <w:pPr>
        <w:adjustRightInd w:val="0"/>
        <w:snapToGrid w:val="0"/>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w:t>
      </w:r>
    </w:p>
    <w:p>
      <w:pPr>
        <w:adjustRightInd w:val="0"/>
        <w:snapToGrid w:val="0"/>
        <w:spacing w:line="360" w:lineRule="auto"/>
        <w:rPr>
          <w:rFonts w:ascii="黑体" w:hAnsi="黑体" w:eastAsia="黑体" w:cs="仿宋"/>
          <w:bCs/>
          <w:color w:val="auto"/>
          <w:sz w:val="32"/>
          <w:szCs w:val="32"/>
          <w:highlight w:val="none"/>
        </w:rPr>
      </w:pPr>
      <w:r>
        <w:rPr>
          <w:rFonts w:hint="eastAsia" w:ascii="黑体" w:hAnsi="黑体" w:eastAsia="黑体" w:cs="仿宋"/>
          <w:bCs/>
          <w:color w:val="auto"/>
          <w:sz w:val="32"/>
          <w:szCs w:val="32"/>
          <w:highlight w:val="none"/>
        </w:rPr>
        <w:t>四、与质疑事项相关的质疑请求</w:t>
      </w:r>
    </w:p>
    <w:p>
      <w:pPr>
        <w:adjustRightInd w:val="0"/>
        <w:snapToGrid w:val="0"/>
        <w:spacing w:line="360" w:lineRule="auto"/>
        <w:rPr>
          <w:rFonts w:ascii="仿宋" w:hAnsi="仿宋" w:eastAsia="仿宋" w:cs="仿宋"/>
          <w:color w:val="auto"/>
          <w:sz w:val="32"/>
          <w:szCs w:val="32"/>
          <w:highlight w:val="none"/>
          <w:u w:val="dotted"/>
        </w:rPr>
      </w:pPr>
      <w:r>
        <w:rPr>
          <w:rFonts w:hint="eastAsia" w:ascii="仿宋" w:hAnsi="仿宋" w:eastAsia="仿宋" w:cs="仿宋"/>
          <w:color w:val="auto"/>
          <w:sz w:val="32"/>
          <w:szCs w:val="32"/>
          <w:highlight w:val="none"/>
        </w:rPr>
        <w:t>请求：</w:t>
      </w:r>
      <w:r>
        <w:rPr>
          <w:rFonts w:hint="eastAsia" w:ascii="仿宋" w:hAnsi="仿宋" w:eastAsia="仿宋" w:cs="仿宋"/>
          <w:color w:val="auto"/>
          <w:sz w:val="32"/>
          <w:szCs w:val="32"/>
          <w:highlight w:val="none"/>
          <w:u w:val="dotted"/>
        </w:rPr>
        <w:t xml:space="preserve">                                               </w:t>
      </w:r>
    </w:p>
    <w:p>
      <w:pPr>
        <w:rPr>
          <w:rFonts w:ascii="仿宋_GB2312" w:eastAsia="仿宋_GB2312"/>
          <w:color w:val="auto"/>
          <w:sz w:val="30"/>
          <w:szCs w:val="30"/>
          <w:highlight w:val="none"/>
        </w:rPr>
      </w:pPr>
      <w:r>
        <w:rPr>
          <w:rFonts w:hint="eastAsia" w:ascii="仿宋_GB2312" w:eastAsia="仿宋_GB2312"/>
          <w:color w:val="auto"/>
          <w:sz w:val="30"/>
          <w:szCs w:val="30"/>
          <w:highlight w:val="none"/>
        </w:rPr>
        <w:t xml:space="preserve">签字(签章)：                   公章：                      </w:t>
      </w:r>
    </w:p>
    <w:p>
      <w:pPr>
        <w:rPr>
          <w:rFonts w:ascii="仿宋_GB2312" w:eastAsia="仿宋_GB2312"/>
          <w:color w:val="auto"/>
          <w:sz w:val="30"/>
          <w:szCs w:val="30"/>
          <w:highlight w:val="none"/>
        </w:rPr>
      </w:pPr>
      <w:r>
        <w:rPr>
          <w:rFonts w:hint="eastAsia" w:ascii="仿宋_GB2312" w:eastAsia="仿宋_GB2312"/>
          <w:color w:val="auto"/>
          <w:sz w:val="30"/>
          <w:szCs w:val="30"/>
          <w:highlight w:val="none"/>
        </w:rPr>
        <w:t xml:space="preserve">日期：    </w:t>
      </w:r>
    </w:p>
    <w:p>
      <w:pPr>
        <w:adjustRightInd w:val="0"/>
        <w:snapToGrid w:val="0"/>
        <w:spacing w:line="360" w:lineRule="auto"/>
        <w:rPr>
          <w:rFonts w:ascii="仿宋" w:hAnsi="仿宋" w:eastAsia="仿宋" w:cs="仿宋"/>
          <w:color w:val="auto"/>
          <w:sz w:val="32"/>
          <w:szCs w:val="32"/>
          <w:highlight w:val="none"/>
        </w:rPr>
      </w:pPr>
    </w:p>
    <w:p>
      <w:pPr>
        <w:adjustRightInd w:val="0"/>
        <w:snapToGrid w:val="0"/>
        <w:spacing w:line="360" w:lineRule="auto"/>
        <w:rPr>
          <w:rFonts w:ascii="仿宋" w:hAnsi="仿宋" w:eastAsia="仿宋" w:cs="仿宋"/>
          <w:color w:val="auto"/>
          <w:sz w:val="32"/>
          <w:szCs w:val="32"/>
          <w:highlight w:val="none"/>
        </w:rPr>
      </w:pPr>
    </w:p>
    <w:p>
      <w:pPr>
        <w:jc w:val="center"/>
        <w:rPr>
          <w:rFonts w:ascii="仿宋" w:hAnsi="仿宋" w:eastAsia="仿宋" w:cs="仿宋"/>
          <w:b/>
          <w:bCs/>
          <w:color w:val="auto"/>
          <w:sz w:val="32"/>
          <w:szCs w:val="32"/>
          <w:highlight w:val="none"/>
        </w:rPr>
      </w:pPr>
    </w:p>
    <w:p>
      <w:pPr>
        <w:jc w:val="center"/>
        <w:rPr>
          <w:rFonts w:ascii="仿宋" w:hAnsi="仿宋" w:eastAsia="仿宋" w:cs="仿宋"/>
          <w:b/>
          <w:bCs/>
          <w:color w:val="auto"/>
          <w:sz w:val="32"/>
          <w:szCs w:val="32"/>
          <w:highlight w:val="none"/>
        </w:rPr>
      </w:pPr>
    </w:p>
    <w:p>
      <w:pPr>
        <w:jc w:val="center"/>
        <w:rPr>
          <w:rFonts w:ascii="仿宋" w:hAnsi="仿宋" w:eastAsia="仿宋" w:cs="仿宋"/>
          <w:b/>
          <w:bCs/>
          <w:color w:val="auto"/>
          <w:sz w:val="32"/>
          <w:szCs w:val="32"/>
          <w:highlight w:val="none"/>
        </w:rPr>
      </w:pPr>
    </w:p>
    <w:p>
      <w:pPr>
        <w:rPr>
          <w:rFonts w:ascii="黑体" w:hAnsi="黑体" w:eastAsia="黑体"/>
          <w:b/>
          <w:color w:val="auto"/>
          <w:sz w:val="32"/>
          <w:szCs w:val="32"/>
          <w:highlight w:val="none"/>
        </w:rPr>
      </w:pPr>
      <w:r>
        <w:rPr>
          <w:rFonts w:hint="eastAsia" w:ascii="黑体" w:hAnsi="黑体" w:eastAsia="黑体"/>
          <w:b/>
          <w:color w:val="auto"/>
          <w:sz w:val="32"/>
          <w:szCs w:val="32"/>
          <w:highlight w:val="none"/>
        </w:rPr>
        <w:t>质疑函制作说明：</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1.供应商提出质疑时，应提交质疑函和必要的证明材料。</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2.质疑供应商若委托代理人进行质疑的，质疑函应按要求列明“授权代表”的有关内容，并在附件中提交由质疑</w:t>
      </w:r>
      <w:r>
        <w:rPr>
          <w:rFonts w:hint="eastAsia" w:ascii="仿宋_GB2312" w:hAnsi="宋体" w:eastAsia="仿宋_GB2312" w:cs="宋体"/>
          <w:color w:val="auto"/>
          <w:kern w:val="0"/>
          <w:sz w:val="32"/>
          <w:szCs w:val="32"/>
          <w:highlight w:val="none"/>
        </w:rPr>
        <w:t>供应商签署的授权委托书。授权委托书应载明代理人的姓名或者名称、代理事项、具体权限、期限和相关事项。</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3.质疑供应商若对项目的某一分包进行质疑，质疑函中应列明具体分包号。</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4.质疑函的质疑事项应具体、明确，并有必要的事实依据和法律依据。</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5.质疑函的质疑请求应与质疑事项相关。</w:t>
      </w:r>
    </w:p>
    <w:p>
      <w:pPr>
        <w:widowControl/>
        <w:ind w:firstLine="640" w:firstLineChars="200"/>
        <w:jc w:val="left"/>
        <w:rPr>
          <w:rFonts w:ascii="仿宋_GB2312" w:eastAsia="仿宋_GB2312"/>
          <w:color w:val="auto"/>
          <w:sz w:val="32"/>
          <w:szCs w:val="32"/>
          <w:highlight w:val="none"/>
        </w:rPr>
      </w:pPr>
      <w:r>
        <w:rPr>
          <w:rFonts w:hint="eastAsia" w:ascii="仿宋_GB2312" w:eastAsia="仿宋_GB2312"/>
          <w:color w:val="auto"/>
          <w:sz w:val="32"/>
          <w:szCs w:val="32"/>
          <w:highlight w:val="none"/>
        </w:rPr>
        <w:t>6.质疑供应商为自然人的，质疑函应由本人签字；质疑供应商为法人或者其他组织的，质疑函应由法定代表人、主要负责人，或者其授权代表签字或者盖章，并加盖公章。</w:t>
      </w:r>
    </w:p>
    <w:p>
      <w:pPr>
        <w:pageBreakBefore/>
        <w:shd w:val="clear" w:color="auto" w:fill="FFFFFF"/>
        <w:spacing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国家统计局关于印发《统计上</w:t>
      </w:r>
      <w:r>
        <w:rPr>
          <w:rFonts w:ascii="宋体" w:hAnsi="宋体" w:cs="宋体"/>
          <w:b/>
          <w:bCs/>
          <w:color w:val="auto"/>
          <w:kern w:val="0"/>
          <w:sz w:val="36"/>
          <w:szCs w:val="36"/>
          <w:highlight w:val="none"/>
        </w:rPr>
        <w:br w:type="textWrapping"/>
      </w:r>
      <w:r>
        <w:rPr>
          <w:rFonts w:ascii="宋体" w:hAnsi="宋体" w:cs="宋体"/>
          <w:b/>
          <w:bCs/>
          <w:color w:val="auto"/>
          <w:kern w:val="0"/>
          <w:sz w:val="36"/>
          <w:szCs w:val="36"/>
          <w:highlight w:val="none"/>
        </w:rPr>
        <w:t>大中小微型企业划分办法（2017）》的通知</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ascii="宋体" w:hAnsi="宋体" w:cs="宋体"/>
          <w:color w:val="auto"/>
          <w:kern w:val="0"/>
          <w:szCs w:val="21"/>
          <w:highlight w:val="none"/>
        </w:rPr>
      </w:pPr>
      <w:r>
        <w:rPr>
          <w:rFonts w:ascii="宋体" w:hAnsi="宋体" w:cs="宋体"/>
          <w:color w:val="auto"/>
          <w:kern w:val="0"/>
          <w:szCs w:val="21"/>
          <w:highlight w:val="none"/>
        </w:rPr>
        <w:t>附件：《统计上大中小微型企业划分办法（2017）》修订说明</w:t>
      </w:r>
    </w:p>
    <w:p>
      <w:pPr>
        <w:widowControl/>
        <w:shd w:val="clear" w:color="auto" w:fill="FFFFFF"/>
        <w:spacing w:before="150" w:line="420" w:lineRule="atLeast"/>
        <w:ind w:right="825"/>
        <w:jc w:val="right"/>
        <w:textAlignment w:val="baseline"/>
        <w:rPr>
          <w:rFonts w:ascii="宋体" w:hAnsi="宋体" w:cs="宋体"/>
          <w:color w:val="auto"/>
          <w:kern w:val="0"/>
          <w:szCs w:val="21"/>
          <w:highlight w:val="none"/>
        </w:rPr>
      </w:pPr>
      <w:r>
        <w:rPr>
          <w:rFonts w:ascii="宋体" w:hAnsi="宋体" w:cs="宋体"/>
          <w:color w:val="auto"/>
          <w:kern w:val="0"/>
          <w:szCs w:val="21"/>
          <w:highlight w:val="none"/>
        </w:rPr>
        <w:t>国家统计局  </w:t>
      </w:r>
    </w:p>
    <w:p>
      <w:pPr>
        <w:widowControl/>
        <w:shd w:val="clear" w:color="auto" w:fill="FFFFFF"/>
        <w:spacing w:before="150" w:line="420" w:lineRule="atLeast"/>
        <w:ind w:right="825"/>
        <w:jc w:val="right"/>
        <w:textAlignment w:val="baseline"/>
        <w:rPr>
          <w:rFonts w:ascii="宋体" w:hAnsi="宋体" w:cs="宋体"/>
          <w:color w:val="auto"/>
          <w:kern w:val="0"/>
          <w:szCs w:val="21"/>
          <w:highlight w:val="none"/>
        </w:rPr>
      </w:pPr>
      <w:r>
        <w:rPr>
          <w:rFonts w:ascii="宋体" w:hAnsi="宋体" w:cs="宋体"/>
          <w:color w:val="auto"/>
          <w:kern w:val="0"/>
          <w:szCs w:val="21"/>
          <w:highlight w:val="none"/>
        </w:rPr>
        <w:t>2017年12月28日</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w:t>
      </w: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统计上大中小微型企业划分办法（2017）</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二、本办法适用对象为在中华人民共和国境内依法设立的各种组织形式的法人企业或单位。个体工商户参照本办法进行划分。</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五、企业划分由政府综合统计部门根据统计年报每年确定一次，定报统计原则上不进行调整。</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附表：统计上大中小微型企业划分标准</w:t>
      </w:r>
    </w:p>
    <w:p>
      <w:pPr>
        <w:widowControl/>
        <w:jc w:val="left"/>
        <w:rPr>
          <w:rFonts w:ascii="宋体" w:hAnsi="宋体" w:cs="宋体"/>
          <w:color w:val="auto"/>
          <w:kern w:val="0"/>
          <w:sz w:val="24"/>
          <w:highlight w:val="none"/>
        </w:rPr>
      </w:pPr>
      <w:r>
        <w:rPr>
          <w:rFonts w:ascii="宋体" w:hAnsi="宋体" w:cs="宋体"/>
          <w:color w:val="auto"/>
          <w:kern w:val="0"/>
          <w:sz w:val="18"/>
          <w:szCs w:val="18"/>
          <w:highlight w:val="none"/>
        </w:rPr>
        <w:br w:type="textWrapping"/>
      </w: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统计上大中小微型企业划分标准</w:t>
      </w:r>
    </w:p>
    <w:tbl>
      <w:tblPr>
        <w:tblStyle w:val="41"/>
        <w:tblW w:w="9743" w:type="dxa"/>
        <w:jc w:val="center"/>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行业名称</w:t>
            </w:r>
          </w:p>
        </w:tc>
        <w:tc>
          <w:tcPr>
            <w:tcW w:w="1560"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指标名称</w:t>
            </w:r>
          </w:p>
        </w:tc>
        <w:tc>
          <w:tcPr>
            <w:tcW w:w="671"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计量单位</w:t>
            </w:r>
          </w:p>
        </w:tc>
        <w:tc>
          <w:tcPr>
            <w:tcW w:w="1231"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大型</w:t>
            </w:r>
          </w:p>
        </w:tc>
        <w:tc>
          <w:tcPr>
            <w:tcW w:w="1891"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中型</w:t>
            </w:r>
          </w:p>
        </w:tc>
        <w:tc>
          <w:tcPr>
            <w:tcW w:w="1730"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小型</w:t>
            </w:r>
          </w:p>
        </w:tc>
        <w:tc>
          <w:tcPr>
            <w:tcW w:w="1203"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微型</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农、林、牧、渔业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Y≥20000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500≤Y＜20000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50≤Y＜500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Y＜50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工业 *</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300≤X＜1000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20≤X＜300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Y≥40000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2000≤Y＜40000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300≤Y＜2000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建筑业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Y≥80000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6000≤Y＜80000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300≤Y＜6000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资产总额(Z)</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Z≥80000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5000≤Z＜80000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300≤Z＜5000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批发业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20≤X＜200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5≤X＜20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X＜5</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Y≥40000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5000≤Y＜40000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1000≤Y＜5000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零售业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10≤X＜50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Y≥20000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500≤Y＜20000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100≤Y＜500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交通运输业 *</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300≤X＜1000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20≤X＜300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Y≥30000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3000≤Y＜30000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200≤Y＜3000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Y＜200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仓储业*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100≤X＜200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Y≥30000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1000≤Y＜30000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100≤Y＜1000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邮政业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300≤X＜1000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20≤X＜300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Y≥30000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2000≤Y＜30000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100≤Y＜2000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住宿业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2000≤Y＜10000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100≤Y＜2000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餐饮业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2000≤Y＜10000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100≤Y＜2000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信息传输业 *</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X≥2000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100≤X＜2000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1000≤Y＜100000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100≤Y＜1000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软件和信息技术服务业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1000≤Y＜10000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50≤Y＜1000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Y＜50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房地产开发经营</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Y≥200000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1000≤Y＜200000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100≤Y＜1000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资产总额(Z)</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Z≥10000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5000≤Z＜10000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2000≤Z＜5000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Z＜2000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物业管理</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300≤X＜1000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营业收入(Y)</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Y≥5000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1000≤Y＜5000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500≤Y＜1000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Y＜500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租赁和商务服务业</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宋体" w:hAnsi="宋体" w:cs="宋体"/>
                <w:color w:val="auto"/>
                <w:kern w:val="0"/>
                <w:sz w:val="24"/>
                <w:highlight w:val="none"/>
              </w:rPr>
            </w:pP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资产总额(Z)</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万元</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Z≥120000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8000≤Z＜120000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100≤Z＜8000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Z＜100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其他未列明行业 *</w:t>
            </w:r>
          </w:p>
        </w:tc>
        <w:tc>
          <w:tcPr>
            <w:tcW w:w="156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从业人员(X)</w:t>
            </w:r>
          </w:p>
        </w:tc>
        <w:tc>
          <w:tcPr>
            <w:tcW w:w="67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人</w:t>
            </w:r>
          </w:p>
        </w:tc>
        <w:tc>
          <w:tcPr>
            <w:tcW w:w="123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X≥300</w:t>
            </w:r>
          </w:p>
        </w:tc>
        <w:tc>
          <w:tcPr>
            <w:tcW w:w="1891"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100≤X＜300</w:t>
            </w:r>
          </w:p>
        </w:tc>
        <w:tc>
          <w:tcPr>
            <w:tcW w:w="1730"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10≤X＜100</w:t>
            </w:r>
          </w:p>
        </w:tc>
        <w:tc>
          <w:tcPr>
            <w:tcW w:w="1203"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X＜10</w:t>
            </w:r>
          </w:p>
        </w:tc>
      </w:tr>
    </w:tbl>
    <w:p>
      <w:pPr>
        <w:widowControl/>
        <w:shd w:val="clear" w:color="auto" w:fill="FFFFFF"/>
        <w:spacing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说明： 　　</w:t>
      </w:r>
      <w:r>
        <w:rPr>
          <w:rFonts w:ascii="宋体" w:hAnsi="宋体" w:cs="宋体"/>
          <w:color w:val="auto"/>
          <w:kern w:val="0"/>
          <w:szCs w:val="21"/>
          <w:highlight w:val="none"/>
        </w:rPr>
        <w:br w:type="textWrapping"/>
      </w:r>
      <w:r>
        <w:rPr>
          <w:rFonts w:ascii="宋体" w:hAnsi="宋体" w:cs="宋体"/>
          <w:color w:val="auto"/>
          <w:kern w:val="0"/>
          <w:szCs w:val="21"/>
          <w:highlight w:val="none"/>
        </w:rPr>
        <w:t>    1.大型、中型和小型企业须同时满足所列指标的下限，否则下划一档；微型企业只须满足所列指标中的一项即可。 　　</w:t>
      </w:r>
      <w:r>
        <w:rPr>
          <w:rFonts w:ascii="宋体" w:hAnsi="宋体" w:cs="宋体"/>
          <w:color w:val="auto"/>
          <w:kern w:val="0"/>
          <w:szCs w:val="21"/>
          <w:highlight w:val="none"/>
        </w:rPr>
        <w:br w:type="textWrapping"/>
      </w:r>
      <w:r>
        <w:rPr>
          <w:rFonts w:ascii="宋体" w:hAnsi="宋体" w:cs="宋体"/>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r>
        <w:rPr>
          <w:rFonts w:ascii="宋体" w:hAnsi="宋体" w:cs="宋体"/>
          <w:color w:val="auto"/>
          <w:kern w:val="0"/>
          <w:szCs w:val="21"/>
          <w:highlight w:val="none"/>
        </w:rPr>
        <w:br w:type="textWrapping"/>
      </w:r>
      <w:r>
        <w:rPr>
          <w:rFonts w:ascii="宋体" w:hAnsi="宋体" w:cs="宋体"/>
          <w:color w:val="auto"/>
          <w:kern w:val="0"/>
          <w:szCs w:val="21"/>
          <w:highlight w:val="none"/>
        </w:rPr>
        <w:t>    3.企业划分指标以现行统计制度为准。</w:t>
      </w:r>
      <w:r>
        <w:rPr>
          <w:rFonts w:ascii="宋体" w:hAnsi="宋体" w:cs="宋体"/>
          <w:color w:val="auto"/>
          <w:kern w:val="0"/>
          <w:szCs w:val="21"/>
          <w:highlight w:val="none"/>
        </w:rPr>
        <w:br w:type="textWrapping"/>
      </w:r>
      <w:r>
        <w:rPr>
          <w:rFonts w:ascii="宋体" w:hAnsi="宋体" w:cs="宋体"/>
          <w:color w:val="auto"/>
          <w:kern w:val="0"/>
          <w:szCs w:val="21"/>
          <w:highlight w:val="none"/>
        </w:rPr>
        <w:t>    （1）从业人员，是指期末从业人员数，没有期末从业人员数的，采用全年平均人员数代替。</w:t>
      </w:r>
      <w:r>
        <w:rPr>
          <w:rFonts w:ascii="宋体" w:hAnsi="宋体" w:cs="宋体"/>
          <w:color w:val="auto"/>
          <w:kern w:val="0"/>
          <w:szCs w:val="21"/>
          <w:highlight w:val="none"/>
        </w:rPr>
        <w:br w:type="textWrapping"/>
      </w:r>
      <w:r>
        <w:rPr>
          <w:rFonts w:ascii="宋体" w:hAnsi="宋体" w:cs="宋体"/>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ascii="宋体" w:hAnsi="宋体" w:cs="宋体"/>
          <w:color w:val="auto"/>
          <w:kern w:val="0"/>
          <w:szCs w:val="21"/>
          <w:highlight w:val="none"/>
        </w:rPr>
        <w:br w:type="textWrapping"/>
      </w:r>
      <w:r>
        <w:rPr>
          <w:rFonts w:ascii="宋体" w:hAnsi="宋体" w:cs="宋体"/>
          <w:color w:val="auto"/>
          <w:kern w:val="0"/>
          <w:szCs w:val="21"/>
          <w:highlight w:val="none"/>
        </w:rPr>
        <w:t>    （3）资产总额，采用资产总计代替。</w:t>
      </w:r>
    </w:p>
    <w:p>
      <w:pPr>
        <w:widowControl/>
        <w:jc w:val="left"/>
        <w:rPr>
          <w:rFonts w:ascii="宋体" w:hAnsi="宋体" w:cs="宋体"/>
          <w:color w:val="auto"/>
          <w:kern w:val="0"/>
          <w:sz w:val="24"/>
          <w:highlight w:val="none"/>
        </w:rPr>
      </w:pPr>
      <w:r>
        <w:rPr>
          <w:rFonts w:ascii="宋体" w:hAnsi="宋体" w:cs="宋体"/>
          <w:color w:val="auto"/>
          <w:kern w:val="0"/>
          <w:sz w:val="18"/>
          <w:szCs w:val="18"/>
          <w:highlight w:val="none"/>
        </w:rPr>
        <w:br w:type="textWrapping"/>
      </w: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《统计上大中小微型企业划分办法（2017）》修订说明</w:t>
      </w:r>
    </w:p>
    <w:p>
      <w:pPr>
        <w:widowControl/>
        <w:shd w:val="clear" w:color="auto" w:fill="FFFFFF"/>
        <w:spacing w:before="150" w:line="540" w:lineRule="atLeast"/>
        <w:jc w:val="left"/>
        <w:textAlignment w:val="baseline"/>
        <w:rPr>
          <w:rFonts w:ascii="宋体" w:hAnsi="宋体" w:cs="宋体"/>
          <w:b/>
          <w:bCs/>
          <w:color w:val="auto"/>
          <w:kern w:val="0"/>
          <w:sz w:val="27"/>
          <w:szCs w:val="27"/>
          <w:highlight w:val="none"/>
        </w:rPr>
      </w:pPr>
      <w:r>
        <w:rPr>
          <w:rFonts w:ascii="宋体" w:hAnsi="宋体" w:cs="宋体"/>
          <w:b/>
          <w:bCs/>
          <w:color w:val="auto"/>
          <w:kern w:val="0"/>
          <w:sz w:val="27"/>
          <w:szCs w:val="27"/>
          <w:highlight w:val="none"/>
        </w:rPr>
        <w:t>一、修订背景</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ascii="宋体" w:hAnsi="宋体" w:cs="宋体"/>
          <w:b/>
          <w:bCs/>
          <w:color w:val="auto"/>
          <w:kern w:val="0"/>
          <w:sz w:val="27"/>
          <w:szCs w:val="27"/>
          <w:highlight w:val="none"/>
        </w:rPr>
      </w:pPr>
      <w:r>
        <w:rPr>
          <w:rFonts w:ascii="宋体" w:hAnsi="宋体" w:cs="宋体"/>
          <w:b/>
          <w:bCs/>
          <w:color w:val="auto"/>
          <w:kern w:val="0"/>
          <w:sz w:val="27"/>
          <w:szCs w:val="27"/>
          <w:highlight w:val="none"/>
        </w:rPr>
        <w:t>二、修订主要内容</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将交通运输业中包括的“装卸搬运和运输代理业”修改为“多式联运和运输代理业、装卸搬运”。</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仓储业所包括的行业中类，根据《国民经济行业分类》（GB/T4754—2017）调整为“通用仓储，低温仓储，危险品仓储，谷物、棉花等农产品仓储，中药材仓储和其他仓储业”。</w:t>
      </w:r>
    </w:p>
    <w:p>
      <w:pPr>
        <w:widowControl/>
        <w:jc w:val="left"/>
        <w:rPr>
          <w:rFonts w:ascii="宋体" w:hAnsi="宋体" w:cs="宋体"/>
          <w:color w:val="auto"/>
          <w:kern w:val="0"/>
          <w:sz w:val="24"/>
          <w:highlight w:val="none"/>
        </w:rPr>
      </w:pPr>
      <w:r>
        <w:rPr>
          <w:rFonts w:ascii="宋体" w:hAnsi="宋体" w:cs="宋体"/>
          <w:color w:val="auto"/>
          <w:kern w:val="0"/>
          <w:sz w:val="18"/>
          <w:szCs w:val="18"/>
          <w:highlight w:val="none"/>
        </w:rPr>
        <w:br w:type="textWrapping"/>
      </w:r>
      <w:r>
        <w:rPr>
          <w:rFonts w:ascii="宋体" w:hAnsi="宋体" w:cs="宋体"/>
          <w:color w:val="auto"/>
          <w:kern w:val="0"/>
          <w:sz w:val="18"/>
          <w:szCs w:val="18"/>
          <w:highlight w:val="none"/>
        </w:rPr>
        <w:br w:type="textWrapping"/>
      </w:r>
    </w:p>
    <w:p>
      <w:pPr>
        <w:widowControl/>
        <w:shd w:val="clear" w:color="auto" w:fill="FFFFFF"/>
        <w:spacing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中国人民银行中国银行业监督管理委员会</w:t>
      </w:r>
      <w:r>
        <w:rPr>
          <w:rFonts w:ascii="宋体" w:hAnsi="宋体" w:cs="宋体"/>
          <w:b/>
          <w:bCs/>
          <w:color w:val="auto"/>
          <w:kern w:val="0"/>
          <w:sz w:val="36"/>
          <w:szCs w:val="36"/>
          <w:highlight w:val="none"/>
        </w:rPr>
        <w:br w:type="textWrapping"/>
      </w:r>
      <w:r>
        <w:rPr>
          <w:rFonts w:ascii="宋体" w:hAnsi="宋体" w:cs="宋体"/>
          <w:b/>
          <w:bCs/>
          <w:color w:val="auto"/>
          <w:kern w:val="0"/>
          <w:sz w:val="36"/>
          <w:szCs w:val="36"/>
          <w:highlight w:val="none"/>
        </w:rPr>
        <w:t>中国证券监督管理委员会中国保险监督管理委员会</w:t>
      </w:r>
      <w:r>
        <w:rPr>
          <w:rFonts w:ascii="宋体" w:hAnsi="宋体" w:cs="宋体"/>
          <w:b/>
          <w:bCs/>
          <w:color w:val="auto"/>
          <w:kern w:val="0"/>
          <w:sz w:val="36"/>
          <w:szCs w:val="36"/>
          <w:highlight w:val="none"/>
        </w:rPr>
        <w:br w:type="textWrapping"/>
      </w:r>
      <w:r>
        <w:rPr>
          <w:rFonts w:ascii="宋体" w:hAnsi="宋体" w:cs="宋体"/>
          <w:b/>
          <w:bCs/>
          <w:color w:val="auto"/>
          <w:kern w:val="0"/>
          <w:sz w:val="36"/>
          <w:szCs w:val="36"/>
          <w:highlight w:val="none"/>
        </w:rPr>
        <w:t>国家统计局关于印发《金融业企业划型标准规定》的通知</w:t>
      </w:r>
    </w:p>
    <w:p>
      <w:pPr>
        <w:widowControl/>
        <w:shd w:val="clear" w:color="auto" w:fill="FFFFFF"/>
        <w:spacing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r>
        <w:rPr>
          <w:rFonts w:ascii="宋体" w:hAnsi="宋体" w:cs="宋体"/>
          <w:color w:val="auto"/>
          <w:kern w:val="0"/>
          <w:szCs w:val="21"/>
          <w:highlight w:val="none"/>
        </w:rPr>
        <w:br w:type="textWrapping"/>
      </w:r>
      <w:r>
        <w:rPr>
          <w:rFonts w:ascii="宋体" w:hAnsi="宋体" w:cs="宋体"/>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附件：金融业企业划型标准规定</w:t>
      </w: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金融业企业划型标准规定</w:t>
      </w:r>
    </w:p>
    <w:p>
      <w:pPr>
        <w:widowControl/>
        <w:shd w:val="clear" w:color="auto" w:fill="FFFFFF"/>
        <w:spacing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r>
        <w:rPr>
          <w:rFonts w:ascii="宋体" w:hAnsi="宋体" w:cs="宋体"/>
          <w:color w:val="auto"/>
          <w:kern w:val="0"/>
          <w:szCs w:val="21"/>
          <w:highlight w:val="none"/>
        </w:rPr>
        <w:br w:type="textWrapping"/>
      </w:r>
      <w:r>
        <w:rPr>
          <w:rFonts w:ascii="宋体" w:hAnsi="宋体" w:cs="宋体"/>
          <w:color w:val="auto"/>
          <w:kern w:val="0"/>
          <w:szCs w:val="21"/>
          <w:highlight w:val="none"/>
        </w:rPr>
        <w:t>    二、 适用范围。本规定适用于从事《国民经济行业分类》(GB/T4754-2011)中J门类（金融业）活动的企业。</w:t>
      </w:r>
      <w:r>
        <w:rPr>
          <w:rFonts w:ascii="宋体" w:hAnsi="宋体" w:cs="宋体"/>
          <w:color w:val="auto"/>
          <w:kern w:val="0"/>
          <w:szCs w:val="21"/>
          <w:highlight w:val="none"/>
        </w:rPr>
        <w:br w:type="textWrapping"/>
      </w:r>
      <w:r>
        <w:rPr>
          <w:rFonts w:ascii="宋体" w:hAnsi="宋体" w:cs="宋体"/>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r>
        <w:rPr>
          <w:rFonts w:ascii="宋体" w:hAnsi="宋体" w:cs="宋体"/>
          <w:color w:val="auto"/>
          <w:kern w:val="0"/>
          <w:szCs w:val="21"/>
          <w:highlight w:val="none"/>
        </w:rPr>
        <w:br w:type="textWrapping"/>
      </w:r>
      <w:r>
        <w:rPr>
          <w:rFonts w:ascii="宋体" w:hAnsi="宋体" w:cs="宋体"/>
          <w:color w:val="auto"/>
          <w:kern w:val="0"/>
          <w:szCs w:val="21"/>
          <w:highlight w:val="none"/>
        </w:rPr>
        <w:t>    四、划型标准指标。采用一个完整会计年度中四个季度末法人并表口径的资产总额（信托公司为信托资产）平均值作为划型指标，该指标以监管部门数据为准。</w:t>
      </w:r>
      <w:r>
        <w:rPr>
          <w:rFonts w:ascii="宋体" w:hAnsi="宋体" w:cs="宋体"/>
          <w:color w:val="auto"/>
          <w:kern w:val="0"/>
          <w:szCs w:val="21"/>
          <w:highlight w:val="none"/>
        </w:rPr>
        <w:br w:type="textWrapping"/>
      </w:r>
      <w:r>
        <w:rPr>
          <w:rFonts w:ascii="宋体" w:hAnsi="宋体" w:cs="宋体"/>
          <w:color w:val="auto"/>
          <w:kern w:val="0"/>
          <w:szCs w:val="21"/>
          <w:highlight w:val="none"/>
        </w:rPr>
        <w:t>    五、指标标准值。依据指标标准值，将各类金融业企业划分为大、中、小、微四个规模类型，中型企业标准上限及以上的为大型企业。</w:t>
      </w:r>
      <w:r>
        <w:rPr>
          <w:rFonts w:ascii="宋体" w:hAnsi="宋体" w:cs="宋体"/>
          <w:color w:val="auto"/>
          <w:kern w:val="0"/>
          <w:szCs w:val="21"/>
          <w:highlight w:val="none"/>
        </w:rPr>
        <w:br w:type="textWrapping"/>
      </w:r>
      <w:r>
        <w:rPr>
          <w:rFonts w:ascii="宋体" w:hAnsi="宋体" w:cs="宋体"/>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Fonts w:ascii="宋体" w:hAnsi="宋体" w:cs="宋体"/>
          <w:color w:val="auto"/>
          <w:kern w:val="0"/>
          <w:szCs w:val="21"/>
          <w:highlight w:val="none"/>
        </w:rPr>
        <w:br w:type="textWrapping"/>
      </w:r>
      <w:r>
        <w:rPr>
          <w:rFonts w:ascii="宋体" w:hAnsi="宋体" w:cs="宋体"/>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r>
        <w:rPr>
          <w:rFonts w:ascii="宋体" w:hAnsi="宋体" w:cs="宋体"/>
          <w:color w:val="auto"/>
          <w:kern w:val="0"/>
          <w:szCs w:val="21"/>
          <w:highlight w:val="none"/>
        </w:rPr>
        <w:br w:type="textWrapping"/>
      </w:r>
      <w:r>
        <w:rPr>
          <w:rFonts w:ascii="宋体" w:hAnsi="宋体" w:cs="宋体"/>
          <w:color w:val="auto"/>
          <w:kern w:val="0"/>
          <w:szCs w:val="21"/>
          <w:highlight w:val="none"/>
        </w:rPr>
        <w:t>    七、 标准值的评估和调整。金融业企业划型标准工作组毎五年对划型标准值受经济发展与通货膨胀等因素的响程度进行评估和调整。</w:t>
      </w:r>
      <w:r>
        <w:rPr>
          <w:rFonts w:ascii="宋体" w:hAnsi="宋体" w:cs="宋体"/>
          <w:color w:val="auto"/>
          <w:kern w:val="0"/>
          <w:szCs w:val="21"/>
          <w:highlight w:val="none"/>
        </w:rPr>
        <w:br w:type="textWrapping"/>
      </w:r>
      <w:r>
        <w:rPr>
          <w:rFonts w:ascii="宋体" w:hAnsi="宋体" w:cs="宋体"/>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r>
        <w:rPr>
          <w:rFonts w:ascii="宋体" w:hAnsi="宋体" w:cs="宋体"/>
          <w:color w:val="auto"/>
          <w:kern w:val="0"/>
          <w:szCs w:val="21"/>
          <w:highlight w:val="none"/>
        </w:rPr>
        <w:br w:type="textWrapping"/>
      </w:r>
      <w:r>
        <w:rPr>
          <w:rFonts w:ascii="宋体" w:hAnsi="宋体" w:cs="宋体"/>
          <w:color w:val="auto"/>
          <w:kern w:val="0"/>
          <w:szCs w:val="21"/>
          <w:highlight w:val="none"/>
        </w:rPr>
        <w:t>    九、 融资担保公司参照本规定中“除贷款公司、小额贷款公司、典当行以外的其他金融机构”标准划型。</w:t>
      </w:r>
      <w:r>
        <w:rPr>
          <w:rFonts w:ascii="宋体" w:hAnsi="宋体" w:cs="宋体"/>
          <w:color w:val="auto"/>
          <w:kern w:val="0"/>
          <w:szCs w:val="21"/>
          <w:highlight w:val="none"/>
        </w:rPr>
        <w:br w:type="textWrapping"/>
      </w:r>
      <w:r>
        <w:rPr>
          <w:rFonts w:ascii="宋体" w:hAnsi="宋体" w:cs="宋体"/>
          <w:color w:val="auto"/>
          <w:kern w:val="0"/>
          <w:szCs w:val="21"/>
          <w:highlight w:val="none"/>
        </w:rPr>
        <w:t>    十、本规定由人民银行会同银监会，证监会、保监会和统计局负责解释。</w:t>
      </w:r>
      <w:r>
        <w:rPr>
          <w:rFonts w:ascii="宋体" w:hAnsi="宋体" w:cs="宋体"/>
          <w:color w:val="auto"/>
          <w:kern w:val="0"/>
          <w:szCs w:val="21"/>
          <w:highlight w:val="none"/>
        </w:rPr>
        <w:br w:type="textWrapping"/>
      </w:r>
      <w:r>
        <w:rPr>
          <w:rFonts w:ascii="宋体" w:hAnsi="宋体" w:cs="宋体"/>
          <w:color w:val="auto"/>
          <w:kern w:val="0"/>
          <w:szCs w:val="21"/>
          <w:highlight w:val="none"/>
        </w:rPr>
        <w:t>    十一、本规定自发布之日起实施。</w:t>
      </w:r>
    </w:p>
    <w:p>
      <w:pPr>
        <w:widowControl/>
        <w:shd w:val="clear" w:color="auto" w:fill="FFFFFF"/>
        <w:spacing w:before="150" w:line="420" w:lineRule="atLeast"/>
        <w:jc w:val="left"/>
        <w:textAlignment w:val="baseline"/>
        <w:rPr>
          <w:rFonts w:ascii="宋体" w:hAnsi="宋体" w:cs="宋体"/>
          <w:color w:val="auto"/>
          <w:kern w:val="0"/>
          <w:szCs w:val="21"/>
          <w:highlight w:val="none"/>
        </w:rPr>
      </w:pPr>
      <w:r>
        <w:rPr>
          <w:rFonts w:ascii="宋体" w:hAnsi="宋体" w:cs="宋体"/>
          <w:color w:val="auto"/>
          <w:kern w:val="0"/>
          <w:szCs w:val="21"/>
          <w:highlight w:val="none"/>
        </w:rPr>
        <w:t>附：金融业企业划型标准</w:t>
      </w:r>
    </w:p>
    <w:p>
      <w:pPr>
        <w:widowControl/>
        <w:shd w:val="clear" w:color="auto" w:fill="FFFFFF"/>
        <w:spacing w:before="150" w:line="600" w:lineRule="atLeast"/>
        <w:jc w:val="center"/>
        <w:textAlignment w:val="baseline"/>
        <w:rPr>
          <w:rFonts w:ascii="宋体" w:hAnsi="宋体" w:cs="宋体"/>
          <w:b/>
          <w:bCs/>
          <w:color w:val="auto"/>
          <w:kern w:val="0"/>
          <w:sz w:val="36"/>
          <w:szCs w:val="36"/>
          <w:highlight w:val="none"/>
        </w:rPr>
      </w:pPr>
      <w:r>
        <w:rPr>
          <w:rFonts w:ascii="宋体" w:hAnsi="宋体" w:cs="宋体"/>
          <w:b/>
          <w:bCs/>
          <w:color w:val="auto"/>
          <w:kern w:val="0"/>
          <w:sz w:val="36"/>
          <w:szCs w:val="36"/>
          <w:highlight w:val="none"/>
        </w:rPr>
        <w:t>金融业企业划型标准</w:t>
      </w:r>
    </w:p>
    <w:tbl>
      <w:tblPr>
        <w:tblStyle w:val="41"/>
        <w:tblW w:w="852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行业</w:t>
            </w:r>
          </w:p>
        </w:tc>
        <w:tc>
          <w:tcPr>
            <w:tcW w:w="2836"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类别</w:t>
            </w:r>
          </w:p>
        </w:tc>
        <w:tc>
          <w:tcPr>
            <w:tcW w:w="606"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类型</w:t>
            </w:r>
          </w:p>
        </w:tc>
        <w:tc>
          <w:tcPr>
            <w:tcW w:w="3326" w:type="dxa"/>
            <w:tcMar>
              <w:top w:w="75" w:type="dxa"/>
              <w:left w:w="75" w:type="dxa"/>
              <w:bottom w:w="75" w:type="dxa"/>
              <w:right w:w="75" w:type="dxa"/>
            </w:tcMar>
            <w:vAlign w:val="bottom"/>
          </w:tcPr>
          <w:p>
            <w:pPr>
              <w:widowControl/>
              <w:jc w:val="center"/>
              <w:rPr>
                <w:rFonts w:ascii="宋体" w:hAnsi="宋体" w:cs="宋体"/>
                <w:b/>
                <w:bCs/>
                <w:color w:val="auto"/>
                <w:kern w:val="0"/>
                <w:szCs w:val="21"/>
                <w:highlight w:val="none"/>
              </w:rPr>
            </w:pPr>
            <w:r>
              <w:rPr>
                <w:rFonts w:ascii="宋体" w:hAnsi="宋体" w:cs="宋体"/>
                <w:b/>
                <w:bCs/>
                <w:color w:val="auto"/>
                <w:kern w:val="0"/>
                <w:szCs w:val="21"/>
                <w:highlight w:val="none"/>
              </w:rPr>
              <w:t>资产总额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货币金融服务</w:t>
            </w:r>
          </w:p>
        </w:tc>
        <w:tc>
          <w:tcPr>
            <w:tcW w:w="102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货币银行服务</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银行业存款类金融机构</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5000亿元（含）至40000亿元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非货币银行服务</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银行业非存款类金融机构</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贷款公司、小额贷款公司及典当行</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资本市场服务</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证券业金融机构</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10亿元（含）至100亿元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10亿元以下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保险业</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保险业金融机构</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400亿元（含）至5000亿元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20亿元（含）至400亿元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其他金融业</w:t>
            </w:r>
          </w:p>
        </w:tc>
        <w:tc>
          <w:tcPr>
            <w:tcW w:w="102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金融信托与管理服务</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信托公司</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400亿元（含）至1000亿元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20亿元（含）至400亿元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控股公司服务</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金融控股公司</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5000亿元（含）至40000亿元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其他未包括的金融业</w:t>
            </w:r>
          </w:p>
        </w:tc>
        <w:tc>
          <w:tcPr>
            <w:tcW w:w="2836" w:type="dxa"/>
            <w:vMerge w:val="restart"/>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除贷款公司、小额贷款公司及典当行以外的其他金融机构</w:t>
            </w: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中型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小型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宋体" w:hAnsi="宋体" w:cs="宋体"/>
                <w:color w:val="auto"/>
                <w:kern w:val="0"/>
                <w:sz w:val="24"/>
                <w:highlight w:val="none"/>
              </w:rPr>
            </w:pPr>
          </w:p>
        </w:tc>
        <w:tc>
          <w:tcPr>
            <w:tcW w:w="1025" w:type="dxa"/>
            <w:vMerge w:val="continue"/>
            <w:vAlign w:val="center"/>
          </w:tcPr>
          <w:p>
            <w:pPr>
              <w:widowControl/>
              <w:jc w:val="left"/>
              <w:rPr>
                <w:rFonts w:ascii="宋体" w:hAnsi="宋体" w:cs="宋体"/>
                <w:color w:val="auto"/>
                <w:kern w:val="0"/>
                <w:sz w:val="24"/>
                <w:highlight w:val="none"/>
              </w:rPr>
            </w:pPr>
          </w:p>
        </w:tc>
        <w:tc>
          <w:tcPr>
            <w:tcW w:w="2836" w:type="dxa"/>
            <w:vMerge w:val="continue"/>
            <w:vAlign w:val="center"/>
          </w:tcPr>
          <w:p>
            <w:pPr>
              <w:widowControl/>
              <w:jc w:val="left"/>
              <w:rPr>
                <w:rFonts w:ascii="宋体" w:hAnsi="宋体" w:cs="宋体"/>
                <w:color w:val="auto"/>
                <w:kern w:val="0"/>
                <w:sz w:val="24"/>
                <w:highlight w:val="none"/>
              </w:rPr>
            </w:pPr>
          </w:p>
        </w:tc>
        <w:tc>
          <w:tcPr>
            <w:tcW w:w="60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微型</w:t>
            </w:r>
          </w:p>
        </w:tc>
        <w:tc>
          <w:tcPr>
            <w:tcW w:w="3326" w:type="dxa"/>
            <w:vAlign w:val="center"/>
          </w:tcPr>
          <w:p>
            <w:pPr>
              <w:widowControl/>
              <w:jc w:val="left"/>
              <w:rPr>
                <w:rFonts w:ascii="宋体" w:hAnsi="宋体" w:cs="宋体"/>
                <w:color w:val="auto"/>
                <w:kern w:val="0"/>
                <w:sz w:val="24"/>
                <w:highlight w:val="none"/>
              </w:rPr>
            </w:pPr>
            <w:r>
              <w:rPr>
                <w:rFonts w:ascii="宋体" w:hAnsi="宋体" w:cs="宋体"/>
                <w:color w:val="auto"/>
                <w:kern w:val="0"/>
                <w:sz w:val="24"/>
                <w:highlight w:val="none"/>
              </w:rPr>
              <w:t>50亿元以下</w:t>
            </w:r>
          </w:p>
        </w:tc>
      </w:tr>
    </w:tbl>
    <w:p>
      <w:pPr>
        <w:rPr>
          <w:rFonts w:ascii="仿宋_GB2312" w:hAnsi="仿宋_GB2312" w:eastAsia="仿宋_GB2312" w:cs="仿宋_GB2312"/>
          <w:color w:val="auto"/>
          <w:sz w:val="24"/>
          <w:highlight w:val="none"/>
        </w:rPr>
      </w:pPr>
    </w:p>
    <w:p>
      <w:pPr>
        <w:ind w:firstLine="420" w:firstLineChars="200"/>
        <w:rPr>
          <w:rFonts w:ascii="仿宋_GB2312" w:eastAsia="仿宋_GB2312"/>
          <w:color w:val="auto"/>
          <w:highlight w:val="none"/>
        </w:rPr>
      </w:pPr>
    </w:p>
    <w:p>
      <w:pPr>
        <w:spacing w:line="360" w:lineRule="auto"/>
        <w:rPr>
          <w:rFonts w:ascii="仿宋_GB2312" w:hAnsi="仿宋_GB2312" w:eastAsia="仿宋_GB2312" w:cs="仿宋_GB2312"/>
          <w:color w:val="auto"/>
          <w:kern w:val="0"/>
          <w:sz w:val="24"/>
          <w:highlight w:val="none"/>
        </w:rPr>
      </w:pPr>
    </w:p>
    <w:sectPr>
      <w:footerReference r:id="rId8" w:type="default"/>
      <w:footerReference r:id="rId9" w:type="even"/>
      <w:pgSz w:w="11906" w:h="16838"/>
      <w:pgMar w:top="1440" w:right="1558" w:bottom="1246" w:left="1758" w:header="1021" w:footer="90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Arial Unicode MS">
    <w:panose1 w:val="020B0604020202020204"/>
    <w:charset w:val="86"/>
    <w:family w:val="roman"/>
    <w:pitch w:val="default"/>
    <w:sig w:usb0="FFFFFFFF" w:usb1="E9FFFFFF" w:usb2="0000003F" w:usb3="00000000" w:csb0="603F01FF" w:csb1="FFFF0000"/>
  </w:font>
  <w:font w:name="Calibri Light">
    <w:altName w:val="Calibri"/>
    <w:panose1 w:val="020F0302020204030204"/>
    <w:charset w:val="00"/>
    <w:family w:val="swiss"/>
    <w:pitch w:val="default"/>
    <w:sig w:usb0="00000000" w:usb1="00000000"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Lucida Sans">
    <w:panose1 w:val="020B0602030504020204"/>
    <w:charset w:val="00"/>
    <w:family w:val="swiss"/>
    <w:pitch w:val="default"/>
    <w:sig w:usb0="00000003" w:usb1="00000000" w:usb2="00000000" w:usb3="00000000" w:csb0="20000001" w:csb1="00000000"/>
  </w:font>
  <w:font w:name="Helvetica Neue">
    <w:altName w:val="Malgun Gothic"/>
    <w:panose1 w:val="00000000000000000000"/>
    <w:charset w:val="00"/>
    <w:family w:val="auto"/>
    <w:pitch w:val="default"/>
    <w:sig w:usb0="00000000" w:usb1="00000000" w:usb2="00000010" w:usb3="00000000" w:csb0="00000000" w:csb1="00000000"/>
  </w:font>
  <w:font w:name="Malgun Gothic">
    <w:panose1 w:val="020B0503020000020004"/>
    <w:charset w:val="81"/>
    <w:family w:val="auto"/>
    <w:pitch w:val="default"/>
    <w:sig w:usb0="900002AF" w:usb1="01D77CFB" w:usb2="00000012" w:usb3="00000000" w:csb0="0008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 w:name="MS Gothic">
    <w:panose1 w:val="020B0609070205080204"/>
    <w:charset w:val="80"/>
    <w:family w:val="modern"/>
    <w:pitch w:val="default"/>
    <w:sig w:usb0="E00002FF" w:usb1="6AC7FDFB" w:usb2="00000012" w:usb3="00000000" w:csb0="4002009F" w:csb1="DFD70000"/>
  </w:font>
  <w:font w:name="Helvetica">
    <w:altName w:val="Arial"/>
    <w:panose1 w:val="020B0604020202020204"/>
    <w:charset w:val="00"/>
    <w:family w:val="swiss"/>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w:t>
    </w:r>
  </w:p>
  <w:p>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w:t>
    </w:r>
  </w:p>
  <w:p>
    <w:pPr>
      <w:pStyle w:val="2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framePr w:wrap="around" w:vAnchor="text" w:hAnchor="margin" w:xAlign="center" w:y="1"/>
      <w:rPr>
        <w:rStyle w:val="45"/>
      </w:rPr>
    </w:pPr>
    <w:r>
      <w:rPr>
        <w:rStyle w:val="45"/>
      </w:rPr>
      <w:fldChar w:fldCharType="begin"/>
    </w:r>
    <w:r>
      <w:rPr>
        <w:rStyle w:val="45"/>
      </w:rPr>
      <w:instrText xml:space="preserve">PAGE  </w:instrText>
    </w:r>
    <w:r>
      <w:rPr>
        <w:rStyle w:val="45"/>
      </w:rPr>
      <w:fldChar w:fldCharType="end"/>
    </w:r>
  </w:p>
  <w:p>
    <w:pPr>
      <w:pStyle w:val="2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left"/>
    </w:pPr>
    <w:r>
      <w:rPr>
        <w:rFonts w:hint="eastAsia"/>
        <w:lang w:eastAsia="zh-CN"/>
      </w:rPr>
      <w:t>曹娥江流域预报调度一体化项目</w:t>
    </w:r>
    <w:r>
      <w:rPr>
        <w:rFonts w:hint="eastAsia"/>
      </w:rPr>
      <w:t>招标文件</w:t>
    </w:r>
    <w:r>
      <w:rPr>
        <w:rFonts w:hint="eastAsia"/>
        <w:lang w:val="en-US" w:eastAsia="zh-CN"/>
      </w:rPr>
      <w:t xml:space="preserve">                            </w:t>
    </w:r>
    <w:r>
      <w:rPr>
        <w:rFonts w:hint="eastAsia"/>
      </w:rPr>
      <w:t>招标编号</w:t>
    </w:r>
    <w:r>
      <w:rPr>
        <w:rFonts w:hint="eastAsia"/>
        <w:lang w:val="en-US" w:eastAsia="zh-CN"/>
      </w:rPr>
      <w:t>:</w:t>
    </w:r>
    <w:r>
      <w:rPr>
        <w:rFonts w:hint="eastAsia"/>
      </w:rPr>
      <w:t>GSHZJ-2022-N000697</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left"/>
      <w:rPr>
        <w:rFonts w:hint="eastAsia"/>
        <w:lang w:eastAsia="zh-CN"/>
      </w:rPr>
    </w:pPr>
    <w:r>
      <w:rPr>
        <w:rFonts w:hint="eastAsia"/>
        <w:lang w:eastAsia="zh-CN"/>
      </w:rPr>
      <w:t>曹娥江流域预报调度一体化项目</w:t>
    </w:r>
    <w:r>
      <w:rPr>
        <w:rFonts w:hint="eastAsia"/>
      </w:rPr>
      <w:t>招标文件</w:t>
    </w:r>
    <w:r>
      <w:rPr>
        <w:rFonts w:hint="eastAsia"/>
        <w:lang w:val="en-US" w:eastAsia="zh-CN"/>
      </w:rPr>
      <w:t xml:space="preserve">                                </w:t>
    </w:r>
    <w:r>
      <w:rPr>
        <w:rFonts w:hint="eastAsia"/>
      </w:rPr>
      <w:t>招标编号</w:t>
    </w:r>
    <w:r>
      <w:rPr>
        <w:rFonts w:hint="eastAsia"/>
        <w:lang w:val="en-US" w:eastAsia="zh-CN"/>
      </w:rPr>
      <w:t>:</w:t>
    </w:r>
    <w:r>
      <w:rPr>
        <w:rFonts w:hint="eastAsia"/>
      </w:rPr>
      <w:t>GSHZJ-2022-N000697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73B390A"/>
    <w:multiLevelType w:val="singleLevel"/>
    <w:tmpl w:val="E73B390A"/>
    <w:lvl w:ilvl="0" w:tentative="0">
      <w:start w:val="1"/>
      <w:numFmt w:val="decimal"/>
      <w:suff w:val="nothing"/>
      <w:lvlText w:val="（%1）"/>
      <w:lvlJc w:val="left"/>
    </w:lvl>
  </w:abstractNum>
  <w:abstractNum w:abstractNumId="1">
    <w:nsid w:val="FFFFFF7E"/>
    <w:multiLevelType w:val="singleLevel"/>
    <w:tmpl w:val="FFFFFF7E"/>
    <w:lvl w:ilvl="0" w:tentative="0">
      <w:start w:val="1"/>
      <w:numFmt w:val="decimal"/>
      <w:pStyle w:val="6"/>
      <w:lvlText w:val="%1."/>
      <w:lvlJc w:val="left"/>
      <w:pPr>
        <w:tabs>
          <w:tab w:val="left" w:pos="1200"/>
        </w:tabs>
        <w:ind w:left="1200" w:leftChars="400" w:hanging="360" w:hangingChars="200"/>
      </w:pPr>
    </w:lvl>
  </w:abstractNum>
  <w:abstractNum w:abstractNumId="2">
    <w:nsid w:val="FFFFFF88"/>
    <w:multiLevelType w:val="singleLevel"/>
    <w:tmpl w:val="FFFFFF88"/>
    <w:lvl w:ilvl="0" w:tentative="0">
      <w:start w:val="1"/>
      <w:numFmt w:val="decimal"/>
      <w:pStyle w:val="5"/>
      <w:lvlText w:val="%1."/>
      <w:lvlJc w:val="left"/>
      <w:pPr>
        <w:tabs>
          <w:tab w:val="left" w:pos="360"/>
        </w:tabs>
        <w:ind w:left="360" w:hanging="360" w:hangingChars="200"/>
      </w:pPr>
    </w:lvl>
  </w:abstractNum>
  <w:abstractNum w:abstractNumId="3">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4">
    <w:nsid w:val="5CB017FC"/>
    <w:multiLevelType w:val="multilevel"/>
    <w:tmpl w:val="5CB017FC"/>
    <w:lvl w:ilvl="0" w:tentative="0">
      <w:start w:val="1"/>
      <w:numFmt w:val="decimal"/>
      <w:pStyle w:val="4"/>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pStyle w:val="8"/>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5">
    <w:nsid w:val="60891078"/>
    <w:multiLevelType w:val="singleLevel"/>
    <w:tmpl w:val="60891078"/>
    <w:lvl w:ilvl="0" w:tentative="0">
      <w:start w:val="1"/>
      <w:numFmt w:val="decimal"/>
      <w:suff w:val="nothing"/>
      <w:lvlText w:val="%1、"/>
      <w:lvlJc w:val="left"/>
    </w:lvl>
  </w:abstractNum>
  <w:abstractNum w:abstractNumId="6">
    <w:nsid w:val="6A383B68"/>
    <w:multiLevelType w:val="singleLevel"/>
    <w:tmpl w:val="6A383B68"/>
    <w:lvl w:ilvl="0" w:tentative="0">
      <w:start w:val="1"/>
      <w:numFmt w:val="upperLetter"/>
      <w:pStyle w:val="9"/>
      <w:lvlText w:val="%1、"/>
      <w:lvlJc w:val="left"/>
      <w:pPr>
        <w:tabs>
          <w:tab w:val="left" w:pos="405"/>
        </w:tabs>
        <w:ind w:left="405" w:hanging="405"/>
      </w:pPr>
    </w:lvl>
  </w:abstractNum>
  <w:abstractNum w:abstractNumId="7">
    <w:nsid w:val="72696FE3"/>
    <w:multiLevelType w:val="multilevel"/>
    <w:tmpl w:val="72696FE3"/>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2"/>
  </w:num>
  <w:num w:numId="3">
    <w:abstractNumId w:val="1"/>
  </w:num>
  <w:num w:numId="4">
    <w:abstractNumId w:val="6"/>
  </w:num>
  <w:num w:numId="5">
    <w:abstractNumId w:val="7"/>
  </w:num>
  <w:num w:numId="6">
    <w:abstractNumId w:val="0"/>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GU4MjViYTBmMTFhZjY3NzQ4ODQ4YTQ1MjBkZmMyZjIifQ=="/>
  </w:docVars>
  <w:rsids>
    <w:rsidRoot w:val="00417C8A"/>
    <w:rsid w:val="00002EF8"/>
    <w:rsid w:val="00003B69"/>
    <w:rsid w:val="00005125"/>
    <w:rsid w:val="0000551C"/>
    <w:rsid w:val="00010C9A"/>
    <w:rsid w:val="00010FC1"/>
    <w:rsid w:val="0001278F"/>
    <w:rsid w:val="0002045E"/>
    <w:rsid w:val="00021D87"/>
    <w:rsid w:val="0002203D"/>
    <w:rsid w:val="0002468D"/>
    <w:rsid w:val="00025A9F"/>
    <w:rsid w:val="00026762"/>
    <w:rsid w:val="00031F75"/>
    <w:rsid w:val="000329A7"/>
    <w:rsid w:val="00033D7B"/>
    <w:rsid w:val="000402F5"/>
    <w:rsid w:val="00040A03"/>
    <w:rsid w:val="00047118"/>
    <w:rsid w:val="0005172F"/>
    <w:rsid w:val="000517D0"/>
    <w:rsid w:val="00051C47"/>
    <w:rsid w:val="000535F4"/>
    <w:rsid w:val="00056199"/>
    <w:rsid w:val="0005700A"/>
    <w:rsid w:val="0006049D"/>
    <w:rsid w:val="0006344A"/>
    <w:rsid w:val="0006392C"/>
    <w:rsid w:val="000643A5"/>
    <w:rsid w:val="000649B3"/>
    <w:rsid w:val="00065197"/>
    <w:rsid w:val="000657C6"/>
    <w:rsid w:val="00065EFB"/>
    <w:rsid w:val="00067FB2"/>
    <w:rsid w:val="000702AD"/>
    <w:rsid w:val="00074373"/>
    <w:rsid w:val="000751F9"/>
    <w:rsid w:val="00075850"/>
    <w:rsid w:val="0007656E"/>
    <w:rsid w:val="000812D0"/>
    <w:rsid w:val="00082DC1"/>
    <w:rsid w:val="00083E93"/>
    <w:rsid w:val="00083EB1"/>
    <w:rsid w:val="00087605"/>
    <w:rsid w:val="000933A2"/>
    <w:rsid w:val="0009629C"/>
    <w:rsid w:val="00097421"/>
    <w:rsid w:val="00097868"/>
    <w:rsid w:val="000A0868"/>
    <w:rsid w:val="000A1F26"/>
    <w:rsid w:val="000A3FC5"/>
    <w:rsid w:val="000A4017"/>
    <w:rsid w:val="000A5AC0"/>
    <w:rsid w:val="000B0284"/>
    <w:rsid w:val="000B033D"/>
    <w:rsid w:val="000B1744"/>
    <w:rsid w:val="000B1D0B"/>
    <w:rsid w:val="000B2A94"/>
    <w:rsid w:val="000B471E"/>
    <w:rsid w:val="000B625B"/>
    <w:rsid w:val="000C14CF"/>
    <w:rsid w:val="000C1F3C"/>
    <w:rsid w:val="000C2835"/>
    <w:rsid w:val="000C3344"/>
    <w:rsid w:val="000D0E6C"/>
    <w:rsid w:val="000D110F"/>
    <w:rsid w:val="000D122E"/>
    <w:rsid w:val="000D1267"/>
    <w:rsid w:val="000D1D59"/>
    <w:rsid w:val="000D4D0E"/>
    <w:rsid w:val="000E1C88"/>
    <w:rsid w:val="000E3723"/>
    <w:rsid w:val="000E4A4F"/>
    <w:rsid w:val="000E5C9B"/>
    <w:rsid w:val="000E6F8C"/>
    <w:rsid w:val="000E72A0"/>
    <w:rsid w:val="000F51A7"/>
    <w:rsid w:val="000F5EF4"/>
    <w:rsid w:val="000F7FA8"/>
    <w:rsid w:val="001023D9"/>
    <w:rsid w:val="00103B47"/>
    <w:rsid w:val="00104327"/>
    <w:rsid w:val="00104663"/>
    <w:rsid w:val="00104806"/>
    <w:rsid w:val="00104A07"/>
    <w:rsid w:val="0010763D"/>
    <w:rsid w:val="00111E93"/>
    <w:rsid w:val="00112B08"/>
    <w:rsid w:val="00114BF9"/>
    <w:rsid w:val="00114C81"/>
    <w:rsid w:val="00115363"/>
    <w:rsid w:val="00116EDA"/>
    <w:rsid w:val="0012018C"/>
    <w:rsid w:val="00120D86"/>
    <w:rsid w:val="001259AD"/>
    <w:rsid w:val="00125D70"/>
    <w:rsid w:val="00126CDE"/>
    <w:rsid w:val="00132EE2"/>
    <w:rsid w:val="001345B3"/>
    <w:rsid w:val="0013527E"/>
    <w:rsid w:val="00137525"/>
    <w:rsid w:val="0014024E"/>
    <w:rsid w:val="0014242C"/>
    <w:rsid w:val="0014545F"/>
    <w:rsid w:val="00145D25"/>
    <w:rsid w:val="00152C32"/>
    <w:rsid w:val="00154591"/>
    <w:rsid w:val="00154E3A"/>
    <w:rsid w:val="00156633"/>
    <w:rsid w:val="00156A4A"/>
    <w:rsid w:val="00157269"/>
    <w:rsid w:val="0015771E"/>
    <w:rsid w:val="00157914"/>
    <w:rsid w:val="00157FB7"/>
    <w:rsid w:val="00160B0A"/>
    <w:rsid w:val="00161F66"/>
    <w:rsid w:val="00162DD9"/>
    <w:rsid w:val="001637A2"/>
    <w:rsid w:val="00163B9C"/>
    <w:rsid w:val="00165068"/>
    <w:rsid w:val="001657B2"/>
    <w:rsid w:val="00171701"/>
    <w:rsid w:val="0017455C"/>
    <w:rsid w:val="00174F52"/>
    <w:rsid w:val="001751A8"/>
    <w:rsid w:val="0018130F"/>
    <w:rsid w:val="00181544"/>
    <w:rsid w:val="00182D73"/>
    <w:rsid w:val="0018376B"/>
    <w:rsid w:val="001841D9"/>
    <w:rsid w:val="00184C15"/>
    <w:rsid w:val="00185F55"/>
    <w:rsid w:val="001873DB"/>
    <w:rsid w:val="00187AB1"/>
    <w:rsid w:val="0019064E"/>
    <w:rsid w:val="00190DB7"/>
    <w:rsid w:val="00191263"/>
    <w:rsid w:val="00191BE8"/>
    <w:rsid w:val="00191EE1"/>
    <w:rsid w:val="00193494"/>
    <w:rsid w:val="00194583"/>
    <w:rsid w:val="001A0C24"/>
    <w:rsid w:val="001A15C0"/>
    <w:rsid w:val="001A4123"/>
    <w:rsid w:val="001A4A9D"/>
    <w:rsid w:val="001A6712"/>
    <w:rsid w:val="001A7E2A"/>
    <w:rsid w:val="001B2770"/>
    <w:rsid w:val="001B485F"/>
    <w:rsid w:val="001B4C51"/>
    <w:rsid w:val="001B589D"/>
    <w:rsid w:val="001B70E5"/>
    <w:rsid w:val="001B75D0"/>
    <w:rsid w:val="001C07C7"/>
    <w:rsid w:val="001C57F3"/>
    <w:rsid w:val="001C5AA3"/>
    <w:rsid w:val="001C6042"/>
    <w:rsid w:val="001C6EC1"/>
    <w:rsid w:val="001D24BB"/>
    <w:rsid w:val="001D30DD"/>
    <w:rsid w:val="001D3CEA"/>
    <w:rsid w:val="001D6ED7"/>
    <w:rsid w:val="001D76A1"/>
    <w:rsid w:val="001E3B20"/>
    <w:rsid w:val="001E4A9F"/>
    <w:rsid w:val="001F14C4"/>
    <w:rsid w:val="001F2767"/>
    <w:rsid w:val="001F429B"/>
    <w:rsid w:val="001F43C6"/>
    <w:rsid w:val="001F4B0F"/>
    <w:rsid w:val="001F4C63"/>
    <w:rsid w:val="001F661E"/>
    <w:rsid w:val="001F7E31"/>
    <w:rsid w:val="00201062"/>
    <w:rsid w:val="0020236F"/>
    <w:rsid w:val="00204DA6"/>
    <w:rsid w:val="0020567D"/>
    <w:rsid w:val="002056F9"/>
    <w:rsid w:val="002062F2"/>
    <w:rsid w:val="0020786F"/>
    <w:rsid w:val="002102AD"/>
    <w:rsid w:val="00210450"/>
    <w:rsid w:val="002105F0"/>
    <w:rsid w:val="00213AC9"/>
    <w:rsid w:val="00214C2B"/>
    <w:rsid w:val="0022062E"/>
    <w:rsid w:val="00223848"/>
    <w:rsid w:val="00223A5B"/>
    <w:rsid w:val="00224A52"/>
    <w:rsid w:val="002261D7"/>
    <w:rsid w:val="002266CD"/>
    <w:rsid w:val="0022698F"/>
    <w:rsid w:val="00230129"/>
    <w:rsid w:val="00230A8D"/>
    <w:rsid w:val="00231CB7"/>
    <w:rsid w:val="00233356"/>
    <w:rsid w:val="00235AC1"/>
    <w:rsid w:val="0023638E"/>
    <w:rsid w:val="00240411"/>
    <w:rsid w:val="00243D9A"/>
    <w:rsid w:val="002442F3"/>
    <w:rsid w:val="00244766"/>
    <w:rsid w:val="00247AB8"/>
    <w:rsid w:val="00251888"/>
    <w:rsid w:val="0025660E"/>
    <w:rsid w:val="00256A92"/>
    <w:rsid w:val="0025749B"/>
    <w:rsid w:val="002608A0"/>
    <w:rsid w:val="00260A0D"/>
    <w:rsid w:val="00262E82"/>
    <w:rsid w:val="00264B31"/>
    <w:rsid w:val="00264FFB"/>
    <w:rsid w:val="00266447"/>
    <w:rsid w:val="00267D7C"/>
    <w:rsid w:val="00270E20"/>
    <w:rsid w:val="00271324"/>
    <w:rsid w:val="00274B01"/>
    <w:rsid w:val="00275F7B"/>
    <w:rsid w:val="00283EAF"/>
    <w:rsid w:val="002857D3"/>
    <w:rsid w:val="002860D2"/>
    <w:rsid w:val="00286495"/>
    <w:rsid w:val="00291839"/>
    <w:rsid w:val="00291D57"/>
    <w:rsid w:val="002945E5"/>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A4B"/>
    <w:rsid w:val="002B5650"/>
    <w:rsid w:val="002B6B66"/>
    <w:rsid w:val="002B78AF"/>
    <w:rsid w:val="002C0C85"/>
    <w:rsid w:val="002C2C53"/>
    <w:rsid w:val="002C3804"/>
    <w:rsid w:val="002D2F86"/>
    <w:rsid w:val="002D6849"/>
    <w:rsid w:val="002D6DC6"/>
    <w:rsid w:val="002D7C56"/>
    <w:rsid w:val="002E2C11"/>
    <w:rsid w:val="002E34F4"/>
    <w:rsid w:val="002E35C4"/>
    <w:rsid w:val="002E4DCA"/>
    <w:rsid w:val="002E6CF6"/>
    <w:rsid w:val="002E7ADA"/>
    <w:rsid w:val="002F2363"/>
    <w:rsid w:val="002F34ED"/>
    <w:rsid w:val="002F3755"/>
    <w:rsid w:val="002F3F13"/>
    <w:rsid w:val="002F40C5"/>
    <w:rsid w:val="002F4354"/>
    <w:rsid w:val="002F439D"/>
    <w:rsid w:val="002F5A63"/>
    <w:rsid w:val="002F7932"/>
    <w:rsid w:val="003006C3"/>
    <w:rsid w:val="00302020"/>
    <w:rsid w:val="00302514"/>
    <w:rsid w:val="00303064"/>
    <w:rsid w:val="00307917"/>
    <w:rsid w:val="00310479"/>
    <w:rsid w:val="00310AA4"/>
    <w:rsid w:val="0031167A"/>
    <w:rsid w:val="00314204"/>
    <w:rsid w:val="00316329"/>
    <w:rsid w:val="003214B7"/>
    <w:rsid w:val="00322583"/>
    <w:rsid w:val="00322E59"/>
    <w:rsid w:val="00323729"/>
    <w:rsid w:val="00323B52"/>
    <w:rsid w:val="00323E60"/>
    <w:rsid w:val="003250A1"/>
    <w:rsid w:val="0032789C"/>
    <w:rsid w:val="00327C7D"/>
    <w:rsid w:val="003302F0"/>
    <w:rsid w:val="00332DA4"/>
    <w:rsid w:val="00334D83"/>
    <w:rsid w:val="003371DD"/>
    <w:rsid w:val="003413F9"/>
    <w:rsid w:val="0034305B"/>
    <w:rsid w:val="00347CAD"/>
    <w:rsid w:val="00350E72"/>
    <w:rsid w:val="00351EEF"/>
    <w:rsid w:val="0035254A"/>
    <w:rsid w:val="003565A0"/>
    <w:rsid w:val="003618CE"/>
    <w:rsid w:val="00365766"/>
    <w:rsid w:val="00365F56"/>
    <w:rsid w:val="003670EB"/>
    <w:rsid w:val="00367EAB"/>
    <w:rsid w:val="0037368A"/>
    <w:rsid w:val="00375107"/>
    <w:rsid w:val="0037517D"/>
    <w:rsid w:val="003822F9"/>
    <w:rsid w:val="00384E3C"/>
    <w:rsid w:val="00385323"/>
    <w:rsid w:val="0039130B"/>
    <w:rsid w:val="00391E7C"/>
    <w:rsid w:val="00393589"/>
    <w:rsid w:val="00393A4C"/>
    <w:rsid w:val="003949AE"/>
    <w:rsid w:val="003A137B"/>
    <w:rsid w:val="003A19D2"/>
    <w:rsid w:val="003A3963"/>
    <w:rsid w:val="003A546B"/>
    <w:rsid w:val="003A74F5"/>
    <w:rsid w:val="003B1CEB"/>
    <w:rsid w:val="003B24CA"/>
    <w:rsid w:val="003B2B02"/>
    <w:rsid w:val="003B4EAE"/>
    <w:rsid w:val="003B774D"/>
    <w:rsid w:val="003B7907"/>
    <w:rsid w:val="003C46C5"/>
    <w:rsid w:val="003C4B74"/>
    <w:rsid w:val="003C527A"/>
    <w:rsid w:val="003C637D"/>
    <w:rsid w:val="003C7A48"/>
    <w:rsid w:val="003C7F20"/>
    <w:rsid w:val="003D10C3"/>
    <w:rsid w:val="003D1A22"/>
    <w:rsid w:val="003D3253"/>
    <w:rsid w:val="003D7052"/>
    <w:rsid w:val="003E074D"/>
    <w:rsid w:val="003E0777"/>
    <w:rsid w:val="003E2D56"/>
    <w:rsid w:val="003E4007"/>
    <w:rsid w:val="003E5724"/>
    <w:rsid w:val="003E6C02"/>
    <w:rsid w:val="003F2982"/>
    <w:rsid w:val="003F4084"/>
    <w:rsid w:val="003F77E0"/>
    <w:rsid w:val="00400057"/>
    <w:rsid w:val="00400B4D"/>
    <w:rsid w:val="004014D1"/>
    <w:rsid w:val="00403FEC"/>
    <w:rsid w:val="00404284"/>
    <w:rsid w:val="00407D88"/>
    <w:rsid w:val="004109FD"/>
    <w:rsid w:val="0041394C"/>
    <w:rsid w:val="00413B7A"/>
    <w:rsid w:val="0041460B"/>
    <w:rsid w:val="00414F64"/>
    <w:rsid w:val="00417C8A"/>
    <w:rsid w:val="0042136D"/>
    <w:rsid w:val="004227AD"/>
    <w:rsid w:val="00424C70"/>
    <w:rsid w:val="0042557D"/>
    <w:rsid w:val="00426003"/>
    <w:rsid w:val="004350B7"/>
    <w:rsid w:val="004357E0"/>
    <w:rsid w:val="0043766D"/>
    <w:rsid w:val="00441896"/>
    <w:rsid w:val="00442935"/>
    <w:rsid w:val="0044422F"/>
    <w:rsid w:val="004443C5"/>
    <w:rsid w:val="00445C1C"/>
    <w:rsid w:val="00447789"/>
    <w:rsid w:val="004513F6"/>
    <w:rsid w:val="00451D55"/>
    <w:rsid w:val="00457231"/>
    <w:rsid w:val="00457BF2"/>
    <w:rsid w:val="004600A6"/>
    <w:rsid w:val="00460793"/>
    <w:rsid w:val="00461637"/>
    <w:rsid w:val="00463E5C"/>
    <w:rsid w:val="00464359"/>
    <w:rsid w:val="00465D0D"/>
    <w:rsid w:val="00467CFF"/>
    <w:rsid w:val="0047117D"/>
    <w:rsid w:val="00471407"/>
    <w:rsid w:val="00471DA5"/>
    <w:rsid w:val="00472E4E"/>
    <w:rsid w:val="0047483C"/>
    <w:rsid w:val="00474BED"/>
    <w:rsid w:val="00476C0B"/>
    <w:rsid w:val="00477EFE"/>
    <w:rsid w:val="004814EA"/>
    <w:rsid w:val="004832BC"/>
    <w:rsid w:val="00485E04"/>
    <w:rsid w:val="00486B01"/>
    <w:rsid w:val="00487465"/>
    <w:rsid w:val="004939A7"/>
    <w:rsid w:val="00497699"/>
    <w:rsid w:val="00497DB2"/>
    <w:rsid w:val="004A0174"/>
    <w:rsid w:val="004A236E"/>
    <w:rsid w:val="004A3418"/>
    <w:rsid w:val="004A403F"/>
    <w:rsid w:val="004A51BA"/>
    <w:rsid w:val="004A5DF1"/>
    <w:rsid w:val="004A6677"/>
    <w:rsid w:val="004A7A78"/>
    <w:rsid w:val="004B3B15"/>
    <w:rsid w:val="004B5136"/>
    <w:rsid w:val="004B5B9E"/>
    <w:rsid w:val="004C0238"/>
    <w:rsid w:val="004C0EE6"/>
    <w:rsid w:val="004C3EFB"/>
    <w:rsid w:val="004C40D8"/>
    <w:rsid w:val="004C5147"/>
    <w:rsid w:val="004C6D62"/>
    <w:rsid w:val="004D017A"/>
    <w:rsid w:val="004D0304"/>
    <w:rsid w:val="004D0DB1"/>
    <w:rsid w:val="004D0EA8"/>
    <w:rsid w:val="004D103A"/>
    <w:rsid w:val="004D2D24"/>
    <w:rsid w:val="004D314A"/>
    <w:rsid w:val="004D4938"/>
    <w:rsid w:val="004D5FE6"/>
    <w:rsid w:val="004D609E"/>
    <w:rsid w:val="004E05D9"/>
    <w:rsid w:val="004E0E2C"/>
    <w:rsid w:val="004E1AB8"/>
    <w:rsid w:val="004E2D4B"/>
    <w:rsid w:val="004E4899"/>
    <w:rsid w:val="004E7CD7"/>
    <w:rsid w:val="004F3734"/>
    <w:rsid w:val="004F69CA"/>
    <w:rsid w:val="004F7507"/>
    <w:rsid w:val="004F7995"/>
    <w:rsid w:val="00503D74"/>
    <w:rsid w:val="005041C0"/>
    <w:rsid w:val="0050570A"/>
    <w:rsid w:val="0050629F"/>
    <w:rsid w:val="00513DE6"/>
    <w:rsid w:val="005144B2"/>
    <w:rsid w:val="00517733"/>
    <w:rsid w:val="005215F9"/>
    <w:rsid w:val="00522169"/>
    <w:rsid w:val="005230CA"/>
    <w:rsid w:val="0052340D"/>
    <w:rsid w:val="0052376F"/>
    <w:rsid w:val="00524FD6"/>
    <w:rsid w:val="00527E1C"/>
    <w:rsid w:val="00532937"/>
    <w:rsid w:val="005351C1"/>
    <w:rsid w:val="00536FBF"/>
    <w:rsid w:val="0054018C"/>
    <w:rsid w:val="005410BB"/>
    <w:rsid w:val="00544130"/>
    <w:rsid w:val="005459FE"/>
    <w:rsid w:val="00545F40"/>
    <w:rsid w:val="00553E02"/>
    <w:rsid w:val="00553FE7"/>
    <w:rsid w:val="0055544C"/>
    <w:rsid w:val="00555780"/>
    <w:rsid w:val="00556840"/>
    <w:rsid w:val="00557737"/>
    <w:rsid w:val="0056065C"/>
    <w:rsid w:val="00565EF8"/>
    <w:rsid w:val="00566FBC"/>
    <w:rsid w:val="0057066B"/>
    <w:rsid w:val="00570DFC"/>
    <w:rsid w:val="00572BAD"/>
    <w:rsid w:val="00573677"/>
    <w:rsid w:val="005738F4"/>
    <w:rsid w:val="00573BCB"/>
    <w:rsid w:val="00576529"/>
    <w:rsid w:val="00576EFE"/>
    <w:rsid w:val="005770CA"/>
    <w:rsid w:val="0058680D"/>
    <w:rsid w:val="00586C3A"/>
    <w:rsid w:val="005879E7"/>
    <w:rsid w:val="00590A70"/>
    <w:rsid w:val="00591190"/>
    <w:rsid w:val="00591584"/>
    <w:rsid w:val="00594CDD"/>
    <w:rsid w:val="005A3003"/>
    <w:rsid w:val="005A32FB"/>
    <w:rsid w:val="005A3E6E"/>
    <w:rsid w:val="005A7A4A"/>
    <w:rsid w:val="005B180C"/>
    <w:rsid w:val="005B76B4"/>
    <w:rsid w:val="005C2908"/>
    <w:rsid w:val="005C30CF"/>
    <w:rsid w:val="005C3154"/>
    <w:rsid w:val="005C3A22"/>
    <w:rsid w:val="005C54A7"/>
    <w:rsid w:val="005C6EE6"/>
    <w:rsid w:val="005C6F10"/>
    <w:rsid w:val="005D0155"/>
    <w:rsid w:val="005D2F62"/>
    <w:rsid w:val="005D375C"/>
    <w:rsid w:val="005D451A"/>
    <w:rsid w:val="005D6575"/>
    <w:rsid w:val="005D70ED"/>
    <w:rsid w:val="005E282B"/>
    <w:rsid w:val="005E33BD"/>
    <w:rsid w:val="005E68E7"/>
    <w:rsid w:val="005F510E"/>
    <w:rsid w:val="005F5691"/>
    <w:rsid w:val="005F78A5"/>
    <w:rsid w:val="006029F2"/>
    <w:rsid w:val="00604458"/>
    <w:rsid w:val="00606ED5"/>
    <w:rsid w:val="006070BD"/>
    <w:rsid w:val="006073C6"/>
    <w:rsid w:val="00607E60"/>
    <w:rsid w:val="006107F3"/>
    <w:rsid w:val="006120C0"/>
    <w:rsid w:val="00615BAF"/>
    <w:rsid w:val="00617775"/>
    <w:rsid w:val="00622201"/>
    <w:rsid w:val="006225C8"/>
    <w:rsid w:val="006225CB"/>
    <w:rsid w:val="00624516"/>
    <w:rsid w:val="006257E9"/>
    <w:rsid w:val="00625BC2"/>
    <w:rsid w:val="0062625D"/>
    <w:rsid w:val="006264DB"/>
    <w:rsid w:val="00630ADC"/>
    <w:rsid w:val="00630CF7"/>
    <w:rsid w:val="006351A3"/>
    <w:rsid w:val="00637770"/>
    <w:rsid w:val="006378C9"/>
    <w:rsid w:val="00642276"/>
    <w:rsid w:val="00643AA9"/>
    <w:rsid w:val="00643BDC"/>
    <w:rsid w:val="0064613F"/>
    <w:rsid w:val="006465FE"/>
    <w:rsid w:val="00646E44"/>
    <w:rsid w:val="00651F43"/>
    <w:rsid w:val="006527F3"/>
    <w:rsid w:val="00665466"/>
    <w:rsid w:val="00665C19"/>
    <w:rsid w:val="00665CBD"/>
    <w:rsid w:val="00671A32"/>
    <w:rsid w:val="00672AC8"/>
    <w:rsid w:val="00675C4B"/>
    <w:rsid w:val="0067762D"/>
    <w:rsid w:val="00680B4E"/>
    <w:rsid w:val="006810E4"/>
    <w:rsid w:val="006839B6"/>
    <w:rsid w:val="006843E1"/>
    <w:rsid w:val="0068671B"/>
    <w:rsid w:val="00686F48"/>
    <w:rsid w:val="006872D9"/>
    <w:rsid w:val="00687DA3"/>
    <w:rsid w:val="006936A5"/>
    <w:rsid w:val="006943CE"/>
    <w:rsid w:val="006948E4"/>
    <w:rsid w:val="00694B34"/>
    <w:rsid w:val="00694B87"/>
    <w:rsid w:val="00694D00"/>
    <w:rsid w:val="006A09E3"/>
    <w:rsid w:val="006A1906"/>
    <w:rsid w:val="006A3D9E"/>
    <w:rsid w:val="006A4F05"/>
    <w:rsid w:val="006A69A8"/>
    <w:rsid w:val="006B183A"/>
    <w:rsid w:val="006B1A97"/>
    <w:rsid w:val="006B4F54"/>
    <w:rsid w:val="006B6B67"/>
    <w:rsid w:val="006C002F"/>
    <w:rsid w:val="006C02F5"/>
    <w:rsid w:val="006C5FEF"/>
    <w:rsid w:val="006C7EB3"/>
    <w:rsid w:val="006D5227"/>
    <w:rsid w:val="006D629D"/>
    <w:rsid w:val="006E51D3"/>
    <w:rsid w:val="006E64A5"/>
    <w:rsid w:val="006E6C77"/>
    <w:rsid w:val="006E772C"/>
    <w:rsid w:val="006E797A"/>
    <w:rsid w:val="006F0A0C"/>
    <w:rsid w:val="006F1D8D"/>
    <w:rsid w:val="006F2510"/>
    <w:rsid w:val="006F3A0F"/>
    <w:rsid w:val="007014C0"/>
    <w:rsid w:val="00702458"/>
    <w:rsid w:val="007047D8"/>
    <w:rsid w:val="00707395"/>
    <w:rsid w:val="007122EB"/>
    <w:rsid w:val="00715B09"/>
    <w:rsid w:val="00721BF4"/>
    <w:rsid w:val="00721CE2"/>
    <w:rsid w:val="007266EE"/>
    <w:rsid w:val="0072764B"/>
    <w:rsid w:val="00727936"/>
    <w:rsid w:val="00727E2C"/>
    <w:rsid w:val="00727F6F"/>
    <w:rsid w:val="007327FF"/>
    <w:rsid w:val="007402C2"/>
    <w:rsid w:val="007402D5"/>
    <w:rsid w:val="00740EED"/>
    <w:rsid w:val="00741976"/>
    <w:rsid w:val="00741F19"/>
    <w:rsid w:val="007435B2"/>
    <w:rsid w:val="00743C5C"/>
    <w:rsid w:val="0075094E"/>
    <w:rsid w:val="00751DF3"/>
    <w:rsid w:val="00752F32"/>
    <w:rsid w:val="0075304B"/>
    <w:rsid w:val="00757BAC"/>
    <w:rsid w:val="0076108E"/>
    <w:rsid w:val="00762B5C"/>
    <w:rsid w:val="007715B9"/>
    <w:rsid w:val="00771654"/>
    <w:rsid w:val="00772AC2"/>
    <w:rsid w:val="00773A2C"/>
    <w:rsid w:val="00775269"/>
    <w:rsid w:val="0077608C"/>
    <w:rsid w:val="007774FA"/>
    <w:rsid w:val="00777C1A"/>
    <w:rsid w:val="00777F21"/>
    <w:rsid w:val="00780272"/>
    <w:rsid w:val="007804F7"/>
    <w:rsid w:val="007809BE"/>
    <w:rsid w:val="007814B9"/>
    <w:rsid w:val="0078178E"/>
    <w:rsid w:val="007822C3"/>
    <w:rsid w:val="00784810"/>
    <w:rsid w:val="00785B15"/>
    <w:rsid w:val="00787752"/>
    <w:rsid w:val="007910DD"/>
    <w:rsid w:val="0079174D"/>
    <w:rsid w:val="0079412B"/>
    <w:rsid w:val="00794F1B"/>
    <w:rsid w:val="007A06F3"/>
    <w:rsid w:val="007A160C"/>
    <w:rsid w:val="007A179B"/>
    <w:rsid w:val="007A4FF4"/>
    <w:rsid w:val="007A5361"/>
    <w:rsid w:val="007A6CC8"/>
    <w:rsid w:val="007B0001"/>
    <w:rsid w:val="007B3695"/>
    <w:rsid w:val="007B58B1"/>
    <w:rsid w:val="007B5ADD"/>
    <w:rsid w:val="007B6A7E"/>
    <w:rsid w:val="007B7257"/>
    <w:rsid w:val="007C2503"/>
    <w:rsid w:val="007C2B7A"/>
    <w:rsid w:val="007C4BF9"/>
    <w:rsid w:val="007C5716"/>
    <w:rsid w:val="007D0823"/>
    <w:rsid w:val="007D3E95"/>
    <w:rsid w:val="007D4361"/>
    <w:rsid w:val="007D506A"/>
    <w:rsid w:val="007D7005"/>
    <w:rsid w:val="007E3068"/>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70FB"/>
    <w:rsid w:val="008075BF"/>
    <w:rsid w:val="008125CD"/>
    <w:rsid w:val="00813057"/>
    <w:rsid w:val="00815230"/>
    <w:rsid w:val="00816151"/>
    <w:rsid w:val="00817564"/>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7589"/>
    <w:rsid w:val="00827791"/>
    <w:rsid w:val="00830F84"/>
    <w:rsid w:val="008310B0"/>
    <w:rsid w:val="008325F0"/>
    <w:rsid w:val="0083389D"/>
    <w:rsid w:val="00834788"/>
    <w:rsid w:val="00840AB3"/>
    <w:rsid w:val="008424CD"/>
    <w:rsid w:val="00842C80"/>
    <w:rsid w:val="00844F41"/>
    <w:rsid w:val="008457C1"/>
    <w:rsid w:val="0084613D"/>
    <w:rsid w:val="008473F0"/>
    <w:rsid w:val="00850E6B"/>
    <w:rsid w:val="00852E88"/>
    <w:rsid w:val="008557E8"/>
    <w:rsid w:val="00863478"/>
    <w:rsid w:val="00863945"/>
    <w:rsid w:val="00864E3D"/>
    <w:rsid w:val="00875064"/>
    <w:rsid w:val="00877F0F"/>
    <w:rsid w:val="008800C8"/>
    <w:rsid w:val="0088347A"/>
    <w:rsid w:val="00886234"/>
    <w:rsid w:val="008863D4"/>
    <w:rsid w:val="00886634"/>
    <w:rsid w:val="00887B85"/>
    <w:rsid w:val="00890B37"/>
    <w:rsid w:val="00890DCD"/>
    <w:rsid w:val="00896BE8"/>
    <w:rsid w:val="00896ED5"/>
    <w:rsid w:val="00897318"/>
    <w:rsid w:val="008A037C"/>
    <w:rsid w:val="008A17D1"/>
    <w:rsid w:val="008A251A"/>
    <w:rsid w:val="008A5161"/>
    <w:rsid w:val="008A6135"/>
    <w:rsid w:val="008A7376"/>
    <w:rsid w:val="008B3818"/>
    <w:rsid w:val="008B43D4"/>
    <w:rsid w:val="008B470F"/>
    <w:rsid w:val="008B6655"/>
    <w:rsid w:val="008C3401"/>
    <w:rsid w:val="008C4226"/>
    <w:rsid w:val="008C4325"/>
    <w:rsid w:val="008C4B7C"/>
    <w:rsid w:val="008C4E5B"/>
    <w:rsid w:val="008C764A"/>
    <w:rsid w:val="008D18D9"/>
    <w:rsid w:val="008D4AB1"/>
    <w:rsid w:val="008D7471"/>
    <w:rsid w:val="008D7B31"/>
    <w:rsid w:val="008E19EE"/>
    <w:rsid w:val="008E1A0D"/>
    <w:rsid w:val="008E316D"/>
    <w:rsid w:val="008E4B80"/>
    <w:rsid w:val="008E6364"/>
    <w:rsid w:val="008F03D5"/>
    <w:rsid w:val="008F07DF"/>
    <w:rsid w:val="008F1A2E"/>
    <w:rsid w:val="00900D76"/>
    <w:rsid w:val="0090286C"/>
    <w:rsid w:val="0090287D"/>
    <w:rsid w:val="009048AE"/>
    <w:rsid w:val="00906681"/>
    <w:rsid w:val="00907BAD"/>
    <w:rsid w:val="00910AEC"/>
    <w:rsid w:val="00911FE1"/>
    <w:rsid w:val="00912BD2"/>
    <w:rsid w:val="009175CE"/>
    <w:rsid w:val="0092030F"/>
    <w:rsid w:val="009215A1"/>
    <w:rsid w:val="00921A52"/>
    <w:rsid w:val="009250EF"/>
    <w:rsid w:val="00926541"/>
    <w:rsid w:val="009271D3"/>
    <w:rsid w:val="00927477"/>
    <w:rsid w:val="009309E4"/>
    <w:rsid w:val="00933465"/>
    <w:rsid w:val="00933FD9"/>
    <w:rsid w:val="00934ED5"/>
    <w:rsid w:val="0093527E"/>
    <w:rsid w:val="00935678"/>
    <w:rsid w:val="00935C1D"/>
    <w:rsid w:val="00936104"/>
    <w:rsid w:val="00936426"/>
    <w:rsid w:val="00936632"/>
    <w:rsid w:val="009379E5"/>
    <w:rsid w:val="00940FA0"/>
    <w:rsid w:val="009415ED"/>
    <w:rsid w:val="00944F1A"/>
    <w:rsid w:val="00947BAD"/>
    <w:rsid w:val="00947FE6"/>
    <w:rsid w:val="009517BF"/>
    <w:rsid w:val="00952269"/>
    <w:rsid w:val="00952CE1"/>
    <w:rsid w:val="00953507"/>
    <w:rsid w:val="009557D2"/>
    <w:rsid w:val="009568DF"/>
    <w:rsid w:val="009626CD"/>
    <w:rsid w:val="009639DC"/>
    <w:rsid w:val="00963B11"/>
    <w:rsid w:val="0096450C"/>
    <w:rsid w:val="009700D6"/>
    <w:rsid w:val="00970329"/>
    <w:rsid w:val="00970F9E"/>
    <w:rsid w:val="009712BD"/>
    <w:rsid w:val="00974BCB"/>
    <w:rsid w:val="00975C87"/>
    <w:rsid w:val="00976585"/>
    <w:rsid w:val="00986357"/>
    <w:rsid w:val="009924D5"/>
    <w:rsid w:val="009931AC"/>
    <w:rsid w:val="00993E50"/>
    <w:rsid w:val="00995623"/>
    <w:rsid w:val="0099775A"/>
    <w:rsid w:val="00997ACE"/>
    <w:rsid w:val="009A2940"/>
    <w:rsid w:val="009A373E"/>
    <w:rsid w:val="009A5E9D"/>
    <w:rsid w:val="009A728E"/>
    <w:rsid w:val="009A74ED"/>
    <w:rsid w:val="009B0779"/>
    <w:rsid w:val="009B206E"/>
    <w:rsid w:val="009B24E0"/>
    <w:rsid w:val="009B55F5"/>
    <w:rsid w:val="009B7B41"/>
    <w:rsid w:val="009C17E3"/>
    <w:rsid w:val="009C221E"/>
    <w:rsid w:val="009C3B05"/>
    <w:rsid w:val="009C473A"/>
    <w:rsid w:val="009C4D5D"/>
    <w:rsid w:val="009C4F71"/>
    <w:rsid w:val="009C6549"/>
    <w:rsid w:val="009C725B"/>
    <w:rsid w:val="009C76D3"/>
    <w:rsid w:val="009D13D6"/>
    <w:rsid w:val="009D1860"/>
    <w:rsid w:val="009D22A1"/>
    <w:rsid w:val="009D3E5A"/>
    <w:rsid w:val="009D5067"/>
    <w:rsid w:val="009D5C27"/>
    <w:rsid w:val="009D5D43"/>
    <w:rsid w:val="009D744F"/>
    <w:rsid w:val="009E0132"/>
    <w:rsid w:val="009E1AA0"/>
    <w:rsid w:val="009E3C73"/>
    <w:rsid w:val="009E4458"/>
    <w:rsid w:val="009E6D86"/>
    <w:rsid w:val="009E7112"/>
    <w:rsid w:val="009F3AC5"/>
    <w:rsid w:val="009F51CF"/>
    <w:rsid w:val="009F55BF"/>
    <w:rsid w:val="009F5C24"/>
    <w:rsid w:val="009F5CDD"/>
    <w:rsid w:val="009F7C75"/>
    <w:rsid w:val="00A042F1"/>
    <w:rsid w:val="00A05568"/>
    <w:rsid w:val="00A0629A"/>
    <w:rsid w:val="00A10B9C"/>
    <w:rsid w:val="00A15C91"/>
    <w:rsid w:val="00A200B6"/>
    <w:rsid w:val="00A2031E"/>
    <w:rsid w:val="00A20F2A"/>
    <w:rsid w:val="00A216B1"/>
    <w:rsid w:val="00A22975"/>
    <w:rsid w:val="00A22F25"/>
    <w:rsid w:val="00A23624"/>
    <w:rsid w:val="00A23D3B"/>
    <w:rsid w:val="00A26379"/>
    <w:rsid w:val="00A27EE2"/>
    <w:rsid w:val="00A30D6F"/>
    <w:rsid w:val="00A31DAF"/>
    <w:rsid w:val="00A349EF"/>
    <w:rsid w:val="00A36348"/>
    <w:rsid w:val="00A36FB8"/>
    <w:rsid w:val="00A40FD5"/>
    <w:rsid w:val="00A41EAC"/>
    <w:rsid w:val="00A428D5"/>
    <w:rsid w:val="00A42B9E"/>
    <w:rsid w:val="00A44F6D"/>
    <w:rsid w:val="00A44FE5"/>
    <w:rsid w:val="00A4609C"/>
    <w:rsid w:val="00A472EC"/>
    <w:rsid w:val="00A5358B"/>
    <w:rsid w:val="00A53D4A"/>
    <w:rsid w:val="00A55F87"/>
    <w:rsid w:val="00A56E2E"/>
    <w:rsid w:val="00A67420"/>
    <w:rsid w:val="00A7154B"/>
    <w:rsid w:val="00A746F5"/>
    <w:rsid w:val="00A7634A"/>
    <w:rsid w:val="00A773A7"/>
    <w:rsid w:val="00A773DA"/>
    <w:rsid w:val="00A81702"/>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7A18"/>
    <w:rsid w:val="00AB01E4"/>
    <w:rsid w:val="00AB1582"/>
    <w:rsid w:val="00AB29D3"/>
    <w:rsid w:val="00AB39F3"/>
    <w:rsid w:val="00AB44CD"/>
    <w:rsid w:val="00AB454D"/>
    <w:rsid w:val="00AC1694"/>
    <w:rsid w:val="00AC2B19"/>
    <w:rsid w:val="00AC3A1C"/>
    <w:rsid w:val="00AC3D35"/>
    <w:rsid w:val="00AC4A89"/>
    <w:rsid w:val="00AC6CEC"/>
    <w:rsid w:val="00AC7411"/>
    <w:rsid w:val="00AD0DBF"/>
    <w:rsid w:val="00AD6ACB"/>
    <w:rsid w:val="00AE1B40"/>
    <w:rsid w:val="00AE2ED6"/>
    <w:rsid w:val="00AF039F"/>
    <w:rsid w:val="00AF199C"/>
    <w:rsid w:val="00AF2E75"/>
    <w:rsid w:val="00AF4A99"/>
    <w:rsid w:val="00AF58B9"/>
    <w:rsid w:val="00AF6325"/>
    <w:rsid w:val="00AF7A6A"/>
    <w:rsid w:val="00B00F7A"/>
    <w:rsid w:val="00B012D5"/>
    <w:rsid w:val="00B0332B"/>
    <w:rsid w:val="00B077EB"/>
    <w:rsid w:val="00B11F7D"/>
    <w:rsid w:val="00B1230F"/>
    <w:rsid w:val="00B127DA"/>
    <w:rsid w:val="00B12ECD"/>
    <w:rsid w:val="00B14C0B"/>
    <w:rsid w:val="00B2146D"/>
    <w:rsid w:val="00B241E3"/>
    <w:rsid w:val="00B243CC"/>
    <w:rsid w:val="00B24E36"/>
    <w:rsid w:val="00B257CC"/>
    <w:rsid w:val="00B25D56"/>
    <w:rsid w:val="00B26E26"/>
    <w:rsid w:val="00B27632"/>
    <w:rsid w:val="00B31EAF"/>
    <w:rsid w:val="00B3313A"/>
    <w:rsid w:val="00B34302"/>
    <w:rsid w:val="00B36043"/>
    <w:rsid w:val="00B37734"/>
    <w:rsid w:val="00B37BCC"/>
    <w:rsid w:val="00B41870"/>
    <w:rsid w:val="00B47039"/>
    <w:rsid w:val="00B47E7B"/>
    <w:rsid w:val="00B50095"/>
    <w:rsid w:val="00B55791"/>
    <w:rsid w:val="00B63318"/>
    <w:rsid w:val="00B665B5"/>
    <w:rsid w:val="00B66DC1"/>
    <w:rsid w:val="00B67101"/>
    <w:rsid w:val="00B73A67"/>
    <w:rsid w:val="00B8043F"/>
    <w:rsid w:val="00B8308E"/>
    <w:rsid w:val="00B85012"/>
    <w:rsid w:val="00B91124"/>
    <w:rsid w:val="00B9180C"/>
    <w:rsid w:val="00B9298C"/>
    <w:rsid w:val="00B929F6"/>
    <w:rsid w:val="00B94480"/>
    <w:rsid w:val="00B97B7B"/>
    <w:rsid w:val="00B97BD6"/>
    <w:rsid w:val="00BA0CE7"/>
    <w:rsid w:val="00BA18A9"/>
    <w:rsid w:val="00BA2C2D"/>
    <w:rsid w:val="00BA4F14"/>
    <w:rsid w:val="00BB14F8"/>
    <w:rsid w:val="00BB1D3E"/>
    <w:rsid w:val="00BB20A2"/>
    <w:rsid w:val="00BB5269"/>
    <w:rsid w:val="00BC02D7"/>
    <w:rsid w:val="00BC058F"/>
    <w:rsid w:val="00BC3D6F"/>
    <w:rsid w:val="00BC500A"/>
    <w:rsid w:val="00BC57B1"/>
    <w:rsid w:val="00BC61AC"/>
    <w:rsid w:val="00BD0EBD"/>
    <w:rsid w:val="00BD20CF"/>
    <w:rsid w:val="00BD3984"/>
    <w:rsid w:val="00BD3B87"/>
    <w:rsid w:val="00BD4C35"/>
    <w:rsid w:val="00BE4CCA"/>
    <w:rsid w:val="00BE6FA5"/>
    <w:rsid w:val="00BF28ED"/>
    <w:rsid w:val="00BF4A9B"/>
    <w:rsid w:val="00BF4D63"/>
    <w:rsid w:val="00BF55E7"/>
    <w:rsid w:val="00C013D8"/>
    <w:rsid w:val="00C0150B"/>
    <w:rsid w:val="00C036EC"/>
    <w:rsid w:val="00C04372"/>
    <w:rsid w:val="00C0598F"/>
    <w:rsid w:val="00C05D83"/>
    <w:rsid w:val="00C06B27"/>
    <w:rsid w:val="00C1042C"/>
    <w:rsid w:val="00C13CEC"/>
    <w:rsid w:val="00C13CF5"/>
    <w:rsid w:val="00C142D9"/>
    <w:rsid w:val="00C14BD8"/>
    <w:rsid w:val="00C17776"/>
    <w:rsid w:val="00C1781A"/>
    <w:rsid w:val="00C2059D"/>
    <w:rsid w:val="00C20DC8"/>
    <w:rsid w:val="00C23661"/>
    <w:rsid w:val="00C2561D"/>
    <w:rsid w:val="00C300F2"/>
    <w:rsid w:val="00C31EB2"/>
    <w:rsid w:val="00C320DF"/>
    <w:rsid w:val="00C329C3"/>
    <w:rsid w:val="00C34C64"/>
    <w:rsid w:val="00C35B77"/>
    <w:rsid w:val="00C35D54"/>
    <w:rsid w:val="00C408A4"/>
    <w:rsid w:val="00C4126C"/>
    <w:rsid w:val="00C42C0C"/>
    <w:rsid w:val="00C42C40"/>
    <w:rsid w:val="00C523AD"/>
    <w:rsid w:val="00C55889"/>
    <w:rsid w:val="00C55E95"/>
    <w:rsid w:val="00C62563"/>
    <w:rsid w:val="00C6395F"/>
    <w:rsid w:val="00C649BC"/>
    <w:rsid w:val="00C66128"/>
    <w:rsid w:val="00C66BD5"/>
    <w:rsid w:val="00C66EE6"/>
    <w:rsid w:val="00C66FCB"/>
    <w:rsid w:val="00C670AB"/>
    <w:rsid w:val="00C71D3E"/>
    <w:rsid w:val="00C721C3"/>
    <w:rsid w:val="00C826A0"/>
    <w:rsid w:val="00C83068"/>
    <w:rsid w:val="00C83429"/>
    <w:rsid w:val="00C838EC"/>
    <w:rsid w:val="00C8410F"/>
    <w:rsid w:val="00C85A01"/>
    <w:rsid w:val="00C8637A"/>
    <w:rsid w:val="00C870A4"/>
    <w:rsid w:val="00C87C97"/>
    <w:rsid w:val="00C90ECA"/>
    <w:rsid w:val="00C93022"/>
    <w:rsid w:val="00C946D2"/>
    <w:rsid w:val="00C951D0"/>
    <w:rsid w:val="00CA4195"/>
    <w:rsid w:val="00CA45AE"/>
    <w:rsid w:val="00CA535D"/>
    <w:rsid w:val="00CA5747"/>
    <w:rsid w:val="00CA6080"/>
    <w:rsid w:val="00CA61D7"/>
    <w:rsid w:val="00CA70BF"/>
    <w:rsid w:val="00CA7348"/>
    <w:rsid w:val="00CB16E8"/>
    <w:rsid w:val="00CB2CE8"/>
    <w:rsid w:val="00CB3092"/>
    <w:rsid w:val="00CB364F"/>
    <w:rsid w:val="00CB394A"/>
    <w:rsid w:val="00CB5596"/>
    <w:rsid w:val="00CB7229"/>
    <w:rsid w:val="00CC1D36"/>
    <w:rsid w:val="00CC4095"/>
    <w:rsid w:val="00CC5BDB"/>
    <w:rsid w:val="00CC6070"/>
    <w:rsid w:val="00CC718E"/>
    <w:rsid w:val="00CD1CAB"/>
    <w:rsid w:val="00CD3770"/>
    <w:rsid w:val="00CD3E5C"/>
    <w:rsid w:val="00CD5EDD"/>
    <w:rsid w:val="00CE2BA4"/>
    <w:rsid w:val="00CE3AD7"/>
    <w:rsid w:val="00CE4EFC"/>
    <w:rsid w:val="00CE50F5"/>
    <w:rsid w:val="00CF33C3"/>
    <w:rsid w:val="00CF33D2"/>
    <w:rsid w:val="00CF3AC6"/>
    <w:rsid w:val="00CF438E"/>
    <w:rsid w:val="00CF7F2A"/>
    <w:rsid w:val="00CF7F8F"/>
    <w:rsid w:val="00D019ED"/>
    <w:rsid w:val="00D0225D"/>
    <w:rsid w:val="00D026F7"/>
    <w:rsid w:val="00D03B6A"/>
    <w:rsid w:val="00D05597"/>
    <w:rsid w:val="00D05BBB"/>
    <w:rsid w:val="00D1373D"/>
    <w:rsid w:val="00D13ABF"/>
    <w:rsid w:val="00D16316"/>
    <w:rsid w:val="00D200E4"/>
    <w:rsid w:val="00D2049A"/>
    <w:rsid w:val="00D213FC"/>
    <w:rsid w:val="00D24803"/>
    <w:rsid w:val="00D24ACD"/>
    <w:rsid w:val="00D25F92"/>
    <w:rsid w:val="00D266D0"/>
    <w:rsid w:val="00D268BA"/>
    <w:rsid w:val="00D311D4"/>
    <w:rsid w:val="00D322B6"/>
    <w:rsid w:val="00D32534"/>
    <w:rsid w:val="00D32B75"/>
    <w:rsid w:val="00D32C0A"/>
    <w:rsid w:val="00D32C17"/>
    <w:rsid w:val="00D353FF"/>
    <w:rsid w:val="00D402F9"/>
    <w:rsid w:val="00D434C3"/>
    <w:rsid w:val="00D44839"/>
    <w:rsid w:val="00D47043"/>
    <w:rsid w:val="00D47915"/>
    <w:rsid w:val="00D5093A"/>
    <w:rsid w:val="00D51479"/>
    <w:rsid w:val="00D55FFA"/>
    <w:rsid w:val="00D625F8"/>
    <w:rsid w:val="00D63D29"/>
    <w:rsid w:val="00D649AA"/>
    <w:rsid w:val="00D73693"/>
    <w:rsid w:val="00D74A49"/>
    <w:rsid w:val="00D74BEC"/>
    <w:rsid w:val="00D75A07"/>
    <w:rsid w:val="00D80A4D"/>
    <w:rsid w:val="00D83294"/>
    <w:rsid w:val="00D832F2"/>
    <w:rsid w:val="00D83A4D"/>
    <w:rsid w:val="00D840D8"/>
    <w:rsid w:val="00D85827"/>
    <w:rsid w:val="00D85CAC"/>
    <w:rsid w:val="00D8604E"/>
    <w:rsid w:val="00D92EA4"/>
    <w:rsid w:val="00D93A13"/>
    <w:rsid w:val="00D941BE"/>
    <w:rsid w:val="00D949A2"/>
    <w:rsid w:val="00D94B21"/>
    <w:rsid w:val="00DA0B33"/>
    <w:rsid w:val="00DA1B47"/>
    <w:rsid w:val="00DA2036"/>
    <w:rsid w:val="00DA3FC7"/>
    <w:rsid w:val="00DA46E3"/>
    <w:rsid w:val="00DA4EC4"/>
    <w:rsid w:val="00DA55DB"/>
    <w:rsid w:val="00DA5953"/>
    <w:rsid w:val="00DA5BA5"/>
    <w:rsid w:val="00DA5D11"/>
    <w:rsid w:val="00DA662A"/>
    <w:rsid w:val="00DA7361"/>
    <w:rsid w:val="00DA7537"/>
    <w:rsid w:val="00DA7B21"/>
    <w:rsid w:val="00DA7BFE"/>
    <w:rsid w:val="00DB2FD1"/>
    <w:rsid w:val="00DB3137"/>
    <w:rsid w:val="00DB663C"/>
    <w:rsid w:val="00DC10A7"/>
    <w:rsid w:val="00DC168D"/>
    <w:rsid w:val="00DC33B6"/>
    <w:rsid w:val="00DC63F9"/>
    <w:rsid w:val="00DD29D3"/>
    <w:rsid w:val="00DD4B24"/>
    <w:rsid w:val="00DD5651"/>
    <w:rsid w:val="00DD6196"/>
    <w:rsid w:val="00DE0E2E"/>
    <w:rsid w:val="00DE12F4"/>
    <w:rsid w:val="00DE1DFC"/>
    <w:rsid w:val="00DE208C"/>
    <w:rsid w:val="00DE53B2"/>
    <w:rsid w:val="00DE5FCE"/>
    <w:rsid w:val="00DE6B52"/>
    <w:rsid w:val="00DF13FF"/>
    <w:rsid w:val="00DF1553"/>
    <w:rsid w:val="00DF3FB1"/>
    <w:rsid w:val="00DF4624"/>
    <w:rsid w:val="00DF46D3"/>
    <w:rsid w:val="00DF4743"/>
    <w:rsid w:val="00DF7B2B"/>
    <w:rsid w:val="00E01909"/>
    <w:rsid w:val="00E04FDF"/>
    <w:rsid w:val="00E05A53"/>
    <w:rsid w:val="00E05F15"/>
    <w:rsid w:val="00E07D2B"/>
    <w:rsid w:val="00E10531"/>
    <w:rsid w:val="00E10877"/>
    <w:rsid w:val="00E10F29"/>
    <w:rsid w:val="00E1304F"/>
    <w:rsid w:val="00E13BC1"/>
    <w:rsid w:val="00E1419F"/>
    <w:rsid w:val="00E17315"/>
    <w:rsid w:val="00E17D79"/>
    <w:rsid w:val="00E20872"/>
    <w:rsid w:val="00E20A02"/>
    <w:rsid w:val="00E238C5"/>
    <w:rsid w:val="00E261C5"/>
    <w:rsid w:val="00E34C20"/>
    <w:rsid w:val="00E35D90"/>
    <w:rsid w:val="00E3742A"/>
    <w:rsid w:val="00E4159A"/>
    <w:rsid w:val="00E42DE4"/>
    <w:rsid w:val="00E45EE2"/>
    <w:rsid w:val="00E46623"/>
    <w:rsid w:val="00E46934"/>
    <w:rsid w:val="00E51C1B"/>
    <w:rsid w:val="00E52E4C"/>
    <w:rsid w:val="00E56E61"/>
    <w:rsid w:val="00E57296"/>
    <w:rsid w:val="00E622B2"/>
    <w:rsid w:val="00E633B5"/>
    <w:rsid w:val="00E644CD"/>
    <w:rsid w:val="00E65A9B"/>
    <w:rsid w:val="00E715C6"/>
    <w:rsid w:val="00E720E4"/>
    <w:rsid w:val="00E7370C"/>
    <w:rsid w:val="00E76C25"/>
    <w:rsid w:val="00E775D2"/>
    <w:rsid w:val="00E8010C"/>
    <w:rsid w:val="00E80AE9"/>
    <w:rsid w:val="00E85789"/>
    <w:rsid w:val="00E9005A"/>
    <w:rsid w:val="00E90688"/>
    <w:rsid w:val="00E91461"/>
    <w:rsid w:val="00E91B94"/>
    <w:rsid w:val="00E93356"/>
    <w:rsid w:val="00EA0EAA"/>
    <w:rsid w:val="00EA357D"/>
    <w:rsid w:val="00EA37AB"/>
    <w:rsid w:val="00EA4736"/>
    <w:rsid w:val="00EA5BEE"/>
    <w:rsid w:val="00EA5D3F"/>
    <w:rsid w:val="00EA60CE"/>
    <w:rsid w:val="00EA62B8"/>
    <w:rsid w:val="00EA6B0D"/>
    <w:rsid w:val="00EB0AE3"/>
    <w:rsid w:val="00EB0BD9"/>
    <w:rsid w:val="00EB3246"/>
    <w:rsid w:val="00EB4FA7"/>
    <w:rsid w:val="00EB5222"/>
    <w:rsid w:val="00EB602F"/>
    <w:rsid w:val="00EB68EE"/>
    <w:rsid w:val="00EB7174"/>
    <w:rsid w:val="00EB7E69"/>
    <w:rsid w:val="00EC155E"/>
    <w:rsid w:val="00EC2706"/>
    <w:rsid w:val="00EC287E"/>
    <w:rsid w:val="00EC3182"/>
    <w:rsid w:val="00EC35BE"/>
    <w:rsid w:val="00EC3F23"/>
    <w:rsid w:val="00EC57BD"/>
    <w:rsid w:val="00EC74CE"/>
    <w:rsid w:val="00EC7697"/>
    <w:rsid w:val="00EC77D6"/>
    <w:rsid w:val="00EC7AA0"/>
    <w:rsid w:val="00ED1F25"/>
    <w:rsid w:val="00ED23E5"/>
    <w:rsid w:val="00ED3A71"/>
    <w:rsid w:val="00ED758C"/>
    <w:rsid w:val="00EE06ED"/>
    <w:rsid w:val="00EE232E"/>
    <w:rsid w:val="00EE4212"/>
    <w:rsid w:val="00EE54FE"/>
    <w:rsid w:val="00EE55D8"/>
    <w:rsid w:val="00EE5E15"/>
    <w:rsid w:val="00EF1A94"/>
    <w:rsid w:val="00EF20FA"/>
    <w:rsid w:val="00EF52D6"/>
    <w:rsid w:val="00EF7E5B"/>
    <w:rsid w:val="00F00B43"/>
    <w:rsid w:val="00F0162F"/>
    <w:rsid w:val="00F01C96"/>
    <w:rsid w:val="00F0661F"/>
    <w:rsid w:val="00F12CBB"/>
    <w:rsid w:val="00F1355C"/>
    <w:rsid w:val="00F226E8"/>
    <w:rsid w:val="00F2566F"/>
    <w:rsid w:val="00F30E51"/>
    <w:rsid w:val="00F31980"/>
    <w:rsid w:val="00F31AD0"/>
    <w:rsid w:val="00F33527"/>
    <w:rsid w:val="00F3506F"/>
    <w:rsid w:val="00F35DF7"/>
    <w:rsid w:val="00F37F36"/>
    <w:rsid w:val="00F41632"/>
    <w:rsid w:val="00F42267"/>
    <w:rsid w:val="00F454C9"/>
    <w:rsid w:val="00F502E8"/>
    <w:rsid w:val="00F51AF2"/>
    <w:rsid w:val="00F5295B"/>
    <w:rsid w:val="00F55C7F"/>
    <w:rsid w:val="00F564F6"/>
    <w:rsid w:val="00F56AD8"/>
    <w:rsid w:val="00F57CCC"/>
    <w:rsid w:val="00F6137E"/>
    <w:rsid w:val="00F63771"/>
    <w:rsid w:val="00F63922"/>
    <w:rsid w:val="00F673BD"/>
    <w:rsid w:val="00F675E2"/>
    <w:rsid w:val="00F70C83"/>
    <w:rsid w:val="00F75E0E"/>
    <w:rsid w:val="00F76826"/>
    <w:rsid w:val="00F76A15"/>
    <w:rsid w:val="00F77A72"/>
    <w:rsid w:val="00F8143A"/>
    <w:rsid w:val="00F825E8"/>
    <w:rsid w:val="00F82E38"/>
    <w:rsid w:val="00F83C52"/>
    <w:rsid w:val="00F83D25"/>
    <w:rsid w:val="00F84A1B"/>
    <w:rsid w:val="00F85561"/>
    <w:rsid w:val="00F85A41"/>
    <w:rsid w:val="00F87DA7"/>
    <w:rsid w:val="00F90A9D"/>
    <w:rsid w:val="00F92229"/>
    <w:rsid w:val="00F942DD"/>
    <w:rsid w:val="00F94983"/>
    <w:rsid w:val="00F95111"/>
    <w:rsid w:val="00F97C8E"/>
    <w:rsid w:val="00F97E58"/>
    <w:rsid w:val="00FA0AAD"/>
    <w:rsid w:val="00FA1DC1"/>
    <w:rsid w:val="00FA791B"/>
    <w:rsid w:val="00FB0E70"/>
    <w:rsid w:val="00FB1EB6"/>
    <w:rsid w:val="00FB1F05"/>
    <w:rsid w:val="00FB3989"/>
    <w:rsid w:val="00FB5FF6"/>
    <w:rsid w:val="00FB67DD"/>
    <w:rsid w:val="00FB748E"/>
    <w:rsid w:val="00FC02C4"/>
    <w:rsid w:val="00FC066F"/>
    <w:rsid w:val="00FC33BC"/>
    <w:rsid w:val="00FC5B79"/>
    <w:rsid w:val="00FC7905"/>
    <w:rsid w:val="00FD0273"/>
    <w:rsid w:val="00FE5E89"/>
    <w:rsid w:val="00FE7260"/>
    <w:rsid w:val="00FF0866"/>
    <w:rsid w:val="00FF0CA9"/>
    <w:rsid w:val="00FF724C"/>
    <w:rsid w:val="00FF7BD2"/>
    <w:rsid w:val="01D92F9F"/>
    <w:rsid w:val="026249F5"/>
    <w:rsid w:val="02D36DFE"/>
    <w:rsid w:val="03562E11"/>
    <w:rsid w:val="06231D53"/>
    <w:rsid w:val="07F10452"/>
    <w:rsid w:val="0C3F1EB2"/>
    <w:rsid w:val="0D0953A9"/>
    <w:rsid w:val="0E552855"/>
    <w:rsid w:val="0E6C675A"/>
    <w:rsid w:val="0EC046DA"/>
    <w:rsid w:val="13976A0F"/>
    <w:rsid w:val="14004CB0"/>
    <w:rsid w:val="14A26A5C"/>
    <w:rsid w:val="150C1C49"/>
    <w:rsid w:val="175B488E"/>
    <w:rsid w:val="184E448E"/>
    <w:rsid w:val="196A7E94"/>
    <w:rsid w:val="1A123253"/>
    <w:rsid w:val="1ADE3303"/>
    <w:rsid w:val="1CE3143A"/>
    <w:rsid w:val="1D412605"/>
    <w:rsid w:val="1ED70C13"/>
    <w:rsid w:val="21EC7E43"/>
    <w:rsid w:val="22A546C5"/>
    <w:rsid w:val="28652ECA"/>
    <w:rsid w:val="289D66DB"/>
    <w:rsid w:val="2A567A69"/>
    <w:rsid w:val="2C591834"/>
    <w:rsid w:val="2C6170A5"/>
    <w:rsid w:val="2CE34819"/>
    <w:rsid w:val="2D23435A"/>
    <w:rsid w:val="2DAE1346"/>
    <w:rsid w:val="2E620BF8"/>
    <w:rsid w:val="32863FEE"/>
    <w:rsid w:val="363D2C54"/>
    <w:rsid w:val="37082AFC"/>
    <w:rsid w:val="38431D54"/>
    <w:rsid w:val="39306D59"/>
    <w:rsid w:val="3ADC035B"/>
    <w:rsid w:val="3C29300F"/>
    <w:rsid w:val="3EA51073"/>
    <w:rsid w:val="3EB47508"/>
    <w:rsid w:val="3F543415"/>
    <w:rsid w:val="42413489"/>
    <w:rsid w:val="428A4AAB"/>
    <w:rsid w:val="42B405B5"/>
    <w:rsid w:val="45C57426"/>
    <w:rsid w:val="4752462D"/>
    <w:rsid w:val="487918D8"/>
    <w:rsid w:val="4AE220AD"/>
    <w:rsid w:val="4CC16467"/>
    <w:rsid w:val="4E44704F"/>
    <w:rsid w:val="4F983FBA"/>
    <w:rsid w:val="52C554E4"/>
    <w:rsid w:val="554F3A03"/>
    <w:rsid w:val="55BB0C26"/>
    <w:rsid w:val="568F7664"/>
    <w:rsid w:val="595B0A33"/>
    <w:rsid w:val="59B70106"/>
    <w:rsid w:val="5A160C1F"/>
    <w:rsid w:val="5C6A1F94"/>
    <w:rsid w:val="5DCD5A99"/>
    <w:rsid w:val="616C24E5"/>
    <w:rsid w:val="61775040"/>
    <w:rsid w:val="623600B0"/>
    <w:rsid w:val="628905E4"/>
    <w:rsid w:val="63C1602F"/>
    <w:rsid w:val="63D77E29"/>
    <w:rsid w:val="66155BD9"/>
    <w:rsid w:val="66456B14"/>
    <w:rsid w:val="66B15BE4"/>
    <w:rsid w:val="66F05FF5"/>
    <w:rsid w:val="6B421306"/>
    <w:rsid w:val="6C916841"/>
    <w:rsid w:val="6E032E11"/>
    <w:rsid w:val="6FB21027"/>
    <w:rsid w:val="72A04EA0"/>
    <w:rsid w:val="72C708B1"/>
    <w:rsid w:val="72E87C49"/>
    <w:rsid w:val="73DB4B38"/>
    <w:rsid w:val="75254708"/>
    <w:rsid w:val="76C920B0"/>
    <w:rsid w:val="776F533D"/>
    <w:rsid w:val="77BE3F19"/>
    <w:rsid w:val="785746AF"/>
    <w:rsid w:val="7A53422E"/>
    <w:rsid w:val="7AFB1A70"/>
    <w:rsid w:val="7DFBB8BB"/>
    <w:rsid w:val="7E7F1AD5"/>
    <w:rsid w:val="7FF934C2"/>
    <w:rsid w:val="AEBA602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name="toc 1"/>
    <w:lsdException w:qFormat="1" w:unhideWhenUsed="0" w:uiPriority="0" w:name="toc 2"/>
    <w:lsdException w:qFormat="1" w:uiPriority="0" w:semiHidden="0" w:name="toc 3"/>
    <w:lsdException w:qFormat="1" w:unhideWhenUsed="0"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0"/>
    <w:qFormat/>
    <w:uiPriority w:val="0"/>
    <w:pPr>
      <w:keepNext/>
      <w:keepLines/>
      <w:numPr>
        <w:ilvl w:val="0"/>
        <w:numId w:val="1"/>
      </w:numPr>
      <w:spacing w:before="340" w:after="330" w:line="578" w:lineRule="auto"/>
      <w:outlineLvl w:val="0"/>
    </w:pPr>
    <w:rPr>
      <w:rFonts w:eastAsia="仿宋_GB2312"/>
      <w:b/>
      <w:kern w:val="44"/>
      <w:sz w:val="44"/>
      <w:szCs w:val="20"/>
    </w:rPr>
  </w:style>
  <w:style w:type="paragraph" w:styleId="5">
    <w:name w:val="heading 2"/>
    <w:basedOn w:val="1"/>
    <w:next w:val="1"/>
    <w:link w:val="53"/>
    <w:qFormat/>
    <w:uiPriority w:val="0"/>
    <w:pPr>
      <w:keepNext/>
      <w:keepLines/>
      <w:numPr>
        <w:ilvl w:val="0"/>
        <w:numId w:val="2"/>
      </w:numPr>
      <w:tabs>
        <w:tab w:val="left" w:pos="1145"/>
        <w:tab w:val="clear" w:pos="360"/>
      </w:tabs>
      <w:spacing w:before="260" w:after="260" w:line="416" w:lineRule="auto"/>
      <w:ind w:left="992" w:hanging="567" w:firstLineChars="0"/>
      <w:outlineLvl w:val="1"/>
    </w:pPr>
    <w:rPr>
      <w:rFonts w:ascii="Arial" w:hAnsi="Arial" w:eastAsia="黑体"/>
      <w:b/>
      <w:sz w:val="32"/>
      <w:szCs w:val="20"/>
    </w:rPr>
  </w:style>
  <w:style w:type="paragraph" w:styleId="6">
    <w:name w:val="heading 3"/>
    <w:basedOn w:val="1"/>
    <w:next w:val="7"/>
    <w:link w:val="54"/>
    <w:qFormat/>
    <w:uiPriority w:val="0"/>
    <w:pPr>
      <w:keepNext/>
      <w:keepLines/>
      <w:numPr>
        <w:ilvl w:val="0"/>
        <w:numId w:val="3"/>
      </w:numPr>
      <w:tabs>
        <w:tab w:val="left" w:pos="2651"/>
        <w:tab w:val="clear" w:pos="1200"/>
      </w:tabs>
      <w:spacing w:before="260" w:after="260" w:line="416" w:lineRule="auto"/>
      <w:ind w:left="1418" w:leftChars="0" w:hanging="567" w:firstLineChars="0"/>
      <w:outlineLvl w:val="2"/>
    </w:pPr>
    <w:rPr>
      <w:rFonts w:eastAsia="仿宋_GB2312"/>
      <w:b/>
      <w:sz w:val="32"/>
      <w:szCs w:val="20"/>
    </w:rPr>
  </w:style>
  <w:style w:type="paragraph" w:styleId="8">
    <w:name w:val="heading 4"/>
    <w:basedOn w:val="1"/>
    <w:next w:val="7"/>
    <w:link w:val="55"/>
    <w:qFormat/>
    <w:uiPriority w:val="0"/>
    <w:pPr>
      <w:keepNext/>
      <w:keepLines/>
      <w:numPr>
        <w:ilvl w:val="3"/>
        <w:numId w:val="1"/>
      </w:numPr>
      <w:spacing w:before="280" w:after="290" w:line="376" w:lineRule="auto"/>
      <w:outlineLvl w:val="3"/>
    </w:pPr>
    <w:rPr>
      <w:rFonts w:ascii="Arial" w:hAnsi="Arial" w:eastAsia="黑体"/>
      <w:b/>
      <w:sz w:val="28"/>
      <w:szCs w:val="20"/>
    </w:rPr>
  </w:style>
  <w:style w:type="paragraph" w:styleId="9">
    <w:name w:val="heading 5"/>
    <w:basedOn w:val="1"/>
    <w:next w:val="7"/>
    <w:link w:val="56"/>
    <w:qFormat/>
    <w:uiPriority w:val="0"/>
    <w:pPr>
      <w:keepNext/>
      <w:widowControl/>
      <w:numPr>
        <w:ilvl w:val="0"/>
        <w:numId w:val="4"/>
      </w:numPr>
      <w:jc w:val="left"/>
      <w:outlineLvl w:val="4"/>
    </w:pPr>
    <w:rPr>
      <w:kern w:val="0"/>
      <w:sz w:val="24"/>
      <w:szCs w:val="20"/>
    </w:rPr>
  </w:style>
  <w:style w:type="paragraph" w:styleId="10">
    <w:name w:val="heading 6"/>
    <w:basedOn w:val="1"/>
    <w:next w:val="1"/>
    <w:link w:val="57"/>
    <w:qFormat/>
    <w:uiPriority w:val="0"/>
    <w:pPr>
      <w:widowControl/>
      <w:spacing w:before="60" w:after="60" w:line="440" w:lineRule="atLeast"/>
      <w:textAlignment w:val="baseline"/>
      <w:outlineLvl w:val="5"/>
    </w:pPr>
    <w:rPr>
      <w:rFonts w:ascii="宋体" w:hAnsi="Arial"/>
      <w:kern w:val="0"/>
      <w:sz w:val="24"/>
      <w:szCs w:val="20"/>
    </w:rPr>
  </w:style>
  <w:style w:type="paragraph" w:styleId="11">
    <w:name w:val="heading 7"/>
    <w:basedOn w:val="1"/>
    <w:next w:val="1"/>
    <w:link w:val="58"/>
    <w:qFormat/>
    <w:uiPriority w:val="0"/>
    <w:pPr>
      <w:keepNext/>
      <w:keepLines/>
      <w:adjustRightInd w:val="0"/>
      <w:spacing w:before="240" w:after="64" w:line="320" w:lineRule="atLeast"/>
      <w:textAlignment w:val="baseline"/>
      <w:outlineLvl w:val="6"/>
    </w:pPr>
    <w:rPr>
      <w:rFonts w:ascii="宋体" w:hAnsi="Arial"/>
      <w:b/>
      <w:kern w:val="0"/>
      <w:sz w:val="24"/>
      <w:szCs w:val="20"/>
    </w:rPr>
  </w:style>
  <w:style w:type="paragraph" w:styleId="12">
    <w:name w:val="heading 8"/>
    <w:basedOn w:val="1"/>
    <w:next w:val="1"/>
    <w:link w:val="59"/>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3">
    <w:name w:val="heading 9"/>
    <w:basedOn w:val="1"/>
    <w:next w:val="1"/>
    <w:link w:val="60"/>
    <w:qFormat/>
    <w:uiPriority w:val="0"/>
    <w:pPr>
      <w:keepNext/>
      <w:keepLines/>
      <w:adjustRightInd w:val="0"/>
      <w:spacing w:before="240" w:after="64" w:line="320" w:lineRule="atLeast"/>
      <w:textAlignment w:val="baseline"/>
      <w:outlineLvl w:val="8"/>
    </w:pPr>
    <w:rPr>
      <w:rFonts w:ascii="Arial" w:hAnsi="Arial" w:eastAsia="黑体"/>
      <w:kern w:val="0"/>
      <w:sz w:val="24"/>
      <w:szCs w:val="20"/>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82"/>
    <w:qFormat/>
    <w:uiPriority w:val="0"/>
    <w:pPr>
      <w:spacing w:line="360" w:lineRule="auto"/>
    </w:pPr>
    <w:rPr>
      <w:rFonts w:eastAsia="仿宋_GB2312"/>
      <w:sz w:val="28"/>
    </w:rPr>
  </w:style>
  <w:style w:type="paragraph" w:styleId="3">
    <w:name w:val="Body Text First Indent"/>
    <w:basedOn w:val="2"/>
    <w:link w:val="200"/>
    <w:qFormat/>
    <w:uiPriority w:val="0"/>
    <w:pPr>
      <w:spacing w:after="120" w:line="240" w:lineRule="auto"/>
      <w:ind w:firstLine="420" w:firstLineChars="100"/>
    </w:pPr>
    <w:rPr>
      <w:rFonts w:eastAsia="宋体"/>
      <w:sz w:val="21"/>
    </w:rPr>
  </w:style>
  <w:style w:type="paragraph" w:styleId="7">
    <w:name w:val="Normal Indent"/>
    <w:basedOn w:val="1"/>
    <w:link w:val="51"/>
    <w:qFormat/>
    <w:uiPriority w:val="0"/>
    <w:pPr>
      <w:ind w:firstLine="420" w:firstLineChars="200"/>
    </w:pPr>
  </w:style>
  <w:style w:type="paragraph" w:styleId="14">
    <w:name w:val="List Number 2"/>
    <w:basedOn w:val="1"/>
    <w:qFormat/>
    <w:uiPriority w:val="0"/>
    <w:pPr>
      <w:widowControl/>
      <w:tabs>
        <w:tab w:val="left" w:pos="1697"/>
      </w:tabs>
      <w:spacing w:afterLines="50"/>
      <w:ind w:left="1697" w:hanging="420"/>
      <w:jc w:val="left"/>
    </w:pPr>
    <w:rPr>
      <w:kern w:val="0"/>
      <w:sz w:val="24"/>
      <w:szCs w:val="20"/>
    </w:rPr>
  </w:style>
  <w:style w:type="paragraph" w:styleId="15">
    <w:name w:val="List Number"/>
    <w:basedOn w:val="1"/>
    <w:qFormat/>
    <w:uiPriority w:val="0"/>
    <w:pPr>
      <w:widowControl/>
      <w:tabs>
        <w:tab w:val="left" w:pos="454"/>
      </w:tabs>
      <w:spacing w:afterLines="50"/>
      <w:ind w:left="454" w:hanging="284"/>
      <w:jc w:val="left"/>
    </w:pPr>
    <w:rPr>
      <w:kern w:val="0"/>
      <w:sz w:val="24"/>
      <w:szCs w:val="20"/>
    </w:rPr>
  </w:style>
  <w:style w:type="paragraph" w:styleId="16">
    <w:name w:val="caption"/>
    <w:basedOn w:val="1"/>
    <w:next w:val="1"/>
    <w:link w:val="278"/>
    <w:qFormat/>
    <w:uiPriority w:val="0"/>
    <w:pPr>
      <w:spacing w:line="360" w:lineRule="auto"/>
      <w:jc w:val="center"/>
    </w:pPr>
    <w:rPr>
      <w:rFonts w:ascii="Calibri" w:hAnsi="Calibri"/>
      <w:sz w:val="20"/>
      <w:szCs w:val="20"/>
    </w:rPr>
  </w:style>
  <w:style w:type="paragraph" w:styleId="17">
    <w:name w:val="Document Map"/>
    <w:basedOn w:val="1"/>
    <w:link w:val="117"/>
    <w:semiHidden/>
    <w:qFormat/>
    <w:uiPriority w:val="0"/>
    <w:pPr>
      <w:shd w:val="clear" w:color="auto" w:fill="000080"/>
    </w:pPr>
  </w:style>
  <w:style w:type="paragraph" w:styleId="18">
    <w:name w:val="annotation text"/>
    <w:basedOn w:val="1"/>
    <w:link w:val="69"/>
    <w:qFormat/>
    <w:uiPriority w:val="0"/>
    <w:pPr>
      <w:jc w:val="left"/>
    </w:pPr>
  </w:style>
  <w:style w:type="paragraph" w:styleId="19">
    <w:name w:val="Body Text Indent"/>
    <w:basedOn w:val="1"/>
    <w:link w:val="63"/>
    <w:qFormat/>
    <w:uiPriority w:val="0"/>
    <w:pPr>
      <w:spacing w:after="120"/>
      <w:ind w:left="420" w:leftChars="200"/>
    </w:pPr>
  </w:style>
  <w:style w:type="paragraph" w:styleId="20">
    <w:name w:val="List Number 3"/>
    <w:basedOn w:val="1"/>
    <w:qFormat/>
    <w:uiPriority w:val="0"/>
    <w:pPr>
      <w:widowControl/>
      <w:tabs>
        <w:tab w:val="left" w:pos="482"/>
      </w:tabs>
      <w:spacing w:afterLines="50"/>
      <w:ind w:left="482" w:hanging="340"/>
      <w:jc w:val="left"/>
    </w:pPr>
    <w:rPr>
      <w:kern w:val="0"/>
      <w:sz w:val="24"/>
      <w:szCs w:val="20"/>
    </w:rPr>
  </w:style>
  <w:style w:type="paragraph" w:styleId="21">
    <w:name w:val="Block Text"/>
    <w:basedOn w:val="1"/>
    <w:qFormat/>
    <w:uiPriority w:val="0"/>
    <w:pPr>
      <w:spacing w:before="120" w:line="360" w:lineRule="auto"/>
      <w:ind w:left="824" w:right="202"/>
    </w:pPr>
    <w:rPr>
      <w:rFonts w:ascii="宋体" w:hAnsi="宋体"/>
      <w:sz w:val="24"/>
      <w:szCs w:val="21"/>
    </w:rPr>
  </w:style>
  <w:style w:type="paragraph" w:styleId="22">
    <w:name w:val="toc 3"/>
    <w:basedOn w:val="1"/>
    <w:next w:val="1"/>
    <w:unhideWhenUsed/>
    <w:qFormat/>
    <w:uiPriority w:val="0"/>
    <w:pPr>
      <w:ind w:left="840" w:leftChars="400"/>
    </w:pPr>
    <w:rPr>
      <w:rFonts w:ascii="Calibri" w:hAnsi="Calibri"/>
      <w:szCs w:val="22"/>
    </w:rPr>
  </w:style>
  <w:style w:type="paragraph" w:styleId="23">
    <w:name w:val="Plain Text"/>
    <w:basedOn w:val="1"/>
    <w:link w:val="61"/>
    <w:qFormat/>
    <w:uiPriority w:val="0"/>
    <w:rPr>
      <w:rFonts w:ascii="宋体" w:hAnsi="Courier New"/>
      <w:szCs w:val="20"/>
    </w:rPr>
  </w:style>
  <w:style w:type="paragraph" w:styleId="24">
    <w:name w:val="Date"/>
    <w:basedOn w:val="1"/>
    <w:next w:val="1"/>
    <w:link w:val="64"/>
    <w:qFormat/>
    <w:uiPriority w:val="0"/>
    <w:rPr>
      <w:rFonts w:ascii="楷体_GB2312" w:eastAsia="楷体_GB2312"/>
      <w:b/>
      <w:sz w:val="28"/>
      <w:szCs w:val="20"/>
    </w:rPr>
  </w:style>
  <w:style w:type="paragraph" w:styleId="25">
    <w:name w:val="Body Text Indent 2"/>
    <w:basedOn w:val="1"/>
    <w:link w:val="78"/>
    <w:qFormat/>
    <w:uiPriority w:val="0"/>
    <w:pPr>
      <w:spacing w:after="120" w:line="480" w:lineRule="auto"/>
      <w:ind w:left="420" w:leftChars="200"/>
    </w:pPr>
  </w:style>
  <w:style w:type="paragraph" w:styleId="26">
    <w:name w:val="Balloon Text"/>
    <w:basedOn w:val="1"/>
    <w:link w:val="196"/>
    <w:semiHidden/>
    <w:qFormat/>
    <w:uiPriority w:val="0"/>
    <w:rPr>
      <w:sz w:val="18"/>
      <w:szCs w:val="18"/>
    </w:rPr>
  </w:style>
  <w:style w:type="paragraph" w:styleId="27">
    <w:name w:val="footer"/>
    <w:basedOn w:val="1"/>
    <w:link w:val="66"/>
    <w:qFormat/>
    <w:uiPriority w:val="99"/>
    <w:pPr>
      <w:tabs>
        <w:tab w:val="center" w:pos="4153"/>
        <w:tab w:val="right" w:pos="8306"/>
      </w:tabs>
      <w:snapToGrid w:val="0"/>
      <w:jc w:val="left"/>
    </w:pPr>
    <w:rPr>
      <w:sz w:val="18"/>
      <w:szCs w:val="18"/>
    </w:rPr>
  </w:style>
  <w:style w:type="paragraph" w:styleId="28">
    <w:name w:val="header"/>
    <w:basedOn w:val="1"/>
    <w:link w:val="65"/>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semiHidden/>
    <w:qFormat/>
    <w:uiPriority w:val="0"/>
  </w:style>
  <w:style w:type="paragraph" w:styleId="30">
    <w:name w:val="toc 4"/>
    <w:basedOn w:val="1"/>
    <w:next w:val="1"/>
    <w:semiHidden/>
    <w:qFormat/>
    <w:uiPriority w:val="0"/>
    <w:pPr>
      <w:tabs>
        <w:tab w:val="right" w:leader="dot" w:pos="8314"/>
      </w:tabs>
      <w:ind w:firstLine="588" w:firstLineChars="245"/>
    </w:pPr>
  </w:style>
  <w:style w:type="paragraph" w:styleId="31">
    <w:name w:val="Body Text Indent 3"/>
    <w:basedOn w:val="1"/>
    <w:link w:val="197"/>
    <w:qFormat/>
    <w:uiPriority w:val="0"/>
    <w:pPr>
      <w:spacing w:after="120"/>
      <w:ind w:left="420" w:leftChars="200"/>
    </w:pPr>
    <w:rPr>
      <w:sz w:val="16"/>
      <w:szCs w:val="16"/>
    </w:rPr>
  </w:style>
  <w:style w:type="paragraph" w:styleId="32">
    <w:name w:val="toc 2"/>
    <w:basedOn w:val="1"/>
    <w:next w:val="1"/>
    <w:semiHidden/>
    <w:qFormat/>
    <w:uiPriority w:val="0"/>
    <w:pPr>
      <w:ind w:left="420" w:leftChars="200"/>
    </w:pPr>
  </w:style>
  <w:style w:type="paragraph" w:styleId="33">
    <w:name w:val="Body Text 2"/>
    <w:basedOn w:val="1"/>
    <w:link w:val="70"/>
    <w:qFormat/>
    <w:uiPriority w:val="0"/>
    <w:pPr>
      <w:widowControl/>
      <w:spacing w:afterLines="50" w:line="216" w:lineRule="auto"/>
      <w:jc w:val="center"/>
    </w:pPr>
    <w:rPr>
      <w:rFonts w:ascii="隶书" w:eastAsia="隶书"/>
      <w:bCs/>
      <w:kern w:val="0"/>
      <w:sz w:val="72"/>
      <w:szCs w:val="84"/>
    </w:rPr>
  </w:style>
  <w:style w:type="paragraph" w:styleId="34">
    <w:name w:val="List Continue 2"/>
    <w:basedOn w:val="1"/>
    <w:qFormat/>
    <w:uiPriority w:val="0"/>
    <w:pPr>
      <w:spacing w:after="120"/>
      <w:ind w:left="840" w:leftChars="400"/>
    </w:pPr>
  </w:style>
  <w:style w:type="paragraph" w:styleId="35">
    <w:name w:val="HTML Preformatted"/>
    <w:basedOn w:val="1"/>
    <w:link w:val="1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36">
    <w:name w:val="Normal (Web)"/>
    <w:basedOn w:val="1"/>
    <w:qFormat/>
    <w:uiPriority w:val="99"/>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37">
    <w:name w:val="index 1"/>
    <w:basedOn w:val="1"/>
    <w:next w:val="1"/>
    <w:semiHidden/>
    <w:qFormat/>
    <w:uiPriority w:val="0"/>
    <w:pPr>
      <w:spacing w:line="320" w:lineRule="exact"/>
    </w:pPr>
    <w:rPr>
      <w:b/>
      <w:snapToGrid w:val="0"/>
      <w:color w:val="FF6600"/>
      <w:kern w:val="0"/>
      <w:sz w:val="18"/>
      <w:szCs w:val="21"/>
    </w:rPr>
  </w:style>
  <w:style w:type="paragraph" w:styleId="38">
    <w:name w:val="Title"/>
    <w:basedOn w:val="1"/>
    <w:next w:val="1"/>
    <w:link w:val="172"/>
    <w:qFormat/>
    <w:uiPriority w:val="0"/>
    <w:pPr>
      <w:adjustRightInd w:val="0"/>
      <w:spacing w:before="240" w:after="60"/>
      <w:jc w:val="center"/>
      <w:outlineLvl w:val="0"/>
    </w:pPr>
    <w:rPr>
      <w:rFonts w:ascii="Calibri Light" w:hAnsi="Calibri Light"/>
      <w:b/>
      <w:bCs/>
      <w:sz w:val="32"/>
      <w:szCs w:val="32"/>
    </w:rPr>
  </w:style>
  <w:style w:type="paragraph" w:styleId="39">
    <w:name w:val="annotation subject"/>
    <w:basedOn w:val="18"/>
    <w:next w:val="18"/>
    <w:link w:val="199"/>
    <w:semiHidden/>
    <w:qFormat/>
    <w:uiPriority w:val="0"/>
    <w:pPr>
      <w:widowControl/>
      <w:spacing w:afterLines="50"/>
    </w:pPr>
    <w:rPr>
      <w:b/>
      <w:bCs/>
      <w:kern w:val="0"/>
      <w:sz w:val="24"/>
      <w:szCs w:val="20"/>
    </w:rPr>
  </w:style>
  <w:style w:type="paragraph" w:styleId="40">
    <w:name w:val="Body Text First Indent 2"/>
    <w:basedOn w:val="19"/>
    <w:link w:val="201"/>
    <w:qFormat/>
    <w:uiPriority w:val="0"/>
    <w:pPr>
      <w:ind w:firstLine="420" w:firstLineChars="200"/>
    </w:pPr>
  </w:style>
  <w:style w:type="table" w:styleId="42">
    <w:name w:val="Table Grid"/>
    <w:basedOn w:val="4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4">
    <w:name w:val="Strong"/>
    <w:qFormat/>
    <w:uiPriority w:val="0"/>
    <w:rPr>
      <w:b/>
      <w:bCs/>
    </w:rPr>
  </w:style>
  <w:style w:type="character" w:styleId="45">
    <w:name w:val="page number"/>
    <w:basedOn w:val="43"/>
    <w:qFormat/>
    <w:uiPriority w:val="0"/>
  </w:style>
  <w:style w:type="character" w:styleId="46">
    <w:name w:val="FollowedHyperlink"/>
    <w:basedOn w:val="43"/>
    <w:qFormat/>
    <w:uiPriority w:val="99"/>
    <w:rPr>
      <w:color w:val="800080"/>
      <w:u w:val="none"/>
    </w:rPr>
  </w:style>
  <w:style w:type="character" w:styleId="47">
    <w:name w:val="Emphasis"/>
    <w:qFormat/>
    <w:uiPriority w:val="0"/>
    <w:rPr>
      <w:color w:val="CC0000"/>
    </w:rPr>
  </w:style>
  <w:style w:type="character" w:styleId="48">
    <w:name w:val="Hyperlink"/>
    <w:basedOn w:val="43"/>
    <w:qFormat/>
    <w:uiPriority w:val="99"/>
    <w:rPr>
      <w:color w:val="0000FF"/>
      <w:u w:val="none"/>
    </w:rPr>
  </w:style>
  <w:style w:type="character" w:styleId="49">
    <w:name w:val="annotation reference"/>
    <w:qFormat/>
    <w:uiPriority w:val="0"/>
    <w:rPr>
      <w:sz w:val="21"/>
      <w:szCs w:val="21"/>
    </w:rPr>
  </w:style>
  <w:style w:type="character" w:customStyle="1" w:styleId="50">
    <w:name w:val="标题 1 Char"/>
    <w:link w:val="4"/>
    <w:qFormat/>
    <w:uiPriority w:val="0"/>
    <w:rPr>
      <w:rFonts w:eastAsia="仿宋_GB2312"/>
      <w:b/>
      <w:kern w:val="44"/>
      <w:sz w:val="44"/>
      <w:lang w:val="en-US" w:eastAsia="zh-CN" w:bidi="ar-SA"/>
    </w:rPr>
  </w:style>
  <w:style w:type="character" w:customStyle="1" w:styleId="51">
    <w:name w:val="正文缩进 Char"/>
    <w:link w:val="7"/>
    <w:qFormat/>
    <w:uiPriority w:val="0"/>
    <w:rPr>
      <w:rFonts w:eastAsia="宋体"/>
      <w:kern w:val="2"/>
      <w:sz w:val="21"/>
      <w:szCs w:val="24"/>
      <w:lang w:val="en-US" w:eastAsia="zh-CN" w:bidi="ar-SA"/>
    </w:rPr>
  </w:style>
  <w:style w:type="paragraph" w:customStyle="1" w:styleId="52">
    <w:name w:val="_Style 15"/>
    <w:basedOn w:val="1"/>
    <w:qFormat/>
    <w:uiPriority w:val="0"/>
    <w:rPr>
      <w:rFonts w:ascii="Tahoma" w:hAnsi="Tahoma"/>
      <w:sz w:val="24"/>
      <w:szCs w:val="20"/>
    </w:rPr>
  </w:style>
  <w:style w:type="character" w:customStyle="1" w:styleId="53">
    <w:name w:val="标题 2 Char"/>
    <w:link w:val="5"/>
    <w:qFormat/>
    <w:uiPriority w:val="0"/>
    <w:rPr>
      <w:rFonts w:ascii="Arial" w:hAnsi="Arial" w:eastAsia="黑体"/>
      <w:b/>
      <w:kern w:val="2"/>
      <w:sz w:val="32"/>
      <w:lang w:val="en-US" w:eastAsia="zh-CN" w:bidi="ar-SA"/>
    </w:rPr>
  </w:style>
  <w:style w:type="character" w:customStyle="1" w:styleId="54">
    <w:name w:val="标题 3 Char"/>
    <w:link w:val="6"/>
    <w:qFormat/>
    <w:uiPriority w:val="0"/>
    <w:rPr>
      <w:rFonts w:eastAsia="仿宋_GB2312"/>
      <w:b/>
      <w:kern w:val="2"/>
      <w:sz w:val="32"/>
      <w:lang w:val="en-US" w:eastAsia="zh-CN" w:bidi="ar-SA"/>
    </w:rPr>
  </w:style>
  <w:style w:type="character" w:customStyle="1" w:styleId="55">
    <w:name w:val="标题 4 Char1"/>
    <w:link w:val="8"/>
    <w:qFormat/>
    <w:uiPriority w:val="0"/>
    <w:rPr>
      <w:rFonts w:ascii="Arial" w:hAnsi="Arial" w:eastAsia="黑体"/>
      <w:b/>
      <w:kern w:val="2"/>
      <w:sz w:val="28"/>
      <w:lang w:val="en-US" w:eastAsia="zh-CN" w:bidi="ar-SA"/>
    </w:rPr>
  </w:style>
  <w:style w:type="character" w:customStyle="1" w:styleId="56">
    <w:name w:val="标题 5 Char1"/>
    <w:link w:val="9"/>
    <w:qFormat/>
    <w:uiPriority w:val="0"/>
    <w:rPr>
      <w:rFonts w:eastAsia="宋体"/>
      <w:sz w:val="24"/>
      <w:lang w:val="en-US" w:eastAsia="zh-CN" w:bidi="ar-SA"/>
    </w:rPr>
  </w:style>
  <w:style w:type="character" w:customStyle="1" w:styleId="57">
    <w:name w:val="标题 6 Char1"/>
    <w:link w:val="10"/>
    <w:qFormat/>
    <w:uiPriority w:val="0"/>
    <w:rPr>
      <w:rFonts w:ascii="宋体" w:hAnsi="Arial" w:eastAsia="宋体"/>
      <w:sz w:val="24"/>
      <w:lang w:val="en-US" w:eastAsia="zh-CN" w:bidi="ar-SA"/>
    </w:rPr>
  </w:style>
  <w:style w:type="character" w:customStyle="1" w:styleId="58">
    <w:name w:val="标题 7 Char1"/>
    <w:link w:val="11"/>
    <w:qFormat/>
    <w:uiPriority w:val="0"/>
    <w:rPr>
      <w:rFonts w:ascii="宋体" w:hAnsi="Arial" w:eastAsia="宋体"/>
      <w:b/>
      <w:sz w:val="24"/>
      <w:lang w:val="en-US" w:eastAsia="zh-CN" w:bidi="ar-SA"/>
    </w:rPr>
  </w:style>
  <w:style w:type="character" w:customStyle="1" w:styleId="59">
    <w:name w:val="标题 8 Char1"/>
    <w:link w:val="12"/>
    <w:qFormat/>
    <w:uiPriority w:val="0"/>
    <w:rPr>
      <w:rFonts w:ascii="Arial" w:hAnsi="Arial" w:eastAsia="黑体"/>
      <w:sz w:val="24"/>
      <w:lang w:val="en-US" w:eastAsia="zh-CN" w:bidi="ar-SA"/>
    </w:rPr>
  </w:style>
  <w:style w:type="character" w:customStyle="1" w:styleId="60">
    <w:name w:val="标题 9 Char1"/>
    <w:link w:val="13"/>
    <w:qFormat/>
    <w:uiPriority w:val="0"/>
    <w:rPr>
      <w:rFonts w:ascii="Arial" w:hAnsi="Arial" w:eastAsia="黑体"/>
      <w:sz w:val="24"/>
      <w:lang w:val="en-US" w:eastAsia="zh-CN" w:bidi="ar-SA"/>
    </w:rPr>
  </w:style>
  <w:style w:type="character" w:customStyle="1" w:styleId="61">
    <w:name w:val="纯文本 Char"/>
    <w:link w:val="23"/>
    <w:qFormat/>
    <w:uiPriority w:val="0"/>
    <w:rPr>
      <w:rFonts w:ascii="宋体" w:hAnsi="Courier New" w:eastAsia="宋体"/>
      <w:kern w:val="2"/>
      <w:sz w:val="21"/>
      <w:lang w:val="en-US" w:eastAsia="zh-CN" w:bidi="ar-SA"/>
    </w:rPr>
  </w:style>
  <w:style w:type="paragraph" w:customStyle="1" w:styleId="62">
    <w:name w:val="表正文"/>
    <w:basedOn w:val="1"/>
    <w:next w:val="23"/>
    <w:qFormat/>
    <w:uiPriority w:val="0"/>
    <w:rPr>
      <w:rFonts w:ascii="宋体" w:hAnsi="Courier New"/>
      <w:szCs w:val="20"/>
    </w:rPr>
  </w:style>
  <w:style w:type="character" w:customStyle="1" w:styleId="63">
    <w:name w:val="正文文本缩进 Char"/>
    <w:link w:val="19"/>
    <w:qFormat/>
    <w:uiPriority w:val="0"/>
    <w:rPr>
      <w:rFonts w:eastAsia="宋体"/>
      <w:kern w:val="2"/>
      <w:sz w:val="21"/>
      <w:szCs w:val="24"/>
      <w:lang w:val="en-US" w:eastAsia="zh-CN" w:bidi="ar-SA"/>
    </w:rPr>
  </w:style>
  <w:style w:type="character" w:customStyle="1" w:styleId="64">
    <w:name w:val="日期 Char2"/>
    <w:link w:val="24"/>
    <w:qFormat/>
    <w:uiPriority w:val="0"/>
    <w:rPr>
      <w:rFonts w:ascii="楷体_GB2312" w:eastAsia="楷体_GB2312"/>
      <w:b/>
      <w:kern w:val="2"/>
      <w:sz w:val="28"/>
      <w:lang w:val="en-US" w:eastAsia="zh-CN" w:bidi="ar-SA"/>
    </w:rPr>
  </w:style>
  <w:style w:type="character" w:customStyle="1" w:styleId="65">
    <w:name w:val="页眉 Char1"/>
    <w:link w:val="28"/>
    <w:qFormat/>
    <w:uiPriority w:val="0"/>
    <w:rPr>
      <w:rFonts w:eastAsia="宋体"/>
      <w:kern w:val="2"/>
      <w:sz w:val="18"/>
      <w:szCs w:val="18"/>
      <w:lang w:val="en-US" w:eastAsia="zh-CN" w:bidi="ar-SA"/>
    </w:rPr>
  </w:style>
  <w:style w:type="character" w:customStyle="1" w:styleId="66">
    <w:name w:val="页脚 Char"/>
    <w:link w:val="27"/>
    <w:qFormat/>
    <w:locked/>
    <w:uiPriority w:val="0"/>
    <w:rPr>
      <w:rFonts w:eastAsia="宋体"/>
      <w:kern w:val="2"/>
      <w:sz w:val="18"/>
      <w:szCs w:val="18"/>
      <w:lang w:val="en-US" w:eastAsia="zh-CN" w:bidi="ar-SA"/>
    </w:rPr>
  </w:style>
  <w:style w:type="paragraph" w:customStyle="1" w:styleId="67">
    <w:name w:val="正文段"/>
    <w:basedOn w:val="1"/>
    <w:link w:val="68"/>
    <w:qFormat/>
    <w:uiPriority w:val="0"/>
    <w:pPr>
      <w:widowControl/>
      <w:snapToGrid w:val="0"/>
      <w:spacing w:afterLines="50"/>
      <w:ind w:firstLine="200" w:firstLineChars="200"/>
    </w:pPr>
    <w:rPr>
      <w:kern w:val="0"/>
      <w:sz w:val="24"/>
      <w:szCs w:val="20"/>
    </w:rPr>
  </w:style>
  <w:style w:type="character" w:customStyle="1" w:styleId="68">
    <w:name w:val="正文段 Char"/>
    <w:link w:val="67"/>
    <w:qFormat/>
    <w:uiPriority w:val="0"/>
    <w:rPr>
      <w:rFonts w:eastAsia="宋体"/>
      <w:sz w:val="24"/>
      <w:lang w:val="en-US" w:eastAsia="zh-CN" w:bidi="ar-SA"/>
    </w:rPr>
  </w:style>
  <w:style w:type="character" w:customStyle="1" w:styleId="69">
    <w:name w:val="批注文字 Char1"/>
    <w:link w:val="18"/>
    <w:qFormat/>
    <w:uiPriority w:val="0"/>
    <w:rPr>
      <w:rFonts w:eastAsia="宋体"/>
      <w:kern w:val="2"/>
      <w:sz w:val="21"/>
      <w:szCs w:val="24"/>
      <w:lang w:val="en-US" w:eastAsia="zh-CN" w:bidi="ar-SA"/>
    </w:rPr>
  </w:style>
  <w:style w:type="character" w:customStyle="1" w:styleId="70">
    <w:name w:val="正文文本 2 Char1"/>
    <w:link w:val="33"/>
    <w:qFormat/>
    <w:uiPriority w:val="0"/>
    <w:rPr>
      <w:rFonts w:ascii="隶书" w:eastAsia="隶书"/>
      <w:bCs/>
      <w:sz w:val="72"/>
      <w:szCs w:val="84"/>
      <w:lang w:val="en-US" w:eastAsia="zh-CN" w:bidi="ar-SA"/>
    </w:rPr>
  </w:style>
  <w:style w:type="paragraph" w:customStyle="1" w:styleId="71">
    <w:name w:val="Char"/>
    <w:basedOn w:val="1"/>
    <w:qFormat/>
    <w:uiPriority w:val="0"/>
    <w:rPr>
      <w:rFonts w:ascii="仿宋_GB2312" w:eastAsia="仿宋_GB2312"/>
      <w:b/>
      <w:sz w:val="32"/>
      <w:szCs w:val="32"/>
    </w:rPr>
  </w:style>
  <w:style w:type="paragraph" w:customStyle="1" w:styleId="72">
    <w:name w:val="Table Text"/>
    <w:link w:val="73"/>
    <w:qFormat/>
    <w:uiPriority w:val="0"/>
    <w:pPr>
      <w:snapToGrid w:val="0"/>
      <w:spacing w:before="80" w:after="80"/>
    </w:pPr>
    <w:rPr>
      <w:rFonts w:ascii="Arial" w:hAnsi="Arial" w:eastAsia="宋体" w:cs="Times New Roman"/>
      <w:sz w:val="18"/>
      <w:lang w:val="en-US" w:eastAsia="zh-CN" w:bidi="ar-SA"/>
    </w:rPr>
  </w:style>
  <w:style w:type="character" w:customStyle="1" w:styleId="73">
    <w:name w:val="Table Text Char1"/>
    <w:link w:val="72"/>
    <w:qFormat/>
    <w:uiPriority w:val="0"/>
    <w:rPr>
      <w:rFonts w:ascii="Arial" w:hAnsi="Arial"/>
      <w:sz w:val="18"/>
      <w:lang w:val="en-US" w:eastAsia="zh-CN" w:bidi="ar-SA"/>
    </w:rPr>
  </w:style>
  <w:style w:type="character" w:customStyle="1" w:styleId="74">
    <w:name w:val="正文（缩进2汉字） Char"/>
    <w:link w:val="75"/>
    <w:qFormat/>
    <w:uiPriority w:val="0"/>
    <w:rPr>
      <w:rFonts w:ascii="宋体"/>
      <w:kern w:val="2"/>
      <w:sz w:val="21"/>
      <w:lang w:bidi="ar-SA"/>
    </w:rPr>
  </w:style>
  <w:style w:type="paragraph" w:customStyle="1" w:styleId="75">
    <w:name w:val="正文（缩进2汉字）"/>
    <w:basedOn w:val="1"/>
    <w:link w:val="74"/>
    <w:qFormat/>
    <w:uiPriority w:val="0"/>
    <w:pPr>
      <w:tabs>
        <w:tab w:val="left" w:pos="525"/>
      </w:tabs>
      <w:spacing w:before="100" w:beforeAutospacing="1" w:after="100" w:afterAutospacing="1"/>
      <w:ind w:left="120" w:leftChars="50" w:firstLine="494" w:firstLineChars="206"/>
    </w:pPr>
    <w:rPr>
      <w:rFonts w:ascii="宋体"/>
      <w:szCs w:val="20"/>
    </w:rPr>
  </w:style>
  <w:style w:type="paragraph" w:customStyle="1" w:styleId="76">
    <w:name w:val="Char111"/>
    <w:basedOn w:val="1"/>
    <w:qFormat/>
    <w:uiPriority w:val="0"/>
    <w:pPr>
      <w:tabs>
        <w:tab w:val="left" w:pos="432"/>
      </w:tabs>
      <w:spacing w:beforeLines="50" w:afterLines="50"/>
      <w:ind w:left="432" w:hanging="432"/>
      <w:jc w:val="center"/>
    </w:pPr>
    <w:rPr>
      <w:sz w:val="24"/>
    </w:rPr>
  </w:style>
  <w:style w:type="paragraph" w:customStyle="1" w:styleId="77">
    <w:name w:val="模板普通正文"/>
    <w:basedOn w:val="19"/>
    <w:qFormat/>
    <w:uiPriority w:val="0"/>
    <w:pPr>
      <w:spacing w:beforeLines="50" w:after="10" w:line="360" w:lineRule="auto"/>
      <w:ind w:left="0" w:leftChars="0" w:firstLine="175" w:firstLineChars="175"/>
      <w:jc w:val="left"/>
    </w:pPr>
    <w:rPr>
      <w:sz w:val="24"/>
    </w:rPr>
  </w:style>
  <w:style w:type="character" w:customStyle="1" w:styleId="78">
    <w:name w:val="正文文本缩进 2 Char1"/>
    <w:link w:val="25"/>
    <w:qFormat/>
    <w:locked/>
    <w:uiPriority w:val="0"/>
    <w:rPr>
      <w:rFonts w:eastAsia="宋体"/>
      <w:kern w:val="2"/>
      <w:sz w:val="21"/>
      <w:szCs w:val="24"/>
      <w:lang w:val="en-US" w:eastAsia="zh-CN" w:bidi="ar-SA"/>
    </w:rPr>
  </w:style>
  <w:style w:type="paragraph" w:customStyle="1" w:styleId="79">
    <w:name w:val="缺省文本"/>
    <w:basedOn w:val="1"/>
    <w:qFormat/>
    <w:uiPriority w:val="0"/>
    <w:pPr>
      <w:autoSpaceDE w:val="0"/>
      <w:autoSpaceDN w:val="0"/>
      <w:adjustRightInd w:val="0"/>
      <w:jc w:val="left"/>
    </w:pPr>
    <w:rPr>
      <w:kern w:val="0"/>
      <w:sz w:val="24"/>
    </w:rPr>
  </w:style>
  <w:style w:type="paragraph" w:customStyle="1" w:styleId="80">
    <w:name w:val="WW-正文文字缩进 2"/>
    <w:basedOn w:val="1"/>
    <w:qFormat/>
    <w:uiPriority w:val="0"/>
    <w:pPr>
      <w:suppressAutoHyphens/>
      <w:ind w:firstLine="420"/>
    </w:pPr>
    <w:rPr>
      <w:kern w:val="1"/>
      <w:szCs w:val="20"/>
    </w:rPr>
  </w:style>
  <w:style w:type="paragraph" w:customStyle="1" w:styleId="81">
    <w:name w:val="默认段落字体 Para Char Char Char Char Char Char Char Char Char1 Char Char Char Char"/>
    <w:basedOn w:val="1"/>
    <w:qFormat/>
    <w:uiPriority w:val="0"/>
    <w:rPr>
      <w:rFonts w:ascii="Tahoma" w:hAnsi="Tahoma"/>
      <w:sz w:val="24"/>
      <w:szCs w:val="20"/>
    </w:rPr>
  </w:style>
  <w:style w:type="character" w:customStyle="1" w:styleId="82">
    <w:name w:val="正文文本 Char1"/>
    <w:link w:val="2"/>
    <w:qFormat/>
    <w:locked/>
    <w:uiPriority w:val="0"/>
    <w:rPr>
      <w:rFonts w:eastAsia="仿宋_GB2312"/>
      <w:kern w:val="2"/>
      <w:sz w:val="28"/>
      <w:szCs w:val="24"/>
      <w:lang w:val="en-US" w:eastAsia="zh-CN" w:bidi="ar-SA"/>
    </w:rPr>
  </w:style>
  <w:style w:type="paragraph" w:customStyle="1" w:styleId="83">
    <w:name w:val="项目排列"/>
    <w:basedOn w:val="1"/>
    <w:link w:val="84"/>
    <w:qFormat/>
    <w:uiPriority w:val="0"/>
    <w:pPr>
      <w:tabs>
        <w:tab w:val="left" w:pos="900"/>
      </w:tabs>
      <w:spacing w:beforeLines="50" w:afterLines="50" w:line="300" w:lineRule="auto"/>
      <w:ind w:left="900" w:hanging="420"/>
    </w:pPr>
    <w:rPr>
      <w:sz w:val="24"/>
    </w:rPr>
  </w:style>
  <w:style w:type="character" w:customStyle="1" w:styleId="84">
    <w:name w:val="项目排列 Char"/>
    <w:link w:val="83"/>
    <w:qFormat/>
    <w:uiPriority w:val="0"/>
    <w:rPr>
      <w:kern w:val="2"/>
      <w:sz w:val="24"/>
      <w:szCs w:val="24"/>
    </w:rPr>
  </w:style>
  <w:style w:type="character" w:customStyle="1" w:styleId="85">
    <w:name w:val="style21"/>
    <w:qFormat/>
    <w:uiPriority w:val="0"/>
    <w:rPr>
      <w:sz w:val="15"/>
      <w:szCs w:val="15"/>
    </w:rPr>
  </w:style>
  <w:style w:type="paragraph" w:customStyle="1" w:styleId="86">
    <w:name w:val="blue"/>
    <w:basedOn w:val="1"/>
    <w:qFormat/>
    <w:uiPriority w:val="0"/>
    <w:pPr>
      <w:widowControl/>
      <w:spacing w:before="100" w:beforeAutospacing="1" w:after="100" w:afterAutospacing="1"/>
      <w:jc w:val="left"/>
    </w:pPr>
    <w:rPr>
      <w:rFonts w:ascii="Arial Unicode MS" w:hAnsi="Arial Unicode MS" w:eastAsia="Arial Unicode MS"/>
      <w:kern w:val="0"/>
      <w:sz w:val="24"/>
      <w:szCs w:val="20"/>
    </w:rPr>
  </w:style>
  <w:style w:type="paragraph" w:styleId="87">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88">
    <w:name w:val="Char1"/>
    <w:basedOn w:val="1"/>
    <w:qFormat/>
    <w:uiPriority w:val="0"/>
    <w:rPr>
      <w:szCs w:val="20"/>
    </w:rPr>
  </w:style>
  <w:style w:type="paragraph" w:customStyle="1" w:styleId="89">
    <w:name w:val="列出段落1"/>
    <w:basedOn w:val="1"/>
    <w:qFormat/>
    <w:uiPriority w:val="0"/>
    <w:pPr>
      <w:ind w:firstLine="420" w:firstLineChars="200"/>
    </w:pPr>
    <w:rPr>
      <w:rFonts w:ascii="Calibri" w:hAnsi="Calibri"/>
      <w:szCs w:val="22"/>
    </w:rPr>
  </w:style>
  <w:style w:type="paragraph" w:customStyle="1" w:styleId="90">
    <w:name w:val="默认段落字体 Para Char Char Char Char"/>
    <w:basedOn w:val="1"/>
    <w:qFormat/>
    <w:uiPriority w:val="0"/>
  </w:style>
  <w:style w:type="paragraph" w:customStyle="1" w:styleId="91">
    <w:name w:val="Char Char Char1 Char Char Char1 Char Char Char Char"/>
    <w:basedOn w:val="1"/>
    <w:qFormat/>
    <w:uiPriority w:val="0"/>
  </w:style>
  <w:style w:type="character" w:customStyle="1" w:styleId="92">
    <w:name w:val="font1"/>
    <w:qFormat/>
    <w:uiPriority w:val="0"/>
    <w:rPr>
      <w:color w:val="999999"/>
      <w:sz w:val="18"/>
      <w:szCs w:val="18"/>
      <w:u w:val="none"/>
    </w:rPr>
  </w:style>
  <w:style w:type="paragraph" w:customStyle="1" w:styleId="9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94">
    <w:name w:val="Char Char Char Char Char Char Char Char Char Char"/>
    <w:basedOn w:val="1"/>
    <w:qFormat/>
    <w:uiPriority w:val="0"/>
    <w:rPr>
      <w:rFonts w:ascii="Tahoma" w:hAnsi="Tahoma"/>
      <w:sz w:val="24"/>
      <w:szCs w:val="20"/>
    </w:rPr>
  </w:style>
  <w:style w:type="character" w:customStyle="1" w:styleId="95">
    <w:name w:val="apple-style-span"/>
    <w:basedOn w:val="43"/>
    <w:qFormat/>
    <w:uiPriority w:val="0"/>
  </w:style>
  <w:style w:type="paragraph" w:customStyle="1" w:styleId="96">
    <w:name w:val="正文无缩进"/>
    <w:basedOn w:val="1"/>
    <w:link w:val="97"/>
    <w:qFormat/>
    <w:uiPriority w:val="0"/>
    <w:pPr>
      <w:spacing w:line="360" w:lineRule="auto"/>
    </w:pPr>
    <w:rPr>
      <w:rFonts w:ascii="宋体"/>
      <w:color w:val="000000"/>
      <w:sz w:val="24"/>
    </w:rPr>
  </w:style>
  <w:style w:type="character" w:customStyle="1" w:styleId="97">
    <w:name w:val="正文无缩进 Char"/>
    <w:link w:val="96"/>
    <w:qFormat/>
    <w:uiPriority w:val="0"/>
    <w:rPr>
      <w:rFonts w:ascii="宋体" w:eastAsia="宋体"/>
      <w:color w:val="000000"/>
      <w:kern w:val="2"/>
      <w:sz w:val="24"/>
      <w:szCs w:val="24"/>
      <w:lang w:val="en-US" w:eastAsia="zh-CN" w:bidi="ar-SA"/>
    </w:rPr>
  </w:style>
  <w:style w:type="paragraph" w:customStyle="1" w:styleId="98">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99">
    <w:name w:val="ca-3"/>
    <w:basedOn w:val="43"/>
    <w:qFormat/>
    <w:uiPriority w:val="0"/>
  </w:style>
  <w:style w:type="paragraph" w:customStyle="1" w:styleId="100">
    <w:name w:val="Char Char1 Char Char Char Char1 Char Char Char"/>
    <w:basedOn w:val="1"/>
    <w:qFormat/>
    <w:uiPriority w:val="0"/>
    <w:pPr>
      <w:adjustRightInd w:val="0"/>
      <w:spacing w:line="360" w:lineRule="atLeast"/>
    </w:pPr>
    <w:rPr>
      <w:rFonts w:ascii="Tahoma" w:hAnsi="Tahoma"/>
      <w:sz w:val="24"/>
      <w:szCs w:val="20"/>
    </w:rPr>
  </w:style>
  <w:style w:type="character" w:customStyle="1" w:styleId="101">
    <w:name w:val="表格 Char Char"/>
    <w:link w:val="102"/>
    <w:qFormat/>
    <w:locked/>
    <w:uiPriority w:val="0"/>
    <w:rPr>
      <w:rFonts w:ascii="宋体" w:hAnsi="宋体" w:eastAsia="宋体"/>
      <w:lang w:val="en-US" w:eastAsia="zh-CN" w:bidi="ar-SA"/>
    </w:rPr>
  </w:style>
  <w:style w:type="paragraph" w:customStyle="1" w:styleId="102">
    <w:name w:val="表格"/>
    <w:basedOn w:val="1"/>
    <w:link w:val="101"/>
    <w:qFormat/>
    <w:uiPriority w:val="0"/>
    <w:pPr>
      <w:snapToGrid w:val="0"/>
      <w:ind w:firstLine="42" w:firstLineChars="21"/>
    </w:pPr>
    <w:rPr>
      <w:rFonts w:ascii="宋体" w:hAnsi="宋体"/>
      <w:kern w:val="0"/>
      <w:sz w:val="20"/>
      <w:szCs w:val="20"/>
    </w:rPr>
  </w:style>
  <w:style w:type="paragraph" w:customStyle="1" w:styleId="103">
    <w:name w:val="xl32"/>
    <w:basedOn w:val="1"/>
    <w:qFormat/>
    <w:uiPriority w:val="0"/>
    <w:pPr>
      <w:widowControl/>
      <w:pBdr>
        <w:left w:val="single" w:color="auto" w:sz="4" w:space="0"/>
        <w:right w:val="single" w:color="auto" w:sz="4" w:space="0"/>
      </w:pBdr>
      <w:spacing w:before="100" w:beforeAutospacing="1" w:after="100" w:afterAutospacing="1"/>
    </w:pPr>
    <w:rPr>
      <w:kern w:val="0"/>
      <w:szCs w:val="21"/>
    </w:rPr>
  </w:style>
  <w:style w:type="paragraph" w:customStyle="1" w:styleId="104">
    <w:name w:val="Char Char1 Char Char Char Char Char Char"/>
    <w:basedOn w:val="1"/>
    <w:qFormat/>
    <w:uiPriority w:val="0"/>
    <w:pPr>
      <w:widowControl/>
      <w:spacing w:after="160" w:line="240" w:lineRule="exact"/>
      <w:jc w:val="left"/>
    </w:pPr>
  </w:style>
  <w:style w:type="character" w:customStyle="1" w:styleId="105">
    <w:name w:val="Char Char"/>
    <w:qFormat/>
    <w:uiPriority w:val="0"/>
    <w:rPr>
      <w:rFonts w:hint="eastAsia" w:ascii="宋体" w:hAnsi="Courier New" w:eastAsia="宋体"/>
      <w:kern w:val="2"/>
      <w:sz w:val="21"/>
      <w:lang w:val="en-US" w:eastAsia="zh-CN" w:bidi="ar-SA"/>
    </w:rPr>
  </w:style>
  <w:style w:type="character" w:customStyle="1" w:styleId="106">
    <w:name w:val="style51"/>
    <w:qFormat/>
    <w:uiPriority w:val="0"/>
    <w:rPr>
      <w:sz w:val="21"/>
      <w:szCs w:val="21"/>
    </w:rPr>
  </w:style>
  <w:style w:type="paragraph" w:customStyle="1" w:styleId="107">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108">
    <w:name w:val="标准文本"/>
    <w:basedOn w:val="1"/>
    <w:link w:val="109"/>
    <w:qFormat/>
    <w:uiPriority w:val="0"/>
    <w:pPr>
      <w:spacing w:line="360" w:lineRule="auto"/>
      <w:ind w:firstLine="480" w:firstLineChars="200"/>
    </w:pPr>
    <w:rPr>
      <w:rFonts w:cs="宋体"/>
      <w:sz w:val="24"/>
      <w:szCs w:val="20"/>
    </w:rPr>
  </w:style>
  <w:style w:type="character" w:customStyle="1" w:styleId="109">
    <w:name w:val="标准文本 Char"/>
    <w:link w:val="108"/>
    <w:qFormat/>
    <w:uiPriority w:val="0"/>
    <w:rPr>
      <w:rFonts w:eastAsia="宋体" w:cs="宋体"/>
      <w:kern w:val="2"/>
      <w:sz w:val="24"/>
      <w:lang w:val="en-US" w:eastAsia="zh-CN" w:bidi="ar-SA"/>
    </w:rPr>
  </w:style>
  <w:style w:type="paragraph" w:customStyle="1" w:styleId="110">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1">
    <w:name w:val="自定义正文"/>
    <w:basedOn w:val="1"/>
    <w:link w:val="112"/>
    <w:qFormat/>
    <w:uiPriority w:val="0"/>
    <w:pPr>
      <w:spacing w:line="480" w:lineRule="exact"/>
      <w:ind w:firstLine="200" w:firstLineChars="200"/>
      <w:jc w:val="left"/>
    </w:pPr>
    <w:rPr>
      <w:rFonts w:ascii="仿宋_GB2312" w:eastAsia="仿宋_GB2312"/>
      <w:sz w:val="28"/>
    </w:rPr>
  </w:style>
  <w:style w:type="character" w:customStyle="1" w:styleId="112">
    <w:name w:val="自定义正文 Char"/>
    <w:link w:val="111"/>
    <w:qFormat/>
    <w:uiPriority w:val="0"/>
    <w:rPr>
      <w:rFonts w:ascii="仿宋_GB2312" w:eastAsia="仿宋_GB2312"/>
      <w:kern w:val="2"/>
      <w:sz w:val="28"/>
      <w:szCs w:val="24"/>
      <w:lang w:val="en-US" w:eastAsia="zh-CN" w:bidi="ar-SA"/>
    </w:rPr>
  </w:style>
  <w:style w:type="paragraph" w:customStyle="1" w:styleId="113">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114">
    <w:name w:val="自定义表格文字"/>
    <w:basedOn w:val="1"/>
    <w:qFormat/>
    <w:uiPriority w:val="0"/>
    <w:pPr>
      <w:spacing w:before="60" w:after="60" w:line="320" w:lineRule="exact"/>
      <w:jc w:val="left"/>
    </w:pPr>
    <w:rPr>
      <w:rFonts w:ascii="宋体" w:eastAsia="楷体_GB2312"/>
    </w:rPr>
  </w:style>
  <w:style w:type="paragraph" w:customStyle="1" w:styleId="115">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16">
    <w:name w:val="Char Char Char1 Char1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17">
    <w:name w:val="文档结构图 Char"/>
    <w:link w:val="17"/>
    <w:semiHidden/>
    <w:qFormat/>
    <w:uiPriority w:val="0"/>
    <w:rPr>
      <w:rFonts w:eastAsia="宋体"/>
      <w:kern w:val="2"/>
      <w:sz w:val="21"/>
      <w:szCs w:val="24"/>
      <w:lang w:val="en-US" w:eastAsia="zh-CN" w:bidi="ar-SA"/>
    </w:rPr>
  </w:style>
  <w:style w:type="character" w:customStyle="1" w:styleId="118">
    <w:name w:val="Char Char12"/>
    <w:qFormat/>
    <w:uiPriority w:val="0"/>
    <w:rPr>
      <w:rFonts w:ascii="宋体" w:hAnsi="Courier New" w:eastAsia="宋体"/>
      <w:kern w:val="2"/>
      <w:sz w:val="21"/>
      <w:lang w:val="en-US" w:eastAsia="zh-CN" w:bidi="ar-SA"/>
    </w:rPr>
  </w:style>
  <w:style w:type="character" w:customStyle="1" w:styleId="119">
    <w:name w:val="H4 Char"/>
    <w:qFormat/>
    <w:uiPriority w:val="0"/>
    <w:rPr>
      <w:rFonts w:ascii="宋体" w:hAnsi="宋体" w:eastAsia="黑体"/>
      <w:b/>
      <w:bCs/>
      <w:color w:val="000000"/>
      <w:spacing w:val="-4"/>
      <w:kern w:val="2"/>
      <w:sz w:val="24"/>
      <w:szCs w:val="30"/>
      <w:lang w:val="en-US" w:eastAsia="zh-CN" w:bidi="ar-SA"/>
    </w:rPr>
  </w:style>
  <w:style w:type="character" w:customStyle="1" w:styleId="120">
    <w:name w:val="H5 Char"/>
    <w:qFormat/>
    <w:uiPriority w:val="0"/>
    <w:rPr>
      <w:rFonts w:ascii="Arial" w:hAnsi="Arial" w:eastAsia="宋体"/>
      <w:sz w:val="24"/>
      <w:lang w:val="en-US" w:eastAsia="zh-CN" w:bidi="ar-SA"/>
    </w:rPr>
  </w:style>
  <w:style w:type="character" w:customStyle="1" w:styleId="121">
    <w:name w:val="Char Char8"/>
    <w:qFormat/>
    <w:uiPriority w:val="0"/>
    <w:rPr>
      <w:rFonts w:ascii="宋体" w:eastAsia="宋体"/>
      <w:kern w:val="2"/>
      <w:sz w:val="28"/>
      <w:lang w:val="en-US" w:eastAsia="zh-CN" w:bidi="ar-SA"/>
    </w:rPr>
  </w:style>
  <w:style w:type="character" w:customStyle="1" w:styleId="122">
    <w:name w:val="Char Char7"/>
    <w:qFormat/>
    <w:uiPriority w:val="0"/>
    <w:rPr>
      <w:rFonts w:eastAsia="仿宋_GB2312"/>
      <w:kern w:val="2"/>
      <w:sz w:val="24"/>
      <w:szCs w:val="24"/>
      <w:lang w:val="en-US" w:eastAsia="zh-CN" w:bidi="ar-SA"/>
    </w:rPr>
  </w:style>
  <w:style w:type="paragraph" w:customStyle="1" w:styleId="123">
    <w:name w:val="表内文字"/>
    <w:basedOn w:val="1"/>
    <w:qFormat/>
    <w:uiPriority w:val="0"/>
    <w:pPr>
      <w:jc w:val="center"/>
    </w:pPr>
    <w:rPr>
      <w:color w:val="FF0000"/>
      <w:kern w:val="0"/>
      <w:sz w:val="24"/>
    </w:rPr>
  </w:style>
  <w:style w:type="character" w:customStyle="1" w:styleId="124">
    <w:name w:val="Char Char3"/>
    <w:qFormat/>
    <w:uiPriority w:val="0"/>
    <w:rPr>
      <w:rFonts w:eastAsia="仿宋_GB2312"/>
      <w:kern w:val="2"/>
      <w:sz w:val="28"/>
      <w:szCs w:val="24"/>
      <w:lang w:val="en-US" w:eastAsia="zh-CN" w:bidi="ar-SA"/>
    </w:rPr>
  </w:style>
  <w:style w:type="paragraph" w:customStyle="1" w:styleId="125">
    <w:name w:val="xl25"/>
    <w:basedOn w:val="1"/>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126">
    <w:name w:val="font7"/>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27">
    <w:name w:val="font5"/>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28">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29">
    <w:name w:val="项目1"/>
    <w:basedOn w:val="1"/>
    <w:qFormat/>
    <w:uiPriority w:val="0"/>
    <w:pPr>
      <w:tabs>
        <w:tab w:val="left" w:pos="840"/>
      </w:tabs>
      <w:spacing w:after="60"/>
      <w:ind w:left="840" w:hanging="420"/>
    </w:pPr>
    <w:rPr>
      <w:rFonts w:ascii="宋体"/>
      <w:spacing w:val="4"/>
      <w:szCs w:val="20"/>
    </w:rPr>
  </w:style>
  <w:style w:type="paragraph" w:customStyle="1" w:styleId="130">
    <w:name w:val="编10号"/>
    <w:basedOn w:val="1"/>
    <w:qFormat/>
    <w:uiPriority w:val="0"/>
    <w:pPr>
      <w:tabs>
        <w:tab w:val="left" w:pos="1620"/>
      </w:tabs>
      <w:ind w:left="1620" w:hanging="360"/>
    </w:pPr>
  </w:style>
  <w:style w:type="paragraph" w:customStyle="1" w:styleId="131">
    <w:name w:val="段"/>
    <w:basedOn w:val="1"/>
    <w:qFormat/>
    <w:uiPriority w:val="0"/>
    <w:pPr>
      <w:ind w:firstLine="425"/>
    </w:pPr>
    <w:rPr>
      <w:rFonts w:ascii="宋体"/>
      <w:szCs w:val="20"/>
    </w:rPr>
  </w:style>
  <w:style w:type="paragraph" w:customStyle="1" w:styleId="132">
    <w:name w:val="Char Char Char Char"/>
    <w:basedOn w:val="1"/>
    <w:qFormat/>
    <w:uiPriority w:val="0"/>
    <w:pPr>
      <w:widowControl/>
      <w:spacing w:after="160" w:line="240" w:lineRule="exact"/>
      <w:jc w:val="left"/>
    </w:pPr>
    <w:rPr>
      <w:kern w:val="0"/>
      <w:sz w:val="24"/>
    </w:rPr>
  </w:style>
  <w:style w:type="paragraph" w:customStyle="1" w:styleId="133">
    <w:name w:val="Char Char1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34">
    <w:name w:val="bulletintext1"/>
    <w:qFormat/>
    <w:uiPriority w:val="0"/>
    <w:rPr>
      <w:rFonts w:hint="eastAsia" w:ascii="宋体" w:hAnsi="宋体" w:eastAsia="宋体"/>
      <w:sz w:val="18"/>
      <w:szCs w:val="18"/>
    </w:rPr>
  </w:style>
  <w:style w:type="paragraph" w:customStyle="1" w:styleId="135">
    <w:name w:val="Char1 Char Char Char Char Char Char"/>
    <w:basedOn w:val="1"/>
    <w:qFormat/>
    <w:uiPriority w:val="0"/>
    <w:rPr>
      <w:rFonts w:ascii="Tahoma" w:hAnsi="Tahoma"/>
      <w:sz w:val="24"/>
      <w:szCs w:val="20"/>
    </w:rPr>
  </w:style>
  <w:style w:type="paragraph" w:customStyle="1" w:styleId="136">
    <w:name w:val="Char Char2 Char Char Char Char"/>
    <w:basedOn w:val="17"/>
    <w:qFormat/>
    <w:uiPriority w:val="0"/>
    <w:rPr>
      <w:rFonts w:ascii="Tahoma" w:hAnsi="Tahoma"/>
      <w:sz w:val="24"/>
    </w:rPr>
  </w:style>
  <w:style w:type="paragraph" w:customStyle="1" w:styleId="137">
    <w:name w:val="Char Char Char"/>
    <w:basedOn w:val="17"/>
    <w:qFormat/>
    <w:uiPriority w:val="0"/>
    <w:rPr>
      <w:rFonts w:ascii="Tahoma" w:hAnsi="Tahoma"/>
      <w:sz w:val="24"/>
    </w:rPr>
  </w:style>
  <w:style w:type="paragraph" w:customStyle="1" w:styleId="138">
    <w:name w:val="正文缩进 New"/>
    <w:basedOn w:val="1"/>
    <w:qFormat/>
    <w:uiPriority w:val="0"/>
    <w:pPr>
      <w:ind w:firstLine="420" w:firstLineChars="200"/>
    </w:pPr>
    <w:rPr>
      <w:szCs w:val="20"/>
    </w:rPr>
  </w:style>
  <w:style w:type="paragraph" w:customStyle="1" w:styleId="139">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character" w:customStyle="1" w:styleId="140">
    <w:name w:val="tpc_content1"/>
    <w:qFormat/>
    <w:uiPriority w:val="0"/>
    <w:rPr>
      <w:sz w:val="20"/>
      <w:szCs w:val="20"/>
    </w:rPr>
  </w:style>
  <w:style w:type="character" w:customStyle="1" w:styleId="141">
    <w:name w:val="Char Char11"/>
    <w:qFormat/>
    <w:uiPriority w:val="0"/>
    <w:rPr>
      <w:b/>
      <w:kern w:val="44"/>
      <w:sz w:val="44"/>
    </w:rPr>
  </w:style>
  <w:style w:type="character" w:customStyle="1" w:styleId="142">
    <w:name w:val="Char Char10"/>
    <w:qFormat/>
    <w:uiPriority w:val="0"/>
    <w:rPr>
      <w:b/>
      <w:kern w:val="2"/>
      <w:sz w:val="28"/>
      <w:szCs w:val="28"/>
    </w:rPr>
  </w:style>
  <w:style w:type="character" w:customStyle="1" w:styleId="143">
    <w:name w:val="Char Char9"/>
    <w:qFormat/>
    <w:uiPriority w:val="0"/>
    <w:rPr>
      <w:b/>
      <w:kern w:val="2"/>
      <w:sz w:val="24"/>
      <w:szCs w:val="24"/>
    </w:rPr>
  </w:style>
  <w:style w:type="paragraph" w:customStyle="1" w:styleId="144">
    <w:name w:val="Char Char Char 字元 字元"/>
    <w:basedOn w:val="1"/>
    <w:qFormat/>
    <w:uiPriority w:val="0"/>
    <w:pPr>
      <w:spacing w:line="360" w:lineRule="auto"/>
      <w:ind w:firstLine="200" w:firstLineChars="200"/>
    </w:pPr>
    <w:rPr>
      <w:szCs w:val="20"/>
    </w:rPr>
  </w:style>
  <w:style w:type="paragraph" w:customStyle="1" w:styleId="145">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46">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47">
    <w:name w:val="style11"/>
    <w:qFormat/>
    <w:uiPriority w:val="0"/>
    <w:rPr>
      <w:b/>
      <w:bCs/>
      <w:color w:val="FF0000"/>
    </w:rPr>
  </w:style>
  <w:style w:type="character" w:customStyle="1" w:styleId="148">
    <w:name w:val="info"/>
    <w:basedOn w:val="43"/>
    <w:qFormat/>
    <w:uiPriority w:val="0"/>
  </w:style>
  <w:style w:type="paragraph" w:customStyle="1" w:styleId="149">
    <w:name w:val="样式 正文缩进 + 首行缩进:  2 字符"/>
    <w:basedOn w:val="7"/>
    <w:link w:val="150"/>
    <w:qFormat/>
    <w:uiPriority w:val="0"/>
    <w:pPr>
      <w:spacing w:line="360" w:lineRule="auto"/>
      <w:ind w:firstLine="480"/>
    </w:pPr>
    <w:rPr>
      <w:rFonts w:ascii="宋体" w:hAnsi="宋体"/>
      <w:color w:val="000000"/>
      <w:kern w:val="0"/>
      <w:sz w:val="24"/>
      <w:szCs w:val="20"/>
    </w:rPr>
  </w:style>
  <w:style w:type="character" w:customStyle="1" w:styleId="150">
    <w:name w:val="样式 正文缩进 + 首行缩进:  2 字符 Char"/>
    <w:link w:val="149"/>
    <w:qFormat/>
    <w:locked/>
    <w:uiPriority w:val="0"/>
    <w:rPr>
      <w:rFonts w:ascii="宋体" w:hAnsi="宋体" w:eastAsia="宋体"/>
      <w:color w:val="000000"/>
      <w:sz w:val="24"/>
      <w:lang w:bidi="ar-SA"/>
    </w:rPr>
  </w:style>
  <w:style w:type="paragraph" w:customStyle="1" w:styleId="151">
    <w:name w:val="正文2"/>
    <w:basedOn w:val="1"/>
    <w:link w:val="152"/>
    <w:qFormat/>
    <w:uiPriority w:val="0"/>
    <w:pPr>
      <w:spacing w:before="156" w:line="360" w:lineRule="auto"/>
      <w:ind w:firstLine="510" w:firstLineChars="200"/>
    </w:pPr>
    <w:rPr>
      <w:sz w:val="24"/>
      <w:szCs w:val="20"/>
    </w:rPr>
  </w:style>
  <w:style w:type="character" w:customStyle="1" w:styleId="152">
    <w:name w:val="正文2 Char"/>
    <w:link w:val="151"/>
    <w:qFormat/>
    <w:uiPriority w:val="0"/>
    <w:rPr>
      <w:rFonts w:eastAsia="宋体"/>
      <w:kern w:val="2"/>
      <w:sz w:val="24"/>
      <w:lang w:val="en-US" w:eastAsia="zh-CN" w:bidi="ar-SA"/>
    </w:rPr>
  </w:style>
  <w:style w:type="paragraph" w:customStyle="1" w:styleId="153">
    <w:name w:val="p0"/>
    <w:basedOn w:val="1"/>
    <w:qFormat/>
    <w:uiPriority w:val="0"/>
    <w:pPr>
      <w:widowControl/>
    </w:pPr>
    <w:rPr>
      <w:kern w:val="0"/>
      <w:szCs w:val="21"/>
    </w:rPr>
  </w:style>
  <w:style w:type="character" w:customStyle="1" w:styleId="154">
    <w:name w:val="param-name"/>
    <w:basedOn w:val="43"/>
    <w:qFormat/>
    <w:uiPriority w:val="0"/>
  </w:style>
  <w:style w:type="character" w:customStyle="1" w:styleId="155">
    <w:name w:val="日期 Char"/>
    <w:qFormat/>
    <w:uiPriority w:val="0"/>
    <w:rPr>
      <w:rFonts w:ascii="楷体_GB2312" w:eastAsia="楷体_GB2312"/>
      <w:b/>
      <w:kern w:val="2"/>
      <w:sz w:val="28"/>
      <w:lang w:val="en-US" w:eastAsia="zh-CN" w:bidi="ar-SA"/>
    </w:rPr>
  </w:style>
  <w:style w:type="character" w:customStyle="1" w:styleId="156">
    <w:name w:val="标题 4 Char"/>
    <w:qFormat/>
    <w:uiPriority w:val="0"/>
    <w:rPr>
      <w:rFonts w:ascii="Arial" w:hAnsi="Arial" w:eastAsia="黑体"/>
      <w:b/>
      <w:kern w:val="2"/>
      <w:sz w:val="28"/>
      <w:lang w:val="en-US" w:eastAsia="zh-CN" w:bidi="ar-SA"/>
    </w:rPr>
  </w:style>
  <w:style w:type="character" w:customStyle="1" w:styleId="157">
    <w:name w:val="标题 6 Char"/>
    <w:qFormat/>
    <w:uiPriority w:val="0"/>
    <w:rPr>
      <w:rFonts w:ascii="宋体" w:hAnsi="Arial" w:eastAsia="宋体"/>
      <w:sz w:val="24"/>
      <w:lang w:val="en-US" w:eastAsia="zh-CN" w:bidi="ar-SA"/>
    </w:rPr>
  </w:style>
  <w:style w:type="character" w:customStyle="1" w:styleId="158">
    <w:name w:val="标题 8 Char"/>
    <w:qFormat/>
    <w:uiPriority w:val="0"/>
    <w:rPr>
      <w:rFonts w:ascii="Arial" w:hAnsi="Arial" w:eastAsia="黑体"/>
      <w:sz w:val="24"/>
      <w:lang w:val="en-US" w:eastAsia="zh-CN" w:bidi="ar-SA"/>
    </w:rPr>
  </w:style>
  <w:style w:type="character" w:customStyle="1" w:styleId="159">
    <w:name w:val="标题 9 Char"/>
    <w:qFormat/>
    <w:uiPriority w:val="0"/>
    <w:rPr>
      <w:rFonts w:ascii="Arial" w:hAnsi="Arial" w:eastAsia="黑体"/>
      <w:sz w:val="24"/>
      <w:lang w:val="en-US" w:eastAsia="zh-CN" w:bidi="ar-SA"/>
    </w:rPr>
  </w:style>
  <w:style w:type="character" w:customStyle="1" w:styleId="160">
    <w:name w:val="标题 5 Char"/>
    <w:qFormat/>
    <w:uiPriority w:val="0"/>
    <w:rPr>
      <w:rFonts w:eastAsia="宋体"/>
      <w:sz w:val="24"/>
      <w:lang w:val="en-US" w:eastAsia="zh-CN" w:bidi="ar-SA"/>
    </w:rPr>
  </w:style>
  <w:style w:type="character" w:customStyle="1" w:styleId="161">
    <w:name w:val="正文文本 Char"/>
    <w:qFormat/>
    <w:locked/>
    <w:uiPriority w:val="0"/>
    <w:rPr>
      <w:rFonts w:eastAsia="仿宋_GB2312"/>
      <w:kern w:val="2"/>
      <w:sz w:val="28"/>
      <w:szCs w:val="24"/>
      <w:lang w:val="en-US" w:eastAsia="zh-CN" w:bidi="ar-SA"/>
    </w:rPr>
  </w:style>
  <w:style w:type="character" w:customStyle="1" w:styleId="162">
    <w:name w:val="正文文本缩进 2 Char"/>
    <w:qFormat/>
    <w:locked/>
    <w:uiPriority w:val="0"/>
    <w:rPr>
      <w:rFonts w:eastAsia="宋体"/>
      <w:kern w:val="2"/>
      <w:sz w:val="21"/>
      <w:szCs w:val="24"/>
      <w:lang w:val="en-US" w:eastAsia="zh-CN" w:bidi="ar-SA"/>
    </w:rPr>
  </w:style>
  <w:style w:type="character" w:customStyle="1" w:styleId="163">
    <w:name w:val="正文文本 2 Char"/>
    <w:qFormat/>
    <w:uiPriority w:val="0"/>
    <w:rPr>
      <w:rFonts w:ascii="隶书" w:eastAsia="隶书"/>
      <w:bCs/>
      <w:sz w:val="72"/>
      <w:szCs w:val="84"/>
      <w:lang w:val="en-US" w:eastAsia="zh-CN" w:bidi="ar-SA"/>
    </w:rPr>
  </w:style>
  <w:style w:type="character" w:customStyle="1" w:styleId="164">
    <w:name w:val="标题 7 Char"/>
    <w:qFormat/>
    <w:uiPriority w:val="0"/>
    <w:rPr>
      <w:rFonts w:ascii="宋体" w:hAnsi="Arial" w:eastAsia="宋体"/>
      <w:b/>
      <w:sz w:val="24"/>
      <w:lang w:val="en-US" w:eastAsia="zh-CN" w:bidi="ar-SA"/>
    </w:rPr>
  </w:style>
  <w:style w:type="character" w:customStyle="1" w:styleId="165">
    <w:name w:val="页眉 Char"/>
    <w:qFormat/>
    <w:uiPriority w:val="99"/>
    <w:rPr>
      <w:rFonts w:eastAsia="宋体"/>
      <w:kern w:val="2"/>
      <w:sz w:val="18"/>
      <w:szCs w:val="18"/>
      <w:lang w:val="en-US" w:eastAsia="zh-CN" w:bidi="ar-SA"/>
    </w:rPr>
  </w:style>
  <w:style w:type="character" w:customStyle="1" w:styleId="166">
    <w:name w:val="批注文字 Char"/>
    <w:qFormat/>
    <w:uiPriority w:val="99"/>
    <w:rPr>
      <w:rFonts w:eastAsia="宋体"/>
      <w:kern w:val="2"/>
      <w:sz w:val="21"/>
      <w:szCs w:val="24"/>
      <w:lang w:val="en-US" w:eastAsia="zh-CN" w:bidi="ar-SA"/>
    </w:rPr>
  </w:style>
  <w:style w:type="character" w:customStyle="1" w:styleId="167">
    <w:name w:val="汇视源正文 Char"/>
    <w:link w:val="168"/>
    <w:qFormat/>
    <w:uiPriority w:val="0"/>
    <w:rPr>
      <w:rFonts w:cs="宋体"/>
      <w:kern w:val="2"/>
      <w:sz w:val="24"/>
      <w:lang w:val="en-US" w:eastAsia="zh-CN" w:bidi="ar-SA"/>
    </w:rPr>
  </w:style>
  <w:style w:type="paragraph" w:customStyle="1" w:styleId="168">
    <w:name w:val="汇视源正文"/>
    <w:link w:val="167"/>
    <w:qFormat/>
    <w:uiPriority w:val="0"/>
    <w:pPr>
      <w:widowControl w:val="0"/>
      <w:spacing w:beforeLines="50"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169">
    <w:name w:val="样式 列表编号 + 段后: 0.5 行"/>
    <w:basedOn w:val="15"/>
    <w:qFormat/>
    <w:uiPriority w:val="0"/>
    <w:pPr>
      <w:tabs>
        <w:tab w:val="left" w:pos="840"/>
      </w:tabs>
      <w:spacing w:afterLines="0"/>
      <w:ind w:left="425" w:hanging="425"/>
    </w:pPr>
    <w:rPr>
      <w:rFonts w:cs="宋体"/>
    </w:rPr>
  </w:style>
  <w:style w:type="paragraph" w:customStyle="1" w:styleId="170">
    <w:name w:val="正文缩近"/>
    <w:basedOn w:val="1"/>
    <w:qFormat/>
    <w:uiPriority w:val="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171">
    <w:name w:val="TOC 标题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172">
    <w:name w:val="标题 Char"/>
    <w:link w:val="38"/>
    <w:qFormat/>
    <w:locked/>
    <w:uiPriority w:val="0"/>
    <w:rPr>
      <w:rFonts w:ascii="Calibri Light" w:hAnsi="Calibri Light" w:eastAsia="宋体"/>
      <w:b/>
      <w:bCs/>
      <w:kern w:val="2"/>
      <w:sz w:val="32"/>
      <w:szCs w:val="32"/>
      <w:lang w:val="en-US" w:eastAsia="zh-CN" w:bidi="ar-SA"/>
    </w:rPr>
  </w:style>
  <w:style w:type="character" w:customStyle="1" w:styleId="173">
    <w:name w:val="Date Char"/>
    <w:qFormat/>
    <w:locked/>
    <w:uiPriority w:val="0"/>
    <w:rPr>
      <w:rFonts w:ascii="宋体"/>
      <w:sz w:val="21"/>
      <w:lang w:val="zh-CN"/>
    </w:rPr>
  </w:style>
  <w:style w:type="character" w:customStyle="1" w:styleId="174">
    <w:name w:val="Normal Indent Char"/>
    <w:qFormat/>
    <w:locked/>
    <w:uiPriority w:val="0"/>
    <w:rPr>
      <w:rFonts w:ascii="宋体" w:eastAsia="宋体"/>
      <w:snapToGrid w:val="0"/>
      <w:color w:val="000000"/>
      <w:kern w:val="28"/>
      <w:sz w:val="28"/>
    </w:rPr>
  </w:style>
  <w:style w:type="character" w:customStyle="1" w:styleId="175">
    <w:name w:val="Plain Text Char"/>
    <w:qFormat/>
    <w:locked/>
    <w:uiPriority w:val="0"/>
    <w:rPr>
      <w:rFonts w:ascii="宋体" w:hAnsi="Courier New" w:eastAsia="宋体"/>
      <w:snapToGrid w:val="0"/>
      <w:sz w:val="21"/>
    </w:rPr>
  </w:style>
  <w:style w:type="character" w:customStyle="1" w:styleId="176">
    <w:name w:val="日期 Char1"/>
    <w:qFormat/>
    <w:uiPriority w:val="0"/>
    <w:rPr>
      <w:rFonts w:ascii="Times New Roman" w:hAnsi="Times New Roman" w:eastAsia="宋体" w:cs="Times New Roman"/>
      <w:sz w:val="24"/>
      <w:szCs w:val="24"/>
    </w:rPr>
  </w:style>
  <w:style w:type="character" w:customStyle="1" w:styleId="177">
    <w:name w:val="纯文本 Char1"/>
    <w:link w:val="178"/>
    <w:qFormat/>
    <w:uiPriority w:val="0"/>
    <w:rPr>
      <w:rFonts w:ascii="宋体" w:hAnsi="Courier New" w:eastAsia="宋体" w:cs="Courier New"/>
      <w:sz w:val="21"/>
      <w:szCs w:val="21"/>
    </w:rPr>
  </w:style>
  <w:style w:type="paragraph" w:customStyle="1" w:styleId="178">
    <w:name w:val="纯文本1"/>
    <w:basedOn w:val="1"/>
    <w:link w:val="177"/>
    <w:qFormat/>
    <w:uiPriority w:val="0"/>
    <w:rPr>
      <w:rFonts w:ascii="宋体" w:hAnsi="Courier New" w:cs="Courier New"/>
      <w:kern w:val="0"/>
      <w:szCs w:val="21"/>
    </w:rPr>
  </w:style>
  <w:style w:type="paragraph" w:customStyle="1" w:styleId="17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80">
    <w:name w:val="列出段落112"/>
    <w:basedOn w:val="1"/>
    <w:link w:val="204"/>
    <w:qFormat/>
    <w:uiPriority w:val="0"/>
    <w:pPr>
      <w:adjustRightInd w:val="0"/>
      <w:spacing w:line="360" w:lineRule="auto"/>
      <w:ind w:firstLine="200" w:firstLineChars="200"/>
    </w:pPr>
    <w:rPr>
      <w:rFonts w:eastAsia="楷体_GB2312" w:cs="Lucida Sans"/>
      <w:sz w:val="24"/>
    </w:rPr>
  </w:style>
  <w:style w:type="paragraph" w:customStyle="1" w:styleId="181">
    <w:name w:val="标题2def"/>
    <w:basedOn w:val="38"/>
    <w:qFormat/>
    <w:uiPriority w:val="0"/>
    <w:pPr>
      <w:widowControl/>
      <w:overflowPunct w:val="0"/>
      <w:autoSpaceDE w:val="0"/>
      <w:autoSpaceDN w:val="0"/>
      <w:snapToGrid w:val="0"/>
      <w:spacing w:before="160" w:after="200" w:line="360" w:lineRule="auto"/>
      <w:textAlignment w:val="baseline"/>
    </w:pPr>
    <w:rPr>
      <w:rFonts w:ascii="Times New Roman" w:hAnsi="宋体" w:eastAsia="仿宋_GB2312"/>
      <w:bCs w:val="0"/>
      <w:kern w:val="0"/>
      <w:szCs w:val="20"/>
      <w:lang w:val="en-GB"/>
    </w:rPr>
  </w:style>
  <w:style w:type="paragraph" w:customStyle="1" w:styleId="182">
    <w:name w:val="标题3def"/>
    <w:basedOn w:val="6"/>
    <w:next w:val="1"/>
    <w:qFormat/>
    <w:uiPriority w:val="0"/>
    <w:pPr>
      <w:numPr>
        <w:numId w:val="0"/>
      </w:numPr>
      <w:adjustRightInd w:val="0"/>
      <w:snapToGrid w:val="0"/>
      <w:spacing w:before="80" w:after="160" w:line="400" w:lineRule="exact"/>
    </w:pPr>
    <w:rPr>
      <w:rFonts w:ascii="仿宋_GB2312" w:hAnsi="宋体"/>
      <w:sz w:val="24"/>
    </w:rPr>
  </w:style>
  <w:style w:type="character" w:customStyle="1" w:styleId="183">
    <w:name w:val="Header Char"/>
    <w:qFormat/>
    <w:locked/>
    <w:uiPriority w:val="0"/>
    <w:rPr>
      <w:rFonts w:ascii="Times New Roman" w:hAnsi="Times New Roman" w:eastAsia="宋体" w:cs="Times New Roman"/>
      <w:sz w:val="18"/>
      <w:szCs w:val="18"/>
    </w:rPr>
  </w:style>
  <w:style w:type="paragraph" w:customStyle="1" w:styleId="18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85">
    <w:name w:val="Char Char2 Char Char"/>
    <w:basedOn w:val="1"/>
    <w:qFormat/>
    <w:uiPriority w:val="0"/>
    <w:pPr>
      <w:widowControl/>
      <w:spacing w:line="400" w:lineRule="exact"/>
      <w:jc w:val="center"/>
    </w:pPr>
    <w:rPr>
      <w:rFonts w:ascii="Verdana" w:hAnsi="Verdana"/>
      <w:kern w:val="0"/>
      <w:szCs w:val="20"/>
      <w:lang w:eastAsia="en-US"/>
    </w:rPr>
  </w:style>
  <w:style w:type="character" w:customStyle="1" w:styleId="186">
    <w:name w:val="Comment Text Char"/>
    <w:qFormat/>
    <w:locked/>
    <w:uiPriority w:val="0"/>
    <w:rPr>
      <w:rFonts w:ascii="Times New Roman" w:hAnsi="Times New Roman" w:eastAsia="宋体" w:cs="Times New Roman"/>
      <w:kern w:val="0"/>
      <w:sz w:val="24"/>
      <w:szCs w:val="24"/>
      <w:lang w:val="zh-CN" w:eastAsia="zh-CN"/>
    </w:rPr>
  </w:style>
  <w:style w:type="paragraph" w:customStyle="1" w:styleId="187">
    <w:name w:val="正文文本缩进 21"/>
    <w:basedOn w:val="1"/>
    <w:qFormat/>
    <w:uiPriority w:val="0"/>
    <w:pPr>
      <w:spacing w:line="520" w:lineRule="exact"/>
      <w:ind w:firstLine="848" w:firstLineChars="303"/>
    </w:pPr>
    <w:rPr>
      <w:rFonts w:ascii="黑体" w:hAnsi="Calibri" w:eastAsia="黑体" w:cs="黑体"/>
      <w:sz w:val="28"/>
      <w:szCs w:val="22"/>
    </w:rPr>
  </w:style>
  <w:style w:type="paragraph" w:customStyle="1" w:styleId="1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89">
    <w:name w:val="Char Char Char Char1"/>
    <w:basedOn w:val="1"/>
    <w:qFormat/>
    <w:uiPriority w:val="0"/>
    <w:rPr>
      <w:rFonts w:ascii="Tahoma" w:hAnsi="Tahoma"/>
      <w:sz w:val="24"/>
      <w:szCs w:val="20"/>
    </w:rPr>
  </w:style>
  <w:style w:type="paragraph" w:customStyle="1" w:styleId="190">
    <w:name w:val="Char Char27"/>
    <w:basedOn w:val="1"/>
    <w:qFormat/>
    <w:uiPriority w:val="0"/>
    <w:pPr>
      <w:snapToGrid w:val="0"/>
      <w:spacing w:line="360" w:lineRule="auto"/>
    </w:pPr>
    <w:rPr>
      <w:rFonts w:ascii="Arial" w:hAnsi="Arial" w:eastAsia="黑体"/>
      <w:snapToGrid w:val="0"/>
      <w:kern w:val="0"/>
      <w:sz w:val="20"/>
      <w:szCs w:val="21"/>
    </w:rPr>
  </w:style>
  <w:style w:type="paragraph" w:customStyle="1" w:styleId="191">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192">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character" w:customStyle="1" w:styleId="193">
    <w:name w:val="正文2 Char Char"/>
    <w:qFormat/>
    <w:uiPriority w:val="0"/>
    <w:rPr>
      <w:kern w:val="2"/>
      <w:sz w:val="24"/>
    </w:rPr>
  </w:style>
  <w:style w:type="character" w:customStyle="1" w:styleId="194">
    <w:name w:val="普通文字 Char Char3"/>
    <w:qFormat/>
    <w:uiPriority w:val="0"/>
    <w:rPr>
      <w:rFonts w:ascii="宋体" w:hAnsi="Courier New"/>
      <w:kern w:val="2"/>
      <w:sz w:val="24"/>
      <w:szCs w:val="24"/>
    </w:rPr>
  </w:style>
  <w:style w:type="character" w:customStyle="1" w:styleId="195">
    <w:name w:val="特点 Char2"/>
    <w:qFormat/>
    <w:uiPriority w:val="0"/>
    <w:rPr>
      <w:rFonts w:ascii="Times New Roman" w:hAnsi="Times New Roman" w:eastAsia="宋体" w:cs="Times New Roman"/>
      <w:szCs w:val="24"/>
    </w:rPr>
  </w:style>
  <w:style w:type="character" w:customStyle="1" w:styleId="196">
    <w:name w:val="批注框文本 Char"/>
    <w:basedOn w:val="43"/>
    <w:link w:val="26"/>
    <w:semiHidden/>
    <w:qFormat/>
    <w:uiPriority w:val="0"/>
    <w:rPr>
      <w:kern w:val="2"/>
      <w:sz w:val="18"/>
      <w:szCs w:val="18"/>
    </w:rPr>
  </w:style>
  <w:style w:type="character" w:customStyle="1" w:styleId="197">
    <w:name w:val="正文文本缩进 3 Char"/>
    <w:basedOn w:val="43"/>
    <w:link w:val="31"/>
    <w:qFormat/>
    <w:uiPriority w:val="0"/>
    <w:rPr>
      <w:kern w:val="2"/>
      <w:sz w:val="16"/>
      <w:szCs w:val="16"/>
    </w:rPr>
  </w:style>
  <w:style w:type="character" w:customStyle="1" w:styleId="198">
    <w:name w:val="HTML 预设格式 Char"/>
    <w:basedOn w:val="43"/>
    <w:link w:val="35"/>
    <w:qFormat/>
    <w:uiPriority w:val="0"/>
    <w:rPr>
      <w:rFonts w:ascii="黑体" w:hAnsi="Courier New" w:eastAsia="黑体" w:cs="Courier New"/>
    </w:rPr>
  </w:style>
  <w:style w:type="character" w:customStyle="1" w:styleId="199">
    <w:name w:val="批注主题 Char"/>
    <w:basedOn w:val="166"/>
    <w:link w:val="39"/>
    <w:semiHidden/>
    <w:qFormat/>
    <w:uiPriority w:val="0"/>
    <w:rPr>
      <w:rFonts w:eastAsia="宋体"/>
      <w:b/>
      <w:bCs/>
      <w:kern w:val="2"/>
      <w:sz w:val="24"/>
      <w:szCs w:val="24"/>
      <w:lang w:val="en-US" w:eastAsia="zh-CN" w:bidi="ar-SA"/>
    </w:rPr>
  </w:style>
  <w:style w:type="character" w:customStyle="1" w:styleId="200">
    <w:name w:val="正文首行缩进 Char"/>
    <w:basedOn w:val="161"/>
    <w:link w:val="3"/>
    <w:qFormat/>
    <w:uiPriority w:val="0"/>
    <w:rPr>
      <w:rFonts w:eastAsia="仿宋_GB2312"/>
      <w:kern w:val="2"/>
      <w:sz w:val="21"/>
      <w:szCs w:val="24"/>
      <w:lang w:val="en-US" w:eastAsia="zh-CN" w:bidi="ar-SA"/>
    </w:rPr>
  </w:style>
  <w:style w:type="character" w:customStyle="1" w:styleId="201">
    <w:name w:val="正文首行缩进 2 Char"/>
    <w:basedOn w:val="63"/>
    <w:link w:val="40"/>
    <w:qFormat/>
    <w:uiPriority w:val="0"/>
    <w:rPr>
      <w:rFonts w:eastAsia="宋体"/>
      <w:kern w:val="2"/>
      <w:sz w:val="21"/>
      <w:szCs w:val="24"/>
      <w:lang w:val="en-US" w:eastAsia="zh-CN" w:bidi="ar-SA"/>
    </w:rPr>
  </w:style>
  <w:style w:type="paragraph" w:customStyle="1" w:styleId="202">
    <w:name w:val="_Style 11"/>
    <w:basedOn w:val="1"/>
    <w:qFormat/>
    <w:uiPriority w:val="0"/>
    <w:pPr>
      <w:spacing w:line="440" w:lineRule="exact"/>
      <w:ind w:firstLine="200" w:firstLineChars="200"/>
    </w:pPr>
    <w:rPr>
      <w:rFonts w:ascii="Tahoma" w:hAnsi="Tahoma" w:eastAsia="仿宋_GB2312"/>
      <w:sz w:val="24"/>
      <w:szCs w:val="20"/>
    </w:rPr>
  </w:style>
  <w:style w:type="paragraph" w:customStyle="1" w:styleId="203">
    <w:name w:val="Char11"/>
    <w:basedOn w:val="1"/>
    <w:qFormat/>
    <w:uiPriority w:val="0"/>
    <w:pPr>
      <w:tabs>
        <w:tab w:val="left" w:pos="432"/>
      </w:tabs>
      <w:spacing w:beforeLines="50" w:afterLines="50" w:line="440" w:lineRule="exact"/>
      <w:ind w:left="432" w:hanging="432" w:firstLineChars="200"/>
      <w:jc w:val="center"/>
    </w:pPr>
    <w:rPr>
      <w:rFonts w:eastAsia="仿宋_GB2312"/>
      <w:sz w:val="24"/>
    </w:rPr>
  </w:style>
  <w:style w:type="character" w:customStyle="1" w:styleId="204">
    <w:name w:val="列出段落 Char"/>
    <w:link w:val="180"/>
    <w:qFormat/>
    <w:uiPriority w:val="0"/>
    <w:rPr>
      <w:rFonts w:eastAsia="楷体_GB2312" w:cs="Lucida Sans"/>
      <w:kern w:val="2"/>
      <w:sz w:val="24"/>
      <w:szCs w:val="24"/>
    </w:rPr>
  </w:style>
  <w:style w:type="paragraph" w:customStyle="1" w:styleId="205">
    <w:name w:val="列出段落12"/>
    <w:basedOn w:val="1"/>
    <w:qFormat/>
    <w:uiPriority w:val="1"/>
    <w:pPr>
      <w:spacing w:line="440" w:lineRule="exact"/>
      <w:ind w:firstLine="420" w:firstLineChars="200"/>
    </w:pPr>
    <w:rPr>
      <w:rFonts w:ascii="Calibri" w:hAnsi="Calibri" w:eastAsia="仿宋_GB2312"/>
      <w:sz w:val="24"/>
      <w:szCs w:val="22"/>
    </w:rPr>
  </w:style>
  <w:style w:type="paragraph" w:customStyle="1" w:styleId="206">
    <w:name w:val="Char Char Char1 Char1"/>
    <w:basedOn w:val="1"/>
    <w:qFormat/>
    <w:uiPriority w:val="0"/>
    <w:pPr>
      <w:widowControl/>
      <w:spacing w:after="160" w:line="240" w:lineRule="exact"/>
      <w:ind w:firstLine="200" w:firstLineChars="200"/>
      <w:jc w:val="left"/>
    </w:pPr>
    <w:rPr>
      <w:rFonts w:ascii="Verdana" w:hAnsi="Verdana" w:eastAsia="仿宋_GB2312"/>
      <w:kern w:val="0"/>
      <w:sz w:val="24"/>
      <w:szCs w:val="20"/>
      <w:lang w:eastAsia="en-US"/>
    </w:rPr>
  </w:style>
  <w:style w:type="paragraph" w:customStyle="1" w:styleId="207">
    <w:name w:val="TOC 标题1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08">
    <w:name w:val="列出段落111"/>
    <w:basedOn w:val="1"/>
    <w:qFormat/>
    <w:uiPriority w:val="0"/>
    <w:pPr>
      <w:adjustRightInd w:val="0"/>
      <w:spacing w:line="360" w:lineRule="auto"/>
      <w:ind w:firstLine="200" w:firstLineChars="200"/>
    </w:pPr>
    <w:rPr>
      <w:rFonts w:eastAsia="楷体_GB2312" w:cs="Lucida Sans"/>
      <w:sz w:val="24"/>
    </w:rPr>
  </w:style>
  <w:style w:type="paragraph" w:customStyle="1" w:styleId="209">
    <w:name w:val="正文缩进2格"/>
    <w:basedOn w:val="1"/>
    <w:link w:val="210"/>
    <w:qFormat/>
    <w:uiPriority w:val="0"/>
    <w:pPr>
      <w:spacing w:line="600" w:lineRule="exact"/>
      <w:ind w:firstLine="639" w:firstLineChars="206"/>
    </w:pPr>
    <w:rPr>
      <w:rFonts w:ascii="仿宋_GB2312" w:hAnsi="宋体" w:eastAsia="仿宋_GB2312"/>
      <w:kern w:val="0"/>
      <w:sz w:val="31"/>
      <w:szCs w:val="20"/>
    </w:rPr>
  </w:style>
  <w:style w:type="character" w:customStyle="1" w:styleId="210">
    <w:name w:val="正文缩进2格 Char"/>
    <w:link w:val="209"/>
    <w:qFormat/>
    <w:uiPriority w:val="0"/>
    <w:rPr>
      <w:rFonts w:ascii="仿宋_GB2312" w:hAnsi="宋体" w:eastAsia="仿宋_GB2312"/>
      <w:sz w:val="31"/>
    </w:rPr>
  </w:style>
  <w:style w:type="paragraph" w:customStyle="1" w:styleId="211">
    <w:name w:val="列出段落11"/>
    <w:basedOn w:val="1"/>
    <w:qFormat/>
    <w:uiPriority w:val="0"/>
    <w:pPr>
      <w:adjustRightInd w:val="0"/>
      <w:spacing w:line="360" w:lineRule="auto"/>
      <w:ind w:firstLine="200" w:firstLineChars="200"/>
    </w:pPr>
    <w:rPr>
      <w:rFonts w:eastAsia="楷体_GB2312" w:cs="Lucida Sans"/>
      <w:sz w:val="24"/>
    </w:rPr>
  </w:style>
  <w:style w:type="paragraph" w:customStyle="1" w:styleId="212">
    <w:name w:val="font8"/>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18"/>
      <w:szCs w:val="18"/>
    </w:rPr>
  </w:style>
  <w:style w:type="paragraph" w:customStyle="1" w:styleId="213">
    <w:name w:val="font9"/>
    <w:basedOn w:val="1"/>
    <w:qFormat/>
    <w:uiPriority w:val="0"/>
    <w:pPr>
      <w:widowControl/>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14">
    <w:name w:val="font10"/>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color w:val="FF0000"/>
      <w:kern w:val="0"/>
      <w:sz w:val="20"/>
      <w:szCs w:val="20"/>
    </w:rPr>
  </w:style>
  <w:style w:type="paragraph" w:customStyle="1" w:styleId="21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1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17">
    <w:name w:val="xl72"/>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18">
    <w:name w:val="xl73"/>
    <w:basedOn w:val="1"/>
    <w:qFormat/>
    <w:uiPriority w:val="0"/>
    <w:pPr>
      <w:widowControl/>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1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textAlignment w:val="bottom"/>
    </w:pPr>
    <w:rPr>
      <w:rFonts w:ascii="宋体" w:hAnsi="宋体" w:eastAsia="仿宋_GB2312" w:cs="宋体"/>
      <w:kern w:val="0"/>
      <w:sz w:val="24"/>
    </w:rPr>
  </w:style>
  <w:style w:type="paragraph" w:customStyle="1" w:styleId="220">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pPr>
    <w:rPr>
      <w:rFonts w:ascii="宋体" w:hAnsi="宋体" w:eastAsia="仿宋_GB2312" w:cs="宋体"/>
      <w:kern w:val="0"/>
      <w:sz w:val="24"/>
    </w:rPr>
  </w:style>
  <w:style w:type="paragraph" w:customStyle="1" w:styleId="221">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2">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4">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5">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6">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7">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8">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9">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1">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2">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3">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4">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5">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6">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7">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8">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39">
    <w:name w:val="xl94"/>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0">
    <w:name w:val="xl95"/>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1">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2">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3">
    <w:name w:val="xl98"/>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4">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5">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46">
    <w:name w:val="xl101"/>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7">
    <w:name w:val="xl102"/>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8">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9">
    <w:name w:val="正文1级"/>
    <w:link w:val="250"/>
    <w:qFormat/>
    <w:uiPriority w:val="0"/>
    <w:pPr>
      <w:widowControl w:val="0"/>
      <w:tabs>
        <w:tab w:val="left" w:pos="0"/>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character" w:customStyle="1" w:styleId="250">
    <w:name w:val="正文1级 Char Char"/>
    <w:link w:val="249"/>
    <w:qFormat/>
    <w:uiPriority w:val="0"/>
    <w:rPr>
      <w:bCs/>
      <w:kern w:val="44"/>
      <w:sz w:val="24"/>
      <w:szCs w:val="44"/>
    </w:rPr>
  </w:style>
  <w:style w:type="character" w:customStyle="1" w:styleId="251">
    <w:name w:val="Char Char1"/>
    <w:qFormat/>
    <w:uiPriority w:val="0"/>
    <w:rPr>
      <w:rFonts w:ascii="宋体" w:hAnsi="Courier New" w:eastAsia="宋体"/>
      <w:kern w:val="2"/>
      <w:sz w:val="21"/>
      <w:lang w:val="en-US" w:eastAsia="zh-CN" w:bidi="ar-SA"/>
    </w:rPr>
  </w:style>
  <w:style w:type="paragraph" w:customStyle="1" w:styleId="252">
    <w:name w:val="列出段落2"/>
    <w:basedOn w:val="1"/>
    <w:qFormat/>
    <w:uiPriority w:val="34"/>
    <w:pPr>
      <w:spacing w:line="440" w:lineRule="exact"/>
      <w:ind w:firstLine="420" w:firstLineChars="200"/>
    </w:pPr>
    <w:rPr>
      <w:rFonts w:eastAsia="仿宋_GB2312"/>
      <w:sz w:val="24"/>
    </w:rPr>
  </w:style>
  <w:style w:type="paragraph" w:customStyle="1" w:styleId="253">
    <w:name w:val="TOC 标题2"/>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54">
    <w:name w:val="reader-word-layer reader-word-s6-18"/>
    <w:basedOn w:val="1"/>
    <w:qFormat/>
    <w:uiPriority w:val="0"/>
    <w:pPr>
      <w:widowControl/>
      <w:spacing w:before="100" w:beforeAutospacing="1" w:after="100" w:afterAutospacing="1"/>
      <w:jc w:val="left"/>
    </w:pPr>
    <w:rPr>
      <w:rFonts w:ascii="宋体" w:hAnsi="宋体" w:cs="宋体"/>
      <w:kern w:val="0"/>
      <w:sz w:val="24"/>
    </w:rPr>
  </w:style>
  <w:style w:type="paragraph" w:customStyle="1" w:styleId="255">
    <w:name w:val="列出段落21"/>
    <w:basedOn w:val="1"/>
    <w:qFormat/>
    <w:uiPriority w:val="0"/>
    <w:pPr>
      <w:ind w:firstLine="420" w:firstLineChars="200"/>
    </w:pPr>
    <w:rPr>
      <w:rFonts w:ascii="Calibri" w:hAnsi="Calibri"/>
      <w:szCs w:val="22"/>
    </w:rPr>
  </w:style>
  <w:style w:type="paragraph" w:customStyle="1" w:styleId="256">
    <w:name w:val="reader-word-layer reader-word-s2-21"/>
    <w:basedOn w:val="1"/>
    <w:qFormat/>
    <w:uiPriority w:val="0"/>
    <w:pPr>
      <w:widowControl/>
      <w:spacing w:before="100" w:beforeAutospacing="1" w:after="100" w:afterAutospacing="1"/>
      <w:jc w:val="left"/>
    </w:pPr>
    <w:rPr>
      <w:rFonts w:ascii="宋体" w:hAnsi="宋体" w:cs="宋体"/>
      <w:kern w:val="0"/>
      <w:sz w:val="24"/>
    </w:rPr>
  </w:style>
  <w:style w:type="paragraph" w:customStyle="1" w:styleId="257">
    <w:name w:val="正文3"/>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58">
    <w:name w:val="reader-word-layer reader-word-s6-19"/>
    <w:basedOn w:val="1"/>
    <w:qFormat/>
    <w:uiPriority w:val="0"/>
    <w:pPr>
      <w:widowControl/>
      <w:spacing w:before="100" w:beforeAutospacing="1" w:after="100" w:afterAutospacing="1"/>
      <w:jc w:val="left"/>
    </w:pPr>
    <w:rPr>
      <w:rFonts w:ascii="宋体" w:hAnsi="宋体" w:cs="宋体"/>
      <w:kern w:val="0"/>
      <w:sz w:val="24"/>
    </w:rPr>
  </w:style>
  <w:style w:type="paragraph" w:customStyle="1" w:styleId="259">
    <w:name w:val="reader-word-layer reader-word-s6-10"/>
    <w:basedOn w:val="1"/>
    <w:qFormat/>
    <w:uiPriority w:val="0"/>
    <w:pPr>
      <w:widowControl/>
      <w:spacing w:before="100" w:beforeAutospacing="1" w:after="100" w:afterAutospacing="1"/>
      <w:jc w:val="left"/>
    </w:pPr>
    <w:rPr>
      <w:rFonts w:ascii="宋体" w:hAnsi="宋体" w:cs="宋体"/>
      <w:kern w:val="0"/>
      <w:sz w:val="24"/>
    </w:rPr>
  </w:style>
  <w:style w:type="paragraph" w:customStyle="1" w:styleId="260">
    <w:name w:val="reader-word-layer reader-word-s2-23"/>
    <w:basedOn w:val="1"/>
    <w:qFormat/>
    <w:uiPriority w:val="0"/>
    <w:pPr>
      <w:widowControl/>
      <w:spacing w:before="100" w:beforeAutospacing="1" w:after="100" w:afterAutospacing="1"/>
      <w:jc w:val="left"/>
    </w:pPr>
    <w:rPr>
      <w:rFonts w:ascii="宋体" w:hAnsi="宋体" w:cs="宋体"/>
      <w:kern w:val="0"/>
      <w:sz w:val="24"/>
    </w:rPr>
  </w:style>
  <w:style w:type="paragraph" w:customStyle="1" w:styleId="261">
    <w:name w:val="_Style 151"/>
    <w:basedOn w:val="1"/>
    <w:qFormat/>
    <w:uiPriority w:val="0"/>
    <w:rPr>
      <w:rFonts w:ascii="Tahoma" w:hAnsi="Tahoma"/>
      <w:sz w:val="24"/>
      <w:szCs w:val="20"/>
    </w:rPr>
  </w:style>
  <w:style w:type="paragraph" w:customStyle="1" w:styleId="262">
    <w:name w:val="p1"/>
    <w:basedOn w:val="1"/>
    <w:qFormat/>
    <w:uiPriority w:val="0"/>
    <w:pPr>
      <w:spacing w:line="380" w:lineRule="atLeast"/>
      <w:jc w:val="left"/>
    </w:pPr>
    <w:rPr>
      <w:rFonts w:ascii="Helvetica Neue" w:hAnsi="Helvetica Neue" w:eastAsia="Helvetica Neue"/>
      <w:kern w:val="0"/>
      <w:sz w:val="26"/>
      <w:szCs w:val="26"/>
    </w:rPr>
  </w:style>
  <w:style w:type="character" w:customStyle="1" w:styleId="263">
    <w:name w:val="font01"/>
    <w:basedOn w:val="43"/>
    <w:qFormat/>
    <w:uiPriority w:val="0"/>
    <w:rPr>
      <w:rFonts w:hint="eastAsia" w:ascii="宋体" w:hAnsi="宋体" w:eastAsia="宋体" w:cs="宋体"/>
      <w:color w:val="000000"/>
      <w:sz w:val="22"/>
      <w:szCs w:val="22"/>
      <w:u w:val="none"/>
    </w:rPr>
  </w:style>
  <w:style w:type="character" w:customStyle="1" w:styleId="264">
    <w:name w:val="font11"/>
    <w:basedOn w:val="43"/>
    <w:qFormat/>
    <w:uiPriority w:val="0"/>
    <w:rPr>
      <w:rFonts w:hint="eastAsia" w:ascii="宋体" w:hAnsi="宋体" w:eastAsia="宋体" w:cs="宋体"/>
      <w:color w:val="FF0000"/>
      <w:sz w:val="22"/>
      <w:szCs w:val="22"/>
      <w:u w:val="none"/>
    </w:rPr>
  </w:style>
  <w:style w:type="character" w:customStyle="1" w:styleId="265">
    <w:name w:val="font41"/>
    <w:basedOn w:val="43"/>
    <w:qFormat/>
    <w:uiPriority w:val="0"/>
    <w:rPr>
      <w:rFonts w:hint="default" w:ascii="等线" w:hAnsi="等线" w:eastAsia="等线" w:cs="等线"/>
      <w:color w:val="FF0000"/>
      <w:sz w:val="22"/>
      <w:szCs w:val="22"/>
      <w:u w:val="none"/>
    </w:rPr>
  </w:style>
  <w:style w:type="character" w:customStyle="1" w:styleId="266">
    <w:name w:val="font21"/>
    <w:basedOn w:val="43"/>
    <w:qFormat/>
    <w:uiPriority w:val="0"/>
    <w:rPr>
      <w:rFonts w:hint="default" w:ascii="等线" w:hAnsi="等线" w:eastAsia="等线" w:cs="等线"/>
      <w:color w:val="000000"/>
      <w:sz w:val="22"/>
      <w:szCs w:val="22"/>
      <w:u w:val="none"/>
    </w:rPr>
  </w:style>
  <w:style w:type="character" w:customStyle="1" w:styleId="267">
    <w:name w:val="font51"/>
    <w:basedOn w:val="43"/>
    <w:qFormat/>
    <w:uiPriority w:val="0"/>
    <w:rPr>
      <w:rFonts w:hint="default" w:ascii="等线" w:hAnsi="等线" w:eastAsia="等线" w:cs="等线"/>
      <w:color w:val="FF0000"/>
      <w:sz w:val="22"/>
      <w:szCs w:val="22"/>
      <w:u w:val="none"/>
    </w:rPr>
  </w:style>
  <w:style w:type="character" w:customStyle="1" w:styleId="268">
    <w:name w:val="font61"/>
    <w:basedOn w:val="43"/>
    <w:qFormat/>
    <w:uiPriority w:val="0"/>
    <w:rPr>
      <w:rFonts w:hint="default" w:ascii="等线" w:hAnsi="等线" w:eastAsia="等线" w:cs="等线"/>
      <w:color w:val="000000"/>
      <w:sz w:val="22"/>
      <w:szCs w:val="22"/>
      <w:u w:val="none"/>
    </w:rPr>
  </w:style>
  <w:style w:type="paragraph" w:customStyle="1" w:styleId="269">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仿宋" w:hAnsi="仿宋" w:eastAsia="仿宋" w:cs="宋体"/>
      <w:kern w:val="0"/>
      <w:sz w:val="20"/>
      <w:szCs w:val="20"/>
    </w:rPr>
  </w:style>
  <w:style w:type="paragraph" w:customStyle="1" w:styleId="270">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8"/>
      <w:szCs w:val="28"/>
    </w:rPr>
  </w:style>
  <w:style w:type="paragraph" w:customStyle="1" w:styleId="271">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272">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8"/>
    </w:rPr>
  </w:style>
  <w:style w:type="paragraph" w:customStyle="1" w:styleId="273">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8"/>
    </w:rPr>
  </w:style>
  <w:style w:type="character" w:customStyle="1" w:styleId="274">
    <w:name w:val="未处理的提及1"/>
    <w:basedOn w:val="43"/>
    <w:semiHidden/>
    <w:unhideWhenUsed/>
    <w:qFormat/>
    <w:uiPriority w:val="99"/>
    <w:rPr>
      <w:color w:val="605E5C"/>
      <w:shd w:val="clear" w:color="auto" w:fill="E1DFDD"/>
    </w:rPr>
  </w:style>
  <w:style w:type="paragraph" w:customStyle="1" w:styleId="275">
    <w:name w:val="p15"/>
    <w:basedOn w:val="1"/>
    <w:qFormat/>
    <w:uiPriority w:val="0"/>
    <w:pPr>
      <w:widowControl/>
      <w:adjustRightInd w:val="0"/>
    </w:pPr>
    <w:rPr>
      <w:rFonts w:ascii="宋体" w:hAnsi="宋体" w:cs="宋体"/>
      <w:kern w:val="0"/>
      <w:sz w:val="20"/>
      <w:szCs w:val="20"/>
    </w:rPr>
  </w:style>
  <w:style w:type="character" w:customStyle="1" w:styleId="276">
    <w:name w:val="bookmark-item"/>
    <w:basedOn w:val="43"/>
    <w:qFormat/>
    <w:uiPriority w:val="0"/>
  </w:style>
  <w:style w:type="paragraph" w:customStyle="1" w:styleId="277">
    <w:name w:val="indent"/>
    <w:basedOn w:val="1"/>
    <w:qFormat/>
    <w:uiPriority w:val="0"/>
    <w:pPr>
      <w:widowControl/>
      <w:spacing w:before="100" w:beforeAutospacing="1" w:after="100" w:afterAutospacing="1"/>
      <w:jc w:val="left"/>
    </w:pPr>
    <w:rPr>
      <w:rFonts w:ascii="宋体" w:hAnsi="宋体" w:cs="宋体"/>
      <w:kern w:val="0"/>
      <w:sz w:val="24"/>
    </w:rPr>
  </w:style>
  <w:style w:type="character" w:customStyle="1" w:styleId="278">
    <w:name w:val="题注 Char"/>
    <w:link w:val="16"/>
    <w:qFormat/>
    <w:uiPriority w:val="0"/>
    <w:rPr>
      <w:rFonts w:ascii="Calibri" w:hAnsi="Calibri"/>
      <w:kern w:val="2"/>
    </w:rPr>
  </w:style>
  <w:style w:type="paragraph" w:customStyle="1" w:styleId="279">
    <w:name w:val="索引 11"/>
    <w:basedOn w:val="1"/>
    <w:next w:val="1"/>
    <w:qFormat/>
    <w:uiPriority w:val="99"/>
    <w:pPr>
      <w:spacing w:line="360" w:lineRule="auto"/>
    </w:pPr>
    <w:rPr>
      <w:rFonts w:ascii="仿宋_GB2312" w:eastAsia="仿宋_GB2312"/>
      <w:sz w:val="24"/>
      <w:szCs w:val="20"/>
    </w:rPr>
  </w:style>
  <w:style w:type="paragraph" w:customStyle="1" w:styleId="280">
    <w:name w:val="正文缩进1"/>
    <w:basedOn w:val="1"/>
    <w:next w:val="19"/>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281">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282">
    <w:name w:val="页脚 Char2"/>
    <w:qFormat/>
    <w:locked/>
    <w:uiPriority w:val="99"/>
    <w:rPr>
      <w:kern w:val="2"/>
      <w:sz w:val="18"/>
      <w:szCs w:val="18"/>
    </w:rPr>
  </w:style>
  <w:style w:type="character" w:customStyle="1" w:styleId="283">
    <w:name w:val="页眉 Char2"/>
    <w:qFormat/>
    <w:uiPriority w:val="99"/>
    <w:rPr>
      <w:kern w:val="2"/>
      <w:sz w:val="18"/>
      <w:szCs w:val="18"/>
    </w:rPr>
  </w:style>
  <w:style w:type="paragraph" w:customStyle="1" w:styleId="284">
    <w:name w:val="文档正文"/>
    <w:basedOn w:val="1"/>
    <w:qFormat/>
    <w:uiPriority w:val="99"/>
    <w:rPr>
      <w:rFonts w:ascii="宋体" w:hAnsi="宋体" w:cs="Arial"/>
      <w:bCs/>
      <w:szCs w:val="21"/>
    </w:rPr>
  </w:style>
  <w:style w:type="character" w:customStyle="1" w:styleId="285">
    <w:name w:val="NormalCharacter"/>
    <w:semiHidden/>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3.emf"/><Relationship Id="rId15" Type="http://schemas.openxmlformats.org/officeDocument/2006/relationships/oleObject" Target="embeddings/oleObject3.bin"/><Relationship Id="rId14" Type="http://schemas.openxmlformats.org/officeDocument/2006/relationships/image" Target="media/image2.emf"/><Relationship Id="rId13" Type="http://schemas.openxmlformats.org/officeDocument/2006/relationships/oleObject" Target="embeddings/oleObject2.bin"/><Relationship Id="rId12" Type="http://schemas.openxmlformats.org/officeDocument/2006/relationships/image" Target="media/image1.emf"/><Relationship Id="rId11" Type="http://schemas.openxmlformats.org/officeDocument/2006/relationships/oleObject" Target="embeddings/oleObject1.bin"/><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52"/>
    <customShpInfo spid="_x0000_s205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A0031F-C4CA-46F4-AB39-CE61C57B3D8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93</Pages>
  <Words>51421</Words>
  <Characters>54684</Characters>
  <Lines>458</Lines>
  <Paragraphs>129</Paragraphs>
  <TotalTime>9</TotalTime>
  <ScaleCrop>false</ScaleCrop>
  <LinksUpToDate>false</LinksUpToDate>
  <CharactersWithSpaces>61740</CharactersWithSpaces>
  <Application>WPS Office_11.1.0.11622_F1E327BC-269C-435d-A152-05C5408002CA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2022-02-28T03:43:00Z</dcterms:created>
  <dc:creator>USER</dc:creator>
  <cp:lastModifiedBy>浅浅</cp:lastModifiedBy>
  <cp:lastPrinted>2022-04-25T03:53:00Z</cp:lastPrinted>
  <dcterms:modified xsi:type="dcterms:W3CDTF">2022-05-09T09:16:24Z</dcterms:modified>
  <dc:title>绍兴文理学院计算机机房设备及录播系统供货项目</dc:title>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2052-11.1.0.11622</vt:lpwstr>
  </property>
  <property fmtid="{D5CDD505-2E9C-101B-9397-08002B2CF9AE}" pid="3" name="woTemplateTypoMode" linkTarget="0">
    <vt:lpwstr>web</vt:lpwstr>
  </property>
  <property fmtid="{D5CDD505-2E9C-101B-9397-08002B2CF9AE}" pid="4" name="woTemplate" linkTarget="0">
    <vt:i4>1</vt:i4>
  </property>
  <property fmtid="{D5CDD505-2E9C-101B-9397-08002B2CF9AE}" pid="5" name="ICV">
    <vt:lpwstr>C1D5AEAB216D42CA8CA3B241CB636123</vt:lpwstr>
  </property>
</Properties>
</file>