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绍兴文理学院微机电系统浙江省工程研究中心设备（服务器）采购项目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2024-04-0043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绍兴文理学院微机电系统浙江省工程研究中心设备（服务器）采购项目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 xml:space="preserve"> 月</w:t>
                  </w:r>
                  <w:r>
                    <w:rPr>
                      <w:rFonts w:hint="eastAsia" w:ascii="仿宋_GB2312" w:hAnsi="新宋体" w:eastAsia="仿宋_GB2312"/>
                      <w:color w:val="auto"/>
                      <w:szCs w:val="24"/>
                      <w:highlight w:val="none"/>
                      <w:lang w:val="en-US" w:eastAsia="zh-CN"/>
                    </w:rPr>
                    <w:t>15</w:t>
                  </w:r>
                  <w:r>
                    <w:rPr>
                      <w:rFonts w:hint="eastAsia" w:ascii="仿宋_GB2312" w:hAnsi="新宋体" w:eastAsia="仿宋_GB2312"/>
                      <w:color w:val="auto"/>
                      <w:szCs w:val="24"/>
                      <w:highlight w:val="none"/>
                    </w:rPr>
                    <w:t xml:space="preserve">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2024-04-0043</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绍兴文理学院微机电系统浙江省工程研究中心设备（服务器）</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lang w:eastAsia="zh-CN"/>
              </w:rPr>
              <w:t>采购项目</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1400000</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1400000</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微机电系统浙江省工程研究中心设备（服务器）采购项目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lang w:val="en-US" w:eastAsia="zh-CN"/>
              </w:rPr>
              <w:t>1400000</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 xml:space="preserve"> 月</w:t>
            </w:r>
            <w:r>
              <w:rPr>
                <w:rFonts w:hint="eastAsia" w:ascii="仿宋_GB2312" w:hAnsi="仿宋" w:eastAsia="仿宋_GB2312" w:cs="仿宋"/>
                <w:color w:val="auto"/>
                <w:sz w:val="24"/>
                <w:highlight w:val="none"/>
                <w:u w:val="single"/>
                <w:lang w:val="en-US" w:eastAsia="zh-CN"/>
              </w:rPr>
              <w:t>15</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 xml:space="preserve"> 年</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 xml:space="preserve"> 月</w:t>
            </w:r>
            <w:r>
              <w:rPr>
                <w:rFonts w:hint="eastAsia" w:ascii="仿宋_GB2312" w:hAnsi="仿宋" w:eastAsia="仿宋_GB2312" w:cs="仿宋"/>
                <w:color w:val="auto"/>
                <w:sz w:val="24"/>
                <w:highlight w:val="none"/>
                <w:u w:val="single"/>
                <w:lang w:val="en-US" w:eastAsia="zh-CN"/>
              </w:rPr>
              <w:t>15</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 xml:space="preserve"> 年 </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15</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点</w:t>
            </w:r>
            <w:r>
              <w:rPr>
                <w:rFonts w:hint="eastAsia" w:ascii="仿宋_GB2312" w:hAnsi="仿宋" w:eastAsia="仿宋_GB2312" w:cs="仿宋"/>
                <w:color w:val="auto"/>
                <w:sz w:val="24"/>
                <w:highlight w:val="none"/>
                <w:u w:val="single"/>
                <w:lang w:val="en-US" w:eastAsia="zh-CN"/>
              </w:rPr>
              <w:t xml:space="preserve">00 </w:t>
            </w:r>
            <w:bookmarkStart w:id="164" w:name="_GoBack"/>
            <w:bookmarkEnd w:id="164"/>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绍兴文理学院</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 绍兴市越城区环城西路508号</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传真：0575-88342889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 聂玉冰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 0575-88342889</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质疑联系人：杨路华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质疑联系方式：0575-87573006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sym w:font="Wingdings 2" w:char="0052"/>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AI计算服务器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b/>
          <w:color w:val="auto"/>
          <w:sz w:val="36"/>
          <w:szCs w:val="36"/>
          <w:highlight w:val="none"/>
        </w:rPr>
      </w:pPr>
    </w:p>
    <w:p>
      <w:pPr>
        <w:snapToGrid w:val="0"/>
        <w:spacing w:beforeLines="50" w:afterLines="50"/>
        <w:jc w:val="center"/>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4325929"/>
      <w:bookmarkStart w:id="3" w:name="_Toc81372953"/>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color w:val="auto"/>
          <w:sz w:val="24"/>
          <w:highlight w:val="none"/>
        </w:rPr>
      </w:pPr>
      <w:bookmarkStart w:id="4" w:name="_Toc151354173"/>
      <w:bookmarkStart w:id="5" w:name="_Toc84325981"/>
      <w:bookmarkStart w:id="6" w:name="_Toc81372787"/>
      <w:bookmarkStart w:id="7" w:name="_Toc81372964"/>
      <w:bookmarkStart w:id="8" w:name="_Toc80157775"/>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微机电系统浙江省工程研究中心设备（服务器）采购项目</w:t>
      </w:r>
    </w:p>
    <w:p>
      <w:pPr>
        <w:pStyle w:val="117"/>
        <w:spacing w:after="156" w:afterLines="50" w:line="440" w:lineRule="exact"/>
        <w:ind w:left="0" w:leftChars="0"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一</w:t>
      </w:r>
      <w:r>
        <w:rPr>
          <w:rFonts w:hint="eastAsia" w:ascii="仿宋_GB2312" w:hAnsi="仿宋_GB2312" w:eastAsia="仿宋_GB2312" w:cs="仿宋_GB2312"/>
          <w:b/>
          <w:color w:val="auto"/>
          <w:sz w:val="24"/>
          <w:szCs w:val="24"/>
          <w:highlight w:val="none"/>
        </w:rPr>
        <w:t>、招标项目货物清单及技术要求</w:t>
      </w:r>
    </w:p>
    <w:tbl>
      <w:tblPr>
        <w:tblStyle w:val="6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240"/>
        <w:gridCol w:w="5566"/>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shd w:val="clear" w:color="auto" w:fill="FFFFFF"/>
            <w:noWrap w:val="0"/>
            <w:vAlign w:val="center"/>
          </w:tcPr>
          <w:p>
            <w:pPr>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序号</w:t>
            </w:r>
          </w:p>
        </w:tc>
        <w:tc>
          <w:tcPr>
            <w:tcW w:w="1240" w:type="dxa"/>
            <w:shd w:val="clear" w:color="auto" w:fill="FFFFFF"/>
            <w:noWrap w:val="0"/>
            <w:vAlign w:val="center"/>
          </w:tcPr>
          <w:p>
            <w:pPr>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设备名称</w:t>
            </w:r>
          </w:p>
        </w:tc>
        <w:tc>
          <w:tcPr>
            <w:tcW w:w="5566" w:type="dxa"/>
            <w:shd w:val="clear" w:color="auto" w:fill="FFFFFF"/>
            <w:noWrap w:val="0"/>
            <w:vAlign w:val="center"/>
          </w:tcPr>
          <w:p>
            <w:pPr>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技术规格</w:t>
            </w:r>
          </w:p>
        </w:tc>
        <w:tc>
          <w:tcPr>
            <w:tcW w:w="708" w:type="dxa"/>
            <w:shd w:val="clear" w:color="auto" w:fill="FFFFFF"/>
            <w:noWrap w:val="0"/>
            <w:vAlign w:val="center"/>
          </w:tcPr>
          <w:p>
            <w:pPr>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数量</w:t>
            </w:r>
          </w:p>
        </w:tc>
        <w:tc>
          <w:tcPr>
            <w:tcW w:w="709" w:type="dxa"/>
            <w:shd w:val="clear" w:color="auto" w:fill="FFFFFF"/>
            <w:noWrap w:val="0"/>
            <w:vAlign w:val="center"/>
          </w:tcPr>
          <w:p>
            <w:pPr>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shd w:val="clear" w:color="auto" w:fill="FFFFFF"/>
            <w:noWrap w:val="0"/>
            <w:vAlign w:val="center"/>
          </w:tcPr>
          <w:p>
            <w:pPr>
              <w:widowControl/>
              <w:jc w:val="center"/>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rPr>
              <w:t>1</w:t>
            </w:r>
          </w:p>
        </w:tc>
        <w:tc>
          <w:tcPr>
            <w:tcW w:w="1240" w:type="dxa"/>
            <w:shd w:val="clear" w:color="auto" w:fill="FFFFFF"/>
            <w:noWrap w:val="0"/>
            <w:vAlign w:val="center"/>
          </w:tcPr>
          <w:p>
            <w:pPr>
              <w:widowControl/>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AI计算服务器</w:t>
            </w:r>
          </w:p>
          <w:p>
            <w:pPr>
              <w:pStyle w:val="2"/>
              <w:numPr>
                <w:ilvl w:val="0"/>
                <w:numId w:val="0"/>
              </w:numPr>
              <w:ind w:left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val="en-US" w:eastAsia="zh-CN" w:bidi="ar-SA"/>
              </w:rPr>
              <w:t>（核心产品）</w:t>
            </w:r>
          </w:p>
        </w:tc>
        <w:tc>
          <w:tcPr>
            <w:tcW w:w="5566" w:type="dxa"/>
            <w:shd w:val="clear" w:color="auto" w:fill="FFFFFF"/>
            <w:noWrap w:val="0"/>
            <w:vAlign w:val="center"/>
          </w:tcPr>
          <w:p>
            <w:pPr>
              <w:widowControl/>
              <w:spacing w:line="288"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▲1、cpu处理器：</w:t>
            </w:r>
            <w:r>
              <w:rPr>
                <w:rFonts w:hint="eastAsia" w:ascii="仿宋_GB2312" w:hAnsi="仿宋_GB2312" w:eastAsia="仿宋_GB2312" w:cs="仿宋_GB2312"/>
                <w:color w:val="auto"/>
                <w:sz w:val="24"/>
                <w:szCs w:val="24"/>
                <w:highlight w:val="none"/>
                <w:lang w:val="en-US" w:eastAsia="zh-CN"/>
              </w:rPr>
              <w:t>性能不低于</w:t>
            </w:r>
            <w:r>
              <w:rPr>
                <w:rFonts w:hint="eastAsia" w:ascii="仿宋_GB2312" w:hAnsi="仿宋_GB2312" w:eastAsia="仿宋_GB2312" w:cs="仿宋_GB2312"/>
                <w:color w:val="auto"/>
                <w:sz w:val="24"/>
                <w:szCs w:val="24"/>
                <w:highlight w:val="none"/>
              </w:rPr>
              <w:t>2个英特尔 至强Xeon Gold 6326 处理器，每个均≥2.90 GHz主频，≥24 MB缓存，≥32线程</w:t>
            </w:r>
          </w:p>
          <w:p>
            <w:pPr>
              <w:widowControl/>
              <w:spacing w:line="288"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2、内存：≥256 GB DDR4。</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▲3、硬盘：≥960 GB SSD系统盘、8 TB SATA数据盘。支持扩展</w:t>
            </w:r>
          </w:p>
          <w:p>
            <w:pPr>
              <w:widowControl/>
              <w:spacing w:line="288"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sz w:val="24"/>
                <w:szCs w:val="24"/>
                <w:highlight w:val="none"/>
              </w:rPr>
              <w:t>4、GPU算力：≥4块以上NVIDIA  A100（或A800同等算力的人工智能显卡）GPU，</w:t>
            </w:r>
            <w:r>
              <w:rPr>
                <w:rFonts w:hint="eastAsia" w:ascii="仿宋_GB2312" w:hAnsi="仿宋_GB2312" w:eastAsia="仿宋_GB2312" w:cs="仿宋_GB2312"/>
                <w:color w:val="auto"/>
                <w:sz w:val="24"/>
                <w:szCs w:val="24"/>
                <w:highlight w:val="none"/>
                <w:lang w:val="en-US" w:eastAsia="zh-CN"/>
              </w:rPr>
              <w:t>支持</w:t>
            </w:r>
            <w:r>
              <w:rPr>
                <w:rFonts w:hint="eastAsia" w:ascii="仿宋_GB2312" w:hAnsi="仿宋_GB2312" w:eastAsia="仿宋_GB2312" w:cs="仿宋_GB2312"/>
                <w:color w:val="auto"/>
                <w:sz w:val="24"/>
                <w:szCs w:val="24"/>
                <w:highlight w:val="none"/>
              </w:rPr>
              <w:t>扩展同款GPU至8个的预留插槽。</w:t>
            </w:r>
          </w:p>
          <w:p>
            <w:pPr>
              <w:widowControl/>
              <w:spacing w:line="288"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▲5、RAID支持：SW RAID（标配）；CPU上的Intel®虚拟RAID (VROC)，HBA或带闪存的RAID卡。</w:t>
            </w:r>
          </w:p>
          <w:p>
            <w:pPr>
              <w:widowControl/>
              <w:spacing w:line="288"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6、I/O扩展：最多支持4个PCIe Gen4 x16适配器（前置2个或后置2-4个）以及1个PCIe Gen4 x16 OCP 3.0 mezz适配器（后置）。</w:t>
            </w:r>
          </w:p>
          <w:p>
            <w:pPr>
              <w:widowControl/>
              <w:spacing w:line="288"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7、电源和散热：≥四个热插拔PSU（最高2400 W Platinum），支持N+N冗余并配备内部风扇和冷却系统。</w:t>
            </w:r>
          </w:p>
          <w:p>
            <w:pPr>
              <w:widowControl/>
              <w:spacing w:line="288"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8、操作系统支持：Windows Server正版，Red Hat Enterprise Linux正版等。</w:t>
            </w:r>
          </w:p>
        </w:tc>
        <w:tc>
          <w:tcPr>
            <w:tcW w:w="708" w:type="dxa"/>
            <w:shd w:val="clear" w:color="auto" w:fill="FFFFFF"/>
            <w:noWrap w:val="0"/>
            <w:vAlign w:val="center"/>
          </w:tcPr>
          <w:p>
            <w:pPr>
              <w:widowControl/>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709" w:type="dxa"/>
            <w:shd w:val="clear" w:color="auto" w:fill="FFFFFF"/>
            <w:noWrap w:val="0"/>
            <w:vAlign w:val="center"/>
          </w:tcPr>
          <w:p>
            <w:pPr>
              <w:widowControl/>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shd w:val="clear" w:color="auto" w:fill="FFFFFF"/>
            <w:noWrap w:val="0"/>
            <w:vAlign w:val="center"/>
          </w:tcPr>
          <w:p>
            <w:pPr>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w:t>
            </w:r>
          </w:p>
        </w:tc>
        <w:tc>
          <w:tcPr>
            <w:tcW w:w="1240" w:type="dxa"/>
            <w:shd w:val="clear" w:color="auto" w:fill="FFFFFF"/>
            <w:noWrap w:val="0"/>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高性能服务器1</w:t>
            </w:r>
          </w:p>
        </w:tc>
        <w:tc>
          <w:tcPr>
            <w:tcW w:w="5566" w:type="dxa"/>
            <w:shd w:val="clear" w:color="auto" w:fill="FFFFFF"/>
            <w:noWrap w:val="0"/>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1、▲CPU: </w:t>
            </w:r>
            <w:r>
              <w:rPr>
                <w:rFonts w:hint="eastAsia" w:ascii="仿宋_GB2312" w:hAnsi="仿宋_GB2312" w:eastAsia="仿宋_GB2312" w:cs="仿宋_GB2312"/>
                <w:color w:val="auto"/>
                <w:sz w:val="24"/>
                <w:szCs w:val="24"/>
                <w:highlight w:val="none"/>
                <w:lang w:val="en-US" w:eastAsia="zh-CN"/>
              </w:rPr>
              <w:t>性能不低于</w:t>
            </w:r>
            <w:r>
              <w:rPr>
                <w:rFonts w:hint="eastAsia" w:ascii="仿宋_GB2312" w:hAnsi="仿宋_GB2312" w:eastAsia="仿宋_GB2312" w:cs="仿宋_GB2312"/>
                <w:color w:val="auto"/>
                <w:sz w:val="24"/>
                <w:szCs w:val="24"/>
                <w:highlight w:val="none"/>
              </w:rPr>
              <w:t>2颗 英特尔至强铂金 8260主频≥2.4GHz,≥24核,≥35.75MB 缓存, ≥48线程</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2、▲芯片组：支持英特尔至强 E5-4600/E7-4800 v1系列处理器；支持 DDR4 2133/2400/2666 MHz 内存，支持≥ 4TB;支持 PCle 3.0/4.0 NVMe SSD；集成双千兆网卡，支持网络虚拟化和流量控制</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3、内存：≥128GB DDR4 ECC内存                                                                                                                                                      </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4、硬盘：≥1个512GSSD+2个4T 7.2KSATA企业级，支持扩展</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5、★显卡：≥1个Nvidia RTX A2000，显存容量 ≥6GB</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6、音频：集成高保真音频编解码器</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、光驱：≥1个DVD内置光驱</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、端口：≥8个USB 端口，≥2个Type-c端口，≥1个SD端口，≥1个麦克风端口，≥1个耳机端口；≥ 1个串行端口、≥2个PS2端口、≥2个RJ45端口</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、显示器：显示器 ≥23.5英寸，≥ 2×HDMI接口，音频/耳机输出等多接口，同品牌显示器；</w:t>
            </w:r>
          </w:p>
          <w:p>
            <w:pPr>
              <w:widowControl/>
              <w:spacing w:line="288"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、系统：正版Windows 11工作站专业版。</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网关服务器    1台</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1、功能要求：设备具有集教学录播、教学扩音、中控管理、网络管理、物联网管控等多种业务应用一体功能，非多软件、多设备的叠加切换应用；（投标人在投标文件中须提供承诺书，加盖投标人公章。）</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2、机架式主机，≤2U高度，嵌入式架构，为方便讲台内安装部署，要求无风扇静音设计；</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3、具备基础网关功能，具有≥1个2.5GWAN口，≥8个GE口，并可提供PoE供电；</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4、具备本地教学扩音功能。</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5、支持≥4个Micin，支持幻象供电；支持至少1路≥2x75W功放立体声输出；</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6、可接入吊麦、桌面麦等多种远/近距离拾音麦克风进行本地扩声；</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7、具备教学录播功能。</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8、可通过包含但不仅限于HDMI端口直接采集教学电脑画面，支持≥4路包含但不仅限于IP摄像头画面采集，每路不低于30帧高清；</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9、支持≥2路HDMI2.0输入口，≥2路HDMI输出口，支持≥2路Linein、≥2路Lineout，</w:t>
            </w:r>
            <w:r>
              <w:rPr>
                <w:rFonts w:hint="eastAsia" w:ascii="仿宋_GB2312" w:hAnsi="仿宋_GB2312" w:eastAsia="仿宋_GB2312" w:cs="仿宋_GB2312"/>
                <w:color w:val="auto"/>
                <w:sz w:val="24"/>
                <w:szCs w:val="24"/>
                <w:highlight w:val="none"/>
                <w:lang w:val="en-US" w:eastAsia="zh-CN"/>
              </w:rPr>
              <w:t>支持</w:t>
            </w:r>
            <w:r>
              <w:rPr>
                <w:rFonts w:hint="eastAsia" w:ascii="仿宋_GB2312" w:hAnsi="仿宋_GB2312" w:eastAsia="仿宋_GB2312" w:cs="仿宋_GB2312"/>
                <w:color w:val="auto"/>
                <w:sz w:val="24"/>
                <w:szCs w:val="24"/>
                <w:highlight w:val="none"/>
              </w:rPr>
              <w:t>对多媒体输入声音进行扩声，通过HDMI口播放远程推送的音视频信息；</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10、设备≥3个USB口，至少一路USB</w:t>
            </w:r>
            <w:r>
              <w:rPr>
                <w:rFonts w:hint="eastAsia" w:ascii="仿宋_GB2312" w:hAnsi="仿宋_GB2312" w:eastAsia="仿宋_GB2312" w:cs="仿宋_GB2312"/>
                <w:color w:val="auto"/>
                <w:sz w:val="24"/>
                <w:szCs w:val="24"/>
                <w:highlight w:val="none"/>
                <w:lang w:val="en-US" w:eastAsia="zh-CN"/>
              </w:rPr>
              <w:t>支持</w:t>
            </w:r>
            <w:r>
              <w:rPr>
                <w:rFonts w:hint="eastAsia" w:ascii="仿宋_GB2312" w:hAnsi="仿宋_GB2312" w:eastAsia="仿宋_GB2312" w:cs="仿宋_GB2312"/>
                <w:color w:val="auto"/>
                <w:sz w:val="24"/>
                <w:szCs w:val="24"/>
                <w:highlight w:val="none"/>
              </w:rPr>
              <w:t>做音视频输入输出双向通道，</w:t>
            </w:r>
            <w:r>
              <w:rPr>
                <w:rFonts w:hint="eastAsia" w:ascii="仿宋_GB2312" w:hAnsi="仿宋_GB2312" w:eastAsia="仿宋_GB2312" w:cs="仿宋_GB2312"/>
                <w:color w:val="auto"/>
                <w:sz w:val="24"/>
                <w:szCs w:val="24"/>
                <w:highlight w:val="none"/>
                <w:lang w:val="en-US" w:eastAsia="zh-CN"/>
              </w:rPr>
              <w:t>支持</w:t>
            </w:r>
            <w:r>
              <w:rPr>
                <w:rFonts w:hint="eastAsia" w:ascii="仿宋_GB2312" w:hAnsi="仿宋_GB2312" w:eastAsia="仿宋_GB2312" w:cs="仿宋_GB2312"/>
                <w:color w:val="auto"/>
                <w:sz w:val="24"/>
                <w:szCs w:val="24"/>
                <w:highlight w:val="none"/>
              </w:rPr>
              <w:t>为视频会议等互动软件提供教室内音视频输入输出服务；</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11、支持≥1路RS232、≥1路RS485，</w:t>
            </w:r>
            <w:r>
              <w:rPr>
                <w:rFonts w:hint="eastAsia" w:ascii="仿宋_GB2312" w:hAnsi="仿宋_GB2312" w:eastAsia="仿宋_GB2312" w:cs="仿宋_GB2312"/>
                <w:color w:val="auto"/>
                <w:sz w:val="24"/>
                <w:szCs w:val="24"/>
                <w:highlight w:val="none"/>
                <w:lang w:val="en-US" w:eastAsia="zh-CN"/>
              </w:rPr>
              <w:t>支持</w:t>
            </w:r>
            <w:r>
              <w:rPr>
                <w:rFonts w:hint="eastAsia" w:ascii="仿宋_GB2312" w:hAnsi="仿宋_GB2312" w:eastAsia="仿宋_GB2312" w:cs="仿宋_GB2312"/>
                <w:color w:val="auto"/>
                <w:sz w:val="24"/>
                <w:szCs w:val="24"/>
                <w:highlight w:val="none"/>
              </w:rPr>
              <w:t>双向通讯，并支持DC12V输出；</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12、支持DHCPserver、VLAN、静态路由、访问控制策略、限速流控等基本网关功能；</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13、支持自动发现各种物联设备，</w:t>
            </w:r>
            <w:r>
              <w:rPr>
                <w:rFonts w:hint="eastAsia" w:ascii="仿宋_GB2312" w:hAnsi="仿宋_GB2312" w:eastAsia="仿宋_GB2312" w:cs="仿宋_GB2312"/>
                <w:color w:val="auto"/>
                <w:sz w:val="24"/>
                <w:szCs w:val="24"/>
                <w:highlight w:val="none"/>
                <w:lang w:val="en-US" w:eastAsia="zh-CN"/>
              </w:rPr>
              <w:t>支持</w:t>
            </w:r>
            <w:r>
              <w:rPr>
                <w:rFonts w:hint="eastAsia" w:ascii="仿宋_GB2312" w:hAnsi="仿宋_GB2312" w:eastAsia="仿宋_GB2312" w:cs="仿宋_GB2312"/>
                <w:color w:val="auto"/>
                <w:sz w:val="24"/>
                <w:szCs w:val="24"/>
                <w:highlight w:val="none"/>
              </w:rPr>
              <w:t>添加、管理、控制物联设备，并实时感知设备的在线运行情况、实时获取各类传感器的数据并上送云端进行统计展示；</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支持AI净音处理，具备动态自适应噪音抑制技术：对电风扇、空调等固定噪声源具有智能消除功能，对拍掌、脚步声等非固定噪声源能自学习识别并消除，具有明显消除效果，信噪比提升≥27dB；防啸叫能力：自适应防啸叫抑制，进行本地扩声时麦克风正对着音箱1m以内，系统不啸叫；</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、内置音频矩阵功能，可将不同的单路或多路音频输入流指向不同的输出端口；</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、内置≥128GSSD硬盘，可对教学电脑桌面≥4路以上摄像头流进行画面融合、本地存储，可快捷导出本地录播文件；</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rPr>
              <w:t>、支持搭配一个或多个控制屏进行集控使用，实现对多媒体设备的触控控制、物联传感器数据的实时展示；支持对不同的屏配置不同的控制界面，通过远程平台进行单个或批量配置控制界面，且配置即时生效；</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18</w:t>
            </w:r>
            <w:r>
              <w:rPr>
                <w:rFonts w:hint="eastAsia" w:ascii="仿宋_GB2312" w:hAnsi="仿宋_GB2312" w:eastAsia="仿宋_GB2312" w:cs="仿宋_GB2312"/>
                <w:color w:val="auto"/>
                <w:sz w:val="24"/>
                <w:szCs w:val="24"/>
                <w:highlight w:val="none"/>
              </w:rPr>
              <w:t>、上行出口网络中断的情况下本地使用不受影响，教室内部网络、触控屏控制、控制策略等继续正常运行；</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rPr>
              <w:t>、内置虚拟AC，可下联≥8个AP，并可对AP和无线终端进行可视化管理；内置包含但不仅限于zigbee协议网关，外接协议模块后</w:t>
            </w:r>
            <w:r>
              <w:rPr>
                <w:rFonts w:hint="eastAsia" w:ascii="仿宋_GB2312" w:hAnsi="仿宋_GB2312" w:eastAsia="仿宋_GB2312" w:cs="仿宋_GB2312"/>
                <w:color w:val="auto"/>
                <w:sz w:val="24"/>
                <w:szCs w:val="24"/>
                <w:highlight w:val="none"/>
                <w:lang w:val="en-US" w:eastAsia="zh-CN"/>
              </w:rPr>
              <w:t>支持</w:t>
            </w:r>
            <w:r>
              <w:rPr>
                <w:rFonts w:hint="eastAsia" w:ascii="仿宋_GB2312" w:hAnsi="仿宋_GB2312" w:eastAsia="仿宋_GB2312" w:cs="仿宋_GB2312"/>
                <w:color w:val="auto"/>
                <w:sz w:val="24"/>
                <w:szCs w:val="24"/>
                <w:highlight w:val="none"/>
              </w:rPr>
              <w:t>扩展协议物联终端的接入；</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、支持本设备直接对接第三方录播/直播平台，为直录播平台提供推流服务；</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、主机根据业务需求通过软件授权的方式(非板卡或多设备叠加)扩展多种应用；</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、支持云端可视化集中运维管理，支持对关联的同品牌设备进行远程升级、重启、远程登录等远程运维操作；</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、设备平均无故障连续运行时长（MTBF）≥100000小时；</w:t>
            </w:r>
          </w:p>
        </w:tc>
        <w:tc>
          <w:tcPr>
            <w:tcW w:w="708" w:type="dxa"/>
            <w:shd w:val="clear" w:color="auto" w:fill="FFFFFF"/>
            <w:noWrap w:val="0"/>
            <w:vAlign w:val="center"/>
          </w:tcPr>
          <w:p>
            <w:pPr>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1</w:t>
            </w:r>
          </w:p>
        </w:tc>
        <w:tc>
          <w:tcPr>
            <w:tcW w:w="709" w:type="dxa"/>
            <w:shd w:val="clear" w:color="auto" w:fill="FFFFFF"/>
            <w:noWrap w:val="0"/>
            <w:vAlign w:val="center"/>
          </w:tcPr>
          <w:p>
            <w:pPr>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center"/>
          </w:tcPr>
          <w:p>
            <w:pPr>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w:t>
            </w:r>
          </w:p>
        </w:tc>
        <w:tc>
          <w:tcPr>
            <w:tcW w:w="1240" w:type="dxa"/>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高性能服务器2</w:t>
            </w:r>
          </w:p>
        </w:tc>
        <w:tc>
          <w:tcPr>
            <w:tcW w:w="5566" w:type="dxa"/>
            <w:noWrap w:val="0"/>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1、▲处理器：</w:t>
            </w:r>
            <w:r>
              <w:rPr>
                <w:rFonts w:hint="eastAsia" w:ascii="仿宋_GB2312" w:hAnsi="仿宋_GB2312" w:eastAsia="仿宋_GB2312" w:cs="仿宋_GB2312"/>
                <w:color w:val="auto"/>
                <w:sz w:val="24"/>
                <w:szCs w:val="24"/>
                <w:highlight w:val="none"/>
                <w:lang w:val="en-US" w:eastAsia="zh-CN"/>
              </w:rPr>
              <w:t>性能不低于</w:t>
            </w:r>
            <w:r>
              <w:rPr>
                <w:rFonts w:hint="eastAsia" w:ascii="仿宋_GB2312" w:hAnsi="仿宋_GB2312" w:eastAsia="仿宋_GB2312" w:cs="仿宋_GB2312"/>
                <w:color w:val="auto"/>
                <w:sz w:val="24"/>
                <w:szCs w:val="24"/>
                <w:highlight w:val="none"/>
              </w:rPr>
              <w:t xml:space="preserve">INTEL8000 Series系列架构处理器 </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≥80核心160线程，最高主频≥4.79GHz；</w:t>
            </w:r>
            <w:r>
              <w:rPr>
                <w:rFonts w:hint="eastAsia" w:ascii="仿宋_GB2312" w:hAnsi="仿宋_GB2312" w:eastAsia="仿宋_GB2312" w:cs="仿宋_GB2312"/>
                <w:color w:val="auto"/>
                <w:kern w:val="0"/>
                <w:sz w:val="24"/>
                <w:szCs w:val="24"/>
                <w:highlight w:val="none"/>
              </w:rPr>
              <w:t xml:space="preserve">理论最高浮点峰值不低于6,912 Tflops; </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2、▲内存：≥1TB DDR4 3200 RECC；</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3、硬盘：≥1TB SSD固态硬盘,速度≥7000 MB/S + 16T企业级硬盘；</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sz w:val="24"/>
                <w:szCs w:val="24"/>
                <w:highlight w:val="none"/>
              </w:rPr>
              <w:t>显卡： NVIDIA 4090，cuda核心数≥16384 units，Gddr6显存速度≥21 Gbps；</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5、显示器：≥27 寸超窄边框专业高清显示器；</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集群监控：采用集群监控系统，并接入原有平台，实现实时采集和显示服务器CPU整体利用率、CPU系统利用率、内存利用率、SWAP利用率、磁盘读速率、磁盘写速率、网络接收速率和网络发送速率等系统级基本性能数据；实时采集和显示服务器协处理器利用率；实时采集和显示服务器高速互联的网络设备。</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7、作业管理软件：</w:t>
            </w:r>
            <w:r>
              <w:rPr>
                <w:rFonts w:hint="eastAsia" w:ascii="仿宋_GB2312" w:hAnsi="仿宋_GB2312" w:eastAsia="仿宋_GB2312" w:cs="仿宋_GB2312"/>
                <w:color w:val="auto"/>
                <w:sz w:val="24"/>
                <w:szCs w:val="24"/>
                <w:highlight w:val="none"/>
                <w:lang w:val="en-US" w:eastAsia="zh-CN"/>
              </w:rPr>
              <w:t>预装</w:t>
            </w:r>
            <w:r>
              <w:rPr>
                <w:rFonts w:hint="eastAsia" w:ascii="仿宋_GB2312" w:hAnsi="仿宋_GB2312" w:eastAsia="仿宋_GB2312" w:cs="仿宋_GB2312"/>
                <w:color w:val="auto"/>
                <w:sz w:val="24"/>
                <w:szCs w:val="24"/>
                <w:highlight w:val="none"/>
              </w:rPr>
              <w:t>作业管理软件，支持任务的提交、排队、监控、删除和给予策略的处理等提供灵活作业提交方式；支持给予命令行、Web界面和作业脚本的提交，支持批量提交和对应资源选择，基于管理集群方便的Web界面，并提供功能完善的管理主控页面和报表，支持监控、报警和用户使用标记功能等；</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8、软件技术参数：要求预装 Linux科学计算操作系统，搭建智能传感、计算系统仿真设计平台，可根据需求选择下列软件功能，协助用户配置远程管理维护环境。</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8.1允许远程访问 Linux 串行控制台，开发环境支持 Open MP、Open MPI、MPICH2 等并行计算环境，包括并行计算功能。</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8.2支持 GCC、G77、GFortran、Intel Fortran 等高性能编译器，并行编译 MPICH2，完成设备 MPI 并行计算环境的搭建，及多任务多用户管理和局域网搭建。</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8.3支持Linux架构的HPC计算平台；支持（如Suse Linux、Redhat Linux、Centos Linux）多版本的操作系统；支持定义作业的优先级，提供先来先服务、优先级抢占、公平共享、平台资源独占等多种调度策略；作业调度支持多队列管理，各个队列</w:t>
            </w:r>
            <w:r>
              <w:rPr>
                <w:rFonts w:hint="eastAsia" w:ascii="仿宋_GB2312" w:hAnsi="仿宋_GB2312" w:eastAsia="仿宋_GB2312" w:cs="仿宋_GB2312"/>
                <w:color w:val="auto"/>
                <w:sz w:val="24"/>
                <w:szCs w:val="24"/>
                <w:highlight w:val="none"/>
                <w:lang w:val="en-US" w:eastAsia="zh-CN"/>
              </w:rPr>
              <w:t>支持</w:t>
            </w:r>
            <w:r>
              <w:rPr>
                <w:rFonts w:hint="eastAsia" w:ascii="仿宋_GB2312" w:hAnsi="仿宋_GB2312" w:eastAsia="仿宋_GB2312" w:cs="仿宋_GB2312"/>
                <w:color w:val="auto"/>
                <w:sz w:val="24"/>
                <w:szCs w:val="24"/>
                <w:highlight w:val="none"/>
              </w:rPr>
              <w:t>设置不同管理策略、根据用户作业的运行情况动态调整用户优先级；提供资源管理和作业调度的编程接口，支持批量作业的快速上传下载；支持BCX2.0作业和普通BCXHPC作业混合调度，提供</w:t>
            </w:r>
            <w:r>
              <w:rPr>
                <w:rFonts w:hint="eastAsia" w:ascii="仿宋_GB2312" w:hAnsi="仿宋_GB2312" w:eastAsia="仿宋_GB2312" w:cs="仿宋_GB2312"/>
                <w:color w:val="auto"/>
                <w:sz w:val="24"/>
                <w:szCs w:val="24"/>
                <w:highlight w:val="none"/>
                <w:lang w:val="en-US" w:eastAsia="zh-CN"/>
              </w:rPr>
              <w:t>功能</w:t>
            </w:r>
            <w:r>
              <w:rPr>
                <w:rFonts w:hint="eastAsia" w:ascii="仿宋_GB2312" w:hAnsi="仿宋_GB2312" w:eastAsia="仿宋_GB2312" w:cs="仿宋_GB2312"/>
                <w:color w:val="auto"/>
                <w:sz w:val="24"/>
                <w:szCs w:val="24"/>
                <w:highlight w:val="none"/>
              </w:rPr>
              <w:t>截图，能够在页面上对于现有平台进行相关管理，包括创建、更新、销毁等功能，支持作业的暂停、恢复、杀死、置顶/置底、断点续算、重新运行等操作。</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8.4支持Slurm多级容错，包含系统级容错、作业级容错，即系统发生故障（如网络中断、 系统宕机）或作业因为偶然故障（如磁盘空间不足，获取许可证失败）引起的作业失败时， 该作业能被重新调度到其它机器上执行。</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8.5需浮点计算数学库及相关编译工具，完成并行计算平台搭建，完成网络系统配置、系统配置服务提供网络文件系统和并行计算系统设置及维护开发环境支持 C，C++，Fortran，包括并行计算功能。gcc，g77， gfortran，infortran 等编译器，并行编译 MPICH2，完成 MPI 并行计算环境的搭建。</w:t>
            </w:r>
          </w:p>
        </w:tc>
        <w:tc>
          <w:tcPr>
            <w:tcW w:w="708" w:type="dxa"/>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09" w:type="dxa"/>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center"/>
          </w:tcPr>
          <w:p>
            <w:pPr>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w:t>
            </w:r>
          </w:p>
        </w:tc>
        <w:tc>
          <w:tcPr>
            <w:tcW w:w="1240" w:type="dxa"/>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高性能服务器3</w:t>
            </w:r>
          </w:p>
        </w:tc>
        <w:tc>
          <w:tcPr>
            <w:tcW w:w="5566" w:type="dxa"/>
            <w:noWrap w:val="0"/>
            <w:vAlign w:val="center"/>
          </w:tcPr>
          <w:p>
            <w:pPr>
              <w:numPr>
                <w:ilvl w:val="0"/>
                <w:numId w:val="6"/>
              </w:num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2U2路塔式/机架服务器，含导轨电源线。</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2.▲CPU配置</w:t>
            </w:r>
            <w:r>
              <w:rPr>
                <w:rFonts w:hint="eastAsia" w:ascii="仿宋_GB2312" w:hAnsi="仿宋_GB2312" w:eastAsia="仿宋_GB2312" w:cs="仿宋_GB2312"/>
                <w:color w:val="auto"/>
                <w:sz w:val="24"/>
                <w:szCs w:val="24"/>
                <w:highlight w:val="none"/>
                <w:lang w:val="en-US" w:eastAsia="zh-CN"/>
              </w:rPr>
              <w:t>性能不低于</w:t>
            </w:r>
            <w:r>
              <w:rPr>
                <w:rFonts w:hint="eastAsia" w:ascii="仿宋_GB2312" w:hAnsi="仿宋_GB2312" w:eastAsia="仿宋_GB2312" w:cs="仿宋_GB2312"/>
                <w:color w:val="auto"/>
                <w:sz w:val="24"/>
                <w:szCs w:val="24"/>
                <w:highlight w:val="none"/>
              </w:rPr>
              <w:t>2颗intel Xeon Platinum8460Y+(单颗主频≥2.0GHz/≥40-core/≥105MB/300W)</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3.▲内存配置≥8根64GB DDR5 4800MT/s RDIMM内存，≥32个内存插槽。</w:t>
            </w:r>
          </w:p>
          <w:p>
            <w:pPr>
              <w:ind w:left="1470" w:hanging="1680" w:hangingChars="7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4.硬盘配置≥2块1.92T NVMe SSD +6 2.4TB SAS HDD</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5.配置9560-8i-PCIe RAID标卡 4GB Cache </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6.配置GPU套件，支持≥4块双宽GPU，</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7.★配置≥2块GPU</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性能不低于</w:t>
            </w:r>
            <w:r>
              <w:rPr>
                <w:rFonts w:hint="eastAsia" w:ascii="仿宋_GB2312" w:hAnsi="仿宋_GB2312" w:eastAsia="仿宋_GB2312" w:cs="仿宋_GB2312"/>
                <w:color w:val="auto"/>
                <w:sz w:val="24"/>
                <w:szCs w:val="24"/>
                <w:highlight w:val="none"/>
              </w:rPr>
              <w:t>内存≥24GB，基础频率≥2.235GHz，位宽≥384位，流处理器（Shading Units）≥16384；Tensor Cores≥512；像素填充率≥443.5GPixel/s8.配置≥2*GE电口</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8.配置≥2*GE电口</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9.配置≥2000W冗余（1+1）白金电源</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10.长期工作环境温度支持5-45度</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11.配置独立的远程管理控制端口，支持远程监控图形界面, 可实现与操作系统无关的远程对服务器的完全控制，包括远程的开机、关机、重启、虚拟软驱、虚拟光驱等操作；</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12.支持黑匣子功能，支持最后一屏功能</w:t>
            </w:r>
          </w:p>
          <w:p>
            <w:pPr>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13.支持USB接口近端接入运维，采用Type-C数据线结合笔记本高效执行近端运维操作，不需使用网线、不需中断BMC当前网口连接</w:t>
            </w:r>
            <w:r>
              <w:rPr>
                <w:rFonts w:hint="eastAsia" w:ascii="仿宋_GB2312" w:hAnsi="仿宋_GB2312" w:eastAsia="仿宋_GB2312" w:cs="仿宋_GB2312"/>
                <w:color w:val="auto"/>
                <w:sz w:val="24"/>
                <w:szCs w:val="24"/>
                <w:highlight w:val="none"/>
                <w:lang w:eastAsia="zh-CN"/>
              </w:rPr>
              <w:t>；</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14.所投服务器管理软件支持的管理芯片为国产芯片；</w:t>
            </w:r>
          </w:p>
          <w:p>
            <w:pPr>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15.支持PCIe标卡UCE故障精准告警功能，需要包含故障PCIe标卡的具体槽位信息，PCIe标卡产生UCE故障，能够触发告警并明确指示具体的故障内存位置</w:t>
            </w:r>
            <w:r>
              <w:rPr>
                <w:rFonts w:hint="eastAsia" w:ascii="仿宋_GB2312" w:hAnsi="仿宋_GB2312" w:eastAsia="仿宋_GB2312" w:cs="仿宋_GB2312"/>
                <w:color w:val="auto"/>
                <w:sz w:val="24"/>
                <w:szCs w:val="24"/>
                <w:highlight w:val="none"/>
                <w:lang w:eastAsia="zh-CN"/>
              </w:rPr>
              <w:t>；</w:t>
            </w:r>
          </w:p>
          <w:p>
            <w:pPr>
              <w:jc w:val="left"/>
              <w:rPr>
                <w:rFonts w:hint="eastAsia" w:ascii="仿宋_GB2312" w:hAnsi="仿宋_GB2312" w:eastAsia="仿宋_GB2312" w:cs="仿宋_GB2312"/>
                <w:strike w:val="0"/>
                <w:dstrike/>
                <w:color w:val="auto"/>
                <w:sz w:val="24"/>
                <w:szCs w:val="24"/>
                <w:highlight w:val="none"/>
                <w:lang w:eastAsia="zh-CN"/>
              </w:rPr>
            </w:pPr>
            <w:r>
              <w:rPr>
                <w:rFonts w:hint="eastAsia" w:ascii="仿宋_GB2312" w:hAnsi="仿宋_GB2312" w:eastAsia="仿宋_GB2312" w:cs="仿宋_GB2312"/>
                <w:color w:val="auto"/>
                <w:sz w:val="24"/>
                <w:szCs w:val="24"/>
                <w:highlight w:val="none"/>
              </w:rPr>
              <w:t>16.支持内存故障隔离功能，内存风险区域产生UCE故障，隔离成功，OS不宕机</w:t>
            </w:r>
            <w:r>
              <w:rPr>
                <w:rFonts w:hint="eastAsia" w:ascii="仿宋_GB2312" w:hAnsi="仿宋_GB2312" w:eastAsia="仿宋_GB2312" w:cs="仿宋_GB2312"/>
                <w:color w:val="auto"/>
                <w:sz w:val="24"/>
                <w:szCs w:val="24"/>
                <w:highlight w:val="none"/>
                <w:lang w:eastAsia="zh-CN"/>
              </w:rPr>
              <w:t>；</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支持结合带内管理软件，实现BMC页面上报物理盘、逻辑盘慢盘告警，针对物理盘等存储设备故障导致IO变慢会严重影响上层业务的运行，及时检测慢盘故障，可以快速执行相应的恢复措施，达到恢复业务的目的。</w:t>
            </w:r>
          </w:p>
          <w:p>
            <w:pPr>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18.支持SNMP SHA256/SHA384/SHA512鉴权算法和AES256加密算法,可以有效保证SNMP接口数据的机密性，降低数据泄露或篡改的安全风险</w:t>
            </w:r>
            <w:r>
              <w:rPr>
                <w:rFonts w:hint="eastAsia" w:ascii="仿宋_GB2312" w:hAnsi="仿宋_GB2312" w:eastAsia="仿宋_GB2312" w:cs="仿宋_GB2312"/>
                <w:color w:val="auto"/>
                <w:sz w:val="24"/>
                <w:szCs w:val="24"/>
                <w:highlight w:val="none"/>
                <w:lang w:eastAsia="zh-CN"/>
              </w:rPr>
              <w:t>；</w:t>
            </w:r>
          </w:p>
          <w:p>
            <w:pPr>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19.支持OS系统自动锁定功能，功能开启时，支持最后一个KVM远程登录会话断开时，业务侧OS自动锁定</w:t>
            </w:r>
            <w:r>
              <w:rPr>
                <w:rFonts w:hint="eastAsia" w:ascii="仿宋_GB2312" w:hAnsi="仿宋_GB2312" w:eastAsia="仿宋_GB2312" w:cs="仿宋_GB2312"/>
                <w:color w:val="auto"/>
                <w:sz w:val="24"/>
                <w:szCs w:val="24"/>
                <w:highlight w:val="none"/>
                <w:lang w:eastAsia="zh-CN"/>
              </w:rPr>
              <w:t>；</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r>
              <w:rPr>
                <w:rFonts w:hint="eastAsia" w:ascii="仿宋_GB2312" w:hAnsi="仿宋_GB2312" w:eastAsia="仿宋_GB2312" w:cs="仿宋_GB2312"/>
                <w:color w:val="auto"/>
                <w:sz w:val="24"/>
                <w:szCs w:val="24"/>
                <w:highlight w:val="none"/>
                <w:lang w:val="en-US" w:eastAsia="zh-CN"/>
              </w:rPr>
              <w:t>支持</w:t>
            </w:r>
            <w:r>
              <w:rPr>
                <w:rFonts w:hint="eastAsia" w:ascii="仿宋_GB2312" w:hAnsi="仿宋_GB2312" w:eastAsia="仿宋_GB2312" w:cs="仿宋_GB2312"/>
                <w:color w:val="auto"/>
                <w:sz w:val="24"/>
                <w:szCs w:val="24"/>
                <w:highlight w:val="none"/>
              </w:rPr>
              <w:t>同品牌自研的服务器集中管理控制软件，服务器集中管理软件支持对接钉钉、微信，将告警信息回传至钉钉或微信平台，提供功能截图。</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21.支持中文BIOS管理界面</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22.配置3台≥27寸，4K，不低于60 Hz，≥1个HDMI2.0端口(HDCP2.2)</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1个USB-C 端口，</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1个USB-C上行端口，</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1个DP（输出）端口，</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4个超高速 USB-A（第二代USB3.2，10Gbps）下行端口，</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1个SB-C（第二代USB3.2，10 Gbps，最高15W充电功率）下行端口</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24.CPU配件：</w:t>
            </w:r>
            <w:r>
              <w:rPr>
                <w:rFonts w:hint="eastAsia" w:ascii="仿宋_GB2312" w:hAnsi="仿宋_GB2312" w:eastAsia="仿宋_GB2312" w:cs="仿宋_GB2312"/>
                <w:color w:val="auto"/>
                <w:sz w:val="24"/>
                <w:szCs w:val="24"/>
                <w:highlight w:val="none"/>
                <w:lang w:val="en-US" w:eastAsia="zh-CN"/>
              </w:rPr>
              <w:t>性能不低于</w:t>
            </w:r>
            <w:r>
              <w:rPr>
                <w:rFonts w:hint="eastAsia" w:ascii="仿宋_GB2312" w:hAnsi="仿宋_GB2312" w:eastAsia="仿宋_GB2312" w:cs="仿宋_GB2312"/>
                <w:color w:val="auto"/>
                <w:sz w:val="24"/>
                <w:szCs w:val="24"/>
                <w:highlight w:val="none"/>
              </w:rPr>
              <w:t>Intel Core i9 14900K</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25.内存配件32G DDR5 6000 服务器专用内存*4</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26.GPU一片，性能不低于内存≥16GB，基础频率≥2.205GHz，位宽≥256位，流处理器（Shading Units）≥19728；Tensor Cores≥304；像素填充率≥280.6GPixel/s</w:t>
            </w:r>
          </w:p>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27.系统：正版Windows 系统。</w:t>
            </w:r>
          </w:p>
        </w:tc>
        <w:tc>
          <w:tcPr>
            <w:tcW w:w="708" w:type="dxa"/>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09" w:type="dxa"/>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32" w:type="dxa"/>
            <w:noWrap w:val="0"/>
            <w:vAlign w:val="center"/>
          </w:tcPr>
          <w:p>
            <w:pPr>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1240" w:type="dxa"/>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彩色激光无线双面打印机复印扫描一体机</w:t>
            </w:r>
          </w:p>
        </w:tc>
        <w:tc>
          <w:tcPr>
            <w:tcW w:w="5566" w:type="dxa"/>
            <w:noWrap w:val="0"/>
            <w:vAlign w:val="center"/>
          </w:tcPr>
          <w:p>
            <w:pPr>
              <w:numPr>
                <w:ilvl w:val="0"/>
                <w:numId w:val="0"/>
              </w:numPr>
              <w:ind w:leftChars="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打印机性能：≥27页/分钟（支持双面）；</w:t>
            </w:r>
          </w:p>
          <w:p>
            <w:pPr>
              <w:numPr>
                <w:ilvl w:val="0"/>
                <w:numId w:val="0"/>
              </w:numPr>
              <w:ind w:leftChars="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打印分辨率≥600*600dpi；</w:t>
            </w:r>
          </w:p>
          <w:p>
            <w:pPr>
              <w:numPr>
                <w:ilvl w:val="0"/>
                <w:numId w:val="0"/>
              </w:numPr>
              <w:ind w:leftChars="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扫描分辨率≥300dpix600dpi；</w:t>
            </w:r>
          </w:p>
          <w:p>
            <w:pPr>
              <w:numPr>
                <w:ilvl w:val="0"/>
                <w:numId w:val="0"/>
              </w:numPr>
              <w:ind w:leftChars="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缩放范围：25%至400%；</w:t>
            </w:r>
          </w:p>
          <w:p>
            <w:pPr>
              <w:numPr>
                <w:ilvl w:val="0"/>
                <w:numId w:val="0"/>
              </w:numPr>
              <w:ind w:leftChars="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机身存储≥1GB；</w:t>
            </w:r>
          </w:p>
          <w:p>
            <w:pPr>
              <w:numPr>
                <w:ilvl w:val="0"/>
                <w:numId w:val="0"/>
              </w:numPr>
              <w:ind w:leftChars="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待机功耗≤18W，睡眠模式≤1W；</w:t>
            </w:r>
          </w:p>
          <w:p>
            <w:pPr>
              <w:numPr>
                <w:ilvl w:val="0"/>
                <w:numId w:val="0"/>
              </w:numPr>
              <w:ind w:leftChars="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支持打印/复印/扫描、有线无线连接；</w:t>
            </w:r>
          </w:p>
          <w:p>
            <w:pPr>
              <w:numPr>
                <w:ilvl w:val="0"/>
                <w:numId w:val="0"/>
              </w:numPr>
              <w:ind w:leftChars="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纸盒≥250页</w:t>
            </w:r>
            <w:r>
              <w:rPr>
                <w:rFonts w:hint="eastAsia" w:ascii="仿宋_GB2312" w:hAnsi="仿宋_GB2312" w:eastAsia="仿宋_GB2312" w:cs="仿宋_GB2312"/>
                <w:color w:val="auto"/>
                <w:sz w:val="24"/>
                <w:szCs w:val="24"/>
                <w:highlight w:val="none"/>
                <w:lang w:eastAsia="zh-CN"/>
              </w:rPr>
              <w:t>；</w:t>
            </w:r>
          </w:p>
          <w:p>
            <w:pPr>
              <w:numPr>
                <w:ilvl w:val="0"/>
                <w:numId w:val="0"/>
              </w:numPr>
              <w:ind w:leftChars="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★提供节能产品认证证书</w:t>
            </w:r>
            <w:r>
              <w:rPr>
                <w:rFonts w:hint="eastAsia" w:ascii="仿宋_GB2312" w:hAnsi="仿宋_GB2312" w:eastAsia="仿宋_GB2312" w:cs="仿宋_GB2312"/>
                <w:color w:val="auto"/>
                <w:sz w:val="24"/>
                <w:szCs w:val="24"/>
                <w:highlight w:val="none"/>
                <w:lang w:eastAsia="zh-CN"/>
              </w:rPr>
              <w:t>。</w:t>
            </w:r>
          </w:p>
        </w:tc>
        <w:tc>
          <w:tcPr>
            <w:tcW w:w="708" w:type="dxa"/>
            <w:noWrap w:val="0"/>
            <w:vAlign w:val="center"/>
          </w:tcPr>
          <w:p>
            <w:pPr>
              <w:jc w:val="center"/>
              <w:rPr>
                <w:rFonts w:hint="eastAsia" w:ascii="仿宋_GB2312" w:hAnsi="仿宋_GB2312" w:eastAsia="仿宋_GB2312" w:cs="仿宋_GB2312"/>
                <w:color w:val="auto"/>
                <w:sz w:val="24"/>
                <w:szCs w:val="24"/>
                <w:highlight w:val="none"/>
              </w:rPr>
            </w:pPr>
          </w:p>
        </w:tc>
        <w:tc>
          <w:tcPr>
            <w:tcW w:w="709" w:type="dxa"/>
            <w:noWrap w:val="0"/>
            <w:vAlign w:val="center"/>
          </w:tcPr>
          <w:p>
            <w:pPr>
              <w:jc w:val="center"/>
              <w:rPr>
                <w:rFonts w:hint="eastAsia" w:ascii="仿宋_GB2312" w:hAnsi="仿宋_GB2312" w:eastAsia="仿宋_GB2312" w:cs="仿宋_GB2312"/>
                <w:color w:val="auto"/>
                <w:sz w:val="24"/>
                <w:szCs w:val="24"/>
                <w:highlight w:val="none"/>
              </w:rPr>
            </w:pPr>
          </w:p>
        </w:tc>
      </w:tr>
    </w:tbl>
    <w:p>
      <w:pPr>
        <w:spacing w:line="360" w:lineRule="auto"/>
        <w:ind w:firstLine="482"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二</w:t>
      </w:r>
      <w:r>
        <w:rPr>
          <w:rFonts w:hint="eastAsia" w:ascii="仿宋_GB2312" w:hAnsi="仿宋_GB2312" w:eastAsia="仿宋_GB2312" w:cs="仿宋_GB2312"/>
          <w:b/>
          <w:color w:val="auto"/>
          <w:sz w:val="24"/>
          <w:szCs w:val="24"/>
          <w:highlight w:val="none"/>
        </w:rPr>
        <w:t>、招标其他要求：</w:t>
      </w:r>
    </w:p>
    <w:p>
      <w:pPr>
        <w:autoSpaceDE w:val="0"/>
        <w:autoSpaceDN w:val="0"/>
        <w:spacing w:line="360" w:lineRule="auto"/>
        <w:ind w:firstLine="480" w:firstLineChars="200"/>
        <w:rPr>
          <w:rFonts w:hint="eastAsia" w:ascii="仿宋_GB2312" w:hAnsi="仿宋_GB2312" w:eastAsia="仿宋_GB2312" w:cs="仿宋_GB2312"/>
          <w:strike w:val="0"/>
          <w:dstrike/>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lang w:val="zh-CN"/>
        </w:rPr>
        <w:t>.1.投标人应对每个指标项的偏离情况做应答，不得遗漏；投标文件中的技术参数指标必须真实。</w:t>
      </w:r>
    </w:p>
    <w:p>
      <w:pPr>
        <w:autoSpaceDE w:val="0"/>
        <w:autoSpaceDN w:val="0"/>
        <w:spacing w:line="360" w:lineRule="auto"/>
        <w:ind w:firstLine="482" w:firstLineChars="200"/>
        <w:rPr>
          <w:rFonts w:hint="eastAsia" w:ascii="仿宋_GB2312" w:hAnsi="仿宋_GB2312" w:eastAsia="仿宋_GB2312" w:cs="仿宋_GB2312"/>
          <w:b/>
          <w:color w:val="auto"/>
          <w:kern w:val="0"/>
          <w:sz w:val="24"/>
          <w:szCs w:val="24"/>
          <w:highlight w:val="none"/>
          <w:lang w:val="zh-CN"/>
        </w:rPr>
      </w:pPr>
      <w:r>
        <w:rPr>
          <w:rFonts w:hint="eastAsia" w:ascii="仿宋_GB2312" w:hAnsi="仿宋_GB2312" w:eastAsia="仿宋_GB2312" w:cs="仿宋_GB2312"/>
          <w:b/>
          <w:color w:val="auto"/>
          <w:kern w:val="0"/>
          <w:sz w:val="24"/>
          <w:szCs w:val="24"/>
          <w:highlight w:val="none"/>
          <w:lang w:val="en-US" w:eastAsia="zh-CN"/>
        </w:rPr>
        <w:t>2</w:t>
      </w:r>
      <w:r>
        <w:rPr>
          <w:rFonts w:hint="eastAsia" w:ascii="仿宋_GB2312" w:hAnsi="仿宋_GB2312" w:eastAsia="仿宋_GB2312" w:cs="仿宋_GB2312"/>
          <w:b/>
          <w:color w:val="auto"/>
          <w:kern w:val="0"/>
          <w:sz w:val="24"/>
          <w:szCs w:val="24"/>
          <w:highlight w:val="none"/>
          <w:lang w:val="zh-CN"/>
        </w:rPr>
        <w:t>.2.合同签订及交货期：</w:t>
      </w:r>
    </w:p>
    <w:p>
      <w:pPr>
        <w:autoSpaceDE w:val="0"/>
        <w:autoSpaceDN w:val="0"/>
        <w:spacing w:line="360" w:lineRule="auto"/>
        <w:ind w:firstLine="480" w:firstLineChars="200"/>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lang w:val="zh-CN"/>
        </w:rPr>
        <w:t>合同签订后20个工作日内到货，并由学校组织清点确认签收。5天内完成设备安装和调试。</w:t>
      </w:r>
    </w:p>
    <w:p>
      <w:pPr>
        <w:snapToGrid w:val="0"/>
        <w:spacing w:line="440" w:lineRule="exact"/>
        <w:ind w:firstLine="482" w:firstLineChars="200"/>
        <w:outlineLvl w:val="0"/>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lang w:val="en-US" w:eastAsia="zh-CN"/>
        </w:rPr>
        <w:t>2.</w:t>
      </w:r>
      <w:r>
        <w:rPr>
          <w:rFonts w:hint="eastAsia" w:ascii="仿宋_GB2312" w:hAnsi="仿宋_GB2312" w:eastAsia="仿宋_GB2312" w:cs="仿宋_GB2312"/>
          <w:b/>
          <w:color w:val="auto"/>
          <w:kern w:val="0"/>
          <w:sz w:val="24"/>
          <w:szCs w:val="24"/>
          <w:highlight w:val="none"/>
          <w:lang w:val="zh-CN"/>
        </w:rPr>
        <w:t>3.</w:t>
      </w:r>
      <w:r>
        <w:rPr>
          <w:rFonts w:hint="eastAsia" w:ascii="仿宋_GB2312" w:hAnsi="仿宋_GB2312" w:eastAsia="仿宋_GB2312" w:cs="仿宋_GB2312"/>
          <w:b/>
          <w:color w:val="auto"/>
          <w:kern w:val="0"/>
          <w:sz w:val="24"/>
          <w:szCs w:val="24"/>
          <w:highlight w:val="none"/>
        </w:rPr>
        <w:t xml:space="preserve"> 供货与安装调试服务：</w:t>
      </w:r>
    </w:p>
    <w:p>
      <w:pPr>
        <w:snapToGrid w:val="0"/>
        <w:spacing w:line="440" w:lineRule="exact"/>
        <w:ind w:firstLine="480" w:firstLineChars="200"/>
        <w:outlineLvl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按供货合同及采购人的具体要求在规定时间内将货物安全无损地送达指定现场，并协同采购人在现场对货物及附件进行逐一清点与质量初步检验合格。</w:t>
      </w:r>
    </w:p>
    <w:p>
      <w:pPr>
        <w:snapToGrid w:val="0"/>
        <w:spacing w:line="440" w:lineRule="exact"/>
        <w:ind w:firstLine="480" w:firstLineChars="200"/>
        <w:outlineLvl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按供货合同及采购人的具体要求在规定时间内高效率、高质量地完成现场安装调试服务，确保所有货物全部正常运行为止，确保采购人满意。</w:t>
      </w:r>
    </w:p>
    <w:p>
      <w:pPr>
        <w:snapToGrid w:val="0"/>
        <w:spacing w:line="440" w:lineRule="exact"/>
        <w:ind w:firstLine="482" w:firstLineChars="200"/>
        <w:outlineLvl w:val="0"/>
        <w:rPr>
          <w:rFonts w:hint="eastAsia" w:ascii="仿宋_GB2312" w:hAnsi="仿宋_GB2312" w:eastAsia="仿宋_GB2312" w:cs="仿宋_GB2312"/>
          <w:b/>
          <w:color w:val="auto"/>
          <w:kern w:val="0"/>
          <w:sz w:val="24"/>
          <w:szCs w:val="24"/>
          <w:highlight w:val="none"/>
          <w:lang w:val="zh-CN"/>
        </w:rPr>
      </w:pPr>
      <w:r>
        <w:rPr>
          <w:rFonts w:hint="eastAsia" w:ascii="仿宋_GB2312" w:hAnsi="仿宋_GB2312" w:eastAsia="仿宋_GB2312" w:cs="仿宋_GB2312"/>
          <w:b/>
          <w:color w:val="auto"/>
          <w:kern w:val="0"/>
          <w:sz w:val="24"/>
          <w:szCs w:val="24"/>
          <w:highlight w:val="none"/>
          <w:lang w:val="en-US" w:eastAsia="zh-CN"/>
        </w:rPr>
        <w:t>2</w:t>
      </w:r>
      <w:r>
        <w:rPr>
          <w:rFonts w:hint="eastAsia" w:ascii="仿宋_GB2312" w:hAnsi="仿宋_GB2312" w:eastAsia="仿宋_GB2312" w:cs="仿宋_GB2312"/>
          <w:b/>
          <w:color w:val="auto"/>
          <w:kern w:val="0"/>
          <w:sz w:val="24"/>
          <w:szCs w:val="24"/>
          <w:highlight w:val="none"/>
          <w:lang w:val="zh-CN"/>
        </w:rPr>
        <w:t>.4.质保期及售后服务要求：</w:t>
      </w:r>
    </w:p>
    <w:p>
      <w:pPr>
        <w:snapToGrid w:val="0"/>
        <w:spacing w:line="440" w:lineRule="exact"/>
        <w:ind w:firstLine="480" w:firstLineChars="200"/>
        <w:outlineLvl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lang w:val="zh-CN"/>
        </w:rPr>
        <w:t>.4.</w:t>
      </w:r>
      <w:r>
        <w:rPr>
          <w:rFonts w:hint="eastAsia" w:ascii="仿宋_GB2312" w:hAnsi="仿宋_GB2312" w:eastAsia="仿宋_GB2312" w:cs="仿宋_GB2312"/>
          <w:color w:val="auto"/>
          <w:kern w:val="0"/>
          <w:sz w:val="24"/>
          <w:szCs w:val="24"/>
          <w:highlight w:val="none"/>
        </w:rPr>
        <w:t>1质保期要求：服务器要求提供至少原厂</w:t>
      </w:r>
      <w:r>
        <w:rPr>
          <w:rFonts w:hint="eastAsia" w:ascii="仿宋_GB2312" w:hAnsi="仿宋_GB2312" w:eastAsia="仿宋_GB2312" w:cs="仿宋_GB2312"/>
          <w:b/>
          <w:color w:val="auto"/>
          <w:kern w:val="0"/>
          <w:sz w:val="24"/>
          <w:szCs w:val="24"/>
          <w:highlight w:val="none"/>
        </w:rPr>
        <w:t>叁年</w:t>
      </w:r>
      <w:r>
        <w:rPr>
          <w:rFonts w:hint="eastAsia" w:ascii="仿宋_GB2312" w:hAnsi="仿宋_GB2312" w:eastAsia="仿宋_GB2312" w:cs="仿宋_GB2312"/>
          <w:color w:val="auto"/>
          <w:kern w:val="0"/>
          <w:sz w:val="24"/>
          <w:szCs w:val="24"/>
          <w:highlight w:val="none"/>
        </w:rPr>
        <w:t>质保的保修。正式交付使用之日起为质保免费服务期，所有非人为损坏或设备自然损耗而引起的设备故障，由设备提供服务商统一负责质保，保修期内出现任何质量问题由</w:t>
      </w:r>
      <w:r>
        <w:rPr>
          <w:rFonts w:hint="eastAsia" w:ascii="仿宋_GB2312" w:hAnsi="仿宋_GB2312" w:eastAsia="仿宋_GB2312" w:cs="仿宋_GB2312"/>
          <w:color w:val="auto"/>
          <w:kern w:val="0"/>
          <w:sz w:val="24"/>
          <w:szCs w:val="24"/>
          <w:highlight w:val="none"/>
          <w:lang w:val="en-US" w:eastAsia="zh-CN"/>
        </w:rPr>
        <w:t>投标人</w:t>
      </w:r>
      <w:r>
        <w:rPr>
          <w:rFonts w:hint="eastAsia" w:ascii="仿宋_GB2312" w:hAnsi="仿宋_GB2312" w:eastAsia="仿宋_GB2312" w:cs="仿宋_GB2312"/>
          <w:color w:val="auto"/>
          <w:kern w:val="0"/>
          <w:sz w:val="24"/>
          <w:szCs w:val="24"/>
          <w:highlight w:val="none"/>
        </w:rPr>
        <w:t>免费上门维修；免费技术咨询等服务。</w:t>
      </w:r>
    </w:p>
    <w:p>
      <w:pPr>
        <w:adjustRightInd/>
        <w:snapToGrid w:val="0"/>
        <w:spacing w:line="440" w:lineRule="exact"/>
        <w:ind w:left="143" w:leftChars="68" w:firstLine="240" w:firstLineChars="100"/>
        <w:outlineLvl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.4.2技术支持要求：质保期内接到采购人报修电话后</w:t>
      </w:r>
      <w:r>
        <w:rPr>
          <w:rFonts w:hint="eastAsia" w:ascii="仿宋_GB2312" w:hAnsi="仿宋_GB2312" w:eastAsia="仿宋_GB2312" w:cs="仿宋_GB2312"/>
          <w:color w:val="auto"/>
          <w:kern w:val="0"/>
          <w:sz w:val="24"/>
          <w:szCs w:val="24"/>
          <w:highlight w:val="none"/>
          <w:lang w:val="en-US" w:eastAsia="zh-CN"/>
        </w:rPr>
        <w:t>投标人</w:t>
      </w:r>
      <w:r>
        <w:rPr>
          <w:rFonts w:hint="eastAsia" w:ascii="仿宋_GB2312" w:hAnsi="仿宋_GB2312" w:eastAsia="仿宋_GB2312" w:cs="仿宋_GB2312"/>
          <w:color w:val="auto"/>
          <w:kern w:val="0"/>
          <w:sz w:val="24"/>
          <w:szCs w:val="24"/>
          <w:highlight w:val="none"/>
        </w:rPr>
        <w:t>免费上门服务，7*24小时电话支持，2小时内响应，4小时内到达现场，24小时内解决问题，若设备故障在检修24小时后仍无法排除，应当免费提供不低于故障设备规格型号档次的备用设备供采购人使用，直至故障修复；质保期内，如有因产品质量问题引起的备/配件破损，维修时只收取成本费，不得收取其他费用；质保期后，服务商承诺终身免人工费维修服务。</w:t>
      </w:r>
    </w:p>
    <w:p>
      <w:pPr>
        <w:autoSpaceDE w:val="0"/>
        <w:autoSpaceDN w:val="0"/>
        <w:spacing w:line="360" w:lineRule="auto"/>
        <w:ind w:firstLine="480" w:firstLineChars="200"/>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.4.3培训要求：设备安装验收后，中标方必须免费对</w:t>
      </w:r>
      <w:r>
        <w:rPr>
          <w:rFonts w:hint="eastAsia" w:ascii="仿宋_GB2312" w:hAnsi="仿宋_GB2312" w:eastAsia="仿宋_GB2312" w:cs="仿宋_GB2312"/>
          <w:color w:val="auto"/>
          <w:kern w:val="0"/>
          <w:sz w:val="24"/>
          <w:szCs w:val="24"/>
          <w:highlight w:val="none"/>
          <w:lang w:val="en-US" w:eastAsia="zh-CN"/>
        </w:rPr>
        <w:t>采购人</w:t>
      </w:r>
      <w:r>
        <w:rPr>
          <w:rFonts w:hint="eastAsia" w:ascii="仿宋_GB2312" w:hAnsi="仿宋_GB2312" w:eastAsia="仿宋_GB2312" w:cs="仿宋_GB2312"/>
          <w:color w:val="auto"/>
          <w:kern w:val="0"/>
          <w:sz w:val="24"/>
          <w:szCs w:val="24"/>
          <w:highlight w:val="none"/>
        </w:rPr>
        <w:t>提供操作技能培训，培训时间不少于7个工作日，确保招标方相关教师熟练掌握设备的使用方法和技能。</w:t>
      </w:r>
    </w:p>
    <w:p>
      <w:pPr>
        <w:autoSpaceDE w:val="0"/>
        <w:autoSpaceDN w:val="0"/>
        <w:spacing w:line="360" w:lineRule="auto"/>
        <w:ind w:firstLine="482" w:firstLineChars="200"/>
        <w:rPr>
          <w:rFonts w:hint="eastAsia" w:ascii="仿宋_GB2312" w:hAnsi="仿宋_GB2312" w:eastAsia="仿宋_GB2312" w:cs="仿宋_GB2312"/>
          <w:b/>
          <w:color w:val="auto"/>
          <w:kern w:val="0"/>
          <w:sz w:val="24"/>
          <w:szCs w:val="24"/>
          <w:highlight w:val="none"/>
          <w:lang w:val="zh-CN"/>
        </w:rPr>
      </w:pPr>
      <w:r>
        <w:rPr>
          <w:rFonts w:hint="eastAsia" w:ascii="仿宋_GB2312" w:hAnsi="仿宋_GB2312" w:eastAsia="仿宋_GB2312" w:cs="仿宋_GB2312"/>
          <w:b/>
          <w:color w:val="auto"/>
          <w:kern w:val="0"/>
          <w:sz w:val="24"/>
          <w:szCs w:val="24"/>
          <w:highlight w:val="none"/>
          <w:lang w:val="en-US" w:eastAsia="zh-CN"/>
        </w:rPr>
        <w:t>2</w:t>
      </w:r>
      <w:r>
        <w:rPr>
          <w:rFonts w:hint="eastAsia" w:ascii="仿宋_GB2312" w:hAnsi="仿宋_GB2312" w:eastAsia="仿宋_GB2312" w:cs="仿宋_GB2312"/>
          <w:b/>
          <w:color w:val="auto"/>
          <w:kern w:val="0"/>
          <w:sz w:val="24"/>
          <w:szCs w:val="24"/>
          <w:highlight w:val="none"/>
          <w:lang w:val="zh-CN"/>
        </w:rPr>
        <w:t>.5.付款说明：</w:t>
      </w:r>
    </w:p>
    <w:p>
      <w:pPr>
        <w:spacing w:line="360" w:lineRule="auto"/>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按《绍兴市财政局关于进一步发挥政府采购政策 功能全力推动经济稳进提质的通知》（浙财采监〔2022〕3号）等文件要求执行，具体付款方式由双方协商后在合同中明确。</w:t>
      </w:r>
    </w:p>
    <w:p>
      <w:pPr>
        <w:spacing w:line="360" w:lineRule="auto"/>
        <w:ind w:firstLine="482"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三</w:t>
      </w:r>
      <w:r>
        <w:rPr>
          <w:rFonts w:hint="eastAsia" w:ascii="仿宋_GB2312" w:hAnsi="仿宋_GB2312" w:eastAsia="仿宋_GB2312" w:cs="仿宋_GB2312"/>
          <w:b/>
          <w:color w:val="auto"/>
          <w:sz w:val="24"/>
          <w:szCs w:val="24"/>
          <w:highlight w:val="none"/>
        </w:rPr>
        <w:t>、相关说明：</w:t>
      </w:r>
    </w:p>
    <w:p>
      <w:pPr>
        <w:snapToGrid w:val="0"/>
        <w:spacing w:line="440" w:lineRule="exact"/>
        <w:ind w:left="142" w:firstLine="480" w:firstLineChars="200"/>
        <w:outlineLvl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rPr>
        <w:t xml:space="preserve"> 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中</w:t>
      </w:r>
      <w:r>
        <w:rPr>
          <w:rFonts w:hint="eastAsia" w:ascii="仿宋_GB2312" w:hAnsi="仿宋_GB2312" w:eastAsia="仿宋_GB2312" w:cs="仿宋_GB2312"/>
          <w:color w:val="auto"/>
          <w:kern w:val="0"/>
          <w:sz w:val="24"/>
          <w:szCs w:val="24"/>
          <w:highlight w:val="none"/>
          <w:lang w:val="en-US" w:eastAsia="zh-CN"/>
        </w:rPr>
        <w:t>投标人</w:t>
      </w:r>
      <w:r>
        <w:rPr>
          <w:rFonts w:hint="eastAsia" w:ascii="仿宋_GB2312" w:hAnsi="仿宋_GB2312" w:eastAsia="仿宋_GB2312" w:cs="仿宋_GB2312"/>
          <w:color w:val="auto"/>
          <w:kern w:val="0"/>
          <w:sz w:val="24"/>
          <w:szCs w:val="24"/>
          <w:highlight w:val="none"/>
        </w:rPr>
        <w:t>予以补足，不再另行结算。</w:t>
      </w:r>
    </w:p>
    <w:p>
      <w:pPr>
        <w:snapToGrid w:val="0"/>
        <w:spacing w:line="440" w:lineRule="exact"/>
        <w:ind w:left="142" w:firstLine="480" w:firstLineChars="200"/>
        <w:outlineLvl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以上技术要求（规格）只是对设备的一些原则性要求，并不是详尽的要求，</w:t>
      </w:r>
      <w:r>
        <w:rPr>
          <w:rFonts w:hint="eastAsia" w:ascii="仿宋_GB2312" w:hAnsi="仿宋_GB2312" w:eastAsia="仿宋_GB2312" w:cs="仿宋_GB2312"/>
          <w:color w:val="auto"/>
          <w:kern w:val="0"/>
          <w:sz w:val="24"/>
          <w:szCs w:val="24"/>
          <w:highlight w:val="none"/>
          <w:lang w:val="en-US" w:eastAsia="zh-CN"/>
        </w:rPr>
        <w:t>投标人</w:t>
      </w:r>
      <w:r>
        <w:rPr>
          <w:rFonts w:hint="eastAsia" w:ascii="仿宋_GB2312" w:hAnsi="仿宋_GB2312" w:eastAsia="仿宋_GB2312" w:cs="仿宋_GB2312"/>
          <w:color w:val="auto"/>
          <w:kern w:val="0"/>
          <w:sz w:val="24"/>
          <w:szCs w:val="24"/>
          <w:highlight w:val="none"/>
        </w:rPr>
        <w:t>有责任对设计符合技术规范、标准负责。</w:t>
      </w:r>
      <w:r>
        <w:rPr>
          <w:rFonts w:hint="eastAsia" w:ascii="仿宋_GB2312" w:hAnsi="仿宋_GB2312" w:eastAsia="仿宋_GB2312" w:cs="仿宋_GB2312"/>
          <w:color w:val="auto"/>
          <w:kern w:val="0"/>
          <w:sz w:val="24"/>
          <w:szCs w:val="24"/>
          <w:highlight w:val="none"/>
          <w:lang w:val="en-US" w:eastAsia="zh-CN"/>
        </w:rPr>
        <w:t>投标人</w:t>
      </w:r>
      <w:r>
        <w:rPr>
          <w:rFonts w:hint="eastAsia" w:ascii="仿宋_GB2312" w:hAnsi="仿宋_GB2312" w:eastAsia="仿宋_GB2312" w:cs="仿宋_GB2312"/>
          <w:color w:val="auto"/>
          <w:kern w:val="0"/>
          <w:sz w:val="24"/>
          <w:szCs w:val="24"/>
          <w:highlight w:val="none"/>
        </w:rPr>
        <w:t>应对投标内容所涉及的专利承担责任，并负责保护采购人的利益不受任何损害。一切由于文字、商标、技术专利引起的法律裁决、诉讼和费用均与采购人无关。</w:t>
      </w:r>
    </w:p>
    <w:p>
      <w:pPr>
        <w:snapToGrid w:val="0"/>
        <w:spacing w:line="440" w:lineRule="exact"/>
        <w:ind w:left="142" w:firstLine="480" w:firstLineChars="200"/>
        <w:outlineLvl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投标人须按国家有关规定及标准完成本次采购设备的供货、运输、装卸、检验、通过有关部门验收、维保期上门服务、设备终身维修等各项工作，并保证设备使用的安全性能与检测结果的可靠性。</w:t>
      </w:r>
    </w:p>
    <w:p>
      <w:pPr>
        <w:snapToGrid w:val="0"/>
        <w:spacing w:line="440" w:lineRule="exact"/>
        <w:ind w:left="142" w:firstLine="480" w:firstLineChars="200"/>
        <w:outlineLvl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4</w:t>
      </w:r>
      <w:r>
        <w:rPr>
          <w:rFonts w:hint="eastAsia" w:ascii="仿宋_GB2312" w:hAnsi="仿宋_GB2312" w:eastAsia="仿宋_GB2312" w:cs="仿宋_GB2312"/>
          <w:color w:val="auto"/>
          <w:kern w:val="0"/>
          <w:sz w:val="24"/>
          <w:szCs w:val="24"/>
          <w:highlight w:val="none"/>
        </w:rPr>
        <w:t>投标人所提供的产品必须符合我国现行的产品认证制度规定，并满足采购人提出的产品技术要求。必须是厂商原装全新产品，配置与装箱单相符；数量、质量及性能不低于本标书中提出的要求。</w:t>
      </w:r>
    </w:p>
    <w:p>
      <w:pPr>
        <w:snapToGrid w:val="0"/>
        <w:spacing w:line="440" w:lineRule="exact"/>
        <w:ind w:left="142" w:firstLine="480" w:firstLineChars="200"/>
        <w:outlineLvl w:val="0"/>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lang w:val="en-US" w:eastAsia="zh-CN"/>
        </w:rPr>
        <w:t>3.5</w:t>
      </w:r>
      <w:r>
        <w:rPr>
          <w:rFonts w:hint="eastAsia" w:ascii="仿宋_GB2312" w:hAnsi="仿宋_GB2312" w:eastAsia="仿宋_GB2312" w:cs="仿宋_GB2312"/>
          <w:color w:val="auto"/>
          <w:kern w:val="0"/>
          <w:sz w:val="24"/>
          <w:szCs w:val="24"/>
          <w:highlight w:val="none"/>
        </w:rPr>
        <w:t>★本项目所采购服务器应满足《通用服务器政府采购需求标准（2023年版）》（财库〔2023〕33号）等文件要求，所采购CPU、操作系统等应当符合安全可靠测评要求，</w:t>
      </w:r>
      <w:r>
        <w:rPr>
          <w:rFonts w:hint="eastAsia" w:ascii="仿宋_GB2312" w:hAnsi="仿宋_GB2312" w:eastAsia="仿宋_GB2312" w:cs="仿宋_GB2312"/>
          <w:color w:val="auto"/>
          <w:kern w:val="0"/>
          <w:sz w:val="24"/>
          <w:szCs w:val="24"/>
          <w:highlight w:val="none"/>
          <w:lang w:val="en-US" w:eastAsia="zh-CN"/>
        </w:rPr>
        <w:t>投标人</w:t>
      </w:r>
      <w:r>
        <w:rPr>
          <w:rFonts w:hint="eastAsia" w:ascii="仿宋_GB2312" w:hAnsi="仿宋_GB2312" w:eastAsia="仿宋_GB2312" w:cs="仿宋_GB2312"/>
          <w:color w:val="auto"/>
          <w:kern w:val="0"/>
          <w:sz w:val="24"/>
          <w:szCs w:val="24"/>
          <w:highlight w:val="none"/>
        </w:rPr>
        <w:t>投标时承诺所投产品满足上述要求，提供承诺函（格式自拟）</w:t>
      </w:r>
      <w:r>
        <w:rPr>
          <w:rFonts w:hint="eastAsia" w:ascii="仿宋_GB2312" w:hAnsi="仿宋_GB2312" w:eastAsia="仿宋_GB2312" w:cs="仿宋_GB2312"/>
          <w:color w:val="auto"/>
          <w:kern w:val="0"/>
          <w:sz w:val="24"/>
          <w:szCs w:val="24"/>
          <w:highlight w:val="none"/>
          <w:lang w:eastAsia="zh-CN"/>
        </w:rPr>
        <w:t>，未提供作无效投标处理</w:t>
      </w:r>
      <w:r>
        <w:rPr>
          <w:rFonts w:hint="eastAsia" w:ascii="仿宋_GB2312" w:hAnsi="仿宋_GB2312" w:eastAsia="仿宋_GB2312" w:cs="仿宋_GB2312"/>
          <w:color w:val="auto"/>
          <w:kern w:val="0"/>
          <w:sz w:val="24"/>
          <w:szCs w:val="24"/>
          <w:highlight w:val="none"/>
        </w:rPr>
        <w:t>。</w:t>
      </w:r>
    </w:p>
    <w:p>
      <w:pPr>
        <w:tabs>
          <w:tab w:val="left" w:pos="3870"/>
          <w:tab w:val="left" w:pos="4085"/>
        </w:tabs>
        <w:autoSpaceDE w:val="0"/>
        <w:autoSpaceDN w:val="0"/>
        <w:adjustRightInd w:val="0"/>
        <w:spacing w:line="440" w:lineRule="exact"/>
        <w:ind w:left="180" w:hanging="180" w:hangingChars="75"/>
        <w:jc w:val="left"/>
        <w:rPr>
          <w:rFonts w:ascii="仿宋_GB2312" w:hAnsi="宋体" w:eastAsia="仿宋_GB2312"/>
          <w:color w:val="auto"/>
          <w:sz w:val="24"/>
          <w:highlight w:val="non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9" w:name="_Toc2232"/>
      <w:bookmarkStart w:id="10" w:name="_Toc3029"/>
      <w:bookmarkStart w:id="11" w:name="_Toc24059"/>
      <w:r>
        <w:rPr>
          <w:rFonts w:hint="eastAsia" w:ascii="仿宋_GB2312" w:hAnsi="仿宋" w:eastAsia="仿宋_GB2312" w:cs="仿宋"/>
          <w:b/>
          <w:color w:val="auto"/>
          <w:sz w:val="24"/>
          <w:highlight w:val="none"/>
        </w:rPr>
        <w:t>1.1 合同组成部分</w:t>
      </w:r>
      <w:bookmarkEnd w:id="9"/>
      <w:bookmarkEnd w:id="10"/>
      <w:bookmarkEnd w:id="1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2" w:name="_Toc21295"/>
      <w:bookmarkStart w:id="13" w:name="_Toc24300"/>
      <w:bookmarkStart w:id="14" w:name="_Toc27126"/>
      <w:r>
        <w:rPr>
          <w:rFonts w:hint="eastAsia" w:ascii="仿宋_GB2312" w:hAnsi="仿宋" w:eastAsia="仿宋_GB2312" w:cs="仿宋"/>
          <w:b/>
          <w:color w:val="auto"/>
          <w:sz w:val="24"/>
          <w:highlight w:val="none"/>
        </w:rPr>
        <w:t>1.2 货物</w:t>
      </w:r>
      <w:bookmarkEnd w:id="12"/>
      <w:bookmarkEnd w:id="13"/>
      <w:bookmarkEnd w:id="14"/>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5" w:name="_Toc21551"/>
      <w:bookmarkStart w:id="16" w:name="_Toc23292"/>
      <w:bookmarkStart w:id="17" w:name="_Toc21631"/>
      <w:r>
        <w:rPr>
          <w:rFonts w:hint="eastAsia" w:ascii="仿宋_GB2312" w:hAnsi="仿宋" w:eastAsia="仿宋_GB2312" w:cs="仿宋"/>
          <w:b/>
          <w:color w:val="auto"/>
          <w:sz w:val="24"/>
          <w:highlight w:val="none"/>
        </w:rPr>
        <w:t>1.3 价款</w:t>
      </w:r>
      <w:bookmarkEnd w:id="15"/>
      <w:bookmarkEnd w:id="16"/>
      <w:bookmarkEnd w:id="1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18" w:name="_Toc1814"/>
      <w:bookmarkStart w:id="19" w:name="_Toc22618"/>
      <w:bookmarkStart w:id="20" w:name="_Toc10340"/>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18"/>
      <w:bookmarkEnd w:id="19"/>
      <w:bookmarkEnd w:id="20"/>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1" w:name="_Toc2846"/>
      <w:bookmarkStart w:id="22" w:name="_Toc32071"/>
      <w:bookmarkStart w:id="23" w:name="_Toc19304"/>
      <w:r>
        <w:rPr>
          <w:rFonts w:hint="eastAsia" w:ascii="仿宋_GB2312" w:hAnsi="仿宋" w:eastAsia="仿宋_GB2312" w:cs="仿宋"/>
          <w:b/>
          <w:color w:val="auto"/>
          <w:sz w:val="24"/>
          <w:highlight w:val="none"/>
        </w:rPr>
        <w:t>1.7货物交付期限、地点和方式</w:t>
      </w:r>
      <w:bookmarkEnd w:id="21"/>
      <w:bookmarkEnd w:id="22"/>
      <w:bookmarkEnd w:id="23"/>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4" w:name="_Toc21423"/>
      <w:bookmarkStart w:id="25" w:name="_Toc27250"/>
      <w:bookmarkStart w:id="26" w:name="_Toc19554"/>
      <w:r>
        <w:rPr>
          <w:rFonts w:hint="eastAsia" w:ascii="仿宋_GB2312" w:hAnsi="仿宋" w:eastAsia="仿宋_GB2312" w:cs="仿宋"/>
          <w:b/>
          <w:color w:val="auto"/>
          <w:sz w:val="24"/>
          <w:highlight w:val="none"/>
        </w:rPr>
        <w:t>1.8违约责任</w:t>
      </w:r>
      <w:bookmarkEnd w:id="24"/>
      <w:bookmarkEnd w:id="25"/>
      <w:bookmarkEnd w:id="2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27" w:name="_Toc16021"/>
      <w:bookmarkStart w:id="28" w:name="_Toc15583"/>
      <w:bookmarkStart w:id="29" w:name="_Toc28375"/>
      <w:r>
        <w:rPr>
          <w:rFonts w:hint="eastAsia" w:ascii="仿宋_GB2312" w:hAnsi="仿宋" w:eastAsia="仿宋_GB2312" w:cs="仿宋"/>
          <w:b/>
          <w:color w:val="auto"/>
          <w:sz w:val="24"/>
          <w:highlight w:val="none"/>
        </w:rPr>
        <w:t>1.9合同争议的解决</w:t>
      </w:r>
      <w:bookmarkEnd w:id="27"/>
      <w:bookmarkEnd w:id="28"/>
      <w:bookmarkEnd w:id="29"/>
    </w:p>
    <w:p>
      <w:pPr>
        <w:spacing w:line="560" w:lineRule="exact"/>
        <w:ind w:left="-61" w:leftChars="-29" w:right="-420" w:rightChars="-200" w:firstLine="240" w:firstLineChars="1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560" w:lineRule="exact"/>
        <w:ind w:firstLine="482" w:firstLineChars="200"/>
        <w:outlineLvl w:val="0"/>
        <w:rPr>
          <w:rFonts w:ascii="仿宋_GB2312" w:hAnsi="仿宋" w:eastAsia="仿宋_GB2312" w:cs="仿宋"/>
          <w:b/>
          <w:color w:val="auto"/>
          <w:sz w:val="24"/>
          <w:highlight w:val="none"/>
        </w:rPr>
      </w:pPr>
      <w:bookmarkStart w:id="30" w:name="_Toc11173"/>
      <w:bookmarkStart w:id="31" w:name="_Toc7245"/>
      <w:bookmarkStart w:id="32" w:name="_Toc15322"/>
      <w:r>
        <w:rPr>
          <w:rFonts w:hint="eastAsia" w:ascii="仿宋_GB2312" w:hAnsi="仿宋" w:eastAsia="仿宋_GB2312" w:cs="仿宋"/>
          <w:b/>
          <w:color w:val="auto"/>
          <w:sz w:val="24"/>
          <w:highlight w:val="none"/>
        </w:rPr>
        <w:t>2.0 合同生效</w:t>
      </w:r>
      <w:bookmarkEnd w:id="30"/>
      <w:bookmarkEnd w:id="31"/>
      <w:bookmarkEnd w:id="32"/>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3" w:name="_Ref467379195"/>
      <w:bookmarkStart w:id="34" w:name="_Ref467379101"/>
      <w:bookmarkStart w:id="35" w:name="_Ref467378499"/>
      <w:bookmarkStart w:id="36" w:name="_Ref467379094"/>
      <w:bookmarkStart w:id="37" w:name="_Ref467378404"/>
      <w:bookmarkStart w:id="38" w:name="_Toc19614"/>
      <w:bookmarkStart w:id="39" w:name="_Ref467379214"/>
      <w:bookmarkStart w:id="40" w:name="_Ref467378463"/>
      <w:bookmarkStart w:id="41" w:name="_Ref467379225"/>
      <w:bookmarkStart w:id="42" w:name="_Toc28763"/>
      <w:bookmarkStart w:id="43" w:name="_Toc259093669"/>
      <w:bookmarkStart w:id="44" w:name="_Ref467379109"/>
      <w:bookmarkStart w:id="45" w:name="_Toc16917"/>
      <w:bookmarkStart w:id="46" w:name="_Toc279701240"/>
      <w:bookmarkStart w:id="47" w:name="_Ref467379205"/>
      <w:bookmarkStart w:id="48" w:name="_Toc487900349"/>
      <w:r>
        <w:rPr>
          <w:rFonts w:hint="eastAsia" w:ascii="仿宋_GB2312" w:hAnsi="仿宋" w:eastAsia="仿宋_GB2312" w:cs="仿宋"/>
          <w:b/>
          <w:color w:val="auto"/>
          <w:sz w:val="24"/>
          <w:highlight w:val="none"/>
        </w:rPr>
        <w:t>2.1 定义</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49" w:name="_Ref467378840"/>
      <w:r>
        <w:rPr>
          <w:rFonts w:hint="eastAsia" w:ascii="仿宋_GB2312" w:hAnsi="仿宋" w:eastAsia="仿宋_GB2312" w:cs="仿宋"/>
          <w:color w:val="auto"/>
          <w:sz w:val="24"/>
          <w:highlight w:val="none"/>
        </w:rPr>
        <w:t>2.1.4 “甲方”系指与中标或成交供应商签署合同的采购人</w:t>
      </w:r>
      <w:bookmarkEnd w:id="49"/>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0" w:name="_Ref467379400"/>
      <w:r>
        <w:rPr>
          <w:rFonts w:hint="eastAsia" w:ascii="仿宋_GB2312" w:hAnsi="仿宋" w:eastAsia="仿宋_GB2312" w:cs="仿宋"/>
          <w:color w:val="auto"/>
          <w:sz w:val="24"/>
          <w:highlight w:val="none"/>
        </w:rPr>
        <w:t>2.1.5 “乙方”系指根据合同约定交付货物的中标或成交供应商</w:t>
      </w:r>
      <w:bookmarkEnd w:id="50"/>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1" w:name="_Ref467379436"/>
      <w:r>
        <w:rPr>
          <w:rFonts w:hint="eastAsia" w:ascii="仿宋_GB2312" w:hAnsi="仿宋" w:eastAsia="仿宋_GB2312" w:cs="仿宋"/>
          <w:color w:val="auto"/>
          <w:sz w:val="24"/>
          <w:highlight w:val="none"/>
        </w:rPr>
        <w:t>2.1.6 “现场”系指合同约定货物将要运至或者安装的地点。</w:t>
      </w:r>
      <w:bookmarkEnd w:id="51"/>
    </w:p>
    <w:p>
      <w:pPr>
        <w:spacing w:line="560" w:lineRule="exact"/>
        <w:ind w:firstLine="482" w:firstLineChars="200"/>
        <w:outlineLvl w:val="0"/>
        <w:rPr>
          <w:rFonts w:ascii="仿宋_GB2312" w:hAnsi="仿宋" w:eastAsia="仿宋_GB2312" w:cs="仿宋"/>
          <w:b/>
          <w:color w:val="auto"/>
          <w:sz w:val="24"/>
          <w:highlight w:val="none"/>
        </w:rPr>
      </w:pPr>
      <w:bookmarkStart w:id="52" w:name="_Toc27635"/>
      <w:bookmarkStart w:id="53" w:name="_Toc279701241"/>
      <w:bookmarkStart w:id="54" w:name="_Toc259093670"/>
      <w:bookmarkStart w:id="55" w:name="_Toc32504"/>
      <w:bookmarkStart w:id="56" w:name="_Toc487900350"/>
      <w:bookmarkStart w:id="57" w:name="_Toc13336"/>
      <w:r>
        <w:rPr>
          <w:rFonts w:hint="eastAsia" w:ascii="仿宋_GB2312" w:hAnsi="仿宋" w:eastAsia="仿宋_GB2312" w:cs="仿宋"/>
          <w:b/>
          <w:color w:val="auto"/>
          <w:sz w:val="24"/>
          <w:highlight w:val="none"/>
        </w:rPr>
        <w:t>2.2 技术规范</w:t>
      </w:r>
      <w:bookmarkEnd w:id="52"/>
      <w:bookmarkEnd w:id="53"/>
      <w:bookmarkEnd w:id="54"/>
      <w:bookmarkEnd w:id="55"/>
      <w:bookmarkEnd w:id="56"/>
      <w:bookmarkEnd w:id="5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58" w:name="_Toc259093671"/>
      <w:bookmarkStart w:id="59" w:name="_Toc279701242"/>
      <w:bookmarkStart w:id="60" w:name="_Toc487900351"/>
      <w:bookmarkStart w:id="61" w:name="_Toc9829"/>
      <w:bookmarkStart w:id="62" w:name="_Toc27853"/>
      <w:bookmarkStart w:id="63" w:name="_Toc31634"/>
      <w:r>
        <w:rPr>
          <w:rFonts w:hint="eastAsia" w:ascii="仿宋_GB2312" w:hAnsi="仿宋" w:eastAsia="仿宋_GB2312" w:cs="仿宋"/>
          <w:b/>
          <w:color w:val="auto"/>
          <w:sz w:val="24"/>
          <w:highlight w:val="none"/>
        </w:rPr>
        <w:t>2.3 知识产权</w:t>
      </w:r>
      <w:bookmarkEnd w:id="58"/>
      <w:bookmarkEnd w:id="59"/>
      <w:bookmarkEnd w:id="60"/>
      <w:bookmarkEnd w:id="61"/>
      <w:bookmarkEnd w:id="62"/>
      <w:bookmarkEnd w:id="6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4" w:name="_Toc29149"/>
      <w:bookmarkStart w:id="65" w:name="_Toc11932"/>
      <w:bookmarkStart w:id="66" w:name="_Toc4194"/>
      <w:r>
        <w:rPr>
          <w:rFonts w:hint="eastAsia" w:ascii="仿宋_GB2312" w:hAnsi="仿宋" w:eastAsia="仿宋_GB2312" w:cs="仿宋"/>
          <w:b/>
          <w:color w:val="auto"/>
          <w:sz w:val="24"/>
          <w:highlight w:val="none"/>
        </w:rPr>
        <w:t>2.4 包装和装运</w:t>
      </w:r>
      <w:bookmarkEnd w:id="64"/>
      <w:bookmarkEnd w:id="65"/>
      <w:bookmarkEnd w:id="6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7" w:name="_Toc487900354"/>
      <w:bookmarkStart w:id="68" w:name="_Toc259093674"/>
      <w:bookmarkStart w:id="69" w:name="_Ref467379542"/>
      <w:bookmarkStart w:id="70" w:name="_Ref467378541"/>
      <w:bookmarkStart w:id="71" w:name="_Ref467379536"/>
      <w:bookmarkStart w:id="72" w:name="_Ref467378591"/>
      <w:bookmarkStart w:id="73" w:name="_Toc279701245"/>
      <w:bookmarkStart w:id="74" w:name="_Ref467379527"/>
      <w:bookmarkStart w:id="75" w:name="_Toc26182"/>
      <w:bookmarkStart w:id="76" w:name="_Toc30272"/>
      <w:bookmarkStart w:id="77" w:name="_Toc19074"/>
      <w:r>
        <w:rPr>
          <w:rFonts w:hint="eastAsia" w:ascii="仿宋_GB2312" w:hAnsi="仿宋" w:eastAsia="仿宋_GB2312" w:cs="仿宋"/>
          <w:b/>
          <w:color w:val="auto"/>
          <w:sz w:val="24"/>
          <w:highlight w:val="none"/>
        </w:rPr>
        <w:t>2.</w:t>
      </w:r>
      <w:bookmarkEnd w:id="67"/>
      <w:bookmarkEnd w:id="68"/>
      <w:bookmarkEnd w:id="69"/>
      <w:bookmarkEnd w:id="70"/>
      <w:bookmarkEnd w:id="71"/>
      <w:bookmarkEnd w:id="72"/>
      <w:bookmarkEnd w:id="73"/>
      <w:bookmarkEnd w:id="74"/>
      <w:r>
        <w:rPr>
          <w:rFonts w:hint="eastAsia" w:ascii="仿宋_GB2312" w:hAnsi="仿宋" w:eastAsia="仿宋_GB2312" w:cs="仿宋"/>
          <w:b/>
          <w:color w:val="auto"/>
          <w:sz w:val="24"/>
          <w:highlight w:val="none"/>
        </w:rPr>
        <w:t>5 履约检查和问题反馈</w:t>
      </w:r>
      <w:bookmarkEnd w:id="75"/>
      <w:bookmarkEnd w:id="76"/>
      <w:bookmarkEnd w:id="77"/>
    </w:p>
    <w:p>
      <w:pPr>
        <w:spacing w:line="560" w:lineRule="exact"/>
        <w:ind w:firstLine="480" w:firstLineChars="200"/>
        <w:rPr>
          <w:rFonts w:ascii="仿宋_GB2312" w:hAnsi="仿宋" w:eastAsia="仿宋_GB2312" w:cs="仿宋"/>
          <w:color w:val="auto"/>
          <w:sz w:val="24"/>
          <w:highlight w:val="none"/>
        </w:rPr>
      </w:pPr>
      <w:bookmarkStart w:id="78" w:name="_Ref467379657"/>
      <w:r>
        <w:rPr>
          <w:rFonts w:hint="eastAsia" w:ascii="仿宋_GB2312" w:hAnsi="仿宋" w:eastAsia="仿宋_GB2312" w:cs="仿宋"/>
          <w:color w:val="auto"/>
          <w:sz w:val="24"/>
          <w:highlight w:val="none"/>
        </w:rPr>
        <w:t>2.5.1</w:t>
      </w:r>
      <w:bookmarkEnd w:id="78"/>
      <w:bookmarkStart w:id="79" w:name="_Toc186431854"/>
      <w:bookmarkStart w:id="80" w:name="_Ref467379793"/>
      <w:bookmarkStart w:id="81" w:name="_Ref467379807"/>
      <w:bookmarkStart w:id="82" w:name="_Toc487900357"/>
      <w:bookmarkStart w:id="83" w:name="_Toc259093676"/>
      <w:bookmarkStart w:id="84" w:name="_Toc27970124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79"/>
      <w:bookmarkStart w:id="85" w:name="_Toc186431855"/>
      <w:r>
        <w:rPr>
          <w:rFonts w:hint="eastAsia" w:ascii="仿宋_GB2312" w:hAnsi="仿宋" w:eastAsia="仿宋_GB2312" w:cs="仿宋"/>
          <w:color w:val="auto"/>
          <w:sz w:val="24"/>
          <w:highlight w:val="none"/>
        </w:rPr>
        <w:t>。</w:t>
      </w:r>
    </w:p>
    <w:bookmarkEnd w:id="80"/>
    <w:bookmarkEnd w:id="81"/>
    <w:bookmarkEnd w:id="82"/>
    <w:bookmarkEnd w:id="83"/>
    <w:bookmarkEnd w:id="84"/>
    <w:bookmarkEnd w:id="85"/>
    <w:p>
      <w:pPr>
        <w:spacing w:line="560" w:lineRule="exact"/>
        <w:ind w:firstLine="482" w:firstLineChars="200"/>
        <w:outlineLvl w:val="0"/>
        <w:rPr>
          <w:rFonts w:ascii="仿宋_GB2312" w:hAnsi="仿宋" w:eastAsia="仿宋_GB2312" w:cs="仿宋"/>
          <w:b/>
          <w:color w:val="auto"/>
          <w:sz w:val="24"/>
          <w:highlight w:val="none"/>
        </w:rPr>
      </w:pPr>
      <w:bookmarkStart w:id="86" w:name="_Toc487900358"/>
      <w:bookmarkStart w:id="87" w:name="_Ref467379863"/>
      <w:bookmarkStart w:id="88" w:name="_Ref467379923"/>
      <w:bookmarkStart w:id="89" w:name="_Ref467379852"/>
      <w:bookmarkStart w:id="90" w:name="_Toc259093677"/>
      <w:bookmarkStart w:id="91" w:name="_Toc279701248"/>
      <w:bookmarkStart w:id="92" w:name="_Toc774"/>
      <w:bookmarkStart w:id="93" w:name="_Toc16110"/>
      <w:bookmarkStart w:id="94" w:name="_Toc3225"/>
      <w:r>
        <w:rPr>
          <w:rFonts w:hint="eastAsia" w:ascii="仿宋_GB2312" w:hAnsi="仿宋" w:eastAsia="仿宋_GB2312" w:cs="仿宋"/>
          <w:b/>
          <w:color w:val="auto"/>
          <w:sz w:val="24"/>
          <w:highlight w:val="none"/>
        </w:rPr>
        <w:t>2.6 技术资料</w:t>
      </w:r>
      <w:bookmarkEnd w:id="86"/>
      <w:bookmarkEnd w:id="87"/>
      <w:bookmarkEnd w:id="88"/>
      <w:bookmarkEnd w:id="89"/>
      <w:bookmarkEnd w:id="90"/>
      <w:bookmarkEnd w:id="91"/>
      <w:r>
        <w:rPr>
          <w:rFonts w:hint="eastAsia" w:ascii="仿宋_GB2312" w:hAnsi="仿宋" w:eastAsia="仿宋_GB2312" w:cs="仿宋"/>
          <w:b/>
          <w:color w:val="auto"/>
          <w:sz w:val="24"/>
          <w:highlight w:val="none"/>
        </w:rPr>
        <w:t>和保密义务</w:t>
      </w:r>
      <w:bookmarkEnd w:id="92"/>
      <w:bookmarkEnd w:id="93"/>
      <w:bookmarkEnd w:id="9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5" w:name="_Toc7860"/>
      <w:r>
        <w:rPr>
          <w:rFonts w:hint="eastAsia" w:ascii="仿宋_GB2312" w:hAnsi="仿宋" w:eastAsia="仿宋_GB2312" w:cs="仿宋"/>
          <w:b/>
          <w:color w:val="auto"/>
          <w:sz w:val="24"/>
          <w:highlight w:val="none"/>
        </w:rPr>
        <w:t>2.7 质量保证</w:t>
      </w:r>
      <w:bookmarkEnd w:id="9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6" w:name="_Toc17244"/>
      <w:bookmarkStart w:id="97" w:name="_Toc279701252"/>
      <w:bookmarkStart w:id="98" w:name="_Toc259093681"/>
      <w:bookmarkStart w:id="99" w:name="_Toc487900362"/>
      <w:r>
        <w:rPr>
          <w:rFonts w:hint="eastAsia" w:ascii="仿宋_GB2312" w:hAnsi="仿宋" w:eastAsia="仿宋_GB2312" w:cs="仿宋"/>
          <w:b/>
          <w:color w:val="auto"/>
          <w:sz w:val="24"/>
          <w:highlight w:val="none"/>
        </w:rPr>
        <w:t>2.8 货物的风险负担</w:t>
      </w:r>
      <w:bookmarkEnd w:id="96"/>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0" w:name="_Toc14055"/>
      <w:r>
        <w:rPr>
          <w:rFonts w:hint="eastAsia" w:ascii="仿宋_GB2312" w:hAnsi="仿宋" w:eastAsia="仿宋_GB2312" w:cs="仿宋"/>
          <w:b/>
          <w:color w:val="auto"/>
          <w:sz w:val="24"/>
          <w:highlight w:val="none"/>
        </w:rPr>
        <w:t>2.9 延迟交货</w:t>
      </w:r>
      <w:bookmarkEnd w:id="97"/>
      <w:bookmarkEnd w:id="98"/>
      <w:bookmarkEnd w:id="99"/>
      <w:bookmarkEnd w:id="10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1" w:name="_Toc7502"/>
      <w:bookmarkStart w:id="102" w:name="_Toc259093683"/>
      <w:bookmarkStart w:id="103" w:name="_Ref467378121"/>
      <w:bookmarkStart w:id="104" w:name="_Toc279701254"/>
      <w:bookmarkStart w:id="105" w:name="_Toc487900364"/>
      <w:r>
        <w:rPr>
          <w:rFonts w:hint="eastAsia" w:ascii="仿宋_GB2312" w:hAnsi="仿宋" w:eastAsia="仿宋_GB2312" w:cs="仿宋"/>
          <w:b/>
          <w:color w:val="auto"/>
          <w:sz w:val="24"/>
          <w:highlight w:val="none"/>
        </w:rPr>
        <w:t>2.10 合同变更</w:t>
      </w:r>
      <w:bookmarkEnd w:id="10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6" w:name="_Toc259093688"/>
      <w:bookmarkStart w:id="107" w:name="_Toc487900369"/>
      <w:bookmarkStart w:id="108" w:name="_Toc279701259"/>
    </w:p>
    <w:p>
      <w:pPr>
        <w:spacing w:line="560" w:lineRule="exact"/>
        <w:ind w:firstLine="482" w:firstLineChars="200"/>
        <w:outlineLvl w:val="0"/>
        <w:rPr>
          <w:rFonts w:ascii="仿宋_GB2312" w:hAnsi="仿宋" w:eastAsia="仿宋_GB2312" w:cs="仿宋"/>
          <w:b/>
          <w:color w:val="auto"/>
          <w:sz w:val="24"/>
          <w:highlight w:val="none"/>
        </w:rPr>
      </w:pPr>
      <w:bookmarkStart w:id="109" w:name="_Toc15237"/>
      <w:bookmarkStart w:id="110" w:name="_Toc22955"/>
      <w:bookmarkStart w:id="111" w:name="_Toc10366"/>
      <w:r>
        <w:rPr>
          <w:rFonts w:hint="eastAsia" w:ascii="仿宋_GB2312" w:hAnsi="仿宋" w:eastAsia="仿宋_GB2312" w:cs="仿宋"/>
          <w:b/>
          <w:color w:val="auto"/>
          <w:sz w:val="24"/>
          <w:highlight w:val="none"/>
        </w:rPr>
        <w:t>2.11 合同转让</w:t>
      </w:r>
      <w:bookmarkEnd w:id="106"/>
      <w:bookmarkEnd w:id="107"/>
      <w:bookmarkEnd w:id="108"/>
      <w:r>
        <w:rPr>
          <w:rFonts w:hint="eastAsia" w:ascii="仿宋_GB2312" w:hAnsi="仿宋" w:eastAsia="仿宋_GB2312" w:cs="仿宋"/>
          <w:b/>
          <w:color w:val="auto"/>
          <w:sz w:val="24"/>
          <w:highlight w:val="none"/>
        </w:rPr>
        <w:t>和分包</w:t>
      </w:r>
      <w:bookmarkEnd w:id="109"/>
      <w:bookmarkEnd w:id="110"/>
      <w:bookmarkEnd w:id="11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2" w:name="_Toc14066"/>
      <w:bookmarkStart w:id="113" w:name="_Toc16508"/>
      <w:bookmarkStart w:id="114" w:name="_Toc13566"/>
      <w:r>
        <w:rPr>
          <w:rFonts w:hint="eastAsia" w:ascii="仿宋_GB2312" w:hAnsi="仿宋" w:eastAsia="仿宋_GB2312" w:cs="仿宋"/>
          <w:b/>
          <w:color w:val="auto"/>
          <w:sz w:val="24"/>
          <w:highlight w:val="none"/>
        </w:rPr>
        <w:t>2.12 不可抗力</w:t>
      </w:r>
      <w:bookmarkEnd w:id="112"/>
      <w:bookmarkEnd w:id="113"/>
      <w:bookmarkEnd w:id="11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5" w:name="_Toc279701255"/>
      <w:bookmarkStart w:id="116" w:name="_Toc259093684"/>
      <w:bookmarkStart w:id="117" w:name="_Toc487900365"/>
      <w:bookmarkStart w:id="118" w:name="_Toc30676"/>
      <w:bookmarkStart w:id="119" w:name="_Toc689"/>
      <w:bookmarkStart w:id="120" w:name="_Toc6969"/>
      <w:r>
        <w:rPr>
          <w:rFonts w:hint="eastAsia" w:ascii="仿宋_GB2312" w:hAnsi="仿宋" w:eastAsia="仿宋_GB2312" w:cs="仿宋"/>
          <w:b/>
          <w:color w:val="auto"/>
          <w:sz w:val="24"/>
          <w:highlight w:val="none"/>
        </w:rPr>
        <w:t>2.13 税费</w:t>
      </w:r>
      <w:bookmarkEnd w:id="115"/>
      <w:bookmarkEnd w:id="116"/>
      <w:bookmarkEnd w:id="117"/>
      <w:bookmarkEnd w:id="118"/>
      <w:bookmarkEnd w:id="119"/>
      <w:bookmarkEnd w:id="1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1" w:name="_Toc487900368"/>
      <w:bookmarkStart w:id="122" w:name="_Toc16959"/>
      <w:bookmarkStart w:id="123" w:name="_Toc7102"/>
      <w:bookmarkStart w:id="124" w:name="_Toc259093687"/>
      <w:bookmarkStart w:id="125" w:name="_Toc8298"/>
      <w:bookmarkStart w:id="126" w:name="_Toc279701258"/>
      <w:r>
        <w:rPr>
          <w:rFonts w:hint="eastAsia" w:ascii="仿宋_GB2312" w:hAnsi="仿宋" w:eastAsia="仿宋_GB2312" w:cs="仿宋"/>
          <w:b/>
          <w:color w:val="auto"/>
          <w:sz w:val="24"/>
          <w:highlight w:val="none"/>
        </w:rPr>
        <w:t>2.14乙方破产</w:t>
      </w:r>
      <w:bookmarkEnd w:id="121"/>
      <w:bookmarkEnd w:id="122"/>
      <w:bookmarkEnd w:id="123"/>
      <w:bookmarkEnd w:id="124"/>
      <w:bookmarkEnd w:id="125"/>
      <w:bookmarkEnd w:id="12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27" w:name="_Toc6134"/>
      <w:bookmarkStart w:id="128" w:name="_Toc29333"/>
      <w:bookmarkStart w:id="129" w:name="_Toc15387"/>
      <w:r>
        <w:rPr>
          <w:rFonts w:hint="eastAsia" w:ascii="仿宋_GB2312" w:hAnsi="仿宋" w:eastAsia="仿宋_GB2312" w:cs="仿宋"/>
          <w:b/>
          <w:color w:val="auto"/>
          <w:sz w:val="24"/>
          <w:highlight w:val="none"/>
        </w:rPr>
        <w:t>2.15 合同中止、终止</w:t>
      </w:r>
      <w:bookmarkEnd w:id="127"/>
      <w:bookmarkEnd w:id="128"/>
      <w:bookmarkEnd w:id="12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0" w:name="_Toc1125"/>
      <w:bookmarkStart w:id="131" w:name="_Toc6596"/>
      <w:bookmarkStart w:id="132" w:name="_Toc14563"/>
      <w:r>
        <w:rPr>
          <w:rFonts w:hint="eastAsia" w:ascii="仿宋_GB2312" w:hAnsi="仿宋" w:eastAsia="仿宋_GB2312" w:cs="仿宋"/>
          <w:b/>
          <w:color w:val="auto"/>
          <w:sz w:val="24"/>
          <w:highlight w:val="none"/>
        </w:rPr>
        <w:t>2.16检验和验收</w:t>
      </w:r>
      <w:bookmarkEnd w:id="130"/>
      <w:bookmarkEnd w:id="131"/>
      <w:bookmarkEnd w:id="132"/>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2"/>
    <w:bookmarkEnd w:id="103"/>
    <w:bookmarkEnd w:id="104"/>
    <w:bookmarkEnd w:id="105"/>
    <w:p>
      <w:pPr>
        <w:spacing w:line="560" w:lineRule="exact"/>
        <w:ind w:firstLine="482" w:firstLineChars="200"/>
        <w:outlineLvl w:val="0"/>
        <w:rPr>
          <w:rFonts w:ascii="仿宋_GB2312" w:hAnsi="仿宋" w:eastAsia="仿宋_GB2312" w:cs="仿宋"/>
          <w:b/>
          <w:color w:val="auto"/>
          <w:sz w:val="24"/>
          <w:highlight w:val="none"/>
        </w:rPr>
      </w:pPr>
      <w:bookmarkStart w:id="133" w:name="_Toc279701261"/>
      <w:bookmarkStart w:id="134" w:name="_Toc259093690"/>
      <w:bookmarkStart w:id="135" w:name="_Toc487900371"/>
      <w:bookmarkStart w:id="136" w:name="_Toc19604"/>
      <w:bookmarkStart w:id="137" w:name="_Toc11284"/>
      <w:bookmarkStart w:id="138" w:name="_Toc25182"/>
      <w:r>
        <w:rPr>
          <w:rFonts w:hint="eastAsia" w:ascii="仿宋_GB2312" w:hAnsi="仿宋" w:eastAsia="仿宋_GB2312" w:cs="仿宋"/>
          <w:b/>
          <w:color w:val="auto"/>
          <w:sz w:val="24"/>
          <w:highlight w:val="none"/>
        </w:rPr>
        <w:t>2.17 通知</w:t>
      </w:r>
      <w:bookmarkEnd w:id="133"/>
      <w:bookmarkEnd w:id="134"/>
      <w:bookmarkEnd w:id="135"/>
      <w:r>
        <w:rPr>
          <w:rFonts w:hint="eastAsia" w:ascii="仿宋_GB2312" w:hAnsi="仿宋" w:eastAsia="仿宋_GB2312" w:cs="仿宋"/>
          <w:b/>
          <w:color w:val="auto"/>
          <w:sz w:val="24"/>
          <w:highlight w:val="none"/>
        </w:rPr>
        <w:t>和送达</w:t>
      </w:r>
      <w:bookmarkEnd w:id="136"/>
      <w:bookmarkEnd w:id="137"/>
      <w:bookmarkEnd w:id="138"/>
    </w:p>
    <w:p>
      <w:pPr>
        <w:spacing w:line="560" w:lineRule="exact"/>
        <w:ind w:firstLine="480" w:firstLineChars="200"/>
        <w:rPr>
          <w:rFonts w:ascii="仿宋_GB2312" w:hAnsi="仿宋" w:eastAsia="仿宋_GB2312" w:cs="仿宋"/>
          <w:color w:val="auto"/>
          <w:sz w:val="24"/>
          <w:highlight w:val="none"/>
        </w:rPr>
      </w:pPr>
      <w:bookmarkStart w:id="139" w:name="_Toc6698"/>
      <w:bookmarkStart w:id="140" w:name="_Toc3135"/>
      <w:bookmarkStart w:id="141" w:name="_Toc259093691"/>
      <w:bookmarkStart w:id="142" w:name="_Toc487900372"/>
      <w:bookmarkStart w:id="143" w:name="_Toc27970126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39"/>
      <w:bookmarkEnd w:id="140"/>
    </w:p>
    <w:p>
      <w:pPr>
        <w:spacing w:line="560" w:lineRule="exact"/>
        <w:ind w:firstLine="480" w:firstLineChars="200"/>
        <w:rPr>
          <w:rFonts w:ascii="仿宋_GB2312" w:hAnsi="仿宋" w:eastAsia="仿宋_GB2312" w:cs="仿宋"/>
          <w:color w:val="auto"/>
          <w:sz w:val="24"/>
          <w:highlight w:val="none"/>
        </w:rPr>
      </w:pPr>
      <w:bookmarkStart w:id="144" w:name="_Toc23128"/>
      <w:bookmarkStart w:id="145" w:name="_Toc23294"/>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pPr>
        <w:spacing w:line="560" w:lineRule="exact"/>
        <w:ind w:firstLine="482" w:firstLineChars="200"/>
        <w:outlineLvl w:val="0"/>
        <w:rPr>
          <w:rFonts w:ascii="仿宋_GB2312" w:hAnsi="仿宋" w:eastAsia="仿宋_GB2312" w:cs="仿宋"/>
          <w:b/>
          <w:color w:val="auto"/>
          <w:sz w:val="24"/>
          <w:highlight w:val="none"/>
        </w:rPr>
      </w:pPr>
      <w:bookmarkStart w:id="146" w:name="_Toc30599"/>
      <w:bookmarkStart w:id="147" w:name="_Toc4355"/>
      <w:bookmarkStart w:id="148" w:name="_Toc18540"/>
      <w:r>
        <w:rPr>
          <w:rFonts w:hint="eastAsia" w:ascii="仿宋_GB2312" w:hAnsi="仿宋" w:eastAsia="仿宋_GB2312" w:cs="仿宋"/>
          <w:b/>
          <w:color w:val="auto"/>
          <w:sz w:val="24"/>
          <w:highlight w:val="none"/>
        </w:rPr>
        <w:t>2.18 计量单位</w:t>
      </w:r>
      <w:bookmarkEnd w:id="141"/>
      <w:bookmarkEnd w:id="142"/>
      <w:bookmarkEnd w:id="143"/>
      <w:bookmarkEnd w:id="146"/>
      <w:bookmarkEnd w:id="147"/>
      <w:bookmarkEnd w:id="14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49" w:name="_Toc487900373"/>
      <w:bookmarkStart w:id="150" w:name="_Toc259093692"/>
      <w:bookmarkStart w:id="151" w:name="_Toc279701263"/>
      <w:bookmarkStart w:id="152" w:name="_Toc12773"/>
      <w:bookmarkStart w:id="153" w:name="_Toc18567"/>
      <w:bookmarkStart w:id="154" w:name="_Toc10330"/>
      <w:r>
        <w:rPr>
          <w:rFonts w:hint="eastAsia" w:ascii="仿宋_GB2312" w:hAnsi="仿宋" w:eastAsia="仿宋_GB2312" w:cs="仿宋"/>
          <w:b/>
          <w:color w:val="auto"/>
          <w:sz w:val="24"/>
          <w:highlight w:val="none"/>
        </w:rPr>
        <w:t>2.19 合同使用的文字和适用的法律</w:t>
      </w:r>
      <w:bookmarkEnd w:id="149"/>
      <w:bookmarkEnd w:id="150"/>
      <w:bookmarkEnd w:id="151"/>
      <w:bookmarkEnd w:id="152"/>
      <w:bookmarkEnd w:id="153"/>
      <w:bookmarkEnd w:id="15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5" w:name="_Toc19890"/>
      <w:bookmarkStart w:id="156" w:name="_Toc6885"/>
      <w:bookmarkStart w:id="157" w:name="_Toc14001"/>
      <w:r>
        <w:rPr>
          <w:rFonts w:hint="eastAsia" w:ascii="仿宋_GB2312" w:hAnsi="仿宋" w:eastAsia="仿宋_GB2312" w:cs="仿宋"/>
          <w:b/>
          <w:color w:val="auto"/>
          <w:sz w:val="24"/>
          <w:highlight w:val="none"/>
        </w:rPr>
        <w:t>2.20 合同份数</w:t>
      </w:r>
      <w:bookmarkEnd w:id="155"/>
      <w:bookmarkEnd w:id="156"/>
      <w:bookmarkEnd w:id="15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30</w:t>
      </w:r>
      <w:r>
        <w:rPr>
          <w:rFonts w:hint="eastAsia" w:ascii="仿宋_GB2312" w:hAnsi="宋体" w:eastAsia="仿宋_GB2312"/>
          <w:color w:val="auto"/>
          <w:sz w:val="24"/>
          <w:highlight w:val="none"/>
        </w:rPr>
        <w:t>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70</w:t>
      </w:r>
      <w:r>
        <w:rPr>
          <w:rFonts w:hint="eastAsia" w:ascii="仿宋_GB2312" w:hAnsi="宋体" w:eastAsia="仿宋_GB2312"/>
          <w:b/>
          <w:bCs/>
          <w:iCs/>
          <w:color w:val="auto"/>
          <w:sz w:val="24"/>
          <w:highlight w:val="none"/>
        </w:rPr>
        <w:t>分）</w:t>
      </w:r>
    </w:p>
    <w:tbl>
      <w:tblPr>
        <w:tblStyle w:val="63"/>
        <w:tblW w:w="9900"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15" w:type="dxa"/>
          <w:left w:w="108" w:type="dxa"/>
          <w:bottom w:w="15" w:type="dxa"/>
          <w:right w:w="108" w:type="dxa"/>
        </w:tblCellMar>
      </w:tblPr>
      <w:tblGrid>
        <w:gridCol w:w="792"/>
        <w:gridCol w:w="1518"/>
        <w:gridCol w:w="6683"/>
        <w:gridCol w:w="907"/>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517"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4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 w:eastAsia="仿宋_GB2312" w:cs="仿宋"/>
                <w:b/>
                <w:bCs/>
                <w:color w:val="auto"/>
                <w:kern w:val="0"/>
                <w:sz w:val="24"/>
                <w:highlight w:val="none"/>
              </w:rPr>
              <w:t>序号</w:t>
            </w:r>
          </w:p>
        </w:tc>
        <w:tc>
          <w:tcPr>
            <w:tcW w:w="1518" w:type="dxa"/>
            <w:tcBorders>
              <w:top w:val="single" w:color="000000" w:sz="4" w:space="0"/>
              <w:left w:val="single" w:color="000000" w:sz="4" w:space="0"/>
              <w:bottom w:val="single" w:color="000000" w:sz="4" w:space="0"/>
              <w:right w:val="single" w:color="auto" w:sz="4" w:space="0"/>
            </w:tcBorders>
            <w:noWrap w:val="0"/>
            <w:vAlign w:val="center"/>
          </w:tcPr>
          <w:p>
            <w:pPr>
              <w:widowControl/>
              <w:snapToGrid w:val="0"/>
              <w:spacing w:line="44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 w:eastAsia="仿宋_GB2312" w:cs="仿宋"/>
                <w:b/>
                <w:bCs/>
                <w:color w:val="auto"/>
                <w:kern w:val="0"/>
                <w:sz w:val="24"/>
                <w:highlight w:val="none"/>
              </w:rPr>
              <w:t>评分项</w:t>
            </w:r>
          </w:p>
        </w:tc>
        <w:tc>
          <w:tcPr>
            <w:tcW w:w="6683" w:type="dxa"/>
            <w:tcBorders>
              <w:top w:val="single" w:color="000000" w:sz="4" w:space="0"/>
              <w:left w:val="single" w:color="auto" w:sz="4" w:space="0"/>
              <w:bottom w:val="single" w:color="000000" w:sz="4" w:space="0"/>
              <w:right w:val="single" w:color="000000" w:sz="4" w:space="0"/>
            </w:tcBorders>
            <w:noWrap w:val="0"/>
            <w:vAlign w:val="center"/>
          </w:tcPr>
          <w:p>
            <w:pPr>
              <w:widowControl/>
              <w:snapToGrid w:val="0"/>
              <w:spacing w:line="44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 w:eastAsia="仿宋_GB2312" w:cs="仿宋"/>
                <w:b/>
                <w:bCs/>
                <w:color w:val="auto"/>
                <w:kern w:val="0"/>
                <w:sz w:val="24"/>
                <w:highlight w:val="none"/>
              </w:rPr>
              <w:t>评审依据及标准</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4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 w:eastAsia="仿宋_GB2312" w:cs="仿宋"/>
                <w:b/>
                <w:bCs/>
                <w:color w:val="auto"/>
                <w:kern w:val="0"/>
                <w:sz w:val="24"/>
                <w:highlight w:val="none"/>
              </w:rPr>
              <w:t>分值</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246" w:hRule="atLeast"/>
          <w:jc w:val="center"/>
        </w:trPr>
        <w:tc>
          <w:tcPr>
            <w:tcW w:w="792"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1</w:t>
            </w:r>
          </w:p>
        </w:tc>
        <w:tc>
          <w:tcPr>
            <w:tcW w:w="1518" w:type="dxa"/>
            <w:tcBorders>
              <w:top w:val="single" w:color="000000" w:sz="4" w:space="0"/>
              <w:left w:val="single" w:color="000000" w:sz="4" w:space="0"/>
              <w:bottom w:val="single" w:color="auto" w:sz="4" w:space="0"/>
              <w:right w:val="single" w:color="000000" w:sz="4" w:space="0"/>
            </w:tcBorders>
            <w:noWrap w:val="0"/>
            <w:vAlign w:val="center"/>
          </w:tcPr>
          <w:p>
            <w:pPr>
              <w:snapToGrid w:val="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color w:val="auto"/>
                <w:kern w:val="0"/>
                <w:sz w:val="24"/>
                <w:szCs w:val="24"/>
                <w:highlight w:val="none"/>
                <w:lang w:val="en-US" w:eastAsia="zh-CN"/>
              </w:rPr>
              <w:t>相关证书</w:t>
            </w:r>
          </w:p>
        </w:tc>
        <w:tc>
          <w:tcPr>
            <w:tcW w:w="6683" w:type="dxa"/>
            <w:tcBorders>
              <w:top w:val="single" w:color="000000" w:sz="4" w:space="0"/>
              <w:left w:val="single" w:color="000000" w:sz="4" w:space="0"/>
              <w:bottom w:val="single" w:color="auto" w:sz="4" w:space="0"/>
              <w:right w:val="single" w:color="000000" w:sz="4" w:space="0"/>
            </w:tcBorders>
            <w:noWrap w:val="0"/>
            <w:vAlign w:val="center"/>
          </w:tcPr>
          <w:p>
            <w:pPr>
              <w:widowControl/>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具有质量管理体系认证证书、环境管理体系认证证书、职业健康安全管理体系认证证书的，每提供一个得1分，最高3分。</w:t>
            </w:r>
          </w:p>
          <w:p>
            <w:pPr>
              <w:widowControl/>
              <w:rPr>
                <w:rFonts w:hint="eastAsia"/>
                <w:color w:val="auto"/>
                <w:highlight w:val="none"/>
                <w:lang w:val="en-US" w:eastAsia="zh-CN"/>
              </w:rPr>
            </w:pPr>
            <w:r>
              <w:rPr>
                <w:rFonts w:hint="eastAsia" w:ascii="仿宋_GB2312" w:hAnsi="仿宋_GB2312" w:eastAsia="仿宋_GB2312" w:cs="仿宋_GB2312"/>
                <w:color w:val="auto"/>
                <w:kern w:val="0"/>
                <w:sz w:val="24"/>
                <w:szCs w:val="24"/>
                <w:highlight w:val="none"/>
                <w:lang w:val="en-US" w:eastAsia="zh-CN" w:bidi="ar-SA"/>
              </w:rPr>
              <w:t>注：提供有效期内的证书复印件加盖投标人公章。</w:t>
            </w:r>
          </w:p>
        </w:tc>
        <w:tc>
          <w:tcPr>
            <w:tcW w:w="90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769"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2</w:t>
            </w:r>
          </w:p>
        </w:tc>
        <w:tc>
          <w:tcPr>
            <w:tcW w:w="15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业绩</w:t>
            </w:r>
            <w:r>
              <w:rPr>
                <w:rFonts w:hint="eastAsia" w:ascii="仿宋_GB2312" w:hAnsi="仿宋_GB2312" w:eastAsia="仿宋_GB2312" w:cs="仿宋_GB2312"/>
                <w:color w:val="auto"/>
                <w:sz w:val="24"/>
                <w:szCs w:val="24"/>
                <w:highlight w:val="none"/>
                <w:lang w:val="en-US" w:eastAsia="zh-CN"/>
              </w:rPr>
              <w:t>案例</w:t>
            </w:r>
          </w:p>
        </w:tc>
        <w:tc>
          <w:tcPr>
            <w:tcW w:w="668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投标人自2021年1月1日以来（以合同签订时间为准）完成的同类案例，每有1个得1分，满分3分。</w:t>
            </w:r>
          </w:p>
          <w:p>
            <w:pPr>
              <w:widowControl/>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注：每个案例提供合同复印件加盖投标人公章。</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246" w:hRule="atLeast"/>
          <w:jc w:val="center"/>
        </w:trPr>
        <w:tc>
          <w:tcPr>
            <w:tcW w:w="792"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3</w:t>
            </w:r>
          </w:p>
        </w:tc>
        <w:tc>
          <w:tcPr>
            <w:tcW w:w="1518"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rPr>
              <w:t>技术参数响应情况</w:t>
            </w:r>
          </w:p>
        </w:tc>
        <w:tc>
          <w:tcPr>
            <w:tcW w:w="6683" w:type="dxa"/>
            <w:tcBorders>
              <w:top w:val="single" w:color="000000" w:sz="4" w:space="0"/>
              <w:left w:val="single" w:color="000000" w:sz="4" w:space="0"/>
              <w:bottom w:val="single" w:color="auto" w:sz="4" w:space="0"/>
              <w:right w:val="single" w:color="000000" w:sz="4" w:space="0"/>
            </w:tcBorders>
            <w:noWrap w:val="0"/>
            <w:vAlign w:val="center"/>
          </w:tcPr>
          <w:p>
            <w:pPr>
              <w:widowControl/>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技术参数响应情况：对应于招标文件第三部分招标项目范围及要求——8.招标项目设备名称及数量——“一、招标项目货物清单及技术要求”，完全满足指标参数得34分。打“★”号的性能指标为实质性指标，若出现负偏离作无效标处理；打“▲”为主要性能指标，每有一项负偏离扣3分；其他指标，每有一项负偏离扣2分，扣完为止。</w:t>
            </w:r>
          </w:p>
        </w:tc>
        <w:tc>
          <w:tcPr>
            <w:tcW w:w="90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34</w:t>
            </w:r>
            <w:r>
              <w:rPr>
                <w:rFonts w:hint="eastAsia" w:ascii="仿宋_GB2312" w:hAnsi="仿宋_GB2312" w:eastAsia="仿宋_GB2312" w:cs="仿宋_GB2312"/>
                <w:color w:val="auto"/>
                <w:kern w:val="0"/>
                <w:sz w:val="24"/>
                <w:szCs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418"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4</w:t>
            </w:r>
          </w:p>
        </w:tc>
        <w:tc>
          <w:tcPr>
            <w:tcW w:w="15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产品质量</w:t>
            </w:r>
          </w:p>
          <w:p>
            <w:pPr>
              <w:widowControl/>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控制</w:t>
            </w:r>
          </w:p>
        </w:tc>
        <w:tc>
          <w:tcPr>
            <w:tcW w:w="668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根据投标人提供的有明确质量保证目标，具备完整的质量管控和保证措施，具备完整的项目风险控制手段和机制，具有详细的应急方案等进行打分，0-6分。</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455"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5</w:t>
            </w:r>
          </w:p>
        </w:tc>
        <w:tc>
          <w:tcPr>
            <w:tcW w:w="15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质保期</w:t>
            </w:r>
          </w:p>
        </w:tc>
        <w:tc>
          <w:tcPr>
            <w:tcW w:w="668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投标人承诺</w:t>
            </w:r>
            <w:r>
              <w:rPr>
                <w:rFonts w:hint="eastAsia" w:ascii="仿宋_GB2312" w:hAnsi="仿宋_GB2312" w:eastAsia="仿宋_GB2312" w:cs="仿宋_GB2312"/>
                <w:color w:val="auto"/>
                <w:sz w:val="24"/>
                <w:szCs w:val="24"/>
                <w:highlight w:val="none"/>
                <w:lang w:val="en-US" w:eastAsia="zh-CN"/>
              </w:rPr>
              <w:t>在</w:t>
            </w:r>
            <w:r>
              <w:rPr>
                <w:rFonts w:hint="eastAsia" w:ascii="仿宋_GB2312" w:hAnsi="仿宋_GB2312" w:eastAsia="仿宋_GB2312" w:cs="仿宋_GB2312"/>
                <w:color w:val="auto"/>
                <w:sz w:val="24"/>
                <w:szCs w:val="24"/>
                <w:highlight w:val="none"/>
              </w:rPr>
              <w:t>三年的质保期</w:t>
            </w:r>
            <w:r>
              <w:rPr>
                <w:rFonts w:hint="eastAsia" w:ascii="仿宋_GB2312" w:hAnsi="仿宋_GB2312" w:eastAsia="仿宋_GB2312" w:cs="仿宋_GB2312"/>
                <w:color w:val="auto"/>
                <w:sz w:val="24"/>
                <w:szCs w:val="24"/>
                <w:highlight w:val="none"/>
                <w:lang w:val="en-US" w:eastAsia="zh-CN"/>
              </w:rPr>
              <w:t>基础上</w:t>
            </w:r>
            <w:r>
              <w:rPr>
                <w:rFonts w:hint="eastAsia" w:ascii="仿宋_GB2312" w:hAnsi="仿宋_GB2312" w:eastAsia="仿宋_GB2312" w:cs="仿宋_GB2312"/>
                <w:color w:val="auto"/>
                <w:sz w:val="24"/>
                <w:szCs w:val="24"/>
                <w:highlight w:val="none"/>
              </w:rPr>
              <w:t>，每增加一年得1分,最多得3分。</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90"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6</w:t>
            </w:r>
          </w:p>
        </w:tc>
        <w:tc>
          <w:tcPr>
            <w:tcW w:w="15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供货</w:t>
            </w:r>
            <w:r>
              <w:rPr>
                <w:rFonts w:hint="eastAsia" w:ascii="仿宋_GB2312" w:hAnsi="仿宋_GB2312" w:eastAsia="仿宋_GB2312" w:cs="仿宋_GB2312"/>
                <w:color w:val="auto"/>
                <w:kern w:val="0"/>
                <w:sz w:val="24"/>
                <w:szCs w:val="24"/>
                <w:highlight w:val="none"/>
                <w:lang w:val="en-US" w:eastAsia="zh-CN"/>
              </w:rPr>
              <w:t>安装</w:t>
            </w:r>
          </w:p>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方案</w:t>
            </w:r>
          </w:p>
        </w:tc>
        <w:tc>
          <w:tcPr>
            <w:tcW w:w="668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val="en-US" w:eastAsia="zh-CN"/>
              </w:rPr>
              <w:t>本项目</w:t>
            </w:r>
            <w:r>
              <w:rPr>
                <w:rFonts w:hint="eastAsia" w:ascii="仿宋_GB2312" w:hAnsi="仿宋_GB2312" w:eastAsia="仿宋_GB2312" w:cs="仿宋_GB2312"/>
                <w:color w:val="auto"/>
                <w:sz w:val="24"/>
                <w:szCs w:val="24"/>
                <w:highlight w:val="none"/>
              </w:rPr>
              <w:t>实际需要，</w:t>
            </w:r>
            <w:r>
              <w:rPr>
                <w:rFonts w:hint="eastAsia" w:ascii="仿宋_GB2312" w:hAnsi="仿宋_GB2312" w:eastAsia="仿宋_GB2312" w:cs="仿宋_GB2312"/>
                <w:color w:val="auto"/>
                <w:sz w:val="24"/>
                <w:szCs w:val="24"/>
                <w:highlight w:val="none"/>
                <w:lang w:val="en-US" w:eastAsia="zh-CN"/>
              </w:rPr>
              <w:t>投标人制定详细</w:t>
            </w:r>
            <w:r>
              <w:rPr>
                <w:rFonts w:hint="eastAsia" w:ascii="仿宋_GB2312" w:hAnsi="仿宋_GB2312" w:eastAsia="仿宋_GB2312" w:cs="仿宋_GB2312"/>
                <w:color w:val="auto"/>
                <w:sz w:val="24"/>
                <w:szCs w:val="24"/>
                <w:highlight w:val="none"/>
              </w:rPr>
              <w:t>供货</w:t>
            </w:r>
            <w:r>
              <w:rPr>
                <w:rFonts w:hint="eastAsia" w:ascii="仿宋_GB2312" w:hAnsi="仿宋_GB2312" w:eastAsia="仿宋_GB2312" w:cs="仿宋_GB2312"/>
                <w:color w:val="auto"/>
                <w:sz w:val="24"/>
                <w:szCs w:val="24"/>
                <w:highlight w:val="none"/>
                <w:lang w:val="en-US" w:eastAsia="zh-CN"/>
              </w:rPr>
              <w:t>安装</w:t>
            </w:r>
            <w:r>
              <w:rPr>
                <w:rFonts w:hint="eastAsia" w:ascii="仿宋_GB2312" w:hAnsi="仿宋_GB2312" w:eastAsia="仿宋_GB2312" w:cs="仿宋_GB2312"/>
                <w:color w:val="auto"/>
                <w:sz w:val="24"/>
                <w:szCs w:val="24"/>
                <w:highlight w:val="none"/>
              </w:rPr>
              <w:t>方案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包括</w:t>
            </w:r>
            <w:r>
              <w:rPr>
                <w:rFonts w:hint="eastAsia" w:ascii="仿宋_GB2312" w:hAnsi="仿宋_GB2312" w:eastAsia="仿宋_GB2312" w:cs="仿宋_GB2312"/>
                <w:color w:val="auto"/>
                <w:sz w:val="24"/>
                <w:szCs w:val="24"/>
                <w:highlight w:val="none"/>
              </w:rPr>
              <w:t>设备供货</w:t>
            </w:r>
            <w:r>
              <w:rPr>
                <w:rFonts w:hint="eastAsia" w:ascii="仿宋_GB2312" w:hAnsi="仿宋_GB2312" w:eastAsia="仿宋_GB2312" w:cs="仿宋_GB2312"/>
                <w:color w:val="auto"/>
                <w:sz w:val="24"/>
                <w:szCs w:val="24"/>
                <w:highlight w:val="none"/>
                <w:lang w:val="en-US" w:eastAsia="zh-CN"/>
              </w:rPr>
              <w:t>安装</w:t>
            </w:r>
            <w:r>
              <w:rPr>
                <w:rFonts w:hint="eastAsia" w:ascii="仿宋_GB2312" w:hAnsi="仿宋_GB2312" w:eastAsia="仿宋_GB2312" w:cs="仿宋_GB2312"/>
                <w:color w:val="auto"/>
                <w:kern w:val="0"/>
                <w:sz w:val="24"/>
                <w:szCs w:val="24"/>
                <w:highlight w:val="none"/>
                <w:lang w:val="en-US" w:eastAsia="zh-CN"/>
              </w:rPr>
              <w:t>、软件功能</w:t>
            </w:r>
            <w:r>
              <w:rPr>
                <w:rFonts w:hint="eastAsia" w:ascii="仿宋_GB2312" w:hAnsi="仿宋_GB2312" w:eastAsia="仿宋_GB2312" w:cs="仿宋_GB2312"/>
                <w:color w:val="auto"/>
                <w:kern w:val="0"/>
                <w:sz w:val="24"/>
                <w:szCs w:val="24"/>
                <w:highlight w:val="none"/>
              </w:rPr>
              <w:t>调试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技术团队服务人员、时间进度安排</w:t>
            </w:r>
            <w:r>
              <w:rPr>
                <w:rFonts w:hint="eastAsia" w:ascii="仿宋_GB2312" w:hAnsi="仿宋_GB2312" w:eastAsia="仿宋_GB2312" w:cs="仿宋_GB2312"/>
                <w:color w:val="auto"/>
                <w:sz w:val="24"/>
                <w:szCs w:val="24"/>
                <w:highlight w:val="none"/>
                <w:lang w:val="en-US" w:eastAsia="zh-CN"/>
              </w:rPr>
              <w:t>等进行打分，0-6分。</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7</w:t>
            </w:r>
          </w:p>
        </w:tc>
        <w:tc>
          <w:tcPr>
            <w:tcW w:w="15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培训方案</w:t>
            </w:r>
          </w:p>
        </w:tc>
        <w:tc>
          <w:tcPr>
            <w:tcW w:w="668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投标人有完整详尽的培训方案，培训包括但不限于培训人次、培训时间、培训机构、培训师资等</w:t>
            </w:r>
            <w:r>
              <w:rPr>
                <w:rFonts w:hint="eastAsia" w:ascii="仿宋_GB2312" w:hAnsi="仿宋_GB2312" w:eastAsia="仿宋_GB2312" w:cs="仿宋_GB2312"/>
                <w:color w:val="auto"/>
                <w:kern w:val="0"/>
                <w:sz w:val="24"/>
                <w:szCs w:val="24"/>
                <w:highlight w:val="none"/>
                <w:lang w:val="en-US" w:eastAsia="zh-CN"/>
              </w:rPr>
              <w:t>进行打分</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0-6分</w:t>
            </w:r>
            <w:r>
              <w:rPr>
                <w:rFonts w:hint="eastAsia" w:ascii="仿宋_GB2312" w:hAnsi="仿宋_GB2312" w:eastAsia="仿宋_GB2312" w:cs="仿宋_GB2312"/>
                <w:color w:val="auto"/>
                <w:kern w:val="0"/>
                <w:sz w:val="24"/>
                <w:szCs w:val="24"/>
                <w:highlight w:val="none"/>
                <w:lang w:eastAsia="zh-CN"/>
              </w:rPr>
              <w:t>。</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8</w:t>
            </w:r>
          </w:p>
        </w:tc>
        <w:tc>
          <w:tcPr>
            <w:tcW w:w="15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售后服务</w:t>
            </w:r>
          </w:p>
          <w:p>
            <w:pPr>
              <w:widowControl/>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方案</w:t>
            </w:r>
          </w:p>
        </w:tc>
        <w:tc>
          <w:tcPr>
            <w:tcW w:w="668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对</w:t>
            </w:r>
            <w:r>
              <w:rPr>
                <w:rFonts w:hint="eastAsia" w:ascii="仿宋_GB2312" w:hAnsi="仿宋_GB2312" w:eastAsia="仿宋_GB2312" w:cs="仿宋_GB2312"/>
                <w:color w:val="auto"/>
                <w:sz w:val="24"/>
                <w:szCs w:val="24"/>
                <w:highlight w:val="none"/>
              </w:rPr>
              <w:t>投标人提供的</w:t>
            </w:r>
            <w:r>
              <w:rPr>
                <w:rFonts w:hint="eastAsia" w:ascii="仿宋_GB2312" w:hAnsi="仿宋_GB2312" w:eastAsia="仿宋_GB2312" w:cs="仿宋_GB2312"/>
                <w:color w:val="auto"/>
                <w:kern w:val="0"/>
                <w:sz w:val="24"/>
                <w:szCs w:val="24"/>
                <w:highlight w:val="none"/>
              </w:rPr>
              <w:t>售后服务方案、</w:t>
            </w:r>
            <w:r>
              <w:rPr>
                <w:rFonts w:hint="eastAsia" w:ascii="仿宋_GB2312" w:hAnsi="仿宋_GB2312" w:eastAsia="仿宋_GB2312" w:cs="仿宋_GB2312"/>
                <w:color w:val="auto"/>
                <w:sz w:val="24"/>
                <w:szCs w:val="24"/>
                <w:highlight w:val="none"/>
              </w:rPr>
              <w:t>技术力量和</w:t>
            </w:r>
            <w:r>
              <w:rPr>
                <w:rFonts w:hint="eastAsia" w:ascii="仿宋_GB2312" w:hAnsi="仿宋_GB2312" w:eastAsia="仿宋_GB2312" w:cs="仿宋_GB2312"/>
                <w:color w:val="auto"/>
                <w:sz w:val="24"/>
                <w:szCs w:val="24"/>
                <w:highlight w:val="none"/>
                <w:lang w:val="en-US" w:eastAsia="zh-CN"/>
              </w:rPr>
              <w:t>备品备件</w:t>
            </w:r>
            <w:r>
              <w:rPr>
                <w:rFonts w:hint="eastAsia" w:ascii="仿宋_GB2312" w:hAnsi="仿宋_GB2312" w:eastAsia="仿宋_GB2312" w:cs="仿宋_GB2312"/>
                <w:color w:val="auto"/>
                <w:sz w:val="24"/>
                <w:szCs w:val="24"/>
                <w:highlight w:val="none"/>
              </w:rPr>
              <w:t>配备情况、服务响应时间等</w:t>
            </w:r>
            <w:r>
              <w:rPr>
                <w:rFonts w:hint="eastAsia" w:ascii="仿宋_GB2312" w:hAnsi="仿宋_GB2312" w:eastAsia="仿宋_GB2312" w:cs="仿宋_GB2312"/>
                <w:color w:val="auto"/>
                <w:sz w:val="24"/>
                <w:szCs w:val="24"/>
                <w:highlight w:val="none"/>
                <w:lang w:val="en-US" w:eastAsia="zh-CN"/>
              </w:rPr>
              <w:t>进行打分，0-6分。</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w:t>
            </w:r>
          </w:p>
        </w:tc>
        <w:tc>
          <w:tcPr>
            <w:tcW w:w="15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优惠条件</w:t>
            </w:r>
          </w:p>
        </w:tc>
        <w:tc>
          <w:tcPr>
            <w:tcW w:w="668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投标人是否提供额外优惠条件（除价格外），根据提供的产品、服务等优惠情况进行打分</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0-3分。</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3分</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绍兴文理学院微机电系统浙江省工程研究中心设备（服务器）采购项目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2024-04-0043</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绍兴文理学院微机电系统浙江省工程研究中心设备（服务器）采购项目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绍兴文理学院微机电系统浙江省工程研究中心设备（服务器）采购项目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绍兴文理学院微机电系统浙江省工程研究中心设备（服务器）采购项目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2024-04-0043</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58" w:name="_Hlk101259491"/>
      <w:r>
        <w:rPr>
          <w:rFonts w:hint="eastAsia" w:ascii="仿宋_GB2312" w:hAnsi="仿宋" w:eastAsia="仿宋_GB2312" w:cs="仿宋"/>
          <w:color w:val="auto"/>
          <w:sz w:val="32"/>
          <w:szCs w:val="32"/>
          <w:highlight w:val="none"/>
        </w:rPr>
        <w:t>（如果有）</w:t>
      </w:r>
      <w:bookmarkEnd w:id="158"/>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59" w:name="_Toc465665161"/>
      <w:r>
        <w:rPr>
          <w:rFonts w:hint="eastAsia" w:ascii="仿宋_GB2312" w:hAnsi="仿宋" w:cs="仿宋"/>
          <w:color w:val="auto"/>
          <w:highlight w:val="none"/>
        </w:rPr>
        <w:t>附件</w:t>
      </w:r>
      <w:bookmarkEnd w:id="159"/>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0"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0"/>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1"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1"/>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2" w:name="OLE_LINK13"/>
      <w:bookmarkStart w:id="163" w:name="OLE_LINK14"/>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2"/>
    <w:bookmarkEnd w:id="163"/>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2024-04-0043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D2257F9"/>
    <w:multiLevelType w:val="singleLevel"/>
    <w:tmpl w:val="0D2257F9"/>
    <w:lvl w:ilvl="0" w:tentative="0">
      <w:start w:val="1"/>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7D17D6C"/>
    <w:rsid w:val="0F2C501F"/>
    <w:rsid w:val="10683ECF"/>
    <w:rsid w:val="19CF064A"/>
    <w:rsid w:val="229420A0"/>
    <w:rsid w:val="23986D67"/>
    <w:rsid w:val="23BE7486"/>
    <w:rsid w:val="2989420F"/>
    <w:rsid w:val="299029A2"/>
    <w:rsid w:val="2FA54326"/>
    <w:rsid w:val="641642D5"/>
    <w:rsid w:val="6A261A93"/>
    <w:rsid w:val="6EDB63E4"/>
    <w:rsid w:val="6FD12A14"/>
    <w:rsid w:val="70B81245"/>
    <w:rsid w:val="72E87C49"/>
    <w:rsid w:val="76EF1651"/>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2"/>
    <w:qFormat/>
    <w:uiPriority w:val="9"/>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9"/>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7886</Words>
  <Characters>44956</Characters>
  <Lines>374</Lines>
  <Paragraphs>105</Paragraphs>
  <TotalTime>27</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Administrator</cp:lastModifiedBy>
  <cp:lastPrinted>2023-07-24T23:14:00Z</cp:lastPrinted>
  <dcterms:modified xsi:type="dcterms:W3CDTF">2024-04-24T08:49:33Z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