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200" w:lineRule="exact"/>
        <w:ind w:right="-108"/>
        <w:jc w:val="left"/>
        <w:rPr>
          <w:rFonts w:ascii="宋体" w:hAnsi="宋体" w:eastAsia="宋体" w:cs="宋体"/>
          <w:b/>
          <w:color w:val="000000"/>
          <w:sz w:val="52"/>
          <w:szCs w:val="52"/>
        </w:rPr>
      </w:pPr>
      <w:bookmarkStart w:id="0" w:name="_Hlk536605924"/>
    </w:p>
    <w:p>
      <w:pPr>
        <w:ind w:right="-350" w:rightChars="-125"/>
        <w:jc w:val="center"/>
        <w:rPr>
          <w:rFonts w:ascii="Times New Roman" w:eastAsia="黑体"/>
          <w:b/>
          <w:bCs/>
          <w:color w:val="000000" w:themeColor="text1"/>
          <w:sz w:val="52"/>
          <w:szCs w:val="52"/>
          <w:highlight w:val="none"/>
          <w14:textFill>
            <w14:solidFill>
              <w14:schemeClr w14:val="tx1"/>
            </w14:solidFill>
          </w14:textFill>
        </w:rPr>
      </w:pPr>
      <w:r>
        <w:rPr>
          <w:rFonts w:hint="eastAsia" w:ascii="Times New Roman" w:eastAsia="黑体"/>
          <w:b/>
          <w:bCs/>
          <w:color w:val="000000" w:themeColor="text1"/>
          <w:sz w:val="52"/>
          <w:szCs w:val="52"/>
          <w:highlight w:val="none"/>
          <w14:textFill>
            <w14:solidFill>
              <w14:schemeClr w14:val="tx1"/>
            </w14:solidFill>
          </w14:textFill>
        </w:rPr>
        <w:t>高铁新城再生水厂运营管理服务项目</w:t>
      </w:r>
    </w:p>
    <w:p>
      <w:pPr>
        <w:pStyle w:val="34"/>
        <w:rPr>
          <w:rFonts w:hAnsi="宋体" w:cs="宋体"/>
          <w:b/>
          <w:bCs/>
          <w:color w:val="000000"/>
          <w:sz w:val="36"/>
          <w:szCs w:val="36"/>
        </w:rPr>
      </w:pPr>
    </w:p>
    <w:p>
      <w:pPr>
        <w:pStyle w:val="34"/>
        <w:rPr>
          <w:rFonts w:hAnsi="宋体" w:cs="宋体"/>
          <w:b/>
          <w:bCs/>
          <w:color w:val="000000"/>
          <w:sz w:val="36"/>
          <w:szCs w:val="36"/>
        </w:rPr>
      </w:pPr>
    </w:p>
    <w:p/>
    <w:p/>
    <w:p>
      <w:pPr>
        <w:jc w:val="center"/>
        <w:rPr>
          <w:rFonts w:ascii="Times New Roman" w:eastAsia="黑体"/>
          <w:b/>
          <w:bCs/>
          <w:color w:val="000000"/>
          <w:sz w:val="72"/>
          <w:szCs w:val="72"/>
        </w:rPr>
      </w:pPr>
      <w:r>
        <w:rPr>
          <w:rFonts w:ascii="Times New Roman" w:eastAsia="黑体"/>
          <w:b/>
          <w:bCs/>
          <w:color w:val="000000"/>
          <w:sz w:val="72"/>
          <w:szCs w:val="72"/>
        </w:rPr>
        <w:t>公开招标采购文件</w:t>
      </w:r>
    </w:p>
    <w:p>
      <w:pPr>
        <w:pStyle w:val="249"/>
        <w:ind w:left="560"/>
        <w:rPr>
          <w:rFonts w:ascii="Times New Roman" w:hAnsi="Times New Roman"/>
          <w:color w:val="00000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58"/>
        <w:jc w:val="center"/>
        <w:rPr>
          <w:rFonts w:ascii="Times New Roman"/>
          <w:b/>
          <w:color w:val="000000"/>
          <w:sz w:val="32"/>
        </w:rPr>
      </w:pPr>
      <w:r>
        <w:rPr>
          <w:rFonts w:ascii="Times New Roman"/>
          <w:b/>
          <w:color w:val="000000"/>
          <w:sz w:val="36"/>
        </w:rPr>
        <w:t>（线上电子标）</w:t>
      </w:r>
    </w:p>
    <w:p>
      <w:pPr>
        <w:jc w:val="center"/>
        <w:rPr>
          <w:rFonts w:ascii="Times New Roman"/>
          <w:color w:val="000000"/>
          <w:spacing w:val="-20"/>
          <w:sz w:val="60"/>
          <w:szCs w:val="60"/>
        </w:rPr>
      </w:pPr>
    </w:p>
    <w:p>
      <w:pPr>
        <w:pStyle w:val="74"/>
      </w:pPr>
    </w:p>
    <w:p>
      <w:pPr>
        <w:pStyle w:val="41"/>
        <w:rPr>
          <w:color w:val="000000"/>
        </w:rPr>
      </w:pPr>
    </w:p>
    <w:p>
      <w:pPr>
        <w:spacing w:line="460" w:lineRule="exact"/>
        <w:jc w:val="center"/>
        <w:rPr>
          <w:rFonts w:ascii="Times New Roman"/>
          <w:color w:val="000000"/>
        </w:rPr>
      </w:pPr>
    </w:p>
    <w:p>
      <w:pPr>
        <w:pStyle w:val="74"/>
      </w:pPr>
    </w:p>
    <w:p>
      <w:pPr>
        <w:spacing w:line="700" w:lineRule="exact"/>
        <w:ind w:left="0" w:leftChars="0" w:firstLine="0" w:firstLineChars="0"/>
        <w:jc w:val="left"/>
        <w:rPr>
          <w:rFonts w:ascii="Times New Roman" w:eastAsia="宋体"/>
          <w:b/>
          <w:color w:val="000000"/>
          <w:sz w:val="32"/>
          <w:szCs w:val="32"/>
        </w:rPr>
      </w:pPr>
      <w:r>
        <w:rPr>
          <w:rFonts w:hint="eastAsia" w:ascii="Times New Roman" w:eastAsia="宋体"/>
          <w:b/>
          <w:color w:val="000000"/>
          <w:sz w:val="32"/>
          <w:szCs w:val="32"/>
        </w:rPr>
        <w:t>项目编号：ZJZH20230911</w:t>
      </w:r>
    </w:p>
    <w:p>
      <w:pPr>
        <w:spacing w:line="700" w:lineRule="exact"/>
        <w:ind w:left="0" w:leftChars="0" w:firstLine="0" w:firstLineChars="0"/>
        <w:jc w:val="left"/>
        <w:rPr>
          <w:rFonts w:ascii="Times New Roman" w:eastAsia="宋体"/>
          <w:b/>
          <w:color w:val="000000"/>
          <w:sz w:val="32"/>
          <w:szCs w:val="32"/>
        </w:rPr>
      </w:pPr>
    </w:p>
    <w:p>
      <w:pPr>
        <w:spacing w:line="700" w:lineRule="exact"/>
        <w:ind w:left="0" w:leftChars="0" w:firstLine="0" w:firstLineChars="0"/>
        <w:jc w:val="left"/>
        <w:rPr>
          <w:rFonts w:ascii="Times New Roman" w:eastAsia="宋体"/>
          <w:b/>
          <w:color w:val="000000"/>
          <w:sz w:val="32"/>
          <w:szCs w:val="32"/>
        </w:rPr>
      </w:pPr>
      <w:r>
        <w:rPr>
          <w:rFonts w:hint="eastAsia" w:ascii="Times New Roman" w:eastAsia="宋体"/>
          <w:b/>
          <w:color w:val="000000"/>
          <w:sz w:val="32"/>
          <w:szCs w:val="32"/>
        </w:rPr>
        <w:t>项目名称：</w:t>
      </w:r>
      <w:r>
        <w:rPr>
          <w:rFonts w:ascii="Times New Roman" w:eastAsia="宋体"/>
          <w:b/>
          <w:color w:val="000000"/>
          <w:sz w:val="32"/>
          <w:szCs w:val="32"/>
        </w:rPr>
        <w:t>高铁新城再生水厂运营管理服务</w:t>
      </w:r>
      <w:r>
        <w:rPr>
          <w:rFonts w:hint="eastAsia" w:ascii="Times New Roman" w:eastAsia="宋体"/>
          <w:b/>
          <w:color w:val="000000"/>
          <w:sz w:val="32"/>
          <w:szCs w:val="32"/>
        </w:rPr>
        <w:t>项目</w:t>
      </w:r>
    </w:p>
    <w:p>
      <w:pPr>
        <w:tabs>
          <w:tab w:val="left" w:pos="2520"/>
        </w:tabs>
        <w:spacing w:line="460" w:lineRule="exact"/>
        <w:ind w:left="0" w:leftChars="0" w:right="-417" w:rightChars="-149" w:firstLine="0" w:firstLineChars="0"/>
        <w:jc w:val="left"/>
        <w:rPr>
          <w:rFonts w:ascii="Times New Roman"/>
          <w:b/>
          <w:color w:val="000000"/>
          <w:sz w:val="32"/>
          <w:szCs w:val="32"/>
        </w:rPr>
      </w:pPr>
    </w:p>
    <w:p>
      <w:pPr>
        <w:pStyle w:val="2"/>
        <w:ind w:left="0" w:leftChars="0" w:firstLine="0" w:firstLineChars="0"/>
        <w:rPr>
          <w:rFonts w:ascii="Times New Roman" w:hAnsi="Times New Roman"/>
          <w:color w:val="000000"/>
        </w:rPr>
      </w:pPr>
    </w:p>
    <w:p>
      <w:pPr>
        <w:pStyle w:val="35"/>
        <w:ind w:left="0" w:leftChars="0" w:firstLine="0" w:firstLineChars="0"/>
        <w:rPr>
          <w:rFonts w:ascii="Times New Roman"/>
          <w:color w:val="000000"/>
        </w:rPr>
      </w:pPr>
    </w:p>
    <w:p>
      <w:pPr>
        <w:ind w:left="0" w:leftChars="0" w:firstLine="0" w:firstLineChars="0"/>
        <w:rPr>
          <w:rFonts w:ascii="Times New Roman"/>
          <w:color w:val="000000"/>
        </w:rPr>
      </w:pPr>
    </w:p>
    <w:p>
      <w:pPr>
        <w:spacing w:line="700" w:lineRule="exact"/>
        <w:ind w:left="0" w:leftChars="0" w:firstLine="0" w:firstLineChars="0"/>
        <w:jc w:val="left"/>
        <w:rPr>
          <w:rFonts w:ascii="Times New Roman" w:eastAsia="宋体"/>
          <w:b/>
          <w:color w:val="000000"/>
          <w:sz w:val="32"/>
          <w:szCs w:val="32"/>
        </w:rPr>
      </w:pPr>
      <w:r>
        <w:rPr>
          <w:rFonts w:hint="eastAsia" w:ascii="Times New Roman" w:eastAsia="宋体"/>
          <w:b/>
          <w:color w:val="000000"/>
          <w:sz w:val="32"/>
          <w:szCs w:val="32"/>
        </w:rPr>
        <w:t>采   购   人：衢州智慧新城管理委员会</w:t>
      </w:r>
    </w:p>
    <w:p>
      <w:pPr>
        <w:spacing w:line="700" w:lineRule="exact"/>
        <w:ind w:left="0" w:leftChars="0" w:firstLine="0" w:firstLineChars="0"/>
        <w:jc w:val="left"/>
        <w:rPr>
          <w:rFonts w:ascii="Times New Roman" w:eastAsia="宋体"/>
          <w:b/>
          <w:color w:val="000000"/>
          <w:sz w:val="32"/>
          <w:szCs w:val="32"/>
        </w:rPr>
      </w:pPr>
    </w:p>
    <w:p>
      <w:pPr>
        <w:spacing w:line="700" w:lineRule="exact"/>
        <w:ind w:left="0" w:leftChars="0" w:firstLine="0" w:firstLineChars="0"/>
        <w:jc w:val="left"/>
        <w:rPr>
          <w:rFonts w:ascii="Times New Roman" w:eastAsia="宋体"/>
          <w:b/>
          <w:color w:val="000000"/>
          <w:sz w:val="32"/>
          <w:szCs w:val="32"/>
        </w:rPr>
      </w:pPr>
      <w:r>
        <w:rPr>
          <w:rFonts w:hint="eastAsia" w:ascii="Times New Roman" w:eastAsia="宋体"/>
          <w:b/>
          <w:color w:val="000000"/>
          <w:sz w:val="32"/>
          <w:szCs w:val="32"/>
        </w:rPr>
        <w:t>采购代理单位：浙江卓宏建设项目管理有限公司</w:t>
      </w:r>
    </w:p>
    <w:p>
      <w:pPr>
        <w:spacing w:line="700" w:lineRule="exact"/>
        <w:ind w:firstLine="848" w:firstLineChars="265"/>
        <w:jc w:val="left"/>
        <w:rPr>
          <w:rFonts w:ascii="Times New Roman" w:eastAsia="宋体"/>
          <w:b/>
          <w:color w:val="000000"/>
          <w:sz w:val="32"/>
          <w:szCs w:val="32"/>
        </w:rPr>
      </w:pPr>
      <w:r>
        <w:rPr>
          <w:rFonts w:hint="eastAsia" w:ascii="Times New Roman" w:eastAsia="宋体"/>
          <w:b/>
          <w:color w:val="000000"/>
          <w:sz w:val="32"/>
          <w:szCs w:val="32"/>
        </w:rPr>
        <w:t xml:space="preserve">    </w:t>
      </w:r>
    </w:p>
    <w:p>
      <w:pPr>
        <w:spacing w:line="700" w:lineRule="exact"/>
        <w:ind w:firstLine="848" w:firstLineChars="265"/>
        <w:jc w:val="center"/>
        <w:rPr>
          <w:rFonts w:ascii="Times New Roman"/>
          <w:b/>
          <w:color w:val="000000"/>
          <w:sz w:val="30"/>
        </w:rPr>
      </w:pPr>
      <w:r>
        <w:rPr>
          <w:rFonts w:hint="eastAsia" w:ascii="Times New Roman" w:eastAsia="宋体"/>
          <w:b/>
          <w:color w:val="000000"/>
          <w:sz w:val="32"/>
          <w:szCs w:val="32"/>
        </w:rPr>
        <w:t>二〇二</w:t>
      </w:r>
      <w:r>
        <w:rPr>
          <w:rFonts w:ascii="Times New Roman" w:eastAsia="宋体"/>
          <w:b/>
          <w:color w:val="000000"/>
          <w:sz w:val="32"/>
          <w:szCs w:val="32"/>
        </w:rPr>
        <w:t>三</w:t>
      </w:r>
      <w:r>
        <w:rPr>
          <w:rFonts w:hint="eastAsia" w:ascii="Times New Roman" w:eastAsia="宋体"/>
          <w:b/>
          <w:color w:val="000000"/>
          <w:sz w:val="32"/>
          <w:szCs w:val="32"/>
        </w:rPr>
        <w:t>年十</w:t>
      </w:r>
      <w:r>
        <w:rPr>
          <w:rFonts w:hint="eastAsia" w:ascii="Times New Roman" w:eastAsia="宋体"/>
          <w:b/>
          <w:color w:val="000000"/>
          <w:sz w:val="32"/>
          <w:szCs w:val="32"/>
          <w:lang w:eastAsia="zh-CN"/>
        </w:rPr>
        <w:t>二</w:t>
      </w:r>
      <w:r>
        <w:rPr>
          <w:rFonts w:hint="eastAsia" w:ascii="Times New Roman" w:eastAsia="宋体"/>
          <w:b/>
          <w:color w:val="000000"/>
          <w:sz w:val="32"/>
          <w:szCs w:val="32"/>
        </w:rPr>
        <w:t>月</w:t>
      </w:r>
    </w:p>
    <w:p>
      <w:pPr>
        <w:spacing w:before="240" w:beforeLines="100" w:line="800" w:lineRule="exact"/>
        <w:ind w:right="-108"/>
        <w:jc w:val="center"/>
        <w:rPr>
          <w:rFonts w:ascii="宋体" w:hAnsi="宋体" w:eastAsia="宋体" w:cs="宋体"/>
          <w:b/>
          <w:color w:val="000000"/>
          <w:spacing w:val="-23"/>
          <w:sz w:val="44"/>
          <w:szCs w:val="44"/>
        </w:rPr>
        <w:sectPr>
          <w:headerReference r:id="rId5" w:type="first"/>
          <w:footerReference r:id="rId7" w:type="first"/>
          <w:headerReference r:id="rId3" w:type="default"/>
          <w:headerReference r:id="rId4" w:type="even"/>
          <w:footerReference r:id="rId6" w:type="even"/>
          <w:pgSz w:w="11906" w:h="16838"/>
          <w:pgMar w:top="1440" w:right="1780" w:bottom="1440" w:left="1797" w:header="851" w:footer="992" w:gutter="0"/>
          <w:pgNumType w:start="0"/>
          <w:cols w:space="720" w:num="1"/>
          <w:docGrid w:type="linesAndChars" w:linePitch="0" w:charSpace="0"/>
        </w:sectPr>
      </w:pPr>
    </w:p>
    <w:p>
      <w:pPr>
        <w:pStyle w:val="209"/>
        <w:jc w:val="center"/>
        <w:rPr>
          <w:rFonts w:ascii="宋体" w:hAnsi="宋体" w:cs="宋体"/>
          <w:color w:val="000000"/>
          <w:sz w:val="36"/>
          <w:szCs w:val="36"/>
          <w:lang w:val="zh-CN"/>
        </w:rPr>
      </w:pPr>
      <w:r>
        <w:rPr>
          <w:rFonts w:hint="eastAsia" w:ascii="宋体" w:hAnsi="宋体" w:cs="宋体"/>
          <w:color w:val="000000"/>
          <w:sz w:val="36"/>
          <w:szCs w:val="36"/>
          <w:lang w:val="zh-CN"/>
        </w:rPr>
        <w:t>目</w:t>
      </w:r>
      <w:r>
        <w:rPr>
          <w:rFonts w:hint="eastAsia" w:ascii="宋体" w:hAnsi="宋体" w:cs="宋体"/>
          <w:color w:val="000000"/>
          <w:sz w:val="36"/>
          <w:szCs w:val="36"/>
        </w:rPr>
        <w:t xml:space="preserve">  </w:t>
      </w:r>
      <w:r>
        <w:rPr>
          <w:rFonts w:hint="eastAsia" w:ascii="宋体" w:hAnsi="宋体" w:cs="宋体"/>
          <w:color w:val="000000"/>
          <w:sz w:val="36"/>
          <w:szCs w:val="36"/>
          <w:lang w:val="zh-CN"/>
        </w:rPr>
        <w:t>录</w:t>
      </w:r>
    </w:p>
    <w:p>
      <w:pPr>
        <w:pStyle w:val="209"/>
        <w:jc w:val="center"/>
        <w:rPr>
          <w:rFonts w:ascii="宋体" w:hAnsi="宋体" w:cs="宋体"/>
          <w:color w:val="000000"/>
        </w:rPr>
      </w:pPr>
      <w:r>
        <w:rPr>
          <w:rFonts w:hint="eastAsia" w:ascii="宋体" w:hAnsi="宋体" w:cs="宋体"/>
          <w:color w:val="000000"/>
        </w:rPr>
        <w:fldChar w:fldCharType="begin"/>
      </w:r>
      <w:r>
        <w:rPr>
          <w:rFonts w:hint="eastAsia" w:ascii="宋体" w:hAnsi="宋体" w:cs="宋体"/>
          <w:color w:val="000000"/>
        </w:rPr>
        <w:instrText xml:space="preserve"> TOC \o "1-3" \h \z \u </w:instrText>
      </w:r>
      <w:r>
        <w:rPr>
          <w:rFonts w:hint="eastAsia" w:ascii="宋体" w:hAnsi="宋体" w:cs="宋体"/>
          <w:color w:val="000000"/>
        </w:rPr>
        <w:fldChar w:fldCharType="separate"/>
      </w:r>
    </w:p>
    <w:p>
      <w:pPr>
        <w:pStyle w:val="43"/>
        <w:tabs>
          <w:tab w:val="right" w:leader="dot" w:pos="8319"/>
        </w:tabs>
        <w:spacing w:line="360" w:lineRule="auto"/>
        <w:rPr>
          <w:rFonts w:ascii="宋体" w:hAnsi="宋体" w:eastAsia="宋体" w:cs="宋体"/>
          <w:b w:val="0"/>
          <w:bCs w:val="0"/>
          <w:caps w:val="0"/>
          <w:color w:val="000000"/>
          <w:sz w:val="28"/>
          <w:szCs w:val="28"/>
        </w:rPr>
      </w:pPr>
      <w:r>
        <w:fldChar w:fldCharType="begin"/>
      </w:r>
      <w:r>
        <w:instrText xml:space="preserve"> HYPERLINK \l "_Toc119501466" </w:instrText>
      </w:r>
      <w:r>
        <w:fldChar w:fldCharType="separate"/>
      </w:r>
      <w:r>
        <w:rPr>
          <w:rStyle w:val="70"/>
          <w:rFonts w:hint="eastAsia" w:ascii="宋体" w:hAnsi="宋体" w:eastAsia="宋体" w:cs="宋体"/>
          <w:color w:val="000000"/>
          <w:sz w:val="28"/>
          <w:szCs w:val="28"/>
        </w:rPr>
        <w:t>第一章  招标公告</w:t>
      </w:r>
      <w:r>
        <w:rPr>
          <w:rFonts w:hint="eastAsia" w:ascii="宋体" w:hAnsi="宋体" w:eastAsia="宋体" w:cs="宋体"/>
          <w:color w:val="000000"/>
          <w:sz w:val="28"/>
          <w:szCs w:val="28"/>
        </w:rPr>
        <w:tab/>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PAGEREF _Toc119501466 \h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2</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fldChar w:fldCharType="end"/>
      </w:r>
    </w:p>
    <w:p>
      <w:pPr>
        <w:pStyle w:val="43"/>
        <w:tabs>
          <w:tab w:val="right" w:leader="dot" w:pos="8319"/>
        </w:tabs>
        <w:spacing w:line="360" w:lineRule="auto"/>
        <w:rPr>
          <w:rFonts w:ascii="宋体" w:hAnsi="宋体" w:eastAsia="宋体" w:cs="宋体"/>
          <w:b w:val="0"/>
          <w:bCs w:val="0"/>
          <w:caps w:val="0"/>
          <w:color w:val="000000"/>
          <w:sz w:val="28"/>
          <w:szCs w:val="28"/>
        </w:rPr>
      </w:pPr>
      <w:r>
        <w:fldChar w:fldCharType="begin"/>
      </w:r>
      <w:r>
        <w:instrText xml:space="preserve"> HYPERLINK \l "_Toc119501467" </w:instrText>
      </w:r>
      <w:r>
        <w:fldChar w:fldCharType="separate"/>
      </w:r>
      <w:r>
        <w:rPr>
          <w:rStyle w:val="70"/>
          <w:rFonts w:hint="eastAsia" w:ascii="宋体" w:hAnsi="宋体" w:eastAsia="宋体" w:cs="宋体"/>
          <w:color w:val="000000"/>
          <w:sz w:val="28"/>
          <w:szCs w:val="28"/>
        </w:rPr>
        <w:t>第二章  投标人须知</w:t>
      </w:r>
      <w:r>
        <w:rPr>
          <w:rFonts w:hint="eastAsia" w:ascii="宋体" w:hAnsi="宋体" w:eastAsia="宋体" w:cs="宋体"/>
          <w:color w:val="000000"/>
          <w:sz w:val="28"/>
          <w:szCs w:val="28"/>
        </w:rPr>
        <w:tab/>
      </w:r>
      <w:r>
        <w:rPr>
          <w:rFonts w:hint="eastAsia" w:ascii="宋体" w:hAnsi="宋体" w:eastAsia="宋体" w:cs="宋体"/>
          <w:color w:val="000000"/>
          <w:sz w:val="28"/>
          <w:szCs w:val="28"/>
        </w:rPr>
        <w:t>6</w:t>
      </w:r>
      <w:r>
        <w:rPr>
          <w:rFonts w:hint="eastAsia" w:ascii="宋体" w:hAnsi="宋体" w:eastAsia="宋体" w:cs="宋体"/>
          <w:color w:val="000000"/>
          <w:sz w:val="28"/>
          <w:szCs w:val="28"/>
        </w:rPr>
        <w:fldChar w:fldCharType="end"/>
      </w:r>
    </w:p>
    <w:p>
      <w:pPr>
        <w:pStyle w:val="43"/>
        <w:tabs>
          <w:tab w:val="right" w:leader="dot" w:pos="8319"/>
        </w:tabs>
        <w:spacing w:line="360" w:lineRule="auto"/>
        <w:rPr>
          <w:rFonts w:ascii="宋体" w:hAnsi="宋体" w:eastAsia="宋体" w:cs="宋体"/>
          <w:b w:val="0"/>
          <w:bCs w:val="0"/>
          <w:caps w:val="0"/>
          <w:color w:val="000000"/>
          <w:sz w:val="28"/>
          <w:szCs w:val="28"/>
        </w:rPr>
      </w:pPr>
      <w:r>
        <w:fldChar w:fldCharType="begin"/>
      </w:r>
      <w:r>
        <w:instrText xml:space="preserve"> HYPERLINK \l "_Toc119501468" </w:instrText>
      </w:r>
      <w:r>
        <w:fldChar w:fldCharType="separate"/>
      </w:r>
      <w:r>
        <w:rPr>
          <w:rStyle w:val="70"/>
          <w:rFonts w:hint="eastAsia" w:ascii="宋体" w:hAnsi="宋体" w:eastAsia="宋体" w:cs="宋体"/>
          <w:color w:val="000000"/>
          <w:sz w:val="28"/>
          <w:szCs w:val="28"/>
        </w:rPr>
        <w:t>第三章  采购内容及要求</w:t>
      </w:r>
      <w:r>
        <w:rPr>
          <w:rFonts w:hint="eastAsia" w:ascii="宋体" w:hAnsi="宋体" w:eastAsia="宋体" w:cs="宋体"/>
          <w:color w:val="000000"/>
          <w:sz w:val="28"/>
          <w:szCs w:val="28"/>
        </w:rPr>
        <w:tab/>
      </w:r>
      <w:r>
        <w:rPr>
          <w:rFonts w:hint="eastAsia" w:ascii="宋体" w:hAnsi="宋体" w:eastAsia="宋体" w:cs="宋体"/>
          <w:color w:val="000000"/>
          <w:sz w:val="28"/>
          <w:szCs w:val="28"/>
        </w:rPr>
        <w:t>2</w:t>
      </w:r>
      <w:r>
        <w:rPr>
          <w:rFonts w:hint="eastAsia" w:ascii="宋体" w:hAnsi="宋体" w:eastAsia="宋体" w:cs="宋体"/>
          <w:color w:val="000000"/>
          <w:sz w:val="28"/>
          <w:szCs w:val="28"/>
        </w:rPr>
        <w:fldChar w:fldCharType="end"/>
      </w:r>
      <w:r>
        <w:rPr>
          <w:rStyle w:val="70"/>
          <w:rFonts w:hint="eastAsia" w:ascii="宋体" w:hAnsi="宋体" w:eastAsia="宋体" w:cs="宋体"/>
          <w:color w:val="000000"/>
          <w:sz w:val="28"/>
          <w:szCs w:val="28"/>
        </w:rPr>
        <w:t>0</w:t>
      </w:r>
    </w:p>
    <w:p>
      <w:pPr>
        <w:pStyle w:val="43"/>
        <w:tabs>
          <w:tab w:val="right" w:leader="dot" w:pos="8319"/>
        </w:tabs>
        <w:spacing w:line="360" w:lineRule="auto"/>
        <w:rPr>
          <w:rFonts w:ascii="宋体" w:hAnsi="宋体" w:eastAsia="宋体" w:cs="宋体"/>
          <w:b w:val="0"/>
          <w:bCs w:val="0"/>
          <w:caps w:val="0"/>
          <w:color w:val="000000"/>
          <w:sz w:val="28"/>
          <w:szCs w:val="28"/>
        </w:rPr>
      </w:pPr>
      <w:r>
        <w:fldChar w:fldCharType="begin"/>
      </w:r>
      <w:r>
        <w:instrText xml:space="preserve"> HYPERLINK \l "_Toc119501471" </w:instrText>
      </w:r>
      <w:r>
        <w:fldChar w:fldCharType="separate"/>
      </w:r>
      <w:r>
        <w:rPr>
          <w:rStyle w:val="70"/>
          <w:rFonts w:hint="eastAsia" w:ascii="宋体" w:hAnsi="宋体" w:eastAsia="宋体" w:cs="宋体"/>
          <w:color w:val="000000"/>
          <w:sz w:val="28"/>
          <w:szCs w:val="28"/>
        </w:rPr>
        <w:t>第四章  合同主要条款</w:t>
      </w:r>
      <w:r>
        <w:rPr>
          <w:rFonts w:hint="eastAsia" w:ascii="宋体" w:hAnsi="宋体" w:eastAsia="宋体" w:cs="宋体"/>
          <w:color w:val="000000"/>
          <w:sz w:val="28"/>
          <w:szCs w:val="28"/>
        </w:rPr>
        <w:tab/>
      </w:r>
      <w:r>
        <w:rPr>
          <w:rFonts w:hint="eastAsia" w:ascii="宋体" w:hAnsi="宋体" w:eastAsia="宋体" w:cs="宋体"/>
          <w:color w:val="000000"/>
          <w:sz w:val="28"/>
          <w:szCs w:val="28"/>
        </w:rPr>
        <w:t>2</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2</w:t>
      </w:r>
    </w:p>
    <w:p>
      <w:pPr>
        <w:pStyle w:val="43"/>
        <w:tabs>
          <w:tab w:val="right" w:leader="dot" w:pos="8319"/>
        </w:tabs>
        <w:spacing w:line="360" w:lineRule="auto"/>
        <w:rPr>
          <w:rFonts w:hint="eastAsia" w:ascii="宋体" w:hAnsi="宋体" w:eastAsia="宋体" w:cs="宋体"/>
          <w:b w:val="0"/>
          <w:bCs w:val="0"/>
          <w:caps w:val="0"/>
          <w:color w:val="000000"/>
          <w:sz w:val="28"/>
          <w:szCs w:val="28"/>
          <w:lang w:val="en-US" w:eastAsia="zh-CN"/>
        </w:rPr>
      </w:pPr>
      <w:r>
        <w:fldChar w:fldCharType="begin"/>
      </w:r>
      <w:r>
        <w:instrText xml:space="preserve"> HYPERLINK \l "_Toc119501472" </w:instrText>
      </w:r>
      <w:r>
        <w:fldChar w:fldCharType="separate"/>
      </w:r>
      <w:r>
        <w:rPr>
          <w:rStyle w:val="70"/>
          <w:rFonts w:hint="eastAsia" w:ascii="宋体" w:hAnsi="宋体" w:eastAsia="宋体" w:cs="宋体"/>
          <w:color w:val="000000"/>
          <w:sz w:val="28"/>
          <w:szCs w:val="28"/>
        </w:rPr>
        <w:t>第五章  评标办法及标准</w:t>
      </w:r>
      <w:r>
        <w:rPr>
          <w:rFonts w:hint="eastAsia" w:ascii="宋体" w:hAnsi="宋体" w:eastAsia="宋体" w:cs="宋体"/>
          <w:color w:val="000000"/>
          <w:sz w:val="28"/>
          <w:szCs w:val="28"/>
        </w:rPr>
        <w:tab/>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lang w:val="en-US" w:eastAsia="zh-CN"/>
        </w:rPr>
        <w:t>2</w:t>
      </w:r>
    </w:p>
    <w:p>
      <w:pPr>
        <w:pStyle w:val="43"/>
        <w:tabs>
          <w:tab w:val="right" w:leader="dot" w:pos="8319"/>
        </w:tabs>
        <w:spacing w:line="360" w:lineRule="auto"/>
        <w:rPr>
          <w:rFonts w:hint="eastAsia" w:ascii="宋体" w:hAnsi="宋体" w:eastAsia="宋体" w:cs="宋体"/>
          <w:b w:val="0"/>
          <w:bCs w:val="0"/>
          <w:caps w:val="0"/>
          <w:color w:val="000000"/>
          <w:sz w:val="28"/>
          <w:szCs w:val="28"/>
          <w:lang w:val="en-US" w:eastAsia="zh-CN"/>
        </w:rPr>
      </w:pPr>
      <w:r>
        <w:fldChar w:fldCharType="begin"/>
      </w:r>
      <w:r>
        <w:instrText xml:space="preserve"> HYPERLINK \l "_Toc119501473" </w:instrText>
      </w:r>
      <w:r>
        <w:fldChar w:fldCharType="separate"/>
      </w:r>
      <w:r>
        <w:rPr>
          <w:rStyle w:val="70"/>
          <w:rFonts w:hint="eastAsia" w:ascii="宋体" w:hAnsi="宋体" w:eastAsia="宋体" w:cs="宋体"/>
          <w:color w:val="000000"/>
          <w:sz w:val="28"/>
          <w:szCs w:val="28"/>
        </w:rPr>
        <w:t>第六章  投标文件格式</w:t>
      </w:r>
      <w:r>
        <w:rPr>
          <w:rFonts w:hint="eastAsia" w:ascii="宋体" w:hAnsi="宋体" w:eastAsia="宋体" w:cs="宋体"/>
          <w:color w:val="000000"/>
          <w:sz w:val="28"/>
          <w:szCs w:val="28"/>
        </w:rPr>
        <w:tab/>
      </w:r>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lang w:val="en-US" w:eastAsia="zh-CN"/>
        </w:rPr>
        <w:t>8</w:t>
      </w:r>
    </w:p>
    <w:p>
      <w:pPr>
        <w:rPr>
          <w:rFonts w:ascii="宋体" w:hAnsi="宋体" w:eastAsia="宋体" w:cs="宋体"/>
          <w:color w:val="000000"/>
        </w:rPr>
      </w:pPr>
      <w:r>
        <w:rPr>
          <w:rFonts w:hint="eastAsia" w:ascii="宋体" w:hAnsi="宋体" w:eastAsia="宋体" w:cs="宋体"/>
          <w:b/>
          <w:bCs/>
          <w:color w:val="000000"/>
          <w:lang w:val="zh-CN"/>
        </w:rPr>
        <w:fldChar w:fldCharType="end"/>
      </w: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pStyle w:val="58"/>
        <w:rPr>
          <w:rFonts w:ascii="宋体" w:hAnsi="宋体" w:cs="宋体"/>
          <w:b w:val="0"/>
          <w:color w:val="000000"/>
        </w:rPr>
      </w:pPr>
    </w:p>
    <w:p/>
    <w:p>
      <w:pPr>
        <w:snapToGrid w:val="0"/>
        <w:spacing w:line="440" w:lineRule="exact"/>
        <w:jc w:val="center"/>
        <w:rPr>
          <w:rFonts w:ascii="宋体" w:hAnsi="宋体" w:eastAsia="宋体" w:cs="宋体"/>
          <w:b/>
          <w:color w:val="000000"/>
          <w:kern w:val="0"/>
          <w:sz w:val="36"/>
          <w:szCs w:val="20"/>
        </w:rPr>
      </w:pPr>
    </w:p>
    <w:p>
      <w:pPr>
        <w:snapToGrid w:val="0"/>
        <w:spacing w:line="440" w:lineRule="exact"/>
        <w:jc w:val="center"/>
        <w:rPr>
          <w:rFonts w:ascii="宋体" w:hAnsi="宋体" w:eastAsia="宋体" w:cs="宋体"/>
          <w:b/>
          <w:color w:val="000000"/>
          <w:kern w:val="0"/>
          <w:sz w:val="36"/>
          <w:szCs w:val="20"/>
        </w:rPr>
      </w:pPr>
    </w:p>
    <w:p>
      <w:pPr>
        <w:pStyle w:val="58"/>
        <w:outlineLvl w:val="0"/>
        <w:rPr>
          <w:rFonts w:ascii="宋体" w:hAnsi="宋体" w:cs="宋体"/>
          <w:color w:val="000000"/>
          <w:szCs w:val="36"/>
          <w:lang w:eastAsia="zh-CN"/>
        </w:rPr>
      </w:pPr>
      <w:bookmarkStart w:id="1" w:name="_Toc119501466"/>
      <w:r>
        <w:rPr>
          <w:rFonts w:hint="eastAsia" w:ascii="宋体" w:hAnsi="宋体" w:cs="宋体"/>
          <w:color w:val="000000"/>
          <w:szCs w:val="36"/>
          <w:lang w:eastAsia="zh-CN"/>
        </w:rPr>
        <w:t>第一章  招标公告</w:t>
      </w:r>
      <w:bookmarkEnd w:id="1"/>
    </w:p>
    <w:tbl>
      <w:tblPr>
        <w:tblStyle w:val="61"/>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6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21" w:hRule="atLeast"/>
        </w:trPr>
        <w:tc>
          <w:tcPr>
            <w:tcW w:w="9764" w:type="dxa"/>
          </w:tcPr>
          <w:p>
            <w:pPr>
              <w:spacing w:line="500" w:lineRule="exact"/>
              <w:ind w:firstLine="492" w:firstLineChars="200"/>
              <w:rPr>
                <w:rFonts w:ascii="宋体" w:hAnsi="宋体" w:eastAsia="宋体" w:cs="宋体"/>
                <w:sz w:val="24"/>
                <w:szCs w:val="24"/>
              </w:rPr>
            </w:pPr>
            <w:r>
              <w:rPr>
                <w:rFonts w:hint="eastAsia" w:ascii="宋体" w:hAnsi="宋体" w:eastAsia="宋体" w:cs="宋体"/>
                <w:sz w:val="24"/>
                <w:szCs w:val="24"/>
              </w:rPr>
              <w:t>项目概况</w:t>
            </w:r>
          </w:p>
          <w:p>
            <w:pPr>
              <w:spacing w:line="500" w:lineRule="exact"/>
              <w:ind w:firstLine="492" w:firstLineChars="200"/>
              <w:rPr>
                <w:rFonts w:ascii="宋体" w:hAnsi="宋体" w:eastAsia="宋体" w:cs="宋体"/>
                <w:sz w:val="24"/>
                <w:szCs w:val="24"/>
              </w:rPr>
            </w:pPr>
            <w:r>
              <w:rPr>
                <w:rFonts w:hint="eastAsia" w:ascii="宋体" w:hAnsi="宋体" w:eastAsia="宋体" w:cs="宋体"/>
                <w:sz w:val="24"/>
                <w:szCs w:val="24"/>
              </w:rPr>
              <w:t>高铁新城再生水厂运营管理服务项目的潜在投标人应在政府采购云平台（www.zcygov.cn）获取（下载）招标文件，并于</w:t>
            </w:r>
            <w:r>
              <w:rPr>
                <w:rFonts w:hint="eastAsia" w:ascii="宋体" w:hAnsi="宋体" w:eastAsia="宋体" w:cs="宋体"/>
                <w:color w:val="000000" w:themeColor="text1"/>
                <w:sz w:val="24"/>
                <w:szCs w:val="24"/>
                <w14:textFill>
                  <w14:solidFill>
                    <w14:schemeClr w14:val="tx1"/>
                  </w14:solidFill>
                </w14:textFill>
              </w:rPr>
              <w:t>2023年</w:t>
            </w:r>
            <w:r>
              <w:rPr>
                <w:rFonts w:hint="eastAsia" w:ascii="宋体" w:hAnsi="宋体" w:eastAsia="宋体" w:cs="宋体"/>
                <w:color w:val="000000" w:themeColor="text1"/>
                <w:sz w:val="24"/>
                <w:szCs w:val="24"/>
                <w:lang w:val="en-US" w:eastAsia="zh-CN"/>
                <w14:textFill>
                  <w14:solidFill>
                    <w14:schemeClr w14:val="tx1"/>
                  </w14:solidFill>
                </w14:textFill>
              </w:rPr>
              <w:t xml:space="preserve"> 1</w:t>
            </w:r>
            <w:r>
              <w:rPr>
                <w:rFonts w:hint="eastAsia" w:ascii="宋体" w:hAnsi="宋体" w:eastAsia="宋体" w:cs="宋体"/>
                <w:color w:val="000000" w:themeColor="text1"/>
                <w:sz w:val="24"/>
                <w:szCs w:val="24"/>
                <w14:textFill>
                  <w14:solidFill>
                    <w14:schemeClr w14:val="tx1"/>
                  </w14:solidFill>
                </w14:textFill>
              </w:rPr>
              <w:t xml:space="preserve"> 月 </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 日 09:30（北京时间）</w:t>
            </w:r>
            <w:r>
              <w:rPr>
                <w:rFonts w:hint="eastAsia" w:ascii="宋体" w:hAnsi="宋体" w:eastAsia="宋体" w:cs="宋体"/>
                <w:sz w:val="24"/>
                <w:szCs w:val="24"/>
              </w:rPr>
              <w:t>前递交（上传）投标文件。</w:t>
            </w:r>
          </w:p>
        </w:tc>
      </w:tr>
    </w:tbl>
    <w:p>
      <w:pPr>
        <w:tabs>
          <w:tab w:val="left" w:pos="3718"/>
        </w:tabs>
        <w:spacing w:line="470" w:lineRule="exact"/>
        <w:rPr>
          <w:rFonts w:ascii="宋体" w:hAnsi="宋体" w:eastAsia="宋体" w:cs="宋体"/>
          <w:b/>
          <w:sz w:val="24"/>
          <w:szCs w:val="24"/>
        </w:rPr>
      </w:pPr>
      <w:r>
        <w:rPr>
          <w:rFonts w:hint="eastAsia" w:ascii="宋体" w:hAnsi="宋体" w:eastAsia="宋体" w:cs="宋体"/>
          <w:b/>
          <w:sz w:val="24"/>
          <w:szCs w:val="24"/>
        </w:rPr>
        <w:t>一、项目基本情况 </w:t>
      </w:r>
      <w:r>
        <w:rPr>
          <w:rFonts w:ascii="宋体" w:hAnsi="宋体" w:eastAsia="宋体" w:cs="宋体"/>
          <w:b/>
          <w:sz w:val="24"/>
          <w:szCs w:val="24"/>
        </w:rPr>
        <w:tab/>
      </w:r>
    </w:p>
    <w:p>
      <w:pPr>
        <w:spacing w:line="470" w:lineRule="exact"/>
        <w:rPr>
          <w:rFonts w:ascii="宋体" w:hAnsi="宋体" w:eastAsia="宋体" w:cs="宋体"/>
          <w:sz w:val="24"/>
          <w:szCs w:val="24"/>
        </w:rPr>
      </w:pPr>
      <w:r>
        <w:rPr>
          <w:rFonts w:hint="eastAsia" w:ascii="宋体" w:hAnsi="宋体" w:eastAsia="宋体" w:cs="宋体"/>
          <w:sz w:val="24"/>
          <w:szCs w:val="24"/>
        </w:rPr>
        <w:t>   项目编号：ZJZH20230911</w:t>
      </w:r>
    </w:p>
    <w:p>
      <w:pPr>
        <w:spacing w:line="470" w:lineRule="exact"/>
        <w:rPr>
          <w:rFonts w:ascii="宋体" w:hAnsi="宋体" w:eastAsia="宋体" w:cs="宋体"/>
          <w:sz w:val="24"/>
          <w:szCs w:val="24"/>
        </w:rPr>
      </w:pPr>
      <w:r>
        <w:rPr>
          <w:rFonts w:hint="eastAsia" w:ascii="宋体" w:hAnsi="宋体" w:eastAsia="宋体" w:cs="宋体"/>
          <w:sz w:val="24"/>
          <w:szCs w:val="24"/>
        </w:rPr>
        <w:t>   项目名称：高铁新城再生水厂运营管理服务项目</w:t>
      </w:r>
    </w:p>
    <w:p>
      <w:pPr>
        <w:spacing w:line="470" w:lineRule="exact"/>
        <w:rPr>
          <w:rFonts w:hint="eastAsia" w:ascii="宋体" w:hAnsi="宋体" w:eastAsia="宋体" w:cs="宋体"/>
          <w:color w:val="FF0000"/>
          <w:sz w:val="24"/>
          <w:szCs w:val="24"/>
          <w:highlight w:val="yellow"/>
          <w:lang w:eastAsia="zh-CN"/>
        </w:rPr>
      </w:pPr>
      <w:r>
        <w:rPr>
          <w:rFonts w:hint="eastAsia" w:ascii="宋体" w:hAnsi="宋体" w:eastAsia="宋体" w:cs="宋体"/>
          <w:sz w:val="24"/>
          <w:szCs w:val="24"/>
        </w:rPr>
        <w:t xml:space="preserve">  </w:t>
      </w:r>
      <w:r>
        <w:rPr>
          <w:rFonts w:hint="eastAsia" w:ascii="宋体" w:hAnsi="宋体" w:eastAsia="宋体" w:cs="宋体"/>
          <w:color w:val="FF0000"/>
          <w:sz w:val="24"/>
          <w:szCs w:val="24"/>
        </w:rPr>
        <w:t xml:space="preserve"> </w:t>
      </w:r>
      <w:r>
        <w:rPr>
          <w:rFonts w:hint="eastAsia" w:ascii="宋体" w:hAnsi="宋体" w:eastAsia="宋体" w:cs="宋体"/>
          <w:color w:val="000000" w:themeColor="text1"/>
          <w:sz w:val="24"/>
          <w:szCs w:val="24"/>
          <w14:textFill>
            <w14:solidFill>
              <w14:schemeClr w14:val="tx1"/>
            </w14:solidFill>
          </w14:textFill>
        </w:rPr>
        <w:t>最高限价（万</w:t>
      </w:r>
      <w:r>
        <w:rPr>
          <w:rFonts w:hint="eastAsia" w:ascii="宋体" w:hAnsi="宋体" w:eastAsia="宋体" w:cs="宋体"/>
          <w:color w:val="000000" w:themeColor="text1"/>
          <w:sz w:val="24"/>
          <w:szCs w:val="24"/>
          <w:highlight w:val="none"/>
          <w14:textFill>
            <w14:solidFill>
              <w14:schemeClr w14:val="tx1"/>
            </w14:solidFill>
          </w14:textFill>
        </w:rPr>
        <w:t>元）：</w:t>
      </w:r>
      <w:r>
        <w:rPr>
          <w:rFonts w:hint="eastAsia" w:ascii="宋体" w:hAnsi="宋体" w:eastAsia="宋体" w:cs="宋体"/>
          <w:color w:val="000000" w:themeColor="text1"/>
          <w:sz w:val="24"/>
          <w:szCs w:val="24"/>
          <w:highlight w:val="none"/>
          <w:lang w:eastAsia="zh-CN"/>
          <w14:textFill>
            <w14:solidFill>
              <w14:schemeClr w14:val="tx1"/>
            </w14:solidFill>
          </w14:textFill>
        </w:rPr>
        <w:t>4017.9200</w:t>
      </w:r>
    </w:p>
    <w:p>
      <w:pPr>
        <w:spacing w:line="470" w:lineRule="exact"/>
        <w:ind w:firstLine="492" w:firstLineChars="200"/>
        <w:rPr>
          <w:rFonts w:ascii="宋体" w:hAnsi="宋体" w:eastAsia="宋体" w:cs="宋体"/>
          <w:sz w:val="24"/>
          <w:szCs w:val="24"/>
        </w:rPr>
      </w:pPr>
      <w:r>
        <w:rPr>
          <w:rFonts w:hint="eastAsia" w:ascii="宋体" w:hAnsi="宋体" w:eastAsia="宋体" w:cs="宋体"/>
          <w:sz w:val="24"/>
          <w:szCs w:val="24"/>
        </w:rPr>
        <w:t>采购需求：详见</w:t>
      </w:r>
      <w:r>
        <w:rPr>
          <w:rFonts w:hint="eastAsia" w:ascii="宋体" w:hAnsi="宋体" w:eastAsia="宋体" w:cs="宋体"/>
          <w:sz w:val="24"/>
          <w:szCs w:val="24"/>
          <w:lang w:eastAsia="zh-CN"/>
        </w:rPr>
        <w:t>采购</w:t>
      </w:r>
      <w:r>
        <w:rPr>
          <w:rFonts w:hint="eastAsia" w:ascii="宋体" w:hAnsi="宋体" w:eastAsia="宋体" w:cs="宋体"/>
          <w:sz w:val="24"/>
          <w:szCs w:val="24"/>
        </w:rPr>
        <w:t>文件第</w:t>
      </w:r>
      <w:r>
        <w:rPr>
          <w:rFonts w:hint="eastAsia" w:ascii="宋体" w:hAnsi="宋体" w:eastAsia="宋体" w:cs="宋体"/>
          <w:sz w:val="24"/>
          <w:szCs w:val="24"/>
          <w:lang w:eastAsia="zh-CN"/>
        </w:rPr>
        <w:t>三</w:t>
      </w:r>
      <w:r>
        <w:rPr>
          <w:rFonts w:hint="eastAsia" w:ascii="宋体" w:hAnsi="宋体" w:eastAsia="宋体" w:cs="宋体"/>
          <w:sz w:val="24"/>
          <w:szCs w:val="24"/>
        </w:rPr>
        <w:t>章采购内容及要求</w:t>
      </w:r>
    </w:p>
    <w:p>
      <w:pPr>
        <w:spacing w:line="470" w:lineRule="exact"/>
        <w:ind w:firstLine="492" w:firstLineChars="200"/>
        <w:rPr>
          <w:rFonts w:ascii="宋体" w:hAnsi="宋体" w:eastAsia="宋体" w:cs="宋体"/>
          <w:sz w:val="24"/>
          <w:szCs w:val="24"/>
        </w:rPr>
      </w:pPr>
      <w:r>
        <w:rPr>
          <w:rFonts w:hint="eastAsia" w:ascii="宋体" w:hAnsi="宋体" w:eastAsia="宋体" w:cs="宋体"/>
          <w:sz w:val="24"/>
          <w:szCs w:val="24"/>
        </w:rPr>
        <w:t xml:space="preserve">数量: 1 </w:t>
      </w:r>
    </w:p>
    <w:p>
      <w:pPr>
        <w:spacing w:line="470" w:lineRule="exact"/>
        <w:rPr>
          <w:rFonts w:ascii="宋体" w:hAnsi="宋体" w:eastAsia="宋体" w:cs="宋体"/>
          <w:sz w:val="24"/>
          <w:szCs w:val="24"/>
        </w:rPr>
      </w:pPr>
      <w:r>
        <w:rPr>
          <w:rFonts w:hint="eastAsia" w:ascii="宋体" w:hAnsi="宋体" w:eastAsia="宋体" w:cs="宋体"/>
          <w:sz w:val="24"/>
          <w:szCs w:val="24"/>
        </w:rPr>
        <w:t>    简要规格描述或项目基本概况介绍、用途：开展高铁新城再生水厂运营管理服务项目，详见采购文件。 </w:t>
      </w:r>
    </w:p>
    <w:p>
      <w:pPr>
        <w:spacing w:line="470" w:lineRule="exact"/>
        <w:jc w:val="left"/>
        <w:rPr>
          <w:rFonts w:ascii="宋体" w:hAnsi="宋体" w:eastAsia="宋体" w:cs="宋体"/>
          <w:sz w:val="24"/>
          <w:szCs w:val="24"/>
        </w:rPr>
      </w:pPr>
      <w:r>
        <w:rPr>
          <w:rFonts w:hint="eastAsia" w:ascii="宋体" w:hAnsi="宋体" w:eastAsia="宋体" w:cs="宋体"/>
          <w:sz w:val="24"/>
          <w:szCs w:val="24"/>
        </w:rPr>
        <w:t>    本项目不接受联合体投标。</w:t>
      </w:r>
    </w:p>
    <w:p>
      <w:pPr>
        <w:spacing w:line="470" w:lineRule="exact"/>
        <w:rPr>
          <w:rFonts w:ascii="宋体" w:hAnsi="宋体" w:eastAsia="宋体" w:cs="宋体"/>
          <w:b/>
          <w:sz w:val="24"/>
          <w:szCs w:val="24"/>
        </w:rPr>
      </w:pPr>
      <w:r>
        <w:rPr>
          <w:rFonts w:hint="eastAsia" w:ascii="宋体" w:hAnsi="宋体" w:eastAsia="宋体" w:cs="宋体"/>
          <w:b/>
          <w:sz w:val="24"/>
          <w:szCs w:val="24"/>
        </w:rPr>
        <w:t>二、申请人的资格要求：</w:t>
      </w:r>
    </w:p>
    <w:p>
      <w:pPr>
        <w:spacing w:line="470" w:lineRule="exact"/>
        <w:ind w:firstLine="492" w:firstLineChars="200"/>
        <w:rPr>
          <w:rFonts w:hint="eastAsia" w:ascii="宋体" w:hAnsi="宋体" w:eastAsia="宋体" w:cs="宋体"/>
          <w:sz w:val="24"/>
          <w:szCs w:val="24"/>
          <w:lang w:eastAsia="zh-CN"/>
        </w:rPr>
      </w:pPr>
      <w:r>
        <w:rPr>
          <w:rFonts w:hint="eastAsia" w:ascii="宋体" w:hAnsi="宋体" w:eastAsia="宋体" w:cs="宋体"/>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ascii="宋体" w:hAnsi="宋体" w:eastAsia="宋体" w:cs="宋体"/>
          <w:sz w:val="24"/>
          <w:szCs w:val="24"/>
          <w:lang w:eastAsia="zh-CN"/>
        </w:rPr>
        <w:t>；</w:t>
      </w:r>
    </w:p>
    <w:p>
      <w:pPr>
        <w:spacing w:line="470" w:lineRule="exact"/>
        <w:ind w:firstLine="49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2.落实政府采购政策需满足的资格要求：</w:t>
      </w:r>
      <w:r>
        <w:rPr>
          <w:rFonts w:hint="eastAsia" w:ascii="宋体" w:hAnsi="宋体" w:eastAsia="宋体" w:cs="宋体"/>
          <w:color w:val="000000" w:themeColor="text1"/>
          <w:sz w:val="24"/>
          <w:szCs w:val="24"/>
          <w:highlight w:val="none"/>
          <w:lang w:eastAsia="zh-CN"/>
          <w14:textFill>
            <w14:solidFill>
              <w14:schemeClr w14:val="tx1"/>
            </w14:solidFill>
          </w14:textFill>
        </w:rPr>
        <w:t>无；</w:t>
      </w:r>
    </w:p>
    <w:p>
      <w:pPr>
        <w:spacing w:line="470" w:lineRule="exact"/>
        <w:ind w:firstLine="49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3.本项目的特定资格要求：无</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bidi w:val="0"/>
        <w:snapToGrid w:val="0"/>
        <w:spacing w:line="500" w:lineRule="exact"/>
        <w:ind w:firstLine="492" w:firstLineChars="200"/>
        <w:textAlignment w:val="auto"/>
        <w:rPr>
          <w:rFonts w:hint="eastAsia" w:ascii="宋体" w:hAnsi="宋体" w:eastAsia="宋体" w:cs="宋体"/>
          <w:color w:val="FF0000"/>
          <w:sz w:val="24"/>
          <w:highlight w:val="yellow"/>
        </w:rPr>
      </w:pPr>
      <w:r>
        <w:rPr>
          <w:rFonts w:hint="eastAsia" w:ascii="宋体" w:hAnsi="宋体" w:eastAsia="宋体" w:cs="宋体"/>
          <w:color w:val="000000" w:themeColor="text1"/>
          <w:sz w:val="24"/>
          <w:highlight w:val="none"/>
          <w14:textFill>
            <w14:solidFill>
              <w14:schemeClr w14:val="tx1"/>
            </w14:solidFill>
          </w14:textFill>
        </w:rPr>
        <w:t>4.单位负责人为同一人或者存在直接控股、管理关系的不同投标人，不得参加同一合同项下的政府采购活动。</w:t>
      </w:r>
    </w:p>
    <w:p>
      <w:pPr>
        <w:spacing w:line="470" w:lineRule="exact"/>
        <w:ind w:firstLine="492" w:firstLineChars="200"/>
        <w:rPr>
          <w:rFonts w:ascii="宋体" w:hAnsi="宋体" w:eastAsia="宋体" w:cs="宋体"/>
          <w:b/>
          <w:sz w:val="24"/>
          <w:szCs w:val="24"/>
        </w:rPr>
      </w:pPr>
      <w:r>
        <w:rPr>
          <w:rFonts w:hint="eastAsia" w:ascii="宋体" w:hAnsi="宋体" w:eastAsia="宋体" w:cs="宋体"/>
          <w:sz w:val="24"/>
          <w:szCs w:val="24"/>
        </w:rPr>
        <w:t xml:space="preserve"> </w:t>
      </w:r>
      <w:r>
        <w:rPr>
          <w:rFonts w:hint="eastAsia" w:ascii="宋体" w:hAnsi="宋体" w:eastAsia="宋体" w:cs="宋体"/>
          <w:b/>
          <w:sz w:val="24"/>
          <w:szCs w:val="24"/>
        </w:rPr>
        <w:t>三、获取招标文件 </w:t>
      </w:r>
    </w:p>
    <w:p>
      <w:pPr>
        <w:spacing w:line="470" w:lineRule="exact"/>
        <w:ind w:firstLine="492" w:firstLineChars="200"/>
        <w:rPr>
          <w:rFonts w:ascii="宋体" w:hAnsi="宋体" w:eastAsia="宋体" w:cs="宋体"/>
          <w:sz w:val="24"/>
          <w:szCs w:val="24"/>
        </w:rPr>
      </w:pPr>
      <w:r>
        <w:rPr>
          <w:rFonts w:hint="eastAsia" w:ascii="宋体" w:hAnsi="宋体" w:eastAsia="宋体" w:cs="宋体"/>
          <w:sz w:val="24"/>
          <w:szCs w:val="24"/>
        </w:rPr>
        <w:t>时间：/至202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1</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u w:val="single"/>
          <w:lang w:val="en-US" w:eastAsia="zh-CN"/>
          <w14:textFill>
            <w14:solidFill>
              <w14:schemeClr w14:val="tx1"/>
            </w14:solidFill>
          </w14:textFill>
        </w:rPr>
        <w:t>9</w:t>
      </w:r>
      <w:bookmarkStart w:id="10" w:name="_GoBack"/>
      <w:bookmarkEnd w:id="10"/>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sz w:val="24"/>
          <w:szCs w:val="24"/>
        </w:rPr>
        <w:t>，每天上午00:00至12:00，下午12:00至23:59（北京时间，线上获取法定节假日均可，线下获取文件法定节假日除外）</w:t>
      </w:r>
    </w:p>
    <w:p>
      <w:pPr>
        <w:spacing w:line="470" w:lineRule="exact"/>
        <w:rPr>
          <w:rFonts w:ascii="宋体" w:hAnsi="宋体" w:eastAsia="宋体" w:cs="宋体"/>
          <w:sz w:val="24"/>
          <w:szCs w:val="24"/>
        </w:rPr>
      </w:pPr>
      <w:r>
        <w:rPr>
          <w:rFonts w:hint="eastAsia" w:ascii="宋体" w:hAnsi="宋体" w:eastAsia="宋体" w:cs="宋体"/>
          <w:sz w:val="24"/>
          <w:szCs w:val="24"/>
        </w:rPr>
        <w:t>   地点（网址）：政府采购云平台（www.zcygov.cn） </w:t>
      </w:r>
    </w:p>
    <w:p>
      <w:pPr>
        <w:spacing w:line="470" w:lineRule="exact"/>
        <w:rPr>
          <w:rFonts w:ascii="宋体" w:hAnsi="宋体" w:eastAsia="宋体" w:cs="宋体"/>
          <w:sz w:val="24"/>
          <w:szCs w:val="24"/>
        </w:rPr>
      </w:pPr>
      <w:r>
        <w:rPr>
          <w:rFonts w:hint="eastAsia" w:ascii="宋体" w:hAnsi="宋体" w:eastAsia="宋体" w:cs="宋体"/>
          <w:sz w:val="24"/>
          <w:szCs w:val="24"/>
        </w:rPr>
        <w:t>   方式：自行下载 </w:t>
      </w:r>
    </w:p>
    <w:p>
      <w:pPr>
        <w:spacing w:line="470" w:lineRule="exact"/>
        <w:rPr>
          <w:rFonts w:ascii="宋体" w:hAnsi="宋体" w:eastAsia="宋体" w:cs="宋体"/>
          <w:sz w:val="24"/>
          <w:szCs w:val="24"/>
        </w:rPr>
      </w:pPr>
      <w:r>
        <w:rPr>
          <w:rFonts w:hint="eastAsia" w:ascii="宋体" w:hAnsi="宋体" w:eastAsia="宋体" w:cs="宋体"/>
          <w:sz w:val="24"/>
          <w:szCs w:val="24"/>
        </w:rPr>
        <w:t>   售价（元）：0 </w:t>
      </w:r>
    </w:p>
    <w:p>
      <w:pPr>
        <w:spacing w:line="470" w:lineRule="exact"/>
        <w:rPr>
          <w:rFonts w:ascii="宋体" w:hAnsi="宋体" w:eastAsia="宋体" w:cs="宋体"/>
          <w:b/>
          <w:sz w:val="24"/>
          <w:szCs w:val="24"/>
        </w:rPr>
      </w:pPr>
      <w:r>
        <w:rPr>
          <w:rFonts w:hint="eastAsia" w:ascii="宋体" w:hAnsi="宋体" w:eastAsia="宋体" w:cs="宋体"/>
          <w:b/>
          <w:sz w:val="24"/>
          <w:szCs w:val="24"/>
        </w:rPr>
        <w:t>四、提交投标文件截止时间、开标时间和地点</w:t>
      </w:r>
    </w:p>
    <w:p>
      <w:pPr>
        <w:spacing w:line="470" w:lineRule="exact"/>
        <w:ind w:firstLine="492" w:firstLineChars="200"/>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sz w:val="24"/>
          <w:szCs w:val="24"/>
        </w:rPr>
        <w:t>提交投标文件截止时间：</w:t>
      </w: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年 </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 xml:space="preserve"> 月 </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 日09:30时（北京时间）</w:t>
      </w:r>
    </w:p>
    <w:p>
      <w:pPr>
        <w:spacing w:line="470" w:lineRule="exact"/>
        <w:ind w:firstLine="492" w:firstLineChars="200"/>
        <w:rPr>
          <w:rFonts w:ascii="宋体" w:hAnsi="宋体" w:eastAsia="宋体" w:cs="宋体"/>
          <w:sz w:val="24"/>
          <w:szCs w:val="24"/>
        </w:rPr>
      </w:pPr>
      <w:r>
        <w:rPr>
          <w:rFonts w:hint="eastAsia" w:ascii="宋体" w:hAnsi="宋体" w:eastAsia="宋体" w:cs="宋体"/>
          <w:sz w:val="24"/>
          <w:szCs w:val="24"/>
        </w:rPr>
        <w:t>投标地点（网址）：本项目实行电子投标，投标供应商应在投标文件递交截止时间前将“电子加密投标文件”上传到“政府采购云平台”系统中。 </w:t>
      </w:r>
    </w:p>
    <w:p>
      <w:pPr>
        <w:spacing w:line="470" w:lineRule="exact"/>
        <w:ind w:firstLine="492" w:firstLineChars="200"/>
        <w:rPr>
          <w:rFonts w:ascii="宋体" w:hAnsi="宋体" w:eastAsia="宋体" w:cs="宋体"/>
          <w:color w:val="FF0000"/>
          <w:sz w:val="24"/>
          <w:szCs w:val="24"/>
        </w:rPr>
      </w:pPr>
      <w:r>
        <w:rPr>
          <w:rFonts w:hint="eastAsia" w:ascii="宋体" w:hAnsi="宋体" w:eastAsia="宋体" w:cs="宋体"/>
          <w:sz w:val="24"/>
          <w:szCs w:val="24"/>
        </w:rPr>
        <w:t>开标时间：</w:t>
      </w:r>
      <w:r>
        <w:rPr>
          <w:rFonts w:hint="eastAsia" w:ascii="宋体" w:hAnsi="宋体" w:eastAsia="宋体" w:cs="宋体"/>
          <w:color w:val="000000" w:themeColor="text1"/>
          <w:sz w:val="24"/>
          <w:szCs w:val="24"/>
          <w14:textFill>
            <w14:solidFill>
              <w14:schemeClr w14:val="tx1"/>
            </w14:solidFill>
          </w14:textFill>
        </w:rPr>
        <w:t>202</w:t>
      </w:r>
      <w:r>
        <w:rPr>
          <w:rFonts w:hint="eastAsia" w:ascii="宋体" w:hAnsi="宋体" w:eastAsia="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 xml:space="preserve">年 </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 xml:space="preserve"> 月 </w:t>
      </w:r>
      <w:r>
        <w:rPr>
          <w:rFonts w:hint="eastAsia" w:ascii="宋体" w:hAnsi="宋体" w:eastAsia="宋体" w:cs="宋体"/>
          <w:color w:val="000000" w:themeColor="text1"/>
          <w:sz w:val="24"/>
          <w:szCs w:val="24"/>
          <w:lang w:val="en-US" w:eastAsia="zh-CN"/>
          <w14:textFill>
            <w14:solidFill>
              <w14:schemeClr w14:val="tx1"/>
            </w14:solidFill>
          </w14:textFill>
        </w:rPr>
        <w:t>9</w:t>
      </w:r>
      <w:r>
        <w:rPr>
          <w:rFonts w:hint="eastAsia" w:ascii="宋体" w:hAnsi="宋体" w:eastAsia="宋体" w:cs="宋体"/>
          <w:color w:val="000000" w:themeColor="text1"/>
          <w:sz w:val="24"/>
          <w:szCs w:val="24"/>
          <w14:textFill>
            <w14:solidFill>
              <w14:schemeClr w14:val="tx1"/>
            </w14:solidFill>
          </w14:textFill>
        </w:rPr>
        <w:t xml:space="preserve"> 日09:30时 </w:t>
      </w:r>
    </w:p>
    <w:p>
      <w:pPr>
        <w:pageBreakBefore w:val="0"/>
        <w:kinsoku/>
        <w:wordWrap/>
        <w:overflowPunct/>
        <w:topLinePunct w:val="0"/>
        <w:bidi w:val="0"/>
        <w:spacing w:line="440" w:lineRule="exact"/>
        <w:ind w:firstLine="492" w:firstLineChars="200"/>
        <w:jc w:val="left"/>
        <w:textAlignment w:val="auto"/>
        <w:rPr>
          <w:rFonts w:ascii="宋体" w:hAnsi="宋体" w:cs="宋体"/>
          <w:b w:val="0"/>
          <w:bCs w:val="0"/>
          <w:color w:val="auto"/>
          <w:sz w:val="24"/>
          <w:szCs w:val="24"/>
          <w:highlight w:val="none"/>
          <w:lang w:val="zh-CN"/>
        </w:rPr>
      </w:pPr>
      <w:r>
        <w:rPr>
          <w:rFonts w:hint="eastAsia" w:ascii="宋体" w:hAnsi="宋体" w:eastAsia="宋体" w:cs="宋体"/>
          <w:sz w:val="24"/>
          <w:szCs w:val="24"/>
        </w:rPr>
        <w:t>开标地点（网址）：</w:t>
      </w:r>
      <w:r>
        <w:rPr>
          <w:rFonts w:hint="eastAsia" w:ascii="宋体" w:hAnsi="宋体" w:eastAsia="宋体" w:cs="宋体"/>
          <w:color w:val="000000" w:themeColor="text1"/>
          <w:sz w:val="24"/>
          <w:szCs w:val="24"/>
          <w:lang w:val="zh-CN" w:eastAsia="zh-CN"/>
          <w14:textFill>
            <w14:solidFill>
              <w14:schemeClr w14:val="tx1"/>
            </w14:solidFill>
          </w14:textFill>
        </w:rPr>
        <w:t>衢州市文化艺术中心与便民服务中心A座五楼（柯城区花园东大道199号），</w:t>
      </w:r>
      <w:r>
        <w:rPr>
          <w:rFonts w:hint="eastAsia" w:ascii="宋体" w:hAnsi="宋体" w:eastAsia="宋体" w:cs="宋体"/>
          <w:sz w:val="24"/>
          <w:szCs w:val="24"/>
          <w:lang w:val="zh-CN" w:eastAsia="zh-CN"/>
        </w:rPr>
        <w:t>同时</w:t>
      </w:r>
      <w:r>
        <w:rPr>
          <w:rFonts w:hint="eastAsia" w:ascii="宋体" w:hAnsi="宋体" w:eastAsia="宋体" w:cs="宋体"/>
          <w:sz w:val="24"/>
          <w:szCs w:val="24"/>
        </w:rPr>
        <w:t>在政府采购云平台（www.zcygov.cn）上开启投标文件；供应商应按采购文件规定的方式和时间在线解密。  </w:t>
      </w:r>
    </w:p>
    <w:p>
      <w:pPr>
        <w:spacing w:line="470" w:lineRule="exact"/>
        <w:rPr>
          <w:rFonts w:ascii="宋体" w:hAnsi="宋体" w:eastAsia="宋体" w:cs="宋体"/>
          <w:b/>
          <w:sz w:val="24"/>
          <w:szCs w:val="24"/>
        </w:rPr>
      </w:pPr>
      <w:r>
        <w:rPr>
          <w:rFonts w:hint="eastAsia" w:ascii="宋体" w:hAnsi="宋体" w:eastAsia="宋体" w:cs="宋体"/>
          <w:b/>
          <w:sz w:val="24"/>
          <w:szCs w:val="24"/>
        </w:rPr>
        <w:t>五、公告期限 </w:t>
      </w:r>
    </w:p>
    <w:p>
      <w:pPr>
        <w:spacing w:line="470" w:lineRule="exact"/>
        <w:ind w:firstLine="492" w:firstLineChars="200"/>
        <w:rPr>
          <w:rFonts w:ascii="宋体" w:hAnsi="宋体" w:eastAsia="宋体" w:cs="宋体"/>
          <w:sz w:val="24"/>
          <w:szCs w:val="24"/>
        </w:rPr>
      </w:pPr>
      <w:r>
        <w:rPr>
          <w:rFonts w:hint="eastAsia" w:ascii="宋体" w:hAnsi="宋体" w:eastAsia="宋体" w:cs="宋体"/>
          <w:sz w:val="24"/>
          <w:szCs w:val="24"/>
        </w:rPr>
        <w:t>自本公告发布之日起5个工作日。</w:t>
      </w:r>
    </w:p>
    <w:p>
      <w:pPr>
        <w:spacing w:line="500" w:lineRule="exact"/>
        <w:rPr>
          <w:rFonts w:ascii="宋体" w:hAnsi="宋体" w:eastAsia="宋体" w:cs="宋体"/>
          <w:b/>
          <w:sz w:val="24"/>
          <w:szCs w:val="24"/>
        </w:rPr>
      </w:pPr>
      <w:r>
        <w:rPr>
          <w:rFonts w:hint="eastAsia" w:ascii="宋体" w:hAnsi="宋体" w:eastAsia="宋体" w:cs="宋体"/>
          <w:b/>
          <w:sz w:val="24"/>
          <w:szCs w:val="24"/>
        </w:rPr>
        <w:t>六、其他补充事宜</w:t>
      </w:r>
    </w:p>
    <w:p>
      <w:pPr>
        <w:spacing w:line="470" w:lineRule="exact"/>
        <w:ind w:firstLine="492" w:firstLineChars="200"/>
        <w:rPr>
          <w:rFonts w:ascii="宋体" w:hAnsi="宋体" w:eastAsia="宋体" w:cs="宋体"/>
          <w:color w:val="000000"/>
          <w:sz w:val="24"/>
          <w:szCs w:val="24"/>
        </w:rPr>
      </w:pPr>
      <w:r>
        <w:rPr>
          <w:rFonts w:hint="eastAsia" w:ascii="宋体" w:hAnsi="宋体" w:eastAsia="宋体" w:cs="宋体"/>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助力扎实稳住经济通知》 （浙财采监（2022）8号），已分别于2022年1月29日和2022年2月1日和2022年7月1日开始实施，此前有关规定与上述文件内容不一致的，按上述文件要求执行。</w:t>
      </w:r>
    </w:p>
    <w:p>
      <w:pPr>
        <w:spacing w:line="47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7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7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4.其他事项：（1）本项目不提供纸质版采购文件，潜在供应商可通过“政府采购云平台”在线获取；供应商只有在“政府采购云平台”完成获取采购文件申请并下载了采购文件后才视作依法获取采购文件（法律法规所指的供应商获取采购文件时间，以供应商完成获取采购文件申请后下载采购文件的时间为准）。通过本公告下方“游客，浏览采购文件”下载的采购文件仅供浏览，不视作参与本项目。 （2）根据《浙江省财政厅关于规范政府采购供应商资格设定及资格审查的通知》（浙财采监[2013]24号）第6条规定接受金融、保险、通讯等特定行业的全国性企业所设立的区域性分支机构，以及个体工商户、个人独资企业、合伙企业，且已经依法办理了工商、税务和社保登记手续，并且获得总机构授权或能够提供房产权证或其他有效财产证明材料，证明其具备实际承担责任的能力和法定的缔结合同能力。 （3）单位负责人为同一人或者存在直接控股、管理关系的不同供应商，不得同时参加同一合同项下的投标。 （4）采购项目需要落实的政府采购政策：《政府采购促进中小企业发展暂行办法》、《关于促进残疾人就业政府采购政策的通知》（财库〔2017〕141号）、《关于政府采购支持监狱企业发展有关问题的通知》（财库[2014]68号）、《关于调整优化节能产品环境标志产品政府采购执行机制的通知》（财库[2019]9号）、《关于印发浙江省政府采购支持中小企业信用融资试点办法的通知》（浙财采监〔2012〕13号）。 （5）本项目采取电子招投标，电子招投标有关事项说明： A.本项目通过“浙江政府采购网（http://zfcg.czt.zj.gov.cn）”实行电子投标，供应商须安装客户端软件，并按照采购文件和电子交易平台的要求制作投标文件。 客户端软件下载方式：供应商可通过“浙江政府采购网-下载专区-电子交易客户端”进行下载。 B.供应商须申领CA，并在浙江政府采购网完成绑定方可进行投标文件的编制，CA相关操作可参考“浙江政府采购网-下载专区-电子交易客户端-CA驱动和申领流程”。 （6）本项目采购方式：公开招标。投标人无需缴纳投标保证金。  </w:t>
      </w:r>
    </w:p>
    <w:p>
      <w:pPr>
        <w:spacing w:line="500" w:lineRule="exact"/>
        <w:rPr>
          <w:rFonts w:ascii="宋体" w:hAnsi="宋体" w:eastAsia="宋体" w:cs="宋体"/>
          <w:b/>
          <w:color w:val="000000"/>
          <w:sz w:val="24"/>
          <w:szCs w:val="24"/>
        </w:rPr>
      </w:pPr>
      <w:r>
        <w:rPr>
          <w:rFonts w:hint="eastAsia" w:ascii="宋体" w:hAnsi="宋体" w:eastAsia="宋体" w:cs="宋体"/>
          <w:b/>
          <w:color w:val="000000"/>
          <w:sz w:val="24"/>
          <w:szCs w:val="24"/>
        </w:rPr>
        <w:t>七、对本次采购提出询问、质疑、投诉，请按以下方式联系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color w:val="000000"/>
          <w:sz w:val="24"/>
          <w:szCs w:val="24"/>
        </w:rPr>
      </w:pPr>
      <w:r>
        <w:rPr>
          <w:rFonts w:hint="eastAsia" w:ascii="宋体" w:hAnsi="宋体" w:eastAsia="宋体" w:cs="宋体"/>
          <w:color w:val="000000"/>
          <w:sz w:val="24"/>
          <w:szCs w:val="24"/>
        </w:rPr>
        <w:t>    1.采购人信息</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eastAsia="宋体" w:cs="宋体"/>
          <w:color w:val="000000"/>
          <w:sz w:val="24"/>
          <w:szCs w:val="24"/>
        </w:rPr>
      </w:pPr>
      <w:r>
        <w:rPr>
          <w:rFonts w:hint="eastAsia" w:ascii="宋体" w:hAnsi="宋体" w:eastAsia="宋体" w:cs="宋体"/>
          <w:color w:val="000000"/>
          <w:sz w:val="24"/>
          <w:szCs w:val="24"/>
        </w:rPr>
        <w:t>    名    称：衢州智慧新城管理委员会</w:t>
      </w:r>
    </w:p>
    <w:p>
      <w:pPr>
        <w:keepNext w:val="0"/>
        <w:keepLines w:val="0"/>
        <w:pageBreakBefore w:val="0"/>
        <w:widowControl w:val="0"/>
        <w:kinsoku/>
        <w:wordWrap/>
        <w:overflowPunct/>
        <w:topLinePunct w:val="0"/>
        <w:autoSpaceDE/>
        <w:autoSpaceDN/>
        <w:bidi w:val="0"/>
        <w:adjustRightInd/>
        <w:snapToGrid/>
        <w:spacing w:line="440" w:lineRule="exact"/>
        <w:ind w:firstLine="732"/>
        <w:textAlignment w:val="auto"/>
        <w:rPr>
          <w:rFonts w:ascii="宋体" w:hAnsi="宋体" w:eastAsia="宋体" w:cs="宋体"/>
          <w:color w:val="000000"/>
          <w:sz w:val="24"/>
          <w:szCs w:val="24"/>
        </w:rPr>
      </w:pPr>
      <w:r>
        <w:rPr>
          <w:rFonts w:hint="eastAsia" w:ascii="宋体" w:hAnsi="宋体" w:eastAsia="宋体" w:cs="宋体"/>
          <w:color w:val="000000"/>
          <w:sz w:val="24"/>
          <w:szCs w:val="24"/>
        </w:rPr>
        <w:t xml:space="preserve">地    址：衢州市九华北大道333号  </w:t>
      </w:r>
    </w:p>
    <w:p>
      <w:pPr>
        <w:keepNext w:val="0"/>
        <w:keepLines w:val="0"/>
        <w:pageBreakBefore w:val="0"/>
        <w:widowControl w:val="0"/>
        <w:kinsoku/>
        <w:wordWrap/>
        <w:overflowPunct/>
        <w:topLinePunct w:val="0"/>
        <w:autoSpaceDE/>
        <w:autoSpaceDN/>
        <w:bidi w:val="0"/>
        <w:adjustRightInd/>
        <w:snapToGrid/>
        <w:spacing w:line="440" w:lineRule="exact"/>
        <w:ind w:firstLine="732"/>
        <w:textAlignment w:val="auto"/>
        <w:rPr>
          <w:rFonts w:ascii="宋体" w:hAnsi="宋体" w:eastAsia="宋体" w:cs="宋体"/>
          <w:color w:val="000000"/>
          <w:sz w:val="24"/>
          <w:szCs w:val="24"/>
        </w:rPr>
      </w:pPr>
      <w:r>
        <w:rPr>
          <w:rFonts w:hint="eastAsia" w:ascii="宋体" w:hAnsi="宋体" w:eastAsia="宋体" w:cs="宋体"/>
          <w:color w:val="000000"/>
          <w:sz w:val="24"/>
          <w:szCs w:val="24"/>
        </w:rPr>
        <w:t>传    真：/</w:t>
      </w:r>
    </w:p>
    <w:p>
      <w:pPr>
        <w:keepNext w:val="0"/>
        <w:keepLines w:val="0"/>
        <w:pageBreakBefore w:val="0"/>
        <w:widowControl w:val="0"/>
        <w:kinsoku/>
        <w:wordWrap/>
        <w:overflowPunct/>
        <w:topLinePunct w:val="0"/>
        <w:autoSpaceDE/>
        <w:autoSpaceDN/>
        <w:bidi w:val="0"/>
        <w:adjustRightInd/>
        <w:snapToGrid/>
        <w:spacing w:line="440" w:lineRule="exact"/>
        <w:ind w:firstLine="73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项目联系人（询问）：严女士</w:t>
      </w:r>
    </w:p>
    <w:p>
      <w:pPr>
        <w:keepNext w:val="0"/>
        <w:keepLines w:val="0"/>
        <w:pageBreakBefore w:val="0"/>
        <w:widowControl w:val="0"/>
        <w:kinsoku/>
        <w:wordWrap/>
        <w:overflowPunct/>
        <w:topLinePunct w:val="0"/>
        <w:autoSpaceDE/>
        <w:autoSpaceDN/>
        <w:bidi w:val="0"/>
        <w:adjustRightInd/>
        <w:snapToGrid/>
        <w:spacing w:line="440" w:lineRule="exact"/>
        <w:ind w:firstLine="73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项目联系方式（询问）：</w:t>
      </w:r>
      <w:r>
        <w:rPr>
          <w:rFonts w:ascii="宋体" w:hAnsi="宋体"/>
          <w:color w:val="000000" w:themeColor="text1"/>
          <w:sz w:val="24"/>
          <w:szCs w:val="22"/>
          <w14:textFill>
            <w14:solidFill>
              <w14:schemeClr w14:val="tx1"/>
            </w14:solidFill>
          </w14:textFill>
        </w:rPr>
        <w:t>0570-</w:t>
      </w:r>
      <w:r>
        <w:rPr>
          <w:rFonts w:hint="eastAsia" w:ascii="宋体" w:hAnsi="宋体"/>
          <w:color w:val="000000" w:themeColor="text1"/>
          <w:sz w:val="24"/>
          <w:szCs w:val="22"/>
          <w14:textFill>
            <w14:solidFill>
              <w14:schemeClr w14:val="tx1"/>
            </w14:solidFill>
          </w14:textFill>
        </w:rPr>
        <w:t>3116586</w:t>
      </w:r>
      <w:r>
        <w:rPr>
          <w:rFonts w:ascii="宋体" w:hAnsi="宋体"/>
          <w:color w:val="000000" w:themeColor="text1"/>
          <w:sz w:val="24"/>
          <w:szCs w:val="22"/>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440" w:lineRule="exact"/>
        <w:ind w:firstLine="73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质疑联系人：</w:t>
      </w:r>
      <w:r>
        <w:rPr>
          <w:rFonts w:hint="eastAsia" w:ascii="宋体" w:hAnsi="宋体" w:eastAsia="宋体" w:cs="宋体"/>
          <w:color w:val="000000" w:themeColor="text1"/>
          <w:sz w:val="24"/>
          <w:szCs w:val="24"/>
          <w:lang w:eastAsia="zh-CN"/>
          <w14:textFill>
            <w14:solidFill>
              <w14:schemeClr w14:val="tx1"/>
            </w14:solidFill>
          </w14:textFill>
        </w:rPr>
        <w:t>吕</w:t>
      </w:r>
      <w:r>
        <w:rPr>
          <w:rFonts w:hint="eastAsia" w:ascii="宋体" w:hAnsi="宋体" w:eastAsia="宋体" w:cs="宋体"/>
          <w:color w:val="000000" w:themeColor="text1"/>
          <w:sz w:val="24"/>
          <w:szCs w:val="24"/>
          <w14:textFill>
            <w14:solidFill>
              <w14:schemeClr w14:val="tx1"/>
            </w14:solidFill>
          </w14:textFill>
        </w:rPr>
        <w:t>先生</w:t>
      </w:r>
    </w:p>
    <w:p>
      <w:pPr>
        <w:keepNext w:val="0"/>
        <w:keepLines w:val="0"/>
        <w:pageBreakBefore w:val="0"/>
        <w:widowControl w:val="0"/>
        <w:kinsoku/>
        <w:wordWrap/>
        <w:overflowPunct/>
        <w:topLinePunct w:val="0"/>
        <w:autoSpaceDE/>
        <w:autoSpaceDN/>
        <w:bidi w:val="0"/>
        <w:adjustRightInd/>
        <w:snapToGrid/>
        <w:spacing w:line="440" w:lineRule="exact"/>
        <w:ind w:firstLine="732"/>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质疑联系方式：0570-3116573</w:t>
      </w:r>
    </w:p>
    <w:p>
      <w:pPr>
        <w:keepNext w:val="0"/>
        <w:keepLines w:val="0"/>
        <w:pageBreakBefore w:val="0"/>
        <w:widowControl w:val="0"/>
        <w:kinsoku/>
        <w:wordWrap/>
        <w:overflowPunct/>
        <w:topLinePunct w:val="0"/>
        <w:autoSpaceDE/>
        <w:autoSpaceDN/>
        <w:bidi w:val="0"/>
        <w:adjustRightInd/>
        <w:snapToGrid/>
        <w:spacing w:line="460" w:lineRule="exact"/>
        <w:ind w:firstLine="720"/>
        <w:textAlignment w:val="auto"/>
        <w:rPr>
          <w:rFonts w:ascii="宋体" w:hAnsi="宋体" w:eastAsia="宋体" w:cs="宋体"/>
          <w:color w:val="000000"/>
          <w:sz w:val="24"/>
          <w:szCs w:val="24"/>
        </w:rPr>
      </w:pPr>
    </w:p>
    <w:p>
      <w:pPr>
        <w:spacing w:line="400" w:lineRule="exact"/>
        <w:ind w:firstLine="720"/>
        <w:rPr>
          <w:rFonts w:ascii="宋体" w:hAnsi="宋体" w:eastAsia="宋体" w:cs="宋体"/>
          <w:color w:val="000000"/>
          <w:sz w:val="24"/>
          <w:szCs w:val="24"/>
        </w:rPr>
      </w:pPr>
      <w:r>
        <w:rPr>
          <w:rFonts w:hint="eastAsia" w:ascii="宋体" w:hAnsi="宋体" w:eastAsia="宋体" w:cs="宋体"/>
          <w:color w:val="000000"/>
          <w:sz w:val="24"/>
          <w:szCs w:val="24"/>
        </w:rPr>
        <w:t>2.采购代理机构信息</w:t>
      </w:r>
    </w:p>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    名    称：浙江卓宏建设项目管理有限公司</w:t>
      </w:r>
    </w:p>
    <w:p>
      <w:pPr>
        <w:spacing w:line="400" w:lineRule="exact"/>
        <w:ind w:firstLine="738" w:firstLineChars="300"/>
        <w:rPr>
          <w:rFonts w:ascii="宋体" w:hAnsi="宋体" w:eastAsia="宋体" w:cs="宋体"/>
          <w:color w:val="000000"/>
          <w:sz w:val="24"/>
          <w:szCs w:val="24"/>
        </w:rPr>
      </w:pPr>
      <w:r>
        <w:rPr>
          <w:rFonts w:hint="eastAsia" w:ascii="宋体" w:hAnsi="宋体" w:eastAsia="宋体" w:cs="宋体"/>
          <w:color w:val="000000"/>
          <w:sz w:val="24"/>
          <w:szCs w:val="24"/>
        </w:rPr>
        <w:t>地    址：衢州市柯城区鑫港大厦18楼东侧</w:t>
      </w:r>
    </w:p>
    <w:p>
      <w:pPr>
        <w:spacing w:line="400" w:lineRule="exact"/>
        <w:ind w:firstLine="738" w:firstLineChars="300"/>
        <w:rPr>
          <w:rFonts w:ascii="宋体" w:hAnsi="宋体" w:eastAsia="宋体" w:cs="宋体"/>
          <w:color w:val="000000"/>
          <w:sz w:val="24"/>
          <w:szCs w:val="24"/>
        </w:rPr>
      </w:pPr>
      <w:r>
        <w:rPr>
          <w:rFonts w:hint="eastAsia" w:ascii="宋体" w:hAnsi="宋体" w:eastAsia="宋体" w:cs="宋体"/>
          <w:color w:val="000000"/>
          <w:sz w:val="24"/>
          <w:szCs w:val="24"/>
        </w:rPr>
        <w:t>传    真：/</w:t>
      </w:r>
    </w:p>
    <w:p>
      <w:pPr>
        <w:spacing w:line="400" w:lineRule="exact"/>
        <w:ind w:firstLine="732"/>
        <w:rPr>
          <w:rFonts w:ascii="宋体" w:hAnsi="宋体" w:eastAsia="宋体" w:cs="宋体"/>
          <w:color w:val="000000"/>
          <w:sz w:val="24"/>
          <w:szCs w:val="24"/>
        </w:rPr>
      </w:pPr>
      <w:r>
        <w:rPr>
          <w:rFonts w:hint="eastAsia" w:ascii="宋体" w:hAnsi="宋体" w:eastAsia="宋体" w:cs="宋体"/>
          <w:color w:val="000000"/>
          <w:sz w:val="24"/>
          <w:szCs w:val="24"/>
        </w:rPr>
        <w:t xml:space="preserve">项目联系人（询问）：章女士    </w:t>
      </w:r>
    </w:p>
    <w:p>
      <w:pPr>
        <w:spacing w:line="400" w:lineRule="exact"/>
        <w:ind w:firstLine="732"/>
        <w:rPr>
          <w:rFonts w:ascii="宋体" w:hAnsi="宋体" w:eastAsia="宋体" w:cs="宋体"/>
          <w:color w:val="000000"/>
          <w:sz w:val="24"/>
          <w:szCs w:val="24"/>
        </w:rPr>
      </w:pPr>
      <w:r>
        <w:rPr>
          <w:rFonts w:hint="eastAsia" w:ascii="宋体" w:hAnsi="宋体" w:eastAsia="宋体" w:cs="宋体"/>
          <w:color w:val="000000"/>
          <w:sz w:val="24"/>
          <w:szCs w:val="24"/>
        </w:rPr>
        <w:t>项目联系方式（询问）：0570-3032858、18072632369</w:t>
      </w:r>
    </w:p>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    质疑联系人：郑女士</w:t>
      </w:r>
    </w:p>
    <w:p>
      <w:pPr>
        <w:spacing w:line="400" w:lineRule="exact"/>
        <w:ind w:firstLine="732"/>
        <w:rPr>
          <w:rFonts w:ascii="宋体" w:hAnsi="宋体" w:eastAsia="宋体" w:cs="宋体"/>
          <w:color w:val="000000"/>
          <w:sz w:val="24"/>
          <w:szCs w:val="24"/>
        </w:rPr>
      </w:pPr>
      <w:r>
        <w:rPr>
          <w:rFonts w:hint="eastAsia" w:ascii="宋体" w:hAnsi="宋体" w:eastAsia="宋体" w:cs="宋体"/>
          <w:color w:val="000000"/>
          <w:sz w:val="24"/>
          <w:szCs w:val="24"/>
        </w:rPr>
        <w:t>质疑联系方式：0570-2856199    </w:t>
      </w:r>
    </w:p>
    <w:p>
      <w:pPr>
        <w:spacing w:line="400" w:lineRule="exact"/>
        <w:ind w:firstLine="732"/>
        <w:rPr>
          <w:rFonts w:ascii="宋体" w:hAnsi="宋体" w:eastAsia="宋体" w:cs="宋体"/>
          <w:color w:val="000000"/>
          <w:sz w:val="24"/>
          <w:szCs w:val="24"/>
        </w:rPr>
      </w:pPr>
    </w:p>
    <w:p>
      <w:pPr>
        <w:spacing w:line="400" w:lineRule="exact"/>
        <w:ind w:firstLine="738" w:firstLineChars="300"/>
        <w:rPr>
          <w:rFonts w:ascii="宋体" w:hAnsi="宋体" w:eastAsia="宋体" w:cs="宋体"/>
          <w:color w:val="000000"/>
          <w:sz w:val="24"/>
          <w:szCs w:val="24"/>
        </w:rPr>
      </w:pPr>
      <w:r>
        <w:rPr>
          <w:rFonts w:hint="eastAsia" w:ascii="宋体" w:hAnsi="宋体" w:eastAsia="宋体" w:cs="宋体"/>
          <w:color w:val="000000"/>
          <w:sz w:val="24"/>
          <w:szCs w:val="24"/>
        </w:rPr>
        <w:t>3.同级政府采购监督管理部门</w:t>
      </w:r>
    </w:p>
    <w:p>
      <w:pPr>
        <w:spacing w:line="400" w:lineRule="exact"/>
        <w:ind w:firstLine="738" w:firstLineChars="300"/>
        <w:rPr>
          <w:rFonts w:ascii="宋体" w:hAnsi="宋体" w:eastAsia="宋体" w:cs="宋体"/>
          <w:color w:val="000000"/>
          <w:sz w:val="24"/>
          <w:szCs w:val="24"/>
        </w:rPr>
      </w:pPr>
      <w:r>
        <w:rPr>
          <w:rFonts w:hint="eastAsia" w:ascii="宋体" w:hAnsi="宋体" w:eastAsia="宋体" w:cs="宋体"/>
          <w:color w:val="000000"/>
          <w:sz w:val="24"/>
          <w:szCs w:val="24"/>
        </w:rPr>
        <w:t>名 称：衢州市财政局</w:t>
      </w:r>
    </w:p>
    <w:p>
      <w:pPr>
        <w:spacing w:line="400" w:lineRule="exact"/>
        <w:ind w:firstLine="738" w:firstLineChars="300"/>
        <w:rPr>
          <w:rFonts w:ascii="宋体" w:hAnsi="宋体" w:eastAsia="宋体" w:cs="宋体"/>
          <w:color w:val="000000"/>
          <w:sz w:val="24"/>
          <w:szCs w:val="24"/>
        </w:rPr>
      </w:pPr>
      <w:r>
        <w:rPr>
          <w:rFonts w:hint="eastAsia" w:ascii="宋体" w:hAnsi="宋体" w:eastAsia="宋体" w:cs="宋体"/>
          <w:color w:val="000000"/>
          <w:sz w:val="24"/>
          <w:szCs w:val="24"/>
        </w:rPr>
        <w:t>地 址：衢州市三江东路28号</w:t>
      </w:r>
    </w:p>
    <w:p>
      <w:pPr>
        <w:spacing w:line="400" w:lineRule="exact"/>
        <w:ind w:firstLine="738" w:firstLineChars="300"/>
        <w:rPr>
          <w:rFonts w:ascii="宋体" w:hAnsi="宋体" w:eastAsia="宋体" w:cs="宋体"/>
          <w:color w:val="000000"/>
          <w:sz w:val="24"/>
          <w:szCs w:val="24"/>
        </w:rPr>
      </w:pPr>
      <w:r>
        <w:rPr>
          <w:rFonts w:hint="eastAsia" w:ascii="宋体" w:hAnsi="宋体" w:eastAsia="宋体" w:cs="宋体"/>
          <w:color w:val="000000"/>
          <w:sz w:val="24"/>
          <w:szCs w:val="24"/>
        </w:rPr>
        <w:t>传 真：0570-8757615</w:t>
      </w:r>
    </w:p>
    <w:p>
      <w:pPr>
        <w:spacing w:line="400" w:lineRule="exact"/>
        <w:ind w:firstLine="738" w:firstLineChars="300"/>
        <w:rPr>
          <w:rFonts w:ascii="宋体" w:hAnsi="宋体" w:eastAsia="宋体" w:cs="宋体"/>
          <w:color w:val="000000"/>
          <w:sz w:val="24"/>
          <w:szCs w:val="24"/>
        </w:rPr>
      </w:pPr>
      <w:r>
        <w:rPr>
          <w:rFonts w:hint="eastAsia" w:ascii="宋体" w:hAnsi="宋体" w:eastAsia="宋体" w:cs="宋体"/>
          <w:color w:val="000000"/>
          <w:sz w:val="24"/>
          <w:szCs w:val="24"/>
        </w:rPr>
        <w:t>联系人 ：徐先生</w:t>
      </w:r>
    </w:p>
    <w:p>
      <w:pPr>
        <w:spacing w:line="400" w:lineRule="exact"/>
        <w:ind w:firstLine="738" w:firstLineChars="300"/>
        <w:rPr>
          <w:rFonts w:ascii="宋体" w:hAnsi="宋体" w:eastAsia="宋体" w:cs="宋体"/>
          <w:color w:val="000000"/>
          <w:sz w:val="24"/>
          <w:szCs w:val="24"/>
        </w:rPr>
      </w:pPr>
      <w:r>
        <w:rPr>
          <w:rFonts w:hint="eastAsia" w:ascii="宋体" w:hAnsi="宋体" w:eastAsia="宋体" w:cs="宋体"/>
          <w:color w:val="000000"/>
          <w:sz w:val="24"/>
          <w:szCs w:val="24"/>
        </w:rPr>
        <w:t>监督投诉电话：0570-8757615</w:t>
      </w:r>
    </w:p>
    <w:p>
      <w:pPr>
        <w:autoSpaceDE w:val="0"/>
        <w:autoSpaceDN w:val="0"/>
        <w:adjustRightInd w:val="0"/>
        <w:spacing w:line="288" w:lineRule="auto"/>
        <w:ind w:right="-20" w:firstLine="492" w:firstLineChars="200"/>
        <w:rPr>
          <w:rFonts w:ascii="宋体" w:hAnsi="宋体"/>
          <w:sz w:val="24"/>
          <w:szCs w:val="22"/>
        </w:rPr>
      </w:pPr>
    </w:p>
    <w:p>
      <w:pPr>
        <w:spacing w:line="4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若对项目采购电子交易系统操作有疑问，可登录政采云（https://www.zcygov.cn/），点击右侧咨询小采，获取采小蜜智能服务管家帮助，或拨打政采云服务热线95763获取热线服务帮助。       </w:t>
      </w:r>
    </w:p>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CA问题联系电话（人工）：汇信CA 400-888-4636；天谷CA 400-087-8198。</w:t>
      </w:r>
    </w:p>
    <w:p>
      <w:pPr>
        <w:pStyle w:val="58"/>
        <w:outlineLvl w:val="0"/>
        <w:rPr>
          <w:rFonts w:ascii="宋体" w:hAnsi="宋体" w:cs="宋体"/>
          <w:color w:val="000000"/>
          <w:lang w:eastAsia="zh-CN"/>
        </w:rPr>
      </w:pPr>
      <w:bookmarkStart w:id="2" w:name="_Toc119501467"/>
    </w:p>
    <w:p>
      <w:pPr>
        <w:rPr>
          <w:rFonts w:ascii="宋体" w:hAnsi="宋体" w:eastAsia="宋体" w:cs="宋体"/>
          <w:color w:val="000000"/>
        </w:rPr>
      </w:pPr>
    </w:p>
    <w:p>
      <w:pPr>
        <w:pStyle w:val="2"/>
        <w:rPr>
          <w:rFonts w:ascii="宋体" w:hAnsi="宋体" w:cs="宋体"/>
          <w:color w:val="000000"/>
        </w:rPr>
      </w:pPr>
    </w:p>
    <w:p>
      <w:pPr>
        <w:pStyle w:val="3"/>
        <w:rPr>
          <w:rFonts w:ascii="宋体" w:hAnsi="宋体" w:eastAsia="宋体" w:cs="宋体"/>
          <w:color w:val="000000"/>
        </w:rPr>
      </w:pPr>
    </w:p>
    <w:p>
      <w:pPr>
        <w:rPr>
          <w:rFonts w:ascii="宋体" w:hAnsi="宋体" w:eastAsia="宋体" w:cs="宋体"/>
          <w:color w:val="000000"/>
        </w:rPr>
      </w:pPr>
    </w:p>
    <w:p>
      <w:pPr>
        <w:pStyle w:val="2"/>
        <w:rPr>
          <w:rFonts w:ascii="宋体" w:hAnsi="宋体" w:cs="宋体"/>
          <w:color w:val="000000"/>
        </w:rPr>
      </w:pPr>
    </w:p>
    <w:p>
      <w:pPr>
        <w:pStyle w:val="3"/>
        <w:rPr>
          <w:rFonts w:ascii="宋体" w:hAnsi="宋体" w:eastAsia="宋体" w:cs="宋体"/>
          <w:color w:val="000000"/>
        </w:rPr>
      </w:pPr>
    </w:p>
    <w:p>
      <w:pPr>
        <w:rPr>
          <w:rFonts w:ascii="宋体" w:hAnsi="宋体" w:eastAsia="宋体" w:cs="宋体"/>
          <w:color w:val="000000"/>
        </w:rPr>
      </w:pPr>
    </w:p>
    <w:p>
      <w:pPr>
        <w:pStyle w:val="2"/>
        <w:rPr>
          <w:rFonts w:ascii="宋体" w:hAnsi="宋体" w:cs="宋体"/>
          <w:color w:val="000000"/>
        </w:rPr>
      </w:pPr>
    </w:p>
    <w:p>
      <w:pPr>
        <w:pStyle w:val="3"/>
        <w:rPr>
          <w:rFonts w:ascii="宋体" w:hAnsi="宋体" w:cs="宋体"/>
          <w:color w:val="000000"/>
        </w:rPr>
      </w:pPr>
    </w:p>
    <w:bookmarkEnd w:id="2"/>
    <w:p>
      <w:pPr>
        <w:pStyle w:val="58"/>
        <w:pageBreakBefore/>
        <w:jc w:val="center"/>
        <w:outlineLvl w:val="0"/>
        <w:rPr>
          <w:rFonts w:ascii="宋体" w:hAnsi="宋体" w:cs="宋体"/>
          <w:color w:val="000000"/>
          <w:lang w:eastAsia="zh-CN"/>
        </w:rPr>
      </w:pPr>
      <w:bookmarkStart w:id="3" w:name="_Toc119501468"/>
      <w:r>
        <w:rPr>
          <w:rFonts w:hint="eastAsia" w:ascii="宋体" w:hAnsi="宋体" w:cs="宋体"/>
          <w:color w:val="000000"/>
          <w:lang w:eastAsia="zh-CN"/>
        </w:rPr>
        <w:t>第二章  投标人须知</w:t>
      </w:r>
      <w:bookmarkEnd w:id="3"/>
    </w:p>
    <w:p>
      <w:pPr>
        <w:pStyle w:val="58"/>
        <w:outlineLvl w:val="0"/>
        <w:rPr>
          <w:rFonts w:ascii="宋体" w:hAnsi="宋体" w:cs="宋体"/>
          <w:color w:val="000000"/>
          <w:sz w:val="28"/>
          <w:szCs w:val="28"/>
          <w:lang w:eastAsia="zh-CN"/>
        </w:rPr>
      </w:pPr>
      <w:bookmarkStart w:id="4" w:name="_Toc119501469"/>
      <w:r>
        <w:rPr>
          <w:rFonts w:hint="eastAsia" w:ascii="宋体" w:hAnsi="宋体" w:cs="宋体"/>
          <w:color w:val="000000"/>
          <w:sz w:val="28"/>
          <w:szCs w:val="28"/>
          <w:lang w:eastAsia="zh-CN"/>
        </w:rPr>
        <w:t>投标须知前附表</w:t>
      </w:r>
      <w:bookmarkEnd w:id="4"/>
    </w:p>
    <w:p>
      <w:pPr>
        <w:rPr>
          <w:rFonts w:ascii="宋体" w:hAnsi="宋体" w:eastAsia="宋体" w:cs="宋体"/>
          <w:color w:val="000000"/>
        </w:rPr>
      </w:pPr>
    </w:p>
    <w:tbl>
      <w:tblPr>
        <w:tblStyle w:val="61"/>
        <w:tblW w:w="9997"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57"/>
        <w:gridCol w:w="2370"/>
        <w:gridCol w:w="667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5" w:hRule="atLeast"/>
          <w:tblHeader/>
        </w:trPr>
        <w:tc>
          <w:tcPr>
            <w:tcW w:w="957" w:type="dxa"/>
            <w:vAlign w:val="center"/>
          </w:tcPr>
          <w:p>
            <w:pPr>
              <w:spacing w:line="400" w:lineRule="exact"/>
              <w:jc w:val="center"/>
              <w:rPr>
                <w:rFonts w:ascii="宋体" w:hAnsi="宋体" w:eastAsia="宋体" w:cs="宋体"/>
                <w:color w:val="000000"/>
              </w:rPr>
            </w:pPr>
            <w:r>
              <w:rPr>
                <w:rStyle w:val="112"/>
                <w:rFonts w:hint="default" w:cs="宋体"/>
                <w:b/>
                <w:color w:val="000000"/>
                <w:sz w:val="24"/>
                <w:szCs w:val="24"/>
              </w:rPr>
              <w:t>序号</w:t>
            </w:r>
          </w:p>
        </w:tc>
        <w:tc>
          <w:tcPr>
            <w:tcW w:w="2370" w:type="dxa"/>
            <w:vAlign w:val="center"/>
          </w:tcPr>
          <w:p>
            <w:pPr>
              <w:spacing w:line="400" w:lineRule="exact"/>
              <w:jc w:val="center"/>
              <w:rPr>
                <w:rFonts w:ascii="宋体" w:hAnsi="宋体" w:eastAsia="宋体" w:cs="宋体"/>
                <w:color w:val="000000"/>
              </w:rPr>
            </w:pPr>
            <w:r>
              <w:rPr>
                <w:rStyle w:val="112"/>
                <w:rFonts w:hint="default" w:cs="宋体"/>
                <w:b/>
                <w:color w:val="000000"/>
                <w:sz w:val="24"/>
                <w:szCs w:val="24"/>
              </w:rPr>
              <w:t>内  容</w:t>
            </w:r>
          </w:p>
        </w:tc>
        <w:tc>
          <w:tcPr>
            <w:tcW w:w="6670" w:type="dxa"/>
            <w:vAlign w:val="center"/>
          </w:tcPr>
          <w:p>
            <w:pPr>
              <w:spacing w:line="400" w:lineRule="exact"/>
              <w:jc w:val="center"/>
              <w:rPr>
                <w:rFonts w:ascii="宋体" w:hAnsi="宋体" w:eastAsia="宋体" w:cs="宋体"/>
                <w:color w:val="000000"/>
              </w:rPr>
            </w:pPr>
            <w:r>
              <w:rPr>
                <w:rStyle w:val="112"/>
                <w:rFonts w:hint="default" w:cs="宋体"/>
                <w:b/>
                <w:color w:val="000000"/>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90" w:hRule="atLeast"/>
        </w:trPr>
        <w:tc>
          <w:tcPr>
            <w:tcW w:w="957" w:type="dxa"/>
            <w:vAlign w:val="center"/>
          </w:tcPr>
          <w:p>
            <w:pPr>
              <w:spacing w:line="400" w:lineRule="exact"/>
              <w:jc w:val="center"/>
              <w:rPr>
                <w:rFonts w:ascii="宋体" w:hAnsi="宋体" w:eastAsia="宋体" w:cs="宋体"/>
                <w:color w:val="000000"/>
                <w:sz w:val="24"/>
                <w:szCs w:val="24"/>
              </w:rPr>
            </w:pPr>
            <w:r>
              <w:rPr>
                <w:rStyle w:val="112"/>
                <w:rFonts w:hint="default" w:cs="宋体"/>
                <w:color w:val="000000"/>
                <w:sz w:val="24"/>
                <w:szCs w:val="24"/>
              </w:rPr>
              <w:t>1</w:t>
            </w:r>
          </w:p>
        </w:tc>
        <w:tc>
          <w:tcPr>
            <w:tcW w:w="2370" w:type="dxa"/>
            <w:vAlign w:val="center"/>
          </w:tcPr>
          <w:p>
            <w:pPr>
              <w:spacing w:line="400" w:lineRule="exact"/>
              <w:rPr>
                <w:rFonts w:ascii="宋体" w:hAnsi="宋体" w:eastAsia="宋体" w:cs="宋体"/>
                <w:color w:val="000000"/>
                <w:sz w:val="24"/>
                <w:szCs w:val="24"/>
              </w:rPr>
            </w:pPr>
            <w:r>
              <w:rPr>
                <w:rStyle w:val="112"/>
                <w:rFonts w:hint="default" w:cs="宋体"/>
                <w:color w:val="000000"/>
                <w:sz w:val="24"/>
                <w:szCs w:val="24"/>
              </w:rPr>
              <w:t>项目名称</w:t>
            </w:r>
          </w:p>
        </w:tc>
        <w:tc>
          <w:tcPr>
            <w:tcW w:w="6670" w:type="dxa"/>
            <w:vAlign w:val="center"/>
          </w:tcPr>
          <w:p>
            <w:pPr>
              <w:spacing w:line="360" w:lineRule="exact"/>
              <w:rPr>
                <w:rFonts w:ascii="宋体" w:hAnsi="宋体" w:eastAsia="宋体" w:cs="宋体"/>
                <w:color w:val="000000"/>
                <w:sz w:val="24"/>
                <w:szCs w:val="24"/>
              </w:rPr>
            </w:pPr>
            <w:r>
              <w:rPr>
                <w:rStyle w:val="112"/>
                <w:rFonts w:hint="default" w:cs="宋体"/>
                <w:color w:val="000000"/>
                <w:sz w:val="24"/>
                <w:szCs w:val="24"/>
              </w:rPr>
              <w:t>高铁新城再生水厂运营管理服务项目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Fonts w:ascii="宋体" w:hAnsi="宋体" w:eastAsia="宋体" w:cs="宋体"/>
                <w:color w:val="000000"/>
                <w:sz w:val="24"/>
                <w:szCs w:val="24"/>
              </w:rPr>
            </w:pPr>
            <w:r>
              <w:rPr>
                <w:rStyle w:val="112"/>
                <w:rFonts w:hint="default" w:cs="宋体"/>
                <w:color w:val="000000"/>
                <w:sz w:val="24"/>
                <w:szCs w:val="24"/>
              </w:rPr>
              <w:t>2</w:t>
            </w:r>
          </w:p>
        </w:tc>
        <w:tc>
          <w:tcPr>
            <w:tcW w:w="2370" w:type="dxa"/>
            <w:vAlign w:val="center"/>
          </w:tcPr>
          <w:p>
            <w:pPr>
              <w:spacing w:line="400" w:lineRule="exact"/>
              <w:rPr>
                <w:rFonts w:ascii="宋体" w:hAnsi="宋体" w:eastAsia="宋体" w:cs="宋体"/>
                <w:color w:val="000000"/>
                <w:sz w:val="24"/>
                <w:szCs w:val="24"/>
              </w:rPr>
            </w:pPr>
            <w:r>
              <w:rPr>
                <w:rStyle w:val="112"/>
                <w:rFonts w:hint="default" w:cs="宋体"/>
                <w:color w:val="000000"/>
                <w:sz w:val="24"/>
                <w:szCs w:val="24"/>
              </w:rPr>
              <w:t>采购人</w:t>
            </w:r>
          </w:p>
        </w:tc>
        <w:tc>
          <w:tcPr>
            <w:tcW w:w="6670" w:type="dxa"/>
            <w:vAlign w:val="center"/>
          </w:tcPr>
          <w:p>
            <w:pPr>
              <w:spacing w:line="360" w:lineRule="exact"/>
              <w:rPr>
                <w:rStyle w:val="112"/>
                <w:rFonts w:hint="default"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衢州智慧新城管理委员会</w:t>
            </w:r>
          </w:p>
          <w:p>
            <w:pPr>
              <w:spacing w:line="400" w:lineRule="exact"/>
              <w:rPr>
                <w:rFonts w:ascii="宋体" w:hAnsi="宋体" w:eastAsia="宋体"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14:textFill>
                  <w14:solidFill>
                    <w14:schemeClr w14:val="tx1"/>
                  </w14:solidFill>
                </w14:textFill>
              </w:rPr>
              <w:t xml:space="preserve">严女士  </w:t>
            </w:r>
            <w:r>
              <w:rPr>
                <w:rStyle w:val="112"/>
                <w:rFonts w:hint="default" w:cs="宋体"/>
                <w:color w:val="000000" w:themeColor="text1"/>
                <w:sz w:val="24"/>
                <w:szCs w:val="24"/>
                <w14:textFill>
                  <w14:solidFill>
                    <w14:schemeClr w14:val="tx1"/>
                  </w14:solidFill>
                </w14:textFill>
              </w:rPr>
              <w:t>联系电话：</w:t>
            </w:r>
            <w:r>
              <w:rPr>
                <w:rFonts w:ascii="宋体" w:hAnsi="宋体"/>
                <w:color w:val="000000" w:themeColor="text1"/>
                <w:sz w:val="24"/>
                <w:szCs w:val="22"/>
                <w14:textFill>
                  <w14:solidFill>
                    <w14:schemeClr w14:val="tx1"/>
                  </w14:solidFill>
                </w14:textFill>
              </w:rPr>
              <w:t>0570-</w:t>
            </w:r>
            <w:r>
              <w:rPr>
                <w:rFonts w:hint="eastAsia" w:ascii="宋体" w:hAnsi="宋体"/>
                <w:color w:val="000000" w:themeColor="text1"/>
                <w:sz w:val="24"/>
                <w:szCs w:val="22"/>
                <w14:textFill>
                  <w14:solidFill>
                    <w14:schemeClr w14:val="tx1"/>
                  </w14:solidFill>
                </w14:textFill>
              </w:rPr>
              <w:t>3116586</w:t>
            </w:r>
            <w:r>
              <w:rPr>
                <w:rFonts w:ascii="宋体" w:hAnsi="宋体"/>
                <w:color w:val="000000" w:themeColor="text1"/>
                <w:sz w:val="24"/>
                <w:szCs w:val="22"/>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Fonts w:ascii="宋体" w:hAnsi="宋体" w:eastAsia="宋体" w:cs="宋体"/>
                <w:color w:val="000000"/>
                <w:sz w:val="24"/>
                <w:szCs w:val="24"/>
              </w:rPr>
            </w:pPr>
            <w:r>
              <w:rPr>
                <w:rStyle w:val="112"/>
                <w:rFonts w:hint="default" w:cs="宋体"/>
                <w:color w:val="000000"/>
                <w:sz w:val="24"/>
                <w:szCs w:val="24"/>
              </w:rPr>
              <w:t>3</w:t>
            </w:r>
          </w:p>
        </w:tc>
        <w:tc>
          <w:tcPr>
            <w:tcW w:w="2370" w:type="dxa"/>
            <w:vAlign w:val="center"/>
          </w:tcPr>
          <w:p>
            <w:pPr>
              <w:spacing w:line="400" w:lineRule="exact"/>
              <w:rPr>
                <w:rFonts w:ascii="宋体" w:hAnsi="宋体" w:eastAsia="宋体" w:cs="宋体"/>
                <w:color w:val="000000"/>
                <w:sz w:val="24"/>
                <w:szCs w:val="24"/>
              </w:rPr>
            </w:pPr>
            <w:r>
              <w:rPr>
                <w:rStyle w:val="112"/>
                <w:rFonts w:hint="default" w:cs="宋体"/>
                <w:color w:val="000000"/>
                <w:sz w:val="24"/>
                <w:szCs w:val="24"/>
              </w:rPr>
              <w:t>招标人</w:t>
            </w:r>
          </w:p>
        </w:tc>
        <w:tc>
          <w:tcPr>
            <w:tcW w:w="6670" w:type="dxa"/>
            <w:vAlign w:val="center"/>
          </w:tcPr>
          <w:p>
            <w:pPr>
              <w:spacing w:line="360" w:lineRule="exact"/>
              <w:rPr>
                <w:rStyle w:val="112"/>
                <w:rFonts w:hint="default"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浙江卓宏建设项目管理有限公司</w:t>
            </w:r>
          </w:p>
          <w:p>
            <w:pPr>
              <w:spacing w:line="360" w:lineRule="exact"/>
              <w:rPr>
                <w:rStyle w:val="112"/>
                <w:rFonts w:hint="default"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联系人：</w:t>
            </w:r>
            <w:r>
              <w:rPr>
                <w:rFonts w:hint="eastAsia" w:ascii="宋体" w:hAnsi="宋体" w:eastAsia="宋体" w:cs="宋体"/>
                <w:color w:val="000000" w:themeColor="text1"/>
                <w:sz w:val="24"/>
                <w:szCs w:val="24"/>
                <w14:textFill>
                  <w14:solidFill>
                    <w14:schemeClr w14:val="tx1"/>
                  </w14:solidFill>
                </w14:textFill>
              </w:rPr>
              <w:t xml:space="preserve">章女士 </w:t>
            </w:r>
            <w:r>
              <w:rPr>
                <w:rStyle w:val="112"/>
                <w:rFonts w:hint="default" w:cs="宋体"/>
                <w:color w:val="000000" w:themeColor="text1"/>
                <w:sz w:val="24"/>
                <w:szCs w:val="24"/>
                <w14:textFill>
                  <w14:solidFill>
                    <w14:schemeClr w14:val="tx1"/>
                  </w14:solidFill>
                </w14:textFill>
              </w:rPr>
              <w:t xml:space="preserve">      </w:t>
            </w:r>
          </w:p>
          <w:p>
            <w:pPr>
              <w:spacing w:line="360" w:lineRule="exact"/>
              <w:rPr>
                <w:rFonts w:ascii="宋体" w:hAnsi="宋体" w:eastAsia="宋体"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联系电话：0570-3032858、18072632369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0" w:hRule="atLeast"/>
        </w:trPr>
        <w:tc>
          <w:tcPr>
            <w:tcW w:w="957" w:type="dxa"/>
            <w:vAlign w:val="center"/>
          </w:tcPr>
          <w:p>
            <w:pPr>
              <w:spacing w:line="400" w:lineRule="exact"/>
              <w:jc w:val="center"/>
              <w:rPr>
                <w:rFonts w:ascii="宋体" w:hAnsi="宋体" w:eastAsia="宋体"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4</w:t>
            </w:r>
          </w:p>
        </w:tc>
        <w:tc>
          <w:tcPr>
            <w:tcW w:w="2370" w:type="dxa"/>
            <w:vAlign w:val="center"/>
          </w:tcPr>
          <w:p>
            <w:pPr>
              <w:spacing w:line="400" w:lineRule="exact"/>
              <w:rPr>
                <w:rFonts w:ascii="宋体" w:hAnsi="宋体" w:eastAsia="宋体"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最高限价</w:t>
            </w:r>
          </w:p>
        </w:tc>
        <w:tc>
          <w:tcPr>
            <w:tcW w:w="6670" w:type="dxa"/>
            <w:vAlign w:val="center"/>
          </w:tcPr>
          <w:p>
            <w:pPr>
              <w:spacing w:line="400" w:lineRule="exact"/>
              <w:rPr>
                <w:rFonts w:ascii="宋体" w:hAnsi="宋体" w:eastAsia="宋体" w:cs="宋体"/>
                <w:color w:val="000000" w:themeColor="text1"/>
                <w:sz w:val="24"/>
                <w:szCs w:val="24"/>
                <w:highlight w:val="none"/>
                <w14:textFill>
                  <w14:solidFill>
                    <w14:schemeClr w14:val="tx1"/>
                  </w14:solidFill>
                </w14:textFill>
              </w:rPr>
            </w:pPr>
            <w:r>
              <w:rPr>
                <w:rStyle w:val="112"/>
                <w:rFonts w:hint="eastAsia" w:eastAsia="宋体" w:cs="宋体"/>
                <w:color w:val="000000" w:themeColor="text1"/>
                <w:sz w:val="24"/>
                <w:szCs w:val="24"/>
                <w:highlight w:val="none"/>
                <w:lang w:eastAsia="zh-CN"/>
                <w14:textFill>
                  <w14:solidFill>
                    <w14:schemeClr w14:val="tx1"/>
                  </w14:solidFill>
                </w14:textFill>
              </w:rPr>
              <w:t>4017.9200</w:t>
            </w:r>
            <w:r>
              <w:rPr>
                <w:rStyle w:val="112"/>
                <w:rFonts w:hint="default" w:cs="宋体"/>
                <w:color w:val="000000" w:themeColor="text1"/>
                <w:sz w:val="24"/>
                <w:szCs w:val="24"/>
                <w:highlight w:val="none"/>
                <w14:textFill>
                  <w14:solidFill>
                    <w14:schemeClr w14:val="tx1"/>
                  </w14:solidFill>
                </w14:textFill>
              </w:rPr>
              <w:t>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5</w:t>
            </w:r>
          </w:p>
        </w:tc>
        <w:tc>
          <w:tcPr>
            <w:tcW w:w="2370" w:type="dxa"/>
            <w:vAlign w:val="center"/>
          </w:tcPr>
          <w:p>
            <w:pPr>
              <w:spacing w:line="400" w:lineRule="exact"/>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服务期</w:t>
            </w:r>
          </w:p>
        </w:tc>
        <w:tc>
          <w:tcPr>
            <w:tcW w:w="6670" w:type="dxa"/>
            <w:vAlign w:val="center"/>
          </w:tcPr>
          <w:p>
            <w:pPr>
              <w:spacing w:line="400" w:lineRule="exact"/>
              <w:rPr>
                <w:rStyle w:val="112"/>
                <w:rFonts w:hint="default"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pacing w:val="-6"/>
                <w:sz w:val="24"/>
                <w:szCs w:val="24"/>
                <w:highlight w:val="none"/>
                <w14:textFill>
                  <w14:solidFill>
                    <w14:schemeClr w14:val="tx1"/>
                  </w14:solidFill>
                </w14:textFill>
              </w:rPr>
              <w:t>三</w:t>
            </w:r>
            <w:r>
              <w:rPr>
                <w:rFonts w:hint="eastAsia" w:ascii="宋体" w:hAnsi="宋体" w:eastAsia="宋体" w:cs="宋体"/>
                <w:color w:val="000000" w:themeColor="text1"/>
                <w:spacing w:val="-6"/>
                <w:sz w:val="24"/>
                <w:szCs w:val="24"/>
                <w:highlight w:val="none"/>
                <w:lang w:val="zh-CN"/>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5" w:hRule="atLeast"/>
        </w:trPr>
        <w:tc>
          <w:tcPr>
            <w:tcW w:w="957" w:type="dxa"/>
            <w:vAlign w:val="center"/>
          </w:tcPr>
          <w:p>
            <w:pPr>
              <w:spacing w:line="400" w:lineRule="exact"/>
              <w:jc w:val="center"/>
              <w:rPr>
                <w:rStyle w:val="112"/>
                <w:rFonts w:hint="default"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6</w:t>
            </w:r>
          </w:p>
        </w:tc>
        <w:tc>
          <w:tcPr>
            <w:tcW w:w="2370" w:type="dxa"/>
            <w:vAlign w:val="center"/>
          </w:tcPr>
          <w:p>
            <w:pPr>
              <w:spacing w:line="400" w:lineRule="exact"/>
              <w:rPr>
                <w:rStyle w:val="112"/>
                <w:rFonts w:hint="default"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提交答疑截止时间</w:t>
            </w:r>
          </w:p>
        </w:tc>
        <w:tc>
          <w:tcPr>
            <w:tcW w:w="6670" w:type="dxa"/>
            <w:vAlign w:val="center"/>
          </w:tcPr>
          <w:p>
            <w:pPr>
              <w:spacing w:line="400" w:lineRule="exact"/>
              <w:rPr>
                <w:rStyle w:val="112"/>
                <w:rFonts w:hint="default"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投标截止时间16日前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05" w:hRule="atLeast"/>
        </w:trPr>
        <w:tc>
          <w:tcPr>
            <w:tcW w:w="957" w:type="dxa"/>
            <w:vAlign w:val="center"/>
          </w:tcPr>
          <w:p>
            <w:pPr>
              <w:spacing w:line="400" w:lineRule="exact"/>
              <w:jc w:val="center"/>
              <w:rPr>
                <w:rStyle w:val="112"/>
                <w:rFonts w:hint="default"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7</w:t>
            </w:r>
          </w:p>
        </w:tc>
        <w:tc>
          <w:tcPr>
            <w:tcW w:w="2370" w:type="dxa"/>
            <w:vAlign w:val="center"/>
          </w:tcPr>
          <w:p>
            <w:pPr>
              <w:spacing w:line="400" w:lineRule="exact"/>
              <w:rPr>
                <w:rStyle w:val="112"/>
                <w:rFonts w:hint="default" w:cs="宋体"/>
                <w:color w:val="000000" w:themeColor="text1"/>
                <w:sz w:val="24"/>
                <w:szCs w:val="24"/>
                <w14:textFill>
                  <w14:solidFill>
                    <w14:schemeClr w14:val="tx1"/>
                  </w14:solidFill>
                </w14:textFill>
              </w:rPr>
            </w:pPr>
            <w:r>
              <w:rPr>
                <w:rStyle w:val="112"/>
                <w:rFonts w:hint="default" w:cs="宋体"/>
                <w:color w:val="000000" w:themeColor="text1"/>
                <w:sz w:val="24"/>
                <w:szCs w:val="24"/>
                <w14:textFill>
                  <w14:solidFill>
                    <w14:schemeClr w14:val="tx1"/>
                  </w14:solidFill>
                </w14:textFill>
              </w:rPr>
              <w:t>答疑回复截止时间</w:t>
            </w:r>
          </w:p>
        </w:tc>
        <w:tc>
          <w:tcPr>
            <w:tcW w:w="6670" w:type="dxa"/>
            <w:vAlign w:val="center"/>
          </w:tcPr>
          <w:p>
            <w:pPr>
              <w:spacing w:line="400" w:lineRule="exact"/>
              <w:rPr>
                <w:rStyle w:val="112"/>
                <w:rFonts w:hint="default"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投标截止时间15日前</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8</w:t>
            </w:r>
          </w:p>
        </w:tc>
        <w:tc>
          <w:tcPr>
            <w:tcW w:w="2370" w:type="dxa"/>
            <w:vAlign w:val="center"/>
          </w:tcPr>
          <w:p>
            <w:pPr>
              <w:spacing w:line="400" w:lineRule="exact"/>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投标</w:t>
            </w:r>
            <w:r>
              <w:rPr>
                <w:rFonts w:hint="eastAsia" w:ascii="宋体" w:hAnsi="宋体" w:eastAsia="宋体" w:cs="宋体"/>
                <w:color w:val="000000" w:themeColor="text1"/>
                <w:sz w:val="24"/>
                <w:szCs w:val="24"/>
                <w:highlight w:val="none"/>
                <w14:textFill>
                  <w14:solidFill>
                    <w14:schemeClr w14:val="tx1"/>
                  </w14:solidFill>
                </w14:textFill>
              </w:rPr>
              <w:t>截止</w:t>
            </w:r>
            <w:r>
              <w:rPr>
                <w:rStyle w:val="112"/>
                <w:rFonts w:hint="default" w:cs="宋体"/>
                <w:color w:val="000000" w:themeColor="text1"/>
                <w:sz w:val="24"/>
                <w:szCs w:val="24"/>
                <w:highlight w:val="none"/>
                <w14:textFill>
                  <w14:solidFill>
                    <w14:schemeClr w14:val="tx1"/>
                  </w14:solidFill>
                </w14:textFill>
              </w:rPr>
              <w:t>时间</w:t>
            </w:r>
          </w:p>
          <w:p>
            <w:pPr>
              <w:spacing w:line="400" w:lineRule="exact"/>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及投标地点</w:t>
            </w:r>
          </w:p>
        </w:tc>
        <w:tc>
          <w:tcPr>
            <w:tcW w:w="6670" w:type="dxa"/>
            <w:vAlign w:val="center"/>
          </w:tcPr>
          <w:p>
            <w:pPr>
              <w:spacing w:line="3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时间：202</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 xml:space="preserve">年 </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 xml:space="preserve"> 月</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9</w:t>
            </w:r>
            <w:r>
              <w:rPr>
                <w:rFonts w:hint="eastAsia" w:ascii="宋体" w:hAnsi="宋体" w:eastAsia="宋体" w:cs="宋体"/>
                <w:color w:val="000000" w:themeColor="text1"/>
                <w:sz w:val="24"/>
                <w:szCs w:val="24"/>
                <w:highlight w:val="none"/>
                <w14:textFill>
                  <w14:solidFill>
                    <w14:schemeClr w14:val="tx1"/>
                  </w14:solidFill>
                </w14:textFill>
              </w:rPr>
              <w:t xml:space="preserve"> 日 9 时30</w:t>
            </w:r>
            <w:r>
              <w:rPr>
                <w:rFonts w:hint="eastAsia" w:ascii="宋体" w:hAnsi="宋体" w:eastAsia="宋体" w:cs="宋体"/>
                <w:color w:val="000000" w:themeColor="text1"/>
                <w:sz w:val="24"/>
                <w:szCs w:val="24"/>
                <w:highlight w:val="none"/>
                <w:lang w:val="zh-CN"/>
                <w14:textFill>
                  <w14:solidFill>
                    <w14:schemeClr w14:val="tx1"/>
                  </w14:solidFill>
                </w14:textFill>
              </w:rPr>
              <w:t>分（北京时间）</w:t>
            </w:r>
          </w:p>
          <w:p>
            <w:pPr>
              <w:spacing w:line="360" w:lineRule="exact"/>
              <w:rPr>
                <w:rStyle w:val="112"/>
                <w:rFonts w:hint="default"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地点：衢州市文化艺术中心与便民服务中心A座五楼（柯城区花园东大道199号）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9</w:t>
            </w:r>
          </w:p>
        </w:tc>
        <w:tc>
          <w:tcPr>
            <w:tcW w:w="2370" w:type="dxa"/>
            <w:vAlign w:val="center"/>
          </w:tcPr>
          <w:p>
            <w:pPr>
              <w:spacing w:line="400" w:lineRule="exact"/>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开标时间</w:t>
            </w:r>
          </w:p>
          <w:p>
            <w:pPr>
              <w:spacing w:line="400" w:lineRule="exact"/>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及开标地点</w:t>
            </w:r>
          </w:p>
        </w:tc>
        <w:tc>
          <w:tcPr>
            <w:tcW w:w="6670" w:type="dxa"/>
            <w:vAlign w:val="center"/>
          </w:tcPr>
          <w:p>
            <w:pPr>
              <w:spacing w:line="360" w:lineRule="exact"/>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时间：202</w:t>
            </w:r>
            <w:r>
              <w:rPr>
                <w:rStyle w:val="112"/>
                <w:rFonts w:hint="eastAsia" w:eastAsia="宋体" w:cs="宋体"/>
                <w:color w:val="000000" w:themeColor="text1"/>
                <w:sz w:val="24"/>
                <w:szCs w:val="24"/>
                <w:highlight w:val="none"/>
                <w:lang w:val="en-US" w:eastAsia="zh-CN"/>
                <w14:textFill>
                  <w14:solidFill>
                    <w14:schemeClr w14:val="tx1"/>
                  </w14:solidFill>
                </w14:textFill>
              </w:rPr>
              <w:t>4</w:t>
            </w:r>
            <w:r>
              <w:rPr>
                <w:rStyle w:val="112"/>
                <w:rFonts w:hint="default" w:cs="宋体"/>
                <w:color w:val="000000" w:themeColor="text1"/>
                <w:sz w:val="24"/>
                <w:szCs w:val="24"/>
                <w:highlight w:val="none"/>
                <w14:textFill>
                  <w14:solidFill>
                    <w14:schemeClr w14:val="tx1"/>
                  </w14:solidFill>
                </w14:textFill>
              </w:rPr>
              <w:t xml:space="preserve">年 </w:t>
            </w:r>
            <w:r>
              <w:rPr>
                <w:rStyle w:val="112"/>
                <w:rFonts w:hint="eastAsia" w:eastAsia="宋体" w:cs="宋体"/>
                <w:color w:val="000000" w:themeColor="text1"/>
                <w:sz w:val="24"/>
                <w:szCs w:val="24"/>
                <w:highlight w:val="none"/>
                <w:lang w:val="en-US" w:eastAsia="zh-CN"/>
                <w14:textFill>
                  <w14:solidFill>
                    <w14:schemeClr w14:val="tx1"/>
                  </w14:solidFill>
                </w14:textFill>
              </w:rPr>
              <w:t>1</w:t>
            </w:r>
            <w:r>
              <w:rPr>
                <w:rStyle w:val="112"/>
                <w:rFonts w:hint="default" w:cs="宋体"/>
                <w:color w:val="000000" w:themeColor="text1"/>
                <w:sz w:val="24"/>
                <w:szCs w:val="24"/>
                <w:highlight w:val="none"/>
                <w14:textFill>
                  <w14:solidFill>
                    <w14:schemeClr w14:val="tx1"/>
                  </w14:solidFill>
                </w14:textFill>
              </w:rPr>
              <w:t xml:space="preserve"> 月 </w:t>
            </w:r>
            <w:r>
              <w:rPr>
                <w:rStyle w:val="112"/>
                <w:rFonts w:hint="eastAsia" w:eastAsia="宋体" w:cs="宋体"/>
                <w:color w:val="000000" w:themeColor="text1"/>
                <w:sz w:val="24"/>
                <w:szCs w:val="24"/>
                <w:highlight w:val="none"/>
                <w:lang w:val="en-US" w:eastAsia="zh-CN"/>
                <w14:textFill>
                  <w14:solidFill>
                    <w14:schemeClr w14:val="tx1"/>
                  </w14:solidFill>
                </w14:textFill>
              </w:rPr>
              <w:t>9</w:t>
            </w:r>
            <w:r>
              <w:rPr>
                <w:rStyle w:val="112"/>
                <w:rFonts w:hint="default" w:cs="宋体"/>
                <w:color w:val="000000" w:themeColor="text1"/>
                <w:sz w:val="24"/>
                <w:szCs w:val="24"/>
                <w:highlight w:val="none"/>
                <w14:textFill>
                  <w14:solidFill>
                    <w14:schemeClr w14:val="tx1"/>
                  </w14:solidFill>
                </w14:textFill>
              </w:rPr>
              <w:t xml:space="preserve"> 日 9 时</w:t>
            </w:r>
            <w:r>
              <w:rPr>
                <w:rFonts w:hint="eastAsia" w:ascii="宋体" w:hAnsi="宋体" w:eastAsia="宋体" w:cs="宋体"/>
                <w:color w:val="000000" w:themeColor="text1"/>
                <w:sz w:val="24"/>
                <w:szCs w:val="24"/>
                <w:highlight w:val="none"/>
                <w14:textFill>
                  <w14:solidFill>
                    <w14:schemeClr w14:val="tx1"/>
                  </w14:solidFill>
                </w14:textFill>
              </w:rPr>
              <w:t>30分</w:t>
            </w:r>
            <w:r>
              <w:rPr>
                <w:rStyle w:val="112"/>
                <w:rFonts w:hint="default" w:cs="宋体"/>
                <w:color w:val="000000" w:themeColor="text1"/>
                <w:sz w:val="24"/>
                <w:szCs w:val="24"/>
                <w:highlight w:val="none"/>
                <w14:textFill>
                  <w14:solidFill>
                    <w14:schemeClr w14:val="tx1"/>
                  </w14:solidFill>
                </w14:textFill>
              </w:rPr>
              <w:t>（北京时间）</w:t>
            </w:r>
          </w:p>
          <w:p>
            <w:pPr>
              <w:spacing w:line="360" w:lineRule="exact"/>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地点：</w:t>
            </w:r>
            <w:r>
              <w:rPr>
                <w:rFonts w:hint="eastAsia" w:ascii="宋体" w:hAnsi="宋体" w:eastAsia="宋体" w:cs="宋体"/>
                <w:color w:val="000000" w:themeColor="text1"/>
                <w:sz w:val="24"/>
                <w:szCs w:val="24"/>
                <w:highlight w:val="none"/>
                <w14:textFill>
                  <w14:solidFill>
                    <w14:schemeClr w14:val="tx1"/>
                  </w14:solidFill>
                </w14:textFill>
              </w:rPr>
              <w:t>衢州市文化艺术中心与便民服务中心A座五楼（柯城区花园东大道199号）</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10</w:t>
            </w:r>
          </w:p>
        </w:tc>
        <w:tc>
          <w:tcPr>
            <w:tcW w:w="23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投标文件的编制</w:t>
            </w:r>
          </w:p>
        </w:tc>
        <w:tc>
          <w:tcPr>
            <w:tcW w:w="6670" w:type="dxa"/>
            <w:vAlign w:val="center"/>
          </w:tcPr>
          <w:p>
            <w:pPr>
              <w:spacing w:line="400" w:lineRule="exact"/>
              <w:rPr>
                <w:rStyle w:val="112"/>
                <w:rFonts w:hint="default" w:cs="宋体"/>
                <w:sz w:val="24"/>
                <w:szCs w:val="24"/>
              </w:rPr>
            </w:pPr>
            <w:r>
              <w:rPr>
                <w:rStyle w:val="112"/>
                <w:rFonts w:hint="default" w:cs="宋体"/>
                <w:sz w:val="24"/>
                <w:szCs w:val="24"/>
              </w:rPr>
              <w:t>供应商应先安装“政采云电子交易客户端”，并按照本招标文件和“政采云平台”的要求，通过“政采云电子交易客户端”编制并加密投标文件。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11</w:t>
            </w:r>
          </w:p>
        </w:tc>
        <w:tc>
          <w:tcPr>
            <w:tcW w:w="23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 xml:space="preserve">投标文件的签章 </w:t>
            </w:r>
          </w:p>
        </w:tc>
        <w:tc>
          <w:tcPr>
            <w:tcW w:w="66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电子签章（公章），其中法定代表人和授权代表签字（或盖章）可书面签订（或盖章）后，扫描至电子投标文件中上传；凡投标格式文件明确有签字盖章处均应符合。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12</w:t>
            </w:r>
          </w:p>
        </w:tc>
        <w:tc>
          <w:tcPr>
            <w:tcW w:w="23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投标文件份数</w:t>
            </w:r>
          </w:p>
        </w:tc>
        <w:tc>
          <w:tcPr>
            <w:tcW w:w="66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（1）“电子加密投标文件”：在线上传递交、一份。</w:t>
            </w:r>
          </w:p>
          <w:p>
            <w:pPr>
              <w:spacing w:line="400" w:lineRule="exact"/>
              <w:rPr>
                <w:rStyle w:val="112"/>
                <w:rFonts w:hint="default" w:cs="宋体"/>
                <w:color w:val="000000"/>
                <w:sz w:val="24"/>
                <w:szCs w:val="24"/>
              </w:rPr>
            </w:pPr>
            <w:r>
              <w:rPr>
                <w:rStyle w:val="112"/>
                <w:rFonts w:hint="default" w:cs="宋体"/>
                <w:color w:val="000000"/>
                <w:sz w:val="24"/>
                <w:szCs w:val="24"/>
              </w:rPr>
              <w:t>（2）“备份投标文件”：请加密后在投标截止时间前发送至943783335@qq.com邮箱，以邮箱显示收到时间为准。邮件注明投标项目名称、投标人名称、联系人和联系电话。如须启用备份投标文件，代理工作人员在投标截止时间后联系投标人，投标人必须保证电话畅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0" w:hRule="atLeast"/>
        </w:trPr>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13</w:t>
            </w:r>
          </w:p>
        </w:tc>
        <w:tc>
          <w:tcPr>
            <w:tcW w:w="2370" w:type="dxa"/>
            <w:vAlign w:val="center"/>
          </w:tcPr>
          <w:p>
            <w:pPr>
              <w:spacing w:line="380" w:lineRule="exact"/>
              <w:rPr>
                <w:rStyle w:val="112"/>
                <w:rFonts w:hint="default" w:cs="宋体"/>
                <w:color w:val="000000"/>
                <w:sz w:val="24"/>
                <w:szCs w:val="24"/>
              </w:rPr>
            </w:pPr>
            <w:r>
              <w:rPr>
                <w:rStyle w:val="112"/>
                <w:rFonts w:hint="default" w:cs="宋体"/>
                <w:color w:val="000000"/>
                <w:sz w:val="24"/>
                <w:szCs w:val="24"/>
              </w:rPr>
              <w:t>投标文件的形式</w:t>
            </w:r>
          </w:p>
        </w:tc>
        <w:tc>
          <w:tcPr>
            <w:tcW w:w="6670" w:type="dxa"/>
            <w:vAlign w:val="center"/>
          </w:tcPr>
          <w:p>
            <w:pPr>
              <w:spacing w:line="380" w:lineRule="exact"/>
              <w:rPr>
                <w:rStyle w:val="112"/>
                <w:rFonts w:hint="default" w:cs="宋体"/>
                <w:color w:val="000000"/>
                <w:sz w:val="24"/>
                <w:szCs w:val="24"/>
              </w:rPr>
            </w:pPr>
            <w:r>
              <w:rPr>
                <w:rStyle w:val="112"/>
                <w:rFonts w:hint="default" w:cs="宋体"/>
                <w:color w:val="000000"/>
                <w:sz w:val="24"/>
                <w:szCs w:val="24"/>
              </w:rPr>
              <w:t>☑电子投标文件（包括“电子加密投标文件”和“备份投标文件”，在投标文件编制完成后同时生成）；</w:t>
            </w:r>
          </w:p>
          <w:p>
            <w:pPr>
              <w:spacing w:line="380" w:lineRule="exact"/>
              <w:rPr>
                <w:rStyle w:val="112"/>
                <w:rFonts w:hint="default" w:cs="宋体"/>
                <w:color w:val="000000"/>
                <w:spacing w:val="-6"/>
                <w:sz w:val="24"/>
                <w:szCs w:val="24"/>
              </w:rPr>
            </w:pPr>
            <w:r>
              <w:rPr>
                <w:rStyle w:val="112"/>
                <w:rFonts w:hint="default" w:cs="宋体"/>
                <w:color w:val="000000"/>
                <w:spacing w:val="-6"/>
                <w:sz w:val="24"/>
                <w:szCs w:val="24"/>
              </w:rPr>
              <w:t>（1）“电子加密投标文件”是指通过“政采云电子交易客户端”完成投标文件编制后生成并加密的数据电文形式的投标文件。</w:t>
            </w:r>
          </w:p>
          <w:p>
            <w:pPr>
              <w:spacing w:line="380" w:lineRule="exact"/>
              <w:rPr>
                <w:rStyle w:val="112"/>
                <w:rFonts w:hint="default" w:cs="宋体"/>
                <w:color w:val="000000"/>
                <w:sz w:val="24"/>
                <w:szCs w:val="24"/>
              </w:rPr>
            </w:pPr>
            <w:r>
              <w:rPr>
                <w:rStyle w:val="112"/>
                <w:rFonts w:hint="default" w:cs="宋体"/>
                <w:color w:val="000000"/>
                <w:sz w:val="24"/>
                <w:szCs w:val="24"/>
              </w:rPr>
              <w:t>（2）“备份投标文件”是指与“电子加密投标文件”同时生成的数据电文形式的电子文件（备份标书），其他方式编制的备份投标文件视为无效备份投标文件。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0" w:hRule="atLeast"/>
        </w:trPr>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14</w:t>
            </w:r>
          </w:p>
        </w:tc>
        <w:tc>
          <w:tcPr>
            <w:tcW w:w="2370" w:type="dxa"/>
            <w:vAlign w:val="center"/>
          </w:tcPr>
          <w:p>
            <w:pPr>
              <w:spacing w:line="380" w:lineRule="exact"/>
              <w:rPr>
                <w:rStyle w:val="112"/>
                <w:rFonts w:hint="default" w:cs="宋体"/>
                <w:color w:val="000000"/>
                <w:sz w:val="24"/>
                <w:szCs w:val="24"/>
              </w:rPr>
            </w:pPr>
            <w:r>
              <w:rPr>
                <w:rStyle w:val="112"/>
                <w:rFonts w:hint="default" w:cs="宋体"/>
                <w:color w:val="000000"/>
                <w:sz w:val="24"/>
                <w:szCs w:val="24"/>
              </w:rPr>
              <w:t>投标文件的上传和递交</w:t>
            </w:r>
          </w:p>
        </w:tc>
        <w:tc>
          <w:tcPr>
            <w:tcW w:w="6670" w:type="dxa"/>
            <w:vAlign w:val="center"/>
          </w:tcPr>
          <w:p>
            <w:pPr>
              <w:spacing w:line="380" w:lineRule="exact"/>
              <w:rPr>
                <w:rStyle w:val="112"/>
                <w:rFonts w:hint="default" w:cs="宋体"/>
                <w:color w:val="000000"/>
                <w:sz w:val="24"/>
                <w:szCs w:val="24"/>
              </w:rPr>
            </w:pPr>
            <w:r>
              <w:rPr>
                <w:rStyle w:val="112"/>
                <w:rFonts w:hint="default" w:cs="宋体"/>
                <w:color w:val="000000"/>
                <w:sz w:val="24"/>
                <w:szCs w:val="24"/>
              </w:rPr>
              <w:t>（1）“电子加密投标文件”的上传、递交：</w:t>
            </w:r>
          </w:p>
          <w:p>
            <w:pPr>
              <w:spacing w:line="380" w:lineRule="exact"/>
              <w:rPr>
                <w:rStyle w:val="112"/>
                <w:rFonts w:hint="default" w:cs="宋体"/>
                <w:color w:val="000000"/>
                <w:sz w:val="24"/>
                <w:szCs w:val="24"/>
              </w:rPr>
            </w:pPr>
            <w:r>
              <w:rPr>
                <w:rStyle w:val="112"/>
                <w:rFonts w:hint="default" w:cs="宋体"/>
                <w:color w:val="000000"/>
                <w:sz w:val="24"/>
                <w:szCs w:val="24"/>
              </w:rPr>
              <w:t>a.投标供应商应在投标截止时间前将“电子加密投标文件”成功上传递交至“政采云平台”，否则投标无效。</w:t>
            </w:r>
          </w:p>
          <w:p>
            <w:pPr>
              <w:spacing w:line="380" w:lineRule="exact"/>
              <w:rPr>
                <w:rStyle w:val="112"/>
                <w:rFonts w:hint="default" w:cs="宋体"/>
                <w:color w:val="000000"/>
                <w:sz w:val="24"/>
                <w:szCs w:val="24"/>
              </w:rPr>
            </w:pPr>
            <w:r>
              <w:rPr>
                <w:rStyle w:val="112"/>
                <w:rFonts w:hint="default" w:cs="宋体"/>
                <w:color w:val="000000"/>
                <w:sz w:val="24"/>
                <w:szCs w:val="24"/>
              </w:rPr>
              <w:t>b.“电子加密投标文件”成功上传递交后，供应商可自行打印投标文件接收回执。</w:t>
            </w:r>
          </w:p>
          <w:p>
            <w:pPr>
              <w:spacing w:line="380" w:lineRule="exact"/>
              <w:rPr>
                <w:rStyle w:val="112"/>
                <w:rFonts w:hint="default" w:cs="宋体"/>
                <w:color w:val="000000"/>
                <w:sz w:val="24"/>
                <w:szCs w:val="24"/>
              </w:rPr>
            </w:pPr>
            <w:r>
              <w:rPr>
                <w:rStyle w:val="112"/>
                <w:rFonts w:hint="default" w:cs="宋体"/>
                <w:color w:val="000000"/>
                <w:sz w:val="24"/>
                <w:szCs w:val="24"/>
              </w:rPr>
              <w:t>（2）“备份投标文件”的密封包装、递交：</w:t>
            </w:r>
          </w:p>
          <w:p>
            <w:pPr>
              <w:spacing w:line="380" w:lineRule="exact"/>
              <w:rPr>
                <w:rStyle w:val="112"/>
                <w:rFonts w:hint="default" w:cs="宋体"/>
                <w:color w:val="000000"/>
                <w:sz w:val="24"/>
                <w:szCs w:val="24"/>
              </w:rPr>
            </w:pPr>
            <w:r>
              <w:rPr>
                <w:rStyle w:val="112"/>
                <w:rFonts w:hint="default" w:cs="宋体"/>
                <w:color w:val="000000"/>
                <w:sz w:val="24"/>
                <w:szCs w:val="24"/>
              </w:rPr>
              <w:t>a.加密后在投标截止时间前发送至943783335@qq.com邮箱，以邮箱显示收到时间为准（逾期收到的“备份投标文件”将不予接收；</w:t>
            </w:r>
          </w:p>
          <w:p>
            <w:pPr>
              <w:spacing w:line="380" w:lineRule="exact"/>
              <w:rPr>
                <w:rStyle w:val="112"/>
                <w:rFonts w:hint="default" w:cs="宋体"/>
                <w:color w:val="000000"/>
                <w:sz w:val="24"/>
                <w:szCs w:val="24"/>
              </w:rPr>
            </w:pPr>
            <w:r>
              <w:rPr>
                <w:rStyle w:val="112"/>
                <w:rFonts w:hint="default" w:cs="宋体"/>
                <w:color w:val="000000"/>
                <w:sz w:val="24"/>
                <w:szCs w:val="24"/>
              </w:rPr>
              <w:t>b.邮件注明投标项目名称、投标人名称、联系人和联系电话。如须启用备份投标文件，代理工作人员在投标截止时间后联系投标人，投标人必须保证电话畅通。</w:t>
            </w:r>
          </w:p>
          <w:p>
            <w:pPr>
              <w:spacing w:line="380" w:lineRule="exact"/>
              <w:rPr>
                <w:rStyle w:val="112"/>
                <w:rFonts w:hint="default" w:cs="宋体"/>
                <w:color w:val="000000"/>
                <w:sz w:val="24"/>
                <w:szCs w:val="24"/>
              </w:rPr>
            </w:pPr>
            <w:r>
              <w:rPr>
                <w:rStyle w:val="112"/>
                <w:rFonts w:hint="default" w:cs="宋体"/>
                <w:color w:val="000000"/>
                <w:sz w:val="24"/>
                <w:szCs w:val="24"/>
              </w:rPr>
              <w:t>c.通过“政采云平台”成功上传递交的“电子加密投标文件”已按时解密的，“备份投标文件”自动失效。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0" w:hRule="atLeast"/>
        </w:trPr>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15</w:t>
            </w:r>
          </w:p>
        </w:tc>
        <w:tc>
          <w:tcPr>
            <w:tcW w:w="2370" w:type="dxa"/>
            <w:vAlign w:val="center"/>
          </w:tcPr>
          <w:p>
            <w:pPr>
              <w:spacing w:line="380" w:lineRule="exact"/>
              <w:rPr>
                <w:rStyle w:val="112"/>
                <w:rFonts w:hint="default" w:cs="宋体"/>
                <w:color w:val="000000"/>
                <w:sz w:val="24"/>
                <w:szCs w:val="24"/>
              </w:rPr>
            </w:pPr>
            <w:r>
              <w:rPr>
                <w:rStyle w:val="112"/>
                <w:rFonts w:hint="default" w:cs="宋体"/>
                <w:color w:val="000000"/>
                <w:sz w:val="24"/>
                <w:szCs w:val="24"/>
              </w:rPr>
              <w:t>电子加密投标文件的解密和异常情况处理</w:t>
            </w:r>
          </w:p>
        </w:tc>
        <w:tc>
          <w:tcPr>
            <w:tcW w:w="6670" w:type="dxa"/>
            <w:vAlign w:val="center"/>
          </w:tcPr>
          <w:p>
            <w:pPr>
              <w:spacing w:line="380" w:lineRule="exact"/>
              <w:rPr>
                <w:rStyle w:val="112"/>
                <w:rFonts w:hint="default" w:cs="宋体"/>
                <w:color w:val="000000"/>
                <w:sz w:val="24"/>
                <w:szCs w:val="24"/>
              </w:rPr>
            </w:pPr>
            <w:r>
              <w:rPr>
                <w:rStyle w:val="112"/>
                <w:rFonts w:hint="default" w:cs="宋体"/>
                <w:color w:val="000000"/>
                <w:sz w:val="24"/>
                <w:szCs w:val="24"/>
              </w:rPr>
              <w:t>（1）开标后，采购组织机构将向各投标供应商发出“电子加密投标文件”的解密通知，各投标供应商代表应当在接到解密通知后30分钟内自行完成“电子加密投标文件”的在线解密。</w:t>
            </w:r>
          </w:p>
          <w:p>
            <w:pPr>
              <w:spacing w:line="380" w:lineRule="exact"/>
              <w:rPr>
                <w:rStyle w:val="112"/>
                <w:rFonts w:hint="default" w:cs="宋体"/>
                <w:color w:val="000000"/>
                <w:sz w:val="24"/>
                <w:szCs w:val="24"/>
              </w:rPr>
            </w:pPr>
            <w:r>
              <w:rPr>
                <w:rStyle w:val="112"/>
                <w:rFonts w:hint="default" w:cs="宋体"/>
                <w:color w:val="000000"/>
                <w:sz w:val="24"/>
                <w:szCs w:val="24"/>
              </w:rPr>
              <w:t>（2）通过“政采云平台”成功上传递交的“电子加密投标文件”无法按时解密，投标供应商如按规定递交了“备份投标文件”的，以“备份投标文件”为依据（由采购组织机构按“政采云平台”操作规范将“备份投标文件”上传至“政采云平台”，上传成功后，“电子加密投标文件”自动失效），否则视为投标文件撤回。</w:t>
            </w:r>
          </w:p>
          <w:p>
            <w:pPr>
              <w:spacing w:line="380" w:lineRule="exact"/>
              <w:rPr>
                <w:rStyle w:val="112"/>
                <w:rFonts w:hint="default" w:cs="宋体"/>
                <w:color w:val="000000"/>
                <w:sz w:val="24"/>
                <w:szCs w:val="24"/>
              </w:rPr>
            </w:pPr>
            <w:r>
              <w:rPr>
                <w:rStyle w:val="112"/>
                <w:rFonts w:hint="default" w:cs="宋体"/>
                <w:color w:val="000000"/>
                <w:sz w:val="24"/>
                <w:szCs w:val="24"/>
              </w:rPr>
              <w:t>（3）投标截止时间前，投标供应商仅递交了“备份投标文件”而未将电子加密投标文件上传至“政采云平台”的，投标无效。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16</w:t>
            </w:r>
          </w:p>
        </w:tc>
        <w:tc>
          <w:tcPr>
            <w:tcW w:w="23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中标结果公示期限</w:t>
            </w:r>
          </w:p>
        </w:tc>
        <w:tc>
          <w:tcPr>
            <w:tcW w:w="66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公示1个工作日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40" w:hRule="atLeast"/>
        </w:trPr>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17</w:t>
            </w:r>
          </w:p>
        </w:tc>
        <w:tc>
          <w:tcPr>
            <w:tcW w:w="23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签订合同</w:t>
            </w:r>
          </w:p>
        </w:tc>
        <w:tc>
          <w:tcPr>
            <w:tcW w:w="66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中标通知书发出后30日内与衢州智慧新城管理委员会签订合同。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957" w:type="dxa"/>
            <w:vAlign w:val="center"/>
          </w:tcPr>
          <w:p>
            <w:pPr>
              <w:spacing w:line="400" w:lineRule="exact"/>
              <w:jc w:val="center"/>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18</w:t>
            </w:r>
          </w:p>
        </w:tc>
        <w:tc>
          <w:tcPr>
            <w:tcW w:w="2370" w:type="dxa"/>
            <w:vAlign w:val="center"/>
          </w:tcPr>
          <w:p>
            <w:pPr>
              <w:spacing w:line="400" w:lineRule="exact"/>
              <w:rPr>
                <w:rStyle w:val="112"/>
                <w:rFonts w:hint="default" w:cs="宋体"/>
                <w:color w:val="000000" w:themeColor="text1"/>
                <w:sz w:val="24"/>
                <w:szCs w:val="24"/>
                <w:highlight w:val="none"/>
                <w14:textFill>
                  <w14:solidFill>
                    <w14:schemeClr w14:val="tx1"/>
                  </w14:solidFill>
                </w14:textFill>
              </w:rPr>
            </w:pPr>
            <w:r>
              <w:rPr>
                <w:rStyle w:val="112"/>
                <w:rFonts w:hint="default" w:cs="宋体"/>
                <w:color w:val="000000" w:themeColor="text1"/>
                <w:sz w:val="24"/>
                <w:szCs w:val="24"/>
                <w:highlight w:val="none"/>
                <w14:textFill>
                  <w14:solidFill>
                    <w14:schemeClr w14:val="tx1"/>
                  </w14:solidFill>
                </w14:textFill>
              </w:rPr>
              <w:t>履</w:t>
            </w:r>
            <w:r>
              <w:rPr>
                <w:rStyle w:val="112"/>
                <w:rFonts w:cs="宋体"/>
                <w:color w:val="000000" w:themeColor="text1"/>
                <w:sz w:val="24"/>
                <w:szCs w:val="24"/>
                <w:highlight w:val="none"/>
                <w14:textFill>
                  <w14:solidFill>
                    <w14:schemeClr w14:val="tx1"/>
                  </w14:solidFill>
                </w14:textFill>
              </w:rPr>
              <w:t>约保证金</w:t>
            </w:r>
          </w:p>
        </w:tc>
        <w:tc>
          <w:tcPr>
            <w:tcW w:w="6670" w:type="dxa"/>
            <w:vAlign w:val="center"/>
          </w:tcPr>
          <w:p>
            <w:pPr>
              <w:spacing w:line="340" w:lineRule="exact"/>
              <w:rPr>
                <w:rStyle w:val="253"/>
                <w:rFonts w:cs="宋体"/>
                <w:color w:val="000000" w:themeColor="text1"/>
                <w:sz w:val="24"/>
                <w:szCs w:val="24"/>
                <w:highlight w:val="none"/>
                <w14:textFill>
                  <w14:solidFill>
                    <w14:schemeClr w14:val="tx1"/>
                  </w14:solidFill>
                </w14:textFill>
              </w:rPr>
            </w:pPr>
            <w:r>
              <w:rPr>
                <w:rStyle w:val="253"/>
                <w:rFonts w:hint="eastAsia" w:cs="宋体"/>
                <w:color w:val="000000" w:themeColor="text1"/>
                <w:sz w:val="24"/>
                <w:szCs w:val="24"/>
                <w:highlight w:val="none"/>
                <w14:textFill>
                  <w14:solidFill>
                    <w14:schemeClr w14:val="tx1"/>
                  </w14:solidFill>
                </w14:textFill>
              </w:rPr>
              <w:t>履约保证金的形式：银行保函（四大银行），保险公司保函或融资担保公司保函（衢州本地保险公司或担保公司）。</w:t>
            </w:r>
          </w:p>
          <w:p>
            <w:pPr>
              <w:spacing w:line="400" w:lineRule="exact"/>
              <w:ind w:left="1232" w:hanging="1230" w:hangingChars="500"/>
              <w:rPr>
                <w:rStyle w:val="253"/>
                <w:rFonts w:cs="宋体"/>
                <w:b w:val="0"/>
                <w:bCs w:val="0"/>
                <w:color w:val="000000" w:themeColor="text1"/>
                <w:sz w:val="24"/>
                <w:szCs w:val="24"/>
                <w:highlight w:val="none"/>
                <w14:textFill>
                  <w14:solidFill>
                    <w14:schemeClr w14:val="tx1"/>
                  </w14:solidFill>
                </w14:textFill>
              </w:rPr>
            </w:pPr>
            <w:r>
              <w:rPr>
                <w:rStyle w:val="253"/>
                <w:rFonts w:hint="eastAsia" w:cs="宋体"/>
                <w:color w:val="000000" w:themeColor="text1"/>
                <w:sz w:val="24"/>
                <w:szCs w:val="24"/>
                <w:highlight w:val="none"/>
                <w14:textFill>
                  <w14:solidFill>
                    <w14:schemeClr w14:val="tx1"/>
                  </w14:solidFill>
                </w14:textFill>
              </w:rPr>
              <w:t>履约保证金的金额：</w:t>
            </w:r>
            <w:r>
              <w:rPr>
                <w:rStyle w:val="253"/>
                <w:rFonts w:hint="eastAsia" w:cs="宋体"/>
                <w:b w:val="0"/>
                <w:bCs w:val="0"/>
                <w:color w:val="000000" w:themeColor="text1"/>
                <w:sz w:val="24"/>
                <w:szCs w:val="24"/>
                <w:highlight w:val="none"/>
                <w14:textFill>
                  <w14:solidFill>
                    <w14:schemeClr w14:val="tx1"/>
                  </w14:solidFill>
                </w14:textFill>
              </w:rPr>
              <w:t>中标单位签订合同前向采购人</w:t>
            </w:r>
          </w:p>
          <w:p>
            <w:pPr>
              <w:spacing w:line="400" w:lineRule="exact"/>
              <w:rPr>
                <w:rStyle w:val="112"/>
                <w:rFonts w:hint="default" w:cs="宋体"/>
                <w:color w:val="000000" w:themeColor="text1"/>
                <w:sz w:val="24"/>
                <w:szCs w:val="24"/>
                <w:highlight w:val="none"/>
                <w14:textFill>
                  <w14:solidFill>
                    <w14:schemeClr w14:val="tx1"/>
                  </w14:solidFill>
                </w14:textFill>
              </w:rPr>
            </w:pPr>
            <w:r>
              <w:rPr>
                <w:rStyle w:val="253"/>
                <w:rFonts w:hint="eastAsia" w:cs="宋体"/>
                <w:b w:val="0"/>
                <w:bCs w:val="0"/>
                <w:color w:val="000000" w:themeColor="text1"/>
                <w:sz w:val="24"/>
                <w:szCs w:val="24"/>
                <w:highlight w:val="none"/>
                <w14:textFill>
                  <w14:solidFill>
                    <w14:schemeClr w14:val="tx1"/>
                  </w14:solidFill>
                </w14:textFill>
              </w:rPr>
              <w:t>缴纳</w:t>
            </w:r>
            <w:r>
              <w:rPr>
                <w:rStyle w:val="253"/>
                <w:rFonts w:hint="eastAsia" w:cs="宋体"/>
                <w:b/>
                <w:bCs/>
                <w:color w:val="000000" w:themeColor="text1"/>
                <w:sz w:val="24"/>
                <w:szCs w:val="24"/>
                <w:highlight w:val="none"/>
                <w14:textFill>
                  <w14:solidFill>
                    <w14:schemeClr w14:val="tx1"/>
                  </w14:solidFill>
                </w14:textFill>
              </w:rPr>
              <w:t>暂估合同总价</w:t>
            </w:r>
            <w:r>
              <w:rPr>
                <w:rStyle w:val="253"/>
                <w:rFonts w:hint="eastAsia" w:cs="宋体"/>
                <w:b/>
                <w:bCs/>
                <w:color w:val="000000" w:themeColor="text1"/>
                <w:sz w:val="24"/>
                <w:szCs w:val="24"/>
                <w:highlight w:val="none"/>
                <w:lang w:val="en-US"/>
                <w14:textFill>
                  <w14:solidFill>
                    <w14:schemeClr w14:val="tx1"/>
                  </w14:solidFill>
                </w14:textFill>
              </w:rPr>
              <w:t>1%的</w:t>
            </w:r>
            <w:r>
              <w:rPr>
                <w:rStyle w:val="253"/>
                <w:rFonts w:hint="eastAsia" w:cs="宋体"/>
                <w:b/>
                <w:bCs/>
                <w:color w:val="000000" w:themeColor="text1"/>
                <w:sz w:val="24"/>
                <w:szCs w:val="24"/>
                <w:highlight w:val="none"/>
                <w14:textFill>
                  <w14:solidFill>
                    <w14:schemeClr w14:val="tx1"/>
                  </w14:solidFill>
                </w14:textFill>
              </w:rPr>
              <w:t>履约保证金。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60" w:hRule="atLeast"/>
        </w:trPr>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19</w:t>
            </w:r>
          </w:p>
        </w:tc>
        <w:tc>
          <w:tcPr>
            <w:tcW w:w="23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投标有效期</w:t>
            </w:r>
          </w:p>
        </w:tc>
        <w:tc>
          <w:tcPr>
            <w:tcW w:w="6670" w:type="dxa"/>
            <w:vAlign w:val="center"/>
          </w:tcPr>
          <w:p>
            <w:pPr>
              <w:spacing w:line="400" w:lineRule="exact"/>
              <w:ind w:left="1232" w:hanging="1230" w:hangingChars="500"/>
              <w:rPr>
                <w:rStyle w:val="112"/>
                <w:rFonts w:hint="default" w:cs="宋体"/>
                <w:color w:val="000000"/>
                <w:sz w:val="24"/>
                <w:szCs w:val="24"/>
              </w:rPr>
            </w:pPr>
            <w:r>
              <w:rPr>
                <w:rStyle w:val="112"/>
                <w:rFonts w:hint="default" w:cs="宋体"/>
                <w:color w:val="000000"/>
                <w:sz w:val="24"/>
                <w:szCs w:val="24"/>
              </w:rPr>
              <w:t xml:space="preserve">自投标文件递交截止之日起90天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5" w:hRule="atLeast"/>
        </w:trPr>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20</w:t>
            </w:r>
          </w:p>
        </w:tc>
        <w:tc>
          <w:tcPr>
            <w:tcW w:w="2370" w:type="dxa"/>
            <w:vAlign w:val="center"/>
          </w:tcPr>
          <w:p>
            <w:pPr>
              <w:spacing w:line="400" w:lineRule="exact"/>
              <w:rPr>
                <w:rStyle w:val="112"/>
                <w:rFonts w:hint="default" w:cs="宋体"/>
                <w:color w:val="000000"/>
                <w:sz w:val="24"/>
                <w:szCs w:val="24"/>
              </w:rPr>
            </w:pPr>
            <w:r>
              <w:rPr>
                <w:rStyle w:val="112"/>
                <w:rFonts w:hint="default" w:cs="宋体"/>
                <w:color w:val="000000"/>
                <w:sz w:val="24"/>
                <w:szCs w:val="24"/>
              </w:rPr>
              <w:t>采购公告，更正公告，中标公示发布网址网址</w:t>
            </w:r>
          </w:p>
        </w:tc>
        <w:tc>
          <w:tcPr>
            <w:tcW w:w="6670" w:type="dxa"/>
            <w:vAlign w:val="center"/>
          </w:tcPr>
          <w:p>
            <w:pPr>
              <w:spacing w:line="400" w:lineRule="exact"/>
              <w:ind w:left="1232" w:hanging="1230" w:hangingChars="500"/>
              <w:rPr>
                <w:rStyle w:val="112"/>
                <w:rFonts w:hint="default" w:cs="宋体"/>
                <w:color w:val="000000"/>
                <w:sz w:val="24"/>
                <w:szCs w:val="24"/>
              </w:rPr>
            </w:pPr>
            <w:r>
              <w:rPr>
                <w:rStyle w:val="112"/>
                <w:rFonts w:hint="default" w:cs="宋体"/>
                <w:color w:val="000000"/>
                <w:sz w:val="24"/>
                <w:szCs w:val="24"/>
              </w:rPr>
              <w:t>浙江政府采购网（http://zfcg.czt.zj.gov.cn/）</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21</w:t>
            </w:r>
          </w:p>
        </w:tc>
        <w:tc>
          <w:tcPr>
            <w:tcW w:w="2370" w:type="dxa"/>
            <w:vAlign w:val="center"/>
          </w:tcPr>
          <w:p>
            <w:pPr>
              <w:snapToGrid w:val="0"/>
              <w:spacing w:line="400" w:lineRule="exact"/>
              <w:rPr>
                <w:rStyle w:val="112"/>
                <w:rFonts w:hint="default" w:cs="宋体"/>
                <w:color w:val="000000"/>
                <w:sz w:val="24"/>
                <w:szCs w:val="24"/>
              </w:rPr>
            </w:pPr>
            <w:r>
              <w:rPr>
                <w:rStyle w:val="112"/>
                <w:rFonts w:hint="default" w:cs="宋体"/>
                <w:color w:val="000000"/>
                <w:sz w:val="24"/>
                <w:szCs w:val="24"/>
              </w:rPr>
              <w:t>小微企业有关政策</w:t>
            </w:r>
          </w:p>
        </w:tc>
        <w:tc>
          <w:tcPr>
            <w:tcW w:w="6670" w:type="dxa"/>
            <w:vAlign w:val="center"/>
          </w:tcPr>
          <w:p>
            <w:pPr>
              <w:spacing w:line="360" w:lineRule="exact"/>
              <w:rPr>
                <w:rStyle w:val="112"/>
                <w:rFonts w:hint="default" w:cs="宋体"/>
                <w:b/>
                <w:bCs/>
                <w:color w:val="000000"/>
                <w:sz w:val="24"/>
                <w:szCs w:val="24"/>
              </w:rPr>
            </w:pPr>
            <w:r>
              <w:rPr>
                <w:rStyle w:val="112"/>
                <w:rFonts w:hint="default" w:cs="宋体"/>
                <w:b/>
                <w:bCs/>
                <w:color w:val="000000"/>
                <w:sz w:val="24"/>
                <w:szCs w:val="24"/>
              </w:rPr>
              <w:t>1、根据财库〔2022〕19号的相关规定，在评审时对小型和微型企业的投标报价给予10%的扣除，用扣除后的价格参加评审。属于小型和微型企业的，投标文件中投标人必须提供的《中小企业声明函》。</w:t>
            </w:r>
          </w:p>
          <w:p>
            <w:pPr>
              <w:spacing w:line="360" w:lineRule="exact"/>
              <w:rPr>
                <w:rStyle w:val="112"/>
                <w:rFonts w:hint="default" w:cs="宋体"/>
                <w:color w:val="000000"/>
                <w:sz w:val="24"/>
                <w:szCs w:val="24"/>
              </w:rPr>
            </w:pPr>
            <w:r>
              <w:rPr>
                <w:rStyle w:val="112"/>
                <w:rFonts w:hint="default" w:cs="宋体"/>
                <w:color w:val="000000"/>
                <w:sz w:val="24"/>
                <w:szCs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360" w:lineRule="exact"/>
              <w:rPr>
                <w:rStyle w:val="112"/>
                <w:rFonts w:hint="default" w:cs="宋体"/>
                <w:color w:val="000000"/>
                <w:sz w:val="24"/>
                <w:szCs w:val="24"/>
              </w:rPr>
            </w:pPr>
            <w:r>
              <w:rPr>
                <w:rStyle w:val="112"/>
                <w:rFonts w:hint="default" w:cs="宋体"/>
                <w:color w:val="000000"/>
                <w:sz w:val="24"/>
                <w:szCs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60" w:lineRule="exact"/>
              <w:rPr>
                <w:rFonts w:ascii="宋体" w:hAnsi="宋体" w:eastAsia="宋体" w:cs="宋体"/>
                <w:color w:val="000000"/>
                <w:sz w:val="24"/>
                <w:szCs w:val="24"/>
                <w:lang w:val="zh-CN"/>
              </w:rPr>
            </w:pPr>
            <w:r>
              <w:rPr>
                <w:rStyle w:val="112"/>
                <w:rFonts w:hint="default" w:cs="宋体"/>
                <w:color w:val="000000"/>
                <w:sz w:val="24"/>
                <w:szCs w:val="24"/>
              </w:rPr>
              <w:t>(注：未提供以上材料的，均不给予价格扣除）。</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22</w:t>
            </w:r>
          </w:p>
        </w:tc>
        <w:tc>
          <w:tcPr>
            <w:tcW w:w="2370" w:type="dxa"/>
            <w:vAlign w:val="center"/>
          </w:tcPr>
          <w:p>
            <w:pPr>
              <w:snapToGrid w:val="0"/>
              <w:spacing w:line="400" w:lineRule="exact"/>
              <w:rPr>
                <w:rStyle w:val="112"/>
                <w:rFonts w:hint="default" w:cs="宋体"/>
                <w:color w:val="000000"/>
                <w:sz w:val="24"/>
                <w:szCs w:val="24"/>
              </w:rPr>
            </w:pPr>
            <w:r>
              <w:rPr>
                <w:rStyle w:val="112"/>
                <w:rFonts w:hint="default" w:cs="宋体"/>
                <w:color w:val="000000"/>
                <w:sz w:val="24"/>
                <w:szCs w:val="24"/>
              </w:rPr>
              <w:t>中小企业质押融资有关政策</w:t>
            </w:r>
          </w:p>
        </w:tc>
        <w:tc>
          <w:tcPr>
            <w:tcW w:w="6670" w:type="dxa"/>
            <w:vAlign w:val="center"/>
          </w:tcPr>
          <w:p>
            <w:pPr>
              <w:spacing w:line="360" w:lineRule="exact"/>
              <w:rPr>
                <w:rFonts w:ascii="宋体" w:hAnsi="宋体" w:eastAsia="宋体" w:cs="宋体"/>
                <w:color w:val="000000"/>
                <w:sz w:val="24"/>
                <w:szCs w:val="24"/>
                <w:lang w:val="zh-CN"/>
              </w:rPr>
            </w:pPr>
            <w:r>
              <w:rPr>
                <w:rStyle w:val="112"/>
                <w:rFonts w:hint="default" w:cs="宋体"/>
                <w:color w:val="000000"/>
                <w:sz w:val="24"/>
                <w:szCs w:val="24"/>
              </w:rPr>
              <w:t>根据“ 中国人民银行衢州中心支行  衢州市财政局关于衢州市政府采购进一步支持中小企业质押融资的实施意见”（衢银发[2020]号）规定，取得衢州市政府采购合同的供应商，可凭政府采购合同及应收账款收益权，向银行申请质押融资。申请质押融资时，供应商需先注册“衢州金融服务信用信息平台”用户，登录后通过“中征融资”模块进入“中征应收账款融资服务平台”，完善企业信息后，向合作银行推送中标采购信息。在合同签订后七个工作日内将合同向同级政府采购监管部门备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23</w:t>
            </w:r>
          </w:p>
        </w:tc>
        <w:tc>
          <w:tcPr>
            <w:tcW w:w="2370" w:type="dxa"/>
            <w:vAlign w:val="center"/>
          </w:tcPr>
          <w:p>
            <w:pPr>
              <w:snapToGrid w:val="0"/>
              <w:spacing w:line="400" w:lineRule="exact"/>
              <w:rPr>
                <w:rStyle w:val="112"/>
                <w:rFonts w:hint="default" w:cs="宋体"/>
                <w:color w:val="000000"/>
                <w:sz w:val="24"/>
                <w:szCs w:val="24"/>
              </w:rPr>
            </w:pPr>
            <w:r>
              <w:rPr>
                <w:rFonts w:hint="eastAsia" w:ascii="宋体" w:hAnsi="宋体" w:eastAsia="宋体" w:cs="宋体"/>
                <w:color w:val="000000"/>
                <w:sz w:val="24"/>
                <w:szCs w:val="24"/>
              </w:rPr>
              <w:t>企业信用融资及电子保函</w:t>
            </w:r>
          </w:p>
        </w:tc>
        <w:tc>
          <w:tcPr>
            <w:tcW w:w="6670" w:type="dxa"/>
            <w:vAlign w:val="center"/>
          </w:tcPr>
          <w:p>
            <w:pPr>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投标人若有办理信用融资及电子保函意向的可登陆浙江政府采购网“浙江政采贷”（网址：https://jinrong.zcygov.cn，政府采购云平台金融服务中心）查看相关政策和服务方案。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57" w:type="dxa"/>
            <w:vAlign w:val="center"/>
          </w:tcPr>
          <w:p>
            <w:pPr>
              <w:spacing w:line="400" w:lineRule="exact"/>
              <w:jc w:val="center"/>
              <w:rPr>
                <w:rStyle w:val="112"/>
                <w:rFonts w:hint="default" w:cs="宋体"/>
                <w:color w:val="000000"/>
                <w:sz w:val="24"/>
                <w:szCs w:val="24"/>
              </w:rPr>
            </w:pPr>
            <w:r>
              <w:rPr>
                <w:rStyle w:val="112"/>
                <w:rFonts w:hint="default" w:cs="宋体"/>
                <w:color w:val="000000"/>
                <w:sz w:val="24"/>
                <w:szCs w:val="24"/>
              </w:rPr>
              <w:t>24</w:t>
            </w:r>
          </w:p>
        </w:tc>
        <w:tc>
          <w:tcPr>
            <w:tcW w:w="2370" w:type="dxa"/>
            <w:vAlign w:val="center"/>
          </w:tcPr>
          <w:p>
            <w:pPr>
              <w:pStyle w:val="56"/>
              <w:rPr>
                <w:rFonts w:eastAsia="宋体" w:cs="宋体"/>
                <w:color w:val="000000"/>
                <w:szCs w:val="24"/>
              </w:rPr>
            </w:pPr>
            <w:r>
              <w:rPr>
                <w:rFonts w:hint="eastAsia" w:eastAsia="宋体" w:cs="宋体"/>
                <w:color w:val="000000"/>
                <w:kern w:val="2"/>
                <w:szCs w:val="24"/>
              </w:rPr>
              <w:t>在线提起询问、质疑、投诉方式</w:t>
            </w:r>
          </w:p>
          <w:p>
            <w:pPr>
              <w:snapToGrid w:val="0"/>
              <w:spacing w:line="400" w:lineRule="exact"/>
              <w:rPr>
                <w:rStyle w:val="112"/>
                <w:rFonts w:hint="default" w:cs="宋体"/>
                <w:color w:val="000000"/>
                <w:sz w:val="24"/>
                <w:szCs w:val="24"/>
              </w:rPr>
            </w:pPr>
          </w:p>
        </w:tc>
        <w:tc>
          <w:tcPr>
            <w:tcW w:w="6670" w:type="dxa"/>
            <w:vAlign w:val="center"/>
          </w:tcPr>
          <w:p>
            <w:pPr>
              <w:spacing w:line="400" w:lineRule="exact"/>
              <w:rPr>
                <w:rFonts w:ascii="宋体" w:hAnsi="宋体" w:eastAsia="宋体" w:cs="宋体"/>
                <w:color w:val="000000"/>
                <w:sz w:val="24"/>
                <w:szCs w:val="24"/>
                <w:lang w:val="zh-CN"/>
              </w:rPr>
            </w:pPr>
            <w:r>
              <w:rPr>
                <w:rFonts w:hint="eastAsia" w:ascii="宋体" w:hAnsi="宋体" w:eastAsia="宋体" w:cs="宋体"/>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质疑供应商对在线质疑答复不满意的，可在线提起投诉，路径为：浙江政府服务网-政府采购投诉处理-在线办理。</w:t>
            </w:r>
          </w:p>
        </w:tc>
      </w:tr>
    </w:tbl>
    <w:p>
      <w:pPr>
        <w:autoSpaceDE w:val="0"/>
        <w:autoSpaceDN w:val="0"/>
        <w:spacing w:line="600" w:lineRule="exact"/>
        <w:rPr>
          <w:rFonts w:ascii="宋体" w:hAnsi="宋体" w:eastAsia="宋体" w:cs="宋体"/>
          <w:b/>
          <w:bCs/>
          <w:color w:val="000000"/>
          <w:sz w:val="24"/>
          <w:szCs w:val="24"/>
          <w:lang w:val="zh-CN"/>
        </w:rPr>
      </w:pPr>
      <w:r>
        <w:rPr>
          <w:rFonts w:hint="eastAsia" w:ascii="宋体" w:hAnsi="宋体" w:eastAsia="宋体" w:cs="宋体"/>
          <w:b/>
          <w:bCs/>
          <w:color w:val="000000"/>
          <w:sz w:val="24"/>
          <w:szCs w:val="24"/>
          <w:lang w:val="zh-CN"/>
        </w:rPr>
        <w:t>一、综合说明</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本次招标是按照《中华人民共和国政府采购法》、《中华人民共和国政府采购法实施条例》、《政府采购货物和服务招标管理办法》和《关于进一步规范采购活动的若干意见》等法律、法规组织和实施。</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（一）适用范围</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本招标文件仅适用于高铁新城再生水厂运营管理服务项目的招标、投标、评标、定标、验收、合同履行、付款等行为（法律、法规另有规定的，从其规定）。</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（二）定义</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1.“采购人”系指本次公开招标采购货物的购买单位“衢州智慧新城管理委员会”。</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2.“招标人”系指本次公开招标采购货物的采购代理机构“浙江卓宏建设项目管理有限公司”。</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3.“投标人”系指向采购人提交投标文件的单位。</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4.“货物”系指本次招标拟采购的内容。</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5.“服务”系指根据本合同规定中标人必须承担有关的服务和合同中规定中标人应承担的义务,以及合同中未规定,但依法有利于合同履行原则，应当由中标人承担的其它义务。</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6.“▲”系指实质性的要求条款。</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7.“●”系指投标人应特别关注的条款。</w:t>
      </w:r>
    </w:p>
    <w:p>
      <w:pPr>
        <w:autoSpaceDE w:val="0"/>
        <w:autoSpaceDN w:val="0"/>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（三）</w:t>
      </w:r>
      <w:r>
        <w:rPr>
          <w:rFonts w:hint="eastAsia" w:ascii="宋体" w:hAnsi="宋体" w:eastAsia="宋体" w:cs="宋体"/>
          <w:color w:val="000000"/>
          <w:sz w:val="24"/>
          <w:szCs w:val="24"/>
          <w:lang w:val="zh-CN"/>
        </w:rPr>
        <w:t>●</w:t>
      </w:r>
      <w:r>
        <w:rPr>
          <w:rFonts w:hint="eastAsia" w:ascii="宋体" w:hAnsi="宋体" w:eastAsia="宋体" w:cs="宋体"/>
          <w:b/>
          <w:color w:val="000000"/>
          <w:sz w:val="24"/>
          <w:szCs w:val="24"/>
          <w:lang w:val="zh-CN"/>
        </w:rPr>
        <w:t>合格的投标人</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1.满足《中华人民共和国政府采购法》第二十二条规定（①具有独立承担</w:t>
      </w:r>
      <w:r>
        <w:fldChar w:fldCharType="begin"/>
      </w:r>
      <w:r>
        <w:instrText xml:space="preserve"> HYPERLINK "http://www.so.com/s?q=%E6%B0%91%E4%BA%8B%E8%B4%A3%E4%BB%BB&amp;ie=utf-8&amp;src=wenda_link" \t "_blank" </w:instrText>
      </w:r>
      <w:r>
        <w:fldChar w:fldCharType="separate"/>
      </w:r>
      <w:r>
        <w:rPr>
          <w:rFonts w:hint="eastAsia" w:ascii="宋体" w:hAnsi="宋体" w:eastAsia="宋体" w:cs="宋体"/>
          <w:color w:val="000000"/>
          <w:sz w:val="24"/>
          <w:szCs w:val="24"/>
          <w:lang w:val="zh-CN"/>
        </w:rPr>
        <w:t>民事责任</w:t>
      </w:r>
      <w:r>
        <w:rPr>
          <w:rFonts w:hint="eastAsia" w:ascii="宋体" w:hAnsi="宋体" w:eastAsia="宋体" w:cs="宋体"/>
          <w:color w:val="000000"/>
          <w:sz w:val="24"/>
          <w:szCs w:val="24"/>
          <w:lang w:val="zh-CN"/>
        </w:rPr>
        <w:fldChar w:fldCharType="end"/>
      </w:r>
      <w:r>
        <w:rPr>
          <w:rFonts w:hint="eastAsia" w:ascii="宋体" w:hAnsi="宋体" w:eastAsia="宋体" w:cs="宋体"/>
          <w:color w:val="000000"/>
          <w:sz w:val="24"/>
          <w:szCs w:val="24"/>
          <w:lang w:val="zh-CN"/>
        </w:rPr>
        <w:t>的能力；②具有良好的商业信誉和健全的财务</w:t>
      </w:r>
      <w:r>
        <w:fldChar w:fldCharType="begin"/>
      </w:r>
      <w:r>
        <w:instrText xml:space="preserve"> HYPERLINK "http://www.so.com/s?q=%E4%BC%9A%E8%AE%A1%E5%88%B6%E5%BA%A6&amp;ie=utf-8&amp;src=wenda_link" \t "_blank" </w:instrText>
      </w:r>
      <w:r>
        <w:fldChar w:fldCharType="separate"/>
      </w:r>
      <w:r>
        <w:rPr>
          <w:rFonts w:hint="eastAsia" w:ascii="宋体" w:hAnsi="宋体" w:eastAsia="宋体" w:cs="宋体"/>
          <w:color w:val="000000"/>
          <w:sz w:val="24"/>
          <w:szCs w:val="24"/>
          <w:lang w:val="zh-CN"/>
        </w:rPr>
        <w:t>会计制度</w:t>
      </w:r>
      <w:r>
        <w:rPr>
          <w:rFonts w:hint="eastAsia" w:ascii="宋体" w:hAnsi="宋体" w:eastAsia="宋体" w:cs="宋体"/>
          <w:color w:val="000000"/>
          <w:sz w:val="24"/>
          <w:szCs w:val="24"/>
          <w:lang w:val="zh-CN"/>
        </w:rPr>
        <w:fldChar w:fldCharType="end"/>
      </w:r>
      <w:r>
        <w:rPr>
          <w:rFonts w:hint="eastAsia" w:ascii="宋体" w:hAnsi="宋体" w:eastAsia="宋体" w:cs="宋体"/>
          <w:color w:val="000000"/>
          <w:sz w:val="24"/>
          <w:szCs w:val="24"/>
          <w:lang w:val="zh-CN"/>
        </w:rPr>
        <w:t>；③具有履行合同所必需的设备和专业技术能力；④有依法缴纳税收和</w:t>
      </w:r>
      <w:r>
        <w:fldChar w:fldCharType="begin"/>
      </w:r>
      <w:r>
        <w:instrText xml:space="preserve"> HYPERLINK "http://www.so.com/s?q=%E7%A4%BE%E4%BC%9A%E4%BF%9D%E9%9A%9C%E8%B5%84%E9%87%91&amp;ie=utf-8&amp;src=wenda_link" \t "_blank" </w:instrText>
      </w:r>
      <w:r>
        <w:fldChar w:fldCharType="separate"/>
      </w:r>
      <w:r>
        <w:rPr>
          <w:rFonts w:hint="eastAsia" w:ascii="宋体" w:hAnsi="宋体" w:eastAsia="宋体" w:cs="宋体"/>
          <w:color w:val="000000"/>
          <w:sz w:val="24"/>
          <w:szCs w:val="24"/>
          <w:lang w:val="zh-CN"/>
        </w:rPr>
        <w:t>社会保障资金</w:t>
      </w:r>
      <w:r>
        <w:rPr>
          <w:rFonts w:hint="eastAsia" w:ascii="宋体" w:hAnsi="宋体" w:eastAsia="宋体" w:cs="宋体"/>
          <w:color w:val="000000"/>
          <w:sz w:val="24"/>
          <w:szCs w:val="24"/>
          <w:lang w:val="zh-CN"/>
        </w:rPr>
        <w:fldChar w:fldCharType="end"/>
      </w:r>
      <w:r>
        <w:rPr>
          <w:rFonts w:hint="eastAsia" w:ascii="宋体" w:hAnsi="宋体" w:eastAsia="宋体" w:cs="宋体"/>
          <w:color w:val="000000"/>
          <w:sz w:val="24"/>
          <w:szCs w:val="24"/>
          <w:lang w:val="zh-CN"/>
        </w:rPr>
        <w:t>的良好记录；⑤参加政府采购活动前三年内，在经营活动中没有重大违法记录；），且必须为未被列入“信用中国”网站(</w:t>
      </w:r>
      <w:r>
        <w:fldChar w:fldCharType="begin"/>
      </w:r>
      <w:r>
        <w:instrText xml:space="preserve"> HYPERLINK "http://www.creditchina.gov.cn/" \t "_blank" </w:instrText>
      </w:r>
      <w:r>
        <w:fldChar w:fldCharType="separate"/>
      </w:r>
      <w:r>
        <w:rPr>
          <w:rFonts w:hint="eastAsia" w:ascii="宋体" w:hAnsi="宋体" w:eastAsia="宋体" w:cs="宋体"/>
          <w:color w:val="000000"/>
          <w:sz w:val="24"/>
          <w:szCs w:val="24"/>
          <w:lang w:val="zh-CN"/>
        </w:rPr>
        <w:t>www.creditchina.gov.cn</w:t>
      </w:r>
      <w:r>
        <w:rPr>
          <w:rFonts w:hint="eastAsia" w:ascii="宋体" w:hAnsi="宋体" w:eastAsia="宋体" w:cs="宋体"/>
          <w:color w:val="000000"/>
          <w:sz w:val="24"/>
          <w:szCs w:val="24"/>
          <w:lang w:val="zh-CN"/>
        </w:rPr>
        <w:fldChar w:fldCharType="end"/>
      </w:r>
      <w:r>
        <w:rPr>
          <w:rFonts w:hint="eastAsia" w:ascii="宋体" w:hAnsi="宋体" w:eastAsia="宋体" w:cs="宋体"/>
          <w:color w:val="000000"/>
          <w:sz w:val="24"/>
          <w:szCs w:val="24"/>
          <w:lang w:val="zh-CN"/>
        </w:rPr>
        <w:t>)、中国政府采购网(</w:t>
      </w:r>
      <w:r>
        <w:fldChar w:fldCharType="begin"/>
      </w:r>
      <w:r>
        <w:instrText xml:space="preserve"> HYPERLINK "http://www.ccgp.gov.cn/" \t "_blank" </w:instrText>
      </w:r>
      <w:r>
        <w:fldChar w:fldCharType="separate"/>
      </w:r>
      <w:r>
        <w:rPr>
          <w:rFonts w:hint="eastAsia" w:ascii="宋体" w:hAnsi="宋体" w:eastAsia="宋体" w:cs="宋体"/>
          <w:color w:val="000000"/>
          <w:sz w:val="24"/>
          <w:szCs w:val="24"/>
          <w:lang w:val="zh-CN"/>
        </w:rPr>
        <w:t>www.ccgp.gov.cn</w:t>
      </w:r>
      <w:r>
        <w:rPr>
          <w:rFonts w:hint="eastAsia" w:ascii="宋体" w:hAnsi="宋体" w:eastAsia="宋体" w:cs="宋体"/>
          <w:color w:val="000000"/>
          <w:sz w:val="24"/>
          <w:szCs w:val="24"/>
          <w:lang w:val="zh-CN"/>
        </w:rPr>
        <w:fldChar w:fldCharType="end"/>
      </w:r>
      <w:r>
        <w:rPr>
          <w:rFonts w:hint="eastAsia" w:ascii="宋体" w:hAnsi="宋体" w:eastAsia="宋体" w:cs="宋体"/>
          <w:color w:val="000000"/>
          <w:sz w:val="24"/>
          <w:szCs w:val="24"/>
          <w:lang w:val="zh-CN"/>
        </w:rPr>
        <w:t>)渠道信用记录失信被执行人、重大税收违法案件当事人名单、政府采购严重违法失信行为记录名单）；</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2.本项目不接受联合体投标。</w:t>
      </w:r>
    </w:p>
    <w:p>
      <w:pPr>
        <w:autoSpaceDE w:val="0"/>
        <w:autoSpaceDN w:val="0"/>
        <w:spacing w:line="440" w:lineRule="exact"/>
        <w:ind w:firstLine="246" w:firstLineChars="1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（四）投标人代表</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指全权代表投标人参加招标活动并签署投标文件的人。本次投标的投标人代表必须是投标人的法定代表人或其授权委托人，如投标人代表不是法定代表人，须有法定代表人出具的授权委托书（格式详见第五章）。</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（五）投标费用</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无论投标过程和结果如何，投标人应自行承担所有与投标有关的全部费用，招标人和采购人均无义务和责任承担</w:t>
      </w:r>
      <w:r>
        <w:rPr>
          <w:rFonts w:hint="eastAsia" w:ascii="宋体" w:hAnsi="宋体" w:eastAsia="宋体" w:cs="宋体"/>
          <w:color w:val="000000"/>
          <w:sz w:val="24"/>
          <w:szCs w:val="24"/>
        </w:rPr>
        <w:t>此类</w:t>
      </w:r>
      <w:r>
        <w:rPr>
          <w:rFonts w:hint="eastAsia" w:ascii="宋体" w:hAnsi="宋体" w:eastAsia="宋体" w:cs="宋体"/>
          <w:color w:val="000000"/>
          <w:sz w:val="24"/>
          <w:szCs w:val="24"/>
          <w:lang w:val="zh-CN"/>
        </w:rPr>
        <w:t>费用。</w:t>
      </w:r>
    </w:p>
    <w:p>
      <w:pPr>
        <w:spacing w:line="440" w:lineRule="exact"/>
        <w:ind w:firstLine="49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zh-CN"/>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1.招标代理服务以招标项目中标价作为计费基数，按计价格【2002】1980号文件及发改价格〔2011〕534号招标代理服务收费标准的56.12</w:t>
      </w:r>
      <w:r>
        <w:rPr>
          <w:rFonts w:hint="eastAsia" w:ascii="宋体" w:hAnsi="宋体" w:eastAsia="宋体" w:cs="宋体"/>
          <w:b/>
          <w:bCs/>
          <w:color w:val="000000" w:themeColor="text1"/>
          <w:sz w:val="24"/>
          <w:szCs w:val="24"/>
          <w:lang w:val="zh-CN"/>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%计取；单个项目招标代理费超过6万元的按6万元计。</w:t>
      </w:r>
    </w:p>
    <w:p>
      <w:pPr>
        <w:spacing w:line="440" w:lineRule="exact"/>
        <w:ind w:firstLine="49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2.其他相关费用按实结算，具体可咨询代理机构。</w:t>
      </w:r>
    </w:p>
    <w:p>
      <w:pPr>
        <w:spacing w:line="440" w:lineRule="exact"/>
        <w:ind w:firstLine="492" w:firstLineChars="200"/>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3.以上费用均不在报价中单列，请投标人在报价中予以考虑。由中标人在领取中标通知书时一次性支付给采购代理单位。</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（六）特别说明</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投标人获取招标文件后决定不参加该项目投标，应在投标截止时前以书面形式（信函、传真加盖投标单位公章）通知浙江卓宏建设项目管理有限公司，如在规定期内未收到投标人书面函件，则视为投标人同意参加投标，如投标截止时无故（不可抗力事件影响除外）不参加投标，采购人可以上报当地财监部门。</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b/>
          <w:color w:val="000000"/>
          <w:sz w:val="24"/>
          <w:szCs w:val="24"/>
          <w:lang w:val="zh-CN"/>
        </w:rPr>
        <w:t>2.</w:t>
      </w:r>
      <w:r>
        <w:rPr>
          <w:rFonts w:hint="eastAsia" w:ascii="宋体" w:hAnsi="宋体" w:eastAsia="宋体" w:cs="宋体"/>
          <w:color w:val="000000"/>
          <w:sz w:val="24"/>
          <w:szCs w:val="24"/>
          <w:lang w:val="zh-CN"/>
        </w:rPr>
        <w:t>▲投标人投标所使用的资格、信誉、荣誉与企业认证必须为本法人（负责人）所拥有。</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3.▲投标人应仔细阅读招标件的所有内容，按照招标件的要求提交响应文件，并对所提供的全部资料的真实性承担法律责任。</w:t>
      </w:r>
    </w:p>
    <w:p>
      <w:pPr>
        <w:autoSpaceDE w:val="0"/>
        <w:autoSpaceDN w:val="0"/>
        <w:spacing w:line="440" w:lineRule="exact"/>
        <w:ind w:firstLine="492" w:firstLineChars="200"/>
        <w:outlineLvl w:val="0"/>
        <w:rPr>
          <w:rFonts w:ascii="宋体" w:hAnsi="宋体" w:eastAsia="宋体" w:cs="宋体"/>
          <w:b/>
          <w:color w:val="000000"/>
          <w:sz w:val="24"/>
          <w:szCs w:val="24"/>
          <w:lang w:val="zh-CN"/>
        </w:rPr>
      </w:pPr>
      <w:bookmarkStart w:id="5" w:name="_Toc119501470"/>
      <w:r>
        <w:rPr>
          <w:rFonts w:hint="eastAsia" w:ascii="宋体" w:hAnsi="宋体" w:eastAsia="宋体" w:cs="宋体"/>
          <w:b/>
          <w:color w:val="000000"/>
          <w:sz w:val="24"/>
          <w:szCs w:val="24"/>
          <w:lang w:val="zh-CN"/>
        </w:rPr>
        <w:t>（七）</w:t>
      </w:r>
      <w:r>
        <w:rPr>
          <w:rFonts w:hint="eastAsia" w:ascii="宋体" w:hAnsi="宋体" w:eastAsia="宋体" w:cs="宋体"/>
          <w:color w:val="000000"/>
          <w:sz w:val="24"/>
          <w:szCs w:val="24"/>
          <w:lang w:val="zh-CN"/>
        </w:rPr>
        <w:t>●</w:t>
      </w:r>
      <w:r>
        <w:rPr>
          <w:rFonts w:hint="eastAsia" w:ascii="宋体" w:hAnsi="宋体" w:eastAsia="宋体" w:cs="宋体"/>
          <w:b/>
          <w:color w:val="000000"/>
          <w:sz w:val="24"/>
          <w:szCs w:val="24"/>
          <w:lang w:val="zh-CN"/>
        </w:rPr>
        <w:t>投标人质疑提出时间期限</w:t>
      </w:r>
      <w:bookmarkEnd w:id="5"/>
    </w:p>
    <w:p>
      <w:pPr>
        <w:autoSpaceDE w:val="0"/>
        <w:autoSpaceDN w:val="0"/>
        <w:adjustRightInd w:val="0"/>
        <w:spacing w:line="440" w:lineRule="exact"/>
        <w:ind w:firstLine="492" w:firstLineChars="200"/>
        <w:jc w:val="left"/>
        <w:rPr>
          <w:rFonts w:ascii="宋体" w:hAnsi="宋体" w:eastAsia="宋体" w:cs="宋体"/>
          <w:color w:val="000000"/>
          <w:sz w:val="24"/>
          <w:lang w:val="zh-CN"/>
        </w:rPr>
      </w:pPr>
      <w:r>
        <w:rPr>
          <w:rFonts w:hint="eastAsia" w:ascii="宋体" w:hAnsi="宋体" w:eastAsia="宋体" w:cs="宋体"/>
          <w:color w:val="000000"/>
          <w:sz w:val="24"/>
          <w:lang w:val="zh-CN"/>
        </w:rPr>
        <w:t>投标人如认为采购文件、采购过程和中标结果使自身的合法权益受到损害的，可以在知道或者应知其权益受到损害之日起七个工作日内，以书面形式向采购人、采购代理机构提出质疑；</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知道或者应知其权益受到损害之日起算时间：投标人认为采购文件使自己的权益受到损害的，可以自收到采购文件之日（发售截止日之后收到采购文件的，以发售截止日为准）或者采购文件公告期限届满之日起，对中标结果提出质疑的，质疑期限自采购文件结果公告之日起计算。否则，被质疑人可不予接受。</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投诉处理按《政府采购质疑和投诉办法》中华人民共和国财政部令第94号文件。</w:t>
      </w:r>
    </w:p>
    <w:p>
      <w:pPr>
        <w:autoSpaceDE w:val="0"/>
        <w:autoSpaceDN w:val="0"/>
        <w:spacing w:line="600" w:lineRule="exact"/>
        <w:rPr>
          <w:rFonts w:ascii="宋体" w:hAnsi="宋体" w:eastAsia="宋体" w:cs="宋体"/>
          <w:b/>
          <w:bCs/>
          <w:color w:val="000000"/>
          <w:lang w:val="zh-CN"/>
        </w:rPr>
      </w:pPr>
      <w:r>
        <w:rPr>
          <w:rFonts w:hint="eastAsia" w:ascii="宋体" w:hAnsi="宋体" w:eastAsia="宋体" w:cs="宋体"/>
          <w:b/>
          <w:bCs/>
          <w:color w:val="000000"/>
          <w:lang w:val="zh-CN"/>
        </w:rPr>
        <w:t>二、招标文件</w:t>
      </w:r>
    </w:p>
    <w:p>
      <w:pPr>
        <w:autoSpaceDE w:val="0"/>
        <w:autoSpaceDN w:val="0"/>
        <w:spacing w:line="440" w:lineRule="exact"/>
        <w:ind w:firstLine="492" w:firstLineChars="200"/>
        <w:rPr>
          <w:rFonts w:ascii="宋体" w:hAnsi="宋体" w:eastAsia="宋体" w:cs="宋体"/>
          <w:b/>
          <w:bCs/>
          <w:color w:val="000000"/>
          <w:sz w:val="24"/>
          <w:szCs w:val="24"/>
          <w:lang w:val="zh-CN"/>
        </w:rPr>
      </w:pPr>
      <w:r>
        <w:rPr>
          <w:rFonts w:hint="eastAsia" w:ascii="宋体" w:hAnsi="宋体" w:eastAsia="宋体" w:cs="宋体"/>
          <w:b/>
          <w:color w:val="000000"/>
          <w:kern w:val="0"/>
          <w:sz w:val="24"/>
          <w:szCs w:val="24"/>
          <w:lang w:val="zh-CN"/>
        </w:rPr>
        <w:t>（一）</w:t>
      </w:r>
      <w:r>
        <w:rPr>
          <w:rFonts w:hint="eastAsia" w:ascii="宋体" w:hAnsi="宋体" w:eastAsia="宋体" w:cs="宋体"/>
          <w:b/>
          <w:bCs/>
          <w:color w:val="000000"/>
          <w:sz w:val="24"/>
          <w:szCs w:val="24"/>
          <w:lang w:val="zh-CN"/>
        </w:rPr>
        <w:t>招标文件的构成</w:t>
      </w:r>
    </w:p>
    <w:p>
      <w:pPr>
        <w:autoSpaceDE w:val="0"/>
        <w:autoSpaceDN w:val="0"/>
        <w:spacing w:line="440" w:lineRule="exact"/>
        <w:ind w:firstLine="492" w:firstLineChars="200"/>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本次招标文件由以下几个部分组成：</w:t>
      </w:r>
    </w:p>
    <w:p>
      <w:pPr>
        <w:autoSpaceDE w:val="0"/>
        <w:autoSpaceDN w:val="0"/>
        <w:spacing w:line="440" w:lineRule="exact"/>
        <w:ind w:firstLine="492" w:firstLineChars="2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1.招标公告</w:t>
      </w:r>
    </w:p>
    <w:p>
      <w:pPr>
        <w:autoSpaceDE w:val="0"/>
        <w:autoSpaceDN w:val="0"/>
        <w:spacing w:line="440" w:lineRule="exact"/>
        <w:ind w:firstLine="492" w:firstLineChars="2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2.采购内容及要求</w:t>
      </w:r>
    </w:p>
    <w:p>
      <w:pPr>
        <w:autoSpaceDE w:val="0"/>
        <w:autoSpaceDN w:val="0"/>
        <w:spacing w:line="440" w:lineRule="exact"/>
        <w:ind w:firstLine="492" w:firstLineChars="2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 xml:space="preserve">3.投标人须知 </w:t>
      </w:r>
    </w:p>
    <w:p>
      <w:pPr>
        <w:autoSpaceDE w:val="0"/>
        <w:autoSpaceDN w:val="0"/>
        <w:spacing w:line="440" w:lineRule="exact"/>
        <w:ind w:firstLine="492" w:firstLineChars="2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4.合同主要条款</w:t>
      </w:r>
    </w:p>
    <w:p>
      <w:pPr>
        <w:autoSpaceDE w:val="0"/>
        <w:autoSpaceDN w:val="0"/>
        <w:adjustRightInd w:val="0"/>
        <w:spacing w:line="440" w:lineRule="exact"/>
        <w:ind w:firstLine="492" w:firstLineChars="200"/>
        <w:jc w:val="left"/>
        <w:rPr>
          <w:rFonts w:ascii="宋体" w:hAnsi="宋体" w:eastAsia="宋体" w:cs="宋体"/>
          <w:color w:val="000000"/>
          <w:sz w:val="24"/>
          <w:szCs w:val="24"/>
          <w:lang w:val="zh-CN"/>
        </w:rPr>
      </w:pPr>
      <w:r>
        <w:rPr>
          <w:rFonts w:hint="eastAsia" w:ascii="宋体" w:hAnsi="宋体" w:eastAsia="宋体" w:cs="宋体"/>
          <w:color w:val="000000"/>
          <w:kern w:val="0"/>
          <w:sz w:val="24"/>
          <w:szCs w:val="24"/>
          <w:lang w:val="zh-CN"/>
        </w:rPr>
        <w:t>5.</w:t>
      </w:r>
      <w:r>
        <w:rPr>
          <w:rFonts w:hint="eastAsia" w:ascii="宋体" w:hAnsi="宋体" w:eastAsia="宋体" w:cs="宋体"/>
          <w:color w:val="000000"/>
          <w:sz w:val="24"/>
          <w:szCs w:val="24"/>
          <w:lang w:val="zh-CN"/>
        </w:rPr>
        <w:t>评标办法及标准</w:t>
      </w:r>
    </w:p>
    <w:p>
      <w:pPr>
        <w:autoSpaceDE w:val="0"/>
        <w:autoSpaceDN w:val="0"/>
        <w:adjustRightInd w:val="0"/>
        <w:spacing w:line="440" w:lineRule="exact"/>
        <w:ind w:firstLine="492" w:firstLineChars="200"/>
        <w:jc w:val="left"/>
        <w:rPr>
          <w:rFonts w:ascii="宋体" w:hAnsi="宋体" w:eastAsia="宋体" w:cs="宋体"/>
          <w:b/>
          <w:color w:val="000000"/>
          <w:sz w:val="24"/>
          <w:szCs w:val="24"/>
          <w:lang w:val="zh-CN"/>
        </w:rPr>
      </w:pPr>
      <w:r>
        <w:rPr>
          <w:rFonts w:hint="eastAsia" w:ascii="宋体" w:hAnsi="宋体" w:eastAsia="宋体" w:cs="宋体"/>
          <w:color w:val="000000"/>
          <w:kern w:val="0"/>
          <w:sz w:val="24"/>
          <w:szCs w:val="24"/>
          <w:lang w:val="zh-CN"/>
        </w:rPr>
        <w:t>6.</w:t>
      </w:r>
      <w:r>
        <w:rPr>
          <w:rFonts w:hint="eastAsia" w:ascii="宋体" w:hAnsi="宋体" w:eastAsia="宋体" w:cs="宋体"/>
          <w:color w:val="000000"/>
          <w:sz w:val="24"/>
          <w:szCs w:val="24"/>
          <w:lang w:val="zh-CN"/>
        </w:rPr>
        <w:t>投标文件格式</w:t>
      </w:r>
    </w:p>
    <w:p>
      <w:pPr>
        <w:autoSpaceDE w:val="0"/>
        <w:autoSpaceDN w:val="0"/>
        <w:adjustRightInd w:val="0"/>
        <w:spacing w:line="440" w:lineRule="exact"/>
        <w:ind w:firstLine="492" w:firstLineChars="2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7.本项目招标文件的澄清、答复、修改、补充的内容</w:t>
      </w:r>
    </w:p>
    <w:p>
      <w:pPr>
        <w:autoSpaceDE w:val="0"/>
        <w:autoSpaceDN w:val="0"/>
        <w:adjustRightInd w:val="0"/>
        <w:spacing w:line="440" w:lineRule="exact"/>
        <w:ind w:firstLine="492" w:firstLineChars="200"/>
        <w:rPr>
          <w:rFonts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（二）投标人的风险</w:t>
      </w:r>
    </w:p>
    <w:p>
      <w:pPr>
        <w:autoSpaceDE w:val="0"/>
        <w:autoSpaceDN w:val="0"/>
        <w:adjustRightInd w:val="0"/>
        <w:spacing w:line="440" w:lineRule="exact"/>
        <w:ind w:firstLine="492" w:firstLineChars="2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投标人没有按照招标文件要求提供全部资料，或者投标人没有对招标文件在各方面作出实质性响应是投标人的风险，并可能导致其投标被拒绝。</w:t>
      </w:r>
    </w:p>
    <w:p>
      <w:pPr>
        <w:autoSpaceDE w:val="0"/>
        <w:autoSpaceDN w:val="0"/>
        <w:adjustRightInd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kern w:val="0"/>
          <w:sz w:val="24"/>
          <w:szCs w:val="24"/>
          <w:lang w:val="zh-CN"/>
        </w:rPr>
        <w:t>（三）</w:t>
      </w:r>
      <w:r>
        <w:rPr>
          <w:rFonts w:hint="eastAsia" w:ascii="宋体" w:hAnsi="宋体" w:eastAsia="宋体" w:cs="宋体"/>
          <w:b/>
          <w:color w:val="000000"/>
          <w:sz w:val="24"/>
          <w:szCs w:val="24"/>
          <w:lang w:val="zh-CN"/>
        </w:rPr>
        <w:t>招标文件的澄清与修改</w:t>
      </w:r>
    </w:p>
    <w:p>
      <w:pPr>
        <w:autoSpaceDE w:val="0"/>
        <w:autoSpaceDN w:val="0"/>
        <w:adjustRightInd w:val="0"/>
        <w:spacing w:line="440" w:lineRule="exact"/>
        <w:ind w:firstLine="492" w:firstLineChars="200"/>
        <w:rPr>
          <w:rFonts w:ascii="宋体" w:hAnsi="宋体" w:eastAsia="宋体" w:cs="宋体"/>
          <w:color w:val="000000"/>
          <w:kern w:val="0"/>
          <w:sz w:val="24"/>
          <w:szCs w:val="24"/>
          <w:lang w:val="zh-CN"/>
        </w:rPr>
      </w:pPr>
      <w:r>
        <w:rPr>
          <w:rFonts w:hint="eastAsia" w:ascii="宋体" w:hAnsi="宋体" w:eastAsia="宋体" w:cs="宋体"/>
          <w:color w:val="000000"/>
          <w:kern w:val="0"/>
          <w:sz w:val="24"/>
          <w:szCs w:val="24"/>
          <w:lang w:val="zh-CN"/>
        </w:rPr>
        <w:t>1.投标人</w:t>
      </w:r>
      <w:r>
        <w:rPr>
          <w:rFonts w:hint="eastAsia" w:ascii="宋体" w:hAnsi="宋体" w:eastAsia="宋体" w:cs="宋体"/>
          <w:color w:val="000000"/>
          <w:sz w:val="24"/>
          <w:szCs w:val="24"/>
          <w:lang w:val="zh-CN"/>
        </w:rPr>
        <w:t>对招标文件如有疑点或未尽事宜需要澄清的，可在投标截止时间1</w:t>
      </w:r>
      <w:r>
        <w:rPr>
          <w:rFonts w:hint="eastAsia" w:ascii="宋体" w:hAnsi="宋体" w:eastAsia="宋体" w:cs="宋体"/>
          <w:color w:val="000000"/>
          <w:sz w:val="24"/>
          <w:szCs w:val="24"/>
        </w:rPr>
        <w:t>6</w:t>
      </w:r>
      <w:r>
        <w:rPr>
          <w:rFonts w:hint="eastAsia" w:ascii="宋体" w:hAnsi="宋体" w:eastAsia="宋体" w:cs="宋体"/>
          <w:color w:val="000000"/>
          <w:sz w:val="24"/>
          <w:szCs w:val="24"/>
          <w:lang w:val="zh-CN"/>
        </w:rPr>
        <w:t>天前将需答疑、澄清的内容以书面（可传真）形式送达招标人，如提交答疑截止时间前</w:t>
      </w:r>
      <w:r>
        <w:rPr>
          <w:rFonts w:hint="eastAsia" w:ascii="宋体" w:hAnsi="宋体" w:eastAsia="宋体" w:cs="宋体"/>
          <w:color w:val="000000"/>
          <w:kern w:val="0"/>
          <w:sz w:val="24"/>
          <w:szCs w:val="24"/>
          <w:lang w:val="zh-CN"/>
        </w:rPr>
        <w:t>未收到有关质疑，则视为投标人完全同意招标文件所有条款。对招标文件的相关表述以及未尽事宜如有争议，以招标人解释为准。</w:t>
      </w:r>
    </w:p>
    <w:p>
      <w:pPr>
        <w:autoSpaceDE w:val="0"/>
        <w:autoSpaceDN w:val="0"/>
        <w:adjustRightInd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2.招标人可主动地或在解答投标人提出澄清问题时对招标文件进行修改，答复内容在网上公布(网址见前附表)，并以书面的形式(可传真)通知已报名的投标人，投标人</w:t>
      </w:r>
      <w:r>
        <w:rPr>
          <w:rFonts w:hint="eastAsia" w:ascii="宋体" w:hAnsi="宋体" w:eastAsia="宋体" w:cs="宋体"/>
          <w:color w:val="000000"/>
          <w:kern w:val="0"/>
          <w:sz w:val="24"/>
          <w:szCs w:val="24"/>
          <w:lang w:val="zh-CN"/>
        </w:rPr>
        <w:t>应立即以书面形式</w:t>
      </w:r>
      <w:r>
        <w:rPr>
          <w:rFonts w:hint="eastAsia" w:ascii="宋体" w:hAnsi="宋体" w:eastAsia="宋体" w:cs="宋体"/>
          <w:color w:val="000000"/>
          <w:sz w:val="24"/>
          <w:szCs w:val="24"/>
          <w:lang w:val="zh-CN"/>
        </w:rPr>
        <w:t>(可传真)</w:t>
      </w:r>
      <w:r>
        <w:rPr>
          <w:rFonts w:hint="eastAsia" w:ascii="宋体" w:hAnsi="宋体" w:eastAsia="宋体" w:cs="宋体"/>
          <w:color w:val="000000"/>
          <w:kern w:val="0"/>
          <w:sz w:val="24"/>
          <w:szCs w:val="24"/>
          <w:lang w:val="zh-CN"/>
        </w:rPr>
        <w:t>回复确认已收到修改文件</w:t>
      </w:r>
      <w:r>
        <w:rPr>
          <w:rFonts w:hint="eastAsia" w:ascii="宋体" w:hAnsi="宋体" w:eastAsia="宋体" w:cs="宋体"/>
          <w:color w:val="000000"/>
          <w:sz w:val="24"/>
          <w:szCs w:val="24"/>
          <w:lang w:val="zh-CN"/>
        </w:rPr>
        <w:t>，并对其具有约束力。澄清或者修改的内容可能影响投标文件编制的，答复内容于投标截止时间15天前在网上公布，不足15日的，招标人顺延提交投标文件的截止时间。</w:t>
      </w:r>
    </w:p>
    <w:p>
      <w:pPr>
        <w:autoSpaceDE w:val="0"/>
        <w:autoSpaceDN w:val="0"/>
        <w:adjustRightInd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招标文件的澄清、答疑、修改、补充文件是招标文件的组成部分，投标人需按照澄清、答疑、修改、补充文件的要求参与投标，投标人没有做出实质性响应是投标人的风险，并可能导致其投标文件被视作无效投标文件处理。</w:t>
      </w:r>
    </w:p>
    <w:p>
      <w:pPr>
        <w:autoSpaceDE w:val="0"/>
        <w:autoSpaceDN w:val="0"/>
        <w:spacing w:line="600" w:lineRule="exact"/>
        <w:rPr>
          <w:rFonts w:ascii="宋体" w:hAnsi="宋体" w:eastAsia="宋体" w:cs="宋体"/>
          <w:b/>
          <w:bCs/>
          <w:color w:val="000000"/>
          <w:lang w:val="zh-CN"/>
        </w:rPr>
      </w:pPr>
      <w:r>
        <w:rPr>
          <w:rFonts w:hint="eastAsia" w:ascii="宋体" w:hAnsi="宋体" w:eastAsia="宋体" w:cs="宋体"/>
          <w:b/>
          <w:bCs/>
          <w:color w:val="000000"/>
          <w:lang w:val="zh-CN"/>
        </w:rPr>
        <w:t>三、投标文件的编制</w:t>
      </w:r>
    </w:p>
    <w:p>
      <w:pPr>
        <w:autoSpaceDE w:val="0"/>
        <w:autoSpaceDN w:val="0"/>
        <w:adjustRightInd w:val="0"/>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lang w:val="zh-CN"/>
        </w:rPr>
        <w:t>（一）▲投标人应仔细阅读和理解招标文件的所有内容，并按照招标文件的要求和格式编制完整的投标文件，因</w:t>
      </w:r>
      <w:r>
        <w:rPr>
          <w:rFonts w:hint="eastAsia" w:ascii="宋体" w:hAnsi="宋体" w:eastAsia="宋体" w:cs="宋体"/>
          <w:color w:val="000000"/>
          <w:sz w:val="24"/>
          <w:szCs w:val="24"/>
        </w:rPr>
        <w:t>投标人提交投标文件资料不完整、格式不规范、编排顺序混乱、字迹潦草、对招标文件内容没有做出实质性响应等，造成投标文件误读、漏读或查找不到相关内容，导致投标被拒绝的风险由投标人自行承担。</w:t>
      </w:r>
    </w:p>
    <w:p>
      <w:pPr>
        <w:autoSpaceDE w:val="0"/>
        <w:autoSpaceDN w:val="0"/>
        <w:adjustRightInd w:val="0"/>
        <w:spacing w:line="440" w:lineRule="exact"/>
        <w:ind w:firstLine="561"/>
        <w:rPr>
          <w:rFonts w:ascii="宋体" w:hAnsi="宋体" w:eastAsia="宋体" w:cs="宋体"/>
          <w:color w:val="000000"/>
          <w:sz w:val="24"/>
          <w:szCs w:val="24"/>
          <w:lang w:val="zh-CN"/>
        </w:rPr>
      </w:pPr>
      <w:r>
        <w:rPr>
          <w:rFonts w:hint="eastAsia" w:ascii="宋体" w:hAnsi="宋体" w:eastAsia="宋体" w:cs="宋体"/>
          <w:color w:val="000000"/>
          <w:sz w:val="24"/>
          <w:szCs w:val="24"/>
        </w:rPr>
        <w:t>（二）</w:t>
      </w:r>
      <w:r>
        <w:rPr>
          <w:rFonts w:hint="eastAsia" w:ascii="宋体" w:hAnsi="宋体" w:eastAsia="宋体" w:cs="宋体"/>
          <w:color w:val="000000"/>
          <w:sz w:val="24"/>
          <w:szCs w:val="24"/>
          <w:lang w:val="zh-CN"/>
        </w:rPr>
        <w:t>▲</w:t>
      </w:r>
      <w:r>
        <w:rPr>
          <w:rFonts w:hint="eastAsia" w:ascii="宋体" w:hAnsi="宋体" w:eastAsia="宋体" w:cs="宋体"/>
          <w:color w:val="000000"/>
          <w:sz w:val="24"/>
          <w:szCs w:val="24"/>
        </w:rPr>
        <w:t>投标人应确保所提供投标文件资料的有效性和真实性，所有文件资料必须是针对本次投标的。如发现投标人在投标活动中提供虚假文件资料，其投标无效，并报监管部门查处；中标后发现的，中标人还须按照</w:t>
      </w:r>
      <w:r>
        <w:rPr>
          <w:rFonts w:hint="eastAsia" w:ascii="宋体" w:hAnsi="宋体" w:eastAsia="宋体" w:cs="宋体"/>
          <w:color w:val="000000"/>
          <w:sz w:val="24"/>
          <w:szCs w:val="24"/>
          <w:lang w:val="zh-CN"/>
        </w:rPr>
        <w:t>《中华人民共和国消费者权益保护法》第49条之规定双倍赔偿采购人，且民事赔偿并不免除违法投标人的行政与刑事责任。</w:t>
      </w:r>
    </w:p>
    <w:p>
      <w:pPr>
        <w:autoSpaceDE w:val="0"/>
        <w:autoSpaceDN w:val="0"/>
        <w:adjustRightInd w:val="0"/>
        <w:spacing w:line="440" w:lineRule="exact"/>
        <w:ind w:firstLine="561"/>
        <w:rPr>
          <w:rFonts w:ascii="宋体" w:hAnsi="宋体" w:eastAsia="宋体" w:cs="宋体"/>
          <w:color w:val="000000"/>
          <w:sz w:val="24"/>
          <w:szCs w:val="24"/>
        </w:rPr>
      </w:pPr>
      <w:r>
        <w:rPr>
          <w:rFonts w:hint="eastAsia" w:ascii="宋体" w:hAnsi="宋体" w:eastAsia="宋体" w:cs="宋体"/>
          <w:color w:val="000000"/>
          <w:sz w:val="24"/>
          <w:szCs w:val="24"/>
        </w:rPr>
        <w:t>（三）投标文件的构成。</w:t>
      </w:r>
    </w:p>
    <w:p>
      <w:pPr>
        <w:autoSpaceDE w:val="0"/>
        <w:autoSpaceDN w:val="0"/>
        <w:adjustRightInd w:val="0"/>
        <w:spacing w:line="440" w:lineRule="exact"/>
        <w:ind w:firstLine="561"/>
        <w:rPr>
          <w:rFonts w:ascii="宋体" w:hAnsi="宋体" w:eastAsia="宋体" w:cs="宋体"/>
          <w:bCs/>
          <w:color w:val="000000"/>
          <w:sz w:val="24"/>
          <w:szCs w:val="24"/>
          <w:lang w:val="zh-CN"/>
        </w:rPr>
      </w:pPr>
      <w:r>
        <w:rPr>
          <w:rFonts w:hint="eastAsia" w:ascii="宋体" w:hAnsi="宋体" w:eastAsia="宋体" w:cs="宋体"/>
          <w:bCs/>
          <w:color w:val="000000"/>
          <w:sz w:val="24"/>
          <w:szCs w:val="24"/>
          <w:lang w:val="zh-CN"/>
        </w:rPr>
        <w:t>投标文件应由资格证明文件、商务技术文件和报价文件三部分构成。</w:t>
      </w:r>
    </w:p>
    <w:p>
      <w:pPr>
        <w:autoSpaceDE w:val="0"/>
        <w:autoSpaceDN w:val="0"/>
        <w:adjustRightInd w:val="0"/>
        <w:spacing w:line="440" w:lineRule="exact"/>
        <w:ind w:firstLine="561"/>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b/>
          <w:color w:val="000000" w:themeColor="text1"/>
          <w:sz w:val="24"/>
          <w:szCs w:val="24"/>
          <w:highlight w:val="none"/>
          <w:lang w:val="zh-CN"/>
          <w14:textFill>
            <w14:solidFill>
              <w14:schemeClr w14:val="tx1"/>
            </w14:solidFill>
          </w14:textFill>
        </w:rPr>
        <w:t>1.资格证明文件内容</w:t>
      </w:r>
    </w:p>
    <w:p>
      <w:pPr>
        <w:autoSpaceDE w:val="0"/>
        <w:autoSpaceDN w:val="0"/>
        <w:spacing w:line="440" w:lineRule="exact"/>
        <w:ind w:firstLine="492" w:firstLineChars="200"/>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zh-CN"/>
          <w14:textFill>
            <w14:solidFill>
              <w14:schemeClr w14:val="tx1"/>
            </w14:solidFill>
          </w14:textFill>
        </w:rPr>
        <w:t>投标人资格声明（见投标文件格式）</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提供自招标公告发布之日起至投标截止日内任意时间的“信用中国”网站（www.creditchina.gov.cn）的“信用信息”、“中国政府采购网”（www.ccgp.gov.cn）的“政府采购严重违法失信行为信息记录”查询网页截图。</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（3）▲营业执照（事业单位法人证书）扫描件；</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（4）▲具有良好的商业信誉和健全的财务会计制度、有依法缴纳税收和社会保障资金的良好记录的承诺书（格式见附件）；</w:t>
      </w:r>
    </w:p>
    <w:p>
      <w:pPr>
        <w:autoSpaceDE w:val="0"/>
        <w:autoSpaceDN w:val="0"/>
        <w:adjustRightInd w:val="0"/>
        <w:spacing w:line="400" w:lineRule="exact"/>
        <w:ind w:firstLine="561"/>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（5）▲具备履行合同所必需的设备和专业技术能力的证明材料（格式见附件）；</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（6）▲参加政府采购活动前3年内在经营活动中没有重大违法记录承诺书（格式见附件）；</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（7）法定代表人身份证明及本人身份证扫描件【（或授权委托书及委托代理人身份证扫描件），投标人为其缴纳的开标截止前近三个月份社保部门出具的社保清单（或参保证明）扫描件；</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（8）不存在单位负责人为同一人或者存在直接控股、管理关系的不同供应商参加同一合同项下的政府采购活动情形的证明材料；</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（9）投标人认为需投递的其他资格证明文件。</w:t>
      </w:r>
    </w:p>
    <w:p>
      <w:pPr>
        <w:tabs>
          <w:tab w:val="center" w:pos="4156"/>
        </w:tabs>
        <w:autoSpaceDE w:val="0"/>
        <w:autoSpaceDN w:val="0"/>
        <w:adjustRightInd w:val="0"/>
        <w:spacing w:line="440" w:lineRule="exact"/>
        <w:ind w:firstLine="560"/>
        <w:rPr>
          <w:rFonts w:ascii="宋体" w:hAnsi="宋体" w:eastAsia="宋体" w:cs="宋体"/>
          <w:b/>
          <w:color w:val="000000" w:themeColor="text1"/>
          <w:sz w:val="24"/>
          <w:szCs w:val="24"/>
          <w:highlight w:val="none"/>
          <w:lang w:val="zh-CN"/>
          <w14:textFill>
            <w14:solidFill>
              <w14:schemeClr w14:val="tx1"/>
            </w14:solidFill>
          </w14:textFill>
        </w:rPr>
      </w:pPr>
      <w:r>
        <w:rPr>
          <w:rFonts w:hint="eastAsia" w:ascii="宋体" w:hAnsi="宋体" w:eastAsia="宋体" w:cs="宋体"/>
          <w:b/>
          <w:color w:val="000000" w:themeColor="text1"/>
          <w:sz w:val="24"/>
          <w:szCs w:val="24"/>
          <w:highlight w:val="none"/>
          <w:lang w:val="zh-CN"/>
          <w14:textFill>
            <w14:solidFill>
              <w14:schemeClr w14:val="tx1"/>
            </w14:solidFill>
          </w14:textFill>
        </w:rPr>
        <w:t>2.商务技术文件内容（投标人可根据评分标准</w:t>
      </w:r>
      <w:r>
        <w:rPr>
          <w:rFonts w:hint="eastAsia" w:ascii="宋体" w:hAnsi="宋体" w:eastAsia="宋体" w:cs="宋体"/>
          <w:b/>
          <w:color w:val="000000" w:themeColor="text1"/>
          <w:sz w:val="24"/>
          <w:szCs w:val="24"/>
          <w:highlight w:val="none"/>
          <w14:textFill>
            <w14:solidFill>
              <w14:schemeClr w14:val="tx1"/>
            </w14:solidFill>
          </w14:textFill>
        </w:rPr>
        <w:t>自行</w:t>
      </w:r>
      <w:r>
        <w:rPr>
          <w:rFonts w:hint="eastAsia" w:ascii="宋体" w:hAnsi="宋体" w:eastAsia="宋体" w:cs="宋体"/>
          <w:b/>
          <w:color w:val="000000" w:themeColor="text1"/>
          <w:sz w:val="24"/>
          <w:szCs w:val="24"/>
          <w:highlight w:val="none"/>
          <w:lang w:val="zh-CN"/>
          <w14:textFill>
            <w14:solidFill>
              <w14:schemeClr w14:val="tx1"/>
            </w14:solidFill>
          </w14:textFill>
        </w:rPr>
        <w:t>编制）</w:t>
      </w:r>
    </w:p>
    <w:p>
      <w:pPr>
        <w:autoSpaceDE w:val="0"/>
        <w:autoSpaceDN w:val="0"/>
        <w:adjustRightInd w:val="0"/>
        <w:spacing w:line="440" w:lineRule="exact"/>
        <w:ind w:firstLine="492" w:firstLineChars="200"/>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（1）供应商自评表（格式可自拟）；</w:t>
      </w:r>
    </w:p>
    <w:p>
      <w:pPr>
        <w:autoSpaceDE w:val="0"/>
        <w:autoSpaceDN w:val="0"/>
        <w:adjustRightInd w:val="0"/>
        <w:spacing w:line="440" w:lineRule="exact"/>
        <w:ind w:firstLine="492" w:firstLineChars="200"/>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（2）投标人根据商务技术评分细则编制商务技术文件；</w:t>
      </w:r>
    </w:p>
    <w:p>
      <w:pPr>
        <w:autoSpaceDE w:val="0"/>
        <w:autoSpaceDN w:val="0"/>
        <w:adjustRightInd w:val="0"/>
        <w:spacing w:line="440" w:lineRule="exact"/>
        <w:ind w:firstLine="492" w:firstLineChars="200"/>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（3）评分细则中要求提供的证书及相关证明文件；</w:t>
      </w:r>
    </w:p>
    <w:p>
      <w:pPr>
        <w:autoSpaceDE w:val="0"/>
        <w:autoSpaceDN w:val="0"/>
        <w:adjustRightInd w:val="0"/>
        <w:spacing w:line="440" w:lineRule="exact"/>
        <w:ind w:firstLine="492" w:firstLineChars="200"/>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（4）供应商认为需要提供的其他相关资料（如有）。</w:t>
      </w:r>
    </w:p>
    <w:p>
      <w:pPr>
        <w:autoSpaceDE w:val="0"/>
        <w:autoSpaceDN w:val="0"/>
        <w:adjustRightInd w:val="0"/>
        <w:spacing w:line="440" w:lineRule="exact"/>
        <w:ind w:firstLine="561"/>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b/>
          <w:color w:val="000000" w:themeColor="text1"/>
          <w:sz w:val="24"/>
          <w:szCs w:val="24"/>
          <w:highlight w:val="none"/>
          <w:lang w:val="zh-CN"/>
          <w14:textFill>
            <w14:solidFill>
              <w14:schemeClr w14:val="tx1"/>
            </w14:solidFill>
          </w14:textFill>
        </w:rPr>
        <w:t>3.报价文件内容</w:t>
      </w:r>
      <w:r>
        <w:rPr>
          <w:rFonts w:hint="eastAsia" w:ascii="宋体" w:hAnsi="宋体" w:eastAsia="宋体" w:cs="宋体"/>
          <w:color w:val="000000" w:themeColor="text1"/>
          <w:sz w:val="24"/>
          <w:szCs w:val="24"/>
          <w:highlight w:val="none"/>
          <w:lang w:val="zh-CN"/>
          <w14:textFill>
            <w14:solidFill>
              <w14:schemeClr w14:val="tx1"/>
            </w14:solidFill>
          </w14:textFill>
        </w:rPr>
        <w:t xml:space="preserve"> </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（1）▲投标函；</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（2）▲开标一览表；</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（3）▲报价明细表；</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（4）《中小企业声明函》（如是需提供）；</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（5）监狱和戒毒企业应提供由省级以上监狱管理局、戒毒管理局（含新疆生产建设兵团）出具的属于监狱企业的证明文件。</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（6）《产品适用监狱和戒毒企业政策情况表》；</w:t>
      </w:r>
    </w:p>
    <w:p>
      <w:pPr>
        <w:autoSpaceDE w:val="0"/>
        <w:autoSpaceDN w:val="0"/>
        <w:spacing w:line="440" w:lineRule="exact"/>
        <w:ind w:firstLine="492" w:firstLineChars="200"/>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（7）残疾人福利性单位应提供残疾人福利性单位声明函</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autoSpaceDE w:val="0"/>
        <w:autoSpaceDN w:val="0"/>
        <w:spacing w:line="440" w:lineRule="exact"/>
        <w:ind w:firstLine="492" w:firstLineChars="200"/>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（8）《产品适用残疾人福利性单位政策情况表》；</w:t>
      </w:r>
    </w:p>
    <w:p>
      <w:pPr>
        <w:autoSpaceDE w:val="0"/>
        <w:autoSpaceDN w:val="0"/>
        <w:spacing w:line="440" w:lineRule="exact"/>
        <w:ind w:firstLine="492" w:firstLineChars="200"/>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r>
        <w:rPr>
          <w:rFonts w:hint="eastAsia" w:ascii="宋体" w:hAnsi="宋体" w:eastAsia="宋体" w:cs="宋体"/>
          <w:color w:val="000000" w:themeColor="text1"/>
          <w:sz w:val="24"/>
          <w:szCs w:val="24"/>
          <w:highlight w:val="none"/>
          <w:lang w:val="zh-CN"/>
          <w14:textFill>
            <w14:solidFill>
              <w14:schemeClr w14:val="tx1"/>
            </w14:solidFill>
          </w14:textFill>
        </w:rPr>
        <w:t>投标人认为需投递的其他文件。</w:t>
      </w:r>
    </w:p>
    <w:p>
      <w:pPr>
        <w:tabs>
          <w:tab w:val="center" w:pos="4156"/>
        </w:tabs>
        <w:autoSpaceDE w:val="0"/>
        <w:autoSpaceDN w:val="0"/>
        <w:adjustRightInd w:val="0"/>
        <w:spacing w:line="440" w:lineRule="exact"/>
        <w:ind w:firstLine="56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（四）投标文件的语言及计量</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1.▲投标文件及投标人与招标人就有关投标事宜的所有来往函电，均应以中文汉语书写。除签名、盖章、专用名称等特殊情形外，以中文汉语以外的文字表述的投标文件视同未提供。</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2.▲投标计量单位，采用中华人民共和国法定计量单位（货币单位：人民币元），否则视同未响应。</w:t>
      </w:r>
    </w:p>
    <w:p>
      <w:pPr>
        <w:tabs>
          <w:tab w:val="center" w:pos="4156"/>
        </w:tabs>
        <w:autoSpaceDE w:val="0"/>
        <w:autoSpaceDN w:val="0"/>
        <w:adjustRightInd w:val="0"/>
        <w:spacing w:line="440" w:lineRule="exact"/>
        <w:ind w:firstLine="56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（五）投标报价</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1.投标报价应按招标文件中相关附表格式填写。</w:t>
      </w:r>
    </w:p>
    <w:p>
      <w:pPr>
        <w:tabs>
          <w:tab w:val="center" w:pos="4156"/>
        </w:tabs>
        <w:autoSpaceDE w:val="0"/>
        <w:autoSpaceDN w:val="0"/>
        <w:adjustRightInd w:val="0"/>
        <w:spacing w:line="440" w:lineRule="exact"/>
        <w:ind w:firstLine="560"/>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b/>
          <w:bCs/>
          <w:color w:val="000000" w:themeColor="text1"/>
          <w:sz w:val="24"/>
          <w:szCs w:val="24"/>
          <w:highlight w:val="none"/>
          <w:lang w:val="zh-CN"/>
          <w14:textFill>
            <w14:solidFill>
              <w14:schemeClr w14:val="tx1"/>
            </w14:solidFill>
          </w14:textFill>
        </w:rPr>
        <w:t>2.▲本项目预算价为人民币</w:t>
      </w:r>
      <w:r>
        <w:rPr>
          <w:rFonts w:hint="eastAsia" w:ascii="宋体" w:hAnsi="宋体" w:eastAsia="宋体" w:cs="宋体"/>
          <w:b/>
          <w:bCs/>
          <w:color w:val="000000" w:themeColor="text1"/>
          <w:sz w:val="24"/>
          <w:szCs w:val="24"/>
          <w:highlight w:val="none"/>
          <w:u w:val="single"/>
          <w:lang w:val="zh-CN"/>
          <w14:textFill>
            <w14:solidFill>
              <w14:schemeClr w14:val="tx1"/>
            </w14:solidFill>
          </w14:textFill>
        </w:rPr>
        <w:t xml:space="preserve"> </w:t>
      </w:r>
      <w:r>
        <w:rPr>
          <w:rFonts w:hint="eastAsia" w:ascii="宋体" w:hAnsi="宋体" w:eastAsia="宋体" w:cs="宋体"/>
          <w:b/>
          <w:bCs/>
          <w:color w:val="000000" w:themeColor="text1"/>
          <w:sz w:val="24"/>
          <w:szCs w:val="24"/>
          <w:highlight w:val="none"/>
          <w:u w:val="single"/>
          <w:lang w:eastAsia="zh-CN"/>
          <w14:textFill>
            <w14:solidFill>
              <w14:schemeClr w14:val="tx1"/>
            </w14:solidFill>
          </w14:textFill>
        </w:rPr>
        <w:t>4017.9200</w:t>
      </w:r>
      <w:r>
        <w:rPr>
          <w:rFonts w:hint="eastAsia" w:ascii="宋体" w:hAnsi="宋体" w:eastAsia="宋体" w:cs="宋体"/>
          <w:b/>
          <w:bCs/>
          <w:color w:val="000000" w:themeColor="text1"/>
          <w:sz w:val="24"/>
          <w:szCs w:val="24"/>
          <w:highlight w:val="none"/>
          <w:u w:val="single"/>
          <w14:textFill>
            <w14:solidFill>
              <w14:schemeClr w14:val="tx1"/>
            </w14:solidFill>
          </w14:textFill>
        </w:rPr>
        <w:t xml:space="preserve"> </w:t>
      </w:r>
      <w:r>
        <w:rPr>
          <w:rFonts w:hint="eastAsia" w:ascii="宋体" w:hAnsi="宋体" w:eastAsia="宋体" w:cs="宋体"/>
          <w:b/>
          <w:bCs/>
          <w:color w:val="000000" w:themeColor="text1"/>
          <w:sz w:val="24"/>
          <w:szCs w:val="24"/>
          <w:highlight w:val="none"/>
          <w:lang w:val="zh-CN"/>
          <w14:textFill>
            <w14:solidFill>
              <w14:schemeClr w14:val="tx1"/>
            </w14:solidFill>
          </w14:textFill>
        </w:rPr>
        <w:t>万元，投标人的投标</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单价及</w:t>
      </w:r>
      <w:r>
        <w:rPr>
          <w:rFonts w:hint="eastAsia" w:ascii="宋体" w:hAnsi="宋体" w:eastAsia="宋体" w:cs="宋体"/>
          <w:b/>
          <w:bCs/>
          <w:color w:val="000000" w:themeColor="text1"/>
          <w:sz w:val="24"/>
          <w:szCs w:val="24"/>
          <w:highlight w:val="none"/>
          <w:lang w:val="zh-CN"/>
          <w14:textFill>
            <w14:solidFill>
              <w14:schemeClr w14:val="tx1"/>
            </w14:solidFill>
          </w14:textFill>
        </w:rPr>
        <w:t>总价</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均</w:t>
      </w:r>
      <w:r>
        <w:rPr>
          <w:rFonts w:hint="eastAsia" w:ascii="宋体" w:hAnsi="宋体" w:eastAsia="宋体" w:cs="宋体"/>
          <w:b/>
          <w:bCs/>
          <w:color w:val="000000" w:themeColor="text1"/>
          <w:sz w:val="24"/>
          <w:szCs w:val="24"/>
          <w:highlight w:val="none"/>
          <w:lang w:val="zh-CN"/>
          <w14:textFill>
            <w14:solidFill>
              <w14:schemeClr w14:val="tx1"/>
            </w14:solidFill>
          </w14:textFill>
        </w:rPr>
        <w:t>应低于预算价，否则其投标无效。</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本项目投标报价是履行合同的最终价格，应包括但不仅限于技术服务费用、现场技术服务、数据采集、成果验收等工作所需的费用以及设备费、人员来往的交通、通信、食宿、税金等完成本项目所需的一切费用及合同包含的所有风险、责任等各项应有费用。采购人不再为本项目支付其它任何费用。无论投标人对报价是否有特别说明，均视为所报价格包含了招标文件规定的全部项目价格。招标文件未列明，而投标人认为必需的费用也需列入报价。中标后，不得以任何原因及理由作任何调整。</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4.▲投标文件只允许有一个报价，任何有选择的或有条件的报价将不予接受。</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5.报价是中标的一个重要因数，但最低报价不是中标的唯一依据，最低报价不能作为中标的保证。</w:t>
      </w:r>
    </w:p>
    <w:p>
      <w:pPr>
        <w:tabs>
          <w:tab w:val="center" w:pos="4156"/>
        </w:tabs>
        <w:autoSpaceDE w:val="0"/>
        <w:autoSpaceDN w:val="0"/>
        <w:adjustRightInd w:val="0"/>
        <w:spacing w:line="440" w:lineRule="exact"/>
        <w:ind w:firstLine="56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（六）投标文件的有效期</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1.▲投标文件从投标文件递交截止之日起，有效期为90天；</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2.特殊情况下，在原投标文件有效期截止之前，招标人可与投标人协商延长投标文件有效期，这种要求与答复均应以书面形式进行。</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3.投标人可拒绝招标人延长投标文件有效期；同意延长投标文件有效期的投标人不得修改投标文件。</w:t>
      </w:r>
    </w:p>
    <w:p>
      <w:pPr>
        <w:tabs>
          <w:tab w:val="center" w:pos="4156"/>
        </w:tabs>
        <w:autoSpaceDE w:val="0"/>
        <w:autoSpaceDN w:val="0"/>
        <w:adjustRightInd w:val="0"/>
        <w:spacing w:line="440" w:lineRule="exact"/>
        <w:ind w:firstLine="56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4.中标人的投标文件自开标之日起至合同履行完毕止均应保持有效。</w:t>
      </w:r>
    </w:p>
    <w:p>
      <w:pPr>
        <w:tabs>
          <w:tab w:val="center" w:pos="4156"/>
        </w:tabs>
        <w:autoSpaceDE w:val="0"/>
        <w:autoSpaceDN w:val="0"/>
        <w:adjustRightInd w:val="0"/>
        <w:spacing w:line="440" w:lineRule="exact"/>
        <w:ind w:firstLine="56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（七）投标文件的签署及份数</w:t>
      </w:r>
    </w:p>
    <w:p>
      <w:pPr>
        <w:spacing w:line="440" w:lineRule="exact"/>
        <w:ind w:firstLine="468" w:firstLineChars="200"/>
        <w:rPr>
          <w:rFonts w:ascii="宋体" w:hAnsi="宋体" w:eastAsia="宋体" w:cs="宋体"/>
          <w:color w:val="000000"/>
          <w:spacing w:val="-6"/>
          <w:sz w:val="24"/>
          <w:szCs w:val="24"/>
          <w:lang w:val="zh-CN"/>
        </w:rPr>
      </w:pPr>
      <w:r>
        <w:rPr>
          <w:rFonts w:hint="eastAsia" w:ascii="宋体" w:hAnsi="宋体" w:eastAsia="宋体" w:cs="宋体"/>
          <w:color w:val="000000"/>
          <w:spacing w:val="-6"/>
          <w:sz w:val="24"/>
          <w:szCs w:val="24"/>
          <w:lang w:val="zh-CN"/>
        </w:rPr>
        <w:t>1.投标人应按本招标文件规定的格式和顺序编制、装订投标文件并标注页码，投标文件内容不完整、编排混乱导致投标文件被误读、漏读或者查找不到相关内容的，是投标人的责任。</w:t>
      </w:r>
    </w:p>
    <w:p>
      <w:pPr>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2.本项目通过“政采云平台（www.zcygov.cn）”实行在线投标响应（电子投标）。供应商应通过“政采云电子交易客户端”，并按照本招标文件和“政采云平台”的要求编制并加密投标文件。</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3.投标人应当按照“投标文件组成”规定的内容及顺序在“政采云电子交易客户端”编制投标文件。其中《资格证明文件》和《商务技术文件》中不得出现本项目投标报价，如因投标人原因提前泄露投标报价，是投标人的责任。</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4.投标文件需做好“标书关联”（即设置关联点），未设置关联点而导致失分或无效投标处理的风险由投标人承担。</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5.投标文件应按招标文件中投标格式文件所示列要求由投标人的法定代表人或其授权的代理人签字、盖单位公章。投标人的法定代表人授权代理人签字的，投标文件应附由法定代表人签署的授权委托书。</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6.投标文件不得涂改，若有修改和增删处，必须加盖单位公章或法定代表人或授权委托人签字或盖章。投标文件字迹模糊、潦草或在关键的技术、商务条款上表述不清所引起的后果由投标人负责。</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7. </w:t>
      </w:r>
      <w:r>
        <w:rPr>
          <w:rFonts w:hint="eastAsia" w:ascii="宋体" w:hAnsi="宋体" w:eastAsia="宋体" w:cs="宋体"/>
          <w:color w:val="000000"/>
          <w:spacing w:val="-20"/>
          <w:sz w:val="24"/>
          <w:szCs w:val="24"/>
          <w:lang w:val="zh-CN"/>
        </w:rPr>
        <w:t>电子签章操作指南详见“供应商-政府采购项目电子交易操作指南：https://help.zcygov.cn/web/site_2/2018/12-28/2573.html”；关于提醒供应商熟悉“不见面开评标”系统的通知</w:t>
      </w:r>
      <w:r>
        <w:fldChar w:fldCharType="begin"/>
      </w:r>
      <w:r>
        <w:instrText xml:space="preserve"> HYPERLINK "http://zfcg.czt.zj.gov.cn/importantAdvise/2020-03-10/13302.html" </w:instrText>
      </w:r>
      <w:r>
        <w:fldChar w:fldCharType="separate"/>
      </w:r>
      <w:r>
        <w:rPr>
          <w:rFonts w:hint="eastAsia" w:ascii="宋体" w:hAnsi="宋体" w:eastAsia="宋体" w:cs="宋体"/>
          <w:color w:val="000000"/>
          <w:spacing w:val="-20"/>
          <w:sz w:val="24"/>
          <w:szCs w:val="24"/>
          <w:lang w:val="zh-CN"/>
        </w:rPr>
        <w:t>http://zfcg.czt.zj.gov.cn/importantAdvise/2020-03-10/13302.html</w:t>
      </w:r>
      <w:r>
        <w:rPr>
          <w:rFonts w:hint="eastAsia" w:ascii="宋体" w:hAnsi="宋体" w:eastAsia="宋体" w:cs="宋体"/>
          <w:color w:val="000000"/>
          <w:spacing w:val="-20"/>
          <w:sz w:val="24"/>
          <w:szCs w:val="24"/>
          <w:lang w:val="zh-CN"/>
        </w:rPr>
        <w:fldChar w:fldCharType="end"/>
      </w:r>
      <w:r>
        <w:rPr>
          <w:rFonts w:hint="eastAsia" w:ascii="宋体" w:hAnsi="宋体" w:eastAsia="宋体" w:cs="宋体"/>
          <w:color w:val="000000"/>
          <w:spacing w:val="-20"/>
          <w:sz w:val="24"/>
          <w:szCs w:val="24"/>
          <w:lang w:val="zh-CN"/>
        </w:rPr>
        <w:t>”。</w:t>
      </w:r>
    </w:p>
    <w:p>
      <w:pPr>
        <w:tabs>
          <w:tab w:val="center" w:pos="4156"/>
        </w:tabs>
        <w:autoSpaceDE w:val="0"/>
        <w:autoSpaceDN w:val="0"/>
        <w:adjustRightInd w:val="0"/>
        <w:spacing w:line="440" w:lineRule="exact"/>
        <w:ind w:firstLine="56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（八）投标文件的密封、标记、递交、修改和撤回</w:t>
      </w:r>
    </w:p>
    <w:p>
      <w:pPr>
        <w:tabs>
          <w:tab w:val="center" w:pos="4156"/>
        </w:tabs>
        <w:autoSpaceDE w:val="0"/>
        <w:autoSpaceDN w:val="0"/>
        <w:adjustRightInd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1.投标文件的密封、标记</w:t>
      </w:r>
    </w:p>
    <w:p>
      <w:pPr>
        <w:autoSpaceDE w:val="0"/>
        <w:autoSpaceDN w:val="0"/>
        <w:spacing w:line="440" w:lineRule="exact"/>
        <w:ind w:firstLine="492"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“备份投标文件”：密封包装后（顺丰、EMS邮寄形式）在投标截止时间前递交、一份。包装上标注投标项目名称、授权代表、联系电话、联系地址、投标单位名称并加盖公章。</w:t>
      </w:r>
    </w:p>
    <w:p>
      <w:pPr>
        <w:tabs>
          <w:tab w:val="center" w:pos="4156"/>
        </w:tabs>
        <w:autoSpaceDE w:val="0"/>
        <w:autoSpaceDN w:val="0"/>
        <w:adjustRightInd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2.投标文件的递交</w:t>
      </w:r>
    </w:p>
    <w:p>
      <w:pPr>
        <w:tabs>
          <w:tab w:val="center" w:pos="4156"/>
        </w:tabs>
        <w:autoSpaceDE w:val="0"/>
        <w:autoSpaceDN w:val="0"/>
        <w:adjustRightInd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投标人必须在规定的投标截止时间前将投标文件上传至政采云平台。</w:t>
      </w:r>
    </w:p>
    <w:p>
      <w:pPr>
        <w:tabs>
          <w:tab w:val="center" w:pos="4156"/>
        </w:tabs>
        <w:autoSpaceDE w:val="0"/>
        <w:autoSpaceDN w:val="0"/>
        <w:adjustRightInd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3.投标文件的修改和撤回</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（1）投标人在投标截止时间之前，可以对已提交的投标文件进行修改或撤回。投标截止时间后，投标人不得撤回和修改投标文件。修改后重新递交的投标文件应当按本招标文件的要求签署、盖章。</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（2）“投标文件修改”或“投标文件撤回通知”都应密封并在密封袋上写明投标人名称、投标人地址、投标文件名称、投标项目名称、项目编号，并注明“投标文件修改”或“投标文件撤回通知”字样。</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（3）从投标截止日期起至投标有效期满期间，投标人不得撤回其投标。</w:t>
      </w:r>
    </w:p>
    <w:p>
      <w:pPr>
        <w:tabs>
          <w:tab w:val="center" w:pos="4156"/>
        </w:tabs>
        <w:autoSpaceDE w:val="0"/>
        <w:autoSpaceDN w:val="0"/>
        <w:adjustRightInd w:val="0"/>
        <w:spacing w:line="440" w:lineRule="exact"/>
        <w:ind w:firstLine="560"/>
        <w:rPr>
          <w:rFonts w:ascii="宋体" w:hAnsi="宋体" w:eastAsia="宋体" w:cs="宋体"/>
          <w:b/>
          <w:color w:val="000000"/>
          <w:kern w:val="0"/>
          <w:sz w:val="24"/>
          <w:szCs w:val="24"/>
          <w:lang w:val="zh-CN"/>
        </w:rPr>
      </w:pPr>
      <w:r>
        <w:rPr>
          <w:rFonts w:hint="eastAsia" w:ascii="宋体" w:hAnsi="宋体" w:eastAsia="宋体" w:cs="宋体"/>
          <w:b/>
          <w:color w:val="000000"/>
          <w:kern w:val="0"/>
          <w:sz w:val="24"/>
          <w:szCs w:val="24"/>
          <w:lang w:val="zh-CN"/>
        </w:rPr>
        <w:t>（九）投标无效的情形</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发现下列情况之一的，其投标无效：</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1.投标文件未按招标文件要求签署、盖章的；</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2.不具备招标文件中规定的资格要求的；</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3.报价超过招标文件中规定的最高限价的；</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4.投标有效期、服务期等不能满足招标文件要求的；</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5.被拒绝的投标文件；</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6.投标文件明显不符合招标文件要求的或者与招标文件标注“▲”的条款发生实质性偏离的；</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7.投标文件含有采购人不能接受的附加条件的；</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8.法律、法规和招标文件规定的其他无效情形；</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9.有下列情形之一的，视为投标人串通投标：</w:t>
      </w:r>
    </w:p>
    <w:p>
      <w:pPr>
        <w:tabs>
          <w:tab w:val="center" w:pos="4156"/>
        </w:tabs>
        <w:autoSpaceDE w:val="0"/>
        <w:autoSpaceDN w:val="0"/>
        <w:adjustRightInd w:val="0"/>
        <w:spacing w:line="440" w:lineRule="exact"/>
        <w:ind w:firstLine="560"/>
        <w:rPr>
          <w:rFonts w:ascii="宋体" w:hAnsi="宋体" w:eastAsia="宋体" w:cs="宋体"/>
          <w:color w:val="000000"/>
          <w:sz w:val="24"/>
          <w:szCs w:val="24"/>
        </w:rPr>
      </w:pPr>
      <w:r>
        <w:rPr>
          <w:rFonts w:hint="eastAsia" w:ascii="宋体" w:hAnsi="宋体" w:eastAsia="宋体" w:cs="宋体"/>
          <w:color w:val="000000"/>
          <w:sz w:val="24"/>
          <w:szCs w:val="24"/>
        </w:rPr>
        <w:t>　（1）不同投标人的投标文件由同一单位或者个人编制；</w:t>
      </w:r>
    </w:p>
    <w:p>
      <w:pPr>
        <w:tabs>
          <w:tab w:val="center" w:pos="4156"/>
        </w:tabs>
        <w:autoSpaceDE w:val="0"/>
        <w:autoSpaceDN w:val="0"/>
        <w:adjustRightInd w:val="0"/>
        <w:spacing w:line="440" w:lineRule="exact"/>
        <w:ind w:firstLine="560"/>
        <w:rPr>
          <w:rFonts w:ascii="宋体" w:hAnsi="宋体" w:eastAsia="宋体" w:cs="宋体"/>
          <w:color w:val="000000"/>
          <w:sz w:val="24"/>
          <w:szCs w:val="24"/>
        </w:rPr>
      </w:pPr>
      <w:r>
        <w:rPr>
          <w:rFonts w:hint="eastAsia" w:ascii="宋体" w:hAnsi="宋体" w:eastAsia="宋体" w:cs="宋体"/>
          <w:color w:val="000000"/>
          <w:sz w:val="24"/>
          <w:szCs w:val="24"/>
        </w:rPr>
        <w:t>　（2）不同投标人委托同一单位或者个人办理投标事宜；</w:t>
      </w:r>
    </w:p>
    <w:p>
      <w:pPr>
        <w:tabs>
          <w:tab w:val="center" w:pos="4156"/>
        </w:tabs>
        <w:autoSpaceDE w:val="0"/>
        <w:autoSpaceDN w:val="0"/>
        <w:adjustRightInd w:val="0"/>
        <w:spacing w:line="440" w:lineRule="exact"/>
        <w:ind w:firstLine="821" w:firstLineChars="334"/>
        <w:rPr>
          <w:rFonts w:ascii="宋体" w:hAnsi="宋体" w:eastAsia="宋体" w:cs="宋体"/>
          <w:color w:val="000000"/>
          <w:spacing w:val="-10"/>
          <w:sz w:val="24"/>
          <w:szCs w:val="24"/>
        </w:rPr>
      </w:pPr>
      <w:r>
        <w:rPr>
          <w:rFonts w:hint="eastAsia" w:ascii="宋体" w:hAnsi="宋体" w:eastAsia="宋体" w:cs="宋体"/>
          <w:color w:val="000000"/>
          <w:sz w:val="24"/>
          <w:szCs w:val="24"/>
        </w:rPr>
        <w:t>（3）</w:t>
      </w:r>
      <w:r>
        <w:rPr>
          <w:rFonts w:hint="eastAsia" w:ascii="宋体" w:hAnsi="宋体" w:eastAsia="宋体" w:cs="宋体"/>
          <w:color w:val="000000"/>
          <w:spacing w:val="-10"/>
          <w:sz w:val="24"/>
          <w:szCs w:val="24"/>
        </w:rPr>
        <w:t>不同投标人的投标文件载明的项目管理成员或者联系人员为同一人；</w:t>
      </w:r>
    </w:p>
    <w:p>
      <w:pPr>
        <w:tabs>
          <w:tab w:val="center" w:pos="4156"/>
        </w:tabs>
        <w:autoSpaceDE w:val="0"/>
        <w:autoSpaceDN w:val="0"/>
        <w:adjustRightInd w:val="0"/>
        <w:spacing w:line="440" w:lineRule="exact"/>
        <w:ind w:firstLine="560"/>
        <w:rPr>
          <w:rFonts w:ascii="宋体" w:hAnsi="宋体" w:eastAsia="宋体" w:cs="宋体"/>
          <w:color w:val="000000"/>
          <w:sz w:val="24"/>
          <w:szCs w:val="24"/>
        </w:rPr>
      </w:pPr>
      <w:r>
        <w:rPr>
          <w:rFonts w:hint="eastAsia" w:ascii="宋体" w:hAnsi="宋体" w:eastAsia="宋体" w:cs="宋体"/>
          <w:color w:val="000000"/>
          <w:sz w:val="24"/>
          <w:szCs w:val="24"/>
        </w:rPr>
        <w:t>　（4）不同投标人的投标文件异常一致或者投标报价呈规律性差异；</w:t>
      </w:r>
    </w:p>
    <w:p>
      <w:pPr>
        <w:tabs>
          <w:tab w:val="center" w:pos="4156"/>
        </w:tabs>
        <w:autoSpaceDE w:val="0"/>
        <w:autoSpaceDN w:val="0"/>
        <w:adjustRightInd w:val="0"/>
        <w:spacing w:line="440" w:lineRule="exact"/>
        <w:ind w:firstLine="560"/>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（5）不同投标人的投标文件相互混装</w:t>
      </w:r>
      <w:r>
        <w:rPr>
          <w:rFonts w:hint="eastAsia" w:ascii="宋体" w:hAnsi="宋体" w:eastAsia="宋体" w:cs="宋体"/>
          <w:color w:val="000000"/>
          <w:sz w:val="24"/>
          <w:szCs w:val="24"/>
          <w:lang w:eastAsia="zh-CN"/>
        </w:rPr>
        <w:t>。</w:t>
      </w:r>
    </w:p>
    <w:p>
      <w:pPr>
        <w:tabs>
          <w:tab w:val="center" w:pos="4156"/>
        </w:tabs>
        <w:autoSpaceDE w:val="0"/>
        <w:autoSpaceDN w:val="0"/>
        <w:adjustRightInd w:val="0"/>
        <w:spacing w:line="440" w:lineRule="exact"/>
        <w:ind w:firstLine="560"/>
        <w:rPr>
          <w:rFonts w:ascii="宋体" w:hAnsi="宋体" w:eastAsia="宋体" w:cs="宋体"/>
          <w:b/>
          <w:color w:val="000000"/>
          <w:kern w:val="0"/>
          <w:sz w:val="24"/>
          <w:szCs w:val="24"/>
          <w:lang w:val="zh-CN"/>
        </w:rPr>
      </w:pPr>
      <w:r>
        <w:rPr>
          <w:rFonts w:hint="eastAsia" w:ascii="宋体" w:hAnsi="宋体" w:eastAsia="宋体" w:cs="宋体"/>
          <w:color w:val="000000"/>
          <w:sz w:val="24"/>
          <w:szCs w:val="24"/>
        </w:rPr>
        <w:t>　</w:t>
      </w:r>
      <w:r>
        <w:rPr>
          <w:rFonts w:hint="eastAsia" w:ascii="宋体" w:hAnsi="宋体" w:eastAsia="宋体" w:cs="宋体"/>
          <w:b/>
          <w:color w:val="000000"/>
          <w:kern w:val="0"/>
          <w:sz w:val="24"/>
          <w:szCs w:val="24"/>
          <w:lang w:val="zh-CN"/>
        </w:rPr>
        <w:t>（十）在招标采购中，出现下列情形之一的，应予废标：</w:t>
      </w:r>
    </w:p>
    <w:p>
      <w:pPr>
        <w:tabs>
          <w:tab w:val="center" w:pos="4156"/>
        </w:tabs>
        <w:autoSpaceDE w:val="0"/>
        <w:autoSpaceDN w:val="0"/>
        <w:adjustRightInd w:val="0"/>
        <w:spacing w:line="440" w:lineRule="exact"/>
        <w:ind w:firstLine="560"/>
        <w:rPr>
          <w:rFonts w:ascii="宋体" w:hAnsi="宋体" w:eastAsia="宋体" w:cs="宋体"/>
          <w:color w:val="000000"/>
          <w:sz w:val="24"/>
          <w:szCs w:val="24"/>
        </w:rPr>
      </w:pPr>
      <w:r>
        <w:rPr>
          <w:rFonts w:hint="eastAsia" w:ascii="宋体" w:hAnsi="宋体" w:eastAsia="宋体" w:cs="宋体"/>
          <w:color w:val="000000"/>
          <w:sz w:val="24"/>
          <w:szCs w:val="24"/>
        </w:rPr>
        <w:t>（1）参加投标的投标人不足三家的或者对招标文件作实质响应的投标人不足三家的；</w:t>
      </w:r>
    </w:p>
    <w:p>
      <w:pPr>
        <w:tabs>
          <w:tab w:val="center" w:pos="4156"/>
        </w:tabs>
        <w:autoSpaceDE w:val="0"/>
        <w:autoSpaceDN w:val="0"/>
        <w:adjustRightInd w:val="0"/>
        <w:spacing w:line="440" w:lineRule="exact"/>
        <w:ind w:firstLine="560"/>
        <w:rPr>
          <w:rFonts w:ascii="宋体" w:hAnsi="宋体" w:eastAsia="宋体" w:cs="宋体"/>
          <w:color w:val="000000"/>
          <w:sz w:val="24"/>
          <w:szCs w:val="24"/>
        </w:rPr>
      </w:pPr>
      <w:r>
        <w:rPr>
          <w:rFonts w:hint="eastAsia" w:ascii="宋体" w:hAnsi="宋体" w:eastAsia="宋体" w:cs="宋体"/>
          <w:color w:val="000000"/>
          <w:sz w:val="24"/>
          <w:szCs w:val="24"/>
        </w:rPr>
        <w:t>（2）投标人的报价均超过了采购预算；</w:t>
      </w:r>
    </w:p>
    <w:p>
      <w:pPr>
        <w:tabs>
          <w:tab w:val="center" w:pos="4156"/>
        </w:tabs>
        <w:autoSpaceDE w:val="0"/>
        <w:autoSpaceDN w:val="0"/>
        <w:adjustRightInd w:val="0"/>
        <w:spacing w:line="440" w:lineRule="exact"/>
        <w:ind w:firstLine="560"/>
        <w:rPr>
          <w:rFonts w:ascii="宋体" w:hAnsi="宋体" w:eastAsia="宋体" w:cs="宋体"/>
          <w:color w:val="000000"/>
          <w:sz w:val="24"/>
          <w:szCs w:val="24"/>
        </w:rPr>
      </w:pPr>
      <w:r>
        <w:rPr>
          <w:rFonts w:hint="eastAsia" w:ascii="宋体" w:hAnsi="宋体" w:eastAsia="宋体" w:cs="宋体"/>
          <w:color w:val="000000"/>
          <w:sz w:val="24"/>
          <w:szCs w:val="24"/>
        </w:rPr>
        <w:t>（3）因重大变故，采购任务取消的。</w:t>
      </w:r>
    </w:p>
    <w:p>
      <w:pPr>
        <w:autoSpaceDE w:val="0"/>
        <w:autoSpaceDN w:val="0"/>
        <w:spacing w:line="600" w:lineRule="exact"/>
        <w:rPr>
          <w:rFonts w:ascii="宋体" w:hAnsi="宋体" w:eastAsia="宋体" w:cs="宋体"/>
          <w:b/>
          <w:bCs/>
          <w:color w:val="000000"/>
          <w:lang w:val="zh-CN"/>
        </w:rPr>
      </w:pPr>
      <w:r>
        <w:rPr>
          <w:rFonts w:hint="eastAsia" w:ascii="宋体" w:hAnsi="宋体" w:eastAsia="宋体" w:cs="宋体"/>
          <w:b/>
          <w:bCs/>
          <w:color w:val="000000"/>
          <w:lang w:val="zh-CN"/>
        </w:rPr>
        <w:t>四、开标</w:t>
      </w:r>
    </w:p>
    <w:p>
      <w:pPr>
        <w:tabs>
          <w:tab w:val="center" w:pos="4156"/>
        </w:tabs>
        <w:autoSpaceDE w:val="0"/>
        <w:autoSpaceDN w:val="0"/>
        <w:adjustRightInd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（一）开标准备</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招标人在规定的日期、时间和地点组织开标会议，所有参加开标会的投标人法定代表或其授权代表应准时参加开标会议。 </w:t>
      </w:r>
    </w:p>
    <w:p>
      <w:pPr>
        <w:tabs>
          <w:tab w:val="center" w:pos="4156"/>
        </w:tabs>
        <w:autoSpaceDE w:val="0"/>
        <w:autoSpaceDN w:val="0"/>
        <w:adjustRightInd w:val="0"/>
        <w:spacing w:line="440" w:lineRule="exact"/>
        <w:ind w:firstLine="56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（二）开标程序</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1.开标会由招标人主持。主持人宣布投标截止时间，截止时间以国家授时中心标准时间为准，宣布招标会议开始。</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2.开标会议开始：采购人按“投标人须知前附表”规定的时间、地点公开开标，并邀请所有投标人代表准时在线参加。</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投标人代表应在线参加开标活动：开标活动组织人员告知投标人开标活动组织人员情况，已提交投标文件的投标人名单、应当回避的情形、开启报价文件的预计时间等，组织投标人签署《政府采购活动现场确认声明书》。</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4.在线解密</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①开始在线解密：至投标截止时间，开标活动组织人员启动在线解密程序，投标人应登录政府采购云平台在在线解密时间内对已提交的电子投标文件进行解密。</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②解密异常处理：如在线解密失败，开标活动组织人员将启动异常处理，上传投标人在投标截止时间前提交的备份电子投标文件进行再次解密，如未提供备份电子投标文件，将不进行再次解密程序。无法在线解密视为供应商放弃投标。</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③在线解密时间：在线解密时间为30分钟。</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b/>
          <w:color w:val="000000"/>
          <w:sz w:val="24"/>
          <w:szCs w:val="24"/>
          <w:lang w:val="zh-CN"/>
        </w:rPr>
        <w:t>5.在线开启投标文件：</w:t>
      </w:r>
      <w:r>
        <w:rPr>
          <w:rFonts w:hint="eastAsia" w:ascii="宋体" w:hAnsi="宋体" w:eastAsia="宋体" w:cs="宋体"/>
          <w:color w:val="000000"/>
          <w:sz w:val="24"/>
          <w:szCs w:val="24"/>
          <w:lang w:val="zh-CN"/>
        </w:rPr>
        <w:t>待所有投标人在线解密结束后，开标活动组织人员在线开启投标文件。</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6.公布资格审查评审情况：</w:t>
      </w:r>
      <w:r>
        <w:rPr>
          <w:rFonts w:hint="eastAsia" w:ascii="宋体" w:hAnsi="宋体" w:eastAsia="宋体" w:cs="宋体"/>
          <w:color w:val="000000"/>
          <w:sz w:val="24"/>
          <w:szCs w:val="24"/>
          <w:lang w:val="zh-CN"/>
        </w:rPr>
        <w:t>资格审查评审结束后，开标活动组织人员在线、开标现场公布资格评审有效的供应商名单及无效供应商名称及理由。</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b/>
          <w:color w:val="000000"/>
          <w:sz w:val="24"/>
          <w:szCs w:val="24"/>
          <w:lang w:val="zh-CN"/>
        </w:rPr>
        <w:t>7.公布商务技术评审情况：</w:t>
      </w:r>
      <w:r>
        <w:rPr>
          <w:rFonts w:hint="eastAsia" w:ascii="宋体" w:hAnsi="宋体" w:eastAsia="宋体" w:cs="宋体"/>
          <w:color w:val="000000"/>
          <w:sz w:val="24"/>
          <w:szCs w:val="24"/>
          <w:lang w:val="zh-CN"/>
        </w:rPr>
        <w:t>商务技术评审结束后，开标活动组织人员在线、开标现场公布商务技术评审有效的供应商名单及无效供应商名称及理由、得分情况。</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8.在线开启报价文件</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开启供应商报价文件，开标活动组织人员宣读开标（报价）一览表有关内容，同时当场制作并打印开标记录表。</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如投标人代表拒绝签字，应说明理由，如不说明理由，视为无异议。</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开标结束后，如发现开标结果与报价文件不一致者，由评标委员会根据报价文件内容进行纠正。</w:t>
      </w:r>
    </w:p>
    <w:p>
      <w:pPr>
        <w:autoSpaceDE w:val="0"/>
        <w:autoSpaceDN w:val="0"/>
        <w:spacing w:line="440" w:lineRule="exact"/>
        <w:ind w:firstLine="468" w:firstLineChars="200"/>
        <w:rPr>
          <w:rFonts w:ascii="宋体" w:hAnsi="宋体" w:eastAsia="宋体" w:cs="宋体"/>
          <w:color w:val="000000"/>
          <w:spacing w:val="-6"/>
          <w:sz w:val="24"/>
          <w:szCs w:val="24"/>
          <w:lang w:val="zh-CN"/>
        </w:rPr>
      </w:pPr>
      <w:r>
        <w:rPr>
          <w:rFonts w:hint="eastAsia" w:ascii="宋体" w:hAnsi="宋体" w:eastAsia="宋体" w:cs="宋体"/>
          <w:b/>
          <w:color w:val="000000"/>
          <w:spacing w:val="-6"/>
          <w:sz w:val="24"/>
          <w:szCs w:val="24"/>
          <w:lang w:val="zh-CN"/>
        </w:rPr>
        <w:t>9.公布评审结果：</w:t>
      </w:r>
      <w:r>
        <w:rPr>
          <w:rFonts w:hint="eastAsia" w:ascii="宋体" w:hAnsi="宋体" w:eastAsia="宋体" w:cs="宋体"/>
          <w:color w:val="000000"/>
          <w:spacing w:val="-6"/>
          <w:sz w:val="24"/>
          <w:szCs w:val="24"/>
          <w:lang w:val="zh-CN"/>
        </w:rPr>
        <w:t>评审结束后，开标活动组织人员公布各投标人得分、中标候选人名单。</w:t>
      </w:r>
    </w:p>
    <w:p>
      <w:pPr>
        <w:autoSpaceDE w:val="0"/>
        <w:autoSpaceDN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10.开标会议结束。</w:t>
      </w:r>
    </w:p>
    <w:p>
      <w:pPr>
        <w:autoSpaceDE w:val="0"/>
        <w:autoSpaceDN w:val="0"/>
        <w:spacing w:line="600" w:lineRule="exact"/>
        <w:rPr>
          <w:rFonts w:ascii="宋体" w:hAnsi="宋体" w:eastAsia="宋体" w:cs="宋体"/>
          <w:b/>
          <w:bCs/>
          <w:color w:val="000000"/>
          <w:lang w:val="zh-CN"/>
        </w:rPr>
      </w:pPr>
      <w:r>
        <w:rPr>
          <w:rFonts w:hint="eastAsia" w:ascii="宋体" w:hAnsi="宋体" w:eastAsia="宋体" w:cs="宋体"/>
          <w:b/>
          <w:bCs/>
          <w:color w:val="000000"/>
          <w:lang w:val="zh-CN"/>
        </w:rPr>
        <w:t>五、评标</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（一）组建评标委员会</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本项目评标委员会由采购人代表</w:t>
      </w:r>
      <w:r>
        <w:rPr>
          <w:rFonts w:hint="eastAsia" w:ascii="宋体" w:hAnsi="宋体" w:eastAsia="宋体" w:cs="宋体"/>
          <w:color w:val="000000"/>
          <w:sz w:val="24"/>
          <w:szCs w:val="24"/>
        </w:rPr>
        <w:t>2</w:t>
      </w:r>
      <w:r>
        <w:rPr>
          <w:rFonts w:hint="eastAsia" w:ascii="宋体" w:hAnsi="宋体" w:eastAsia="宋体" w:cs="宋体"/>
          <w:color w:val="000000"/>
          <w:sz w:val="24"/>
          <w:szCs w:val="24"/>
          <w:lang w:val="zh-CN"/>
        </w:rPr>
        <w:t>人和政府采购评审专家</w:t>
      </w:r>
      <w:r>
        <w:rPr>
          <w:rFonts w:hint="eastAsia" w:ascii="宋体" w:hAnsi="宋体" w:eastAsia="宋体" w:cs="宋体"/>
          <w:color w:val="000000"/>
          <w:sz w:val="24"/>
          <w:szCs w:val="24"/>
        </w:rPr>
        <w:t>5</w:t>
      </w:r>
      <w:r>
        <w:rPr>
          <w:rFonts w:hint="eastAsia" w:ascii="宋体" w:hAnsi="宋体" w:eastAsia="宋体" w:cs="宋体"/>
          <w:color w:val="000000"/>
          <w:sz w:val="24"/>
          <w:szCs w:val="24"/>
          <w:lang w:val="zh-CN"/>
        </w:rPr>
        <w:t>人组成。</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（二）评标的方式</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本项目采用不公开方式评标，评标的依据为招标文件和投标文件。</w:t>
      </w:r>
    </w:p>
    <w:p>
      <w:pPr>
        <w:spacing w:line="440" w:lineRule="exact"/>
        <w:ind w:firstLine="369" w:firstLineChars="150"/>
        <w:rPr>
          <w:rFonts w:ascii="宋体" w:hAnsi="宋体" w:eastAsia="宋体" w:cs="宋体"/>
          <w:color w:val="000000"/>
          <w:sz w:val="24"/>
          <w:szCs w:val="24"/>
          <w:lang w:val="zh-CN"/>
        </w:rPr>
      </w:pPr>
      <w:r>
        <w:rPr>
          <w:rFonts w:hint="eastAsia" w:ascii="宋体" w:hAnsi="宋体" w:eastAsia="宋体" w:cs="宋体"/>
          <w:b/>
          <w:color w:val="000000"/>
          <w:sz w:val="24"/>
          <w:szCs w:val="24"/>
          <w:lang w:val="zh-CN"/>
        </w:rPr>
        <w:t>（三）评标程序</w:t>
      </w:r>
      <w:r>
        <w:rPr>
          <w:rFonts w:hint="eastAsia" w:ascii="宋体" w:hAnsi="宋体" w:eastAsia="宋体" w:cs="宋体"/>
          <w:color w:val="000000"/>
          <w:sz w:val="24"/>
          <w:szCs w:val="24"/>
          <w:lang w:val="zh-CN"/>
        </w:rPr>
        <w:tab/>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1.形式审查</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采购人代表对投标人的资格进行审查，评标委员会对投标文件的完整性、合法性等进行审查。</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2.实质审查与比较</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（1）评标委员会审查每份投标文件实质性内容是否符合招标文件的实质性要求。</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评标委员会将根据投标人的现场演示和投标文件进行审查、核对,如有疑问,将对投标人进行询标,投标人要向评标委员会澄清有关问题,并最终以书面形式进行答复。投标人代表未到场或者拒绝澄清或者澄清的内容改变了投标文件的实质性内容的，评标委员会可以否决其投标。</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（3）各投标人的商务技术得分为所有评委的有效评分的算术平均数，并由公证处工作人员进行计算复核。</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（4）代理机构工作人员协助评标委员会根据本项目的评分标准计算各投标人的商务报价得分。</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（5）评标委员会完成评标后,评委对各部分得分汇总，计算出本项目最终得分。评标委员会按评标原则推荐中标候选人，同时起草评标报告。</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（四）澄清问题的形式</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（五）错误修正</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投标文件如果出现计算或表达上的错误，修正错误的原则如下：</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1.投标文件中报价一览表内容与投标文件中投标报价明细表内容不一致的，以报价一览表为准；</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2.投标文件的大写金额和小写金额不一致的，以大写金额为准；</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3.单价金额小数点或者百分比有明显错位的，以报价一览表的总价为准，并修改单价； </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4.总价金额与按单价汇总金额不一致的，以单价金额计算结果为准；</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同时出现两种以上不一致的，按照前款规定的顺序修正。修正后的报价经投标人确认后产生约束力，投标人不确认的，其投标无效。</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（六）评标原则和评标办法</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2.评标办法。本项目评标办法是综合评分，具体评标内容及评分标准等详见《第六章：评标办法及评分标准》。</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（七）评标过程的监控</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本项目评标过程全程进行监控，投标人在评标过程中所进行的试图影响评标结果的不公正活动，可能导致其投标被拒绝。</w:t>
      </w:r>
    </w:p>
    <w:p>
      <w:pPr>
        <w:autoSpaceDE w:val="0"/>
        <w:autoSpaceDN w:val="0"/>
        <w:spacing w:line="600" w:lineRule="exact"/>
        <w:rPr>
          <w:rFonts w:ascii="宋体" w:hAnsi="宋体" w:eastAsia="宋体" w:cs="宋体"/>
          <w:b/>
          <w:bCs/>
          <w:color w:val="000000"/>
          <w:lang w:val="zh-CN"/>
        </w:rPr>
      </w:pPr>
      <w:r>
        <w:rPr>
          <w:rFonts w:hint="eastAsia" w:ascii="宋体" w:hAnsi="宋体" w:eastAsia="宋体" w:cs="宋体"/>
          <w:b/>
          <w:bCs/>
          <w:color w:val="000000"/>
          <w:lang w:val="zh-CN"/>
        </w:rPr>
        <w:t>六、定标</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（一）确定中标人。</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1.评标委员会完成评定后，向招标人提交经各评标委员会成员签字的评定结果报告，并按评定办法推荐中标候选人。</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评标委员会确定的中标候选人经采购人审查合格后，在浙江省政府采购网公示1个工作日，各投标人对评标结果如有异议，可在规定时间内以书面形式向招标人进行署名投诉或提出质疑，但需对投诉或质疑内容的真实性承担法律责任。因恶意质疑、投诉导致授予合同的期限延期的，应按延期天数每日3000元的标准对采购人予以赔偿。</w:t>
      </w:r>
    </w:p>
    <w:p>
      <w:pPr>
        <w:spacing w:line="440" w:lineRule="exact"/>
        <w:ind w:firstLine="468" w:firstLineChars="200"/>
        <w:rPr>
          <w:rFonts w:ascii="宋体" w:hAnsi="宋体" w:eastAsia="宋体" w:cs="宋体"/>
          <w:color w:val="000000"/>
          <w:spacing w:val="-6"/>
          <w:sz w:val="24"/>
          <w:szCs w:val="24"/>
          <w:lang w:val="zh-CN"/>
        </w:rPr>
      </w:pPr>
      <w:r>
        <w:rPr>
          <w:rFonts w:hint="eastAsia" w:ascii="宋体" w:hAnsi="宋体" w:eastAsia="宋体" w:cs="宋体"/>
          <w:color w:val="000000"/>
          <w:spacing w:val="-6"/>
          <w:sz w:val="24"/>
          <w:szCs w:val="24"/>
          <w:lang w:val="zh-CN"/>
        </w:rPr>
        <w:t>3.公示结束后，采购人将根据评标委员会提交的书面评标报告和评审结果最后确定中标人。</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4.中标人确定后，招标人将以书面形式向中标人发出《中标通知书》。《中标通知书》一经发出即发生法律效力。</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5.招标人无义务向未中标投标人解释落选原因，不退回投标文件。《中标通知书》将作为签订合同的依据。</w:t>
      </w:r>
    </w:p>
    <w:p>
      <w:pPr>
        <w:autoSpaceDE w:val="0"/>
        <w:autoSpaceDN w:val="0"/>
        <w:spacing w:line="600" w:lineRule="exact"/>
        <w:rPr>
          <w:rFonts w:ascii="宋体" w:hAnsi="宋体" w:eastAsia="宋体" w:cs="宋体"/>
          <w:b/>
          <w:bCs/>
          <w:color w:val="000000"/>
          <w:lang w:val="zh-CN"/>
        </w:rPr>
      </w:pPr>
      <w:r>
        <w:rPr>
          <w:rFonts w:hint="eastAsia" w:ascii="宋体" w:hAnsi="宋体" w:eastAsia="宋体" w:cs="宋体"/>
          <w:b/>
          <w:bCs/>
          <w:color w:val="000000"/>
          <w:lang w:val="zh-CN"/>
        </w:rPr>
        <w:t>七、合同授予</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（一）签订合同</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1.采购人与中标人应当在《中标通知书》发出之日起</w:t>
      </w:r>
      <w:r>
        <w:rPr>
          <w:rFonts w:hint="eastAsia" w:ascii="宋体" w:hAnsi="宋体" w:eastAsia="宋体" w:cs="宋体"/>
          <w:color w:val="000000"/>
          <w:sz w:val="24"/>
          <w:szCs w:val="24"/>
        </w:rPr>
        <w:t>30</w:t>
      </w:r>
      <w:r>
        <w:rPr>
          <w:rFonts w:hint="eastAsia" w:ascii="宋体" w:hAnsi="宋体" w:eastAsia="宋体" w:cs="宋体"/>
          <w:color w:val="000000"/>
          <w:sz w:val="24"/>
          <w:szCs w:val="24"/>
          <w:lang w:val="zh-CN"/>
        </w:rPr>
        <w:t>日内签订采购服务合同。合同签订前，招标人应对合同内容进行审查，如发现与采购结果和投标承诺内容不一致的，应予以纠正。</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2.招标文件、中标人的投标文件、投标修改文件、评标过程中有关澄清文件及经投标人和评委双方签字的询标纪要和中标通知书均作为合同附件。</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3.如中标人在中标或签订采购合同后，发现在本项目采购周期内发生行贿行为，经向检察机关查询确实存在行贿犯罪记录的，取消其中标资格或停止采购其货物、服务。</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（二）履约担保</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根据《浙江省财政厅关于进一步加大政府采购 支持中小企业力度 助力扎实稳住经济 的通知》（浙财采监〔2022〕8号） ，本项目履约保证金为合同价的1%。供应商应当以银行转账或者金融机构、担保机构出具的保函等非现金形式提交，合同期满后凭收据退还履约保证金（无息）。</w:t>
      </w:r>
    </w:p>
    <w:p>
      <w:pPr>
        <w:spacing w:line="440" w:lineRule="exact"/>
        <w:ind w:firstLine="369" w:firstLineChars="15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（三）拒签合同的违约责任</w:t>
      </w:r>
    </w:p>
    <w:p>
      <w:pPr>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中标人接到中标通知书后，不遵守投标文件的要约、承诺，擅自修改投标文件的内容或在规定时间内借故拖延、拒签合同的，以违约处理，同时，招标人将取消该投标人的中标资格。</w:t>
      </w:r>
    </w:p>
    <w:p>
      <w:pPr>
        <w:autoSpaceDE w:val="0"/>
        <w:autoSpaceDN w:val="0"/>
        <w:adjustRightInd w:val="0"/>
        <w:spacing w:line="44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（四）解释权：本招标文件是依据《政府采购法》及有关规定编制的，解释权归招标人所有。</w:t>
      </w:r>
    </w:p>
    <w:bookmarkEnd w:id="0"/>
    <w:p>
      <w:pPr>
        <w:pStyle w:val="58"/>
        <w:spacing w:line="500" w:lineRule="exact"/>
        <w:outlineLvl w:val="0"/>
        <w:rPr>
          <w:rFonts w:ascii="宋体" w:hAnsi="宋体" w:cs="宋体"/>
          <w:color w:val="000000"/>
          <w:lang w:eastAsia="zh-CN"/>
        </w:rPr>
      </w:pPr>
      <w:bookmarkStart w:id="6" w:name="_Toc119501471"/>
    </w:p>
    <w:p>
      <w:pPr>
        <w:pStyle w:val="58"/>
        <w:spacing w:line="500" w:lineRule="exact"/>
        <w:outlineLvl w:val="0"/>
        <w:rPr>
          <w:rFonts w:ascii="宋体" w:hAnsi="宋体" w:cs="宋体"/>
          <w:color w:val="000000"/>
          <w:lang w:eastAsia="zh-CN"/>
        </w:rPr>
      </w:pPr>
    </w:p>
    <w:p>
      <w:pPr>
        <w:pStyle w:val="58"/>
        <w:spacing w:line="500" w:lineRule="exact"/>
        <w:outlineLvl w:val="0"/>
        <w:rPr>
          <w:rFonts w:ascii="宋体" w:hAnsi="宋体" w:cs="宋体"/>
          <w:color w:val="000000"/>
          <w:lang w:eastAsia="zh-CN"/>
        </w:rPr>
      </w:pPr>
    </w:p>
    <w:p>
      <w:pPr>
        <w:pStyle w:val="58"/>
        <w:spacing w:line="500" w:lineRule="exact"/>
        <w:outlineLvl w:val="0"/>
        <w:rPr>
          <w:rFonts w:ascii="宋体" w:hAnsi="宋体" w:cs="宋体"/>
          <w:color w:val="000000"/>
          <w:lang w:eastAsia="zh-CN"/>
        </w:rPr>
      </w:pPr>
    </w:p>
    <w:p>
      <w:pPr>
        <w:pStyle w:val="58"/>
        <w:spacing w:line="500" w:lineRule="exact"/>
        <w:outlineLvl w:val="0"/>
        <w:rPr>
          <w:rFonts w:ascii="宋体" w:hAnsi="宋体" w:cs="宋体"/>
          <w:color w:val="000000"/>
          <w:lang w:eastAsia="zh-CN"/>
        </w:rPr>
      </w:pPr>
    </w:p>
    <w:p>
      <w:pPr>
        <w:pStyle w:val="58"/>
        <w:spacing w:line="500" w:lineRule="exact"/>
        <w:outlineLvl w:val="0"/>
        <w:rPr>
          <w:rFonts w:ascii="宋体" w:hAnsi="宋体" w:cs="宋体"/>
          <w:color w:val="000000"/>
          <w:lang w:eastAsia="zh-CN"/>
        </w:rPr>
      </w:pPr>
    </w:p>
    <w:p>
      <w:pPr>
        <w:pStyle w:val="58"/>
        <w:spacing w:line="500" w:lineRule="exact"/>
        <w:outlineLvl w:val="0"/>
        <w:rPr>
          <w:rFonts w:ascii="宋体" w:hAnsi="宋体" w:cs="宋体"/>
          <w:color w:val="000000"/>
          <w:lang w:eastAsia="zh-CN"/>
        </w:rPr>
      </w:pPr>
    </w:p>
    <w:p>
      <w:pPr>
        <w:pStyle w:val="58"/>
        <w:spacing w:line="500" w:lineRule="exact"/>
        <w:outlineLvl w:val="0"/>
        <w:rPr>
          <w:rFonts w:ascii="宋体" w:hAnsi="宋体" w:cs="宋体"/>
          <w:color w:val="000000"/>
          <w:lang w:eastAsia="zh-CN"/>
        </w:rPr>
      </w:pPr>
    </w:p>
    <w:p>
      <w:pPr>
        <w:pStyle w:val="58"/>
        <w:spacing w:line="500" w:lineRule="exact"/>
        <w:outlineLvl w:val="0"/>
        <w:rPr>
          <w:rFonts w:ascii="宋体" w:hAnsi="宋体" w:cs="宋体"/>
          <w:color w:val="000000"/>
          <w:lang w:eastAsia="zh-CN"/>
        </w:rPr>
      </w:pPr>
    </w:p>
    <w:p>
      <w:pPr>
        <w:pStyle w:val="58"/>
        <w:spacing w:line="500" w:lineRule="exact"/>
        <w:outlineLvl w:val="0"/>
        <w:rPr>
          <w:rFonts w:hint="eastAsia" w:ascii="宋体" w:hAnsi="宋体" w:cs="宋体"/>
          <w:color w:val="000000"/>
          <w:lang w:eastAsia="zh-CN"/>
        </w:rPr>
      </w:pPr>
    </w:p>
    <w:p>
      <w:pPr>
        <w:pStyle w:val="58"/>
        <w:spacing w:line="500" w:lineRule="exact"/>
        <w:outlineLvl w:val="0"/>
        <w:rPr>
          <w:rFonts w:hint="eastAsia" w:ascii="宋体" w:hAnsi="宋体" w:cs="宋体"/>
          <w:color w:val="000000"/>
          <w:lang w:eastAsia="zh-CN"/>
        </w:rPr>
      </w:pPr>
    </w:p>
    <w:p>
      <w:pPr>
        <w:pStyle w:val="58"/>
        <w:spacing w:line="500" w:lineRule="exact"/>
        <w:outlineLvl w:val="0"/>
        <w:rPr>
          <w:rFonts w:hint="eastAsia" w:ascii="宋体" w:hAnsi="宋体" w:cs="宋体"/>
          <w:color w:val="000000"/>
          <w:lang w:eastAsia="zh-CN"/>
        </w:rPr>
      </w:pPr>
    </w:p>
    <w:p>
      <w:pPr>
        <w:pStyle w:val="58"/>
        <w:spacing w:line="500" w:lineRule="exact"/>
        <w:outlineLvl w:val="0"/>
        <w:rPr>
          <w:rFonts w:ascii="宋体" w:hAnsi="宋体" w:cs="宋体"/>
          <w:color w:val="FF0000"/>
          <w:highlight w:val="yellow"/>
          <w:lang w:eastAsia="zh-CN"/>
        </w:rPr>
      </w:pPr>
      <w:r>
        <w:rPr>
          <w:rFonts w:hint="eastAsia" w:ascii="宋体" w:hAnsi="宋体" w:cs="宋体"/>
          <w:color w:val="000000"/>
          <w:lang w:eastAsia="zh-CN"/>
        </w:rPr>
        <w:t xml:space="preserve">第三章  采购内容及要求 </w:t>
      </w:r>
    </w:p>
    <w:p>
      <w:pPr>
        <w:spacing w:line="400" w:lineRule="exact"/>
        <w:rPr>
          <w:rFonts w:ascii="宋体" w:hAnsi="宋体" w:eastAsia="宋体" w:cs="宋体"/>
          <w:b/>
          <w:sz w:val="24"/>
          <w:szCs w:val="24"/>
        </w:rPr>
      </w:pPr>
    </w:p>
    <w:p>
      <w:pPr>
        <w:keepNext w:val="0"/>
        <w:keepLines w:val="0"/>
        <w:pageBreakBefore w:val="0"/>
        <w:tabs>
          <w:tab w:val="left" w:pos="525"/>
        </w:tabs>
        <w:kinsoku/>
        <w:wordWrap/>
        <w:overflowPunct/>
        <w:topLinePunct w:val="0"/>
        <w:bidi w:val="0"/>
        <w:snapToGrid/>
        <w:spacing w:line="440" w:lineRule="exact"/>
        <w:ind w:firstLine="492" w:firstLineChars="200"/>
        <w:textAlignment w:val="auto"/>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一、运营管理服务范围及内容</w:t>
      </w:r>
    </w:p>
    <w:p>
      <w:pPr>
        <w:keepNext w:val="0"/>
        <w:keepLines w:val="0"/>
        <w:pageBreakBefore w:val="0"/>
        <w:tabs>
          <w:tab w:val="left" w:pos="525"/>
        </w:tabs>
        <w:kinsoku/>
        <w:wordWrap/>
        <w:overflowPunct/>
        <w:topLinePunct w:val="0"/>
        <w:bidi w:val="0"/>
        <w:snapToGrid/>
        <w:spacing w:line="440" w:lineRule="exact"/>
        <w:ind w:firstLine="492" w:firstLineChars="200"/>
        <w:textAlignment w:val="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1、服务范围：高铁新城再生水厂（含湿地）、3#进水泵站、4#泵站、湿地出水泵站的运营管理服务。</w:t>
      </w:r>
    </w:p>
    <w:p>
      <w:pPr>
        <w:keepNext w:val="0"/>
        <w:keepLines w:val="0"/>
        <w:pageBreakBefore w:val="0"/>
        <w:tabs>
          <w:tab w:val="left" w:pos="525"/>
        </w:tabs>
        <w:kinsoku/>
        <w:wordWrap/>
        <w:overflowPunct/>
        <w:topLinePunct w:val="0"/>
        <w:bidi w:val="0"/>
        <w:snapToGrid/>
        <w:spacing w:line="440" w:lineRule="exact"/>
        <w:ind w:firstLine="492" w:firstLineChars="200"/>
        <w:textAlignment w:val="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服务内容：（1）项目设施的管理、运行、维修，应始终按照常规运营惯例、检验与维护手册以及项目设施的设备制造商提供的资料维护项目设施，以保证项目设施处于良好的运行状态。（2）确保所有进厂污水全部经过处理，排放的出水符合环保部门规定的要求。（3）运行时产生的污泥等固体废物须运至环保部门认可的污泥处置单位，委托其处理。</w:t>
      </w:r>
      <w:r>
        <w:rPr>
          <w:rFonts w:hint="eastAsia" w:ascii="宋体" w:hAnsi="宋体" w:eastAsia="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4"/>
          <w:szCs w:val="24"/>
          <w:highlight w:val="none"/>
          <w14:textFill>
            <w14:solidFill>
              <w14:schemeClr w14:val="tx1"/>
            </w14:solidFill>
          </w14:textFill>
        </w:rPr>
        <w:t>（4）及时报送与本项目有关的报告、数据、资料。（5）根据环保要求，定期开展三废检测。（6）建立应急预案及相应规章制度，配合上级部门检查。</w:t>
      </w:r>
    </w:p>
    <w:p>
      <w:pPr>
        <w:keepNext w:val="0"/>
        <w:keepLines w:val="0"/>
        <w:pageBreakBefore w:val="0"/>
        <w:tabs>
          <w:tab w:val="left" w:pos="525"/>
        </w:tabs>
        <w:kinsoku/>
        <w:wordWrap/>
        <w:overflowPunct/>
        <w:topLinePunct w:val="0"/>
        <w:bidi w:val="0"/>
        <w:snapToGrid/>
        <w:spacing w:line="440" w:lineRule="exact"/>
        <w:ind w:firstLine="492" w:firstLineChars="200"/>
        <w:textAlignment w:val="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3、惩罚措施：进水水质在符合设计标准范围内，服务方应确保排放水质达到环保要求。如出现出水超标，服务方承担相关部门的行政处罚及罚款。</w:t>
      </w:r>
    </w:p>
    <w:p>
      <w:pPr>
        <w:keepNext w:val="0"/>
        <w:keepLines w:val="0"/>
        <w:pageBreakBefore w:val="0"/>
        <w:tabs>
          <w:tab w:val="left" w:pos="525"/>
        </w:tabs>
        <w:kinsoku/>
        <w:wordWrap/>
        <w:overflowPunct/>
        <w:topLinePunct w:val="0"/>
        <w:bidi w:val="0"/>
        <w:snapToGrid/>
        <w:spacing w:line="440" w:lineRule="exact"/>
        <w:ind w:firstLine="492" w:firstLineChars="200"/>
        <w:textAlignment w:val="auto"/>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二、运营管理服务费价格组成</w:t>
      </w:r>
    </w:p>
    <w:p>
      <w:pPr>
        <w:keepNext w:val="0"/>
        <w:keepLines w:val="0"/>
        <w:pageBreakBefore w:val="0"/>
        <w:tabs>
          <w:tab w:val="left" w:pos="525"/>
        </w:tabs>
        <w:kinsoku/>
        <w:wordWrap/>
        <w:overflowPunct/>
        <w:topLinePunct w:val="0"/>
        <w:bidi w:val="0"/>
        <w:snapToGrid/>
        <w:spacing w:line="440" w:lineRule="exact"/>
        <w:ind w:firstLine="492" w:firstLineChars="200"/>
        <w:textAlignment w:val="auto"/>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运营管理服务费包括：高铁新城再生水厂（含湿地）、3#进水泵站、4#泵站、湿地出水泵站的日常运行与维护、设备维护、水质检测、污泥处置、在线检测设备运维等内容。费用包括人工费（含工资、奖金、社保、公积金等）、设备租赁费、</w:t>
      </w:r>
      <w:r>
        <w:rPr>
          <w:rFonts w:ascii="宋体" w:hAnsi="宋体" w:eastAsia="宋体" w:cs="宋体"/>
          <w:color w:val="000000" w:themeColor="text1"/>
          <w:sz w:val="24"/>
          <w:szCs w:val="24"/>
          <w:highlight w:val="none"/>
          <w14:textFill>
            <w14:solidFill>
              <w14:schemeClr w14:val="tx1"/>
            </w14:solidFill>
          </w14:textFill>
        </w:rPr>
        <w:t>在线设备运维费</w:t>
      </w:r>
      <w:r>
        <w:rPr>
          <w:rFonts w:hint="eastAsia" w:ascii="宋体" w:hAnsi="宋体" w:eastAsia="宋体" w:cs="宋体"/>
          <w:b w:val="0"/>
          <w:bCs w:val="0"/>
          <w:color w:val="000000" w:themeColor="text1"/>
          <w:sz w:val="24"/>
          <w:szCs w:val="24"/>
          <w:highlight w:val="none"/>
          <w14:textFill>
            <w14:solidFill>
              <w14:schemeClr w14:val="tx1"/>
            </w14:solidFill>
          </w14:textFill>
        </w:rPr>
        <w:t>以及日常保养维护及修理</w:t>
      </w:r>
      <w:r>
        <w:rPr>
          <w:rFonts w:hint="eastAsia" w:ascii="宋体" w:hAnsi="宋体" w:eastAsia="宋体" w:cs="宋体"/>
          <w:color w:val="000000" w:themeColor="text1"/>
          <w:sz w:val="24"/>
          <w:szCs w:val="24"/>
          <w:highlight w:val="none"/>
          <w14:textFill>
            <w14:solidFill>
              <w14:schemeClr w14:val="tx1"/>
            </w14:solidFill>
          </w14:textFill>
        </w:rPr>
        <w:t>、绿化养护费——再生水厂（含湿地）内的树木、植物、草坪、景观、水生植物等日常养护、安全生产费、环保及第三方检测费、管理费、药剂费、电费、污泥处置及运输费、水费、税金等。</w:t>
      </w:r>
    </w:p>
    <w:p>
      <w:pPr>
        <w:keepNext w:val="0"/>
        <w:keepLines w:val="0"/>
        <w:pageBreakBefore w:val="0"/>
        <w:kinsoku/>
        <w:wordWrap/>
        <w:overflowPunct/>
        <w:topLinePunct w:val="0"/>
        <w:bidi w:val="0"/>
        <w:snapToGrid/>
        <w:spacing w:line="440" w:lineRule="exact"/>
        <w:ind w:firstLine="492" w:firstLineChars="200"/>
        <w:textAlignment w:val="auto"/>
        <w:rPr>
          <w:rFonts w:ascii="宋体" w:hAnsi="宋体" w:eastAsia="宋体" w:cs="宋体"/>
          <w:b/>
          <w:color w:val="000000" w:themeColor="text1"/>
          <w:kern w:val="0"/>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val="zh-CN"/>
          <w14:textFill>
            <w14:solidFill>
              <w14:schemeClr w14:val="tx1"/>
            </w14:solidFill>
          </w14:textFill>
        </w:rPr>
        <w:t>三、运营期</w:t>
      </w:r>
    </w:p>
    <w:p>
      <w:pPr>
        <w:keepNext w:val="0"/>
        <w:keepLines w:val="0"/>
        <w:pageBreakBefore w:val="0"/>
        <w:kinsoku/>
        <w:wordWrap/>
        <w:overflowPunct/>
        <w:topLinePunct w:val="0"/>
        <w:bidi w:val="0"/>
        <w:snapToGrid/>
        <w:spacing w:line="440" w:lineRule="exact"/>
        <w:ind w:firstLine="492" w:firstLineChars="200"/>
        <w:textAlignment w:val="auto"/>
        <w:rPr>
          <w:rFonts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本项目运营期限</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b/>
          <w:bCs/>
          <w:color w:val="000000" w:themeColor="text1"/>
          <w:sz w:val="24"/>
          <w:szCs w:val="24"/>
          <w:highlight w:val="none"/>
          <w:lang w:eastAsia="zh-CN"/>
          <w14:textFill>
            <w14:solidFill>
              <w14:schemeClr w14:val="tx1"/>
            </w14:solidFill>
          </w14:textFill>
        </w:rPr>
        <w:t>三</w:t>
      </w:r>
      <w:r>
        <w:rPr>
          <w:rFonts w:hint="eastAsia" w:ascii="宋体" w:hAnsi="宋体" w:eastAsia="宋体" w:cs="宋体"/>
          <w:b/>
          <w:bCs/>
          <w:color w:val="000000" w:themeColor="text1"/>
          <w:sz w:val="24"/>
          <w:szCs w:val="24"/>
          <w:highlight w:val="none"/>
          <w14:textFill>
            <w14:solidFill>
              <w14:schemeClr w14:val="tx1"/>
            </w14:solidFill>
          </w14:textFill>
        </w:rPr>
        <w:t>年。</w:t>
      </w:r>
    </w:p>
    <w:p>
      <w:pPr>
        <w:keepNext w:val="0"/>
        <w:keepLines w:val="0"/>
        <w:pageBreakBefore w:val="0"/>
        <w:kinsoku/>
        <w:wordWrap/>
        <w:overflowPunct/>
        <w:topLinePunct w:val="0"/>
        <w:bidi w:val="0"/>
        <w:snapToGrid/>
        <w:spacing w:line="440" w:lineRule="exact"/>
        <w:ind w:firstLine="523" w:firstLineChars="213"/>
        <w:textAlignment w:val="auto"/>
        <w:rPr>
          <w:rFonts w:ascii="宋体" w:hAnsi="宋体" w:eastAsia="宋体" w:cs="宋体"/>
          <w:b/>
          <w:color w:val="000000" w:themeColor="text1"/>
          <w:sz w:val="24"/>
          <w:szCs w:val="24"/>
          <w:highlight w:val="none"/>
          <w:lang w:val="zh-CN"/>
          <w14:textFill>
            <w14:solidFill>
              <w14:schemeClr w14:val="tx1"/>
            </w14:solidFill>
          </w14:textFill>
        </w:rPr>
      </w:pPr>
      <w:r>
        <w:rPr>
          <w:rFonts w:hint="eastAsia" w:ascii="宋体" w:hAnsi="宋体" w:eastAsia="宋体" w:cs="宋体"/>
          <w:b/>
          <w:color w:val="000000" w:themeColor="text1"/>
          <w:sz w:val="24"/>
          <w:szCs w:val="24"/>
          <w:highlight w:val="none"/>
          <w:lang w:val="zh-CN"/>
          <w14:textFill>
            <w14:solidFill>
              <w14:schemeClr w14:val="tx1"/>
            </w14:solidFill>
          </w14:textFill>
        </w:rPr>
        <w:t>四、项目最高限价及支付</w:t>
      </w:r>
    </w:p>
    <w:p>
      <w:pPr>
        <w:pStyle w:val="19"/>
        <w:keepNext w:val="0"/>
        <w:keepLines w:val="0"/>
        <w:pageBreakBefore w:val="0"/>
        <w:kinsoku/>
        <w:wordWrap/>
        <w:overflowPunct/>
        <w:topLinePunct w:val="0"/>
        <w:bidi w:val="0"/>
        <w:snapToGrid/>
        <w:spacing w:line="440" w:lineRule="exact"/>
        <w:ind w:firstLine="492"/>
        <w:textAlignment w:val="auto"/>
        <w:rPr>
          <w:rFonts w:hint="eastAsia" w:ascii="宋体" w:hAnsi="宋体" w:eastAsia="宋体" w:cs="宋体"/>
          <w:b/>
          <w:bCs/>
          <w:color w:val="000000" w:themeColor="text1"/>
          <w:sz w:val="24"/>
          <w:szCs w:val="24"/>
          <w:highlight w:val="none"/>
          <w:lang w:val="en-US"/>
          <w14:textFill>
            <w14:solidFill>
              <w14:schemeClr w14:val="tx1"/>
            </w14:solidFill>
          </w14:textFill>
        </w:rPr>
      </w:pPr>
      <w:r>
        <w:rPr>
          <w:rFonts w:hint="eastAsia" w:ascii="宋体" w:hAnsi="宋体" w:eastAsia="宋体" w:cs="宋体"/>
          <w:color w:val="000000" w:themeColor="text1"/>
          <w:sz w:val="24"/>
          <w:szCs w:val="24"/>
          <w:highlight w:val="none"/>
          <w:lang w:val="en-US"/>
          <w14:textFill>
            <w14:solidFill>
              <w14:schemeClr w14:val="tx1"/>
            </w14:solidFill>
          </w14:textFill>
        </w:rPr>
        <w:t>项目最高限价：</w:t>
      </w:r>
      <w:r>
        <w:rPr>
          <w:rFonts w:hint="eastAsia" w:ascii="宋体" w:hAnsi="宋体" w:eastAsia="宋体" w:cs="宋体"/>
          <w:color w:val="000000" w:themeColor="text1"/>
          <w:sz w:val="24"/>
          <w:szCs w:val="24"/>
          <w:highlight w:val="none"/>
          <w:u w:val="single"/>
          <w:lang w:val="en-US" w:eastAsia="zh-CN"/>
          <w14:textFill>
            <w14:solidFill>
              <w14:schemeClr w14:val="tx1"/>
            </w14:solidFill>
          </w14:textFill>
        </w:rPr>
        <w:t>4017.9200</w:t>
      </w:r>
      <w:r>
        <w:rPr>
          <w:rFonts w:hint="eastAsia" w:ascii="宋体" w:hAnsi="宋体" w:eastAsia="宋体" w:cs="宋体"/>
          <w:color w:val="000000" w:themeColor="text1"/>
          <w:sz w:val="24"/>
          <w:szCs w:val="24"/>
          <w:highlight w:val="none"/>
          <w:lang w:val="en-US"/>
          <w14:textFill>
            <w14:solidFill>
              <w14:schemeClr w14:val="tx1"/>
            </w14:solidFill>
          </w14:textFill>
        </w:rPr>
        <w:t>万元，</w:t>
      </w:r>
      <w:r>
        <w:rPr>
          <w:rFonts w:hint="eastAsia" w:ascii="宋体" w:hAnsi="宋体" w:eastAsia="宋体" w:cs="宋体"/>
          <w:b/>
          <w:bCs/>
          <w:color w:val="000000" w:themeColor="text1"/>
          <w:sz w:val="24"/>
          <w:szCs w:val="24"/>
          <w:highlight w:val="none"/>
          <w:lang w:val="en-US"/>
          <w14:textFill>
            <w14:solidFill>
              <w14:schemeClr w14:val="tx1"/>
            </w14:solidFill>
          </w14:textFill>
        </w:rPr>
        <w:t>第1年暂按日处理污水量1</w:t>
      </w:r>
      <w:r>
        <w:rPr>
          <w:rFonts w:ascii="宋体" w:hAnsi="宋体" w:eastAsia="宋体" w:cs="宋体"/>
          <w:b/>
          <w:bCs/>
          <w:color w:val="000000" w:themeColor="text1"/>
          <w:sz w:val="24"/>
          <w:szCs w:val="24"/>
          <w:highlight w:val="none"/>
          <w:lang w:val="en-US"/>
          <w14:textFill>
            <w14:solidFill>
              <w14:schemeClr w14:val="tx1"/>
            </w14:solidFill>
          </w14:textFill>
        </w:rPr>
        <w:t>0000</w:t>
      </w:r>
      <w:r>
        <w:rPr>
          <w:rFonts w:hint="eastAsia" w:ascii="宋体" w:hAnsi="宋体" w:eastAsia="宋体" w:cs="宋体"/>
          <w:b/>
          <w:bCs/>
          <w:color w:val="000000" w:themeColor="text1"/>
          <w:sz w:val="24"/>
          <w:szCs w:val="24"/>
          <w:highlight w:val="none"/>
          <w:lang w:val="en-US"/>
          <w14:textFill>
            <w14:solidFill>
              <w14:schemeClr w14:val="tx1"/>
            </w14:solidFill>
          </w14:textFill>
        </w:rPr>
        <w:t>吨预计，第二年及第三年暂按日处理污水量15000吨预计。</w:t>
      </w:r>
      <w:r>
        <w:rPr>
          <w:rFonts w:hint="eastAsia" w:ascii="宋体" w:hAnsi="宋体" w:eastAsia="宋体" w:cs="宋体"/>
          <w:b/>
          <w:bCs/>
          <w:color w:val="000000" w:themeColor="text1"/>
          <w:spacing w:val="-6"/>
          <w:sz w:val="24"/>
          <w:szCs w:val="24"/>
          <w:highlight w:val="none"/>
          <w:lang w:val="en-US"/>
          <w14:textFill>
            <w14:solidFill>
              <w14:schemeClr w14:val="tx1"/>
            </w14:solidFill>
          </w14:textFill>
        </w:rPr>
        <w:t>（如遇</w:t>
      </w:r>
      <w:r>
        <w:rPr>
          <w:rFonts w:hint="eastAsia" w:ascii="宋体" w:hAnsi="宋体" w:eastAsia="宋体" w:cs="宋体"/>
          <w:b/>
          <w:bCs/>
          <w:color w:val="000000" w:themeColor="text1"/>
          <w:spacing w:val="-6"/>
          <w:sz w:val="24"/>
          <w:szCs w:val="24"/>
          <w:highlight w:val="none"/>
          <w:lang w:val="en-US" w:eastAsia="zh-CN"/>
          <w14:textFill>
            <w14:solidFill>
              <w14:schemeClr w14:val="tx1"/>
            </w14:solidFill>
          </w14:textFill>
        </w:rPr>
        <w:t>月</w:t>
      </w:r>
      <w:r>
        <w:rPr>
          <w:rFonts w:hint="eastAsia" w:ascii="宋体" w:hAnsi="宋体" w:eastAsia="宋体" w:cs="宋体"/>
          <w:b/>
          <w:bCs/>
          <w:color w:val="000000" w:themeColor="text1"/>
          <w:spacing w:val="-6"/>
          <w:sz w:val="24"/>
          <w:szCs w:val="24"/>
          <w:highlight w:val="none"/>
          <w:lang w:val="en-US"/>
          <w14:textFill>
            <w14:solidFill>
              <w14:schemeClr w14:val="tx1"/>
            </w14:solidFill>
          </w14:textFill>
        </w:rPr>
        <w:t>度实际污水处理量折算至每日低于3000吨的，以每日3000吨计算保底水量）。</w:t>
      </w:r>
    </w:p>
    <w:p>
      <w:pPr>
        <w:pStyle w:val="239"/>
        <w:keepNext w:val="0"/>
        <w:keepLines w:val="0"/>
        <w:pageBreakBefore w:val="0"/>
        <w:widowControl w:val="0"/>
        <w:numPr>
          <w:ilvl w:val="-1"/>
          <w:numId w:val="0"/>
        </w:numPr>
        <w:tabs>
          <w:tab w:val="left" w:pos="945"/>
        </w:tabs>
        <w:kinsoku/>
        <w:wordWrap/>
        <w:overflowPunct/>
        <w:topLinePunct w:val="0"/>
        <w:bidi w:val="0"/>
        <w:snapToGrid/>
        <w:spacing w:line="440" w:lineRule="exact"/>
        <w:ind w:left="580" w:leftChars="0" w:right="-1144" w:rightChars="-400" w:firstLine="0" w:firstLineChars="0"/>
        <w:textAlignment w:val="auto"/>
        <w:rPr>
          <w:rFonts w:ascii="宋体" w:hAnsi="宋体" w:cs="宋体"/>
          <w:bCs/>
          <w:color w:val="000000" w:themeColor="text1"/>
          <w:spacing w:val="-11"/>
          <w:sz w:val="24"/>
          <w:szCs w:val="24"/>
          <w:highlight w:val="none"/>
          <w14:textFill>
            <w14:solidFill>
              <w14:schemeClr w14:val="tx1"/>
            </w14:solidFill>
          </w14:textFill>
        </w:rPr>
      </w:pPr>
      <w:r>
        <w:rPr>
          <w:rFonts w:hint="eastAsia" w:ascii="宋体" w:hAnsi="宋体" w:cs="宋体"/>
          <w:bCs/>
          <w:color w:val="000000" w:themeColor="text1"/>
          <w:spacing w:val="-11"/>
          <w:sz w:val="24"/>
          <w:szCs w:val="24"/>
          <w:highlight w:val="none"/>
          <w14:textFill>
            <w14:solidFill>
              <w14:schemeClr w14:val="tx1"/>
            </w14:solidFill>
          </w14:textFill>
        </w:rPr>
        <w:t>日处理污水量 3000吨（含）-</w:t>
      </w:r>
      <w:r>
        <w:rPr>
          <w:rFonts w:ascii="宋体" w:hAnsi="宋体" w:cs="宋体"/>
          <w:bCs/>
          <w:color w:val="000000" w:themeColor="text1"/>
          <w:spacing w:val="-11"/>
          <w:sz w:val="24"/>
          <w:szCs w:val="24"/>
          <w:highlight w:val="none"/>
          <w14:textFill>
            <w14:solidFill>
              <w14:schemeClr w14:val="tx1"/>
            </w14:solidFill>
          </w14:textFill>
        </w:rPr>
        <w:t>5</w:t>
      </w:r>
      <w:r>
        <w:rPr>
          <w:rFonts w:hint="eastAsia" w:ascii="宋体" w:hAnsi="宋体" w:cs="宋体"/>
          <w:bCs/>
          <w:color w:val="000000" w:themeColor="text1"/>
          <w:spacing w:val="-11"/>
          <w:sz w:val="24"/>
          <w:szCs w:val="24"/>
          <w:highlight w:val="none"/>
          <w14:textFill>
            <w14:solidFill>
              <w14:schemeClr w14:val="tx1"/>
            </w14:solidFill>
          </w14:textFill>
        </w:rPr>
        <w:t>000吨（含），全费用综合单价最高限价</w:t>
      </w:r>
      <w:r>
        <w:rPr>
          <w:rFonts w:hint="eastAsia" w:ascii="宋体" w:hAnsi="宋体" w:cs="宋体"/>
          <w:bCs/>
          <w:color w:val="000000" w:themeColor="text1"/>
          <w:spacing w:val="-11"/>
          <w:sz w:val="24"/>
          <w:szCs w:val="24"/>
          <w:highlight w:val="none"/>
          <w:u w:val="single"/>
          <w14:textFill>
            <w14:solidFill>
              <w14:schemeClr w14:val="tx1"/>
            </w14:solidFill>
          </w14:textFill>
        </w:rPr>
        <w:t xml:space="preserve"> </w:t>
      </w:r>
      <w:r>
        <w:rPr>
          <w:rFonts w:ascii="宋体" w:hAnsi="宋体" w:cs="宋体"/>
          <w:bCs/>
          <w:color w:val="000000" w:themeColor="text1"/>
          <w:spacing w:val="-11"/>
          <w:sz w:val="24"/>
          <w:szCs w:val="24"/>
          <w:highlight w:val="none"/>
          <w:u w:val="single"/>
          <w14:textFill>
            <w14:solidFill>
              <w14:schemeClr w14:val="tx1"/>
            </w14:solidFill>
          </w14:textFill>
        </w:rPr>
        <w:t>4.452</w:t>
      </w:r>
      <w:r>
        <w:rPr>
          <w:rFonts w:hint="eastAsia" w:ascii="宋体" w:hAnsi="宋体" w:cs="宋体"/>
          <w:bCs/>
          <w:color w:val="000000" w:themeColor="text1"/>
          <w:spacing w:val="-11"/>
          <w:sz w:val="24"/>
          <w:szCs w:val="24"/>
          <w:highlight w:val="none"/>
          <w:u w:val="single"/>
          <w14:textFill>
            <w14:solidFill>
              <w14:schemeClr w14:val="tx1"/>
            </w14:solidFill>
          </w14:textFill>
        </w:rPr>
        <w:t xml:space="preserve"> </w:t>
      </w:r>
      <w:r>
        <w:rPr>
          <w:rFonts w:hint="eastAsia" w:ascii="宋体" w:hAnsi="宋体" w:cs="宋体"/>
          <w:bCs/>
          <w:color w:val="000000" w:themeColor="text1"/>
          <w:spacing w:val="-11"/>
          <w:sz w:val="24"/>
          <w:szCs w:val="24"/>
          <w:highlight w:val="none"/>
          <w14:textFill>
            <w14:solidFill>
              <w14:schemeClr w14:val="tx1"/>
            </w14:solidFill>
          </w14:textFill>
        </w:rPr>
        <w:t>元/立方米；</w:t>
      </w:r>
    </w:p>
    <w:p>
      <w:pPr>
        <w:pStyle w:val="239"/>
        <w:keepNext w:val="0"/>
        <w:keepLines w:val="0"/>
        <w:pageBreakBefore w:val="0"/>
        <w:numPr>
          <w:ilvl w:val="0"/>
          <w:numId w:val="0"/>
        </w:numPr>
        <w:tabs>
          <w:tab w:val="left" w:pos="945"/>
        </w:tabs>
        <w:kinsoku/>
        <w:wordWrap/>
        <w:overflowPunct/>
        <w:topLinePunct w:val="0"/>
        <w:bidi w:val="0"/>
        <w:snapToGrid/>
        <w:spacing w:line="440" w:lineRule="exact"/>
        <w:ind w:left="580" w:leftChars="0" w:right="-1144" w:rightChars="-400" w:firstLine="0" w:firstLineChars="0"/>
        <w:textAlignment w:val="auto"/>
        <w:rPr>
          <w:rFonts w:hint="eastAsia" w:ascii="宋体" w:hAnsi="宋体" w:cs="宋体"/>
          <w:bCs/>
          <w:color w:val="000000" w:themeColor="text1"/>
          <w:spacing w:val="-11"/>
          <w:sz w:val="24"/>
          <w:szCs w:val="24"/>
          <w:highlight w:val="none"/>
          <w14:textFill>
            <w14:solidFill>
              <w14:schemeClr w14:val="tx1"/>
            </w14:solidFill>
          </w14:textFill>
        </w:rPr>
      </w:pPr>
      <w:r>
        <w:rPr>
          <w:rFonts w:hint="eastAsia" w:ascii="宋体" w:hAnsi="宋体" w:cs="宋体"/>
          <w:bCs/>
          <w:color w:val="000000" w:themeColor="text1"/>
          <w:spacing w:val="-11"/>
          <w:sz w:val="24"/>
          <w:szCs w:val="24"/>
          <w:highlight w:val="none"/>
          <w14:textFill>
            <w14:solidFill>
              <w14:schemeClr w14:val="tx1"/>
            </w14:solidFill>
          </w14:textFill>
        </w:rPr>
        <w:t xml:space="preserve">日处理污水量 </w:t>
      </w:r>
      <w:r>
        <w:rPr>
          <w:rFonts w:ascii="宋体" w:hAnsi="宋体" w:cs="宋体"/>
          <w:bCs/>
          <w:color w:val="000000" w:themeColor="text1"/>
          <w:spacing w:val="-11"/>
          <w:sz w:val="24"/>
          <w:szCs w:val="24"/>
          <w:highlight w:val="none"/>
          <w14:textFill>
            <w14:solidFill>
              <w14:schemeClr w14:val="tx1"/>
            </w14:solidFill>
          </w14:textFill>
        </w:rPr>
        <w:t>5</w:t>
      </w:r>
      <w:r>
        <w:rPr>
          <w:rFonts w:hint="eastAsia" w:ascii="宋体" w:hAnsi="宋体" w:cs="宋体"/>
          <w:bCs/>
          <w:color w:val="000000" w:themeColor="text1"/>
          <w:spacing w:val="-11"/>
          <w:sz w:val="24"/>
          <w:szCs w:val="24"/>
          <w:highlight w:val="none"/>
          <w14:textFill>
            <w14:solidFill>
              <w14:schemeClr w14:val="tx1"/>
            </w14:solidFill>
          </w14:textFill>
        </w:rPr>
        <w:t>000吨（</w:t>
      </w:r>
      <w:r>
        <w:rPr>
          <w:rFonts w:hint="eastAsia" w:ascii="宋体" w:hAnsi="宋体" w:cs="宋体"/>
          <w:bCs/>
          <w:color w:val="000000" w:themeColor="text1"/>
          <w:spacing w:val="-11"/>
          <w:sz w:val="24"/>
          <w:szCs w:val="24"/>
          <w:highlight w:val="none"/>
          <w:lang w:val="en-US" w:eastAsia="zh-CN"/>
          <w14:textFill>
            <w14:solidFill>
              <w14:schemeClr w14:val="tx1"/>
            </w14:solidFill>
          </w14:textFill>
        </w:rPr>
        <w:t>不</w:t>
      </w:r>
      <w:r>
        <w:rPr>
          <w:rFonts w:hint="eastAsia" w:ascii="宋体" w:hAnsi="宋体" w:cs="宋体"/>
          <w:bCs/>
          <w:color w:val="000000" w:themeColor="text1"/>
          <w:spacing w:val="-11"/>
          <w:sz w:val="24"/>
          <w:szCs w:val="24"/>
          <w:highlight w:val="none"/>
          <w14:textFill>
            <w14:solidFill>
              <w14:schemeClr w14:val="tx1"/>
            </w14:solidFill>
          </w14:textFill>
        </w:rPr>
        <w:t>含）-</w:t>
      </w:r>
      <w:r>
        <w:rPr>
          <w:rFonts w:ascii="宋体" w:hAnsi="宋体" w:cs="宋体"/>
          <w:bCs/>
          <w:color w:val="000000" w:themeColor="text1"/>
          <w:spacing w:val="-11"/>
          <w:sz w:val="24"/>
          <w:szCs w:val="24"/>
          <w:highlight w:val="none"/>
          <w14:textFill>
            <w14:solidFill>
              <w14:schemeClr w14:val="tx1"/>
            </w14:solidFill>
          </w14:textFill>
        </w:rPr>
        <w:t>10</w:t>
      </w:r>
      <w:r>
        <w:rPr>
          <w:rFonts w:hint="eastAsia" w:ascii="宋体" w:hAnsi="宋体" w:cs="宋体"/>
          <w:bCs/>
          <w:color w:val="000000" w:themeColor="text1"/>
          <w:spacing w:val="-11"/>
          <w:sz w:val="24"/>
          <w:szCs w:val="24"/>
          <w:highlight w:val="none"/>
          <w14:textFill>
            <w14:solidFill>
              <w14:schemeClr w14:val="tx1"/>
            </w14:solidFill>
          </w14:textFill>
        </w:rPr>
        <w:t>000吨（含），全费用综合单价最高限价</w:t>
      </w:r>
      <w:r>
        <w:rPr>
          <w:rFonts w:hint="eastAsia" w:ascii="宋体" w:hAnsi="宋体" w:cs="宋体"/>
          <w:bCs/>
          <w:color w:val="000000" w:themeColor="text1"/>
          <w:spacing w:val="-11"/>
          <w:sz w:val="24"/>
          <w:szCs w:val="24"/>
          <w:highlight w:val="none"/>
          <w:u w:val="single"/>
          <w14:textFill>
            <w14:solidFill>
              <w14:schemeClr w14:val="tx1"/>
            </w14:solidFill>
          </w14:textFill>
        </w:rPr>
        <w:t xml:space="preserve">  </w:t>
      </w:r>
      <w:r>
        <w:rPr>
          <w:rFonts w:ascii="宋体" w:hAnsi="宋体" w:cs="宋体"/>
          <w:bCs/>
          <w:color w:val="000000" w:themeColor="text1"/>
          <w:spacing w:val="-11"/>
          <w:sz w:val="24"/>
          <w:szCs w:val="24"/>
          <w:highlight w:val="none"/>
          <w:u w:val="single"/>
          <w14:textFill>
            <w14:solidFill>
              <w14:schemeClr w14:val="tx1"/>
            </w14:solidFill>
          </w14:textFill>
        </w:rPr>
        <w:t>3.118</w:t>
      </w:r>
      <w:r>
        <w:rPr>
          <w:rFonts w:hint="eastAsia" w:ascii="宋体" w:hAnsi="宋体" w:cs="宋体"/>
          <w:bCs/>
          <w:color w:val="000000" w:themeColor="text1"/>
          <w:spacing w:val="-11"/>
          <w:sz w:val="24"/>
          <w:szCs w:val="24"/>
          <w:highlight w:val="none"/>
          <w:u w:val="single"/>
          <w14:textFill>
            <w14:solidFill>
              <w14:schemeClr w14:val="tx1"/>
            </w14:solidFill>
          </w14:textFill>
        </w:rPr>
        <w:t xml:space="preserve">   </w:t>
      </w:r>
      <w:r>
        <w:rPr>
          <w:rFonts w:hint="eastAsia" w:ascii="宋体" w:hAnsi="宋体" w:cs="宋体"/>
          <w:bCs/>
          <w:color w:val="000000" w:themeColor="text1"/>
          <w:spacing w:val="-11"/>
          <w:sz w:val="24"/>
          <w:szCs w:val="24"/>
          <w:highlight w:val="none"/>
          <w14:textFill>
            <w14:solidFill>
              <w14:schemeClr w14:val="tx1"/>
            </w14:solidFill>
          </w14:textFill>
        </w:rPr>
        <w:t>元/立方米；</w:t>
      </w:r>
    </w:p>
    <w:p>
      <w:pPr>
        <w:pStyle w:val="239"/>
        <w:keepNext w:val="0"/>
        <w:keepLines w:val="0"/>
        <w:pageBreakBefore w:val="0"/>
        <w:numPr>
          <w:ilvl w:val="0"/>
          <w:numId w:val="0"/>
        </w:numPr>
        <w:tabs>
          <w:tab w:val="left" w:pos="945"/>
        </w:tabs>
        <w:kinsoku/>
        <w:wordWrap/>
        <w:overflowPunct/>
        <w:topLinePunct w:val="0"/>
        <w:bidi w:val="0"/>
        <w:snapToGrid/>
        <w:spacing w:line="440" w:lineRule="exact"/>
        <w:ind w:left="580" w:leftChars="0" w:right="-1144" w:rightChars="-400" w:firstLine="0" w:firstLineChars="0"/>
        <w:textAlignment w:val="auto"/>
        <w:rPr>
          <w:rFonts w:hint="eastAsia" w:ascii="宋体" w:hAnsi="宋体" w:cs="宋体"/>
          <w:bCs/>
          <w:color w:val="000000" w:themeColor="text1"/>
          <w:spacing w:val="-11"/>
          <w:sz w:val="24"/>
          <w:szCs w:val="24"/>
          <w:highlight w:val="none"/>
          <w14:textFill>
            <w14:solidFill>
              <w14:schemeClr w14:val="tx1"/>
            </w14:solidFill>
          </w14:textFill>
        </w:rPr>
      </w:pPr>
      <w:r>
        <w:rPr>
          <w:rFonts w:hint="eastAsia" w:ascii="宋体" w:hAnsi="宋体" w:cs="宋体"/>
          <w:bCs/>
          <w:color w:val="000000" w:themeColor="text1"/>
          <w:spacing w:val="-11"/>
          <w:sz w:val="24"/>
          <w:szCs w:val="24"/>
          <w:highlight w:val="none"/>
          <w14:textFill>
            <w14:solidFill>
              <w14:schemeClr w14:val="tx1"/>
            </w14:solidFill>
          </w14:textFill>
        </w:rPr>
        <w:t xml:space="preserve">日处理污水量 </w:t>
      </w:r>
      <w:r>
        <w:rPr>
          <w:rFonts w:ascii="宋体" w:hAnsi="宋体" w:cs="宋体"/>
          <w:bCs/>
          <w:color w:val="000000" w:themeColor="text1"/>
          <w:spacing w:val="-11"/>
          <w:sz w:val="24"/>
          <w:szCs w:val="24"/>
          <w:highlight w:val="none"/>
          <w14:textFill>
            <w14:solidFill>
              <w14:schemeClr w14:val="tx1"/>
            </w14:solidFill>
          </w14:textFill>
        </w:rPr>
        <w:t>10</w:t>
      </w:r>
      <w:r>
        <w:rPr>
          <w:rFonts w:hint="eastAsia" w:ascii="宋体" w:hAnsi="宋体" w:cs="宋体"/>
          <w:bCs/>
          <w:color w:val="000000" w:themeColor="text1"/>
          <w:spacing w:val="-11"/>
          <w:sz w:val="24"/>
          <w:szCs w:val="24"/>
          <w:highlight w:val="none"/>
          <w14:textFill>
            <w14:solidFill>
              <w14:schemeClr w14:val="tx1"/>
            </w14:solidFill>
          </w14:textFill>
        </w:rPr>
        <w:t>000吨（</w:t>
      </w:r>
      <w:r>
        <w:rPr>
          <w:rFonts w:hint="eastAsia" w:ascii="宋体" w:hAnsi="宋体" w:cs="宋体"/>
          <w:bCs/>
          <w:color w:val="000000" w:themeColor="text1"/>
          <w:spacing w:val="-11"/>
          <w:sz w:val="24"/>
          <w:szCs w:val="24"/>
          <w:highlight w:val="none"/>
          <w:lang w:val="en-US" w:eastAsia="zh-CN"/>
          <w14:textFill>
            <w14:solidFill>
              <w14:schemeClr w14:val="tx1"/>
            </w14:solidFill>
          </w14:textFill>
        </w:rPr>
        <w:t>不</w:t>
      </w:r>
      <w:r>
        <w:rPr>
          <w:rFonts w:hint="eastAsia" w:ascii="宋体" w:hAnsi="宋体" w:cs="宋体"/>
          <w:bCs/>
          <w:color w:val="000000" w:themeColor="text1"/>
          <w:spacing w:val="-11"/>
          <w:sz w:val="24"/>
          <w:szCs w:val="24"/>
          <w:highlight w:val="none"/>
          <w14:textFill>
            <w14:solidFill>
              <w14:schemeClr w14:val="tx1"/>
            </w14:solidFill>
          </w14:textFill>
        </w:rPr>
        <w:t>含）-1</w:t>
      </w:r>
      <w:r>
        <w:rPr>
          <w:rFonts w:ascii="宋体" w:hAnsi="宋体" w:cs="宋体"/>
          <w:bCs/>
          <w:color w:val="000000" w:themeColor="text1"/>
          <w:spacing w:val="-11"/>
          <w:sz w:val="24"/>
          <w:szCs w:val="24"/>
          <w:highlight w:val="none"/>
          <w14:textFill>
            <w14:solidFill>
              <w14:schemeClr w14:val="tx1"/>
            </w14:solidFill>
          </w14:textFill>
        </w:rPr>
        <w:t>5</w:t>
      </w:r>
      <w:r>
        <w:rPr>
          <w:rFonts w:hint="eastAsia" w:ascii="宋体" w:hAnsi="宋体" w:cs="宋体"/>
          <w:bCs/>
          <w:color w:val="000000" w:themeColor="text1"/>
          <w:spacing w:val="-11"/>
          <w:sz w:val="24"/>
          <w:szCs w:val="24"/>
          <w:highlight w:val="none"/>
          <w14:textFill>
            <w14:solidFill>
              <w14:schemeClr w14:val="tx1"/>
            </w14:solidFill>
          </w14:textFill>
        </w:rPr>
        <w:t>000吨（含），全费用综合单价最高限价</w:t>
      </w:r>
      <w:r>
        <w:rPr>
          <w:rFonts w:hint="eastAsia" w:ascii="宋体" w:hAnsi="宋体" w:cs="宋体"/>
          <w:bCs/>
          <w:color w:val="000000" w:themeColor="text1"/>
          <w:spacing w:val="-11"/>
          <w:sz w:val="24"/>
          <w:szCs w:val="24"/>
          <w:highlight w:val="none"/>
          <w:u w:val="single"/>
          <w14:textFill>
            <w14:solidFill>
              <w14:schemeClr w14:val="tx1"/>
            </w14:solidFill>
          </w14:textFill>
        </w:rPr>
        <w:t xml:space="preserve">  </w:t>
      </w:r>
      <w:r>
        <w:rPr>
          <w:rFonts w:ascii="宋体" w:hAnsi="宋体" w:cs="宋体"/>
          <w:bCs/>
          <w:color w:val="000000" w:themeColor="text1"/>
          <w:spacing w:val="-11"/>
          <w:sz w:val="24"/>
          <w:szCs w:val="24"/>
          <w:highlight w:val="none"/>
          <w:u w:val="single"/>
          <w14:textFill>
            <w14:solidFill>
              <w14:schemeClr w14:val="tx1"/>
            </w14:solidFill>
          </w14:textFill>
        </w:rPr>
        <w:t>2.630</w:t>
      </w:r>
      <w:r>
        <w:rPr>
          <w:rFonts w:hint="eastAsia" w:ascii="宋体" w:hAnsi="宋体" w:cs="宋体"/>
          <w:bCs/>
          <w:color w:val="000000" w:themeColor="text1"/>
          <w:spacing w:val="-11"/>
          <w:sz w:val="24"/>
          <w:szCs w:val="24"/>
          <w:highlight w:val="none"/>
          <w14:textFill>
            <w14:solidFill>
              <w14:schemeClr w14:val="tx1"/>
            </w14:solidFill>
          </w14:textFill>
        </w:rPr>
        <w:t>元/立方米；</w:t>
      </w:r>
    </w:p>
    <w:p>
      <w:pPr>
        <w:pStyle w:val="239"/>
        <w:keepNext w:val="0"/>
        <w:keepLines w:val="0"/>
        <w:pageBreakBefore w:val="0"/>
        <w:numPr>
          <w:ilvl w:val="0"/>
          <w:numId w:val="0"/>
        </w:numPr>
        <w:tabs>
          <w:tab w:val="left" w:pos="945"/>
        </w:tabs>
        <w:kinsoku/>
        <w:wordWrap/>
        <w:overflowPunct/>
        <w:topLinePunct w:val="0"/>
        <w:bidi w:val="0"/>
        <w:snapToGrid/>
        <w:spacing w:line="440" w:lineRule="exact"/>
        <w:ind w:left="580" w:leftChars="0" w:right="-1144" w:rightChars="-400" w:firstLine="0" w:firstLineChars="0"/>
        <w:textAlignment w:val="auto"/>
        <w:rPr>
          <w:rFonts w:hint="default" w:ascii="宋体" w:hAnsi="宋体" w:eastAsia="宋体" w:cs="宋体"/>
          <w:bCs/>
          <w:color w:val="000000" w:themeColor="text1"/>
          <w:spacing w:val="-11"/>
          <w:sz w:val="24"/>
          <w:szCs w:val="24"/>
          <w:highlight w:val="none"/>
          <w:lang w:val="en-US" w:eastAsia="zh-CN"/>
          <w14:textFill>
            <w14:solidFill>
              <w14:schemeClr w14:val="tx1"/>
            </w14:solidFill>
          </w14:textFill>
        </w:rPr>
      </w:pPr>
      <w:r>
        <w:rPr>
          <w:rFonts w:hint="eastAsia" w:ascii="宋体" w:hAnsi="宋体" w:cs="宋体"/>
          <w:bCs/>
          <w:color w:val="000000" w:themeColor="text1"/>
          <w:spacing w:val="-11"/>
          <w:sz w:val="24"/>
          <w:szCs w:val="24"/>
          <w:highlight w:val="none"/>
          <w:lang w:val="en-US" w:eastAsia="zh-CN"/>
          <w14:textFill>
            <w14:solidFill>
              <w14:schemeClr w14:val="tx1"/>
            </w14:solidFill>
          </w14:textFill>
        </w:rPr>
        <w:t>计算方式：3.118*10000*365+2.63*15000*365*2=40179200元。（以上费用均为含税价）</w:t>
      </w:r>
    </w:p>
    <w:p>
      <w:pPr>
        <w:pStyle w:val="19"/>
        <w:keepNext w:val="0"/>
        <w:keepLines w:val="0"/>
        <w:pageBreakBefore w:val="0"/>
        <w:kinsoku/>
        <w:wordWrap/>
        <w:overflowPunct/>
        <w:topLinePunct w:val="0"/>
        <w:bidi w:val="0"/>
        <w:snapToGrid/>
        <w:spacing w:line="440" w:lineRule="exact"/>
        <w:ind w:firstLine="492" w:firstLineChars="200"/>
        <w:textAlignment w:val="auto"/>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p>
    <w:p>
      <w:pPr>
        <w:pStyle w:val="19"/>
        <w:keepNext w:val="0"/>
        <w:keepLines w:val="0"/>
        <w:pageBreakBefore w:val="0"/>
        <w:kinsoku/>
        <w:wordWrap/>
        <w:overflowPunct/>
        <w:topLinePunct w:val="0"/>
        <w:bidi w:val="0"/>
        <w:snapToGrid/>
        <w:spacing w:line="430" w:lineRule="exact"/>
        <w:ind w:firstLine="492" w:firstLineChars="200"/>
        <w:textAlignment w:val="auto"/>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color w:val="000000" w:themeColor="text1"/>
          <w:kern w:val="2"/>
          <w:sz w:val="24"/>
          <w:szCs w:val="24"/>
          <w:highlight w:val="none"/>
          <w:lang w:val="en-US" w:eastAsia="zh-CN" w:bidi="ar-SA"/>
          <w14:textFill>
            <w14:solidFill>
              <w14:schemeClr w14:val="tx1"/>
            </w14:solidFill>
          </w14:textFill>
        </w:rPr>
        <w:t>服务费支付：</w:t>
      </w:r>
    </w:p>
    <w:p>
      <w:pPr>
        <w:pStyle w:val="19"/>
        <w:keepNext w:val="0"/>
        <w:keepLines w:val="0"/>
        <w:pageBreakBefore w:val="0"/>
        <w:numPr>
          <w:ilvl w:val="0"/>
          <w:numId w:val="17"/>
        </w:numPr>
        <w:kinsoku/>
        <w:wordWrap/>
        <w:overflowPunct/>
        <w:topLinePunct w:val="0"/>
        <w:bidi w:val="0"/>
        <w:snapToGrid/>
        <w:spacing w:line="430" w:lineRule="exact"/>
        <w:ind w:firstLine="468" w:firstLineChars="20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pacing w:val="-6"/>
          <w:sz w:val="24"/>
          <w:szCs w:val="24"/>
          <w:highlight w:val="none"/>
          <w:lang w:val="en-US" w:eastAsia="zh-CN"/>
          <w14:textFill>
            <w14:solidFill>
              <w14:schemeClr w14:val="tx1"/>
            </w14:solidFill>
          </w14:textFill>
        </w:rPr>
        <w:t>本项目服务费每半年付一次，</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最终结算</w:t>
      </w:r>
      <w:r>
        <w:rPr>
          <w:rFonts w:hint="eastAsia" w:ascii="宋体" w:hAnsi="宋体" w:eastAsia="宋体" w:cs="宋体"/>
          <w:b w:val="0"/>
          <w:bCs w:val="0"/>
          <w:color w:val="000000" w:themeColor="text1"/>
          <w:spacing w:val="-6"/>
          <w:sz w:val="24"/>
          <w:szCs w:val="24"/>
          <w:highlight w:val="none"/>
          <w:lang w:val="en-US"/>
          <w14:textFill>
            <w14:solidFill>
              <w14:schemeClr w14:val="tx1"/>
            </w14:solidFill>
          </w14:textFill>
        </w:rPr>
        <w:t>按每月日处理污水量对应单价计价，</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每年前6个月的费用于第7个月月底前根据考核情况予以支付；后6个月的</w:t>
      </w:r>
      <w:r>
        <w:rPr>
          <w:rFonts w:hint="eastAsia" w:ascii="宋体" w:hAnsi="宋体" w:eastAsia="宋体" w:cs="宋体"/>
          <w:b w:val="0"/>
          <w:bCs w:val="0"/>
          <w:color w:val="000000" w:themeColor="text1"/>
          <w:spacing w:val="-6"/>
          <w:sz w:val="24"/>
          <w:szCs w:val="24"/>
          <w:highlight w:val="none"/>
          <w:lang w:val="en-US"/>
          <w14:textFill>
            <w14:solidFill>
              <w14:schemeClr w14:val="tx1"/>
            </w14:solidFill>
          </w14:textFill>
        </w:rPr>
        <w:t>费用</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于次年第一个月月底前</w:t>
      </w:r>
      <w:r>
        <w:rPr>
          <w:rFonts w:hint="eastAsia" w:ascii="宋体" w:hAnsi="宋体" w:eastAsia="宋体" w:cs="宋体"/>
          <w:b w:val="0"/>
          <w:bCs w:val="0"/>
          <w:color w:val="000000" w:themeColor="text1"/>
          <w:spacing w:val="-6"/>
          <w:sz w:val="24"/>
          <w:szCs w:val="24"/>
          <w:highlight w:val="none"/>
          <w:lang w:val="en-US"/>
          <w14:textFill>
            <w14:solidFill>
              <w14:schemeClr w14:val="tx1"/>
            </w14:solidFill>
          </w14:textFill>
        </w:rPr>
        <w:t>根据</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考核情况予以支付。</w:t>
      </w:r>
    </w:p>
    <w:p>
      <w:pPr>
        <w:pStyle w:val="19"/>
        <w:keepNext w:val="0"/>
        <w:keepLines w:val="0"/>
        <w:pageBreakBefore w:val="0"/>
        <w:kinsoku/>
        <w:wordWrap/>
        <w:overflowPunct/>
        <w:topLinePunct w:val="0"/>
        <w:bidi w:val="0"/>
        <w:snapToGrid/>
        <w:spacing w:line="430" w:lineRule="exact"/>
        <w:ind w:firstLine="468" w:firstLineChars="200"/>
        <w:textAlignment w:val="auto"/>
        <w:rPr>
          <w:rFonts w:hint="default" w:ascii="宋体" w:hAnsi="宋体" w:eastAsia="宋体" w:cs="宋体"/>
          <w:b/>
          <w:bCs/>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2、甲方根据考核结果对服务费用进行拨付。季度考核总分在达标分90分（含）以上的，全额拨付当期服务费用；季度考核总分在达标分90分（不含）以下的，则扣除相应的服务费用；服务费用核拨将根据季度考核结果进行，考核优秀的全额拨付服务费用，其余酌情进行核减，</w:t>
      </w:r>
      <w:r>
        <w:rPr>
          <w:rFonts w:hint="eastAsia" w:ascii="宋体" w:hAnsi="宋体" w:eastAsia="宋体" w:cs="宋体"/>
          <w:b/>
          <w:bCs/>
          <w:color w:val="000000" w:themeColor="text1"/>
          <w:spacing w:val="-6"/>
          <w:sz w:val="24"/>
          <w:szCs w:val="24"/>
          <w:highlight w:val="none"/>
          <w:lang w:val="en-US" w:eastAsia="zh-CN"/>
          <w14:textFill>
            <w14:solidFill>
              <w14:schemeClr w14:val="tx1"/>
            </w14:solidFill>
          </w14:textFill>
        </w:rPr>
        <w:t>具体核减标准如下：</w:t>
      </w:r>
    </w:p>
    <w:p>
      <w:pPr>
        <w:pStyle w:val="19"/>
        <w:keepNext w:val="0"/>
        <w:keepLines w:val="0"/>
        <w:pageBreakBefore w:val="0"/>
        <w:kinsoku/>
        <w:wordWrap/>
        <w:overflowPunct/>
        <w:topLinePunct w:val="0"/>
        <w:bidi w:val="0"/>
        <w:snapToGrid/>
        <w:spacing w:line="430" w:lineRule="exact"/>
        <w:ind w:firstLine="468" w:firstLineChars="200"/>
        <w:textAlignment w:val="auto"/>
        <w:rPr>
          <w:rFonts w:hint="default" w:ascii="宋体" w:hAnsi="宋体" w:eastAsia="宋体" w:cs="宋体"/>
          <w:b w:val="0"/>
          <w:bCs w:val="0"/>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（1）得分在85分（含）-90分（不含）的，扣减2.5%，支付当期97.5%的服务费用；得分在80分（含）-85分（不含）的，扣减5%，支付当期95%服务费用。</w:t>
      </w:r>
    </w:p>
    <w:p>
      <w:pPr>
        <w:pStyle w:val="19"/>
        <w:keepNext w:val="0"/>
        <w:keepLines w:val="0"/>
        <w:pageBreakBefore w:val="0"/>
        <w:kinsoku/>
        <w:wordWrap/>
        <w:overflowPunct/>
        <w:topLinePunct w:val="0"/>
        <w:bidi w:val="0"/>
        <w:snapToGrid/>
        <w:spacing w:line="430" w:lineRule="exact"/>
        <w:ind w:firstLine="468" w:firstLineChars="200"/>
        <w:textAlignment w:val="auto"/>
        <w:rPr>
          <w:rFonts w:hint="default" w:ascii="宋体" w:hAnsi="宋体" w:eastAsia="宋体" w:cs="宋体"/>
          <w:b w:val="0"/>
          <w:bCs w:val="0"/>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（2）得分在75分（含）-80分（不含）的，扣减7.5%，支付当期92.5%的服务费用；得分在70分（含）-75分（不含）的，扣减10%，支付当期90%服务费用。</w:t>
      </w:r>
    </w:p>
    <w:p>
      <w:pPr>
        <w:pStyle w:val="19"/>
        <w:keepNext w:val="0"/>
        <w:keepLines w:val="0"/>
        <w:pageBreakBefore w:val="0"/>
        <w:kinsoku/>
        <w:wordWrap/>
        <w:overflowPunct/>
        <w:topLinePunct w:val="0"/>
        <w:bidi w:val="0"/>
        <w:snapToGrid/>
        <w:spacing w:line="430" w:lineRule="exact"/>
        <w:ind w:firstLine="468" w:firstLineChars="200"/>
        <w:textAlignment w:val="auto"/>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（3）得分在70分（不含）以下的，扣减20%，支付当期80%服务费用。</w:t>
      </w:r>
    </w:p>
    <w:p>
      <w:pPr>
        <w:pStyle w:val="19"/>
        <w:keepNext w:val="0"/>
        <w:keepLines w:val="0"/>
        <w:pageBreakBefore w:val="0"/>
        <w:widowControl w:val="0"/>
        <w:kinsoku/>
        <w:wordWrap/>
        <w:overflowPunct/>
        <w:topLinePunct w:val="0"/>
        <w:bidi w:val="0"/>
        <w:snapToGrid/>
        <w:spacing w:line="430" w:lineRule="exact"/>
        <w:ind w:firstLine="468" w:firstLineChars="200"/>
        <w:textAlignment w:val="auto"/>
        <w:rPr>
          <w:rFonts w:hint="eastAsia" w:ascii="宋体" w:hAnsi="宋体" w:eastAsia="宋体" w:cs="宋体"/>
          <w:color w:val="000000" w:themeColor="text1"/>
          <w:spacing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（4）如当季考核</w:t>
      </w:r>
      <w:r>
        <w:rPr>
          <w:rFonts w:hint="eastAsia" w:ascii="宋体" w:hAnsi="宋体" w:eastAsia="宋体" w:cs="宋体"/>
          <w:b w:val="0"/>
          <w:bCs w:val="0"/>
          <w:color w:val="000000" w:themeColor="text1"/>
          <w:spacing w:val="0"/>
          <w:sz w:val="24"/>
          <w:szCs w:val="24"/>
          <w:highlight w:val="none"/>
          <w:lang w:val="en-US" w:eastAsia="zh-CN"/>
          <w14:textFill>
            <w14:solidFill>
              <w14:schemeClr w14:val="tx1"/>
            </w14:solidFill>
          </w14:textFill>
        </w:rPr>
        <w:t>扣分有在“高铁新城再生水厂运营管理服务项目考核实施细则”中第一项污水处理质量</w:t>
      </w:r>
      <w:r>
        <w:rPr>
          <w:rFonts w:hint="eastAsia" w:ascii="宋体" w:hAnsi="宋体" w:eastAsia="宋体" w:cs="宋体"/>
          <w:b/>
          <w:bCs/>
          <w:color w:val="000000" w:themeColor="text1"/>
          <w:spacing w:val="0"/>
          <w:sz w:val="24"/>
          <w:szCs w:val="24"/>
          <w:highlight w:val="none"/>
          <w:lang w:val="en-US" w:eastAsia="zh-CN"/>
          <w14:textFill>
            <w14:solidFill>
              <w14:schemeClr w14:val="tx1"/>
            </w14:solidFill>
          </w14:textFill>
        </w:rPr>
        <w:t>（30分）</w:t>
      </w:r>
      <w:r>
        <w:rPr>
          <w:rFonts w:hint="eastAsia" w:ascii="宋体" w:hAnsi="宋体" w:eastAsia="宋体" w:cs="宋体"/>
          <w:b w:val="0"/>
          <w:bCs w:val="0"/>
          <w:color w:val="000000" w:themeColor="text1"/>
          <w:spacing w:val="0"/>
          <w:sz w:val="24"/>
          <w:szCs w:val="24"/>
          <w:highlight w:val="none"/>
          <w:lang w:val="en-US" w:eastAsia="zh-CN"/>
          <w14:textFill>
            <w14:solidFill>
              <w14:schemeClr w14:val="tx1"/>
            </w14:solidFill>
          </w14:textFill>
        </w:rPr>
        <w:t>中产生的，</w:t>
      </w:r>
      <w:r>
        <w:rPr>
          <w:rFonts w:hint="eastAsia" w:ascii="宋体" w:hAnsi="宋体" w:eastAsia="宋体" w:cs="宋体"/>
          <w:b/>
          <w:bCs/>
          <w:color w:val="000000" w:themeColor="text1"/>
          <w:spacing w:val="0"/>
          <w:sz w:val="24"/>
          <w:szCs w:val="24"/>
          <w:highlight w:val="none"/>
          <w:lang w:val="en-US" w:eastAsia="zh-CN"/>
          <w14:textFill>
            <w14:solidFill>
              <w14:schemeClr w14:val="tx1"/>
            </w14:solidFill>
          </w14:textFill>
        </w:rPr>
        <w:t>则在原考核核减标准基础上，每扣一分再扣减当季服务费用的0.5%。（增加扣减费用计算基数为当期该季度对应每月此项扣分总数，即如该项扣分总数为3分的，则增加扣减当季服务费用3分*0.5%/分=1.5%）</w:t>
      </w:r>
    </w:p>
    <w:p>
      <w:pPr>
        <w:pStyle w:val="19"/>
        <w:keepNext w:val="0"/>
        <w:keepLines w:val="0"/>
        <w:pageBreakBefore w:val="0"/>
        <w:widowControl w:val="0"/>
        <w:kinsoku/>
        <w:wordWrap/>
        <w:overflowPunct/>
        <w:topLinePunct w:val="0"/>
        <w:bidi w:val="0"/>
        <w:snapToGrid/>
        <w:spacing w:line="430" w:lineRule="exact"/>
        <w:ind w:firstLine="468" w:firstLineChars="200"/>
        <w:textAlignment w:val="auto"/>
        <w:rPr>
          <w:rFonts w:hint="default" w:ascii="宋体" w:hAnsi="宋体" w:eastAsia="宋体" w:cs="宋体"/>
          <w:b/>
          <w:bCs/>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pacing w:val="-6"/>
          <w:sz w:val="24"/>
          <w:szCs w:val="24"/>
          <w:highlight w:val="none"/>
          <w:lang w:val="en-US" w:eastAsia="zh-CN"/>
          <w14:textFill>
            <w14:solidFill>
              <w14:schemeClr w14:val="tx1"/>
            </w14:solidFill>
          </w14:textFill>
        </w:rPr>
        <w:t xml:space="preserve"> 例：如当季考核得分87分[当季考核对应第一个月考核得分88分；第二个月考核得分87分；第三个月考核得86分，即当季考核得分为（88+87+86）/3=87分</w:t>
      </w:r>
      <w:r>
        <w:rPr>
          <w:rFonts w:hint="eastAsia" w:ascii="宋体" w:hAnsi="宋体" w:eastAsia="宋体" w:cs="宋体"/>
          <w:b/>
          <w:bCs/>
          <w:color w:val="000000" w:themeColor="text1"/>
          <w:spacing w:val="-6"/>
          <w:sz w:val="28"/>
          <w:szCs w:val="28"/>
          <w:highlight w:val="none"/>
          <w:lang w:val="en-US" w:eastAsia="zh-CN"/>
          <w14:textFill>
            <w14:solidFill>
              <w14:schemeClr w14:val="tx1"/>
            </w14:solidFill>
          </w14:textFill>
        </w:rPr>
        <w:t>]</w:t>
      </w:r>
      <w:r>
        <w:rPr>
          <w:rFonts w:hint="eastAsia" w:ascii="宋体" w:hAnsi="宋体" w:eastAsia="宋体" w:cs="宋体"/>
          <w:b/>
          <w:bCs/>
          <w:color w:val="000000" w:themeColor="text1"/>
          <w:spacing w:val="-6"/>
          <w:sz w:val="24"/>
          <w:szCs w:val="24"/>
          <w:highlight w:val="none"/>
          <w:lang w:val="en-US" w:eastAsia="zh-CN"/>
          <w14:textFill>
            <w14:solidFill>
              <w14:schemeClr w14:val="tx1"/>
            </w14:solidFill>
          </w14:textFill>
        </w:rPr>
        <w:t>。其中当季考核对应的第一个月考核扣分中未涉及在“污水处理质量”中产生扣分；第二个月有在“污水处理质量”中产生扣分3分；第三个月有在“污水处理质量”中产生扣分5分；则当季支付的服务费用应为97.5%-当季对应每月此项扣分总数（0+3+5）*0.5%=93.5%的服务费用；如当季考核得分87分，对应每月扣分中均未涉及“污水处理质量”中产生扣分的，则支付当期97.5%的服务费用。</w:t>
      </w:r>
    </w:p>
    <w:p>
      <w:pPr>
        <w:keepNext w:val="0"/>
        <w:keepLines w:val="0"/>
        <w:pageBreakBefore w:val="0"/>
        <w:widowControl w:val="0"/>
        <w:kinsoku/>
        <w:wordWrap/>
        <w:overflowPunct/>
        <w:topLinePunct w:val="0"/>
        <w:autoSpaceDE/>
        <w:autoSpaceDN/>
        <w:bidi w:val="0"/>
        <w:adjustRightInd/>
        <w:snapToGrid/>
        <w:spacing w:line="430" w:lineRule="exact"/>
        <w:ind w:firstLine="468" w:firstLineChars="200"/>
        <w:textAlignment w:val="auto"/>
        <w:rPr>
          <w:rFonts w:hint="default"/>
          <w:color w:val="000000" w:themeColor="text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3、费用计算方式：以每月污水处理量为基数，计算单月日平均污水处理量，在套用中标单价，计算出每月支付费用。三个月费用相加得到季度费用，在结合相应季度考核分，得出最终季度计算费用。</w:t>
      </w:r>
    </w:p>
    <w:p>
      <w:pPr>
        <w:pStyle w:val="19"/>
        <w:keepNext w:val="0"/>
        <w:keepLines w:val="0"/>
        <w:pageBreakBefore w:val="0"/>
        <w:kinsoku/>
        <w:wordWrap/>
        <w:overflowPunct/>
        <w:topLinePunct w:val="0"/>
        <w:bidi w:val="0"/>
        <w:snapToGrid/>
        <w:spacing w:line="430" w:lineRule="exact"/>
        <w:ind w:firstLine="468" w:firstLineChars="200"/>
        <w:textAlignment w:val="auto"/>
        <w:rPr>
          <w:rFonts w:ascii="宋体" w:hAnsi="宋体" w:eastAsia="宋体" w:cs="宋体"/>
          <w:b/>
          <w:bCs/>
          <w:color w:val="000000" w:themeColor="text1"/>
          <w:spacing w:val="-6"/>
          <w:sz w:val="24"/>
          <w:szCs w:val="24"/>
          <w:highlight w:val="none"/>
          <w:lang w:val="en-US"/>
          <w14:textFill>
            <w14:solidFill>
              <w14:schemeClr w14:val="tx1"/>
            </w14:solidFill>
          </w14:textFill>
        </w:rPr>
      </w:pPr>
      <w:r>
        <w:rPr>
          <w:rFonts w:hint="eastAsia" w:ascii="宋体" w:hAnsi="宋体" w:eastAsia="宋体" w:cs="宋体"/>
          <w:b/>
          <w:bCs/>
          <w:color w:val="000000" w:themeColor="text1"/>
          <w:spacing w:val="-6"/>
          <w:sz w:val="24"/>
          <w:szCs w:val="24"/>
          <w:highlight w:val="none"/>
          <w:lang w:val="en-US"/>
          <w14:textFill>
            <w14:solidFill>
              <w14:schemeClr w14:val="tx1"/>
            </w14:solidFill>
          </w14:textFill>
        </w:rPr>
        <w:t>结算时需按业主要求递交结算申请资料及对应金额的发票。最后一笔运维费须等确认所有设备完好、无偿移交、资料完整移交后支付。</w:t>
      </w:r>
    </w:p>
    <w:p>
      <w:pPr>
        <w:keepNext w:val="0"/>
        <w:keepLines w:val="0"/>
        <w:pageBreakBefore w:val="0"/>
        <w:kinsoku/>
        <w:wordWrap/>
        <w:overflowPunct/>
        <w:topLinePunct w:val="0"/>
        <w:autoSpaceDE/>
        <w:autoSpaceDN/>
        <w:bidi w:val="0"/>
        <w:adjustRightInd/>
        <w:snapToGrid/>
        <w:spacing w:line="430" w:lineRule="exact"/>
        <w:ind w:firstLine="492" w:firstLineChars="200"/>
        <w:textAlignment w:val="auto"/>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五、人员配备要求：</w:t>
      </w:r>
    </w:p>
    <w:p>
      <w:pPr>
        <w:pStyle w:val="239"/>
        <w:keepNext w:val="0"/>
        <w:keepLines w:val="0"/>
        <w:pageBreakBefore w:val="0"/>
        <w:kinsoku/>
        <w:wordWrap/>
        <w:overflowPunct/>
        <w:topLinePunct w:val="0"/>
        <w:autoSpaceDE/>
        <w:autoSpaceDN/>
        <w:bidi w:val="0"/>
        <w:adjustRightInd/>
        <w:snapToGrid/>
        <w:spacing w:line="430" w:lineRule="exact"/>
        <w:ind w:firstLine="582" w:firstLineChars="237"/>
        <w:textAlignment w:val="auto"/>
        <w:rPr>
          <w:rFonts w:hint="eastAsia"/>
          <w:b/>
          <w:bCs/>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在本项目运营期内，乙方应该根据项目运营设施实际需要，为本项目的运营、维护等配备不少于</w:t>
      </w:r>
      <w:r>
        <w:rPr>
          <w:rFonts w:ascii="宋体" w:hAnsi="宋体"/>
          <w:b/>
          <w:bCs/>
          <w:color w:val="000000" w:themeColor="text1"/>
          <w:sz w:val="24"/>
          <w:szCs w:val="24"/>
          <w:highlight w:val="none"/>
          <w14:textFill>
            <w14:solidFill>
              <w14:schemeClr w14:val="tx1"/>
            </w14:solidFill>
          </w14:textFill>
        </w:rPr>
        <w:t>22</w:t>
      </w:r>
      <w:r>
        <w:rPr>
          <w:rFonts w:hint="eastAsia" w:ascii="宋体" w:hAnsi="宋体"/>
          <w:b/>
          <w:bCs/>
          <w:color w:val="000000" w:themeColor="text1"/>
          <w:sz w:val="24"/>
          <w:szCs w:val="24"/>
          <w:highlight w:val="none"/>
          <w14:textFill>
            <w14:solidFill>
              <w14:schemeClr w14:val="tx1"/>
            </w14:solidFill>
          </w14:textFill>
        </w:rPr>
        <w:t>个</w:t>
      </w:r>
      <w:r>
        <w:rPr>
          <w:rFonts w:hint="eastAsia" w:ascii="宋体" w:hAnsi="宋体"/>
          <w:color w:val="000000" w:themeColor="text1"/>
          <w:sz w:val="24"/>
          <w:szCs w:val="24"/>
          <w:highlight w:val="none"/>
          <w:lang w:val="en-US" w:eastAsia="zh-CN"/>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工作人员，且人员资格条件应符合甲方及相关管理部门的规定。</w:t>
      </w:r>
      <w:r>
        <w:rPr>
          <w:rFonts w:hint="eastAsia"/>
          <w:b/>
          <w:bCs/>
          <w:color w:val="000000" w:themeColor="text1"/>
          <w:sz w:val="24"/>
          <w:szCs w:val="24"/>
          <w:highlight w:val="none"/>
          <w14:textFill>
            <w14:solidFill>
              <w14:schemeClr w14:val="tx1"/>
            </w14:solidFill>
          </w14:textFill>
        </w:rPr>
        <w:t>项目人员配备中须具有环保类工程师、给排水工程师、化验人员、机修人员等。</w:t>
      </w:r>
    </w:p>
    <w:p>
      <w:pPr>
        <w:pStyle w:val="58"/>
        <w:pageBreakBefore/>
        <w:outlineLvl w:val="0"/>
        <w:rPr>
          <w:rFonts w:ascii="宋体" w:hAnsi="宋体" w:cs="宋体"/>
          <w:color w:val="FF0000"/>
          <w:sz w:val="28"/>
          <w:szCs w:val="28"/>
          <w:highlight w:val="yellow"/>
          <w:lang w:eastAsia="zh-CN"/>
        </w:rPr>
      </w:pPr>
      <w:r>
        <w:rPr>
          <w:rFonts w:hint="eastAsia" w:ascii="宋体" w:hAnsi="宋体" w:cs="宋体"/>
          <w:color w:val="000000"/>
          <w:lang w:eastAsia="zh-CN"/>
        </w:rPr>
        <w:t>第四章  合同主要条款</w:t>
      </w:r>
      <w:bookmarkEnd w:id="6"/>
    </w:p>
    <w:p>
      <w:pPr>
        <w:pStyle w:val="189"/>
        <w:spacing w:line="320" w:lineRule="exact"/>
        <w:ind w:firstLine="420"/>
        <w:rPr>
          <w:rStyle w:val="238"/>
          <w:rFonts w:hint="eastAsia" w:ascii="宋体" w:hAnsi="宋体" w:cs="宋体"/>
          <w:color w:val="000000" w:themeColor="text1"/>
          <w14:textFill>
            <w14:solidFill>
              <w14:schemeClr w14:val="tx1"/>
            </w14:solidFill>
          </w14:textFill>
        </w:rPr>
      </w:pPr>
      <w:bookmarkStart w:id="7" w:name="_Toc119501472"/>
      <w:r>
        <w:rPr>
          <w:rStyle w:val="238"/>
          <w:rFonts w:hint="eastAsia" w:ascii="宋体" w:hAnsi="宋体" w:cs="宋体"/>
          <w:color w:val="auto"/>
          <w:lang w:val="zh-TW"/>
        </w:rPr>
        <w:t xml:space="preserve">  </w:t>
      </w:r>
      <w:r>
        <w:rPr>
          <w:rStyle w:val="238"/>
          <w:rFonts w:hint="eastAsia" w:ascii="宋体" w:hAnsi="宋体" w:cs="宋体"/>
          <w:color w:val="auto"/>
        </w:rPr>
        <w:t xml:space="preserve">               </w:t>
      </w:r>
      <w:r>
        <w:rPr>
          <w:rStyle w:val="238"/>
          <w:rFonts w:hint="eastAsia" w:ascii="宋体" w:hAnsi="宋体" w:cs="宋体"/>
          <w:color w:val="000000" w:themeColor="text1"/>
          <w14:textFill>
            <w14:solidFill>
              <w14:schemeClr w14:val="tx1"/>
            </w14:solidFill>
          </w14:textFill>
        </w:rPr>
        <w:t xml:space="preserve"> </w:t>
      </w:r>
    </w:p>
    <w:p>
      <w:pPr>
        <w:pStyle w:val="189"/>
        <w:spacing w:line="320" w:lineRule="exact"/>
        <w:ind w:firstLine="420"/>
        <w:jc w:val="center"/>
        <w:rPr>
          <w:rFonts w:ascii="宋体" w:hAnsi="宋体" w:eastAsia="宋体" w:cs="宋体"/>
          <w:b/>
          <w:color w:val="000000" w:themeColor="text1"/>
          <w:szCs w:val="24"/>
          <w14:textFill>
            <w14:solidFill>
              <w14:schemeClr w14:val="tx1"/>
            </w14:solidFill>
          </w14:textFill>
        </w:rPr>
      </w:pPr>
      <w:r>
        <w:rPr>
          <w:rFonts w:hint="eastAsia" w:ascii="宋体" w:hAnsi="宋体" w:eastAsia="宋体" w:cs="宋体"/>
          <w:b/>
          <w:color w:val="000000" w:themeColor="text1"/>
          <w:szCs w:val="24"/>
          <w14:textFill>
            <w14:solidFill>
              <w14:schemeClr w14:val="tx1"/>
            </w14:solidFill>
          </w14:textFill>
        </w:rPr>
        <w:t>（本合同为参考样稿，以正式签订合同为准）</w:t>
      </w:r>
    </w:p>
    <w:p>
      <w:pPr>
        <w:pStyle w:val="189"/>
        <w:spacing w:line="360" w:lineRule="auto"/>
      </w:pPr>
      <w:r>
        <w:rPr>
          <w:rStyle w:val="238"/>
          <w:rFonts w:ascii="宋体" w:hAnsi="宋体" w:cs="宋体"/>
          <w:color w:val="auto"/>
          <w:lang w:val="zh-TW"/>
        </w:rPr>
        <w:t xml:space="preserve">           </w:t>
      </w:r>
    </w:p>
    <w:p>
      <w:pPr>
        <w:pStyle w:val="239"/>
        <w:spacing w:line="360" w:lineRule="auto"/>
        <w:rPr>
          <w:rFonts w:ascii="宋体" w:hAnsi="宋体" w:cs="宋体"/>
          <w:bCs/>
          <w:sz w:val="24"/>
          <w:szCs w:val="24"/>
        </w:rPr>
      </w:pPr>
      <w:r>
        <w:rPr>
          <w:rFonts w:hint="eastAsia" w:ascii="宋体" w:hAnsi="宋体" w:cs="宋体"/>
          <w:bCs/>
          <w:sz w:val="24"/>
          <w:szCs w:val="24"/>
        </w:rPr>
        <w:t>甲方：</w:t>
      </w:r>
      <w:r>
        <w:rPr>
          <w:rFonts w:hint="eastAsia" w:ascii="宋体" w:hAnsi="宋体" w:cs="宋体"/>
          <w:bCs/>
          <w:sz w:val="24"/>
          <w:szCs w:val="24"/>
          <w:u w:val="single"/>
        </w:rPr>
        <w:t xml:space="preserve">衢州智慧新城管理委员会     </w:t>
      </w:r>
      <w:r>
        <w:rPr>
          <w:rFonts w:hint="eastAsia" w:ascii="宋体" w:hAnsi="宋体" w:cs="宋体"/>
          <w:bCs/>
          <w:sz w:val="24"/>
          <w:szCs w:val="24"/>
        </w:rPr>
        <w:t>（以下简称“甲方”）</w:t>
      </w:r>
    </w:p>
    <w:p>
      <w:pPr>
        <w:pStyle w:val="239"/>
        <w:spacing w:line="360" w:lineRule="auto"/>
        <w:rPr>
          <w:rFonts w:ascii="宋体" w:hAnsi="宋体" w:cs="宋体"/>
          <w:bCs/>
          <w:sz w:val="24"/>
          <w:szCs w:val="24"/>
        </w:rPr>
      </w:pPr>
      <w:r>
        <w:rPr>
          <w:rFonts w:hint="eastAsia" w:ascii="宋体" w:hAnsi="宋体" w:cs="宋体"/>
          <w:bCs/>
          <w:sz w:val="24"/>
          <w:szCs w:val="24"/>
        </w:rPr>
        <w:t>乙方：</w:t>
      </w:r>
      <w:r>
        <w:rPr>
          <w:rFonts w:hint="eastAsia" w:ascii="宋体" w:hAnsi="宋体" w:cs="宋体"/>
          <w:bCs/>
          <w:sz w:val="24"/>
          <w:szCs w:val="24"/>
          <w:u w:val="single"/>
        </w:rPr>
        <w:t xml:space="preserve">                           </w:t>
      </w:r>
      <w:r>
        <w:rPr>
          <w:rFonts w:hint="eastAsia" w:ascii="宋体" w:hAnsi="宋体" w:cs="宋体"/>
          <w:bCs/>
          <w:sz w:val="24"/>
          <w:szCs w:val="24"/>
        </w:rPr>
        <w:t>（以下简称“乙方”）</w:t>
      </w:r>
    </w:p>
    <w:p>
      <w:pPr>
        <w:pStyle w:val="239"/>
        <w:spacing w:line="360" w:lineRule="auto"/>
        <w:rPr>
          <w:rFonts w:ascii="宋体" w:hAnsi="宋体" w:cs="宋体"/>
          <w:bCs/>
          <w:sz w:val="24"/>
          <w:szCs w:val="24"/>
        </w:rPr>
      </w:pPr>
    </w:p>
    <w:p>
      <w:pPr>
        <w:pStyle w:val="239"/>
        <w:spacing w:line="360" w:lineRule="auto"/>
        <w:ind w:firstLine="648" w:firstLineChars="300"/>
        <w:rPr>
          <w:rFonts w:ascii="宋体" w:hAnsi="宋体" w:cs="宋体"/>
          <w:bCs/>
        </w:rPr>
      </w:pPr>
      <w:r>
        <w:rPr>
          <w:rFonts w:hint="eastAsia" w:ascii="宋体" w:hAnsi="宋体" w:cs="宋体"/>
          <w:bCs/>
        </w:rPr>
        <w:t>根据《中华人民共和国民法典》及有关法律规定，遵循平等、自愿、公平和诚实信用的原则，经甲乙双方充分协商，本协议由双方于</w:t>
      </w:r>
      <w:r>
        <w:rPr>
          <w:rFonts w:hint="eastAsia" w:ascii="宋体" w:hAnsi="宋体" w:cs="宋体"/>
          <w:bCs/>
          <w:u w:val="single"/>
        </w:rPr>
        <w:t xml:space="preserve">      </w:t>
      </w:r>
      <w:r>
        <w:rPr>
          <w:rFonts w:hint="eastAsia" w:ascii="宋体" w:hAnsi="宋体" w:cs="宋体"/>
          <w:bCs/>
        </w:rPr>
        <w:t>年</w:t>
      </w:r>
      <w:r>
        <w:rPr>
          <w:rFonts w:hint="eastAsia" w:ascii="宋体" w:hAnsi="宋体" w:cs="宋体"/>
          <w:bCs/>
          <w:u w:val="single"/>
        </w:rPr>
        <w:t xml:space="preserve">   </w:t>
      </w:r>
      <w:r>
        <w:rPr>
          <w:rFonts w:hint="eastAsia" w:ascii="宋体" w:hAnsi="宋体" w:cs="宋体"/>
          <w:bCs/>
        </w:rPr>
        <w:t>月</w:t>
      </w:r>
      <w:r>
        <w:rPr>
          <w:rFonts w:hint="eastAsia" w:ascii="宋体" w:hAnsi="宋体" w:cs="宋体"/>
          <w:bCs/>
          <w:u w:val="single"/>
        </w:rPr>
        <w:t xml:space="preserve">   </w:t>
      </w:r>
      <w:r>
        <w:rPr>
          <w:rFonts w:hint="eastAsia" w:ascii="宋体" w:hAnsi="宋体" w:cs="宋体"/>
          <w:bCs/>
        </w:rPr>
        <w:t>日在</w:t>
      </w:r>
      <w:r>
        <w:rPr>
          <w:rFonts w:hint="eastAsia" w:ascii="宋体" w:hAnsi="宋体" w:cs="宋体"/>
          <w:bCs/>
          <w:u w:val="single"/>
        </w:rPr>
        <w:t xml:space="preserve"> 衢州智慧新城管理委员会  </w:t>
      </w:r>
      <w:r>
        <w:rPr>
          <w:rFonts w:hint="eastAsia" w:ascii="宋体" w:hAnsi="宋体" w:cs="宋体"/>
          <w:bCs/>
        </w:rPr>
        <w:t>签署。</w:t>
      </w:r>
    </w:p>
    <w:p>
      <w:pPr>
        <w:pStyle w:val="239"/>
        <w:spacing w:line="360" w:lineRule="auto"/>
        <w:rPr>
          <w:rFonts w:ascii="宋体" w:hAnsi="宋体" w:cs="宋体"/>
          <w:bCs/>
        </w:rPr>
      </w:pPr>
      <w:r>
        <w:rPr>
          <w:rFonts w:hint="eastAsia" w:ascii="宋体" w:hAnsi="宋体" w:cs="宋体"/>
          <w:bCs/>
        </w:rPr>
        <w:t xml:space="preserve">    鉴于：</w:t>
      </w:r>
    </w:p>
    <w:p>
      <w:pPr>
        <w:pStyle w:val="239"/>
        <w:widowControl w:val="0"/>
        <w:tabs>
          <w:tab w:val="left" w:pos="945"/>
        </w:tabs>
        <w:spacing w:line="360" w:lineRule="auto"/>
        <w:rPr>
          <w:rFonts w:ascii="宋体" w:hAnsi="宋体" w:cs="宋体"/>
          <w:bCs/>
        </w:rPr>
      </w:pPr>
      <w:r>
        <w:rPr>
          <w:rFonts w:hint="eastAsia" w:ascii="宋体" w:hAnsi="宋体" w:cs="宋体"/>
          <w:bCs/>
        </w:rPr>
        <w:t xml:space="preserve">    （1）乙方作为通过公开招标程序选定的高铁新城再生水厂运营单位已获得了签署本协议的资格，负责对本项目污水处理设施的接收、运营维护管理和运营期满时的移交事宜，并依据本协议之约定向甲方收取运营服务费。</w:t>
      </w:r>
    </w:p>
    <w:p>
      <w:pPr>
        <w:keepNext w:val="0"/>
        <w:keepLines w:val="0"/>
        <w:pageBreakBefore w:val="0"/>
        <w:widowControl w:val="0"/>
        <w:kinsoku/>
        <w:wordWrap/>
        <w:overflowPunct/>
        <w:topLinePunct w:val="0"/>
        <w:autoSpaceDE/>
        <w:autoSpaceDN/>
        <w:bidi w:val="0"/>
        <w:adjustRightInd/>
        <w:snapToGrid/>
        <w:spacing w:line="460" w:lineRule="exact"/>
        <w:ind w:firstLine="216" w:firstLineChars="100"/>
        <w:textAlignment w:val="auto"/>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Cs/>
          <w:kern w:val="0"/>
          <w:sz w:val="21"/>
          <w:szCs w:val="21"/>
          <w:lang w:val="en-US" w:eastAsia="zh-CN" w:bidi="ar-SA"/>
        </w:rPr>
        <w:t xml:space="preserve"> （2）甲方与乙方已同意签署本协议及附件，以规定相关各方与项目实施有关的权利和义务。</w:t>
      </w: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甲乙双方指定代表，作为履行本项目服务事宜的主要联系人。</w:t>
      </w:r>
    </w:p>
    <w:p>
      <w:pPr>
        <w:keepNext w:val="0"/>
        <w:keepLines w:val="0"/>
        <w:pageBreakBefore w:val="0"/>
        <w:widowControl w:val="0"/>
        <w:kinsoku/>
        <w:wordWrap/>
        <w:overflowPunct/>
        <w:topLinePunct w:val="0"/>
        <w:autoSpaceDE/>
        <w:autoSpaceDN/>
        <w:bidi w:val="0"/>
        <w:adjustRightInd/>
        <w:snapToGrid/>
        <w:spacing w:line="460" w:lineRule="exact"/>
        <w:ind w:firstLine="432" w:firstLineChars="200"/>
        <w:textAlignment w:val="auto"/>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甲方代表：</w:t>
      </w:r>
      <w:r>
        <w:rPr>
          <w:rFonts w:hint="eastAsia" w:ascii="宋体" w:hAnsi="宋体" w:eastAsia="宋体" w:cs="宋体"/>
          <w:bCs/>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 xml:space="preserve">    电话： </w:t>
      </w:r>
      <w:r>
        <w:rPr>
          <w:rFonts w:hint="eastAsia" w:ascii="宋体" w:hAnsi="宋体" w:eastAsia="宋体" w:cs="宋体"/>
          <w:bCs/>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 xml:space="preserve">                    </w:t>
      </w:r>
    </w:p>
    <w:p>
      <w:pPr>
        <w:pStyle w:val="239"/>
        <w:widowControl w:val="0"/>
        <w:tabs>
          <w:tab w:val="left" w:pos="945"/>
        </w:tabs>
        <w:spacing w:line="360" w:lineRule="auto"/>
        <w:ind w:firstLine="432" w:firstLineChars="200"/>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乙方代表：</w:t>
      </w:r>
      <w:r>
        <w:rPr>
          <w:rFonts w:hint="eastAsia" w:ascii="宋体" w:hAnsi="宋体" w:eastAsia="宋体" w:cs="宋体"/>
          <w:bCs/>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 xml:space="preserve">    电话： </w:t>
      </w:r>
      <w:r>
        <w:rPr>
          <w:rFonts w:hint="eastAsia" w:ascii="宋体" w:hAnsi="宋体" w:eastAsia="宋体" w:cs="宋体"/>
          <w:bCs/>
          <w:color w:val="000000" w:themeColor="text1"/>
          <w:kern w:val="0"/>
          <w:sz w:val="21"/>
          <w:szCs w:val="21"/>
          <w:highlight w:val="none"/>
          <w:u w:val="single"/>
          <w:lang w:val="en-US" w:eastAsia="zh-CN" w:bidi="ar-SA"/>
          <w14:textFill>
            <w14:solidFill>
              <w14:schemeClr w14:val="tx1"/>
            </w14:solidFill>
          </w14:textFill>
        </w:rPr>
        <w:t xml:space="preserve">               </w:t>
      </w:r>
      <w:r>
        <w:rPr>
          <w:rFonts w:hint="eastAsia" w:ascii="宋体" w:hAnsi="宋体" w:eastAsia="宋体" w:cs="宋体"/>
          <w:bCs/>
          <w:color w:val="000000" w:themeColor="text1"/>
          <w:kern w:val="0"/>
          <w:sz w:val="21"/>
          <w:szCs w:val="21"/>
          <w:highlight w:val="none"/>
          <w:lang w:val="en-US" w:eastAsia="zh-CN" w:bidi="ar-SA"/>
          <w14:textFill>
            <w14:solidFill>
              <w14:schemeClr w14:val="tx1"/>
            </w14:solidFill>
          </w14:textFill>
        </w:rPr>
        <w:t xml:space="preserve">                    </w:t>
      </w:r>
    </w:p>
    <w:p>
      <w:pPr>
        <w:pStyle w:val="239"/>
        <w:widowControl w:val="0"/>
        <w:tabs>
          <w:tab w:val="left" w:pos="945"/>
        </w:tabs>
        <w:spacing w:line="360" w:lineRule="auto"/>
        <w:ind w:firstLine="480"/>
        <w:rPr>
          <w:rFonts w:hint="eastAsia"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w:t>
      </w:r>
      <w:r>
        <w:rPr>
          <w:rFonts w:hint="eastAsia" w:ascii="宋体" w:hAnsi="宋体" w:cs="宋体"/>
          <w:bCs/>
          <w:color w:val="000000" w:themeColor="text1"/>
          <w:highlight w:val="none"/>
          <w:lang w:val="en-US" w:eastAsia="zh-CN"/>
          <w14:textFill>
            <w14:solidFill>
              <w14:schemeClr w14:val="tx1"/>
            </w14:solidFill>
          </w14:textFill>
        </w:rPr>
        <w:t>3</w:t>
      </w:r>
      <w:r>
        <w:rPr>
          <w:rFonts w:hint="eastAsia" w:ascii="宋体" w:hAnsi="宋体" w:cs="宋体"/>
          <w:bCs/>
          <w:color w:val="000000" w:themeColor="text1"/>
          <w:highlight w:val="none"/>
          <w14:textFill>
            <w14:solidFill>
              <w14:schemeClr w14:val="tx1"/>
            </w14:solidFill>
          </w14:textFill>
        </w:rPr>
        <w:t>）运营期运营服务费签约合同价为：</w:t>
      </w:r>
    </w:p>
    <w:p>
      <w:pPr>
        <w:pStyle w:val="239"/>
        <w:widowControl w:val="0"/>
        <w:tabs>
          <w:tab w:val="left" w:pos="945"/>
        </w:tabs>
        <w:spacing w:line="360" w:lineRule="auto"/>
        <w:ind w:firstLine="480"/>
        <w:rPr>
          <w:rFonts w:hint="eastAsia" w:ascii="宋体" w:hAnsi="宋体" w:cs="宋体"/>
          <w:bCs/>
          <w:color w:val="000000" w:themeColor="text1"/>
          <w:highlight w:val="none"/>
          <w14:textFill>
            <w14:solidFill>
              <w14:schemeClr w14:val="tx1"/>
            </w14:solidFill>
          </w14:textFill>
        </w:rPr>
      </w:pPr>
      <w:r>
        <w:rPr>
          <w:rFonts w:hint="eastAsia" w:ascii="宋体" w:hAnsi="宋体" w:cs="宋体"/>
          <w:b w:val="0"/>
          <w:bCs/>
          <w:color w:val="000000" w:themeColor="text1"/>
          <w:spacing w:val="0"/>
          <w:sz w:val="21"/>
          <w:szCs w:val="21"/>
          <w:highlight w:val="none"/>
          <w:lang w:val="en-US" w:eastAsia="zh-CN"/>
          <w14:textFill>
            <w14:solidFill>
              <w14:schemeClr w14:val="tx1"/>
            </w14:solidFill>
          </w14:textFill>
        </w:rPr>
        <w:t>暂估合同</w:t>
      </w:r>
      <w:r>
        <w:rPr>
          <w:rFonts w:hint="eastAsia" w:ascii="宋体" w:hAnsi="宋体" w:eastAsia="宋体" w:cs="宋体"/>
          <w:b w:val="0"/>
          <w:bCs/>
          <w:color w:val="000000" w:themeColor="text1"/>
          <w:spacing w:val="0"/>
          <w:sz w:val="21"/>
          <w:szCs w:val="21"/>
          <w:highlight w:val="none"/>
          <w:lang w:val="en-US"/>
          <w14:textFill>
            <w14:solidFill>
              <w14:schemeClr w14:val="tx1"/>
            </w14:solidFill>
          </w14:textFill>
        </w:rPr>
        <w:t>总价</w:t>
      </w:r>
      <w:r>
        <w:rPr>
          <w:rFonts w:hint="eastAsia" w:ascii="宋体" w:hAnsi="宋体" w:cs="宋体"/>
          <w:b w:val="0"/>
          <w:bCs/>
          <w:color w:val="000000" w:themeColor="text1"/>
          <w:spacing w:val="0"/>
          <w:sz w:val="21"/>
          <w:szCs w:val="21"/>
          <w:highlight w:val="none"/>
          <w:lang w:val="en-US" w:eastAsia="zh-CN"/>
          <w14:textFill>
            <w14:solidFill>
              <w14:schemeClr w14:val="tx1"/>
            </w14:solidFill>
          </w14:textFill>
        </w:rPr>
        <w:t>为</w:t>
      </w:r>
      <w:r>
        <w:rPr>
          <w:rFonts w:hint="eastAsia" w:ascii="宋体" w:hAnsi="宋体" w:eastAsia="宋体" w:cs="宋体"/>
          <w:b w:val="0"/>
          <w:bCs/>
          <w:color w:val="000000" w:themeColor="text1"/>
          <w:spacing w:val="0"/>
          <w:sz w:val="21"/>
          <w:szCs w:val="21"/>
          <w:highlight w:val="none"/>
          <w:u w:val="single"/>
          <w:lang w:val="en-US" w:eastAsia="zh-CN"/>
          <w14:textFill>
            <w14:solidFill>
              <w14:schemeClr w14:val="tx1"/>
            </w14:solidFill>
          </w14:textFill>
        </w:rPr>
        <w:t xml:space="preserve">   </w:t>
      </w:r>
      <w:r>
        <w:rPr>
          <w:rFonts w:hint="eastAsia" w:ascii="宋体" w:hAnsi="宋体" w:cs="宋体"/>
          <w:b w:val="0"/>
          <w:bCs/>
          <w:color w:val="000000" w:themeColor="text1"/>
          <w:spacing w:val="0"/>
          <w:sz w:val="21"/>
          <w:szCs w:val="21"/>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sz w:val="21"/>
          <w:szCs w:val="21"/>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pacing w:val="0"/>
          <w:sz w:val="21"/>
          <w:szCs w:val="21"/>
          <w:highlight w:val="none"/>
          <w:lang w:val="en-US"/>
          <w14:textFill>
            <w14:solidFill>
              <w14:schemeClr w14:val="tx1"/>
            </w14:solidFill>
          </w14:textFill>
        </w:rPr>
        <w:t>万元</w:t>
      </w:r>
      <w:r>
        <w:rPr>
          <w:rFonts w:hint="eastAsia" w:ascii="宋体" w:hAnsi="宋体" w:cs="宋体"/>
          <w:bCs/>
          <w:color w:val="000000" w:themeColor="text1"/>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z w:val="21"/>
          <w:szCs w:val="21"/>
          <w:highlight w:val="none"/>
          <w:lang w:val="en-US"/>
          <w14:textFill>
            <w14:solidFill>
              <w14:schemeClr w14:val="tx1"/>
            </w14:solidFill>
          </w14:textFill>
        </w:rPr>
        <w:t>第1年暂按日处理污水量10000吨预计，第二年及第三年暂按日处理污水量15000吨预计。</w:t>
      </w:r>
      <w:r>
        <w:rPr>
          <w:rFonts w:hint="eastAsia" w:ascii="宋体" w:hAnsi="宋体" w:eastAsia="宋体" w:cs="宋体"/>
          <w:b w:val="0"/>
          <w:bCs/>
          <w:color w:val="000000" w:themeColor="text1"/>
          <w:spacing w:val="0"/>
          <w:sz w:val="21"/>
          <w:szCs w:val="21"/>
          <w:highlight w:val="none"/>
          <w:lang w:val="en-US"/>
          <w14:textFill>
            <w14:solidFill>
              <w14:schemeClr w14:val="tx1"/>
            </w14:solidFill>
          </w14:textFill>
        </w:rPr>
        <w:t>（如遇</w:t>
      </w:r>
      <w:r>
        <w:rPr>
          <w:rFonts w:hint="eastAsia" w:ascii="宋体" w:hAnsi="宋体" w:cs="宋体"/>
          <w:b/>
          <w:bCs w:val="0"/>
          <w:color w:val="000000" w:themeColor="text1"/>
          <w:spacing w:val="0"/>
          <w:sz w:val="21"/>
          <w:szCs w:val="21"/>
          <w:highlight w:val="none"/>
          <w:lang w:val="en-US" w:eastAsia="zh-CN"/>
          <w14:textFill>
            <w14:solidFill>
              <w14:schemeClr w14:val="tx1"/>
            </w14:solidFill>
          </w14:textFill>
        </w:rPr>
        <w:t>月</w:t>
      </w:r>
      <w:r>
        <w:rPr>
          <w:rFonts w:hint="eastAsia" w:ascii="宋体" w:hAnsi="宋体" w:eastAsia="宋体" w:cs="宋体"/>
          <w:b/>
          <w:bCs w:val="0"/>
          <w:color w:val="000000" w:themeColor="text1"/>
          <w:spacing w:val="0"/>
          <w:sz w:val="21"/>
          <w:szCs w:val="21"/>
          <w:highlight w:val="none"/>
          <w:lang w:val="en-US"/>
          <w14:textFill>
            <w14:solidFill>
              <w14:schemeClr w14:val="tx1"/>
            </w14:solidFill>
          </w14:textFill>
        </w:rPr>
        <w:t>度</w:t>
      </w:r>
      <w:r>
        <w:rPr>
          <w:rFonts w:hint="eastAsia" w:ascii="宋体" w:hAnsi="宋体" w:eastAsia="宋体" w:cs="宋体"/>
          <w:b w:val="0"/>
          <w:bCs/>
          <w:color w:val="000000" w:themeColor="text1"/>
          <w:spacing w:val="0"/>
          <w:sz w:val="21"/>
          <w:szCs w:val="21"/>
          <w:highlight w:val="none"/>
          <w:lang w:val="en-US"/>
          <w14:textFill>
            <w14:solidFill>
              <w14:schemeClr w14:val="tx1"/>
            </w14:solidFill>
          </w14:textFill>
        </w:rPr>
        <w:t>实际污水处理量折算至每日低于3000吨的，以每日3000吨计算保底水量）。</w:t>
      </w:r>
    </w:p>
    <w:p>
      <w:pPr>
        <w:pStyle w:val="239"/>
        <w:widowControl w:val="0"/>
        <w:tabs>
          <w:tab w:val="left" w:pos="945"/>
        </w:tabs>
        <w:spacing w:line="360" w:lineRule="auto"/>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①日处理污水量 3000吨（含）-</w:t>
      </w:r>
      <w:r>
        <w:rPr>
          <w:rFonts w:hint="eastAsia" w:ascii="宋体" w:hAnsi="宋体" w:cs="宋体"/>
          <w:bCs/>
          <w:color w:val="000000" w:themeColor="text1"/>
          <w:highlight w:val="none"/>
          <w:lang w:val="en-US" w:eastAsia="zh-CN"/>
          <w14:textFill>
            <w14:solidFill>
              <w14:schemeClr w14:val="tx1"/>
            </w14:solidFill>
          </w14:textFill>
        </w:rPr>
        <w:t>5</w:t>
      </w:r>
      <w:r>
        <w:rPr>
          <w:rFonts w:hint="eastAsia" w:ascii="宋体" w:hAnsi="宋体" w:cs="宋体"/>
          <w:bCs/>
          <w:color w:val="000000" w:themeColor="text1"/>
          <w:highlight w:val="none"/>
          <w14:textFill>
            <w14:solidFill>
              <w14:schemeClr w14:val="tx1"/>
            </w14:solidFill>
          </w14:textFill>
        </w:rPr>
        <w:t>000吨（含），全费用综合单价</w:t>
      </w:r>
      <w:r>
        <w:rPr>
          <w:rFonts w:hint="eastAsia" w:ascii="宋体" w:hAnsi="宋体" w:cs="宋体"/>
          <w:bCs/>
          <w:color w:val="000000" w:themeColor="text1"/>
          <w:highlight w:val="none"/>
          <w:u w:val="single"/>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元/立方米；</w:t>
      </w:r>
    </w:p>
    <w:p>
      <w:pPr>
        <w:pStyle w:val="239"/>
        <w:widowControl w:val="0"/>
        <w:tabs>
          <w:tab w:val="left" w:pos="945"/>
        </w:tabs>
        <w:spacing w:line="360" w:lineRule="auto"/>
        <w:ind w:firstLine="480"/>
        <w:rPr>
          <w:rFonts w:ascii="宋体" w:hAnsi="宋体" w:cs="宋体"/>
          <w:bCs/>
          <w:color w:val="000000" w:themeColor="text1"/>
          <w:highlight w:val="non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 xml:space="preserve">②日处理污水量 </w:t>
      </w:r>
      <w:r>
        <w:rPr>
          <w:rFonts w:hint="eastAsia" w:ascii="宋体" w:hAnsi="宋体" w:cs="宋体"/>
          <w:bCs/>
          <w:color w:val="000000" w:themeColor="text1"/>
          <w:highlight w:val="none"/>
          <w:lang w:val="en-US" w:eastAsia="zh-CN"/>
          <w14:textFill>
            <w14:solidFill>
              <w14:schemeClr w14:val="tx1"/>
            </w14:solidFill>
          </w14:textFill>
        </w:rPr>
        <w:t>5</w:t>
      </w:r>
      <w:r>
        <w:rPr>
          <w:rFonts w:hint="eastAsia" w:ascii="宋体" w:hAnsi="宋体" w:cs="宋体"/>
          <w:bCs/>
          <w:color w:val="000000" w:themeColor="text1"/>
          <w:highlight w:val="none"/>
          <w14:textFill>
            <w14:solidFill>
              <w14:schemeClr w14:val="tx1"/>
            </w14:solidFill>
          </w14:textFill>
        </w:rPr>
        <w:t>000吨（</w:t>
      </w:r>
      <w:r>
        <w:rPr>
          <w:rFonts w:hint="eastAsia" w:ascii="宋体" w:hAnsi="宋体" w:cs="宋体"/>
          <w:bCs/>
          <w:color w:val="000000" w:themeColor="text1"/>
          <w:highlight w:val="none"/>
          <w:lang w:val="en-US" w:eastAsia="zh-CN"/>
          <w14:textFill>
            <w14:solidFill>
              <w14:schemeClr w14:val="tx1"/>
            </w14:solidFill>
          </w14:textFill>
        </w:rPr>
        <w:t>不</w:t>
      </w:r>
      <w:r>
        <w:rPr>
          <w:rFonts w:hint="eastAsia" w:ascii="宋体" w:hAnsi="宋体" w:cs="宋体"/>
          <w:bCs/>
          <w:color w:val="000000" w:themeColor="text1"/>
          <w:highlight w:val="none"/>
          <w14:textFill>
            <w14:solidFill>
              <w14:schemeClr w14:val="tx1"/>
            </w14:solidFill>
          </w14:textFill>
        </w:rPr>
        <w:t>含）-</w:t>
      </w:r>
      <w:r>
        <w:rPr>
          <w:rFonts w:hint="eastAsia" w:ascii="宋体" w:hAnsi="宋体" w:cs="宋体"/>
          <w:bCs/>
          <w:color w:val="000000" w:themeColor="text1"/>
          <w:highlight w:val="none"/>
          <w:lang w:val="en-US" w:eastAsia="zh-CN"/>
          <w14:textFill>
            <w14:solidFill>
              <w14:schemeClr w14:val="tx1"/>
            </w14:solidFill>
          </w14:textFill>
        </w:rPr>
        <w:t>10</w:t>
      </w:r>
      <w:r>
        <w:rPr>
          <w:rFonts w:hint="eastAsia" w:ascii="宋体" w:hAnsi="宋体" w:cs="宋体"/>
          <w:bCs/>
          <w:color w:val="000000" w:themeColor="text1"/>
          <w:highlight w:val="none"/>
          <w14:textFill>
            <w14:solidFill>
              <w14:schemeClr w14:val="tx1"/>
            </w14:solidFill>
          </w14:textFill>
        </w:rPr>
        <w:t>000吨（含），全费用综合单价</w:t>
      </w:r>
      <w:r>
        <w:rPr>
          <w:rFonts w:hint="eastAsia" w:ascii="宋体" w:hAnsi="宋体" w:cs="宋体"/>
          <w:bCs/>
          <w:color w:val="000000" w:themeColor="text1"/>
          <w:highlight w:val="none"/>
          <w:u w:val="single"/>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元/立方米；</w:t>
      </w:r>
    </w:p>
    <w:p>
      <w:pPr>
        <w:pStyle w:val="239"/>
        <w:widowControl w:val="0"/>
        <w:tabs>
          <w:tab w:val="left" w:pos="945"/>
        </w:tabs>
        <w:spacing w:line="360" w:lineRule="auto"/>
        <w:ind w:firstLine="480"/>
        <w:rPr>
          <w:rFonts w:hint="eastAsia" w:ascii="宋体" w:hAnsi="宋体" w:cs="宋体"/>
          <w:bCs/>
          <w:color w:val="000000" w:themeColor="text1"/>
          <w:highlight w:val="none"/>
          <w:lang w:eastAsia="zh-CN"/>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③日处理污水量</w:t>
      </w:r>
      <w:r>
        <w:rPr>
          <w:rFonts w:hint="eastAsia" w:ascii="宋体" w:hAnsi="宋体" w:cs="宋体"/>
          <w:bCs/>
          <w:color w:val="000000" w:themeColor="text1"/>
          <w:highlight w:val="none"/>
          <w:lang w:val="en-US" w:eastAsia="zh-CN"/>
          <w14:textFill>
            <w14:solidFill>
              <w14:schemeClr w14:val="tx1"/>
            </w14:solidFill>
          </w14:textFill>
        </w:rPr>
        <w:t>10</w:t>
      </w:r>
      <w:r>
        <w:rPr>
          <w:rFonts w:hint="eastAsia" w:ascii="宋体" w:hAnsi="宋体" w:cs="宋体"/>
          <w:bCs/>
          <w:color w:val="000000" w:themeColor="text1"/>
          <w:highlight w:val="none"/>
          <w14:textFill>
            <w14:solidFill>
              <w14:schemeClr w14:val="tx1"/>
            </w14:solidFill>
          </w14:textFill>
        </w:rPr>
        <w:t>000吨（</w:t>
      </w:r>
      <w:r>
        <w:rPr>
          <w:rFonts w:hint="eastAsia" w:ascii="宋体" w:hAnsi="宋体" w:cs="宋体"/>
          <w:bCs/>
          <w:color w:val="000000" w:themeColor="text1"/>
          <w:highlight w:val="none"/>
          <w:lang w:val="en-US" w:eastAsia="zh-CN"/>
          <w14:textFill>
            <w14:solidFill>
              <w14:schemeClr w14:val="tx1"/>
            </w14:solidFill>
          </w14:textFill>
        </w:rPr>
        <w:t>不</w:t>
      </w:r>
      <w:r>
        <w:rPr>
          <w:rFonts w:hint="eastAsia" w:ascii="宋体" w:hAnsi="宋体" w:cs="宋体"/>
          <w:bCs/>
          <w:color w:val="000000" w:themeColor="text1"/>
          <w:highlight w:val="none"/>
          <w14:textFill>
            <w14:solidFill>
              <w14:schemeClr w14:val="tx1"/>
            </w14:solidFill>
          </w14:textFill>
        </w:rPr>
        <w:t>含）-1</w:t>
      </w:r>
      <w:r>
        <w:rPr>
          <w:rFonts w:hint="eastAsia" w:ascii="宋体" w:hAnsi="宋体" w:cs="宋体"/>
          <w:bCs/>
          <w:color w:val="000000" w:themeColor="text1"/>
          <w:highlight w:val="none"/>
          <w:lang w:val="en-US" w:eastAsia="zh-CN"/>
          <w14:textFill>
            <w14:solidFill>
              <w14:schemeClr w14:val="tx1"/>
            </w14:solidFill>
          </w14:textFill>
        </w:rPr>
        <w:t>5</w:t>
      </w:r>
      <w:r>
        <w:rPr>
          <w:rFonts w:hint="eastAsia" w:ascii="宋体" w:hAnsi="宋体" w:cs="宋体"/>
          <w:bCs/>
          <w:color w:val="000000" w:themeColor="text1"/>
          <w:highlight w:val="none"/>
          <w14:textFill>
            <w14:solidFill>
              <w14:schemeClr w14:val="tx1"/>
            </w14:solidFill>
          </w14:textFill>
        </w:rPr>
        <w:t>000吨（含），全费用综合单价</w:t>
      </w:r>
      <w:r>
        <w:rPr>
          <w:rFonts w:hint="eastAsia" w:ascii="宋体" w:hAnsi="宋体" w:cs="宋体"/>
          <w:bCs/>
          <w:color w:val="000000" w:themeColor="text1"/>
          <w:highlight w:val="none"/>
          <w:u w:val="single"/>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元/立方米</w:t>
      </w:r>
      <w:r>
        <w:rPr>
          <w:rFonts w:hint="eastAsia" w:ascii="宋体" w:hAnsi="宋体" w:cs="宋体"/>
          <w:bCs/>
          <w:color w:val="000000" w:themeColor="text1"/>
          <w:highlight w:val="none"/>
          <w:lang w:eastAsia="zh-CN"/>
          <w14:textFill>
            <w14:solidFill>
              <w14:schemeClr w14:val="tx1"/>
            </w14:solidFill>
          </w14:textFill>
        </w:rPr>
        <w:t>。</w:t>
      </w:r>
    </w:p>
    <w:p>
      <w:pPr>
        <w:pStyle w:val="239"/>
        <w:numPr>
          <w:ilvl w:val="0"/>
          <w:numId w:val="0"/>
        </w:numPr>
        <w:tabs>
          <w:tab w:val="left" w:pos="945"/>
        </w:tabs>
        <w:spacing w:line="400" w:lineRule="exact"/>
        <w:ind w:left="-640" w:right="-1144" w:rightChars="-400" w:firstLine="1120" w:firstLineChars="500"/>
        <w:rPr>
          <w:rFonts w:hint="default" w:ascii="宋体" w:hAnsi="宋体" w:eastAsia="宋体" w:cs="宋体"/>
          <w:b/>
          <w:bCs w:val="0"/>
          <w:color w:val="000000" w:themeColor="text1"/>
          <w:spacing w:val="-11"/>
          <w:sz w:val="24"/>
          <w:szCs w:val="24"/>
          <w:highlight w:val="none"/>
          <w:lang w:val="en-US" w:eastAsia="zh-CN"/>
          <w14:textFill>
            <w14:solidFill>
              <w14:schemeClr w14:val="tx1"/>
            </w14:solidFill>
          </w14:textFill>
        </w:rPr>
      </w:pPr>
      <w:r>
        <w:rPr>
          <w:rFonts w:hint="eastAsia" w:ascii="宋体" w:hAnsi="宋体" w:cs="宋体"/>
          <w:b/>
          <w:bCs w:val="0"/>
          <w:color w:val="000000" w:themeColor="text1"/>
          <w:spacing w:val="-11"/>
          <w:sz w:val="24"/>
          <w:szCs w:val="24"/>
          <w:highlight w:val="none"/>
          <w:lang w:val="en-US" w:eastAsia="zh-CN"/>
          <w14:textFill>
            <w14:solidFill>
              <w14:schemeClr w14:val="tx1"/>
            </w14:solidFill>
          </w14:textFill>
        </w:rPr>
        <w:t>计算方式：</w:t>
      </w:r>
      <w:r>
        <w:rPr>
          <w:rFonts w:hint="eastAsia" w:ascii="宋体" w:hAnsi="宋体" w:cs="宋体"/>
          <w:b/>
          <w:bCs w:val="0"/>
          <w:color w:val="000000" w:themeColor="text1"/>
          <w:spacing w:val="-11"/>
          <w:sz w:val="24"/>
          <w:szCs w:val="24"/>
          <w:highlight w:val="none"/>
          <w:u w:val="single"/>
          <w:lang w:val="en-US" w:eastAsia="zh-CN"/>
          <w14:textFill>
            <w14:solidFill>
              <w14:schemeClr w14:val="tx1"/>
            </w14:solidFill>
          </w14:textFill>
        </w:rPr>
        <w:t xml:space="preserve">    </w:t>
      </w:r>
      <w:r>
        <w:rPr>
          <w:rFonts w:hint="eastAsia" w:ascii="宋体" w:hAnsi="宋体" w:cs="宋体"/>
          <w:b/>
          <w:bCs w:val="0"/>
          <w:color w:val="000000" w:themeColor="text1"/>
          <w:spacing w:val="-11"/>
          <w:sz w:val="24"/>
          <w:szCs w:val="24"/>
          <w:highlight w:val="none"/>
          <w:lang w:val="en-US" w:eastAsia="zh-CN"/>
          <w14:textFill>
            <w14:solidFill>
              <w14:schemeClr w14:val="tx1"/>
            </w14:solidFill>
          </w14:textFill>
        </w:rPr>
        <w:t>*10000*365+</w:t>
      </w:r>
      <w:r>
        <w:rPr>
          <w:rFonts w:hint="eastAsia" w:ascii="宋体" w:hAnsi="宋体" w:cs="宋体"/>
          <w:b/>
          <w:bCs w:val="0"/>
          <w:color w:val="000000" w:themeColor="text1"/>
          <w:spacing w:val="-11"/>
          <w:sz w:val="24"/>
          <w:szCs w:val="24"/>
          <w:highlight w:val="none"/>
          <w:u w:val="single"/>
          <w:lang w:val="en-US" w:eastAsia="zh-CN"/>
          <w14:textFill>
            <w14:solidFill>
              <w14:schemeClr w14:val="tx1"/>
            </w14:solidFill>
          </w14:textFill>
        </w:rPr>
        <w:t xml:space="preserve">    </w:t>
      </w:r>
      <w:r>
        <w:rPr>
          <w:rFonts w:hint="eastAsia" w:ascii="宋体" w:hAnsi="宋体" w:cs="宋体"/>
          <w:b/>
          <w:bCs w:val="0"/>
          <w:color w:val="000000" w:themeColor="text1"/>
          <w:spacing w:val="-11"/>
          <w:sz w:val="24"/>
          <w:szCs w:val="24"/>
          <w:highlight w:val="none"/>
          <w:lang w:val="en-US" w:eastAsia="zh-CN"/>
          <w14:textFill>
            <w14:solidFill>
              <w14:schemeClr w14:val="tx1"/>
            </w14:solidFill>
          </w14:textFill>
        </w:rPr>
        <w:t>*15000*365*2=</w:t>
      </w:r>
      <w:r>
        <w:rPr>
          <w:rFonts w:hint="eastAsia" w:ascii="宋体" w:hAnsi="宋体" w:cs="宋体"/>
          <w:b/>
          <w:bCs w:val="0"/>
          <w:color w:val="000000" w:themeColor="text1"/>
          <w:spacing w:val="-11"/>
          <w:sz w:val="24"/>
          <w:szCs w:val="24"/>
          <w:highlight w:val="none"/>
          <w:u w:val="single"/>
          <w:lang w:val="en-US" w:eastAsia="zh-CN"/>
          <w14:textFill>
            <w14:solidFill>
              <w14:schemeClr w14:val="tx1"/>
            </w14:solidFill>
          </w14:textFill>
        </w:rPr>
        <w:t xml:space="preserve">        </w:t>
      </w:r>
      <w:r>
        <w:rPr>
          <w:rFonts w:hint="eastAsia" w:ascii="宋体" w:hAnsi="宋体" w:cs="宋体"/>
          <w:b/>
          <w:bCs w:val="0"/>
          <w:color w:val="000000" w:themeColor="text1"/>
          <w:spacing w:val="-11"/>
          <w:sz w:val="24"/>
          <w:szCs w:val="24"/>
          <w:highlight w:val="none"/>
          <w:lang w:val="en-US" w:eastAsia="zh-CN"/>
          <w14:textFill>
            <w14:solidFill>
              <w14:schemeClr w14:val="tx1"/>
            </w14:solidFill>
          </w14:textFill>
        </w:rPr>
        <w:t>元。（以上费用均为含税价）</w:t>
      </w:r>
    </w:p>
    <w:p>
      <w:pPr>
        <w:pStyle w:val="19"/>
        <w:ind w:firstLine="432" w:firstLineChars="200"/>
        <w:rPr>
          <w:rFonts w:hint="eastAsia" w:ascii="宋体" w:hAnsi="宋体" w:eastAsia="宋体" w:cs="宋体"/>
          <w:b/>
          <w:bCs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b/>
          <w:bCs w:val="0"/>
          <w:color w:val="000000" w:themeColor="text1"/>
          <w:sz w:val="21"/>
          <w:szCs w:val="21"/>
          <w:highlight w:val="none"/>
          <w:lang w:val="en-US" w:eastAsia="zh-CN" w:bidi="ar-SA"/>
          <w14:textFill>
            <w14:solidFill>
              <w14:schemeClr w14:val="tx1"/>
            </w14:solidFill>
          </w14:textFill>
        </w:rPr>
        <w:t>（4）付款方式：</w:t>
      </w:r>
    </w:p>
    <w:p>
      <w:pPr>
        <w:pStyle w:val="19"/>
        <w:keepNext w:val="0"/>
        <w:keepLines w:val="0"/>
        <w:pageBreakBefore w:val="0"/>
        <w:numPr>
          <w:ilvl w:val="0"/>
          <w:numId w:val="0"/>
        </w:numPr>
        <w:kinsoku/>
        <w:wordWrap/>
        <w:overflowPunct/>
        <w:topLinePunct w:val="0"/>
        <w:bidi w:val="0"/>
        <w:snapToGrid/>
        <w:spacing w:line="430" w:lineRule="exact"/>
        <w:ind w:firstLine="468" w:firstLineChars="200"/>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pacing w:val="-6"/>
          <w:sz w:val="24"/>
          <w:szCs w:val="24"/>
          <w:highlight w:val="none"/>
          <w:lang w:val="en-US" w:eastAsia="zh-CN"/>
          <w14:textFill>
            <w14:solidFill>
              <w14:schemeClr w14:val="tx1"/>
            </w14:solidFill>
          </w14:textFill>
        </w:rPr>
        <w:t>1、本项目服务费每半年付一次</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，最终结算</w:t>
      </w:r>
      <w:r>
        <w:rPr>
          <w:rFonts w:hint="eastAsia" w:ascii="宋体" w:hAnsi="宋体" w:eastAsia="宋体" w:cs="宋体"/>
          <w:b w:val="0"/>
          <w:bCs w:val="0"/>
          <w:color w:val="000000" w:themeColor="text1"/>
          <w:spacing w:val="-6"/>
          <w:sz w:val="24"/>
          <w:szCs w:val="24"/>
          <w:highlight w:val="none"/>
          <w:lang w:val="en-US"/>
          <w14:textFill>
            <w14:solidFill>
              <w14:schemeClr w14:val="tx1"/>
            </w14:solidFill>
          </w14:textFill>
        </w:rPr>
        <w:t>按每月日处理污水量对应单价计价，</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每年前6个月的费用于第7个月月底前根据考核情况予以支付；后6个月的</w:t>
      </w:r>
      <w:r>
        <w:rPr>
          <w:rFonts w:hint="eastAsia" w:ascii="宋体" w:hAnsi="宋体" w:eastAsia="宋体" w:cs="宋体"/>
          <w:b w:val="0"/>
          <w:bCs w:val="0"/>
          <w:color w:val="000000" w:themeColor="text1"/>
          <w:spacing w:val="-6"/>
          <w:sz w:val="24"/>
          <w:szCs w:val="24"/>
          <w:highlight w:val="none"/>
          <w:lang w:val="en-US"/>
          <w14:textFill>
            <w14:solidFill>
              <w14:schemeClr w14:val="tx1"/>
            </w14:solidFill>
          </w14:textFill>
        </w:rPr>
        <w:t>费用</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于次年第一个月月底前</w:t>
      </w:r>
      <w:r>
        <w:rPr>
          <w:rFonts w:hint="eastAsia" w:ascii="宋体" w:hAnsi="宋体" w:eastAsia="宋体" w:cs="宋体"/>
          <w:b w:val="0"/>
          <w:bCs w:val="0"/>
          <w:color w:val="000000" w:themeColor="text1"/>
          <w:spacing w:val="-6"/>
          <w:sz w:val="24"/>
          <w:szCs w:val="24"/>
          <w:highlight w:val="none"/>
          <w:lang w:val="en-US"/>
          <w14:textFill>
            <w14:solidFill>
              <w14:schemeClr w14:val="tx1"/>
            </w14:solidFill>
          </w14:textFill>
        </w:rPr>
        <w:t>根据</w:t>
      </w: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考核情况予以支付。</w:t>
      </w:r>
    </w:p>
    <w:p>
      <w:pPr>
        <w:pStyle w:val="19"/>
        <w:keepNext w:val="0"/>
        <w:keepLines w:val="0"/>
        <w:pageBreakBefore w:val="0"/>
        <w:kinsoku/>
        <w:wordWrap/>
        <w:overflowPunct/>
        <w:topLinePunct w:val="0"/>
        <w:bidi w:val="0"/>
        <w:snapToGrid/>
        <w:spacing w:line="430" w:lineRule="exact"/>
        <w:ind w:firstLine="468" w:firstLineChars="200"/>
        <w:textAlignment w:val="auto"/>
        <w:rPr>
          <w:rFonts w:hint="default" w:ascii="宋体" w:hAnsi="宋体" w:eastAsia="宋体" w:cs="宋体"/>
          <w:b/>
          <w:bCs/>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2、甲方根据考核结果对服务费用进行拨付。季度考核总分在达标分90分（含）以上的，全额拨付当期服务费用；季度考核总分在达标分90分（不含）以下的，则扣除相应的服务费用；服务费用核拨将根据季度考核结果进行，考核优秀的全额拨付服务费用，其余酌情进行核减，</w:t>
      </w:r>
      <w:r>
        <w:rPr>
          <w:rFonts w:hint="eastAsia" w:ascii="宋体" w:hAnsi="宋体" w:eastAsia="宋体" w:cs="宋体"/>
          <w:b/>
          <w:bCs/>
          <w:color w:val="000000" w:themeColor="text1"/>
          <w:spacing w:val="-6"/>
          <w:sz w:val="24"/>
          <w:szCs w:val="24"/>
          <w:highlight w:val="none"/>
          <w:lang w:val="en-US" w:eastAsia="zh-CN"/>
          <w14:textFill>
            <w14:solidFill>
              <w14:schemeClr w14:val="tx1"/>
            </w14:solidFill>
          </w14:textFill>
        </w:rPr>
        <w:t>具体核减标准如下：</w:t>
      </w:r>
    </w:p>
    <w:p>
      <w:pPr>
        <w:pStyle w:val="19"/>
        <w:keepNext w:val="0"/>
        <w:keepLines w:val="0"/>
        <w:pageBreakBefore w:val="0"/>
        <w:kinsoku/>
        <w:wordWrap/>
        <w:overflowPunct/>
        <w:topLinePunct w:val="0"/>
        <w:bidi w:val="0"/>
        <w:snapToGrid/>
        <w:spacing w:line="430" w:lineRule="exact"/>
        <w:ind w:firstLine="468" w:firstLineChars="200"/>
        <w:textAlignment w:val="auto"/>
        <w:rPr>
          <w:rFonts w:hint="default" w:ascii="宋体" w:hAnsi="宋体" w:eastAsia="宋体" w:cs="宋体"/>
          <w:b w:val="0"/>
          <w:bCs w:val="0"/>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（1）得分在85分（含）-90分（不含）的，扣减2.5%，支付当期97.5%的服务费用；得分在80分（含）-85分（不含）的，扣减5%，支付当期95%服务费用。</w:t>
      </w:r>
    </w:p>
    <w:p>
      <w:pPr>
        <w:pStyle w:val="19"/>
        <w:keepNext w:val="0"/>
        <w:keepLines w:val="0"/>
        <w:pageBreakBefore w:val="0"/>
        <w:kinsoku/>
        <w:wordWrap/>
        <w:overflowPunct/>
        <w:topLinePunct w:val="0"/>
        <w:bidi w:val="0"/>
        <w:snapToGrid/>
        <w:spacing w:line="430" w:lineRule="exact"/>
        <w:ind w:firstLine="468" w:firstLineChars="200"/>
        <w:textAlignment w:val="auto"/>
        <w:rPr>
          <w:rFonts w:hint="default" w:ascii="宋体" w:hAnsi="宋体" w:eastAsia="宋体" w:cs="宋体"/>
          <w:b w:val="0"/>
          <w:bCs w:val="0"/>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（2）得分在75分（含）-80分（不含）的，扣减7.5%，支付当期92.5%的服务费用；得分在70分（含）-75分（不含）的，扣减10%，支付当期90%服务费用。</w:t>
      </w:r>
    </w:p>
    <w:p>
      <w:pPr>
        <w:pStyle w:val="19"/>
        <w:keepNext w:val="0"/>
        <w:keepLines w:val="0"/>
        <w:pageBreakBefore w:val="0"/>
        <w:kinsoku/>
        <w:wordWrap/>
        <w:overflowPunct/>
        <w:topLinePunct w:val="0"/>
        <w:bidi w:val="0"/>
        <w:snapToGrid/>
        <w:spacing w:line="430" w:lineRule="exact"/>
        <w:ind w:firstLine="468" w:firstLineChars="200"/>
        <w:textAlignment w:val="auto"/>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（3）得分在70分（不含）以下的，扣减20%，支付当期80%服务费用。</w:t>
      </w:r>
    </w:p>
    <w:p>
      <w:pPr>
        <w:pStyle w:val="19"/>
        <w:keepNext w:val="0"/>
        <w:keepLines w:val="0"/>
        <w:pageBreakBefore w:val="0"/>
        <w:widowControl w:val="0"/>
        <w:kinsoku/>
        <w:wordWrap/>
        <w:overflowPunct/>
        <w:topLinePunct w:val="0"/>
        <w:bidi w:val="0"/>
        <w:snapToGrid/>
        <w:spacing w:line="430" w:lineRule="exact"/>
        <w:ind w:firstLine="468" w:firstLineChars="200"/>
        <w:textAlignment w:val="auto"/>
        <w:rPr>
          <w:rFonts w:hint="eastAsia" w:ascii="宋体" w:hAnsi="宋体" w:eastAsia="宋体" w:cs="宋体"/>
          <w:color w:val="000000" w:themeColor="text1"/>
          <w:spacing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（4）如当季考核</w:t>
      </w:r>
      <w:r>
        <w:rPr>
          <w:rFonts w:hint="eastAsia" w:ascii="宋体" w:hAnsi="宋体" w:eastAsia="宋体" w:cs="宋体"/>
          <w:b w:val="0"/>
          <w:bCs w:val="0"/>
          <w:color w:val="000000" w:themeColor="text1"/>
          <w:spacing w:val="0"/>
          <w:sz w:val="24"/>
          <w:szCs w:val="24"/>
          <w:highlight w:val="none"/>
          <w:lang w:val="en-US" w:eastAsia="zh-CN"/>
          <w14:textFill>
            <w14:solidFill>
              <w14:schemeClr w14:val="tx1"/>
            </w14:solidFill>
          </w14:textFill>
        </w:rPr>
        <w:t>扣分有在“高铁新城再生水厂运营管理服务项目考核实施细则”中第一项污水处理质量</w:t>
      </w:r>
      <w:r>
        <w:rPr>
          <w:rFonts w:hint="eastAsia" w:ascii="宋体" w:hAnsi="宋体" w:eastAsia="宋体" w:cs="宋体"/>
          <w:b/>
          <w:bCs/>
          <w:color w:val="000000" w:themeColor="text1"/>
          <w:spacing w:val="0"/>
          <w:sz w:val="24"/>
          <w:szCs w:val="24"/>
          <w:highlight w:val="none"/>
          <w:lang w:val="en-US" w:eastAsia="zh-CN"/>
          <w14:textFill>
            <w14:solidFill>
              <w14:schemeClr w14:val="tx1"/>
            </w14:solidFill>
          </w14:textFill>
        </w:rPr>
        <w:t>（30分）</w:t>
      </w:r>
      <w:r>
        <w:rPr>
          <w:rFonts w:hint="eastAsia" w:ascii="宋体" w:hAnsi="宋体" w:eastAsia="宋体" w:cs="宋体"/>
          <w:b w:val="0"/>
          <w:bCs w:val="0"/>
          <w:color w:val="000000" w:themeColor="text1"/>
          <w:spacing w:val="0"/>
          <w:sz w:val="24"/>
          <w:szCs w:val="24"/>
          <w:highlight w:val="none"/>
          <w:lang w:val="en-US" w:eastAsia="zh-CN"/>
          <w14:textFill>
            <w14:solidFill>
              <w14:schemeClr w14:val="tx1"/>
            </w14:solidFill>
          </w14:textFill>
        </w:rPr>
        <w:t>中产生的，</w:t>
      </w:r>
      <w:r>
        <w:rPr>
          <w:rFonts w:hint="eastAsia" w:ascii="宋体" w:hAnsi="宋体" w:eastAsia="宋体" w:cs="宋体"/>
          <w:b/>
          <w:bCs/>
          <w:color w:val="000000" w:themeColor="text1"/>
          <w:spacing w:val="0"/>
          <w:sz w:val="24"/>
          <w:szCs w:val="24"/>
          <w:highlight w:val="none"/>
          <w:lang w:val="en-US" w:eastAsia="zh-CN"/>
          <w14:textFill>
            <w14:solidFill>
              <w14:schemeClr w14:val="tx1"/>
            </w14:solidFill>
          </w14:textFill>
        </w:rPr>
        <w:t>则在原考核核减标准基础上，每扣一分再扣减当季服务费用的0.5%。（增加扣减费用计算基数为当期该季度对应每月此项扣分总数，即如该项扣分总数为3分的，则增加扣减当季服务费用3分*0.5%/分=1.5%）</w:t>
      </w:r>
    </w:p>
    <w:p>
      <w:pPr>
        <w:keepNext w:val="0"/>
        <w:keepLines w:val="0"/>
        <w:pageBreakBefore w:val="0"/>
        <w:widowControl w:val="0"/>
        <w:kinsoku/>
        <w:wordWrap/>
        <w:overflowPunct/>
        <w:topLinePunct w:val="0"/>
        <w:autoSpaceDE/>
        <w:autoSpaceDN/>
        <w:bidi w:val="0"/>
        <w:adjustRightInd/>
        <w:snapToGrid/>
        <w:spacing w:line="430" w:lineRule="exact"/>
        <w:ind w:firstLine="468" w:firstLineChars="200"/>
        <w:textAlignment w:val="auto"/>
        <w:rPr>
          <w:rFonts w:hint="default"/>
          <w:color w:val="000000" w:themeColor="text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4"/>
          <w:szCs w:val="24"/>
          <w:highlight w:val="none"/>
          <w:lang w:val="en-US" w:eastAsia="zh-CN"/>
          <w14:textFill>
            <w14:solidFill>
              <w14:schemeClr w14:val="tx1"/>
            </w14:solidFill>
          </w14:textFill>
        </w:rPr>
        <w:t>3、费用计算方式：以每月污水处理量为基数，计算单月日平均污水处理量，在套用中标单价，计算出每月支付费用。三个月费用相加得到季度费用，在结合相应季度考核分，得出最终季度计算费用。</w:t>
      </w:r>
    </w:p>
    <w:p>
      <w:pPr>
        <w:pStyle w:val="19"/>
        <w:keepNext w:val="0"/>
        <w:keepLines w:val="0"/>
        <w:pageBreakBefore w:val="0"/>
        <w:kinsoku/>
        <w:wordWrap/>
        <w:overflowPunct/>
        <w:topLinePunct w:val="0"/>
        <w:bidi w:val="0"/>
        <w:snapToGrid/>
        <w:spacing w:line="430" w:lineRule="exact"/>
        <w:ind w:firstLine="468" w:firstLineChars="200"/>
        <w:textAlignment w:val="auto"/>
        <w:rPr>
          <w:rFonts w:ascii="宋体" w:hAnsi="宋体" w:eastAsia="宋体" w:cs="宋体"/>
          <w:b/>
          <w:bCs/>
          <w:color w:val="000000" w:themeColor="text1"/>
          <w:spacing w:val="-6"/>
          <w:sz w:val="24"/>
          <w:szCs w:val="24"/>
          <w:highlight w:val="none"/>
          <w:lang w:val="en-US"/>
          <w14:textFill>
            <w14:solidFill>
              <w14:schemeClr w14:val="tx1"/>
            </w14:solidFill>
          </w14:textFill>
        </w:rPr>
      </w:pPr>
      <w:r>
        <w:rPr>
          <w:rFonts w:hint="eastAsia" w:ascii="宋体" w:hAnsi="宋体" w:eastAsia="宋体" w:cs="宋体"/>
          <w:b/>
          <w:bCs/>
          <w:color w:val="000000" w:themeColor="text1"/>
          <w:spacing w:val="-6"/>
          <w:sz w:val="24"/>
          <w:szCs w:val="24"/>
          <w:highlight w:val="none"/>
          <w:lang w:val="en-US"/>
          <w14:textFill>
            <w14:solidFill>
              <w14:schemeClr w14:val="tx1"/>
            </w14:solidFill>
          </w14:textFill>
        </w:rPr>
        <w:t>结算时需按业主要求递交结算申请资料及对应金额的发票。最后一笔运维费须等确认所有设备完好、无偿移交、资料完整移交后支付。</w:t>
      </w:r>
    </w:p>
    <w:p>
      <w:pPr>
        <w:pStyle w:val="19"/>
        <w:ind w:firstLine="448" w:firstLineChars="200"/>
        <w:rPr>
          <w:rFonts w:ascii="宋体" w:hAnsi="宋体" w:eastAsia="宋体" w:cs="宋体"/>
          <w:b/>
          <w:bCs/>
          <w:color w:val="000000" w:themeColor="text1"/>
          <w:spacing w:val="-11"/>
          <w:sz w:val="24"/>
          <w:szCs w:val="24"/>
          <w:highlight w:val="none"/>
          <w:lang w:val="en-US"/>
          <w14:textFill>
            <w14:solidFill>
              <w14:schemeClr w14:val="tx1"/>
            </w14:solidFill>
          </w14:textFill>
        </w:rPr>
      </w:pPr>
      <w:r>
        <w:rPr>
          <w:rFonts w:hint="eastAsia" w:ascii="宋体" w:hAnsi="宋体" w:eastAsia="宋体" w:cs="宋体"/>
          <w:b/>
          <w:bCs/>
          <w:color w:val="000000" w:themeColor="text1"/>
          <w:spacing w:val="-11"/>
          <w:sz w:val="24"/>
          <w:szCs w:val="24"/>
          <w:highlight w:val="none"/>
          <w:lang w:val="en-US" w:eastAsia="zh-CN"/>
          <w14:textFill>
            <w14:solidFill>
              <w14:schemeClr w14:val="tx1"/>
            </w14:solidFill>
          </w14:textFill>
        </w:rPr>
        <w:t>注：</w:t>
      </w:r>
      <w:r>
        <w:rPr>
          <w:rFonts w:hint="eastAsia" w:ascii="宋体" w:hAnsi="宋体" w:eastAsia="宋体" w:cs="宋体"/>
          <w:b/>
          <w:bCs/>
          <w:color w:val="000000" w:themeColor="text1"/>
          <w:spacing w:val="-11"/>
          <w:sz w:val="24"/>
          <w:szCs w:val="24"/>
          <w:highlight w:val="none"/>
          <w:lang w:val="en-US"/>
          <w14:textFill>
            <w14:solidFill>
              <w14:schemeClr w14:val="tx1"/>
            </w14:solidFill>
          </w14:textFill>
        </w:rPr>
        <w:t>根据实际污水处理总量及考核情况，按实结算，三年累计不得超过</w:t>
      </w:r>
      <w:r>
        <w:rPr>
          <w:rFonts w:hint="eastAsia" w:ascii="宋体" w:hAnsi="宋体" w:eastAsia="宋体" w:cs="宋体"/>
          <w:b/>
          <w:bCs/>
          <w:color w:val="000000" w:themeColor="text1"/>
          <w:spacing w:val="-11"/>
          <w:sz w:val="24"/>
          <w:szCs w:val="24"/>
          <w:highlight w:val="none"/>
          <w:lang w:val="en-US" w:eastAsia="zh-CN"/>
          <w14:textFill>
            <w14:solidFill>
              <w14:schemeClr w14:val="tx1"/>
            </w14:solidFill>
          </w14:textFill>
        </w:rPr>
        <w:t>暂估合同总价</w:t>
      </w:r>
      <w:r>
        <w:rPr>
          <w:rFonts w:hint="eastAsia" w:ascii="宋体" w:hAnsi="宋体" w:eastAsia="宋体" w:cs="宋体"/>
          <w:b/>
          <w:bCs/>
          <w:color w:val="000000" w:themeColor="text1"/>
          <w:spacing w:val="-11"/>
          <w:sz w:val="24"/>
          <w:szCs w:val="24"/>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pacing w:val="-11"/>
          <w:sz w:val="24"/>
          <w:szCs w:val="24"/>
          <w:highlight w:val="none"/>
          <w:lang w:val="en-US"/>
          <w14:textFill>
            <w14:solidFill>
              <w14:schemeClr w14:val="tx1"/>
            </w14:solidFill>
          </w14:textFill>
        </w:rPr>
        <w:t>万元</w:t>
      </w:r>
      <w:r>
        <w:rPr>
          <w:rFonts w:hint="eastAsia" w:ascii="宋体" w:hAnsi="宋体" w:eastAsia="宋体" w:cs="宋体"/>
          <w:color w:val="000000" w:themeColor="text1"/>
          <w:spacing w:val="-11"/>
          <w:sz w:val="24"/>
          <w:szCs w:val="24"/>
          <w:highlight w:val="none"/>
          <w14:textFill>
            <w14:solidFill>
              <w14:schemeClr w14:val="tx1"/>
            </w14:solidFill>
          </w14:textFill>
        </w:rPr>
        <w:t xml:space="preserve"> </w:t>
      </w:r>
      <w:r>
        <w:rPr>
          <w:rFonts w:hint="eastAsia" w:ascii="宋体" w:hAnsi="宋体" w:eastAsia="宋体" w:cs="宋体"/>
          <w:b/>
          <w:bCs/>
          <w:color w:val="000000" w:themeColor="text1"/>
          <w:spacing w:val="-11"/>
          <w:sz w:val="24"/>
          <w:szCs w:val="24"/>
          <w:highlight w:val="none"/>
          <w:lang w:val="en-US"/>
          <w14:textFill>
            <w14:solidFill>
              <w14:schemeClr w14:val="tx1"/>
            </w14:solidFill>
          </w14:textFill>
        </w:rPr>
        <w:t>。</w:t>
      </w:r>
    </w:p>
    <w:p>
      <w:pPr>
        <w:pStyle w:val="239"/>
        <w:keepNext w:val="0"/>
        <w:keepLines w:val="0"/>
        <w:pageBreakBefore w:val="0"/>
        <w:widowControl w:val="0"/>
        <w:tabs>
          <w:tab w:val="left" w:pos="945"/>
        </w:tabs>
        <w:kinsoku/>
        <w:wordWrap/>
        <w:overflowPunct/>
        <w:topLinePunct w:val="0"/>
        <w:autoSpaceDE/>
        <w:autoSpaceDN/>
        <w:bidi w:val="0"/>
        <w:adjustRightInd/>
        <w:snapToGrid/>
        <w:spacing w:line="360" w:lineRule="auto"/>
        <w:ind w:firstLine="585" w:firstLineChars="271"/>
        <w:textAlignment w:val="auto"/>
        <w:rPr>
          <w:rFonts w:ascii="宋体" w:hAnsi="宋体" w:cs="宋体"/>
          <w:bCs/>
          <w:color w:val="000000" w:themeColor="text1"/>
          <w:highlight w:val="none"/>
          <w:u w:val="single"/>
          <w14:textFill>
            <w14:solidFill>
              <w14:schemeClr w14:val="tx1"/>
            </w14:solidFill>
          </w14:textFill>
        </w:rPr>
      </w:pPr>
      <w:r>
        <w:rPr>
          <w:rFonts w:hint="eastAsia" w:ascii="宋体" w:hAnsi="宋体" w:cs="宋体"/>
          <w:bCs/>
          <w:color w:val="000000" w:themeColor="text1"/>
          <w:highlight w:val="none"/>
          <w14:textFill>
            <w14:solidFill>
              <w14:schemeClr w14:val="tx1"/>
            </w14:solidFill>
          </w14:textFill>
        </w:rPr>
        <w:t>（5）项目运营负责人（厂长）为</w:t>
      </w:r>
      <w:r>
        <w:rPr>
          <w:rFonts w:hint="eastAsia" w:ascii="宋体" w:hAnsi="宋体" w:cs="宋体"/>
          <w:bCs/>
          <w:color w:val="000000" w:themeColor="text1"/>
          <w:highlight w:val="none"/>
          <w:u w:val="single"/>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 xml:space="preserve">，身份证号： </w:t>
      </w:r>
      <w:r>
        <w:rPr>
          <w:rFonts w:hint="eastAsia" w:ascii="宋体" w:hAnsi="宋体" w:cs="宋体"/>
          <w:bCs/>
          <w:color w:val="000000" w:themeColor="text1"/>
          <w:highlight w:val="none"/>
          <w:u w:val="single"/>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572" w:firstLineChars="200"/>
        <w:textAlignment w:val="auto"/>
        <w:rPr>
          <w:rFonts w:hint="eastAsia" w:ascii="宋体" w:hAnsi="宋体" w:eastAsia="宋体" w:cs="宋体"/>
          <w:bCs/>
          <w:kern w:val="0"/>
          <w:sz w:val="21"/>
          <w:szCs w:val="21"/>
          <w:lang w:val="en-US" w:eastAsia="zh-CN" w:bidi="ar-SA"/>
        </w:rPr>
      </w:pPr>
      <w:r>
        <w:rPr>
          <w:rFonts w:hint="eastAsia" w:ascii="宋体" w:hAnsi="宋体" w:cs="宋体"/>
          <w:bCs/>
        </w:rPr>
        <w:t xml:space="preserve"> </w:t>
      </w:r>
      <w:r>
        <w:rPr>
          <w:rFonts w:hint="eastAsia" w:ascii="宋体" w:hAnsi="宋体" w:eastAsia="宋体" w:cs="宋体"/>
          <w:bCs/>
          <w:kern w:val="0"/>
          <w:sz w:val="21"/>
          <w:szCs w:val="21"/>
          <w:lang w:val="en-US" w:eastAsia="zh-CN" w:bidi="ar-SA"/>
        </w:rPr>
        <w:t xml:space="preserve"> 有鉴于此，双方签署本协议，以昭信守。</w:t>
      </w: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第一节  定义与解释</w:t>
      </w:r>
    </w:p>
    <w:p>
      <w:pPr>
        <w:pStyle w:val="239"/>
        <w:keepNext/>
        <w:keepLines/>
        <w:spacing w:before="120" w:after="120"/>
        <w:ind w:firstLine="500"/>
        <w:outlineLvl w:val="4"/>
        <w:rPr>
          <w:rFonts w:ascii="宋体" w:hAnsi="宋体"/>
          <w:b/>
          <w:szCs w:val="20"/>
        </w:rPr>
      </w:pPr>
      <w:r>
        <w:rPr>
          <w:rFonts w:hint="eastAsia" w:ascii="宋体" w:hAnsi="宋体"/>
          <w:b/>
          <w:szCs w:val="20"/>
        </w:rPr>
        <w:t>1.1  定义与解释</w:t>
      </w:r>
    </w:p>
    <w:p>
      <w:pPr>
        <w:pStyle w:val="239"/>
        <w:spacing w:before="97" w:beforeLines="25" w:after="97" w:afterLines="25"/>
        <w:ind w:firstLine="488" w:firstLineChars="237"/>
        <w:rPr>
          <w:rFonts w:ascii="宋体" w:hAnsi="宋体"/>
          <w:sz w:val="20"/>
        </w:rPr>
      </w:pPr>
      <w:r>
        <w:rPr>
          <w:rFonts w:hint="eastAsia" w:ascii="宋体" w:hAnsi="宋体"/>
          <w:sz w:val="20"/>
        </w:rPr>
        <w:t>本协议文字应视作其字面能表达其含义，遵循中国污水处理行业和污水处理运营单位就设计、建造、运营和维护类似项目设施的该类型设备所广泛遵循的惯例、方法和标准，且该等惯例、方法、标准与类似项目设施的该类型设备的供应、制造单位所推荐的运营维护标准大体相符。任何人不能随意作出明显不利于甲方的推论。</w:t>
      </w:r>
    </w:p>
    <w:p>
      <w:pPr>
        <w:pStyle w:val="239"/>
        <w:spacing w:before="97" w:beforeLines="25" w:after="97" w:afterLines="25"/>
        <w:ind w:firstLine="511" w:firstLineChars="237"/>
        <w:rPr>
          <w:rFonts w:ascii="宋体" w:hAnsi="宋体"/>
          <w:b/>
          <w:szCs w:val="20"/>
        </w:rPr>
      </w:pPr>
      <w:r>
        <w:rPr>
          <w:rFonts w:hint="eastAsia" w:ascii="宋体" w:hAnsi="宋体"/>
          <w:b/>
          <w:szCs w:val="20"/>
        </w:rPr>
        <w:t>1.2  释议</w:t>
      </w:r>
    </w:p>
    <w:tbl>
      <w:tblPr>
        <w:tblStyle w:val="61"/>
        <w:tblW w:w="9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7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75" w:type="dxa"/>
          </w:tcPr>
          <w:p>
            <w:pPr>
              <w:pStyle w:val="239"/>
              <w:spacing w:before="194" w:beforeLines="50"/>
              <w:jc w:val="left"/>
              <w:rPr>
                <w:rFonts w:ascii="宋体" w:hAnsi="宋体"/>
                <w:b/>
                <w:bCs/>
                <w:sz w:val="20"/>
                <w:szCs w:val="20"/>
              </w:rPr>
            </w:pPr>
            <w:r>
              <w:rPr>
                <w:rFonts w:hint="eastAsia" w:ascii="宋体" w:hAnsi="宋体"/>
                <w:b/>
                <w:bCs/>
                <w:sz w:val="20"/>
                <w:szCs w:val="20"/>
              </w:rPr>
              <w:t>开始运营日</w:t>
            </w:r>
          </w:p>
        </w:tc>
        <w:tc>
          <w:tcPr>
            <w:tcW w:w="7062" w:type="dxa"/>
          </w:tcPr>
          <w:p>
            <w:pPr>
              <w:pStyle w:val="239"/>
              <w:spacing w:before="194" w:beforeLines="50"/>
              <w:jc w:val="left"/>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乙方书面通知甲方后，自甲方书面确认时起进入运营期</w:t>
            </w:r>
            <w:r>
              <w:rPr>
                <w:rFonts w:ascii="宋体" w:hAnsi="宋体"/>
                <w:color w:val="000000" w:themeColor="text1"/>
                <w:sz w:val="20"/>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2475" w:type="dxa"/>
          </w:tcPr>
          <w:p>
            <w:pPr>
              <w:pStyle w:val="239"/>
              <w:spacing w:before="194" w:beforeLines="50"/>
              <w:jc w:val="left"/>
              <w:rPr>
                <w:rFonts w:ascii="宋体" w:hAnsi="宋体"/>
                <w:b/>
                <w:sz w:val="20"/>
                <w:szCs w:val="20"/>
              </w:rPr>
            </w:pPr>
            <w:r>
              <w:rPr>
                <w:rFonts w:hint="eastAsia" w:ascii="宋体" w:hAnsi="宋体"/>
                <w:b/>
                <w:sz w:val="20"/>
                <w:szCs w:val="20"/>
              </w:rPr>
              <w:t>第三方检测公司</w:t>
            </w:r>
          </w:p>
        </w:tc>
        <w:tc>
          <w:tcPr>
            <w:tcW w:w="7062" w:type="dxa"/>
          </w:tcPr>
          <w:p>
            <w:pPr>
              <w:pStyle w:val="239"/>
              <w:spacing w:before="194" w:beforeLines="50"/>
              <w:jc w:val="left"/>
              <w:rPr>
                <w:rFonts w:ascii="宋体" w:hAnsi="宋体"/>
                <w:sz w:val="20"/>
                <w:szCs w:val="20"/>
              </w:rPr>
            </w:pPr>
            <w:r>
              <w:rPr>
                <w:rFonts w:ascii="宋体" w:hAnsi="宋体"/>
                <w:sz w:val="20"/>
                <w:szCs w:val="20"/>
              </w:rPr>
              <w:t>指</w:t>
            </w:r>
            <w:r>
              <w:rPr>
                <w:rFonts w:hint="eastAsia" w:ascii="宋体" w:hAnsi="宋体"/>
                <w:sz w:val="20"/>
                <w:szCs w:val="20"/>
              </w:rPr>
              <w:t>衢州市水质第三方检测公司。</w:t>
            </w:r>
            <w:r>
              <w:rPr>
                <w:rFonts w:ascii="宋体" w:hAnsi="宋体"/>
                <w:sz w:val="20"/>
                <w:szCs w:val="20"/>
              </w:rPr>
              <w:t>受</w:t>
            </w:r>
            <w:r>
              <w:rPr>
                <w:rFonts w:hint="eastAsia" w:ascii="宋体" w:hAnsi="宋体"/>
                <w:sz w:val="20"/>
                <w:szCs w:val="20"/>
              </w:rPr>
              <w:t>协议甲方</w:t>
            </w:r>
            <w:r>
              <w:rPr>
                <w:rFonts w:ascii="宋体" w:hAnsi="宋体"/>
                <w:sz w:val="20"/>
                <w:szCs w:val="20"/>
              </w:rPr>
              <w:t>委托，</w:t>
            </w:r>
            <w:r>
              <w:rPr>
                <w:rFonts w:hint="eastAsia" w:ascii="宋体" w:hAnsi="宋体"/>
                <w:sz w:val="20"/>
                <w:szCs w:val="20"/>
              </w:rPr>
              <w:t>第三方检测公司每月一次</w:t>
            </w:r>
            <w:r>
              <w:rPr>
                <w:rFonts w:ascii="宋体" w:hAnsi="宋体"/>
                <w:sz w:val="20"/>
                <w:szCs w:val="20"/>
              </w:rPr>
              <w:t>对污水处理厂出水水质进行监督检测</w:t>
            </w:r>
            <w:r>
              <w:rPr>
                <w:rFonts w:hint="eastAsia"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75" w:type="dxa"/>
          </w:tcPr>
          <w:p>
            <w:pPr>
              <w:pStyle w:val="239"/>
              <w:spacing w:before="194" w:beforeLines="50"/>
              <w:jc w:val="left"/>
              <w:rPr>
                <w:rFonts w:ascii="宋体" w:hAnsi="宋体"/>
                <w:b/>
                <w:bCs/>
                <w:sz w:val="20"/>
                <w:szCs w:val="20"/>
              </w:rPr>
            </w:pPr>
            <w:r>
              <w:rPr>
                <w:rFonts w:hint="eastAsia" w:ascii="宋体" w:hAnsi="宋体"/>
                <w:b/>
                <w:bCs/>
                <w:sz w:val="20"/>
                <w:szCs w:val="20"/>
              </w:rPr>
              <w:t>运营</w:t>
            </w:r>
            <w:r>
              <w:rPr>
                <w:rFonts w:ascii="宋体" w:hAnsi="宋体"/>
                <w:b/>
                <w:bCs/>
                <w:sz w:val="20"/>
                <w:szCs w:val="20"/>
              </w:rPr>
              <w:t>月</w:t>
            </w:r>
          </w:p>
        </w:tc>
        <w:tc>
          <w:tcPr>
            <w:tcW w:w="7062" w:type="dxa"/>
            <w:vAlign w:val="center"/>
          </w:tcPr>
          <w:p>
            <w:pPr>
              <w:pStyle w:val="239"/>
              <w:spacing w:before="194" w:beforeLines="50"/>
              <w:jc w:val="left"/>
              <w:rPr>
                <w:rFonts w:ascii="宋体" w:hAnsi="宋体"/>
                <w:sz w:val="20"/>
                <w:szCs w:val="20"/>
              </w:rPr>
            </w:pPr>
            <w:r>
              <w:rPr>
                <w:rFonts w:hint="eastAsia" w:ascii="宋体" w:hAnsi="宋体"/>
                <w:sz w:val="20"/>
                <w:szCs w:val="20"/>
              </w:rPr>
              <w:t>指运营期内任意一个公历月，但第一个运营月应运营期开始时起算至当月最后一日终止，最后一个运营月应自当月1日开始至运营期结束时终止</w:t>
            </w:r>
            <w:r>
              <w:rPr>
                <w:rFonts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75" w:type="dxa"/>
          </w:tcPr>
          <w:p>
            <w:pPr>
              <w:pStyle w:val="239"/>
              <w:spacing w:before="194" w:beforeLines="50"/>
              <w:jc w:val="left"/>
              <w:rPr>
                <w:rFonts w:ascii="宋体" w:hAnsi="宋体"/>
                <w:b/>
                <w:bCs/>
                <w:sz w:val="20"/>
                <w:szCs w:val="20"/>
              </w:rPr>
            </w:pPr>
            <w:r>
              <w:rPr>
                <w:rFonts w:hint="eastAsia" w:ascii="宋体" w:hAnsi="宋体"/>
                <w:b/>
                <w:bCs/>
                <w:sz w:val="20"/>
                <w:szCs w:val="20"/>
              </w:rPr>
              <w:t>运营月正常天数</w:t>
            </w:r>
          </w:p>
        </w:tc>
        <w:tc>
          <w:tcPr>
            <w:tcW w:w="7062" w:type="dxa"/>
            <w:vAlign w:val="center"/>
          </w:tcPr>
          <w:p>
            <w:pPr>
              <w:pStyle w:val="239"/>
              <w:spacing w:before="194" w:beforeLines="50"/>
              <w:jc w:val="left"/>
              <w:rPr>
                <w:rFonts w:ascii="宋体" w:hAnsi="宋体"/>
                <w:sz w:val="20"/>
                <w:szCs w:val="20"/>
              </w:rPr>
            </w:pPr>
            <w:r>
              <w:rPr>
                <w:rFonts w:hint="eastAsia" w:ascii="宋体" w:hAnsi="宋体"/>
                <w:sz w:val="20"/>
                <w:szCs w:val="20"/>
              </w:rPr>
              <w:t>运营月中正常运营日的数量为运营月正常天数。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运营年</w:t>
            </w:r>
          </w:p>
        </w:tc>
        <w:tc>
          <w:tcPr>
            <w:tcW w:w="7062" w:type="dxa"/>
            <w:vAlign w:val="center"/>
          </w:tcPr>
          <w:p>
            <w:pPr>
              <w:pStyle w:val="239"/>
              <w:spacing w:before="194" w:beforeLines="50"/>
              <w:jc w:val="left"/>
              <w:rPr>
                <w:rFonts w:ascii="宋体" w:hAnsi="宋体"/>
                <w:sz w:val="20"/>
                <w:szCs w:val="20"/>
              </w:rPr>
            </w:pPr>
            <w:r>
              <w:rPr>
                <w:rFonts w:hint="eastAsia" w:ascii="宋体" w:hAnsi="宋体"/>
                <w:sz w:val="20"/>
                <w:szCs w:val="20"/>
              </w:rPr>
              <w:t>指运营期内任意一个公历年</w:t>
            </w:r>
            <w:r>
              <w:rPr>
                <w:rFonts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75" w:type="dxa"/>
          </w:tcPr>
          <w:p>
            <w:pPr>
              <w:pStyle w:val="239"/>
              <w:spacing w:before="194" w:beforeLines="50"/>
              <w:jc w:val="left"/>
              <w:rPr>
                <w:rFonts w:ascii="宋体" w:hAnsi="宋体"/>
                <w:b/>
                <w:bCs/>
                <w:sz w:val="20"/>
                <w:szCs w:val="20"/>
              </w:rPr>
            </w:pPr>
            <w:r>
              <w:rPr>
                <w:rFonts w:hint="eastAsia" w:ascii="宋体" w:hAnsi="宋体"/>
                <w:b/>
                <w:bCs/>
                <w:sz w:val="20"/>
                <w:szCs w:val="20"/>
              </w:rPr>
              <w:t>运营服务协议</w:t>
            </w:r>
          </w:p>
        </w:tc>
        <w:tc>
          <w:tcPr>
            <w:tcW w:w="7062" w:type="dxa"/>
          </w:tcPr>
          <w:p>
            <w:pPr>
              <w:pStyle w:val="239"/>
              <w:spacing w:before="194" w:beforeLines="50"/>
              <w:jc w:val="left"/>
              <w:rPr>
                <w:rFonts w:ascii="宋体" w:hAnsi="宋体"/>
                <w:sz w:val="20"/>
                <w:szCs w:val="20"/>
              </w:rPr>
            </w:pPr>
            <w:r>
              <w:rPr>
                <w:rFonts w:hint="eastAsia" w:ascii="宋体" w:hAnsi="宋体"/>
                <w:sz w:val="20"/>
                <w:szCs w:val="20"/>
              </w:rPr>
              <w:t>指《</w:t>
            </w:r>
            <w:r>
              <w:rPr>
                <w:rFonts w:hint="eastAsia" w:ascii="宋体" w:hAnsi="宋体" w:cs="宋体"/>
                <w:bCs/>
                <w:sz w:val="20"/>
                <w:szCs w:val="20"/>
              </w:rPr>
              <w:t>高铁新城再生水厂</w:t>
            </w:r>
            <w:r>
              <w:rPr>
                <w:rFonts w:hint="eastAsia" w:ascii="宋体" w:hAnsi="宋体"/>
                <w:sz w:val="20"/>
                <w:szCs w:val="20"/>
              </w:rPr>
              <w:t>运营服务协议》。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进水</w:t>
            </w:r>
          </w:p>
        </w:tc>
        <w:tc>
          <w:tcPr>
            <w:tcW w:w="7062" w:type="dxa"/>
          </w:tcPr>
          <w:p>
            <w:pPr>
              <w:pStyle w:val="239"/>
              <w:spacing w:before="194" w:beforeLines="50"/>
              <w:jc w:val="left"/>
              <w:rPr>
                <w:rFonts w:ascii="宋体" w:hAnsi="宋体"/>
                <w:sz w:val="20"/>
                <w:szCs w:val="20"/>
              </w:rPr>
            </w:pPr>
            <w:r>
              <w:rPr>
                <w:rFonts w:ascii="宋体" w:hAnsi="宋体"/>
                <w:sz w:val="20"/>
                <w:szCs w:val="20"/>
              </w:rPr>
              <w:t>指</w:t>
            </w:r>
            <w:r>
              <w:rPr>
                <w:rFonts w:hint="eastAsia" w:ascii="宋体" w:hAnsi="宋体"/>
                <w:sz w:val="20"/>
                <w:szCs w:val="20"/>
              </w:rPr>
              <w:t>运营项目公司</w:t>
            </w:r>
            <w:r>
              <w:rPr>
                <w:rFonts w:ascii="宋体" w:hAnsi="宋体"/>
                <w:sz w:val="20"/>
                <w:szCs w:val="20"/>
              </w:rPr>
              <w:t>从接收点引入的未经处理的污水。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进水采样点</w:t>
            </w:r>
          </w:p>
        </w:tc>
        <w:tc>
          <w:tcPr>
            <w:tcW w:w="7062" w:type="dxa"/>
          </w:tcPr>
          <w:p>
            <w:pPr>
              <w:pStyle w:val="239"/>
              <w:spacing w:before="194" w:beforeLines="50"/>
              <w:jc w:val="left"/>
              <w:rPr>
                <w:rFonts w:ascii="宋体" w:hAnsi="宋体"/>
                <w:iCs/>
                <w:sz w:val="20"/>
                <w:szCs w:val="20"/>
              </w:rPr>
            </w:pPr>
            <w:r>
              <w:rPr>
                <w:rFonts w:ascii="宋体" w:hAnsi="宋体"/>
                <w:sz w:val="20"/>
                <w:szCs w:val="20"/>
              </w:rPr>
              <w:t>指</w:t>
            </w:r>
            <w:r>
              <w:rPr>
                <w:rFonts w:hint="eastAsia" w:ascii="宋体" w:hAnsi="宋体"/>
                <w:iCs/>
                <w:sz w:val="20"/>
                <w:szCs w:val="20"/>
              </w:rPr>
              <w:t>甲方</w:t>
            </w:r>
            <w:r>
              <w:rPr>
                <w:rFonts w:ascii="宋体" w:hAnsi="宋体"/>
                <w:iCs/>
                <w:sz w:val="20"/>
                <w:szCs w:val="20"/>
              </w:rPr>
              <w:t>指定的采样点，对进水水质的采样在此处进行。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进水流量计</w:t>
            </w:r>
          </w:p>
        </w:tc>
        <w:tc>
          <w:tcPr>
            <w:tcW w:w="7062" w:type="dxa"/>
          </w:tcPr>
          <w:p>
            <w:pPr>
              <w:pStyle w:val="239"/>
              <w:spacing w:before="194" w:beforeLines="50"/>
              <w:jc w:val="left"/>
              <w:rPr>
                <w:rFonts w:ascii="宋体" w:hAnsi="宋体"/>
                <w:sz w:val="20"/>
                <w:szCs w:val="20"/>
              </w:rPr>
            </w:pPr>
            <w:r>
              <w:rPr>
                <w:rFonts w:ascii="宋体" w:hAnsi="宋体"/>
                <w:sz w:val="20"/>
                <w:szCs w:val="20"/>
              </w:rPr>
              <w:t>指本</w:t>
            </w:r>
            <w:r>
              <w:rPr>
                <w:rFonts w:hint="eastAsia" w:ascii="宋体" w:hAnsi="宋体"/>
                <w:sz w:val="20"/>
                <w:szCs w:val="20"/>
              </w:rPr>
              <w:t>协议</w:t>
            </w:r>
            <w:r>
              <w:rPr>
                <w:rFonts w:ascii="宋体" w:hAnsi="宋体"/>
                <w:sz w:val="20"/>
                <w:szCs w:val="20"/>
              </w:rPr>
              <w:t>第</w:t>
            </w:r>
            <w:r>
              <w:rPr>
                <w:rFonts w:ascii="宋体" w:hAnsi="宋体"/>
                <w:b/>
                <w:sz w:val="20"/>
                <w:szCs w:val="20"/>
              </w:rPr>
              <w:t>8</w:t>
            </w:r>
            <w:r>
              <w:rPr>
                <w:rFonts w:hint="eastAsia" w:ascii="宋体" w:hAnsi="宋体"/>
                <w:b/>
                <w:sz w:val="20"/>
                <w:szCs w:val="20"/>
              </w:rPr>
              <w:t xml:space="preserve">.1.1 </w:t>
            </w:r>
            <w:r>
              <w:rPr>
                <w:rFonts w:ascii="宋体" w:hAnsi="宋体"/>
                <w:sz w:val="20"/>
                <w:szCs w:val="20"/>
              </w:rPr>
              <w:t>条所述的，在</w:t>
            </w:r>
            <w:r>
              <w:rPr>
                <w:rFonts w:hint="eastAsia" w:ascii="宋体" w:hAnsi="宋体"/>
                <w:sz w:val="20"/>
                <w:szCs w:val="20"/>
              </w:rPr>
              <w:t>进水检测点</w:t>
            </w:r>
            <w:r>
              <w:rPr>
                <w:rFonts w:ascii="宋体" w:hAnsi="宋体"/>
                <w:sz w:val="20"/>
                <w:szCs w:val="20"/>
              </w:rPr>
              <w:t>安装的</w:t>
            </w:r>
            <w:r>
              <w:rPr>
                <w:rFonts w:hint="eastAsia" w:ascii="宋体" w:hAnsi="宋体"/>
                <w:sz w:val="20"/>
                <w:szCs w:val="20"/>
              </w:rPr>
              <w:t>，</w:t>
            </w:r>
            <w:r>
              <w:rPr>
                <w:rFonts w:ascii="宋体" w:hAnsi="宋体"/>
                <w:sz w:val="20"/>
                <w:szCs w:val="20"/>
              </w:rPr>
              <w:t>用于测量进水流量的流量计。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进水水质标准</w:t>
            </w:r>
          </w:p>
        </w:tc>
        <w:tc>
          <w:tcPr>
            <w:tcW w:w="7062" w:type="dxa"/>
          </w:tcPr>
          <w:p>
            <w:pPr>
              <w:pStyle w:val="239"/>
              <w:spacing w:before="194" w:beforeLines="50"/>
              <w:jc w:val="left"/>
              <w:rPr>
                <w:rFonts w:ascii="宋体" w:hAnsi="宋体"/>
                <w:sz w:val="20"/>
                <w:szCs w:val="20"/>
              </w:rPr>
            </w:pPr>
            <w:r>
              <w:rPr>
                <w:rFonts w:ascii="宋体" w:hAnsi="宋体"/>
                <w:sz w:val="20"/>
                <w:szCs w:val="20"/>
              </w:rPr>
              <w:t>指本</w:t>
            </w:r>
            <w:r>
              <w:rPr>
                <w:rFonts w:hint="eastAsia" w:ascii="宋体" w:hAnsi="宋体"/>
                <w:sz w:val="20"/>
                <w:szCs w:val="20"/>
              </w:rPr>
              <w:t>协议</w:t>
            </w:r>
            <w:r>
              <w:rPr>
                <w:rFonts w:ascii="宋体" w:hAnsi="宋体"/>
                <w:b/>
                <w:bCs/>
                <w:sz w:val="20"/>
                <w:szCs w:val="20"/>
              </w:rPr>
              <w:t>5.1.1</w:t>
            </w:r>
            <w:r>
              <w:rPr>
                <w:rFonts w:hint="eastAsia" w:ascii="宋体" w:hAnsi="宋体"/>
                <w:sz w:val="20"/>
                <w:szCs w:val="20"/>
              </w:rPr>
              <w:t>中</w:t>
            </w:r>
            <w:r>
              <w:rPr>
                <w:rFonts w:ascii="宋体" w:hAnsi="宋体"/>
                <w:sz w:val="20"/>
                <w:szCs w:val="20"/>
              </w:rPr>
              <w:t>规定的</w:t>
            </w:r>
            <w:r>
              <w:rPr>
                <w:rFonts w:hint="eastAsia" w:ascii="宋体" w:hAnsi="宋体"/>
                <w:sz w:val="20"/>
                <w:szCs w:val="20"/>
              </w:rPr>
              <w:t>本项目</w:t>
            </w:r>
            <w:r>
              <w:rPr>
                <w:rFonts w:ascii="宋体" w:hAnsi="宋体"/>
                <w:sz w:val="20"/>
                <w:szCs w:val="20"/>
              </w:rPr>
              <w:t>进水水质应达到的标准。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出水</w:t>
            </w:r>
          </w:p>
        </w:tc>
        <w:tc>
          <w:tcPr>
            <w:tcW w:w="7062" w:type="dxa"/>
          </w:tcPr>
          <w:p>
            <w:pPr>
              <w:pStyle w:val="239"/>
              <w:spacing w:before="194" w:beforeLines="50"/>
              <w:jc w:val="left"/>
              <w:rPr>
                <w:rFonts w:ascii="宋体" w:hAnsi="宋体"/>
                <w:sz w:val="20"/>
                <w:szCs w:val="20"/>
              </w:rPr>
            </w:pPr>
            <w:r>
              <w:rPr>
                <w:rFonts w:ascii="宋体" w:hAnsi="宋体"/>
                <w:sz w:val="20"/>
                <w:szCs w:val="20"/>
              </w:rPr>
              <w:t>指按本附件规定经</w:t>
            </w:r>
            <w:r>
              <w:rPr>
                <w:rFonts w:hint="eastAsia" w:ascii="宋体" w:hAnsi="宋体"/>
                <w:sz w:val="20"/>
                <w:szCs w:val="20"/>
              </w:rPr>
              <w:t>运营项目公司</w:t>
            </w:r>
            <w:r>
              <w:rPr>
                <w:rFonts w:ascii="宋体" w:hAnsi="宋体"/>
                <w:sz w:val="20"/>
                <w:szCs w:val="20"/>
              </w:rPr>
              <w:t>处理并通过</w:t>
            </w:r>
            <w:r>
              <w:rPr>
                <w:rFonts w:hint="eastAsia" w:ascii="宋体" w:hAnsi="宋体"/>
                <w:sz w:val="20"/>
                <w:szCs w:val="20"/>
              </w:rPr>
              <w:t>甲方</w:t>
            </w:r>
            <w:r>
              <w:rPr>
                <w:rFonts w:ascii="宋体" w:hAnsi="宋体"/>
                <w:sz w:val="20"/>
                <w:szCs w:val="20"/>
              </w:rPr>
              <w:t>指定的排放口排出的污水。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出水采样点</w:t>
            </w:r>
          </w:p>
        </w:tc>
        <w:tc>
          <w:tcPr>
            <w:tcW w:w="7062" w:type="dxa"/>
          </w:tcPr>
          <w:p>
            <w:pPr>
              <w:pStyle w:val="239"/>
              <w:spacing w:before="194" w:beforeLines="50"/>
              <w:jc w:val="left"/>
              <w:rPr>
                <w:rFonts w:ascii="宋体" w:hAnsi="宋体"/>
                <w:sz w:val="20"/>
                <w:szCs w:val="20"/>
              </w:rPr>
            </w:pPr>
            <w:r>
              <w:rPr>
                <w:rFonts w:ascii="宋体" w:hAnsi="宋体"/>
                <w:sz w:val="20"/>
                <w:szCs w:val="20"/>
              </w:rPr>
              <w:t>指</w:t>
            </w:r>
            <w:r>
              <w:rPr>
                <w:rFonts w:hint="eastAsia" w:ascii="宋体" w:hAnsi="宋体"/>
                <w:sz w:val="20"/>
                <w:szCs w:val="20"/>
              </w:rPr>
              <w:t>甲方</w:t>
            </w:r>
            <w:r>
              <w:rPr>
                <w:rFonts w:ascii="宋体" w:hAnsi="宋体"/>
                <w:sz w:val="20"/>
                <w:szCs w:val="20"/>
              </w:rPr>
              <w:t>指定的出水水质采样位置。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出水流量计</w:t>
            </w:r>
          </w:p>
        </w:tc>
        <w:tc>
          <w:tcPr>
            <w:tcW w:w="7062" w:type="dxa"/>
          </w:tcPr>
          <w:p>
            <w:pPr>
              <w:pStyle w:val="239"/>
              <w:widowControl w:val="0"/>
              <w:spacing w:before="194" w:beforeLines="50"/>
              <w:ind w:left="134" w:leftChars="47"/>
              <w:rPr>
                <w:rFonts w:ascii="宋体" w:hAnsi="宋体"/>
                <w:kern w:val="2"/>
                <w:sz w:val="24"/>
                <w:szCs w:val="20"/>
              </w:rPr>
            </w:pPr>
            <w:r>
              <w:rPr>
                <w:rFonts w:ascii="宋体" w:hAnsi="宋体"/>
                <w:kern w:val="2"/>
                <w:sz w:val="20"/>
                <w:szCs w:val="20"/>
              </w:rPr>
              <w:t>根据本</w:t>
            </w:r>
            <w:r>
              <w:rPr>
                <w:rFonts w:hint="eastAsia" w:ascii="宋体" w:hAnsi="宋体"/>
                <w:kern w:val="2"/>
                <w:sz w:val="20"/>
                <w:szCs w:val="20"/>
              </w:rPr>
              <w:t>协议</w:t>
            </w:r>
            <w:r>
              <w:rPr>
                <w:rFonts w:ascii="宋体" w:hAnsi="宋体"/>
                <w:kern w:val="2"/>
                <w:sz w:val="20"/>
                <w:szCs w:val="20"/>
              </w:rPr>
              <w:t>第</w:t>
            </w:r>
            <w:r>
              <w:rPr>
                <w:rFonts w:ascii="宋体" w:hAnsi="宋体"/>
                <w:b/>
                <w:kern w:val="2"/>
                <w:sz w:val="20"/>
                <w:szCs w:val="20"/>
              </w:rPr>
              <w:t>8</w:t>
            </w:r>
            <w:r>
              <w:rPr>
                <w:rFonts w:hint="eastAsia" w:ascii="宋体" w:hAnsi="宋体"/>
                <w:b/>
                <w:kern w:val="2"/>
                <w:sz w:val="20"/>
                <w:szCs w:val="20"/>
              </w:rPr>
              <w:t>.1.1</w:t>
            </w:r>
            <w:r>
              <w:rPr>
                <w:rFonts w:ascii="宋体" w:hAnsi="宋体"/>
                <w:kern w:val="2"/>
                <w:sz w:val="20"/>
                <w:szCs w:val="20"/>
              </w:rPr>
              <w:t>条规定</w:t>
            </w:r>
            <w:r>
              <w:rPr>
                <w:rFonts w:hint="eastAsia" w:ascii="宋体" w:hAnsi="宋体"/>
                <w:kern w:val="2"/>
                <w:sz w:val="20"/>
                <w:szCs w:val="20"/>
              </w:rPr>
              <w:t>在出水检测点</w:t>
            </w:r>
            <w:r>
              <w:rPr>
                <w:rFonts w:ascii="宋体" w:hAnsi="宋体"/>
                <w:kern w:val="2"/>
                <w:sz w:val="20"/>
                <w:szCs w:val="20"/>
              </w:rPr>
              <w:t>安装</w:t>
            </w:r>
            <w:r>
              <w:rPr>
                <w:rFonts w:hint="eastAsia" w:ascii="宋体" w:hAnsi="宋体"/>
                <w:kern w:val="2"/>
                <w:sz w:val="20"/>
                <w:szCs w:val="20"/>
              </w:rPr>
              <w:t>的，用于</w:t>
            </w:r>
            <w:r>
              <w:rPr>
                <w:rFonts w:ascii="宋体" w:hAnsi="宋体"/>
                <w:kern w:val="2"/>
                <w:sz w:val="20"/>
                <w:szCs w:val="20"/>
              </w:rPr>
              <w:t>测量出水流量的流量计。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出水水质标准</w:t>
            </w:r>
          </w:p>
        </w:tc>
        <w:tc>
          <w:tcPr>
            <w:tcW w:w="7062" w:type="dxa"/>
          </w:tcPr>
          <w:p>
            <w:pPr>
              <w:pStyle w:val="239"/>
              <w:spacing w:before="194" w:beforeLines="50"/>
              <w:jc w:val="left"/>
              <w:rPr>
                <w:rFonts w:ascii="宋体" w:hAnsi="宋体"/>
                <w:sz w:val="20"/>
                <w:szCs w:val="20"/>
              </w:rPr>
            </w:pPr>
            <w:r>
              <w:rPr>
                <w:rFonts w:ascii="宋体" w:hAnsi="宋体"/>
                <w:sz w:val="20"/>
                <w:szCs w:val="20"/>
              </w:rPr>
              <w:t>指本</w:t>
            </w:r>
            <w:r>
              <w:rPr>
                <w:rFonts w:hint="eastAsia" w:ascii="宋体" w:hAnsi="宋体"/>
                <w:sz w:val="20"/>
                <w:szCs w:val="20"/>
              </w:rPr>
              <w:t>协议</w:t>
            </w:r>
            <w:r>
              <w:rPr>
                <w:rFonts w:ascii="宋体" w:hAnsi="宋体"/>
                <w:sz w:val="20"/>
                <w:szCs w:val="20"/>
              </w:rPr>
              <w:t>第</w:t>
            </w:r>
            <w:r>
              <w:rPr>
                <w:rFonts w:hint="eastAsia" w:ascii="宋体" w:hAnsi="宋体"/>
                <w:b/>
                <w:sz w:val="20"/>
                <w:szCs w:val="20"/>
              </w:rPr>
              <w:t>5.1.2</w:t>
            </w:r>
            <w:r>
              <w:rPr>
                <w:rFonts w:hint="eastAsia" w:ascii="宋体" w:hAnsi="宋体"/>
                <w:bCs/>
                <w:sz w:val="20"/>
                <w:szCs w:val="20"/>
              </w:rPr>
              <w:t>中</w:t>
            </w:r>
            <w:r>
              <w:rPr>
                <w:rFonts w:ascii="宋体" w:hAnsi="宋体"/>
                <w:sz w:val="20"/>
                <w:szCs w:val="20"/>
              </w:rPr>
              <w:t>列明的出水应达到的标准。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控制液位</w:t>
            </w:r>
          </w:p>
        </w:tc>
        <w:tc>
          <w:tcPr>
            <w:tcW w:w="7062" w:type="dxa"/>
          </w:tcPr>
          <w:p>
            <w:pPr>
              <w:pStyle w:val="239"/>
              <w:spacing w:before="194" w:beforeLines="50"/>
              <w:jc w:val="left"/>
              <w:rPr>
                <w:rFonts w:ascii="宋体" w:hAnsi="宋体"/>
                <w:sz w:val="20"/>
                <w:szCs w:val="20"/>
              </w:rPr>
            </w:pPr>
            <w:r>
              <w:rPr>
                <w:rFonts w:ascii="宋体" w:hAnsi="宋体"/>
                <w:sz w:val="20"/>
                <w:szCs w:val="20"/>
              </w:rPr>
              <w:t>指粗格栅</w:t>
            </w:r>
            <w:r>
              <w:rPr>
                <w:rFonts w:hint="eastAsia" w:ascii="宋体" w:hAnsi="宋体"/>
                <w:sz w:val="20"/>
                <w:szCs w:val="20"/>
              </w:rPr>
              <w:t>入流井</w:t>
            </w:r>
            <w:r>
              <w:rPr>
                <w:rFonts w:ascii="宋体" w:hAnsi="宋体"/>
                <w:sz w:val="20"/>
                <w:szCs w:val="20"/>
              </w:rPr>
              <w:t>液位的上限，</w:t>
            </w:r>
            <w:r>
              <w:rPr>
                <w:rFonts w:hint="eastAsia" w:ascii="宋体" w:hAnsi="宋体"/>
                <w:sz w:val="20"/>
                <w:szCs w:val="20"/>
              </w:rPr>
              <w:t>除非本附件另有规定，运营项目公司</w:t>
            </w:r>
            <w:r>
              <w:rPr>
                <w:rFonts w:ascii="宋体" w:hAnsi="宋体"/>
                <w:sz w:val="20"/>
                <w:szCs w:val="20"/>
              </w:rPr>
              <w:t>必须保证</w:t>
            </w:r>
            <w:r>
              <w:rPr>
                <w:rFonts w:hint="eastAsia" w:ascii="宋体" w:hAnsi="宋体"/>
                <w:sz w:val="20"/>
                <w:szCs w:val="20"/>
              </w:rPr>
              <w:t>将进水控制</w:t>
            </w:r>
            <w:r>
              <w:rPr>
                <w:rFonts w:ascii="宋体" w:hAnsi="宋体"/>
                <w:sz w:val="20"/>
                <w:szCs w:val="20"/>
              </w:rPr>
              <w:t>在该水位之下。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化学品或药剂</w:t>
            </w:r>
          </w:p>
        </w:tc>
        <w:tc>
          <w:tcPr>
            <w:tcW w:w="7062" w:type="dxa"/>
          </w:tcPr>
          <w:p>
            <w:pPr>
              <w:pStyle w:val="239"/>
              <w:spacing w:before="194" w:beforeLines="50"/>
              <w:jc w:val="left"/>
              <w:rPr>
                <w:rFonts w:ascii="宋体" w:hAnsi="宋体"/>
                <w:sz w:val="20"/>
                <w:szCs w:val="20"/>
              </w:rPr>
            </w:pPr>
            <w:r>
              <w:rPr>
                <w:rFonts w:ascii="宋体" w:hAnsi="宋体"/>
                <w:sz w:val="20"/>
                <w:szCs w:val="20"/>
              </w:rPr>
              <w:t>指</w:t>
            </w:r>
            <w:r>
              <w:rPr>
                <w:rFonts w:hint="eastAsia" w:ascii="宋体" w:hAnsi="宋体"/>
                <w:sz w:val="20"/>
                <w:szCs w:val="20"/>
              </w:rPr>
              <w:t>乙方</w:t>
            </w:r>
            <w:r>
              <w:rPr>
                <w:rFonts w:ascii="宋体" w:hAnsi="宋体"/>
                <w:sz w:val="20"/>
                <w:szCs w:val="20"/>
              </w:rPr>
              <w:t>在运营中用于处理污水/污泥</w:t>
            </w:r>
            <w:r>
              <w:rPr>
                <w:rFonts w:hint="eastAsia" w:ascii="宋体" w:hAnsi="宋体"/>
                <w:sz w:val="20"/>
                <w:szCs w:val="20"/>
              </w:rPr>
              <w:t>的</w:t>
            </w:r>
            <w:r>
              <w:rPr>
                <w:rFonts w:ascii="宋体" w:hAnsi="宋体"/>
                <w:sz w:val="20"/>
                <w:szCs w:val="20"/>
              </w:rPr>
              <w:t>化学品或药剂</w:t>
            </w:r>
            <w:r>
              <w:rPr>
                <w:rFonts w:hint="eastAsia"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污泥</w:t>
            </w:r>
          </w:p>
        </w:tc>
        <w:tc>
          <w:tcPr>
            <w:tcW w:w="7062" w:type="dxa"/>
          </w:tcPr>
          <w:p>
            <w:pPr>
              <w:pStyle w:val="239"/>
              <w:spacing w:before="194" w:beforeLines="50"/>
              <w:jc w:val="left"/>
              <w:rPr>
                <w:rFonts w:ascii="宋体" w:hAnsi="宋体"/>
                <w:sz w:val="20"/>
                <w:szCs w:val="20"/>
              </w:rPr>
            </w:pPr>
            <w:r>
              <w:rPr>
                <w:rFonts w:ascii="宋体" w:hAnsi="宋体"/>
                <w:sz w:val="20"/>
                <w:szCs w:val="20"/>
              </w:rPr>
              <w:t>指除出水和间断渗漏之外，污水处理厂在污水处理</w:t>
            </w:r>
            <w:r>
              <w:rPr>
                <w:rFonts w:hint="eastAsia" w:ascii="宋体" w:hAnsi="宋体"/>
                <w:sz w:val="20"/>
                <w:szCs w:val="20"/>
              </w:rPr>
              <w:t>流程</w:t>
            </w:r>
            <w:r>
              <w:rPr>
                <w:rFonts w:ascii="宋体" w:hAnsi="宋体"/>
                <w:sz w:val="20"/>
                <w:szCs w:val="20"/>
              </w:rPr>
              <w:t>中</w:t>
            </w:r>
            <w:r>
              <w:rPr>
                <w:rFonts w:hint="eastAsia" w:ascii="宋体" w:hAnsi="宋体"/>
                <w:sz w:val="20"/>
                <w:szCs w:val="20"/>
              </w:rPr>
              <w:t>产生的污泥</w:t>
            </w:r>
            <w:r>
              <w:rPr>
                <w:rFonts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污泥采样点</w:t>
            </w:r>
          </w:p>
        </w:tc>
        <w:tc>
          <w:tcPr>
            <w:tcW w:w="7062" w:type="dxa"/>
          </w:tcPr>
          <w:p>
            <w:pPr>
              <w:pStyle w:val="239"/>
              <w:spacing w:before="194" w:beforeLines="50"/>
              <w:jc w:val="left"/>
              <w:rPr>
                <w:rFonts w:ascii="宋体" w:hAnsi="宋体"/>
                <w:sz w:val="20"/>
                <w:szCs w:val="20"/>
              </w:rPr>
            </w:pPr>
            <w:r>
              <w:rPr>
                <w:rFonts w:ascii="宋体" w:hAnsi="宋体"/>
                <w:sz w:val="20"/>
                <w:szCs w:val="20"/>
              </w:rPr>
              <w:t>指进行污泥检测采样的污水处理厂污泥储泥斗出料口。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日常检测指标</w:t>
            </w:r>
          </w:p>
        </w:tc>
        <w:tc>
          <w:tcPr>
            <w:tcW w:w="7062" w:type="dxa"/>
          </w:tcPr>
          <w:p>
            <w:pPr>
              <w:pStyle w:val="239"/>
              <w:spacing w:before="194" w:beforeLines="50"/>
              <w:jc w:val="left"/>
              <w:rPr>
                <w:rFonts w:ascii="宋体" w:hAnsi="宋体"/>
                <w:sz w:val="20"/>
                <w:szCs w:val="20"/>
              </w:rPr>
            </w:pPr>
            <w:r>
              <w:rPr>
                <w:rFonts w:ascii="宋体" w:hAnsi="宋体"/>
                <w:sz w:val="20"/>
                <w:szCs w:val="20"/>
              </w:rPr>
              <w:t>指</w:t>
            </w:r>
            <w:r>
              <w:rPr>
                <w:rFonts w:hint="eastAsia" w:ascii="宋体" w:hAnsi="宋体"/>
                <w:sz w:val="20"/>
                <w:szCs w:val="20"/>
              </w:rPr>
              <w:t>乙方</w:t>
            </w:r>
            <w:r>
              <w:rPr>
                <w:rFonts w:ascii="宋体" w:hAnsi="宋体"/>
                <w:sz w:val="20"/>
                <w:szCs w:val="20"/>
              </w:rPr>
              <w:t>运营项目设施期间，按照工艺要求以及本附件的规定应进行日常检测的水质和污泥指标。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不可抗力暂停</w:t>
            </w:r>
          </w:p>
        </w:tc>
        <w:tc>
          <w:tcPr>
            <w:tcW w:w="7062" w:type="dxa"/>
          </w:tcPr>
          <w:p>
            <w:pPr>
              <w:pStyle w:val="239"/>
              <w:spacing w:before="194" w:beforeLines="50"/>
              <w:jc w:val="left"/>
              <w:rPr>
                <w:rFonts w:ascii="宋体" w:hAnsi="宋体"/>
                <w:sz w:val="20"/>
                <w:szCs w:val="20"/>
              </w:rPr>
            </w:pPr>
            <w:r>
              <w:rPr>
                <w:rFonts w:ascii="宋体" w:hAnsi="宋体"/>
                <w:sz w:val="20"/>
                <w:szCs w:val="20"/>
              </w:rPr>
              <w:t>指因发生不可抗力事件所导致的</w:t>
            </w:r>
            <w:r>
              <w:rPr>
                <w:rFonts w:hint="eastAsia" w:ascii="宋体" w:hAnsi="宋体"/>
                <w:sz w:val="20"/>
                <w:szCs w:val="20"/>
              </w:rPr>
              <w:t>乙方</w:t>
            </w:r>
            <w:r>
              <w:rPr>
                <w:rFonts w:ascii="宋体" w:hAnsi="宋体"/>
                <w:sz w:val="20"/>
                <w:szCs w:val="20"/>
              </w:rPr>
              <w:t>对污水处理</w:t>
            </w:r>
            <w:r>
              <w:rPr>
                <w:rFonts w:hint="eastAsia" w:ascii="宋体" w:hAnsi="宋体"/>
                <w:sz w:val="20"/>
                <w:szCs w:val="20"/>
              </w:rPr>
              <w:t>设施</w:t>
            </w:r>
            <w:r>
              <w:rPr>
                <w:rFonts w:ascii="宋体" w:hAnsi="宋体"/>
                <w:sz w:val="20"/>
                <w:szCs w:val="20"/>
              </w:rPr>
              <w:t>的</w:t>
            </w:r>
            <w:r>
              <w:rPr>
                <w:rFonts w:hint="eastAsia" w:ascii="宋体" w:hAnsi="宋体"/>
                <w:sz w:val="20"/>
                <w:szCs w:val="20"/>
              </w:rPr>
              <w:t>部分或全部</w:t>
            </w:r>
            <w:r>
              <w:rPr>
                <w:rFonts w:ascii="宋体" w:hAnsi="宋体"/>
                <w:sz w:val="20"/>
                <w:szCs w:val="20"/>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特殊暂停</w:t>
            </w:r>
          </w:p>
        </w:tc>
        <w:tc>
          <w:tcPr>
            <w:tcW w:w="7062" w:type="dxa"/>
          </w:tcPr>
          <w:p>
            <w:pPr>
              <w:pStyle w:val="239"/>
              <w:spacing w:before="194" w:beforeLines="50"/>
              <w:jc w:val="left"/>
              <w:rPr>
                <w:rFonts w:ascii="宋体" w:hAnsi="宋体"/>
                <w:sz w:val="20"/>
                <w:szCs w:val="20"/>
              </w:rPr>
            </w:pPr>
            <w:r>
              <w:rPr>
                <w:rFonts w:ascii="宋体" w:hAnsi="宋体"/>
                <w:sz w:val="20"/>
                <w:szCs w:val="20"/>
              </w:rPr>
              <w:t>指</w:t>
            </w:r>
            <w:r>
              <w:rPr>
                <w:rFonts w:hint="eastAsia" w:ascii="宋体" w:hAnsi="宋体"/>
                <w:sz w:val="20"/>
                <w:szCs w:val="20"/>
              </w:rPr>
              <w:t>甲方</w:t>
            </w:r>
            <w:r>
              <w:rPr>
                <w:rFonts w:ascii="宋体" w:hAnsi="宋体"/>
                <w:sz w:val="20"/>
                <w:szCs w:val="20"/>
              </w:rPr>
              <w:t>为</w:t>
            </w:r>
            <w:r>
              <w:rPr>
                <w:rFonts w:hint="eastAsia" w:ascii="宋体" w:hAnsi="宋体"/>
                <w:sz w:val="20"/>
                <w:szCs w:val="20"/>
              </w:rPr>
              <w:t>了</w:t>
            </w:r>
            <w:r>
              <w:rPr>
                <w:rFonts w:ascii="宋体" w:hAnsi="宋体"/>
                <w:sz w:val="20"/>
                <w:szCs w:val="20"/>
              </w:rPr>
              <w:t>重大公共利益和公共安全等原因</w:t>
            </w:r>
            <w:r>
              <w:rPr>
                <w:rFonts w:hint="eastAsia" w:ascii="宋体" w:hAnsi="宋体"/>
                <w:sz w:val="20"/>
                <w:szCs w:val="20"/>
              </w:rPr>
              <w:t>指令乙方部分或全部</w:t>
            </w:r>
            <w:r>
              <w:rPr>
                <w:rFonts w:ascii="宋体" w:hAnsi="宋体"/>
                <w:sz w:val="20"/>
                <w:szCs w:val="20"/>
              </w:rPr>
              <w:t>暂停污水处理</w:t>
            </w:r>
            <w:r>
              <w:rPr>
                <w:rFonts w:hint="eastAsia" w:ascii="宋体" w:hAnsi="宋体"/>
                <w:sz w:val="20"/>
                <w:szCs w:val="20"/>
              </w:rPr>
              <w:t>设施</w:t>
            </w:r>
            <w:r>
              <w:rPr>
                <w:rFonts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批准暂停</w:t>
            </w:r>
          </w:p>
        </w:tc>
        <w:tc>
          <w:tcPr>
            <w:tcW w:w="7062" w:type="dxa"/>
          </w:tcPr>
          <w:p>
            <w:pPr>
              <w:pStyle w:val="239"/>
              <w:spacing w:before="194" w:beforeLines="50"/>
              <w:jc w:val="left"/>
              <w:rPr>
                <w:rFonts w:ascii="宋体" w:hAnsi="宋体"/>
                <w:bCs/>
                <w:sz w:val="20"/>
                <w:szCs w:val="20"/>
              </w:rPr>
            </w:pPr>
            <w:r>
              <w:rPr>
                <w:rFonts w:ascii="宋体" w:hAnsi="宋体"/>
                <w:bCs/>
                <w:sz w:val="20"/>
                <w:szCs w:val="20"/>
              </w:rPr>
              <w:t>指经</w:t>
            </w:r>
            <w:r>
              <w:rPr>
                <w:rFonts w:hint="eastAsia" w:ascii="宋体" w:hAnsi="宋体"/>
                <w:bCs/>
                <w:sz w:val="20"/>
                <w:szCs w:val="20"/>
              </w:rPr>
              <w:t>甲方</w:t>
            </w:r>
            <w:r>
              <w:rPr>
                <w:rFonts w:ascii="宋体" w:hAnsi="宋体"/>
                <w:bCs/>
                <w:sz w:val="20"/>
                <w:szCs w:val="20"/>
              </w:rPr>
              <w:t>批准的</w:t>
            </w:r>
            <w:r>
              <w:rPr>
                <w:rFonts w:hint="eastAsia" w:ascii="宋体" w:hAnsi="宋体"/>
                <w:bCs/>
                <w:sz w:val="20"/>
                <w:szCs w:val="20"/>
              </w:rPr>
              <w:t>乙方</w:t>
            </w:r>
            <w:r>
              <w:rPr>
                <w:rFonts w:ascii="宋体" w:hAnsi="宋体"/>
                <w:bCs/>
                <w:sz w:val="20"/>
                <w:szCs w:val="20"/>
              </w:rPr>
              <w:t>因重置、检修（含大修）设备或其它原因而对污水处理</w:t>
            </w:r>
            <w:r>
              <w:rPr>
                <w:rFonts w:hint="eastAsia" w:ascii="宋体" w:hAnsi="宋体"/>
                <w:bCs/>
                <w:sz w:val="20"/>
                <w:szCs w:val="20"/>
              </w:rPr>
              <w:t>设施</w:t>
            </w:r>
            <w:r>
              <w:rPr>
                <w:rFonts w:ascii="宋体" w:hAnsi="宋体"/>
                <w:bCs/>
                <w:sz w:val="20"/>
                <w:szCs w:val="20"/>
              </w:rPr>
              <w:t>的部分</w:t>
            </w:r>
            <w:r>
              <w:rPr>
                <w:rFonts w:hint="eastAsia" w:ascii="宋体" w:hAnsi="宋体"/>
                <w:bCs/>
                <w:sz w:val="20"/>
                <w:szCs w:val="20"/>
              </w:rPr>
              <w:t>或全部</w:t>
            </w:r>
            <w:r>
              <w:rPr>
                <w:rFonts w:ascii="宋体" w:hAnsi="宋体"/>
                <w:bCs/>
                <w:sz w:val="20"/>
                <w:szCs w:val="20"/>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其它暂停</w:t>
            </w:r>
          </w:p>
        </w:tc>
        <w:tc>
          <w:tcPr>
            <w:tcW w:w="7062" w:type="dxa"/>
          </w:tcPr>
          <w:p>
            <w:pPr>
              <w:pStyle w:val="239"/>
              <w:spacing w:before="194" w:beforeLines="50"/>
              <w:jc w:val="left"/>
              <w:rPr>
                <w:rFonts w:ascii="宋体" w:hAnsi="宋体"/>
                <w:sz w:val="20"/>
                <w:szCs w:val="20"/>
              </w:rPr>
            </w:pPr>
            <w:r>
              <w:rPr>
                <w:rFonts w:ascii="宋体" w:hAnsi="宋体"/>
                <w:sz w:val="20"/>
                <w:szCs w:val="20"/>
              </w:rPr>
              <w:t>指除不可抗力暂停、特殊暂停、批准暂停及非</w:t>
            </w:r>
            <w:r>
              <w:rPr>
                <w:rFonts w:hint="eastAsia" w:ascii="宋体" w:hAnsi="宋体"/>
                <w:sz w:val="20"/>
                <w:szCs w:val="20"/>
              </w:rPr>
              <w:t>乙方</w:t>
            </w:r>
            <w:r>
              <w:rPr>
                <w:rFonts w:ascii="宋体" w:hAnsi="宋体"/>
                <w:sz w:val="20"/>
                <w:szCs w:val="20"/>
              </w:rPr>
              <w:t>原因停电之外的任何暂停，</w:t>
            </w:r>
            <w:r>
              <w:rPr>
                <w:rFonts w:hint="eastAsia" w:ascii="宋体" w:hAnsi="宋体"/>
                <w:sz w:val="20"/>
                <w:szCs w:val="20"/>
              </w:rPr>
              <w:t>除非本附件另有约定，</w:t>
            </w:r>
            <w:r>
              <w:rPr>
                <w:rFonts w:ascii="宋体" w:hAnsi="宋体"/>
                <w:sz w:val="20"/>
                <w:szCs w:val="20"/>
              </w:rPr>
              <w:t>此类暂停视为</w:t>
            </w:r>
            <w:r>
              <w:rPr>
                <w:rFonts w:hint="eastAsia" w:ascii="宋体" w:hAnsi="宋体"/>
                <w:sz w:val="20"/>
                <w:szCs w:val="20"/>
              </w:rPr>
              <w:t>乙方</w:t>
            </w:r>
            <w:r>
              <w:rPr>
                <w:rFonts w:ascii="宋体" w:hAnsi="宋体"/>
                <w:sz w:val="20"/>
                <w:szCs w:val="20"/>
              </w:rPr>
              <w:t>违约。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475" w:type="dxa"/>
          </w:tcPr>
          <w:p>
            <w:pPr>
              <w:pStyle w:val="239"/>
              <w:spacing w:before="194" w:beforeLines="50"/>
              <w:jc w:val="left"/>
              <w:rPr>
                <w:rFonts w:ascii="宋体" w:hAnsi="宋体"/>
                <w:b/>
                <w:bCs/>
                <w:sz w:val="20"/>
                <w:szCs w:val="20"/>
              </w:rPr>
            </w:pPr>
            <w:r>
              <w:rPr>
                <w:rFonts w:hint="eastAsia" w:ascii="宋体" w:hAnsi="宋体"/>
                <w:b/>
                <w:bCs/>
                <w:sz w:val="20"/>
                <w:szCs w:val="20"/>
              </w:rPr>
              <w:t>运营</w:t>
            </w:r>
            <w:r>
              <w:rPr>
                <w:rFonts w:ascii="宋体" w:hAnsi="宋体"/>
                <w:b/>
                <w:bCs/>
                <w:sz w:val="20"/>
                <w:szCs w:val="20"/>
              </w:rPr>
              <w:t>服务费</w:t>
            </w:r>
          </w:p>
        </w:tc>
        <w:tc>
          <w:tcPr>
            <w:tcW w:w="7062" w:type="dxa"/>
          </w:tcPr>
          <w:p>
            <w:pPr>
              <w:pStyle w:val="239"/>
              <w:spacing w:before="194" w:beforeLines="50"/>
              <w:jc w:val="left"/>
              <w:rPr>
                <w:rFonts w:ascii="宋体" w:hAnsi="宋体"/>
                <w:sz w:val="20"/>
                <w:szCs w:val="20"/>
              </w:rPr>
            </w:pPr>
            <w:r>
              <w:rPr>
                <w:rFonts w:ascii="宋体" w:hAnsi="宋体"/>
                <w:sz w:val="20"/>
                <w:szCs w:val="20"/>
              </w:rPr>
              <w:t>指</w:t>
            </w:r>
            <w:r>
              <w:rPr>
                <w:rFonts w:hint="eastAsia" w:ascii="宋体" w:hAnsi="宋体"/>
                <w:sz w:val="20"/>
                <w:szCs w:val="20"/>
              </w:rPr>
              <w:t>乙方</w:t>
            </w:r>
            <w:r>
              <w:rPr>
                <w:rFonts w:ascii="宋体" w:hAnsi="宋体"/>
                <w:sz w:val="20"/>
                <w:szCs w:val="20"/>
              </w:rPr>
              <w:t>为</w:t>
            </w:r>
            <w:r>
              <w:rPr>
                <w:rFonts w:hint="eastAsia" w:ascii="宋体" w:hAnsi="宋体"/>
                <w:sz w:val="20"/>
                <w:szCs w:val="20"/>
              </w:rPr>
              <w:t>甲方</w:t>
            </w:r>
            <w:r>
              <w:rPr>
                <w:rFonts w:ascii="宋体" w:hAnsi="宋体"/>
                <w:sz w:val="20"/>
                <w:szCs w:val="20"/>
              </w:rPr>
              <w:t>提供</w:t>
            </w:r>
            <w:r>
              <w:rPr>
                <w:rFonts w:hint="eastAsia" w:ascii="宋体" w:hAnsi="宋体"/>
                <w:sz w:val="20"/>
                <w:szCs w:val="20"/>
              </w:rPr>
              <w:t>运营</w:t>
            </w:r>
            <w:r>
              <w:rPr>
                <w:rFonts w:ascii="宋体" w:hAnsi="宋体"/>
                <w:sz w:val="20"/>
                <w:szCs w:val="20"/>
              </w:rPr>
              <w:t>服务而收取的服务费，此费用</w:t>
            </w:r>
            <w:r>
              <w:rPr>
                <w:rFonts w:hint="eastAsia" w:ascii="宋体" w:hAnsi="宋体"/>
                <w:sz w:val="20"/>
                <w:szCs w:val="20"/>
              </w:rPr>
              <w:t>甲方经审核后</w:t>
            </w:r>
            <w:r>
              <w:rPr>
                <w:rFonts w:ascii="宋体" w:hAnsi="宋体"/>
                <w:sz w:val="20"/>
                <w:szCs w:val="20"/>
              </w:rPr>
              <w:t>定期向</w:t>
            </w:r>
            <w:r>
              <w:rPr>
                <w:rFonts w:hint="eastAsia" w:ascii="宋体" w:hAnsi="宋体"/>
                <w:sz w:val="20"/>
                <w:szCs w:val="20"/>
              </w:rPr>
              <w:t>乙方</w:t>
            </w:r>
            <w:r>
              <w:rPr>
                <w:rFonts w:ascii="宋体" w:hAnsi="宋体"/>
                <w:sz w:val="20"/>
                <w:szCs w:val="20"/>
              </w:rPr>
              <w:t>支付</w:t>
            </w:r>
            <w:r>
              <w:rPr>
                <w:rFonts w:hint="eastAsia" w:ascii="宋体" w:hAnsi="宋体"/>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2475" w:type="dxa"/>
          </w:tcPr>
          <w:p>
            <w:pPr>
              <w:pStyle w:val="239"/>
              <w:spacing w:before="194" w:beforeLines="50"/>
              <w:jc w:val="left"/>
              <w:rPr>
                <w:rFonts w:ascii="宋体" w:hAnsi="宋体"/>
                <w:b/>
                <w:bCs/>
                <w:sz w:val="20"/>
                <w:szCs w:val="20"/>
              </w:rPr>
            </w:pPr>
            <w:r>
              <w:rPr>
                <w:rFonts w:ascii="宋体" w:hAnsi="宋体"/>
                <w:b/>
                <w:bCs/>
                <w:sz w:val="20"/>
                <w:szCs w:val="20"/>
              </w:rPr>
              <w:t>进水管网</w:t>
            </w:r>
          </w:p>
        </w:tc>
        <w:tc>
          <w:tcPr>
            <w:tcW w:w="7062" w:type="dxa"/>
          </w:tcPr>
          <w:p>
            <w:pPr>
              <w:pStyle w:val="239"/>
              <w:spacing w:before="194" w:beforeLines="50"/>
              <w:jc w:val="left"/>
              <w:rPr>
                <w:rFonts w:ascii="宋体" w:hAnsi="宋体"/>
                <w:sz w:val="20"/>
                <w:szCs w:val="20"/>
              </w:rPr>
            </w:pPr>
            <w:r>
              <w:rPr>
                <w:rFonts w:ascii="宋体" w:hAnsi="宋体"/>
                <w:sz w:val="20"/>
                <w:szCs w:val="20"/>
              </w:rPr>
              <w:t>指为污水处理厂提供污水的该厂服务区域的城市污水收集管网。</w:t>
            </w:r>
          </w:p>
        </w:tc>
      </w:tr>
    </w:tbl>
    <w:p>
      <w:pPr>
        <w:pStyle w:val="239"/>
        <w:spacing w:before="97" w:beforeLines="25" w:after="97" w:afterLines="25"/>
        <w:ind w:firstLine="488" w:firstLineChars="237"/>
        <w:rPr>
          <w:rFonts w:ascii="宋体" w:hAnsi="宋体"/>
          <w:sz w:val="20"/>
        </w:rPr>
      </w:pPr>
      <w:r>
        <w:rPr>
          <w:rFonts w:hint="eastAsia" w:ascii="宋体" w:hAnsi="宋体"/>
          <w:sz w:val="20"/>
        </w:rPr>
        <w:t>在本协议中：</w:t>
      </w:r>
    </w:p>
    <w:p>
      <w:pPr>
        <w:pStyle w:val="239"/>
        <w:spacing w:before="97" w:beforeLines="25" w:after="97" w:afterLines="25"/>
        <w:ind w:firstLine="488" w:firstLineChars="237"/>
        <w:rPr>
          <w:rFonts w:ascii="宋体" w:hAnsi="宋体"/>
          <w:sz w:val="20"/>
        </w:rPr>
      </w:pPr>
      <w:r>
        <w:rPr>
          <w:rFonts w:hint="eastAsia" w:ascii="宋体" w:hAnsi="宋体"/>
          <w:sz w:val="20"/>
        </w:rPr>
        <w:t>a）除本协议上下文另有规定外，所提到的条款和附录均为本协议的条款和附录；</w:t>
      </w:r>
    </w:p>
    <w:p>
      <w:pPr>
        <w:pStyle w:val="239"/>
        <w:spacing w:before="97" w:beforeLines="25" w:after="97" w:afterLines="25"/>
        <w:ind w:firstLine="488" w:firstLineChars="237"/>
        <w:rPr>
          <w:rFonts w:ascii="宋体" w:hAnsi="宋体"/>
          <w:sz w:val="20"/>
        </w:rPr>
      </w:pPr>
      <w:r>
        <w:rPr>
          <w:rFonts w:hint="eastAsia" w:ascii="宋体" w:hAnsi="宋体"/>
          <w:sz w:val="20"/>
        </w:rPr>
        <w:t>b）除本协议上下文另有规定外，提及的一方或双方均为本协议的一方或双方以及他们的继任者和获准的受让人；</w:t>
      </w:r>
    </w:p>
    <w:p>
      <w:pPr>
        <w:pStyle w:val="239"/>
        <w:spacing w:before="97" w:beforeLines="25" w:after="97" w:afterLines="25"/>
        <w:ind w:firstLine="488" w:firstLineChars="237"/>
        <w:rPr>
          <w:rFonts w:ascii="宋体" w:hAnsi="宋体"/>
          <w:sz w:val="20"/>
        </w:rPr>
      </w:pPr>
      <w:r>
        <w:rPr>
          <w:rFonts w:hint="eastAsia" w:ascii="宋体" w:hAnsi="宋体"/>
          <w:sz w:val="20"/>
        </w:rPr>
        <w:t>c）每一方在履行本协议项下的义务和责任时，均有诚信履约的默示义务；</w:t>
      </w:r>
    </w:p>
    <w:p>
      <w:pPr>
        <w:pStyle w:val="239"/>
        <w:spacing w:before="97" w:beforeLines="25" w:after="97" w:afterLines="25"/>
        <w:ind w:firstLine="488" w:firstLineChars="237"/>
        <w:rPr>
          <w:rFonts w:ascii="宋体" w:hAnsi="宋体"/>
          <w:sz w:val="20"/>
        </w:rPr>
      </w:pPr>
      <w:r>
        <w:rPr>
          <w:rFonts w:hint="eastAsia" w:ascii="宋体" w:hAnsi="宋体"/>
          <w:sz w:val="20"/>
        </w:rPr>
        <w:t>d）所提到的日期、星期、月份和年度均为公历日期、星期、月份和年度；</w:t>
      </w:r>
    </w:p>
    <w:p>
      <w:pPr>
        <w:pStyle w:val="239"/>
        <w:spacing w:before="97" w:beforeLines="25" w:after="97" w:afterLines="25"/>
        <w:ind w:firstLine="488" w:firstLineChars="237"/>
        <w:rPr>
          <w:rFonts w:ascii="宋体" w:hAnsi="宋体"/>
          <w:sz w:val="20"/>
        </w:rPr>
      </w:pPr>
      <w:r>
        <w:rPr>
          <w:rFonts w:hint="eastAsia" w:ascii="宋体" w:hAnsi="宋体"/>
          <w:sz w:val="20"/>
        </w:rPr>
        <w:t>e）若要求付款之日为非银行对公工作日，应解释为要求自下一个银行对公工作日付款；</w:t>
      </w:r>
    </w:p>
    <w:p>
      <w:pPr>
        <w:pStyle w:val="239"/>
        <w:spacing w:before="97" w:beforeLines="25" w:after="97" w:afterLines="25"/>
        <w:ind w:firstLine="488" w:firstLineChars="237"/>
        <w:rPr>
          <w:rFonts w:ascii="宋体" w:hAnsi="宋体"/>
          <w:sz w:val="20"/>
        </w:rPr>
      </w:pPr>
      <w:r>
        <w:rPr>
          <w:rFonts w:hint="eastAsia" w:ascii="宋体" w:hAnsi="宋体"/>
          <w:sz w:val="20"/>
        </w:rPr>
        <w:t>f）除上下文另有规定外，“包括”一词应被视为与“不限于”几字连用。</w:t>
      </w:r>
    </w:p>
    <w:p>
      <w:pPr>
        <w:pStyle w:val="239"/>
        <w:spacing w:before="97" w:beforeLines="25" w:after="97" w:afterLines="25"/>
        <w:ind w:firstLine="488" w:firstLineChars="237"/>
        <w:rPr>
          <w:rFonts w:ascii="宋体" w:hAnsi="宋体"/>
          <w:b/>
          <w:sz w:val="20"/>
        </w:rPr>
      </w:pPr>
      <w:r>
        <w:rPr>
          <w:rFonts w:hint="eastAsia" w:ascii="宋体" w:hAnsi="宋体"/>
          <w:b/>
          <w:sz w:val="20"/>
        </w:rPr>
        <w:t>1.3 协议及相关文件</w:t>
      </w:r>
    </w:p>
    <w:p>
      <w:pPr>
        <w:pStyle w:val="239"/>
        <w:spacing w:before="97" w:beforeLines="25" w:after="97" w:afterLines="25"/>
        <w:ind w:firstLine="488" w:firstLineChars="237"/>
        <w:rPr>
          <w:rFonts w:ascii="宋体" w:hAnsi="宋体"/>
          <w:sz w:val="20"/>
        </w:rPr>
      </w:pPr>
      <w:r>
        <w:rPr>
          <w:rFonts w:hint="eastAsia" w:ascii="宋体" w:hAnsi="宋体"/>
          <w:sz w:val="20"/>
        </w:rPr>
        <w:t xml:space="preserve"> 协议及相关文件包含下列内容：</w:t>
      </w:r>
    </w:p>
    <w:p>
      <w:pPr>
        <w:pStyle w:val="239"/>
        <w:spacing w:before="97" w:beforeLines="25" w:after="97" w:afterLines="25"/>
        <w:ind w:firstLine="488" w:firstLineChars="237"/>
        <w:rPr>
          <w:rFonts w:ascii="宋体" w:hAnsi="宋体"/>
          <w:sz w:val="20"/>
        </w:rPr>
      </w:pPr>
      <w:r>
        <w:rPr>
          <w:rFonts w:hint="eastAsia" w:ascii="宋体" w:hAnsi="宋体"/>
          <w:sz w:val="20"/>
        </w:rPr>
        <w:t>（1）本协议及其附件</w:t>
      </w:r>
    </w:p>
    <w:p>
      <w:pPr>
        <w:pStyle w:val="239"/>
        <w:spacing w:before="97" w:beforeLines="25" w:after="97" w:afterLines="25"/>
        <w:ind w:firstLine="488" w:firstLineChars="237"/>
        <w:rPr>
          <w:rFonts w:ascii="宋体" w:hAnsi="宋体"/>
          <w:sz w:val="20"/>
        </w:rPr>
      </w:pPr>
      <w:r>
        <w:rPr>
          <w:rFonts w:hint="eastAsia" w:ascii="宋体" w:hAnsi="宋体"/>
          <w:sz w:val="20"/>
        </w:rPr>
        <w:t>（2）招标文件补充规定</w:t>
      </w:r>
    </w:p>
    <w:p>
      <w:pPr>
        <w:pStyle w:val="239"/>
        <w:spacing w:before="97" w:beforeLines="25" w:after="97" w:afterLines="25"/>
        <w:ind w:firstLine="488" w:firstLineChars="237"/>
        <w:rPr>
          <w:rFonts w:ascii="宋体" w:hAnsi="宋体"/>
          <w:sz w:val="20"/>
        </w:rPr>
      </w:pPr>
      <w:r>
        <w:rPr>
          <w:rFonts w:hint="eastAsia" w:ascii="宋体" w:hAnsi="宋体"/>
          <w:sz w:val="20"/>
        </w:rPr>
        <w:t>（3）招标文件澄清说明</w:t>
      </w:r>
    </w:p>
    <w:p>
      <w:pPr>
        <w:pStyle w:val="239"/>
        <w:spacing w:before="97" w:beforeLines="25" w:after="97" w:afterLines="25"/>
        <w:ind w:firstLine="488" w:firstLineChars="237"/>
        <w:rPr>
          <w:rFonts w:ascii="宋体" w:hAnsi="宋体"/>
          <w:sz w:val="20"/>
        </w:rPr>
      </w:pPr>
      <w:r>
        <w:rPr>
          <w:rFonts w:hint="eastAsia" w:ascii="宋体" w:hAnsi="宋体"/>
          <w:sz w:val="20"/>
        </w:rPr>
        <w:t>（4）标前会议备忘录</w:t>
      </w:r>
    </w:p>
    <w:p>
      <w:pPr>
        <w:pStyle w:val="239"/>
        <w:spacing w:before="97" w:beforeLines="25" w:after="97" w:afterLines="25"/>
        <w:ind w:firstLine="488" w:firstLineChars="237"/>
        <w:rPr>
          <w:rFonts w:ascii="宋体" w:hAnsi="宋体"/>
          <w:sz w:val="20"/>
        </w:rPr>
      </w:pPr>
      <w:r>
        <w:rPr>
          <w:rFonts w:hint="eastAsia" w:ascii="宋体" w:hAnsi="宋体"/>
          <w:sz w:val="20"/>
        </w:rPr>
        <w:t>（5）招标文件</w:t>
      </w:r>
    </w:p>
    <w:p>
      <w:pPr>
        <w:pStyle w:val="239"/>
        <w:spacing w:before="97" w:beforeLines="25" w:after="97" w:afterLines="25"/>
        <w:ind w:firstLine="488" w:firstLineChars="237"/>
        <w:rPr>
          <w:rFonts w:ascii="宋体" w:hAnsi="宋体"/>
          <w:sz w:val="20"/>
        </w:rPr>
      </w:pPr>
      <w:r>
        <w:rPr>
          <w:rFonts w:hint="eastAsia" w:ascii="宋体" w:hAnsi="宋体"/>
          <w:sz w:val="20"/>
        </w:rPr>
        <w:t>（6）投标文件澄清说明</w:t>
      </w:r>
    </w:p>
    <w:p>
      <w:pPr>
        <w:pStyle w:val="239"/>
        <w:spacing w:before="97" w:beforeLines="25" w:after="97" w:afterLines="25"/>
        <w:ind w:firstLine="488" w:firstLineChars="237"/>
        <w:rPr>
          <w:rFonts w:ascii="宋体" w:hAnsi="宋体"/>
          <w:sz w:val="20"/>
        </w:rPr>
      </w:pPr>
      <w:r>
        <w:rPr>
          <w:rFonts w:hint="eastAsia" w:ascii="宋体" w:hAnsi="宋体"/>
          <w:sz w:val="20"/>
        </w:rPr>
        <w:t>（7）投标文件</w:t>
      </w:r>
    </w:p>
    <w:p>
      <w:pPr>
        <w:pStyle w:val="239"/>
        <w:spacing w:before="97" w:beforeLines="25" w:after="97" w:afterLines="25"/>
        <w:ind w:firstLine="488" w:firstLineChars="237"/>
        <w:rPr>
          <w:rFonts w:ascii="宋体" w:hAnsi="宋体"/>
          <w:sz w:val="20"/>
        </w:rPr>
      </w:pPr>
      <w:r>
        <w:rPr>
          <w:rFonts w:hint="eastAsia" w:ascii="宋体" w:hAnsi="宋体"/>
          <w:sz w:val="20"/>
        </w:rPr>
        <w:t>前项文件，包括以书面、录音、录像、照相、微缩或电子数据等方式呈现的原件或复制品。若协议文件的内容不一致，依前项规定的解释顺序确定其适用的优先级别。甲方也可优先考虑或选择对甲方的有利解释。</w:t>
      </w:r>
    </w:p>
    <w:p>
      <w:pPr>
        <w:pStyle w:val="239"/>
        <w:widowControl w:val="0"/>
        <w:spacing w:before="194" w:beforeLines="50"/>
        <w:jc w:val="center"/>
        <w:rPr>
          <w:rFonts w:ascii="新宋体" w:hAnsi="新宋体" w:eastAsia="新宋体" w:cs="新宋体"/>
          <w:bCs/>
          <w:kern w:val="2"/>
          <w:sz w:val="28"/>
          <w:szCs w:val="28"/>
        </w:rPr>
      </w:pPr>
      <w:r>
        <w:rPr>
          <w:rFonts w:hint="eastAsia" w:ascii="新宋体" w:hAnsi="新宋体" w:eastAsia="新宋体" w:cs="新宋体"/>
          <w:b/>
          <w:kern w:val="2"/>
          <w:sz w:val="28"/>
          <w:szCs w:val="28"/>
        </w:rPr>
        <w:t>第二节  运营范围、运营权及期限</w:t>
      </w:r>
    </w:p>
    <w:p>
      <w:pPr>
        <w:pStyle w:val="239"/>
        <w:keepNext/>
        <w:keepLines/>
        <w:spacing w:before="120" w:after="120"/>
        <w:ind w:firstLine="500"/>
        <w:outlineLvl w:val="4"/>
        <w:rPr>
          <w:rFonts w:ascii="宋体" w:hAnsi="宋体"/>
          <w:b/>
          <w:szCs w:val="20"/>
        </w:rPr>
      </w:pPr>
      <w:r>
        <w:rPr>
          <w:rFonts w:hint="eastAsia" w:ascii="宋体" w:hAnsi="宋体"/>
          <w:b/>
          <w:szCs w:val="20"/>
        </w:rPr>
        <w:t>2.1 运营范围</w:t>
      </w:r>
    </w:p>
    <w:p>
      <w:pPr>
        <w:pStyle w:val="239"/>
        <w:spacing w:before="97" w:beforeLines="25" w:after="97" w:afterLines="25"/>
        <w:ind w:firstLine="488" w:firstLineChars="237"/>
        <w:rPr>
          <w:rFonts w:ascii="宋体" w:hAnsi="宋体"/>
          <w:sz w:val="20"/>
          <w:szCs w:val="22"/>
        </w:rPr>
      </w:pPr>
      <w:r>
        <w:rPr>
          <w:rFonts w:hint="eastAsia" w:ascii="宋体" w:hAnsi="宋体"/>
          <w:sz w:val="20"/>
          <w:szCs w:val="22"/>
        </w:rPr>
        <w:t>在本协议所规定的期限内乙方以运营方式自行负责并承担以下污水处理运营业务，包括：</w:t>
      </w:r>
    </w:p>
    <w:p>
      <w:pPr>
        <w:tabs>
          <w:tab w:val="left" w:pos="525"/>
        </w:tabs>
        <w:spacing w:line="460" w:lineRule="exact"/>
        <w:ind w:firstLine="412" w:firstLineChars="200"/>
        <w:rPr>
          <w:rFonts w:ascii="宋体" w:hAnsi="宋体" w:eastAsia="宋体" w:cs="宋体"/>
          <w:color w:val="000000" w:themeColor="text1"/>
          <w:kern w:val="0"/>
          <w:sz w:val="20"/>
          <w:szCs w:val="22"/>
          <w14:textFill>
            <w14:solidFill>
              <w14:schemeClr w14:val="tx1"/>
            </w14:solidFill>
          </w14:textFill>
        </w:rPr>
      </w:pPr>
      <w:r>
        <w:rPr>
          <w:rFonts w:hint="eastAsia" w:ascii="宋体" w:hAnsi="宋体" w:eastAsia="宋体" w:cs="宋体"/>
          <w:color w:val="000000" w:themeColor="text1"/>
          <w:sz w:val="20"/>
          <w:szCs w:val="22"/>
          <w14:textFill>
            <w14:solidFill>
              <w14:schemeClr w14:val="tx1"/>
            </w14:solidFill>
          </w14:textFill>
        </w:rPr>
        <w:t>2.1.1 负责高铁新城再生水厂项目（</w:t>
      </w:r>
      <w:r>
        <w:rPr>
          <w:rFonts w:hint="eastAsia" w:ascii="宋体" w:hAnsi="宋体" w:eastAsia="宋体" w:cs="宋体"/>
          <w:color w:val="000000" w:themeColor="text1"/>
          <w:kern w:val="0"/>
          <w:sz w:val="20"/>
          <w:szCs w:val="22"/>
          <w14:textFill>
            <w14:solidFill>
              <w14:schemeClr w14:val="tx1"/>
            </w14:solidFill>
          </w14:textFill>
        </w:rPr>
        <w:t>高铁新城再生水厂（含湿地）、3#进水泵站、4#泵站、湿地出水泵站的运营管理服务。</w:t>
      </w:r>
    </w:p>
    <w:p>
      <w:pPr>
        <w:pStyle w:val="239"/>
        <w:spacing w:before="97" w:beforeLines="25" w:after="97" w:afterLines="25"/>
        <w:ind w:firstLine="488" w:firstLineChars="237"/>
        <w:rPr>
          <w:rFonts w:ascii="宋体" w:hAnsi="宋体"/>
          <w:sz w:val="20"/>
          <w:szCs w:val="22"/>
        </w:rPr>
      </w:pPr>
      <w:r>
        <w:rPr>
          <w:rFonts w:hint="eastAsia" w:ascii="宋体" w:hAnsi="宋体"/>
          <w:sz w:val="20"/>
          <w:szCs w:val="22"/>
        </w:rPr>
        <w:t>2.1.2 负责项目所需应急预案编制、污泥定性检测、在线仪器运维等工作；</w:t>
      </w:r>
    </w:p>
    <w:p>
      <w:pPr>
        <w:pStyle w:val="239"/>
        <w:spacing w:before="97" w:beforeLines="25" w:after="97" w:afterLines="25"/>
        <w:ind w:firstLine="488" w:firstLineChars="237"/>
        <w:rPr>
          <w:rFonts w:ascii="宋体" w:hAnsi="宋体"/>
          <w:sz w:val="20"/>
          <w:szCs w:val="22"/>
        </w:rPr>
      </w:pPr>
      <w:r>
        <w:rPr>
          <w:rFonts w:hint="eastAsia" w:ascii="宋体" w:hAnsi="宋体"/>
          <w:sz w:val="20"/>
          <w:szCs w:val="22"/>
        </w:rPr>
        <w:t>2.1.3 自行承担费用（包括但不限于污水处理设施的正常运行所必须的水、药剂等消耗，以及日常保养维护及修理、分析检测费用、污泥处置费含运输费用、在线仪器运维费用、信息费含数据费、厂区道路绿化养护、办公器具购置费、税费等所有费用）和风险等；</w:t>
      </w:r>
    </w:p>
    <w:p>
      <w:pPr>
        <w:pStyle w:val="239"/>
        <w:spacing w:before="97" w:beforeLines="25" w:after="97" w:afterLines="25"/>
        <w:ind w:firstLine="488" w:firstLineChars="237"/>
        <w:rPr>
          <w:rFonts w:ascii="宋体" w:hAnsi="宋体"/>
          <w:sz w:val="20"/>
          <w:szCs w:val="22"/>
        </w:rPr>
      </w:pPr>
      <w:r>
        <w:rPr>
          <w:rFonts w:hint="eastAsia" w:ascii="宋体" w:hAnsi="宋体"/>
          <w:sz w:val="20"/>
          <w:szCs w:val="22"/>
        </w:rPr>
        <w:t>2.1.4 按照项目运营服务协议中的约定获得运营服务费，获得合理的项目运营服务回报；</w:t>
      </w:r>
    </w:p>
    <w:p>
      <w:pPr>
        <w:pStyle w:val="239"/>
        <w:spacing w:before="97" w:beforeLines="25" w:after="97" w:afterLines="25"/>
        <w:ind w:firstLine="488" w:firstLineChars="237"/>
        <w:rPr>
          <w:rFonts w:ascii="宋体" w:hAnsi="宋体"/>
          <w:sz w:val="20"/>
          <w:szCs w:val="22"/>
        </w:rPr>
      </w:pPr>
      <w:r>
        <w:rPr>
          <w:rFonts w:hint="eastAsia" w:ascii="宋体" w:hAnsi="宋体"/>
          <w:sz w:val="20"/>
          <w:szCs w:val="22"/>
        </w:rPr>
        <w:t>2.1.5 在确定的运营年限期满后，须将设施完备、运行良好的全厂近期、远期（如有）项目设施一并无偿移交给甲方或其指定单位，并协助办理运营所需的相关协议主体的转移。</w:t>
      </w:r>
    </w:p>
    <w:p>
      <w:pPr>
        <w:pStyle w:val="239"/>
        <w:keepNext/>
        <w:keepLines/>
        <w:spacing w:before="120" w:after="120"/>
        <w:ind w:firstLine="500"/>
        <w:outlineLvl w:val="4"/>
        <w:rPr>
          <w:rFonts w:ascii="宋体" w:hAnsi="宋体"/>
          <w:b/>
          <w:szCs w:val="20"/>
        </w:rPr>
      </w:pPr>
      <w:r>
        <w:rPr>
          <w:rFonts w:hint="eastAsia" w:ascii="宋体" w:hAnsi="宋体"/>
          <w:b/>
          <w:szCs w:val="20"/>
        </w:rPr>
        <w:t>2.2 运营权</w:t>
      </w:r>
    </w:p>
    <w:p>
      <w:pPr>
        <w:pStyle w:val="239"/>
        <w:spacing w:before="97" w:beforeLines="25" w:after="97" w:afterLines="25"/>
        <w:ind w:firstLine="488" w:firstLineChars="237"/>
        <w:rPr>
          <w:rFonts w:ascii="宋体" w:hAnsi="宋体"/>
          <w:sz w:val="20"/>
        </w:rPr>
      </w:pPr>
      <w:r>
        <w:rPr>
          <w:rFonts w:hint="eastAsia" w:ascii="宋体" w:hAnsi="宋体"/>
          <w:sz w:val="20"/>
        </w:rPr>
        <w:t>2.2.1 甲方在本项目服务区域内，依照本协议委托乙方在其运营期进行项目设施接收、运营和维护所接收的项目污水处理设施，提供污水处理服务并获得运营服务费的权利。</w:t>
      </w:r>
    </w:p>
    <w:p>
      <w:pPr>
        <w:pStyle w:val="239"/>
        <w:spacing w:before="97" w:beforeLines="25" w:after="97" w:afterLines="25"/>
        <w:ind w:firstLine="488" w:firstLineChars="237"/>
        <w:rPr>
          <w:rFonts w:ascii="宋体" w:hAnsi="宋体"/>
          <w:sz w:val="20"/>
        </w:rPr>
      </w:pPr>
      <w:r>
        <w:rPr>
          <w:rFonts w:hint="eastAsia" w:ascii="宋体" w:hAnsi="宋体"/>
          <w:sz w:val="20"/>
        </w:rPr>
        <w:t>2.2.2 依照本协议的规定，乙方应在运营期内自行承担费用、责任和风险（包括环境及安全风险），负责本项目中设施的日常运营与维护；并于运营期满时，将配置完备且运行良好的所运营污水处理厂项目近期、远期（如有）污水处理设施无偿移交给甲方或其指定机构。</w:t>
      </w:r>
    </w:p>
    <w:p>
      <w:pPr>
        <w:pStyle w:val="239"/>
        <w:spacing w:before="97" w:beforeLines="25" w:after="97" w:afterLines="25"/>
        <w:ind w:firstLine="488" w:firstLineChars="237"/>
        <w:rPr>
          <w:rFonts w:ascii="宋体" w:hAnsi="宋体"/>
          <w:sz w:val="20"/>
        </w:rPr>
      </w:pPr>
      <w:r>
        <w:rPr>
          <w:rFonts w:hint="eastAsia" w:ascii="宋体" w:hAnsi="宋体"/>
          <w:sz w:val="20"/>
        </w:rPr>
        <w:t>2.2.3 在运营期内：</w:t>
      </w:r>
    </w:p>
    <w:p>
      <w:pPr>
        <w:pStyle w:val="239"/>
        <w:spacing w:before="97" w:beforeLines="25" w:after="97" w:afterLines="25"/>
        <w:ind w:firstLine="488" w:firstLineChars="237"/>
        <w:rPr>
          <w:rFonts w:ascii="宋体" w:hAnsi="宋体"/>
          <w:sz w:val="20"/>
        </w:rPr>
      </w:pPr>
      <w:r>
        <w:rPr>
          <w:rFonts w:hint="eastAsia" w:ascii="宋体" w:hAnsi="宋体"/>
          <w:sz w:val="20"/>
        </w:rPr>
        <w:t>（1）乙方不得将本项目任何资产用于任何抵押、质押、担保、转让、投资参股及入股等。</w:t>
      </w:r>
    </w:p>
    <w:p>
      <w:pPr>
        <w:pStyle w:val="239"/>
        <w:spacing w:before="97" w:beforeLines="25" w:after="97" w:afterLines="25"/>
        <w:ind w:firstLine="488" w:firstLineChars="237"/>
        <w:rPr>
          <w:rFonts w:ascii="宋体" w:hAnsi="宋体"/>
          <w:sz w:val="20"/>
        </w:rPr>
      </w:pPr>
      <w:r>
        <w:rPr>
          <w:rFonts w:hint="eastAsia" w:ascii="宋体" w:hAnsi="宋体"/>
          <w:sz w:val="20"/>
        </w:rPr>
        <w:t>（2）污水处理厂所有项目设施的使用只能用于污水处理的功能且不得对周边环境造成二次污染。</w:t>
      </w:r>
    </w:p>
    <w:p>
      <w:pPr>
        <w:pStyle w:val="239"/>
        <w:spacing w:before="97" w:beforeLines="25" w:after="97" w:afterLines="25"/>
        <w:ind w:firstLine="488" w:firstLineChars="237"/>
        <w:rPr>
          <w:rFonts w:ascii="宋体" w:hAnsi="宋体"/>
          <w:sz w:val="20"/>
        </w:rPr>
      </w:pPr>
      <w:r>
        <w:rPr>
          <w:rFonts w:hint="eastAsia" w:ascii="宋体" w:hAnsi="宋体"/>
          <w:sz w:val="20"/>
        </w:rPr>
        <w:t>（3）乙方须承担政府要求的公共环境管理等责任和义务，如厂区绿化、社会环保教育等。</w:t>
      </w:r>
    </w:p>
    <w:p>
      <w:pPr>
        <w:pStyle w:val="239"/>
        <w:spacing w:before="97" w:beforeLines="25" w:after="97" w:afterLines="25"/>
        <w:ind w:firstLine="488" w:firstLineChars="237"/>
        <w:rPr>
          <w:rFonts w:ascii="宋体" w:hAnsi="宋体"/>
          <w:sz w:val="20"/>
        </w:rPr>
      </w:pPr>
      <w:r>
        <w:rPr>
          <w:rFonts w:hint="eastAsia" w:ascii="宋体" w:hAnsi="宋体"/>
          <w:sz w:val="20"/>
        </w:rPr>
        <w:t>（4）未经甲方批准同意，乙方不得转让运营权。</w:t>
      </w:r>
    </w:p>
    <w:p>
      <w:pPr>
        <w:pStyle w:val="239"/>
        <w:keepNext/>
        <w:keepLines/>
        <w:spacing w:before="120" w:after="120"/>
        <w:ind w:firstLine="500"/>
        <w:outlineLvl w:val="4"/>
        <w:rPr>
          <w:rFonts w:ascii="宋体" w:hAnsi="宋体"/>
          <w:b/>
          <w:szCs w:val="20"/>
        </w:rPr>
      </w:pPr>
      <w:r>
        <w:rPr>
          <w:rFonts w:hint="eastAsia" w:ascii="宋体" w:hAnsi="宋体"/>
          <w:b/>
          <w:szCs w:val="20"/>
        </w:rPr>
        <w:t>2.4 担保权</w:t>
      </w:r>
    </w:p>
    <w:p>
      <w:pPr>
        <w:pStyle w:val="239"/>
        <w:spacing w:before="97" w:beforeLines="25" w:after="97" w:afterLines="25"/>
        <w:ind w:firstLine="488" w:firstLineChars="237"/>
        <w:rPr>
          <w:rFonts w:ascii="宋体" w:hAnsi="宋体"/>
          <w:sz w:val="20"/>
        </w:rPr>
      </w:pPr>
      <w:r>
        <w:rPr>
          <w:rFonts w:hint="eastAsia" w:ascii="宋体" w:hAnsi="宋体"/>
          <w:sz w:val="20"/>
        </w:rPr>
        <w:t>在运营期内，乙方不得以本项目运营权益作为任何目的之担保保证。</w:t>
      </w:r>
    </w:p>
    <w:p>
      <w:pPr>
        <w:pStyle w:val="239"/>
        <w:keepNext/>
        <w:keepLines/>
        <w:spacing w:before="120" w:after="120"/>
        <w:ind w:firstLine="500"/>
        <w:outlineLvl w:val="4"/>
        <w:rPr>
          <w:rFonts w:ascii="宋体" w:hAnsi="宋体"/>
          <w:b/>
          <w:szCs w:val="20"/>
        </w:rPr>
      </w:pPr>
      <w:r>
        <w:rPr>
          <w:rFonts w:hint="eastAsia" w:ascii="宋体" w:hAnsi="宋体"/>
          <w:b/>
          <w:szCs w:val="20"/>
        </w:rPr>
        <w:t>2.5 运营期</w:t>
      </w:r>
    </w:p>
    <w:p>
      <w:pPr>
        <w:pStyle w:val="239"/>
        <w:spacing w:before="97" w:beforeLines="25" w:after="97" w:afterLines="25"/>
        <w:ind w:firstLine="488" w:firstLineChars="237"/>
        <w:rPr>
          <w:rFonts w:ascii="宋体" w:hAnsi="宋体"/>
          <w:sz w:val="20"/>
        </w:rPr>
      </w:pPr>
      <w:r>
        <w:rPr>
          <w:rFonts w:hint="eastAsia" w:ascii="宋体" w:hAnsi="宋体"/>
          <w:sz w:val="20"/>
        </w:rPr>
        <w:t>2.5.</w:t>
      </w:r>
      <w:r>
        <w:rPr>
          <w:rFonts w:ascii="宋体" w:hAnsi="宋体"/>
          <w:sz w:val="20"/>
        </w:rPr>
        <w:t>1</w:t>
      </w:r>
      <w:r>
        <w:rPr>
          <w:rFonts w:hint="eastAsia" w:ascii="宋体" w:hAnsi="宋体"/>
          <w:sz w:val="20"/>
        </w:rPr>
        <w:t xml:space="preserve"> 开始运营</w:t>
      </w:r>
    </w:p>
    <w:p>
      <w:pPr>
        <w:pStyle w:val="239"/>
        <w:spacing w:before="97" w:beforeLines="25" w:after="97" w:afterLines="25"/>
        <w:ind w:firstLine="488" w:firstLineChars="237"/>
        <w:rPr>
          <w:rFonts w:ascii="宋体" w:hAnsi="宋体"/>
          <w:strike/>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乙方应书面通知甲方到厂确认出水流量计底数，申请进入运营期，自甲方书面确认时起进入运营期。</w:t>
      </w:r>
    </w:p>
    <w:p>
      <w:pPr>
        <w:pStyle w:val="239"/>
        <w:spacing w:before="97" w:beforeLines="25" w:after="97" w:afterLines="25"/>
        <w:ind w:firstLine="488" w:firstLineChars="237"/>
        <w:rPr>
          <w:rFonts w:ascii="宋体" w:hAnsi="宋体"/>
          <w:sz w:val="20"/>
        </w:rPr>
      </w:pPr>
      <w:r>
        <w:rPr>
          <w:rFonts w:hint="eastAsia" w:ascii="宋体" w:hAnsi="宋体"/>
          <w:sz w:val="20"/>
        </w:rPr>
        <w:t>甲方应自接到申请进入运营期的书面通知后七（7）个工作日内书面通知乙方是否同意开始进入运营期，如不同意须同时书面陈述理由。如甲方未发出同意或不同意的通知，则视为甲方同意乙方开始进入运营期。</w:t>
      </w:r>
    </w:p>
    <w:p>
      <w:pPr>
        <w:pStyle w:val="239"/>
        <w:spacing w:before="97" w:beforeLines="25" w:after="97" w:afterLines="25"/>
        <w:ind w:firstLine="488" w:firstLineChars="237"/>
        <w:rPr>
          <w:rFonts w:ascii="宋体" w:hAnsi="宋体"/>
          <w:sz w:val="20"/>
        </w:rPr>
      </w:pPr>
      <w:r>
        <w:rPr>
          <w:rFonts w:hint="eastAsia" w:ascii="宋体" w:hAnsi="宋体"/>
          <w:sz w:val="20"/>
        </w:rPr>
        <w:t>本项目进入运营期后，依据本项目污水处理服务协议的约定向乙方支付运营服务费。</w:t>
      </w:r>
    </w:p>
    <w:p>
      <w:pPr>
        <w:pStyle w:val="239"/>
        <w:spacing w:before="97" w:beforeLines="25" w:after="97" w:afterLines="25"/>
        <w:ind w:firstLine="488" w:firstLineChars="237"/>
        <w:rPr>
          <w:rFonts w:ascii="宋体" w:hAnsi="宋体"/>
          <w:sz w:val="20"/>
        </w:rPr>
      </w:pPr>
      <w:r>
        <w:rPr>
          <w:rFonts w:hint="eastAsia" w:ascii="宋体" w:hAnsi="宋体"/>
          <w:sz w:val="20"/>
        </w:rPr>
        <w:t>2.5.</w:t>
      </w:r>
      <w:r>
        <w:rPr>
          <w:rFonts w:ascii="宋体" w:hAnsi="宋体"/>
          <w:sz w:val="20"/>
        </w:rPr>
        <w:t>2</w:t>
      </w:r>
      <w:r>
        <w:rPr>
          <w:rFonts w:hint="eastAsia" w:ascii="宋体" w:hAnsi="宋体"/>
          <w:sz w:val="20"/>
        </w:rPr>
        <w:t xml:space="preserve"> 运营期</w:t>
      </w:r>
    </w:p>
    <w:p>
      <w:pPr>
        <w:pStyle w:val="239"/>
        <w:spacing w:before="97" w:beforeLines="25" w:after="97" w:afterLines="25"/>
        <w:ind w:firstLine="488" w:firstLineChars="237"/>
        <w:rPr>
          <w:rFonts w:ascii="宋体" w:hAnsi="宋体"/>
          <w:sz w:val="20"/>
        </w:rPr>
      </w:pPr>
      <w:r>
        <w:rPr>
          <w:rFonts w:hint="eastAsia" w:ascii="宋体" w:hAnsi="宋体"/>
          <w:sz w:val="20"/>
        </w:rPr>
        <w:t>本项目运营的运营期限为：自甲方书面同意进入运营期之日起计算至第三（3）个周年日止。</w:t>
      </w:r>
    </w:p>
    <w:p>
      <w:pPr>
        <w:pStyle w:val="239"/>
        <w:spacing w:before="97" w:beforeLines="25" w:after="97" w:afterLines="25"/>
        <w:ind w:firstLine="488" w:firstLineChars="237"/>
        <w:rPr>
          <w:rFonts w:ascii="宋体" w:hAnsi="宋体"/>
          <w:sz w:val="20"/>
        </w:rPr>
      </w:pPr>
      <w:r>
        <w:rPr>
          <w:rFonts w:hint="eastAsia" w:ascii="宋体" w:hAnsi="宋体" w:cs="宋体"/>
          <w:bCs/>
          <w:sz w:val="20"/>
          <w:szCs w:val="20"/>
        </w:rPr>
        <w:t>高铁新城再生水厂</w:t>
      </w:r>
      <w:r>
        <w:rPr>
          <w:rFonts w:hint="eastAsia" w:ascii="宋体" w:hAnsi="宋体"/>
          <w:sz w:val="20"/>
        </w:rPr>
        <w:t>项目运营期为三年。</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第三节  条件和声明</w:t>
      </w:r>
    </w:p>
    <w:p>
      <w:pPr>
        <w:pStyle w:val="239"/>
        <w:keepNext/>
        <w:keepLines/>
        <w:spacing w:before="120" w:after="120"/>
        <w:ind w:firstLine="500"/>
        <w:outlineLvl w:val="4"/>
        <w:rPr>
          <w:rFonts w:ascii="宋体" w:hAnsi="宋体"/>
          <w:b/>
          <w:szCs w:val="20"/>
        </w:rPr>
      </w:pPr>
      <w:r>
        <w:rPr>
          <w:rFonts w:hint="eastAsia" w:ascii="宋体" w:hAnsi="宋体"/>
          <w:b/>
          <w:szCs w:val="20"/>
        </w:rPr>
        <w:t>3.1 履行义务的条件</w:t>
      </w:r>
    </w:p>
    <w:p>
      <w:pPr>
        <w:pStyle w:val="239"/>
        <w:spacing w:before="97" w:beforeLines="25" w:after="97" w:afterLines="25"/>
        <w:ind w:firstLine="488" w:firstLineChars="237"/>
        <w:rPr>
          <w:rFonts w:ascii="宋体" w:hAnsi="宋体"/>
          <w:sz w:val="20"/>
        </w:rPr>
      </w:pPr>
      <w:r>
        <w:rPr>
          <w:rFonts w:hint="eastAsia" w:ascii="宋体" w:hAnsi="宋体"/>
          <w:sz w:val="20"/>
        </w:rPr>
        <w:t>运营服务协议已签署并对其各方有约束力，并且所有先决条件已满足（或被放弃）为甲方和乙方在本协议项下义务的先决条件。</w:t>
      </w:r>
    </w:p>
    <w:p>
      <w:pPr>
        <w:pStyle w:val="239"/>
        <w:spacing w:before="97" w:beforeLines="25" w:after="97" w:afterLines="25"/>
        <w:ind w:firstLine="488" w:firstLineChars="237"/>
        <w:rPr>
          <w:rFonts w:ascii="宋体" w:hAnsi="宋体"/>
          <w:sz w:val="20"/>
        </w:rPr>
      </w:pPr>
      <w:r>
        <w:rPr>
          <w:rFonts w:hint="eastAsia" w:ascii="宋体" w:hAnsi="宋体"/>
          <w:sz w:val="20"/>
        </w:rPr>
        <w:t>乙方完成项目设施的接收并提交开始运营报告，是本协议项下乙方承担项目设施处理污水进水和运营维护管理的义务以及甲方按污水处理完成情况承担付款义务之前提条件。</w:t>
      </w:r>
    </w:p>
    <w:p>
      <w:pPr>
        <w:pStyle w:val="239"/>
        <w:keepNext/>
        <w:keepLines/>
        <w:spacing w:before="120" w:after="120"/>
        <w:ind w:firstLine="500"/>
        <w:outlineLvl w:val="4"/>
        <w:rPr>
          <w:rFonts w:ascii="宋体" w:hAnsi="宋体"/>
          <w:b/>
          <w:szCs w:val="20"/>
        </w:rPr>
      </w:pPr>
      <w:r>
        <w:rPr>
          <w:rFonts w:hint="eastAsia" w:ascii="宋体" w:hAnsi="宋体"/>
          <w:b/>
          <w:szCs w:val="20"/>
        </w:rPr>
        <w:t>3.2 声明</w:t>
      </w:r>
    </w:p>
    <w:p>
      <w:pPr>
        <w:pStyle w:val="239"/>
        <w:spacing w:before="97" w:beforeLines="25" w:after="97" w:afterLines="25"/>
        <w:ind w:firstLine="488" w:firstLineChars="237"/>
        <w:rPr>
          <w:rFonts w:ascii="宋体" w:hAnsi="宋体"/>
          <w:sz w:val="20"/>
        </w:rPr>
      </w:pPr>
      <w:r>
        <w:rPr>
          <w:rFonts w:hint="eastAsia" w:ascii="宋体" w:hAnsi="宋体"/>
          <w:sz w:val="20"/>
        </w:rPr>
        <w:t>每一方特此向另一方声明如下：</w:t>
      </w:r>
    </w:p>
    <w:p>
      <w:pPr>
        <w:pStyle w:val="239"/>
        <w:spacing w:before="97" w:beforeLines="25" w:after="97" w:afterLines="25"/>
        <w:ind w:firstLine="488" w:firstLineChars="237"/>
        <w:rPr>
          <w:rFonts w:ascii="宋体" w:hAnsi="宋体"/>
          <w:sz w:val="20"/>
        </w:rPr>
      </w:pPr>
      <w:r>
        <w:rPr>
          <w:rFonts w:hint="eastAsia" w:ascii="宋体" w:hAnsi="宋体"/>
          <w:sz w:val="20"/>
        </w:rPr>
        <w:t>a）其依据中国法律设立和组建；</w:t>
      </w:r>
    </w:p>
    <w:p>
      <w:pPr>
        <w:pStyle w:val="239"/>
        <w:spacing w:before="97" w:beforeLines="25" w:after="97" w:afterLines="25"/>
        <w:ind w:firstLine="488" w:firstLineChars="237"/>
        <w:rPr>
          <w:rFonts w:ascii="宋体" w:hAnsi="宋体"/>
          <w:sz w:val="20"/>
        </w:rPr>
      </w:pPr>
      <w:r>
        <w:rPr>
          <w:rFonts w:hint="eastAsia" w:ascii="宋体" w:hAnsi="宋体"/>
          <w:sz w:val="20"/>
        </w:rPr>
        <w:t>b）其完全有权签署本协议且能够履行本协议项下义务；</w:t>
      </w:r>
    </w:p>
    <w:p>
      <w:pPr>
        <w:pStyle w:val="239"/>
        <w:spacing w:before="97" w:beforeLines="25" w:after="97" w:afterLines="25"/>
        <w:ind w:firstLine="488" w:firstLineChars="237"/>
        <w:rPr>
          <w:rFonts w:ascii="宋体" w:hAnsi="宋体"/>
          <w:sz w:val="20"/>
        </w:rPr>
      </w:pPr>
      <w:r>
        <w:rPr>
          <w:rFonts w:hint="eastAsia" w:ascii="宋体" w:hAnsi="宋体"/>
          <w:sz w:val="20"/>
        </w:rPr>
        <w:t>c）其完全有权并能够执行本协议第</w:t>
      </w:r>
      <w:r>
        <w:fldChar w:fldCharType="begin"/>
      </w:r>
      <w:r>
        <w:instrText xml:space="preserve"> HYPERLINK \l "_第十九章__争议的解决" </w:instrText>
      </w:r>
      <w:r>
        <w:fldChar w:fldCharType="separate"/>
      </w:r>
      <w:r>
        <w:rPr>
          <w:rFonts w:hint="eastAsia" w:ascii="宋体" w:hAnsi="宋体"/>
          <w:sz w:val="20"/>
          <w:szCs w:val="20"/>
        </w:rPr>
        <w:t>1</w:t>
      </w:r>
      <w:r>
        <w:rPr>
          <w:rFonts w:ascii="宋体" w:hAnsi="宋体"/>
          <w:sz w:val="20"/>
          <w:szCs w:val="20"/>
        </w:rPr>
        <w:t>7</w:t>
      </w:r>
      <w:r>
        <w:rPr>
          <w:rFonts w:ascii="宋体" w:hAnsi="宋体"/>
          <w:sz w:val="20"/>
          <w:szCs w:val="20"/>
        </w:rPr>
        <w:fldChar w:fldCharType="end"/>
      </w:r>
      <w:r>
        <w:rPr>
          <w:rFonts w:hint="eastAsia" w:ascii="宋体" w:hAnsi="宋体"/>
          <w:sz w:val="20"/>
        </w:rPr>
        <w:t>节规定的争议解决程序。该条项下所作的决定、裁决和补救措施对该方是有效的且可强制执行。</w:t>
      </w:r>
    </w:p>
    <w:p>
      <w:pPr>
        <w:pStyle w:val="239"/>
        <w:keepNext/>
        <w:keepLines/>
        <w:spacing w:before="120" w:after="120"/>
        <w:ind w:firstLine="500"/>
        <w:outlineLvl w:val="4"/>
        <w:rPr>
          <w:rFonts w:ascii="宋体" w:hAnsi="宋体"/>
          <w:b/>
          <w:szCs w:val="20"/>
        </w:rPr>
      </w:pPr>
      <w:r>
        <w:rPr>
          <w:rFonts w:hint="eastAsia" w:ascii="宋体" w:hAnsi="宋体"/>
          <w:b/>
          <w:szCs w:val="20"/>
        </w:rPr>
        <w:t>3.3 甲方的陈述和保证</w:t>
      </w:r>
    </w:p>
    <w:p>
      <w:pPr>
        <w:pStyle w:val="239"/>
        <w:spacing w:before="97" w:beforeLines="25" w:after="97" w:afterLines="25"/>
        <w:ind w:firstLine="488" w:firstLineChars="237"/>
        <w:rPr>
          <w:rFonts w:ascii="宋体" w:hAnsi="宋体"/>
          <w:sz w:val="20"/>
        </w:rPr>
      </w:pPr>
      <w:r>
        <w:rPr>
          <w:rFonts w:hint="eastAsia" w:ascii="宋体" w:hAnsi="宋体"/>
          <w:sz w:val="20"/>
        </w:rPr>
        <w:t>在本协议正式签署生效日起：</w:t>
      </w:r>
    </w:p>
    <w:p>
      <w:pPr>
        <w:pStyle w:val="239"/>
        <w:spacing w:before="97" w:beforeLines="25" w:after="97" w:afterLines="25"/>
        <w:ind w:firstLine="488" w:firstLineChars="237"/>
        <w:rPr>
          <w:rFonts w:ascii="宋体" w:hAnsi="宋体"/>
          <w:sz w:val="20"/>
        </w:rPr>
      </w:pPr>
      <w:r>
        <w:rPr>
          <w:rFonts w:hint="eastAsia" w:ascii="宋体" w:hAnsi="宋体"/>
          <w:sz w:val="20"/>
        </w:rPr>
        <w:t>3.3.1  有权按或取或付原则支付或收取费用；</w:t>
      </w:r>
    </w:p>
    <w:p>
      <w:pPr>
        <w:pStyle w:val="239"/>
        <w:spacing w:before="97" w:beforeLines="25" w:after="97" w:afterLines="25"/>
        <w:ind w:firstLine="488" w:firstLineChars="237"/>
        <w:rPr>
          <w:rFonts w:ascii="宋体" w:hAnsi="宋体"/>
          <w:sz w:val="20"/>
        </w:rPr>
      </w:pPr>
      <w:r>
        <w:rPr>
          <w:rFonts w:hint="eastAsia" w:ascii="宋体" w:hAnsi="宋体"/>
          <w:sz w:val="20"/>
        </w:rPr>
        <w:t>3.3.2  如果甲方在本项第</w:t>
      </w:r>
      <w:r>
        <w:fldChar w:fldCharType="begin"/>
      </w:r>
      <w:r>
        <w:instrText xml:space="preserve"> HYPERLINK "file:///C:\\Users\\szdfdywzm\\Desktop\\深圳排水处运营标\\提交文件夹\\特许协议改造版.doc" \l "_3.2_区政府的声明#_3.2_区政府的声明" </w:instrText>
      </w:r>
      <w:r>
        <w:fldChar w:fldCharType="separate"/>
      </w:r>
      <w:r>
        <w:rPr>
          <w:rFonts w:hint="eastAsia" w:ascii="宋体" w:hAnsi="宋体"/>
          <w:sz w:val="20"/>
          <w:szCs w:val="20"/>
        </w:rPr>
        <w:t>3.3</w:t>
      </w:r>
      <w:r>
        <w:rPr>
          <w:rFonts w:hint="eastAsia" w:ascii="宋体" w:hAnsi="宋体"/>
          <w:sz w:val="20"/>
          <w:szCs w:val="20"/>
        </w:rPr>
        <w:fldChar w:fldCharType="end"/>
      </w:r>
      <w:r>
        <w:rPr>
          <w:rFonts w:hint="eastAsia" w:ascii="宋体" w:hAnsi="宋体"/>
          <w:sz w:val="20"/>
        </w:rPr>
        <w:t>条下所作的声明被证明在做出之时在实质方面不正确，乙方应有权根据第</w:t>
      </w:r>
      <w:r>
        <w:fldChar w:fldCharType="begin"/>
      </w:r>
      <w:r>
        <w:instrText xml:space="preserve"> HYPERLINK \l "_16.1_赔偿" </w:instrText>
      </w:r>
      <w:r>
        <w:fldChar w:fldCharType="separate"/>
      </w:r>
      <w:r>
        <w:rPr>
          <w:rFonts w:hint="eastAsia" w:ascii="宋体" w:hAnsi="宋体"/>
          <w:sz w:val="20"/>
          <w:szCs w:val="20"/>
        </w:rPr>
        <w:t>1</w:t>
      </w:r>
      <w:r>
        <w:rPr>
          <w:rFonts w:ascii="宋体" w:hAnsi="宋体"/>
          <w:sz w:val="20"/>
          <w:szCs w:val="20"/>
        </w:rPr>
        <w:t>4</w:t>
      </w:r>
      <w:r>
        <w:rPr>
          <w:rFonts w:hint="eastAsia" w:ascii="宋体" w:hAnsi="宋体"/>
          <w:sz w:val="20"/>
          <w:szCs w:val="20"/>
        </w:rPr>
        <w:t>.1</w:t>
      </w:r>
      <w:r>
        <w:rPr>
          <w:rFonts w:hint="eastAsia" w:ascii="宋体" w:hAnsi="宋体"/>
          <w:sz w:val="20"/>
          <w:szCs w:val="20"/>
        </w:rPr>
        <w:fldChar w:fldCharType="end"/>
      </w:r>
      <w:r>
        <w:rPr>
          <w:rFonts w:hint="eastAsia" w:ascii="宋体" w:hAnsi="宋体"/>
          <w:sz w:val="20"/>
        </w:rPr>
        <w:t>条就任何有关损害获得赔偿，且在第</w:t>
      </w:r>
      <w:r>
        <w:fldChar w:fldCharType="begin"/>
      </w:r>
      <w:r>
        <w:instrText xml:space="preserve"> HYPERLINK \l "_15.3_市水务局违约事件" </w:instrText>
      </w:r>
      <w:r>
        <w:fldChar w:fldCharType="separate"/>
      </w:r>
      <w:r>
        <w:rPr>
          <w:rFonts w:hint="eastAsia" w:ascii="宋体" w:hAnsi="宋体"/>
          <w:sz w:val="20"/>
          <w:szCs w:val="20"/>
        </w:rPr>
        <w:t>1</w:t>
      </w:r>
      <w:r>
        <w:rPr>
          <w:rFonts w:ascii="宋体" w:hAnsi="宋体"/>
          <w:sz w:val="20"/>
          <w:szCs w:val="20"/>
        </w:rPr>
        <w:t>3</w:t>
      </w:r>
      <w:r>
        <w:rPr>
          <w:rFonts w:hint="eastAsia" w:ascii="宋体" w:hAnsi="宋体"/>
          <w:sz w:val="20"/>
          <w:szCs w:val="20"/>
        </w:rPr>
        <w:t>.3</w:t>
      </w:r>
      <w:r>
        <w:rPr>
          <w:rFonts w:hint="eastAsia" w:ascii="宋体" w:hAnsi="宋体"/>
          <w:sz w:val="20"/>
          <w:szCs w:val="20"/>
        </w:rPr>
        <w:fldChar w:fldCharType="end"/>
      </w:r>
      <w:r>
        <w:rPr>
          <w:rFonts w:hint="eastAsia" w:ascii="宋体" w:hAnsi="宋体"/>
          <w:sz w:val="20"/>
        </w:rPr>
        <w:t>条所述的情况下，有权终止或部分终止本协议。</w:t>
      </w:r>
    </w:p>
    <w:p>
      <w:pPr>
        <w:pStyle w:val="239"/>
        <w:spacing w:before="97" w:beforeLines="25" w:after="97" w:afterLines="25"/>
        <w:ind w:firstLine="488" w:firstLineChars="237"/>
        <w:rPr>
          <w:rFonts w:ascii="宋体" w:hAnsi="宋体"/>
          <w:sz w:val="20"/>
        </w:rPr>
      </w:pPr>
      <w:r>
        <w:rPr>
          <w:rFonts w:hint="eastAsia" w:ascii="宋体" w:hAnsi="宋体"/>
          <w:sz w:val="20"/>
        </w:rPr>
        <w:t>3.3.3  甲方将确保在整个运营期内：</w:t>
      </w:r>
    </w:p>
    <w:p>
      <w:pPr>
        <w:pStyle w:val="239"/>
        <w:spacing w:before="97" w:beforeLines="25" w:after="97" w:afterLines="25"/>
        <w:ind w:firstLine="488" w:firstLineChars="237"/>
        <w:rPr>
          <w:rFonts w:ascii="宋体" w:hAnsi="宋体"/>
          <w:sz w:val="20"/>
        </w:rPr>
      </w:pPr>
      <w:r>
        <w:rPr>
          <w:rFonts w:hint="eastAsia" w:ascii="宋体" w:hAnsi="宋体"/>
          <w:sz w:val="20"/>
        </w:rPr>
        <w:t>污水处理厂已建成项目设施用地归甲方所有并将无偿交与乙方接收后使用，且土地用途双方均不得随意更改。乙方有权为本项目之目的在运营期内合法、独占性地使用污水处理厂项目近期（远期，如有）设施用地。</w:t>
      </w:r>
    </w:p>
    <w:p>
      <w:pPr>
        <w:pStyle w:val="239"/>
        <w:keepNext/>
        <w:keepLines/>
        <w:spacing w:before="120" w:after="120"/>
        <w:ind w:firstLine="500"/>
        <w:outlineLvl w:val="4"/>
        <w:rPr>
          <w:rFonts w:ascii="宋体" w:hAnsi="宋体"/>
          <w:b/>
          <w:szCs w:val="20"/>
        </w:rPr>
      </w:pPr>
      <w:r>
        <w:rPr>
          <w:rFonts w:hint="eastAsia" w:ascii="宋体" w:hAnsi="宋体"/>
          <w:b/>
          <w:szCs w:val="20"/>
        </w:rPr>
        <w:t>3.4 履约保证</w:t>
      </w:r>
    </w:p>
    <w:p>
      <w:pPr>
        <w:pStyle w:val="239"/>
        <w:spacing w:before="97" w:beforeLines="25" w:after="97" w:afterLines="25"/>
        <w:ind w:firstLine="488" w:firstLineChars="237"/>
        <w:rPr>
          <w:rFonts w:ascii="宋体" w:hAnsi="宋体"/>
          <w:color w:val="000000" w:themeColor="text1"/>
          <w:sz w:val="20"/>
          <w:highlight w:val="none"/>
          <w:u w:val="single"/>
          <w14:textFill>
            <w14:solidFill>
              <w14:schemeClr w14:val="tx1"/>
            </w14:solidFill>
          </w14:textFill>
        </w:rPr>
      </w:pPr>
      <w:r>
        <w:rPr>
          <w:rFonts w:hint="eastAsia" w:ascii="宋体" w:hAnsi="宋体"/>
          <w:sz w:val="20"/>
        </w:rPr>
        <w:t>3.4.1</w:t>
      </w:r>
      <w:r>
        <w:rPr>
          <w:rFonts w:hint="eastAsia" w:ascii="宋体" w:hAnsi="宋体"/>
          <w:color w:val="FF0000"/>
          <w:sz w:val="20"/>
        </w:rPr>
        <w:t xml:space="preserve"> </w:t>
      </w:r>
      <w:r>
        <w:rPr>
          <w:rFonts w:hint="eastAsia" w:ascii="宋体" w:hAnsi="宋体"/>
          <w:sz w:val="20"/>
          <w:u w:val="single"/>
        </w:rPr>
        <w:t>乙方应在本运营服务协议正式签署后十（10）个日历天内，向甲方提交一份经甲方认可的履约保函，以保证乙方履行本协议项下有关项目设施接收和正常运营维护的义务</w:t>
      </w:r>
      <w:r>
        <w:rPr>
          <w:rFonts w:hint="eastAsia" w:ascii="宋体" w:hAnsi="宋体"/>
          <w:b/>
          <w:bCs/>
          <w:sz w:val="20"/>
          <w:u w:val="single"/>
        </w:rPr>
        <w:t>，</w:t>
      </w:r>
      <w:r>
        <w:rPr>
          <w:rFonts w:hint="eastAsia" w:ascii="宋体" w:hAnsi="宋体"/>
          <w:b/>
          <w:bCs/>
          <w:color w:val="000000" w:themeColor="text1"/>
          <w:sz w:val="20"/>
          <w:highlight w:val="none"/>
          <w:u w:val="single"/>
          <w:lang w:val="en-US" w:eastAsia="zh-CN"/>
          <w14:textFill>
            <w14:solidFill>
              <w14:schemeClr w14:val="tx1"/>
            </w14:solidFill>
          </w14:textFill>
        </w:rPr>
        <w:t xml:space="preserve"> </w:t>
      </w:r>
      <w:r>
        <w:rPr>
          <w:rFonts w:hint="eastAsia" w:ascii="宋体" w:hAnsi="宋体"/>
          <w:b/>
          <w:bCs/>
          <w:color w:val="000000" w:themeColor="text1"/>
          <w:sz w:val="20"/>
          <w:highlight w:val="none"/>
          <w:u w:val="single"/>
          <w14:textFill>
            <w14:solidFill>
              <w14:schemeClr w14:val="tx1"/>
            </w14:solidFill>
          </w14:textFill>
        </w:rPr>
        <w:t>金额为</w:t>
      </w:r>
      <w:r>
        <w:rPr>
          <w:rFonts w:hint="eastAsia" w:ascii="宋体" w:hAnsi="宋体"/>
          <w:b/>
          <w:bCs/>
          <w:color w:val="000000" w:themeColor="text1"/>
          <w:sz w:val="20"/>
          <w:highlight w:val="none"/>
          <w:u w:val="single"/>
          <w:lang w:eastAsia="zh-CN"/>
          <w14:textFill>
            <w14:solidFill>
              <w14:schemeClr w14:val="tx1"/>
            </w14:solidFill>
          </w14:textFill>
        </w:rPr>
        <w:t>暂估合同总价的</w:t>
      </w:r>
      <w:r>
        <w:rPr>
          <w:rFonts w:hint="eastAsia" w:ascii="宋体" w:hAnsi="宋体"/>
          <w:b/>
          <w:bCs/>
          <w:color w:val="000000" w:themeColor="text1"/>
          <w:sz w:val="20"/>
          <w:highlight w:val="none"/>
          <w:u w:val="single"/>
          <w:lang w:val="en-US" w:eastAsia="zh-CN"/>
          <w14:textFill>
            <w14:solidFill>
              <w14:schemeClr w14:val="tx1"/>
            </w14:solidFill>
          </w14:textFill>
        </w:rPr>
        <w:t>1%，即</w:t>
      </w:r>
      <w:r>
        <w:rPr>
          <w:rFonts w:hint="eastAsia" w:ascii="宋体" w:hAnsi="宋体"/>
          <w:b/>
          <w:bCs/>
          <w:color w:val="000000" w:themeColor="text1"/>
          <w:sz w:val="20"/>
          <w:highlight w:val="none"/>
          <w:u w:val="single"/>
          <w14:textFill>
            <w14:solidFill>
              <w14:schemeClr w14:val="tx1"/>
            </w14:solidFill>
          </w14:textFill>
        </w:rPr>
        <w:t xml:space="preserve">（人民币）大写：    </w:t>
      </w:r>
      <w:r>
        <w:rPr>
          <w:rFonts w:hint="eastAsia" w:ascii="宋体" w:hAnsi="宋体"/>
          <w:b/>
          <w:bCs/>
          <w:color w:val="000000" w:themeColor="text1"/>
          <w:sz w:val="20"/>
          <w:highlight w:val="none"/>
          <w:u w:val="single"/>
          <w:lang w:val="en-US" w:eastAsia="zh-CN"/>
          <w14:textFill>
            <w14:solidFill>
              <w14:schemeClr w14:val="tx1"/>
            </w14:solidFill>
          </w14:textFill>
        </w:rPr>
        <w:t xml:space="preserve">      </w:t>
      </w:r>
      <w:r>
        <w:rPr>
          <w:rFonts w:hint="eastAsia" w:ascii="宋体" w:hAnsi="宋体"/>
          <w:b/>
          <w:bCs/>
          <w:color w:val="000000" w:themeColor="text1"/>
          <w:sz w:val="20"/>
          <w:highlight w:val="none"/>
          <w:u w:val="single"/>
          <w14:textFill>
            <w14:solidFill>
              <w14:schemeClr w14:val="tx1"/>
            </w14:solidFill>
          </w14:textFill>
        </w:rPr>
        <w:t xml:space="preserve">  （￥         元），</w:t>
      </w:r>
      <w:r>
        <w:rPr>
          <w:rFonts w:hint="eastAsia" w:ascii="宋体" w:hAnsi="宋体"/>
          <w:color w:val="000000" w:themeColor="text1"/>
          <w:sz w:val="20"/>
          <w:highlight w:val="none"/>
          <w:u w:val="single"/>
          <w14:textFill>
            <w14:solidFill>
              <w14:schemeClr w14:val="tx1"/>
            </w14:solidFill>
          </w14:textFill>
        </w:rPr>
        <w:t>保函有效期为运营服务协议正式签署后直至运营期满后的六（6）个月。</w:t>
      </w:r>
    </w:p>
    <w:p>
      <w:pPr>
        <w:pStyle w:val="239"/>
        <w:spacing w:before="97" w:beforeLines="25" w:after="97" w:afterLines="25"/>
        <w:ind w:firstLine="488" w:firstLineChars="237"/>
        <w:rPr>
          <w:rFonts w:ascii="宋体" w:hAnsi="宋体"/>
          <w:sz w:val="20"/>
          <w:u w:val="single"/>
        </w:rPr>
      </w:pPr>
      <w:r>
        <w:rPr>
          <w:rFonts w:hint="eastAsia" w:ascii="宋体" w:hAnsi="宋体"/>
          <w:sz w:val="20"/>
          <w:u w:val="single"/>
        </w:rPr>
        <w:t>乙方未按期缴纳履约保函的，按下述条款处理：（1）逾期10个日历天（含）内的，每天按应缴纳金额的万分之五收缴违约金；（2）超过10个日历天，每天按应缴纳金额的千分之一收缴违约金；（3）超过20个日历天以上仍未缴纳的，列入不良行为予以通报，同时，甲方有权解除协议；（4）逾期缴纳的须将履约保函和违约金足额缴纳后，方可支付运营服务费用。</w:t>
      </w:r>
    </w:p>
    <w:p>
      <w:pPr>
        <w:pStyle w:val="239"/>
        <w:spacing w:before="97" w:beforeLines="25" w:after="97" w:afterLines="25"/>
        <w:ind w:firstLine="488" w:firstLineChars="237"/>
        <w:rPr>
          <w:rFonts w:ascii="宋体" w:hAnsi="宋体"/>
          <w:sz w:val="20"/>
          <w:u w:val="single"/>
        </w:rPr>
      </w:pPr>
      <w:r>
        <w:rPr>
          <w:rFonts w:hint="eastAsia" w:ascii="宋体" w:hAnsi="宋体"/>
          <w:sz w:val="20"/>
          <w:u w:val="single"/>
        </w:rPr>
        <w:t>实际履约过程中如保函已失效，但尚未达到协议约定退还条件的，乙方应当办理续保，或者缴纳相当的现金履约保证金，保函续保或提交相当的现金履约保证金须在保函失效日前办理完毕，每超过一个日历天的，每天按应缴金额的万分之五缴纳违约金，且停止支付运营服务费用，直至缴清为止。</w:t>
      </w:r>
    </w:p>
    <w:p>
      <w:pPr>
        <w:pStyle w:val="239"/>
        <w:spacing w:before="97" w:beforeLines="25" w:after="97" w:afterLines="25"/>
        <w:ind w:firstLine="488" w:firstLineChars="237"/>
        <w:rPr>
          <w:rFonts w:ascii="宋体" w:hAnsi="宋体"/>
          <w:sz w:val="20"/>
          <w:u w:val="single"/>
        </w:rPr>
      </w:pPr>
      <w:r>
        <w:rPr>
          <w:rFonts w:hint="eastAsia" w:ascii="宋体" w:hAnsi="宋体"/>
          <w:sz w:val="20"/>
          <w:u w:val="single"/>
        </w:rPr>
        <w:t>本履约保函仅作为在协议履行期内对乙方的约束，并不代表乙方应负责任或应承担补偿、赔偿金额的限额。</w:t>
      </w:r>
    </w:p>
    <w:p>
      <w:pPr>
        <w:pStyle w:val="239"/>
        <w:spacing w:before="97" w:beforeLines="25" w:after="97" w:afterLines="25"/>
        <w:ind w:firstLine="488" w:firstLineChars="237"/>
        <w:rPr>
          <w:rFonts w:ascii="宋体" w:hAnsi="宋体"/>
          <w:sz w:val="20"/>
        </w:rPr>
      </w:pPr>
      <w:r>
        <w:rPr>
          <w:rFonts w:hint="eastAsia" w:ascii="宋体" w:hAnsi="宋体"/>
          <w:sz w:val="20"/>
        </w:rPr>
        <w:t>3.4.2 履约保证的修改。如本协议任何部分经修改、变更或展延期限，致任何一种履约保证有失去效力的风险时，甲方有权要求乙方修改该履约保证，或另行取得适当的履约保证，并于原履约保证失效前交付甲方。</w:t>
      </w:r>
    </w:p>
    <w:p>
      <w:pPr>
        <w:pStyle w:val="239"/>
        <w:spacing w:before="97" w:beforeLines="25" w:after="97" w:afterLines="25"/>
        <w:ind w:firstLine="488" w:firstLineChars="237"/>
        <w:rPr>
          <w:rFonts w:ascii="宋体" w:hAnsi="宋体"/>
          <w:sz w:val="20"/>
        </w:rPr>
      </w:pPr>
      <w:r>
        <w:rPr>
          <w:rFonts w:hint="eastAsia" w:ascii="宋体" w:hAnsi="宋体"/>
          <w:sz w:val="20"/>
        </w:rPr>
        <w:t>3.4.3 履约保证金的提取。如乙方根据本协议规定应向甲方给付违约金或其它损害赔偿或费用时，或因乙方有违约情形导致甲方终止本协议的一部分或全部，甲方有权直接兑取履约保函的一部分或全部以扣抵乙方应给付的金额。</w:t>
      </w:r>
    </w:p>
    <w:p>
      <w:pPr>
        <w:pStyle w:val="239"/>
        <w:spacing w:before="97" w:beforeLines="25" w:after="97" w:afterLines="25"/>
        <w:ind w:firstLine="488" w:firstLineChars="237"/>
        <w:rPr>
          <w:rFonts w:ascii="宋体" w:hAnsi="宋体"/>
          <w:sz w:val="20"/>
        </w:rPr>
      </w:pPr>
      <w:r>
        <w:rPr>
          <w:rFonts w:hint="eastAsia" w:ascii="宋体" w:hAnsi="宋体"/>
          <w:sz w:val="20"/>
        </w:rPr>
        <w:t>3.4.4 在项目正常履约的前提条件下，甲方将在履约保函有效期满后三十（30）日内退还（无息）履约保函。</w:t>
      </w:r>
    </w:p>
    <w:p>
      <w:pPr>
        <w:pStyle w:val="239"/>
        <w:spacing w:before="97" w:beforeLines="25" w:after="97" w:afterLines="25"/>
        <w:ind w:firstLine="488" w:firstLineChars="237"/>
        <w:rPr>
          <w:rFonts w:ascii="宋体" w:hAnsi="宋体"/>
          <w:sz w:val="20"/>
        </w:rPr>
      </w:pPr>
      <w:r>
        <w:rPr>
          <w:rFonts w:hint="eastAsia" w:ascii="宋体" w:hAnsi="宋体"/>
          <w:sz w:val="20"/>
        </w:rPr>
        <w:t>3.4.5 在本项目运营期内的履约保证有效期间，如果发生非乙方违约原因造成的项目终止，甲方应在项目终止日后三十（30）日内，解除并退还履约保函给乙方。</w:t>
      </w:r>
    </w:p>
    <w:p>
      <w:pPr>
        <w:pStyle w:val="239"/>
        <w:keepNext/>
        <w:keepLines/>
        <w:spacing w:before="120" w:after="120"/>
        <w:ind w:firstLine="500"/>
        <w:outlineLvl w:val="4"/>
        <w:rPr>
          <w:rFonts w:ascii="宋体" w:hAnsi="宋体"/>
          <w:b/>
          <w:szCs w:val="20"/>
        </w:rPr>
      </w:pPr>
      <w:r>
        <w:rPr>
          <w:rFonts w:hint="eastAsia" w:ascii="宋体" w:hAnsi="宋体"/>
          <w:b/>
          <w:szCs w:val="20"/>
        </w:rPr>
        <w:t>3.</w:t>
      </w:r>
      <w:r>
        <w:rPr>
          <w:rFonts w:hint="eastAsia" w:ascii="宋体" w:hAnsi="宋体"/>
          <w:b/>
          <w:szCs w:val="20"/>
          <w:lang w:val="en-US" w:eastAsia="zh-CN"/>
        </w:rPr>
        <w:t>5</w:t>
      </w:r>
      <w:r>
        <w:rPr>
          <w:rFonts w:hint="eastAsia" w:ascii="宋体" w:hAnsi="宋体"/>
          <w:b/>
          <w:szCs w:val="20"/>
        </w:rPr>
        <w:t xml:space="preserve"> 环境污染</w:t>
      </w:r>
    </w:p>
    <w:p>
      <w:pPr>
        <w:pStyle w:val="239"/>
        <w:spacing w:before="97" w:beforeLines="25" w:after="97" w:afterLines="25"/>
        <w:ind w:firstLine="488" w:firstLineChars="237"/>
        <w:rPr>
          <w:rFonts w:ascii="宋体" w:hAnsi="宋体"/>
          <w:sz w:val="20"/>
        </w:rPr>
      </w:pPr>
      <w:r>
        <w:rPr>
          <w:rFonts w:hint="eastAsia" w:ascii="宋体" w:hAnsi="宋体"/>
          <w:sz w:val="20"/>
        </w:rPr>
        <w:t>乙方有义务并必须就进行项目设施的接收、运营、维护和期满移交时因环境污染造成的任何损坏、损失、费用或责任对甲方予以赔偿。</w:t>
      </w:r>
    </w:p>
    <w:p>
      <w:pPr>
        <w:pStyle w:val="239"/>
        <w:keepNext/>
        <w:keepLines/>
        <w:spacing w:before="120" w:after="120"/>
        <w:ind w:firstLine="500"/>
        <w:outlineLvl w:val="4"/>
        <w:rPr>
          <w:rFonts w:ascii="宋体" w:hAnsi="宋体"/>
          <w:b/>
          <w:szCs w:val="20"/>
        </w:rPr>
      </w:pPr>
      <w:r>
        <w:rPr>
          <w:rFonts w:hint="eastAsia" w:ascii="宋体" w:hAnsi="宋体"/>
          <w:b/>
          <w:szCs w:val="20"/>
        </w:rPr>
        <w:t>3.</w:t>
      </w:r>
      <w:r>
        <w:rPr>
          <w:rFonts w:hint="eastAsia" w:ascii="宋体" w:hAnsi="宋体"/>
          <w:b/>
          <w:szCs w:val="20"/>
          <w:lang w:val="en-US" w:eastAsia="zh-CN"/>
        </w:rPr>
        <w:t>6</w:t>
      </w:r>
      <w:r>
        <w:rPr>
          <w:rFonts w:hint="eastAsia" w:ascii="宋体" w:hAnsi="宋体"/>
          <w:b/>
          <w:szCs w:val="20"/>
        </w:rPr>
        <w:t xml:space="preserve"> 乙方未满足之条件</w:t>
      </w:r>
    </w:p>
    <w:p>
      <w:pPr>
        <w:pStyle w:val="239"/>
        <w:spacing w:before="97" w:beforeLines="25" w:after="97" w:afterLines="25"/>
        <w:ind w:firstLine="488" w:firstLineChars="237"/>
        <w:rPr>
          <w:rFonts w:ascii="宋体" w:hAnsi="宋体"/>
          <w:sz w:val="20"/>
        </w:rPr>
      </w:pPr>
      <w:r>
        <w:rPr>
          <w:rFonts w:hint="eastAsia" w:ascii="宋体" w:hAnsi="宋体"/>
          <w:sz w:val="20"/>
        </w:rPr>
        <w:t>乙方在</w:t>
      </w:r>
      <w:r>
        <w:fldChar w:fldCharType="begin"/>
      </w:r>
      <w:r>
        <w:instrText xml:space="preserve"> HYPERLINK "file:///C:\\Users\\szdfdywzm\\Desktop\\深圳排水处运营标\\提交文件夹\\特许协议终稿转PDF版.doc" \l "_3.4_融资交割#_3.4_融资交割" </w:instrText>
      </w:r>
      <w:r>
        <w:fldChar w:fldCharType="separate"/>
      </w:r>
      <w:r>
        <w:rPr>
          <w:rFonts w:hint="eastAsia" w:ascii="宋体" w:hAnsi="宋体"/>
          <w:sz w:val="20"/>
          <w:szCs w:val="20"/>
        </w:rPr>
        <w:t>3.4</w:t>
      </w:r>
      <w:r>
        <w:rPr>
          <w:rFonts w:hint="eastAsia" w:ascii="宋体" w:hAnsi="宋体"/>
          <w:sz w:val="20"/>
          <w:szCs w:val="20"/>
        </w:rPr>
        <w:fldChar w:fldCharType="end"/>
      </w:r>
      <w:r>
        <w:rPr>
          <w:rFonts w:hint="eastAsia" w:ascii="宋体" w:hAnsi="宋体"/>
          <w:sz w:val="20"/>
        </w:rPr>
        <w:t>条规定的或双方另行约定的时间内未按第</w:t>
      </w:r>
      <w:r>
        <w:fldChar w:fldCharType="begin"/>
      </w:r>
      <w:r>
        <w:instrText xml:space="preserve"> HYPERLINK \l "_3.4_履约保证" </w:instrText>
      </w:r>
      <w:r>
        <w:fldChar w:fldCharType="separate"/>
      </w:r>
      <w:r>
        <w:rPr>
          <w:rFonts w:hint="eastAsia" w:ascii="宋体" w:hAnsi="宋体"/>
          <w:sz w:val="20"/>
          <w:szCs w:val="20"/>
        </w:rPr>
        <w:t>3.4.1</w:t>
      </w:r>
      <w:r>
        <w:rPr>
          <w:rFonts w:hint="eastAsia" w:ascii="宋体" w:hAnsi="宋体"/>
          <w:sz w:val="20"/>
          <w:szCs w:val="20"/>
        </w:rPr>
        <w:fldChar w:fldCharType="end"/>
      </w:r>
      <w:r>
        <w:rPr>
          <w:rFonts w:hint="eastAsia" w:ascii="宋体" w:hAnsi="宋体"/>
          <w:sz w:val="20"/>
        </w:rPr>
        <w:t>条约定提交履约保函的，则该等行为即构成乙方违约事件，甲方有权终止本协议，且乙方的投标保证金不予退还，给甲方造成的损失超过投标保证金数额的，乙方还应当对超过部分予以赔偿。</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第四节  双方的一般权利和义务</w:t>
      </w:r>
    </w:p>
    <w:p>
      <w:pPr>
        <w:pStyle w:val="239"/>
        <w:keepNext/>
        <w:keepLines/>
        <w:spacing w:before="120" w:after="120"/>
        <w:ind w:firstLine="500"/>
        <w:outlineLvl w:val="4"/>
        <w:rPr>
          <w:rFonts w:ascii="宋体" w:hAnsi="宋体"/>
          <w:b/>
          <w:color w:val="000000" w:themeColor="text1"/>
          <w:szCs w:val="20"/>
          <w:highlight w:val="none"/>
          <w14:textFill>
            <w14:solidFill>
              <w14:schemeClr w14:val="tx1"/>
            </w14:solidFill>
          </w14:textFill>
        </w:rPr>
      </w:pPr>
      <w:r>
        <w:rPr>
          <w:rFonts w:hint="eastAsia" w:ascii="宋体" w:hAnsi="宋体"/>
          <w:b/>
          <w:color w:val="000000" w:themeColor="text1"/>
          <w:szCs w:val="20"/>
          <w:highlight w:val="none"/>
          <w14:textFill>
            <w14:solidFill>
              <w14:schemeClr w14:val="tx1"/>
            </w14:solidFill>
          </w14:textFill>
        </w:rPr>
        <w:t>4.1 甲方的权利和义务</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4.1.1甲方的权利</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⑴ 按本协议规定，监督乙方管理与维护项目资产、依法经营和履行协议，对本项目的运营实施进行指导、协调、服务工作；</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⑵ 对乙方违反本协议要求的行为，有权进行核查，并要求其限期整改，直至解除协议，并追究相关责任及损失；</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⑶ 按照本协议的约定对污水处理厂的进、出水情况进行监督、检查；</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⑷ 按照本协议的约定对乙方提交的运营服务费支付清单和技改申请等进行审核和报批；</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⑸ 国家或地方各级政府出台的有关水污染治理、节能减排及循环经济等行业优惠政策以及奖励等，全部按照政策规定给予甲方享受；</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⑹ 依法受理、调解社会公众对乙方的投诉；</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⑺ 法律、法规规定的其他职权。</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4.1.2甲方的义务</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⑴ 确保在运营期间无任何权利瑕疵（包括但不限于保证、抵押、留置、质押以及转让等）；</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⑵ 向乙方提供适用于本项目运营维护所必备的近期、远期（如有）硬件设施和软件资料；</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⑶ 按本协议约定按时向乙方支付运营服务费；</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⑷ 协助乙方协调各方面关系，使乙方的接收、运营维护工作能正常开展；</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⑸ 在乙方遵守本协议的条件下确保其运营期内能获准连续运行，不被关闭或减产；</w:t>
      </w:r>
    </w:p>
    <w:p>
      <w:pPr>
        <w:pStyle w:val="239"/>
        <w:spacing w:before="97" w:beforeLines="25" w:after="97" w:afterLines="25"/>
        <w:ind w:firstLine="488" w:firstLineChars="237"/>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⑹ 甲方须协助乙方办理排污许可证。</w:t>
      </w:r>
    </w:p>
    <w:p>
      <w:pPr>
        <w:pStyle w:val="239"/>
        <w:spacing w:before="97" w:beforeLines="25" w:after="97" w:afterLines="25"/>
        <w:ind w:firstLine="511" w:firstLineChars="237"/>
        <w:rPr>
          <w:b/>
          <w:color w:val="000000" w:themeColor="text1"/>
          <w:szCs w:val="20"/>
          <w:highlight w:val="none"/>
          <w14:textFill>
            <w14:solidFill>
              <w14:schemeClr w14:val="tx1"/>
            </w14:solidFill>
          </w14:textFill>
        </w:rPr>
      </w:pPr>
      <w:r>
        <w:rPr>
          <w:rFonts w:hint="eastAsia"/>
          <w:b/>
          <w:color w:val="000000" w:themeColor="text1"/>
          <w:szCs w:val="20"/>
          <w:highlight w:val="none"/>
          <w14:textFill>
            <w14:solidFill>
              <w14:schemeClr w14:val="tx1"/>
            </w14:solidFill>
          </w14:textFill>
        </w:rPr>
        <w:t xml:space="preserve">4.2 乙方的权利和义务 </w:t>
      </w:r>
    </w:p>
    <w:p>
      <w:pPr>
        <w:pStyle w:val="239"/>
        <w:spacing w:before="97" w:beforeLines="25" w:after="97" w:afterLines="25"/>
        <w:ind w:firstLine="488" w:firstLineChars="237"/>
        <w:rPr>
          <w:rFonts w:ascii="宋体" w:hAnsi="宋体"/>
          <w:sz w:val="20"/>
        </w:rPr>
      </w:pPr>
      <w:r>
        <w:rPr>
          <w:rFonts w:hint="eastAsia" w:ascii="宋体" w:hAnsi="宋体"/>
          <w:sz w:val="20"/>
        </w:rPr>
        <w:t>4.2.1乙方的权利</w:t>
      </w:r>
    </w:p>
    <w:p>
      <w:pPr>
        <w:pStyle w:val="239"/>
        <w:spacing w:before="97" w:beforeLines="25" w:after="97" w:afterLines="25"/>
        <w:ind w:firstLine="488" w:firstLineChars="237"/>
        <w:rPr>
          <w:rFonts w:ascii="宋体" w:hAnsi="宋体"/>
          <w:sz w:val="20"/>
        </w:rPr>
      </w:pPr>
      <w:r>
        <w:rPr>
          <w:rFonts w:hint="eastAsia" w:ascii="宋体" w:hAnsi="宋体"/>
          <w:sz w:val="20"/>
        </w:rPr>
        <w:t>（1）在国家法律、政策范围内，乙方有权自行决定运营负责人、厂长人选，并建立起与运营相适宜的生产运营管理系统。运营负责人或厂长对污水处理厂项目设施的生产经营负有全面管理责任；</w:t>
      </w:r>
    </w:p>
    <w:p>
      <w:pPr>
        <w:pStyle w:val="239"/>
        <w:spacing w:before="97" w:beforeLines="25" w:after="97" w:afterLines="25"/>
        <w:ind w:firstLine="488" w:firstLineChars="237"/>
        <w:rPr>
          <w:rFonts w:ascii="宋体" w:hAnsi="宋体"/>
          <w:sz w:val="20"/>
        </w:rPr>
      </w:pPr>
      <w:r>
        <w:rPr>
          <w:rFonts w:hint="eastAsia" w:ascii="宋体" w:hAnsi="宋体"/>
          <w:sz w:val="20"/>
        </w:rPr>
        <w:t>（2）有权合理、独立地行使公司治理的相关权利；</w:t>
      </w:r>
    </w:p>
    <w:p>
      <w:pPr>
        <w:pStyle w:val="239"/>
        <w:spacing w:before="97" w:beforeLines="25" w:after="97" w:afterLines="25"/>
        <w:ind w:firstLine="488" w:firstLineChars="237"/>
        <w:rPr>
          <w:rFonts w:ascii="宋体" w:hAnsi="宋体"/>
          <w:sz w:val="20"/>
        </w:rPr>
      </w:pPr>
      <w:r>
        <w:rPr>
          <w:rFonts w:hint="eastAsia" w:ascii="宋体" w:hAnsi="宋体"/>
          <w:sz w:val="20"/>
        </w:rPr>
        <w:t>（3）有权按时足额向甲方收取应获的运营服务费；</w:t>
      </w:r>
    </w:p>
    <w:p>
      <w:pPr>
        <w:pStyle w:val="239"/>
        <w:spacing w:before="97" w:beforeLines="25" w:after="97" w:afterLines="25"/>
        <w:ind w:firstLine="488" w:firstLineChars="237"/>
        <w:rPr>
          <w:rFonts w:ascii="宋体" w:hAnsi="宋体"/>
          <w:sz w:val="20"/>
        </w:rPr>
      </w:pPr>
      <w:r>
        <w:rPr>
          <w:rFonts w:hint="eastAsia" w:ascii="宋体" w:hAnsi="宋体"/>
          <w:sz w:val="20"/>
        </w:rPr>
        <w:t>（4）经甲方书面同意在保证运行质量的前提下，有权以项目节能减排、降低运营成本为目的，优化项目设施运行工艺及实施技改方案；</w:t>
      </w:r>
    </w:p>
    <w:p>
      <w:pPr>
        <w:pStyle w:val="239"/>
        <w:spacing w:before="97" w:beforeLines="25" w:after="97" w:afterLines="25"/>
        <w:ind w:firstLine="488" w:firstLineChars="237"/>
        <w:rPr>
          <w:rFonts w:ascii="宋体" w:hAnsi="宋体"/>
          <w:sz w:val="20"/>
        </w:rPr>
      </w:pPr>
      <w:r>
        <w:rPr>
          <w:rFonts w:hint="eastAsia" w:ascii="宋体" w:hAnsi="宋体"/>
          <w:sz w:val="20"/>
        </w:rPr>
        <w:t>（5）在保证正常运营的前提下，有权决定内部行政事务，决定本公司的各项规章制度、机构设置、人事任免、调动和专业技术人员的聘任。</w:t>
      </w:r>
    </w:p>
    <w:p>
      <w:pPr>
        <w:pStyle w:val="239"/>
        <w:spacing w:before="97" w:beforeLines="25" w:after="97" w:afterLines="25"/>
        <w:ind w:firstLine="488" w:firstLineChars="237"/>
        <w:rPr>
          <w:rFonts w:ascii="宋体" w:hAnsi="宋体"/>
          <w:sz w:val="20"/>
        </w:rPr>
      </w:pPr>
      <w:r>
        <w:rPr>
          <w:rFonts w:hint="eastAsia" w:ascii="宋体" w:hAnsi="宋体"/>
          <w:sz w:val="20"/>
        </w:rPr>
        <w:t>4.2.2乙方的义务</w:t>
      </w:r>
    </w:p>
    <w:p>
      <w:pPr>
        <w:pStyle w:val="239"/>
        <w:numPr>
          <w:ilvl w:val="0"/>
          <w:numId w:val="18"/>
        </w:numPr>
        <w:spacing w:before="97" w:beforeLines="25" w:after="97" w:afterLines="25"/>
        <w:ind w:firstLine="488" w:firstLineChars="237"/>
        <w:rPr>
          <w:rFonts w:ascii="宋体" w:hAnsi="宋体"/>
          <w:sz w:val="20"/>
        </w:rPr>
      </w:pPr>
      <w:r>
        <w:rPr>
          <w:rFonts w:hint="eastAsia" w:ascii="宋体" w:hAnsi="宋体"/>
          <w:sz w:val="20"/>
        </w:rPr>
        <w:t>必须遵守国家和地方各项法律和法规，执行国家相关技术政策及标准，完成协议规定的各项任务，确保项目设施的正常持续运行，履行为城市提供合格污水处理服务的基本义务，</w:t>
      </w:r>
    </w:p>
    <w:p>
      <w:pPr>
        <w:pStyle w:val="239"/>
        <w:numPr>
          <w:ilvl w:val="0"/>
          <w:numId w:val="18"/>
        </w:numPr>
        <w:spacing w:before="97" w:beforeLines="25" w:after="97" w:afterLines="25"/>
        <w:ind w:firstLine="488" w:firstLineChars="237"/>
        <w:rPr>
          <w:rFonts w:ascii="宋体" w:hAnsi="宋体"/>
          <w:sz w:val="20"/>
        </w:rPr>
      </w:pPr>
      <w:r>
        <w:rPr>
          <w:rFonts w:hint="eastAsia" w:ascii="宋体" w:hAnsi="宋体"/>
          <w:sz w:val="20"/>
        </w:rPr>
        <w:t>在正常运营条件下，必须使项目设施的日常运行达到本协议约定的各项污染物减排技术指标和质量标准，不得有偷排、故意漏排的行为；</w:t>
      </w:r>
    </w:p>
    <w:p>
      <w:pPr>
        <w:pStyle w:val="239"/>
        <w:spacing w:before="97" w:beforeLines="25" w:after="97" w:afterLines="25"/>
        <w:ind w:firstLine="488" w:firstLineChars="237"/>
        <w:rPr>
          <w:rFonts w:ascii="宋体" w:hAnsi="宋体"/>
          <w:sz w:val="20"/>
        </w:rPr>
      </w:pPr>
      <w:r>
        <w:rPr>
          <w:rFonts w:hint="eastAsia" w:ascii="宋体" w:hAnsi="宋体"/>
          <w:sz w:val="20"/>
        </w:rPr>
        <w:t>（3）在运营期内不得超越协议规定的范围从事其他经营活动，未经甲方批准不得以转让、出租或者质押等方式处置项目运营权；不得以“高铁新城再生水厂  ”名义对外从事其它商务活动；</w:t>
      </w:r>
    </w:p>
    <w:p>
      <w:pPr>
        <w:pStyle w:val="239"/>
        <w:spacing w:before="97" w:beforeLines="25" w:after="97" w:afterLines="25"/>
        <w:ind w:firstLine="488" w:firstLineChars="237"/>
        <w:rPr>
          <w:rFonts w:ascii="宋体" w:hAnsi="宋体"/>
          <w:sz w:val="20"/>
        </w:rPr>
      </w:pPr>
      <w:r>
        <w:rPr>
          <w:rFonts w:hint="eastAsia" w:ascii="宋体" w:hAnsi="宋体"/>
          <w:sz w:val="20"/>
        </w:rPr>
        <w:t>（4）未经甲方批准，无权处置污水处理厂任何项目设施；不得擅自改变项目设施的功能和用途并应尽力保证其质量可靠、品质完好；</w:t>
      </w:r>
    </w:p>
    <w:p>
      <w:pPr>
        <w:pStyle w:val="239"/>
        <w:spacing w:before="97" w:beforeLines="25" w:after="97" w:afterLines="25"/>
        <w:ind w:firstLine="488" w:firstLineChars="237"/>
        <w:rPr>
          <w:rFonts w:ascii="宋体" w:hAnsi="宋体"/>
          <w:sz w:val="20"/>
        </w:rPr>
      </w:pPr>
      <w:r>
        <w:rPr>
          <w:rFonts w:hint="eastAsia" w:ascii="宋体" w:hAnsi="宋体"/>
          <w:sz w:val="20"/>
        </w:rPr>
        <w:t>（5）为完成好和维持项目设施的持续运营，须确保日常运营铺底流动资金的及时到位；</w:t>
      </w:r>
    </w:p>
    <w:p>
      <w:pPr>
        <w:pStyle w:val="239"/>
        <w:spacing w:before="97" w:beforeLines="25" w:after="97" w:afterLines="25"/>
        <w:ind w:firstLine="488" w:firstLineChars="237"/>
        <w:rPr>
          <w:rFonts w:ascii="宋体" w:hAnsi="宋体"/>
          <w:sz w:val="20"/>
        </w:rPr>
      </w:pPr>
      <w:r>
        <w:rPr>
          <w:rFonts w:hint="eastAsia" w:ascii="宋体" w:hAnsi="宋体"/>
          <w:sz w:val="20"/>
        </w:rPr>
        <w:t>（6）在本项目设备、材料、土建工程、安装的质保期内，配合甲方实施对各类项目设施建设质量责任的索赔和追偿，强化项目设施质量保证的落实；</w:t>
      </w:r>
    </w:p>
    <w:p>
      <w:pPr>
        <w:pStyle w:val="239"/>
        <w:spacing w:before="97" w:beforeLines="25" w:after="97" w:afterLines="25"/>
        <w:ind w:firstLine="488" w:firstLineChars="237"/>
        <w:rPr>
          <w:rFonts w:ascii="宋体" w:hAnsi="宋体"/>
          <w:sz w:val="20"/>
        </w:rPr>
      </w:pPr>
      <w:r>
        <w:rPr>
          <w:rFonts w:hint="eastAsia" w:ascii="宋体" w:hAnsi="宋体"/>
          <w:sz w:val="20"/>
        </w:rPr>
        <w:t>（7）必须做好设备日常维护管理和资料整理工作，主动接受相关行业管理部门的监督检查，按时按要求填报各类报表或其他材料，包括每个月向甲方报送上个月的运营情况报表。同时还应当将运营期内设施更新及大修维护计划、企业名称、地址和董事会人员变更情况及时报甲方备案，并接受甲方的监管；</w:t>
      </w:r>
    </w:p>
    <w:p>
      <w:pPr>
        <w:pStyle w:val="239"/>
        <w:spacing w:before="97" w:beforeLines="25" w:after="97" w:afterLines="25"/>
        <w:ind w:firstLine="488" w:firstLineChars="237"/>
        <w:rPr>
          <w:rFonts w:ascii="宋体" w:hAnsi="宋体"/>
          <w:sz w:val="20"/>
        </w:rPr>
      </w:pPr>
      <w:r>
        <w:rPr>
          <w:rFonts w:hint="eastAsia" w:ascii="宋体" w:hAnsi="宋体"/>
          <w:sz w:val="20"/>
        </w:rPr>
        <w:t>（8）对项目设施的运营维护和技术改造应当服从政府规划及行政监管部门的总体安排，应当允许甲方或其他经营者按照规划要求连接其经营的项目设施；同时不得利用自身运营权的优势地位，强制、限定、阻碍其所服务用户购买某种产品或服务，或者有其他侵犯公众合法权益的行为；</w:t>
      </w:r>
    </w:p>
    <w:p>
      <w:pPr>
        <w:pStyle w:val="239"/>
        <w:spacing w:before="97" w:beforeLines="25" w:after="97" w:afterLines="25"/>
        <w:ind w:firstLine="488" w:firstLineChars="237"/>
        <w:rPr>
          <w:rFonts w:ascii="宋体" w:hAnsi="宋体"/>
          <w:sz w:val="20"/>
        </w:rPr>
      </w:pPr>
      <w:r>
        <w:rPr>
          <w:rFonts w:hint="eastAsia" w:ascii="宋体" w:hAnsi="宋体"/>
          <w:sz w:val="20"/>
        </w:rPr>
        <w:t>（9）须遵守甲方相关河渠、道路、绿化、通讯、市政管网等公共设施的有关法律、法规、规章的规定。因紧急情况需要对项目设施进行抢修时，应先实施抢修，同时告知相关部门并补办相关手续，且需维护好其他设施的安全；</w:t>
      </w:r>
    </w:p>
    <w:p>
      <w:pPr>
        <w:pStyle w:val="239"/>
        <w:spacing w:before="97" w:beforeLines="25" w:after="97" w:afterLines="25"/>
        <w:ind w:firstLine="488" w:firstLineChars="237"/>
        <w:rPr>
          <w:rFonts w:ascii="宋体" w:hAnsi="宋体"/>
          <w:sz w:val="20"/>
        </w:rPr>
      </w:pPr>
      <w:r>
        <w:rPr>
          <w:rFonts w:hint="eastAsia" w:ascii="宋体" w:hAnsi="宋体"/>
          <w:sz w:val="20"/>
        </w:rPr>
        <w:t>（10）除本协议另有约定外，应在运营期内对项目设施做好及时检修、定期维护保养和必要的更新改造工作，确保每个运营日始终保持项目设施完全处理污水进水的能力，不间断的对所收纳污水进行及时地处理与输送，处理后的污水出水质量应达到本协议规定的污水出水标准并排放至甲方指定的受纳水体；</w:t>
      </w:r>
    </w:p>
    <w:p>
      <w:pPr>
        <w:pStyle w:val="239"/>
        <w:spacing w:before="97" w:beforeLines="25" w:after="97" w:afterLines="25"/>
        <w:ind w:firstLine="488" w:firstLineChars="237"/>
        <w:rPr>
          <w:rFonts w:ascii="宋体" w:hAnsi="宋体"/>
          <w:sz w:val="20"/>
        </w:rPr>
      </w:pPr>
      <w:r>
        <w:rPr>
          <w:rFonts w:hint="eastAsia" w:ascii="宋体" w:hAnsi="宋体"/>
          <w:sz w:val="20"/>
        </w:rPr>
        <w:t xml:space="preserve">（11）经项目设施处理后的排放污水及外运污泥，其所有权和使用支配权归甲方所有。未经甲方的事先书面同意，不得将收纳和处理后的污水及污泥提供给任何第三方； </w:t>
      </w:r>
    </w:p>
    <w:p>
      <w:pPr>
        <w:pStyle w:val="239"/>
        <w:spacing w:before="97" w:beforeLines="25" w:after="97" w:afterLines="25"/>
        <w:ind w:firstLine="488" w:firstLineChars="237"/>
        <w:rPr>
          <w:rFonts w:ascii="宋体" w:hAnsi="宋体"/>
          <w:sz w:val="20"/>
        </w:rPr>
      </w:pPr>
      <w:r>
        <w:rPr>
          <w:rFonts w:hint="eastAsia" w:ascii="宋体" w:hAnsi="宋体"/>
          <w:sz w:val="20"/>
        </w:rPr>
        <w:t>（12）随时准备接受各级甲方相关监管部门的抽查和检查；乙方负责排污许可证的申领、填写报表、迎接相关部门的检查等工作；</w:t>
      </w:r>
    </w:p>
    <w:p>
      <w:pPr>
        <w:pStyle w:val="239"/>
        <w:spacing w:before="97" w:beforeLines="25" w:after="97" w:afterLines="25"/>
        <w:ind w:firstLine="488" w:firstLineChars="237"/>
        <w:rPr>
          <w:rFonts w:ascii="宋体" w:hAnsi="宋体"/>
          <w:sz w:val="20"/>
        </w:rPr>
      </w:pPr>
      <w:r>
        <w:rPr>
          <w:rFonts w:hint="eastAsia" w:ascii="宋体" w:hAnsi="宋体"/>
          <w:sz w:val="20"/>
        </w:rPr>
        <w:t>（13）必须承担与自身角色相适宜的社会责任和应急责任，做好厂内的安全保障工作，确保厂内及周边社会稳定和不受二次污染，在汛期配合甲方做好必要的防洪排洪工作，为所服务区域创造良好的工作和生活环境；应依法纳税并交纳在运营期间的各种规费，承担在运营期间因劳资或经济纠纷发生的经济责任，依法维护国有财产、企业利益和职工福利的合法权益；</w:t>
      </w:r>
    </w:p>
    <w:p>
      <w:pPr>
        <w:pStyle w:val="239"/>
        <w:spacing w:before="97" w:beforeLines="25" w:after="97" w:afterLines="25"/>
        <w:ind w:firstLine="488" w:firstLineChars="237"/>
        <w:rPr>
          <w:rFonts w:ascii="宋体" w:hAnsi="宋体"/>
          <w:sz w:val="20"/>
        </w:rPr>
      </w:pPr>
      <w:r>
        <w:rPr>
          <w:rFonts w:hint="eastAsia" w:ascii="宋体" w:hAnsi="宋体"/>
          <w:sz w:val="20"/>
        </w:rPr>
        <w:t>（</w:t>
      </w:r>
      <w:r>
        <w:rPr>
          <w:rFonts w:ascii="宋体" w:hAnsi="宋体"/>
          <w:sz w:val="20"/>
        </w:rPr>
        <w:t>14）</w:t>
      </w:r>
      <w:r>
        <w:rPr>
          <w:rFonts w:hint="eastAsia" w:ascii="宋体" w:hAnsi="宋体"/>
          <w:sz w:val="20"/>
        </w:rPr>
        <w:t>应当认为，乙方完全同意甲方确定采用的污水处理工艺流程，并有能力确保按该污水处理工艺流程进行污水处理，达到出水水质符合运营服务协议第</w:t>
      </w:r>
      <w:r>
        <w:rPr>
          <w:rFonts w:ascii="宋体" w:hAnsi="宋体"/>
          <w:sz w:val="20"/>
        </w:rPr>
        <w:t>5.1.2条款规定的出水质量标准。</w:t>
      </w:r>
    </w:p>
    <w:p>
      <w:pPr>
        <w:pStyle w:val="239"/>
        <w:keepNext w:val="0"/>
        <w:keepLines w:val="0"/>
        <w:pageBreakBefore w:val="0"/>
        <w:kinsoku/>
        <w:wordWrap/>
        <w:overflowPunct/>
        <w:topLinePunct w:val="0"/>
        <w:bidi w:val="0"/>
        <w:snapToGrid/>
        <w:spacing w:before="97" w:beforeLines="25" w:after="97" w:afterLines="25" w:line="460" w:lineRule="exact"/>
        <w:ind w:firstLine="488" w:firstLineChars="237"/>
        <w:textAlignment w:val="auto"/>
        <w:rPr>
          <w:rFonts w:hint="eastAsia"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（15）在本项目运营期内，乙方应该根据项目运营设施实际需要，为本项目的运营、维护等配备不少于</w:t>
      </w:r>
      <w:r>
        <w:rPr>
          <w:rFonts w:ascii="宋体" w:hAnsi="宋体"/>
          <w:b/>
          <w:bCs/>
          <w:color w:val="000000" w:themeColor="text1"/>
          <w:sz w:val="20"/>
          <w:highlight w:val="none"/>
          <w14:textFill>
            <w14:solidFill>
              <w14:schemeClr w14:val="tx1"/>
            </w14:solidFill>
          </w14:textFill>
        </w:rPr>
        <w:t>22</w:t>
      </w:r>
      <w:r>
        <w:rPr>
          <w:rFonts w:hint="eastAsia" w:ascii="宋体" w:hAnsi="宋体"/>
          <w:b/>
          <w:bCs/>
          <w:color w:val="000000" w:themeColor="text1"/>
          <w:sz w:val="20"/>
          <w:highlight w:val="none"/>
          <w14:textFill>
            <w14:solidFill>
              <w14:schemeClr w14:val="tx1"/>
            </w14:solidFill>
          </w14:textFill>
        </w:rPr>
        <w:t>个</w:t>
      </w:r>
      <w:r>
        <w:rPr>
          <w:rFonts w:hint="eastAsia" w:ascii="宋体" w:hAnsi="宋体"/>
          <w:color w:val="000000" w:themeColor="text1"/>
          <w:sz w:val="20"/>
          <w:highlight w:val="none"/>
          <w:lang w:val="en-US" w:eastAsia="zh-CN"/>
          <w14:textFill>
            <w14:solidFill>
              <w14:schemeClr w14:val="tx1"/>
            </w14:solidFill>
          </w14:textFill>
        </w:rPr>
        <w:t xml:space="preserve"> </w:t>
      </w:r>
      <w:r>
        <w:rPr>
          <w:rFonts w:hint="eastAsia" w:ascii="宋体" w:hAnsi="宋体"/>
          <w:color w:val="000000" w:themeColor="text1"/>
          <w:sz w:val="20"/>
          <w:highlight w:val="none"/>
          <w14:textFill>
            <w14:solidFill>
              <w14:schemeClr w14:val="tx1"/>
            </w14:solidFill>
          </w14:textFill>
        </w:rPr>
        <w:t>工作人员，且人员资格条件应符合甲方及相关管理部门的规定。项目人员配备中须具有环保类工程师、给排水工程师、化验人员、机修人员等。</w:t>
      </w:r>
    </w:p>
    <w:p>
      <w:pPr>
        <w:pStyle w:val="239"/>
        <w:widowControl w:val="0"/>
        <w:spacing w:before="194" w:beforeLines="50"/>
        <w:jc w:val="center"/>
        <w:rPr>
          <w:rFonts w:ascii="新宋体" w:hAnsi="新宋体" w:eastAsia="新宋体" w:cs="新宋体"/>
          <w:bCs/>
          <w:kern w:val="2"/>
          <w:sz w:val="28"/>
          <w:szCs w:val="28"/>
        </w:rPr>
      </w:pPr>
      <w:r>
        <w:rPr>
          <w:rFonts w:hint="eastAsia" w:ascii="新宋体" w:hAnsi="新宋体" w:eastAsia="新宋体" w:cs="新宋体"/>
          <w:b/>
          <w:kern w:val="2"/>
          <w:sz w:val="28"/>
          <w:szCs w:val="28"/>
        </w:rPr>
        <w:t>第五节  污染物排放质量及检测</w:t>
      </w:r>
    </w:p>
    <w:p>
      <w:pPr>
        <w:pStyle w:val="239"/>
        <w:keepNext/>
        <w:keepLines/>
        <w:spacing w:before="120" w:after="120"/>
        <w:ind w:firstLine="500"/>
        <w:outlineLvl w:val="4"/>
        <w:rPr>
          <w:rFonts w:ascii="宋体" w:hAnsi="宋体"/>
          <w:b/>
          <w:szCs w:val="20"/>
        </w:rPr>
      </w:pPr>
      <w:r>
        <w:rPr>
          <w:rFonts w:hint="eastAsia" w:ascii="宋体" w:hAnsi="宋体"/>
          <w:b/>
          <w:szCs w:val="20"/>
        </w:rPr>
        <w:t>5.1  污水处理厂进出水质量及污泥排放标准</w:t>
      </w:r>
    </w:p>
    <w:p>
      <w:pPr>
        <w:pStyle w:val="239"/>
        <w:spacing w:before="97" w:beforeLines="25" w:after="97" w:afterLines="25"/>
        <w:ind w:firstLine="488" w:firstLineChars="237"/>
        <w:rPr>
          <w:rFonts w:ascii="宋体" w:hAnsi="宋体"/>
          <w:sz w:val="20"/>
        </w:rPr>
      </w:pPr>
      <w:r>
        <w:rPr>
          <w:rFonts w:hint="eastAsia" w:ascii="宋体" w:hAnsi="宋体"/>
          <w:sz w:val="20"/>
        </w:rPr>
        <w:t xml:space="preserve">5.1.1进水质量设计标准 </w:t>
      </w:r>
    </w:p>
    <w:p>
      <w:pPr>
        <w:pStyle w:val="239"/>
        <w:spacing w:before="97" w:beforeLines="25" w:after="97" w:afterLines="25"/>
        <w:ind w:firstLine="488" w:firstLineChars="237"/>
        <w:jc w:val="center"/>
        <w:rPr>
          <w:rFonts w:ascii="仿宋_GB2312" w:hAnsi="仿宋_GB2312"/>
          <w:bCs/>
          <w:sz w:val="24"/>
        </w:rPr>
      </w:pPr>
      <w:r>
        <w:rPr>
          <w:rFonts w:hint="eastAsia" w:ascii="宋体" w:hAnsi="宋体"/>
          <w:sz w:val="20"/>
        </w:rPr>
        <w:t>表 5.1.1    高铁新城再生水厂进水水质设计标准</w:t>
      </w:r>
    </w:p>
    <w:tbl>
      <w:tblPr>
        <w:tblStyle w:val="61"/>
        <w:tblW w:w="6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94"/>
        <w:gridCol w:w="851"/>
        <w:gridCol w:w="850"/>
        <w:gridCol w:w="851"/>
        <w:gridCol w:w="709"/>
        <w:gridCol w:w="850"/>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8" w:hRule="atLeast"/>
          <w:jc w:val="center"/>
        </w:trPr>
        <w:tc>
          <w:tcPr>
            <w:tcW w:w="1129" w:type="dxa"/>
            <w:vAlign w:val="center"/>
          </w:tcPr>
          <w:p>
            <w:pPr>
              <w:pStyle w:val="239"/>
              <w:spacing w:line="400" w:lineRule="exact"/>
              <w:jc w:val="center"/>
              <w:rPr>
                <w:rFonts w:ascii="宋体"/>
                <w:b/>
                <w:sz w:val="20"/>
                <w:szCs w:val="20"/>
              </w:rPr>
            </w:pPr>
            <w:r>
              <w:rPr>
                <w:rFonts w:hint="eastAsia" w:ascii="宋体" w:hAnsi="宋体"/>
                <w:b/>
                <w:sz w:val="20"/>
                <w:szCs w:val="20"/>
              </w:rPr>
              <w:t>项目</w:t>
            </w:r>
          </w:p>
        </w:tc>
        <w:tc>
          <w:tcPr>
            <w:tcW w:w="594" w:type="dxa"/>
            <w:vAlign w:val="center"/>
          </w:tcPr>
          <w:p>
            <w:pPr>
              <w:pStyle w:val="239"/>
              <w:spacing w:line="400" w:lineRule="exact"/>
              <w:jc w:val="center"/>
              <w:rPr>
                <w:rFonts w:ascii="宋体" w:hAnsi="宋体"/>
                <w:b/>
                <w:sz w:val="20"/>
                <w:szCs w:val="20"/>
              </w:rPr>
            </w:pPr>
            <w:r>
              <w:rPr>
                <w:rFonts w:ascii="宋体" w:hAnsi="宋体"/>
                <w:b/>
                <w:sz w:val="20"/>
                <w:szCs w:val="20"/>
              </w:rPr>
              <w:t>pH</w:t>
            </w:r>
          </w:p>
        </w:tc>
        <w:tc>
          <w:tcPr>
            <w:tcW w:w="851" w:type="dxa"/>
            <w:vAlign w:val="center"/>
          </w:tcPr>
          <w:p>
            <w:pPr>
              <w:pStyle w:val="239"/>
              <w:spacing w:line="400" w:lineRule="exact"/>
              <w:jc w:val="center"/>
              <w:rPr>
                <w:rFonts w:ascii="宋体"/>
                <w:b/>
                <w:sz w:val="20"/>
                <w:szCs w:val="20"/>
              </w:rPr>
            </w:pPr>
            <w:r>
              <w:rPr>
                <w:rFonts w:ascii="宋体" w:hAnsi="宋体"/>
                <w:b/>
                <w:sz w:val="20"/>
                <w:szCs w:val="20"/>
              </w:rPr>
              <w:t>COD</w:t>
            </w:r>
            <w:r>
              <w:rPr>
                <w:rFonts w:ascii="宋体" w:hAnsi="宋体"/>
                <w:b/>
                <w:sz w:val="20"/>
                <w:szCs w:val="20"/>
                <w:vertAlign w:val="subscript"/>
              </w:rPr>
              <w:t>Cr</w:t>
            </w:r>
          </w:p>
        </w:tc>
        <w:tc>
          <w:tcPr>
            <w:tcW w:w="850" w:type="dxa"/>
            <w:vAlign w:val="center"/>
          </w:tcPr>
          <w:p>
            <w:pPr>
              <w:pStyle w:val="239"/>
              <w:spacing w:line="400" w:lineRule="exact"/>
              <w:jc w:val="center"/>
              <w:rPr>
                <w:rFonts w:ascii="宋体"/>
                <w:b/>
                <w:sz w:val="20"/>
                <w:szCs w:val="20"/>
              </w:rPr>
            </w:pPr>
            <w:r>
              <w:rPr>
                <w:rFonts w:ascii="宋体" w:hAnsi="宋体"/>
                <w:b/>
                <w:sz w:val="20"/>
                <w:szCs w:val="20"/>
              </w:rPr>
              <w:t>BOD</w:t>
            </w:r>
            <w:r>
              <w:rPr>
                <w:rFonts w:ascii="宋体" w:hAnsi="宋体"/>
                <w:b/>
                <w:sz w:val="20"/>
                <w:szCs w:val="20"/>
                <w:vertAlign w:val="subscript"/>
              </w:rPr>
              <w:t>5</w:t>
            </w:r>
          </w:p>
        </w:tc>
        <w:tc>
          <w:tcPr>
            <w:tcW w:w="851" w:type="dxa"/>
            <w:vAlign w:val="center"/>
          </w:tcPr>
          <w:p>
            <w:pPr>
              <w:pStyle w:val="239"/>
              <w:spacing w:line="400" w:lineRule="exact"/>
              <w:jc w:val="center"/>
              <w:rPr>
                <w:rFonts w:ascii="宋体" w:hAnsi="宋体"/>
                <w:b/>
                <w:sz w:val="20"/>
                <w:szCs w:val="20"/>
              </w:rPr>
            </w:pPr>
            <w:r>
              <w:rPr>
                <w:rFonts w:ascii="宋体" w:hAnsi="宋体"/>
                <w:b/>
                <w:sz w:val="20"/>
                <w:szCs w:val="20"/>
              </w:rPr>
              <w:t>NH</w:t>
            </w:r>
            <w:r>
              <w:rPr>
                <w:rFonts w:ascii="宋体" w:hAnsi="宋体"/>
                <w:b/>
                <w:sz w:val="20"/>
                <w:szCs w:val="20"/>
                <w:vertAlign w:val="subscript"/>
              </w:rPr>
              <w:t>3</w:t>
            </w:r>
            <w:r>
              <w:rPr>
                <w:rFonts w:ascii="宋体" w:hAnsi="宋体"/>
                <w:b/>
                <w:sz w:val="20"/>
                <w:szCs w:val="20"/>
              </w:rPr>
              <w:t>-N</w:t>
            </w:r>
          </w:p>
        </w:tc>
        <w:tc>
          <w:tcPr>
            <w:tcW w:w="709" w:type="dxa"/>
            <w:vAlign w:val="center"/>
          </w:tcPr>
          <w:p>
            <w:pPr>
              <w:pStyle w:val="239"/>
              <w:spacing w:line="400" w:lineRule="exact"/>
              <w:jc w:val="center"/>
              <w:rPr>
                <w:rFonts w:ascii="宋体" w:hAnsi="宋体"/>
                <w:b/>
                <w:sz w:val="20"/>
                <w:szCs w:val="20"/>
              </w:rPr>
            </w:pPr>
            <w:r>
              <w:rPr>
                <w:rFonts w:ascii="宋体" w:hAnsi="宋体"/>
                <w:b/>
                <w:sz w:val="20"/>
                <w:szCs w:val="20"/>
              </w:rPr>
              <w:t>TN</w:t>
            </w:r>
          </w:p>
        </w:tc>
        <w:tc>
          <w:tcPr>
            <w:tcW w:w="850" w:type="dxa"/>
            <w:vAlign w:val="center"/>
          </w:tcPr>
          <w:p>
            <w:pPr>
              <w:pStyle w:val="239"/>
              <w:spacing w:line="400" w:lineRule="exact"/>
              <w:jc w:val="center"/>
              <w:rPr>
                <w:rFonts w:ascii="宋体" w:hAnsi="宋体"/>
                <w:b/>
                <w:sz w:val="20"/>
                <w:szCs w:val="20"/>
              </w:rPr>
            </w:pPr>
            <w:r>
              <w:rPr>
                <w:rFonts w:ascii="宋体" w:hAnsi="宋体"/>
                <w:b/>
                <w:sz w:val="20"/>
                <w:szCs w:val="20"/>
              </w:rPr>
              <w:t>SS</w:t>
            </w:r>
          </w:p>
        </w:tc>
        <w:tc>
          <w:tcPr>
            <w:tcW w:w="824" w:type="dxa"/>
            <w:vAlign w:val="center"/>
          </w:tcPr>
          <w:p>
            <w:pPr>
              <w:pStyle w:val="239"/>
              <w:spacing w:line="400" w:lineRule="exact"/>
              <w:jc w:val="center"/>
              <w:rPr>
                <w:rFonts w:ascii="宋体" w:hAnsi="宋体"/>
                <w:b/>
                <w:sz w:val="20"/>
                <w:szCs w:val="20"/>
              </w:rPr>
            </w:pPr>
            <w:r>
              <w:rPr>
                <w:rFonts w:ascii="宋体" w:hAnsi="宋体"/>
                <w:b/>
                <w:sz w:val="20"/>
                <w:szCs w:val="20"/>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29" w:type="dxa"/>
            <w:vAlign w:val="center"/>
          </w:tcPr>
          <w:p>
            <w:pPr>
              <w:pStyle w:val="239"/>
              <w:spacing w:line="400" w:lineRule="exact"/>
              <w:jc w:val="center"/>
              <w:rPr>
                <w:rFonts w:ascii="宋体"/>
                <w:sz w:val="20"/>
                <w:szCs w:val="20"/>
              </w:rPr>
            </w:pPr>
            <w:r>
              <w:rPr>
                <w:rFonts w:hint="eastAsia" w:ascii="宋体" w:hAnsi="宋体"/>
                <w:sz w:val="20"/>
                <w:szCs w:val="20"/>
              </w:rPr>
              <w:t>单位</w:t>
            </w:r>
          </w:p>
        </w:tc>
        <w:tc>
          <w:tcPr>
            <w:tcW w:w="594" w:type="dxa"/>
            <w:vAlign w:val="center"/>
          </w:tcPr>
          <w:p>
            <w:pPr>
              <w:pStyle w:val="239"/>
              <w:spacing w:line="400" w:lineRule="exact"/>
              <w:jc w:val="center"/>
              <w:rPr>
                <w:rFonts w:ascii="宋体"/>
                <w:sz w:val="20"/>
                <w:szCs w:val="20"/>
              </w:rPr>
            </w:pPr>
          </w:p>
        </w:tc>
        <w:tc>
          <w:tcPr>
            <w:tcW w:w="851" w:type="dxa"/>
            <w:vAlign w:val="center"/>
          </w:tcPr>
          <w:p>
            <w:pPr>
              <w:pStyle w:val="239"/>
              <w:spacing w:line="400" w:lineRule="exact"/>
              <w:jc w:val="center"/>
              <w:rPr>
                <w:rFonts w:ascii="宋体" w:hAnsi="宋体"/>
                <w:sz w:val="20"/>
                <w:szCs w:val="20"/>
              </w:rPr>
            </w:pPr>
            <w:r>
              <w:rPr>
                <w:rFonts w:ascii="宋体" w:hAnsi="宋体"/>
                <w:sz w:val="20"/>
                <w:szCs w:val="20"/>
              </w:rPr>
              <w:t>mg/L</w:t>
            </w:r>
          </w:p>
        </w:tc>
        <w:tc>
          <w:tcPr>
            <w:tcW w:w="850" w:type="dxa"/>
            <w:vAlign w:val="center"/>
          </w:tcPr>
          <w:p>
            <w:pPr>
              <w:pStyle w:val="239"/>
              <w:spacing w:line="400" w:lineRule="exact"/>
              <w:jc w:val="center"/>
              <w:rPr>
                <w:rFonts w:ascii="宋体" w:hAnsi="宋体"/>
                <w:sz w:val="20"/>
                <w:szCs w:val="20"/>
              </w:rPr>
            </w:pPr>
            <w:r>
              <w:rPr>
                <w:rFonts w:ascii="宋体" w:hAnsi="宋体"/>
                <w:sz w:val="20"/>
                <w:szCs w:val="20"/>
              </w:rPr>
              <w:t>mg/L</w:t>
            </w:r>
          </w:p>
        </w:tc>
        <w:tc>
          <w:tcPr>
            <w:tcW w:w="851" w:type="dxa"/>
            <w:vAlign w:val="center"/>
          </w:tcPr>
          <w:p>
            <w:pPr>
              <w:pStyle w:val="239"/>
              <w:spacing w:line="400" w:lineRule="exact"/>
              <w:jc w:val="center"/>
              <w:rPr>
                <w:rFonts w:ascii="宋体" w:hAnsi="宋体"/>
                <w:sz w:val="20"/>
                <w:szCs w:val="20"/>
              </w:rPr>
            </w:pPr>
            <w:r>
              <w:rPr>
                <w:rFonts w:ascii="宋体" w:hAnsi="宋体"/>
                <w:sz w:val="20"/>
                <w:szCs w:val="20"/>
              </w:rPr>
              <w:t>mg/L</w:t>
            </w:r>
          </w:p>
        </w:tc>
        <w:tc>
          <w:tcPr>
            <w:tcW w:w="709" w:type="dxa"/>
            <w:vAlign w:val="center"/>
          </w:tcPr>
          <w:p>
            <w:pPr>
              <w:pStyle w:val="239"/>
              <w:spacing w:line="400" w:lineRule="exact"/>
              <w:jc w:val="center"/>
              <w:rPr>
                <w:rFonts w:ascii="宋体" w:hAnsi="宋体"/>
                <w:sz w:val="20"/>
                <w:szCs w:val="20"/>
              </w:rPr>
            </w:pPr>
            <w:r>
              <w:rPr>
                <w:rFonts w:ascii="宋体" w:hAnsi="宋体"/>
                <w:sz w:val="20"/>
                <w:szCs w:val="20"/>
              </w:rPr>
              <w:t>mg/L</w:t>
            </w:r>
          </w:p>
        </w:tc>
        <w:tc>
          <w:tcPr>
            <w:tcW w:w="850" w:type="dxa"/>
            <w:vAlign w:val="center"/>
          </w:tcPr>
          <w:p>
            <w:pPr>
              <w:pStyle w:val="239"/>
              <w:spacing w:line="400" w:lineRule="exact"/>
              <w:jc w:val="center"/>
              <w:rPr>
                <w:rFonts w:ascii="宋体" w:hAnsi="宋体"/>
                <w:sz w:val="20"/>
                <w:szCs w:val="20"/>
              </w:rPr>
            </w:pPr>
            <w:r>
              <w:rPr>
                <w:rFonts w:ascii="宋体" w:hAnsi="宋体"/>
                <w:sz w:val="20"/>
                <w:szCs w:val="20"/>
              </w:rPr>
              <w:t>mg/L</w:t>
            </w:r>
          </w:p>
        </w:tc>
        <w:tc>
          <w:tcPr>
            <w:tcW w:w="824" w:type="dxa"/>
            <w:vAlign w:val="center"/>
          </w:tcPr>
          <w:p>
            <w:pPr>
              <w:pStyle w:val="239"/>
              <w:spacing w:line="400" w:lineRule="exact"/>
              <w:jc w:val="center"/>
              <w:rPr>
                <w:rFonts w:ascii="宋体" w:hAnsi="宋体"/>
                <w:sz w:val="20"/>
                <w:szCs w:val="20"/>
              </w:rPr>
            </w:pPr>
            <w:r>
              <w:rPr>
                <w:rFonts w:ascii="宋体" w:hAnsi="宋体"/>
                <w:sz w:val="20"/>
                <w:szCs w:val="20"/>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129" w:type="dxa"/>
            <w:vAlign w:val="center"/>
          </w:tcPr>
          <w:p>
            <w:pPr>
              <w:pStyle w:val="239"/>
              <w:spacing w:line="400" w:lineRule="exact"/>
              <w:jc w:val="center"/>
              <w:rPr>
                <w:rFonts w:ascii="宋体"/>
                <w:sz w:val="20"/>
                <w:szCs w:val="20"/>
              </w:rPr>
            </w:pPr>
            <w:r>
              <w:rPr>
                <w:rFonts w:hint="eastAsia" w:ascii="宋体" w:hAnsi="宋体"/>
                <w:sz w:val="20"/>
                <w:szCs w:val="20"/>
              </w:rPr>
              <w:t>指标数值</w:t>
            </w:r>
          </w:p>
        </w:tc>
        <w:tc>
          <w:tcPr>
            <w:tcW w:w="594" w:type="dxa"/>
            <w:vAlign w:val="center"/>
          </w:tcPr>
          <w:p>
            <w:pPr>
              <w:pStyle w:val="239"/>
              <w:spacing w:line="400" w:lineRule="exact"/>
              <w:jc w:val="center"/>
              <w:rPr>
                <w:rFonts w:ascii="宋体" w:hAnsi="宋体"/>
                <w:sz w:val="20"/>
                <w:szCs w:val="20"/>
              </w:rPr>
            </w:pPr>
            <w:r>
              <w:rPr>
                <w:rFonts w:ascii="宋体" w:hAnsi="宋体"/>
                <w:sz w:val="20"/>
                <w:szCs w:val="20"/>
              </w:rPr>
              <w:t>6-9</w:t>
            </w:r>
          </w:p>
        </w:tc>
        <w:tc>
          <w:tcPr>
            <w:tcW w:w="851" w:type="dxa"/>
            <w:vAlign w:val="center"/>
          </w:tcPr>
          <w:p>
            <w:pPr>
              <w:pStyle w:val="239"/>
              <w:spacing w:line="400" w:lineRule="exact"/>
              <w:jc w:val="center"/>
              <w:rPr>
                <w:rFonts w:ascii="宋体" w:hAnsi="宋体"/>
                <w:sz w:val="20"/>
                <w:szCs w:val="20"/>
              </w:rPr>
            </w:pPr>
            <w:r>
              <w:rPr>
                <w:rFonts w:hint="eastAsia" w:ascii="宋体" w:hAnsi="宋体"/>
                <w:sz w:val="20"/>
                <w:szCs w:val="20"/>
              </w:rPr>
              <w:t>≤</w:t>
            </w:r>
            <w:r>
              <w:rPr>
                <w:rFonts w:ascii="宋体" w:hAnsi="宋体"/>
                <w:sz w:val="20"/>
                <w:szCs w:val="20"/>
              </w:rPr>
              <w:t>400</w:t>
            </w:r>
          </w:p>
        </w:tc>
        <w:tc>
          <w:tcPr>
            <w:tcW w:w="850" w:type="dxa"/>
            <w:vAlign w:val="center"/>
          </w:tcPr>
          <w:p>
            <w:pPr>
              <w:pStyle w:val="239"/>
              <w:spacing w:line="400" w:lineRule="exact"/>
              <w:jc w:val="center"/>
              <w:rPr>
                <w:rFonts w:ascii="宋体" w:hAnsi="宋体"/>
                <w:sz w:val="20"/>
                <w:szCs w:val="20"/>
              </w:rPr>
            </w:pPr>
            <w:r>
              <w:rPr>
                <w:rFonts w:hint="eastAsia" w:ascii="宋体" w:hAnsi="宋体"/>
                <w:sz w:val="20"/>
                <w:szCs w:val="20"/>
              </w:rPr>
              <w:t>≤</w:t>
            </w:r>
            <w:r>
              <w:rPr>
                <w:rFonts w:ascii="宋体" w:hAnsi="宋体"/>
                <w:sz w:val="20"/>
                <w:szCs w:val="20"/>
              </w:rPr>
              <w:t>200</w:t>
            </w:r>
          </w:p>
        </w:tc>
        <w:tc>
          <w:tcPr>
            <w:tcW w:w="851" w:type="dxa"/>
            <w:vAlign w:val="center"/>
          </w:tcPr>
          <w:p>
            <w:pPr>
              <w:pStyle w:val="239"/>
              <w:spacing w:line="400" w:lineRule="exact"/>
              <w:jc w:val="center"/>
              <w:rPr>
                <w:rFonts w:ascii="宋体" w:hAnsi="宋体"/>
                <w:sz w:val="20"/>
                <w:szCs w:val="20"/>
              </w:rPr>
            </w:pPr>
            <w:r>
              <w:rPr>
                <w:rFonts w:hint="eastAsia" w:ascii="宋体" w:hAnsi="宋体"/>
                <w:sz w:val="20"/>
                <w:szCs w:val="20"/>
              </w:rPr>
              <w:t>≤</w:t>
            </w:r>
            <w:r>
              <w:rPr>
                <w:rFonts w:ascii="宋体" w:hAnsi="宋体"/>
                <w:sz w:val="20"/>
                <w:szCs w:val="20"/>
              </w:rPr>
              <w:t>35</w:t>
            </w:r>
          </w:p>
        </w:tc>
        <w:tc>
          <w:tcPr>
            <w:tcW w:w="709" w:type="dxa"/>
            <w:vAlign w:val="center"/>
          </w:tcPr>
          <w:p>
            <w:pPr>
              <w:pStyle w:val="239"/>
              <w:spacing w:line="400" w:lineRule="exact"/>
              <w:jc w:val="center"/>
              <w:rPr>
                <w:rFonts w:ascii="宋体"/>
                <w:sz w:val="20"/>
                <w:szCs w:val="20"/>
              </w:rPr>
            </w:pPr>
            <w:r>
              <w:rPr>
                <w:rFonts w:hint="eastAsia" w:ascii="宋体" w:hAnsi="宋体"/>
                <w:sz w:val="20"/>
                <w:szCs w:val="20"/>
              </w:rPr>
              <w:t>≤</w:t>
            </w:r>
            <w:r>
              <w:rPr>
                <w:rFonts w:ascii="宋体" w:hAnsi="宋体"/>
                <w:sz w:val="20"/>
                <w:szCs w:val="20"/>
              </w:rPr>
              <w:t>45</w:t>
            </w:r>
          </w:p>
        </w:tc>
        <w:tc>
          <w:tcPr>
            <w:tcW w:w="850" w:type="dxa"/>
            <w:vAlign w:val="center"/>
          </w:tcPr>
          <w:p>
            <w:pPr>
              <w:pStyle w:val="239"/>
              <w:spacing w:line="400" w:lineRule="exact"/>
              <w:jc w:val="center"/>
              <w:rPr>
                <w:rFonts w:ascii="宋体" w:hAnsi="宋体"/>
                <w:sz w:val="20"/>
                <w:szCs w:val="20"/>
              </w:rPr>
            </w:pPr>
            <w:r>
              <w:rPr>
                <w:rFonts w:hint="eastAsia" w:ascii="宋体" w:hAnsi="宋体"/>
                <w:sz w:val="20"/>
                <w:szCs w:val="20"/>
              </w:rPr>
              <w:t>≤</w:t>
            </w:r>
            <w:r>
              <w:rPr>
                <w:rFonts w:ascii="宋体" w:hAnsi="宋体"/>
                <w:sz w:val="20"/>
                <w:szCs w:val="20"/>
              </w:rPr>
              <w:t>250</w:t>
            </w:r>
          </w:p>
        </w:tc>
        <w:tc>
          <w:tcPr>
            <w:tcW w:w="824" w:type="dxa"/>
            <w:vAlign w:val="center"/>
          </w:tcPr>
          <w:p>
            <w:pPr>
              <w:pStyle w:val="239"/>
              <w:spacing w:line="400" w:lineRule="exact"/>
              <w:jc w:val="center"/>
              <w:rPr>
                <w:rFonts w:ascii="宋体" w:hAnsi="宋体"/>
                <w:sz w:val="20"/>
                <w:szCs w:val="20"/>
              </w:rPr>
            </w:pPr>
            <w:r>
              <w:rPr>
                <w:rFonts w:hint="eastAsia" w:ascii="宋体" w:hAnsi="宋体"/>
                <w:sz w:val="20"/>
                <w:szCs w:val="20"/>
              </w:rPr>
              <w:t>≤4</w:t>
            </w:r>
          </w:p>
        </w:tc>
      </w:tr>
    </w:tbl>
    <w:p>
      <w:pPr>
        <w:pStyle w:val="239"/>
        <w:spacing w:before="97" w:beforeLines="25" w:after="97" w:afterLines="25"/>
        <w:ind w:firstLine="488" w:firstLineChars="237"/>
        <w:rPr>
          <w:rFonts w:hint="eastAsia" w:ascii="宋体" w:hAnsi="宋体"/>
          <w:sz w:val="20"/>
        </w:rPr>
      </w:pPr>
    </w:p>
    <w:p>
      <w:pPr>
        <w:pStyle w:val="239"/>
        <w:spacing w:before="97" w:beforeLines="25" w:after="97" w:afterLines="25"/>
        <w:ind w:firstLine="488" w:firstLineChars="237"/>
        <w:rPr>
          <w:rFonts w:ascii="宋体" w:hAnsi="宋体"/>
          <w:sz w:val="20"/>
        </w:rPr>
      </w:pPr>
      <w:r>
        <w:rPr>
          <w:rFonts w:hint="eastAsia" w:ascii="宋体" w:hAnsi="宋体"/>
          <w:sz w:val="20"/>
        </w:rPr>
        <w:t>5.1.2 出水质量标准</w:t>
      </w:r>
    </w:p>
    <w:p>
      <w:pPr>
        <w:pStyle w:val="239"/>
        <w:spacing w:before="97" w:beforeLines="25" w:after="97" w:afterLines="25"/>
        <w:ind w:firstLine="488" w:firstLineChars="237"/>
        <w:rPr>
          <w:rFonts w:ascii="宋体" w:hAnsi="宋体"/>
          <w:sz w:val="20"/>
        </w:rPr>
      </w:pPr>
      <w:r>
        <w:rPr>
          <w:rFonts w:hint="eastAsia" w:ascii="宋体" w:hAnsi="宋体"/>
          <w:sz w:val="20"/>
        </w:rPr>
        <w:t>本项目主要水污染物排放执行浙江省地方标准《城镇污水处理厂主要污染物排放标准》（DB33/2169-2018）排放标准，即污水出水质量应符合下表5.1.2对主要污染物监测指标的规定。</w:t>
      </w:r>
    </w:p>
    <w:p>
      <w:pPr>
        <w:pStyle w:val="239"/>
        <w:spacing w:before="97" w:beforeLines="25" w:after="97" w:afterLines="25"/>
        <w:ind w:firstLine="488" w:firstLineChars="237"/>
        <w:jc w:val="center"/>
        <w:rPr>
          <w:rFonts w:hint="eastAsia" w:ascii="宋体" w:hAnsi="宋体"/>
          <w:sz w:val="20"/>
        </w:rPr>
      </w:pPr>
    </w:p>
    <w:p>
      <w:pPr>
        <w:pStyle w:val="239"/>
        <w:spacing w:before="97" w:beforeLines="25" w:after="97" w:afterLines="25"/>
        <w:ind w:firstLine="488" w:firstLineChars="237"/>
        <w:jc w:val="center"/>
        <w:rPr>
          <w:rFonts w:ascii="宋体" w:hAnsi="宋体"/>
          <w:sz w:val="20"/>
        </w:rPr>
      </w:pPr>
      <w:r>
        <w:rPr>
          <w:rFonts w:hint="eastAsia" w:ascii="宋体" w:hAnsi="宋体"/>
          <w:sz w:val="20"/>
        </w:rPr>
        <w:t>表 5.1.2    项目出水水质设计标准</w:t>
      </w:r>
    </w:p>
    <w:tbl>
      <w:tblPr>
        <w:tblStyle w:val="61"/>
        <w:tblW w:w="6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709"/>
        <w:gridCol w:w="850"/>
        <w:gridCol w:w="709"/>
        <w:gridCol w:w="899"/>
        <w:gridCol w:w="873"/>
        <w:gridCol w:w="638"/>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6" w:type="dxa"/>
            <w:vAlign w:val="center"/>
          </w:tcPr>
          <w:p>
            <w:pPr>
              <w:pStyle w:val="239"/>
              <w:spacing w:line="400" w:lineRule="exact"/>
              <w:jc w:val="center"/>
              <w:rPr>
                <w:rFonts w:ascii="宋体"/>
                <w:b/>
                <w:sz w:val="20"/>
                <w:szCs w:val="20"/>
              </w:rPr>
            </w:pPr>
            <w:r>
              <w:rPr>
                <w:rFonts w:hint="eastAsia" w:ascii="宋体" w:hAnsi="宋体"/>
                <w:b/>
                <w:sz w:val="20"/>
                <w:szCs w:val="20"/>
              </w:rPr>
              <w:t>项目</w:t>
            </w:r>
          </w:p>
        </w:tc>
        <w:tc>
          <w:tcPr>
            <w:tcW w:w="709" w:type="dxa"/>
            <w:vAlign w:val="center"/>
          </w:tcPr>
          <w:p>
            <w:pPr>
              <w:pStyle w:val="239"/>
              <w:spacing w:line="400" w:lineRule="exact"/>
              <w:jc w:val="center"/>
              <w:rPr>
                <w:rFonts w:ascii="宋体" w:hAnsi="宋体"/>
                <w:b/>
                <w:sz w:val="20"/>
                <w:szCs w:val="20"/>
              </w:rPr>
            </w:pPr>
            <w:r>
              <w:rPr>
                <w:rFonts w:ascii="宋体" w:hAnsi="宋体"/>
                <w:b/>
                <w:sz w:val="20"/>
                <w:szCs w:val="20"/>
              </w:rPr>
              <w:t>pH</w:t>
            </w:r>
          </w:p>
        </w:tc>
        <w:tc>
          <w:tcPr>
            <w:tcW w:w="850" w:type="dxa"/>
            <w:vAlign w:val="center"/>
          </w:tcPr>
          <w:p>
            <w:pPr>
              <w:pStyle w:val="239"/>
              <w:spacing w:line="400" w:lineRule="exact"/>
              <w:jc w:val="center"/>
              <w:rPr>
                <w:rFonts w:ascii="宋体"/>
                <w:b/>
                <w:sz w:val="20"/>
                <w:szCs w:val="20"/>
              </w:rPr>
            </w:pPr>
            <w:r>
              <w:rPr>
                <w:rFonts w:ascii="宋体" w:hAnsi="宋体"/>
                <w:b/>
                <w:sz w:val="20"/>
                <w:szCs w:val="20"/>
              </w:rPr>
              <w:t>COD</w:t>
            </w:r>
            <w:r>
              <w:rPr>
                <w:rFonts w:ascii="宋体" w:hAnsi="宋体"/>
                <w:b/>
                <w:sz w:val="20"/>
                <w:szCs w:val="20"/>
                <w:vertAlign w:val="subscript"/>
              </w:rPr>
              <w:t>Cr</w:t>
            </w:r>
          </w:p>
        </w:tc>
        <w:tc>
          <w:tcPr>
            <w:tcW w:w="709" w:type="dxa"/>
            <w:vAlign w:val="center"/>
          </w:tcPr>
          <w:p>
            <w:pPr>
              <w:pStyle w:val="239"/>
              <w:spacing w:line="400" w:lineRule="exact"/>
              <w:jc w:val="center"/>
              <w:rPr>
                <w:rFonts w:ascii="宋体"/>
                <w:b/>
                <w:sz w:val="20"/>
                <w:szCs w:val="20"/>
              </w:rPr>
            </w:pPr>
            <w:r>
              <w:rPr>
                <w:rFonts w:ascii="宋体" w:hAnsi="宋体"/>
                <w:b/>
                <w:sz w:val="20"/>
                <w:szCs w:val="20"/>
              </w:rPr>
              <w:t>BOD</w:t>
            </w:r>
            <w:r>
              <w:rPr>
                <w:rFonts w:ascii="宋体" w:hAnsi="宋体"/>
                <w:b/>
                <w:sz w:val="20"/>
                <w:szCs w:val="20"/>
                <w:vertAlign w:val="subscript"/>
              </w:rPr>
              <w:t>5</w:t>
            </w:r>
          </w:p>
        </w:tc>
        <w:tc>
          <w:tcPr>
            <w:tcW w:w="899" w:type="dxa"/>
            <w:vAlign w:val="center"/>
          </w:tcPr>
          <w:p>
            <w:pPr>
              <w:pStyle w:val="239"/>
              <w:spacing w:line="400" w:lineRule="exact"/>
              <w:jc w:val="center"/>
              <w:rPr>
                <w:rFonts w:ascii="宋体" w:hAnsi="宋体"/>
                <w:b/>
                <w:sz w:val="20"/>
                <w:szCs w:val="20"/>
              </w:rPr>
            </w:pPr>
            <w:r>
              <w:rPr>
                <w:rFonts w:ascii="宋体" w:hAnsi="宋体"/>
                <w:b/>
                <w:sz w:val="20"/>
                <w:szCs w:val="20"/>
              </w:rPr>
              <w:t>NH</w:t>
            </w:r>
            <w:r>
              <w:rPr>
                <w:rFonts w:ascii="宋体" w:hAnsi="宋体"/>
                <w:b/>
                <w:sz w:val="20"/>
                <w:szCs w:val="20"/>
                <w:vertAlign w:val="subscript"/>
              </w:rPr>
              <w:t>3</w:t>
            </w:r>
            <w:r>
              <w:rPr>
                <w:rFonts w:ascii="宋体" w:hAnsi="宋体"/>
                <w:b/>
                <w:sz w:val="20"/>
                <w:szCs w:val="20"/>
              </w:rPr>
              <w:t>-N</w:t>
            </w:r>
          </w:p>
        </w:tc>
        <w:tc>
          <w:tcPr>
            <w:tcW w:w="873" w:type="dxa"/>
            <w:vAlign w:val="center"/>
          </w:tcPr>
          <w:p>
            <w:pPr>
              <w:pStyle w:val="239"/>
              <w:spacing w:line="400" w:lineRule="exact"/>
              <w:jc w:val="center"/>
              <w:rPr>
                <w:rFonts w:ascii="宋体" w:hAnsi="宋体"/>
                <w:b/>
                <w:sz w:val="20"/>
                <w:szCs w:val="20"/>
              </w:rPr>
            </w:pPr>
            <w:r>
              <w:rPr>
                <w:rFonts w:ascii="宋体" w:hAnsi="宋体"/>
                <w:b/>
                <w:sz w:val="20"/>
                <w:szCs w:val="20"/>
              </w:rPr>
              <w:t>TN</w:t>
            </w:r>
          </w:p>
        </w:tc>
        <w:tc>
          <w:tcPr>
            <w:tcW w:w="638" w:type="dxa"/>
            <w:vAlign w:val="center"/>
          </w:tcPr>
          <w:p>
            <w:pPr>
              <w:pStyle w:val="239"/>
              <w:spacing w:line="400" w:lineRule="exact"/>
              <w:jc w:val="center"/>
              <w:rPr>
                <w:rFonts w:ascii="宋体" w:hAnsi="宋体"/>
                <w:b/>
                <w:sz w:val="20"/>
                <w:szCs w:val="20"/>
              </w:rPr>
            </w:pPr>
            <w:r>
              <w:rPr>
                <w:rFonts w:ascii="宋体" w:hAnsi="宋体"/>
                <w:b/>
                <w:sz w:val="20"/>
                <w:szCs w:val="20"/>
              </w:rPr>
              <w:t>SS</w:t>
            </w:r>
          </w:p>
        </w:tc>
        <w:tc>
          <w:tcPr>
            <w:tcW w:w="687" w:type="dxa"/>
            <w:vAlign w:val="center"/>
          </w:tcPr>
          <w:p>
            <w:pPr>
              <w:pStyle w:val="239"/>
              <w:spacing w:line="400" w:lineRule="exact"/>
              <w:jc w:val="center"/>
              <w:rPr>
                <w:rFonts w:ascii="宋体" w:hAnsi="宋体"/>
                <w:b/>
                <w:sz w:val="20"/>
                <w:szCs w:val="20"/>
              </w:rPr>
            </w:pPr>
            <w:r>
              <w:rPr>
                <w:rFonts w:ascii="宋体" w:hAnsi="宋体"/>
                <w:b/>
                <w:sz w:val="20"/>
                <w:szCs w:val="20"/>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126" w:type="dxa"/>
            <w:vAlign w:val="center"/>
          </w:tcPr>
          <w:p>
            <w:pPr>
              <w:pStyle w:val="239"/>
              <w:spacing w:line="400" w:lineRule="exact"/>
              <w:jc w:val="center"/>
              <w:rPr>
                <w:rFonts w:ascii="宋体"/>
                <w:sz w:val="20"/>
                <w:szCs w:val="20"/>
              </w:rPr>
            </w:pPr>
            <w:r>
              <w:rPr>
                <w:rFonts w:hint="eastAsia" w:ascii="宋体" w:hAnsi="宋体"/>
                <w:sz w:val="20"/>
                <w:szCs w:val="20"/>
              </w:rPr>
              <w:t>单位</w:t>
            </w:r>
          </w:p>
        </w:tc>
        <w:tc>
          <w:tcPr>
            <w:tcW w:w="709" w:type="dxa"/>
            <w:vAlign w:val="center"/>
          </w:tcPr>
          <w:p>
            <w:pPr>
              <w:pStyle w:val="239"/>
              <w:spacing w:line="400" w:lineRule="exact"/>
              <w:jc w:val="center"/>
              <w:rPr>
                <w:rFonts w:ascii="宋体"/>
                <w:sz w:val="20"/>
                <w:szCs w:val="20"/>
              </w:rPr>
            </w:pPr>
          </w:p>
        </w:tc>
        <w:tc>
          <w:tcPr>
            <w:tcW w:w="850" w:type="dxa"/>
            <w:vAlign w:val="center"/>
          </w:tcPr>
          <w:p>
            <w:pPr>
              <w:pStyle w:val="239"/>
              <w:spacing w:line="400" w:lineRule="exact"/>
              <w:jc w:val="center"/>
              <w:rPr>
                <w:rFonts w:ascii="宋体"/>
                <w:sz w:val="20"/>
                <w:szCs w:val="20"/>
              </w:rPr>
            </w:pPr>
            <w:r>
              <w:rPr>
                <w:rFonts w:ascii="宋体" w:hAnsi="宋体"/>
                <w:b/>
                <w:sz w:val="20"/>
                <w:szCs w:val="20"/>
              </w:rPr>
              <w:t>mg/L</w:t>
            </w:r>
          </w:p>
        </w:tc>
        <w:tc>
          <w:tcPr>
            <w:tcW w:w="709" w:type="dxa"/>
            <w:vAlign w:val="center"/>
          </w:tcPr>
          <w:p>
            <w:pPr>
              <w:pStyle w:val="239"/>
              <w:spacing w:line="400" w:lineRule="exact"/>
              <w:jc w:val="center"/>
              <w:rPr>
                <w:rFonts w:ascii="宋体"/>
                <w:sz w:val="20"/>
                <w:szCs w:val="20"/>
              </w:rPr>
            </w:pPr>
            <w:r>
              <w:rPr>
                <w:rFonts w:ascii="宋体" w:hAnsi="宋体"/>
                <w:b/>
                <w:sz w:val="20"/>
                <w:szCs w:val="20"/>
              </w:rPr>
              <w:t>mg/L</w:t>
            </w:r>
          </w:p>
        </w:tc>
        <w:tc>
          <w:tcPr>
            <w:tcW w:w="899" w:type="dxa"/>
            <w:vAlign w:val="center"/>
          </w:tcPr>
          <w:p>
            <w:pPr>
              <w:pStyle w:val="239"/>
              <w:spacing w:line="400" w:lineRule="exact"/>
              <w:jc w:val="center"/>
              <w:rPr>
                <w:rFonts w:ascii="宋体"/>
                <w:sz w:val="20"/>
                <w:szCs w:val="20"/>
              </w:rPr>
            </w:pPr>
            <w:r>
              <w:rPr>
                <w:rFonts w:ascii="宋体" w:hAnsi="宋体"/>
                <w:b/>
                <w:sz w:val="20"/>
                <w:szCs w:val="20"/>
              </w:rPr>
              <w:t>mg/L</w:t>
            </w:r>
          </w:p>
        </w:tc>
        <w:tc>
          <w:tcPr>
            <w:tcW w:w="873" w:type="dxa"/>
            <w:vAlign w:val="center"/>
          </w:tcPr>
          <w:p>
            <w:pPr>
              <w:pStyle w:val="239"/>
              <w:spacing w:line="400" w:lineRule="exact"/>
              <w:jc w:val="center"/>
              <w:rPr>
                <w:rFonts w:ascii="宋体"/>
                <w:sz w:val="20"/>
                <w:szCs w:val="20"/>
              </w:rPr>
            </w:pPr>
            <w:r>
              <w:rPr>
                <w:rFonts w:ascii="宋体" w:hAnsi="宋体"/>
                <w:b/>
                <w:sz w:val="20"/>
                <w:szCs w:val="20"/>
              </w:rPr>
              <w:t>mg/L</w:t>
            </w:r>
          </w:p>
        </w:tc>
        <w:tc>
          <w:tcPr>
            <w:tcW w:w="638" w:type="dxa"/>
            <w:vAlign w:val="center"/>
          </w:tcPr>
          <w:p>
            <w:pPr>
              <w:pStyle w:val="239"/>
              <w:spacing w:line="400" w:lineRule="exact"/>
              <w:jc w:val="center"/>
              <w:rPr>
                <w:rFonts w:ascii="宋体"/>
                <w:sz w:val="20"/>
                <w:szCs w:val="20"/>
              </w:rPr>
            </w:pPr>
            <w:r>
              <w:rPr>
                <w:rFonts w:ascii="宋体" w:hAnsi="宋体"/>
                <w:b/>
                <w:sz w:val="20"/>
                <w:szCs w:val="20"/>
              </w:rPr>
              <w:t>mg/L</w:t>
            </w:r>
          </w:p>
        </w:tc>
        <w:tc>
          <w:tcPr>
            <w:tcW w:w="687" w:type="dxa"/>
            <w:vAlign w:val="center"/>
          </w:tcPr>
          <w:p>
            <w:pPr>
              <w:pStyle w:val="239"/>
              <w:spacing w:line="400" w:lineRule="exact"/>
              <w:jc w:val="center"/>
              <w:rPr>
                <w:rFonts w:ascii="宋体"/>
                <w:sz w:val="20"/>
                <w:szCs w:val="20"/>
              </w:rPr>
            </w:pPr>
            <w:r>
              <w:rPr>
                <w:rFonts w:ascii="宋体" w:hAnsi="宋体"/>
                <w:b/>
                <w:sz w:val="20"/>
                <w:szCs w:val="20"/>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26" w:type="dxa"/>
            <w:vAlign w:val="center"/>
          </w:tcPr>
          <w:p>
            <w:pPr>
              <w:pStyle w:val="239"/>
              <w:spacing w:line="400" w:lineRule="exact"/>
              <w:jc w:val="center"/>
              <w:rPr>
                <w:rFonts w:ascii="宋体"/>
                <w:sz w:val="20"/>
                <w:szCs w:val="20"/>
              </w:rPr>
            </w:pPr>
            <w:r>
              <w:rPr>
                <w:rFonts w:hint="eastAsia" w:ascii="宋体" w:hAnsi="宋体"/>
                <w:sz w:val="20"/>
                <w:szCs w:val="20"/>
              </w:rPr>
              <w:t>指标数值</w:t>
            </w:r>
          </w:p>
        </w:tc>
        <w:tc>
          <w:tcPr>
            <w:tcW w:w="709" w:type="dxa"/>
            <w:vAlign w:val="center"/>
          </w:tcPr>
          <w:p>
            <w:pPr>
              <w:pStyle w:val="239"/>
              <w:spacing w:line="400" w:lineRule="exact"/>
              <w:jc w:val="center"/>
              <w:rPr>
                <w:rFonts w:ascii="宋体" w:hAnsi="宋体"/>
                <w:sz w:val="20"/>
                <w:szCs w:val="20"/>
              </w:rPr>
            </w:pPr>
            <w:r>
              <w:rPr>
                <w:rFonts w:ascii="宋体" w:hAnsi="宋体"/>
                <w:sz w:val="20"/>
                <w:szCs w:val="20"/>
              </w:rPr>
              <w:t>6-9</w:t>
            </w:r>
          </w:p>
        </w:tc>
        <w:tc>
          <w:tcPr>
            <w:tcW w:w="850" w:type="dxa"/>
            <w:vAlign w:val="center"/>
          </w:tcPr>
          <w:p>
            <w:pPr>
              <w:pStyle w:val="239"/>
              <w:spacing w:line="400" w:lineRule="exact"/>
              <w:jc w:val="center"/>
              <w:rPr>
                <w:rFonts w:ascii="宋体" w:hAnsi="宋体"/>
                <w:sz w:val="20"/>
                <w:szCs w:val="20"/>
              </w:rPr>
            </w:pPr>
            <w:r>
              <w:rPr>
                <w:rFonts w:ascii="宋体" w:hAnsi="宋体"/>
                <w:sz w:val="20"/>
                <w:szCs w:val="20"/>
              </w:rPr>
              <w:t>30</w:t>
            </w:r>
          </w:p>
        </w:tc>
        <w:tc>
          <w:tcPr>
            <w:tcW w:w="709" w:type="dxa"/>
            <w:vAlign w:val="center"/>
          </w:tcPr>
          <w:p>
            <w:pPr>
              <w:pStyle w:val="239"/>
              <w:spacing w:line="400" w:lineRule="exact"/>
              <w:jc w:val="center"/>
              <w:rPr>
                <w:rFonts w:ascii="宋体" w:hAnsi="宋体"/>
                <w:sz w:val="20"/>
                <w:szCs w:val="20"/>
              </w:rPr>
            </w:pPr>
            <w:r>
              <w:rPr>
                <w:rFonts w:ascii="宋体" w:hAnsi="宋体"/>
                <w:sz w:val="20"/>
                <w:szCs w:val="20"/>
              </w:rPr>
              <w:t>10</w:t>
            </w:r>
          </w:p>
        </w:tc>
        <w:tc>
          <w:tcPr>
            <w:tcW w:w="899" w:type="dxa"/>
            <w:vAlign w:val="center"/>
          </w:tcPr>
          <w:p>
            <w:pPr>
              <w:pStyle w:val="239"/>
              <w:spacing w:line="400" w:lineRule="exact"/>
              <w:jc w:val="center"/>
              <w:rPr>
                <w:rFonts w:ascii="宋体"/>
                <w:sz w:val="20"/>
                <w:szCs w:val="20"/>
              </w:rPr>
            </w:pPr>
            <w:r>
              <w:rPr>
                <w:rFonts w:ascii="宋体" w:hAnsi="宋体"/>
                <w:sz w:val="20"/>
                <w:szCs w:val="20"/>
              </w:rPr>
              <w:t>1.5</w:t>
            </w:r>
            <w:r>
              <w:rPr>
                <w:rFonts w:hint="eastAsia" w:ascii="宋体" w:hAnsi="宋体"/>
                <w:sz w:val="20"/>
                <w:szCs w:val="20"/>
              </w:rPr>
              <w:t>（</w:t>
            </w:r>
            <w:r>
              <w:rPr>
                <w:rFonts w:ascii="宋体" w:hAnsi="宋体"/>
                <w:sz w:val="20"/>
                <w:szCs w:val="20"/>
              </w:rPr>
              <w:t>3</w:t>
            </w:r>
            <w:r>
              <w:rPr>
                <w:rFonts w:hint="eastAsia" w:ascii="宋体" w:hAnsi="宋体"/>
                <w:sz w:val="20"/>
                <w:szCs w:val="20"/>
              </w:rPr>
              <w:t>）</w:t>
            </w:r>
          </w:p>
        </w:tc>
        <w:tc>
          <w:tcPr>
            <w:tcW w:w="873" w:type="dxa"/>
            <w:vAlign w:val="center"/>
          </w:tcPr>
          <w:p>
            <w:pPr>
              <w:pStyle w:val="239"/>
              <w:spacing w:line="400" w:lineRule="exact"/>
              <w:jc w:val="center"/>
              <w:rPr>
                <w:rFonts w:ascii="宋体" w:hAnsi="宋体"/>
                <w:sz w:val="20"/>
                <w:szCs w:val="20"/>
              </w:rPr>
            </w:pPr>
            <w:r>
              <w:rPr>
                <w:rFonts w:ascii="宋体" w:hAnsi="宋体"/>
                <w:sz w:val="20"/>
                <w:szCs w:val="20"/>
              </w:rPr>
              <w:t>10</w:t>
            </w:r>
            <w:r>
              <w:rPr>
                <w:rFonts w:hint="eastAsia" w:ascii="宋体" w:hAnsi="宋体"/>
                <w:sz w:val="20"/>
                <w:szCs w:val="20"/>
              </w:rPr>
              <w:t>（</w:t>
            </w:r>
            <w:r>
              <w:rPr>
                <w:rFonts w:ascii="宋体" w:hAnsi="宋体"/>
                <w:sz w:val="20"/>
                <w:szCs w:val="20"/>
              </w:rPr>
              <w:t>12</w:t>
            </w:r>
            <w:r>
              <w:rPr>
                <w:rFonts w:hint="eastAsia" w:ascii="宋体" w:hAnsi="宋体"/>
                <w:sz w:val="20"/>
                <w:szCs w:val="20"/>
              </w:rPr>
              <w:t>）</w:t>
            </w:r>
          </w:p>
        </w:tc>
        <w:tc>
          <w:tcPr>
            <w:tcW w:w="638" w:type="dxa"/>
            <w:vAlign w:val="center"/>
          </w:tcPr>
          <w:p>
            <w:pPr>
              <w:pStyle w:val="239"/>
              <w:spacing w:line="400" w:lineRule="exact"/>
              <w:jc w:val="center"/>
              <w:rPr>
                <w:rFonts w:ascii="宋体" w:hAnsi="宋体"/>
                <w:sz w:val="20"/>
                <w:szCs w:val="20"/>
              </w:rPr>
            </w:pPr>
            <w:r>
              <w:rPr>
                <w:rFonts w:ascii="宋体" w:hAnsi="宋体"/>
                <w:sz w:val="20"/>
                <w:szCs w:val="20"/>
              </w:rPr>
              <w:t>10</w:t>
            </w:r>
          </w:p>
        </w:tc>
        <w:tc>
          <w:tcPr>
            <w:tcW w:w="687" w:type="dxa"/>
            <w:vAlign w:val="center"/>
          </w:tcPr>
          <w:p>
            <w:pPr>
              <w:pStyle w:val="239"/>
              <w:spacing w:line="400" w:lineRule="exact"/>
              <w:jc w:val="center"/>
              <w:rPr>
                <w:rFonts w:ascii="宋体" w:hAnsi="宋体"/>
                <w:sz w:val="20"/>
                <w:szCs w:val="20"/>
              </w:rPr>
            </w:pPr>
            <w:r>
              <w:rPr>
                <w:rFonts w:hint="eastAsia" w:ascii="宋体" w:hAnsi="宋体"/>
                <w:sz w:val="20"/>
                <w:szCs w:val="20"/>
              </w:rPr>
              <w:t>0.3</w:t>
            </w:r>
          </w:p>
        </w:tc>
      </w:tr>
    </w:tbl>
    <w:p>
      <w:pPr>
        <w:pStyle w:val="239"/>
        <w:spacing w:before="97" w:beforeLines="25" w:after="97" w:afterLines="25"/>
        <w:ind w:firstLine="488" w:firstLineChars="237"/>
        <w:rPr>
          <w:rFonts w:ascii="宋体" w:hAnsi="宋体"/>
          <w:sz w:val="20"/>
        </w:rPr>
      </w:pPr>
      <w:r>
        <w:rPr>
          <w:rFonts w:hint="eastAsia" w:ascii="宋体" w:hAnsi="宋体"/>
          <w:sz w:val="20"/>
        </w:rPr>
        <w:t>此外，出水水质按环评批复要求为准。</w:t>
      </w:r>
    </w:p>
    <w:p>
      <w:pPr>
        <w:pStyle w:val="239"/>
        <w:spacing w:before="97" w:beforeLines="25" w:after="97" w:afterLines="25"/>
        <w:ind w:firstLine="488" w:firstLineChars="237"/>
        <w:rPr>
          <w:rFonts w:ascii="宋体" w:hAnsi="宋体"/>
          <w:sz w:val="20"/>
        </w:rPr>
      </w:pPr>
      <w:r>
        <w:rPr>
          <w:rFonts w:hint="eastAsia" w:ascii="宋体" w:hAnsi="宋体"/>
          <w:sz w:val="20"/>
        </w:rPr>
        <w:t>5.1.3 污泥排放标准</w:t>
      </w:r>
    </w:p>
    <w:p>
      <w:pPr>
        <w:pStyle w:val="239"/>
        <w:spacing w:before="97" w:beforeLines="25" w:after="97" w:afterLines="25"/>
        <w:ind w:firstLine="488" w:firstLineChars="237"/>
        <w:rPr>
          <w:rFonts w:ascii="宋体" w:hAnsi="宋体"/>
          <w:sz w:val="20"/>
        </w:rPr>
      </w:pPr>
      <w:r>
        <w:rPr>
          <w:rFonts w:hint="eastAsia" w:ascii="宋体" w:hAnsi="宋体"/>
          <w:sz w:val="20"/>
        </w:rPr>
        <w:t>污泥集中处置参照《衢州市区污泥集中处置管理规定》执行且满足《浙江省清废行动方案》要求。</w:t>
      </w:r>
    </w:p>
    <w:p>
      <w:pPr>
        <w:pStyle w:val="239"/>
        <w:spacing w:before="97" w:beforeLines="25" w:after="97" w:afterLines="25"/>
        <w:ind w:firstLine="488" w:firstLineChars="237"/>
        <w:rPr>
          <w:rFonts w:ascii="宋体" w:hAnsi="宋体"/>
          <w:sz w:val="20"/>
        </w:rPr>
      </w:pPr>
      <w:r>
        <w:rPr>
          <w:rFonts w:hint="eastAsia" w:ascii="宋体" w:hAnsi="宋体"/>
          <w:sz w:val="20"/>
        </w:rPr>
        <w:t>5.1.4 对新标准的执行</w:t>
      </w:r>
    </w:p>
    <w:p>
      <w:pPr>
        <w:pStyle w:val="239"/>
        <w:spacing w:before="97" w:beforeLines="25" w:after="97" w:afterLines="25"/>
        <w:ind w:firstLine="488" w:firstLineChars="237"/>
        <w:rPr>
          <w:rFonts w:ascii="宋体" w:hAnsi="宋体"/>
          <w:sz w:val="20"/>
        </w:rPr>
      </w:pPr>
      <w:r>
        <w:rPr>
          <w:rFonts w:hint="eastAsia" w:ascii="宋体" w:hAnsi="宋体"/>
          <w:sz w:val="20"/>
        </w:rPr>
        <w:t>若有关污水处理厂出水水质标准的中国国家标准、行业标准或省、市地方标准发生变化时，对乙方运营的污水处理厂出水水质考核应执行该等新的标准，前述标准若有冲突，以较严格的为准。</w:t>
      </w:r>
    </w:p>
    <w:p>
      <w:pPr>
        <w:pStyle w:val="239"/>
        <w:spacing w:before="97" w:beforeLines="25" w:after="97" w:afterLines="25"/>
        <w:ind w:firstLine="488" w:firstLineChars="237"/>
        <w:rPr>
          <w:rFonts w:ascii="宋体" w:hAnsi="宋体"/>
          <w:strike/>
          <w:color w:val="FF0000"/>
          <w:sz w:val="20"/>
        </w:rPr>
      </w:pPr>
      <w:r>
        <w:rPr>
          <w:rFonts w:hint="eastAsia" w:ascii="宋体" w:hAnsi="宋体"/>
          <w:sz w:val="20"/>
        </w:rPr>
        <w:t>若执行新的标准须调整或改变工艺流程，乙方有义务协助与配合甲方对相关项目设施实施的技术改造。</w:t>
      </w:r>
    </w:p>
    <w:p>
      <w:pPr>
        <w:pStyle w:val="239"/>
        <w:keepNext/>
        <w:keepLines/>
        <w:spacing w:before="120" w:after="120"/>
        <w:ind w:firstLine="500"/>
        <w:outlineLvl w:val="4"/>
        <w:rPr>
          <w:rFonts w:ascii="宋体" w:hAnsi="宋体"/>
          <w:b/>
          <w:szCs w:val="20"/>
        </w:rPr>
      </w:pPr>
      <w:r>
        <w:rPr>
          <w:rFonts w:hint="eastAsia" w:ascii="宋体" w:hAnsi="宋体"/>
          <w:b/>
          <w:szCs w:val="20"/>
        </w:rPr>
        <w:t>5.2  进水、出水及污泥的检测</w:t>
      </w:r>
    </w:p>
    <w:p>
      <w:pPr>
        <w:pStyle w:val="239"/>
        <w:spacing w:before="97" w:beforeLines="25" w:after="97" w:afterLines="25"/>
        <w:ind w:firstLine="488" w:firstLineChars="237"/>
        <w:rPr>
          <w:rFonts w:ascii="宋体" w:hAnsi="宋体"/>
          <w:sz w:val="20"/>
        </w:rPr>
      </w:pPr>
      <w:r>
        <w:rPr>
          <w:rFonts w:hint="eastAsia" w:ascii="宋体" w:hAnsi="宋体"/>
          <w:sz w:val="20"/>
        </w:rPr>
        <w:t>5.2.1 乙方的检测和报告义务</w:t>
      </w:r>
    </w:p>
    <w:p>
      <w:pPr>
        <w:pStyle w:val="239"/>
        <w:spacing w:before="97" w:beforeLines="25" w:after="97" w:afterLines="25"/>
        <w:ind w:firstLine="488" w:firstLineChars="237"/>
        <w:rPr>
          <w:rFonts w:ascii="宋体" w:hAnsi="宋体"/>
          <w:sz w:val="20"/>
        </w:rPr>
      </w:pPr>
      <w:r>
        <w:rPr>
          <w:rFonts w:hint="eastAsia" w:ascii="宋体" w:hAnsi="宋体"/>
          <w:sz w:val="20"/>
        </w:rPr>
        <w:t>乙方应按照本第5.2条及有关附录的规定，自费对包括但不限于进水水质、中间处理过程、出水水质、污泥、大气污染物、噪声在内的各项指标进行检测，并如实向甲方报告检测结果。作为本协议之目的，其中进水水质、出水水质以及污泥应通过日常检测、在线检测确定。</w:t>
      </w:r>
    </w:p>
    <w:p>
      <w:pPr>
        <w:pStyle w:val="239"/>
        <w:spacing w:before="97" w:beforeLines="25" w:after="97" w:afterLines="25"/>
        <w:ind w:firstLine="488" w:firstLineChars="237"/>
        <w:rPr>
          <w:rFonts w:ascii="宋体" w:hAnsi="宋体"/>
          <w:sz w:val="20"/>
        </w:rPr>
      </w:pPr>
      <w:r>
        <w:rPr>
          <w:rFonts w:hint="eastAsia" w:ascii="宋体" w:hAnsi="宋体"/>
          <w:sz w:val="20"/>
        </w:rPr>
        <w:t>5.2.2  检测</w:t>
      </w:r>
    </w:p>
    <w:p>
      <w:pPr>
        <w:pStyle w:val="239"/>
        <w:spacing w:before="97" w:beforeLines="25" w:after="97" w:afterLines="25"/>
        <w:ind w:firstLine="488" w:firstLineChars="237"/>
        <w:rPr>
          <w:rFonts w:ascii="宋体" w:hAnsi="宋体"/>
          <w:sz w:val="20"/>
        </w:rPr>
      </w:pPr>
      <w:r>
        <w:rPr>
          <w:rFonts w:hint="eastAsia" w:ascii="宋体" w:hAnsi="宋体"/>
          <w:sz w:val="20"/>
        </w:rPr>
        <w:t>乙方应自行委托经甲方书面同意的具有正式法定资质的检测机构按照</w:t>
      </w:r>
      <w:r>
        <w:rPr>
          <w:rFonts w:hint="eastAsia" w:ascii="宋体" w:hAnsi="宋体"/>
          <w:sz w:val="20"/>
          <w:szCs w:val="20"/>
        </w:rPr>
        <w:t>《城市污水处理厂运行、维护及其安全技术规范》（</w:t>
      </w:r>
      <w:r>
        <w:rPr>
          <w:rFonts w:hint="eastAsia" w:ascii="宋体" w:hAnsi="宋体"/>
          <w:sz w:val="20"/>
        </w:rPr>
        <w:t>CJJ60-2011）的规定进行下列检测：</w:t>
      </w:r>
    </w:p>
    <w:p>
      <w:pPr>
        <w:pStyle w:val="239"/>
        <w:spacing w:before="97" w:beforeLines="25" w:after="97" w:afterLines="25"/>
        <w:ind w:firstLine="488" w:firstLineChars="237"/>
        <w:rPr>
          <w:rFonts w:ascii="宋体" w:hAnsi="宋体"/>
          <w:sz w:val="20"/>
        </w:rPr>
      </w:pPr>
      <w:r>
        <w:rPr>
          <w:rFonts w:hint="eastAsia" w:ascii="宋体" w:hAnsi="宋体"/>
          <w:sz w:val="20"/>
        </w:rPr>
        <w:t>a) 对出水pH、COD</w:t>
      </w:r>
      <w:r>
        <w:rPr>
          <w:rFonts w:hint="eastAsia" w:ascii="宋体" w:hAnsi="宋体"/>
          <w:sz w:val="20"/>
          <w:vertAlign w:val="subscript"/>
        </w:rPr>
        <w:t>cr</w:t>
      </w:r>
      <w:r>
        <w:rPr>
          <w:rFonts w:hint="eastAsia" w:ascii="宋体" w:hAnsi="宋体"/>
          <w:sz w:val="20"/>
        </w:rPr>
        <w:t>、NH</w:t>
      </w:r>
      <w:r>
        <w:rPr>
          <w:rFonts w:hint="eastAsia" w:ascii="宋体" w:hAnsi="宋体"/>
          <w:sz w:val="20"/>
          <w:vertAlign w:val="subscript"/>
        </w:rPr>
        <w:t>3</w:t>
      </w:r>
      <w:r>
        <w:rPr>
          <w:rFonts w:hint="eastAsia" w:ascii="宋体" w:hAnsi="宋体"/>
          <w:sz w:val="20"/>
        </w:rPr>
        <w:t>-N、TN、TP等主要水质指标进行连续的在线检测。若届时行政主管部门要求增加在线检测项目，乙方应配合甲方安装在线检测设备，采购及安装设备的费用甲方支付；该检测将作为甲方对乙方日常运营的一种监督方式，检测结果将作为判断出水是否达标排放和计费考核的依据之一。</w:t>
      </w:r>
    </w:p>
    <w:p>
      <w:pPr>
        <w:pStyle w:val="239"/>
        <w:spacing w:before="97" w:beforeLines="25" w:after="97" w:afterLines="25"/>
        <w:ind w:firstLine="488" w:firstLineChars="237"/>
        <w:rPr>
          <w:rFonts w:ascii="宋体" w:hAnsi="宋体"/>
          <w:sz w:val="20"/>
        </w:rPr>
      </w:pPr>
      <w:r>
        <w:rPr>
          <w:rFonts w:hint="eastAsia" w:ascii="宋体" w:hAnsi="宋体"/>
          <w:sz w:val="20"/>
        </w:rPr>
        <w:t>b) 就污水处理厂处理后产生的出水及污泥中对环境安全十分重要的那些指标进行进水和出水的日常取样、检测和分析（“日常检测”）。这些指标至少应包括：BOD</w:t>
      </w:r>
      <w:r>
        <w:rPr>
          <w:rFonts w:hint="eastAsia" w:ascii="宋体" w:hAnsi="宋体"/>
          <w:sz w:val="20"/>
          <w:vertAlign w:val="subscript"/>
        </w:rPr>
        <w:t>5</w:t>
      </w:r>
      <w:r>
        <w:rPr>
          <w:rFonts w:hint="eastAsia" w:ascii="宋体" w:hAnsi="宋体"/>
          <w:sz w:val="20"/>
          <w:szCs w:val="20"/>
        </w:rPr>
        <w:t>、</w:t>
      </w:r>
      <w:r>
        <w:rPr>
          <w:rFonts w:hint="eastAsia" w:ascii="宋体" w:hAnsi="宋体"/>
          <w:sz w:val="20"/>
        </w:rPr>
        <w:t>COD</w:t>
      </w:r>
      <w:r>
        <w:rPr>
          <w:rFonts w:hint="eastAsia" w:ascii="宋体" w:hAnsi="宋体"/>
          <w:sz w:val="20"/>
          <w:vertAlign w:val="subscript"/>
        </w:rPr>
        <w:t>cr</w:t>
      </w:r>
      <w:r>
        <w:rPr>
          <w:rFonts w:hint="eastAsia" w:ascii="宋体" w:hAnsi="宋体"/>
          <w:sz w:val="20"/>
          <w:szCs w:val="20"/>
        </w:rPr>
        <w:t>、</w:t>
      </w:r>
      <w:r>
        <w:rPr>
          <w:rFonts w:hint="eastAsia" w:ascii="宋体" w:hAnsi="宋体"/>
          <w:sz w:val="20"/>
        </w:rPr>
        <w:t>NH</w:t>
      </w:r>
      <w:r>
        <w:rPr>
          <w:rFonts w:hint="eastAsia" w:ascii="宋体" w:hAnsi="宋体"/>
          <w:sz w:val="20"/>
          <w:vertAlign w:val="subscript"/>
        </w:rPr>
        <w:t>3</w:t>
      </w:r>
      <w:r>
        <w:rPr>
          <w:rFonts w:hint="eastAsia" w:ascii="宋体" w:hAnsi="宋体"/>
          <w:sz w:val="20"/>
        </w:rPr>
        <w:t>-N。</w:t>
      </w:r>
    </w:p>
    <w:p>
      <w:pPr>
        <w:pStyle w:val="239"/>
        <w:spacing w:before="97" w:beforeLines="25" w:after="97" w:afterLines="25"/>
        <w:ind w:firstLine="488" w:firstLineChars="237"/>
        <w:rPr>
          <w:rFonts w:ascii="宋体" w:hAnsi="宋体"/>
          <w:sz w:val="20"/>
        </w:rPr>
      </w:pPr>
      <w:r>
        <w:rPr>
          <w:rFonts w:hint="eastAsia" w:ascii="宋体" w:hAnsi="宋体"/>
          <w:sz w:val="20"/>
        </w:rPr>
        <w:t>5.2.3  检测的报告和核实</w:t>
      </w:r>
    </w:p>
    <w:p>
      <w:pPr>
        <w:pStyle w:val="239"/>
        <w:spacing w:before="97" w:beforeLines="25" w:after="97" w:afterLines="25"/>
        <w:ind w:firstLine="488" w:firstLineChars="237"/>
        <w:rPr>
          <w:rFonts w:ascii="宋体" w:hAnsi="宋体"/>
          <w:sz w:val="20"/>
        </w:rPr>
      </w:pPr>
      <w:r>
        <w:rPr>
          <w:rFonts w:hint="eastAsia" w:ascii="宋体" w:hAnsi="宋体"/>
          <w:sz w:val="20"/>
        </w:rPr>
        <w:t>乙方应记录每次日常检测和在线检测的所有结果，并在完成上述日常检测后按照甲方要求的时限内，将每月进出水的PH、BOD</w:t>
      </w:r>
      <w:r>
        <w:rPr>
          <w:rFonts w:hint="eastAsia" w:ascii="宋体" w:hAnsi="宋体"/>
          <w:sz w:val="20"/>
          <w:vertAlign w:val="subscript"/>
        </w:rPr>
        <w:t>5</w:t>
      </w:r>
      <w:r>
        <w:rPr>
          <w:rFonts w:hint="eastAsia" w:ascii="宋体" w:hAnsi="宋体"/>
          <w:sz w:val="20"/>
        </w:rPr>
        <w:t>、COD</w:t>
      </w:r>
      <w:r>
        <w:rPr>
          <w:rFonts w:hint="eastAsia" w:ascii="宋体" w:hAnsi="宋体"/>
          <w:sz w:val="20"/>
          <w:vertAlign w:val="subscript"/>
        </w:rPr>
        <w:t>Cr</w:t>
      </w:r>
      <w:r>
        <w:rPr>
          <w:rFonts w:hint="eastAsia" w:ascii="宋体" w:hAnsi="宋体"/>
          <w:sz w:val="20"/>
        </w:rPr>
        <w:t>、NH</w:t>
      </w:r>
      <w:r>
        <w:rPr>
          <w:rFonts w:hint="eastAsia" w:ascii="宋体" w:hAnsi="宋体"/>
          <w:sz w:val="20"/>
          <w:vertAlign w:val="subscript"/>
        </w:rPr>
        <w:t>3</w:t>
      </w:r>
      <w:r>
        <w:rPr>
          <w:rFonts w:hint="eastAsia" w:ascii="宋体" w:hAnsi="宋体"/>
          <w:sz w:val="20"/>
        </w:rPr>
        <w:t>-N、TP、TN、粪大肠菌群数等指标向甲方报送。</w:t>
      </w:r>
    </w:p>
    <w:p>
      <w:pPr>
        <w:pStyle w:val="239"/>
        <w:keepNext/>
        <w:keepLines/>
        <w:spacing w:before="120" w:after="120"/>
        <w:ind w:firstLine="500"/>
        <w:outlineLvl w:val="4"/>
        <w:rPr>
          <w:rFonts w:ascii="宋体" w:hAnsi="宋体"/>
          <w:b/>
          <w:szCs w:val="20"/>
        </w:rPr>
      </w:pPr>
      <w:r>
        <w:rPr>
          <w:rFonts w:hint="eastAsia" w:ascii="宋体" w:hAnsi="宋体"/>
          <w:b/>
          <w:szCs w:val="20"/>
        </w:rPr>
        <w:t>5.</w:t>
      </w:r>
      <w:r>
        <w:rPr>
          <w:rFonts w:ascii="宋体" w:hAnsi="宋体"/>
          <w:b/>
          <w:szCs w:val="20"/>
        </w:rPr>
        <w:t>3</w:t>
      </w:r>
      <w:r>
        <w:rPr>
          <w:rFonts w:hint="eastAsia" w:ascii="宋体" w:hAnsi="宋体"/>
          <w:b/>
          <w:szCs w:val="20"/>
        </w:rPr>
        <w:t xml:space="preserve">  水质超标的处理</w:t>
      </w:r>
    </w:p>
    <w:p>
      <w:pPr>
        <w:pStyle w:val="239"/>
        <w:spacing w:before="97" w:beforeLines="25" w:after="97" w:afterLines="25"/>
        <w:ind w:firstLine="488" w:firstLineChars="237"/>
        <w:rPr>
          <w:rFonts w:ascii="宋体" w:hAnsi="宋体"/>
          <w:sz w:val="20"/>
        </w:rPr>
      </w:pPr>
      <w:r>
        <w:rPr>
          <w:rFonts w:hint="eastAsia" w:ascii="宋体" w:hAnsi="宋体"/>
          <w:sz w:val="20"/>
        </w:rPr>
        <w:t>5.</w:t>
      </w:r>
      <w:r>
        <w:rPr>
          <w:rFonts w:ascii="宋体" w:hAnsi="宋体"/>
          <w:sz w:val="20"/>
        </w:rPr>
        <w:t>3</w:t>
      </w:r>
      <w:r>
        <w:rPr>
          <w:rFonts w:hint="eastAsia" w:ascii="宋体" w:hAnsi="宋体"/>
          <w:sz w:val="20"/>
        </w:rPr>
        <w:t>.1 进水水质超标</w:t>
      </w:r>
    </w:p>
    <w:p>
      <w:pPr>
        <w:pStyle w:val="239"/>
        <w:spacing w:before="97" w:beforeLines="25" w:after="97" w:afterLines="25"/>
        <w:ind w:firstLine="488" w:firstLineChars="237"/>
        <w:rPr>
          <w:rFonts w:ascii="宋体" w:hAnsi="宋体"/>
          <w:b w:val="0"/>
          <w:bCs w:val="0"/>
          <w:color w:val="000000" w:themeColor="text1"/>
          <w:sz w:val="20"/>
          <w14:textFill>
            <w14:solidFill>
              <w14:schemeClr w14:val="tx1"/>
            </w14:solidFill>
          </w14:textFill>
        </w:rPr>
      </w:pPr>
      <w:r>
        <w:rPr>
          <w:rFonts w:hint="eastAsia" w:ascii="宋体" w:hAnsi="宋体"/>
          <w:sz w:val="20"/>
        </w:rPr>
        <w:t>若进水水质中任何一项指标超出第5.1.1条款所列指标数值标准，则视为进水水质超标。当发生进水水质超标情形时，</w:t>
      </w:r>
      <w:r>
        <w:rPr>
          <w:rFonts w:hint="eastAsia" w:ascii="宋体" w:hAnsi="宋体"/>
          <w:b w:val="0"/>
          <w:bCs w:val="0"/>
          <w:color w:val="000000" w:themeColor="text1"/>
          <w:sz w:val="20"/>
          <w:highlight w:val="none"/>
          <w14:textFill>
            <w14:solidFill>
              <w14:schemeClr w14:val="tx1"/>
            </w14:solidFill>
          </w14:textFill>
        </w:rPr>
        <w:t>按</w:t>
      </w:r>
      <w:r>
        <w:rPr>
          <w:rFonts w:hint="eastAsia" w:ascii="宋体" w:hAnsi="宋体"/>
          <w:b w:val="0"/>
          <w:bCs w:val="0"/>
          <w:color w:val="000000" w:themeColor="text1"/>
          <w:sz w:val="20"/>
          <w:highlight w:val="none"/>
          <w:lang w:eastAsia="zh-CN"/>
          <w14:textFill>
            <w14:solidFill>
              <w14:schemeClr w14:val="tx1"/>
            </w14:solidFill>
          </w14:textFill>
        </w:rPr>
        <w:t>附录</w:t>
      </w:r>
      <w:r>
        <w:rPr>
          <w:rFonts w:hint="eastAsia" w:ascii="宋体" w:hAnsi="宋体"/>
          <w:b w:val="0"/>
          <w:bCs w:val="0"/>
          <w:color w:val="000000" w:themeColor="text1"/>
          <w:sz w:val="20"/>
          <w:szCs w:val="20"/>
          <w:highlight w:val="none"/>
          <w14:textFill>
            <w14:solidFill>
              <w14:schemeClr w14:val="tx1"/>
            </w14:solidFill>
          </w14:textFill>
        </w:rPr>
        <w:t>规定执行</w:t>
      </w:r>
      <w:r>
        <w:rPr>
          <w:rFonts w:hint="eastAsia" w:ascii="宋体" w:hAnsi="宋体"/>
          <w:b w:val="0"/>
          <w:bCs w:val="0"/>
          <w:color w:val="000000" w:themeColor="text1"/>
          <w:sz w:val="20"/>
          <w:highlight w:val="none"/>
          <w14:textFill>
            <w14:solidFill>
              <w14:schemeClr w14:val="tx1"/>
            </w14:solidFill>
          </w14:textFill>
        </w:rPr>
        <w:t>。</w:t>
      </w:r>
    </w:p>
    <w:p>
      <w:pPr>
        <w:pStyle w:val="239"/>
        <w:spacing w:before="97" w:beforeLines="25" w:after="97" w:afterLines="25"/>
        <w:ind w:firstLine="488" w:firstLineChars="237"/>
        <w:rPr>
          <w:rFonts w:ascii="宋体" w:hAnsi="宋体"/>
          <w:sz w:val="20"/>
        </w:rPr>
      </w:pPr>
      <w:r>
        <w:rPr>
          <w:rFonts w:hint="eastAsia" w:ascii="宋体" w:hAnsi="宋体"/>
          <w:sz w:val="20"/>
        </w:rPr>
        <w:t>5.</w:t>
      </w:r>
      <w:r>
        <w:rPr>
          <w:rFonts w:ascii="宋体" w:hAnsi="宋体"/>
          <w:sz w:val="20"/>
        </w:rPr>
        <w:t>3</w:t>
      </w:r>
      <w:r>
        <w:rPr>
          <w:rFonts w:hint="eastAsia" w:ascii="宋体" w:hAnsi="宋体"/>
          <w:sz w:val="20"/>
        </w:rPr>
        <w:t>.2 出水水质超标和超标日数的计算</w:t>
      </w:r>
    </w:p>
    <w:p>
      <w:pPr>
        <w:pStyle w:val="239"/>
        <w:spacing w:before="97" w:beforeLines="25" w:after="97" w:afterLines="25"/>
        <w:ind w:firstLine="488" w:firstLineChars="237"/>
        <w:rPr>
          <w:rFonts w:ascii="宋体" w:hAnsi="宋体"/>
          <w:sz w:val="20"/>
        </w:rPr>
      </w:pPr>
      <w:r>
        <w:rPr>
          <w:rFonts w:hint="eastAsia" w:ascii="宋体" w:hAnsi="宋体"/>
          <w:sz w:val="20"/>
        </w:rPr>
        <w:t>标准排污口在线监测仪器运行正常情况下，如果任何一种出水水质指标的在线监测日检测平均值超过出水质量标准，则当日出水水质应视为超标。</w:t>
      </w:r>
      <w:r>
        <w:rPr>
          <w:rFonts w:hint="eastAsia" w:ascii="宋体" w:hAnsi="宋体"/>
          <w:b/>
          <w:bCs/>
          <w:sz w:val="20"/>
        </w:rPr>
        <w:t>环保主管部门检测超标的，不论标准排污口在线监测日均值是否超标，当日该出水水质均视为超标。</w:t>
      </w:r>
      <w:r>
        <w:rPr>
          <w:rFonts w:hint="eastAsia" w:ascii="宋体" w:hAnsi="宋体"/>
          <w:sz w:val="20"/>
        </w:rPr>
        <w:t>乙方须在运营记录中对出水水质超标日数及原因按月度和年份进行统计并及时上报甲方。</w:t>
      </w:r>
    </w:p>
    <w:p>
      <w:pPr>
        <w:pStyle w:val="239"/>
        <w:spacing w:before="97" w:beforeLines="25" w:after="97" w:afterLines="25"/>
        <w:ind w:firstLine="488" w:firstLineChars="237"/>
        <w:rPr>
          <w:rFonts w:ascii="宋体" w:hAnsi="宋体"/>
          <w:sz w:val="20"/>
        </w:rPr>
      </w:pPr>
      <w:r>
        <w:rPr>
          <w:rFonts w:hint="eastAsia" w:ascii="宋体" w:hAnsi="宋体"/>
          <w:sz w:val="20"/>
        </w:rPr>
        <w:t>5.</w:t>
      </w:r>
      <w:r>
        <w:rPr>
          <w:rFonts w:ascii="宋体" w:hAnsi="宋体"/>
          <w:sz w:val="20"/>
        </w:rPr>
        <w:t>3</w:t>
      </w:r>
      <w:r>
        <w:rPr>
          <w:rFonts w:hint="eastAsia" w:ascii="宋体" w:hAnsi="宋体"/>
          <w:sz w:val="20"/>
        </w:rPr>
        <w:t>.3 水质超标的通知</w:t>
      </w:r>
    </w:p>
    <w:p>
      <w:pPr>
        <w:pStyle w:val="239"/>
        <w:spacing w:before="97" w:beforeLines="25" w:after="97" w:afterLines="25"/>
        <w:ind w:firstLine="488" w:firstLineChars="237"/>
        <w:rPr>
          <w:rFonts w:ascii="宋体" w:hAnsi="宋体"/>
          <w:sz w:val="20"/>
        </w:rPr>
      </w:pPr>
      <w:r>
        <w:rPr>
          <w:rFonts w:hint="eastAsia" w:ascii="宋体" w:hAnsi="宋体"/>
          <w:sz w:val="20"/>
        </w:rPr>
        <w:t>在任何时候出现下列情形之一的，乙方应立即书面通知环保主管部门、甲方或其指定机构：</w:t>
      </w:r>
    </w:p>
    <w:p>
      <w:pPr>
        <w:pStyle w:val="239"/>
        <w:spacing w:before="97" w:beforeLines="25" w:after="97" w:afterLines="25"/>
        <w:ind w:firstLine="488" w:firstLineChars="237"/>
        <w:rPr>
          <w:rFonts w:ascii="宋体" w:hAnsi="宋体"/>
          <w:sz w:val="20"/>
        </w:rPr>
      </w:pPr>
      <w:r>
        <w:rPr>
          <w:rFonts w:hint="eastAsia" w:ascii="宋体" w:hAnsi="宋体"/>
          <w:sz w:val="20"/>
        </w:rPr>
        <w:t>a) 出水检测点的任何一种出水水质指标超标；</w:t>
      </w:r>
    </w:p>
    <w:p>
      <w:pPr>
        <w:pStyle w:val="239"/>
        <w:spacing w:before="97" w:beforeLines="25" w:after="97" w:afterLines="25"/>
        <w:ind w:firstLine="488" w:firstLineChars="237"/>
        <w:rPr>
          <w:rFonts w:ascii="宋体" w:hAnsi="宋体"/>
          <w:sz w:val="20"/>
        </w:rPr>
      </w:pPr>
      <w:r>
        <w:rPr>
          <w:rFonts w:hint="eastAsia" w:ascii="宋体" w:hAnsi="宋体"/>
          <w:sz w:val="20"/>
        </w:rPr>
        <w:t>b) 进水检测点的任何一种进水水质指标超标。</w:t>
      </w:r>
    </w:p>
    <w:p>
      <w:pPr>
        <w:pStyle w:val="239"/>
        <w:spacing w:before="97" w:beforeLines="25" w:after="97" w:afterLines="25"/>
        <w:ind w:firstLine="488" w:firstLineChars="237"/>
        <w:rPr>
          <w:rFonts w:ascii="宋体" w:hAnsi="宋体"/>
          <w:sz w:val="20"/>
        </w:rPr>
      </w:pPr>
      <w:r>
        <w:rPr>
          <w:rFonts w:hint="eastAsia" w:ascii="宋体" w:hAnsi="宋体"/>
          <w:sz w:val="20"/>
        </w:rPr>
        <w:t>此等通知应包括所有有关测试结果以及就此等不符合情况所做的其它有关调查结果的详情。通知还应包括乙方对不符合情况可能持续的期限所作的最佳预测，以及引起此等状况的原因，包括乙方声称的任何有关不可抗力或甲方违约事件的详情和所采取的补救措施的详细描述。</w:t>
      </w:r>
    </w:p>
    <w:p>
      <w:pPr>
        <w:pStyle w:val="239"/>
        <w:keepNext/>
        <w:keepLines/>
        <w:spacing w:before="120" w:after="120"/>
        <w:ind w:firstLine="500"/>
        <w:outlineLvl w:val="4"/>
        <w:rPr>
          <w:rFonts w:ascii="宋体" w:hAnsi="宋体"/>
          <w:b/>
          <w:szCs w:val="20"/>
        </w:rPr>
      </w:pPr>
      <w:r>
        <w:rPr>
          <w:rFonts w:hint="eastAsia" w:ascii="宋体" w:hAnsi="宋体"/>
          <w:b/>
          <w:szCs w:val="20"/>
        </w:rPr>
        <w:t>5.</w:t>
      </w:r>
      <w:r>
        <w:rPr>
          <w:rFonts w:ascii="宋体" w:hAnsi="宋体"/>
          <w:b/>
          <w:szCs w:val="20"/>
        </w:rPr>
        <w:t>4</w:t>
      </w:r>
      <w:r>
        <w:rPr>
          <w:rFonts w:hint="eastAsia" w:ascii="宋体" w:hAnsi="宋体"/>
          <w:b/>
          <w:szCs w:val="20"/>
        </w:rPr>
        <w:t xml:space="preserve">  进水不符合进水质量的后果</w:t>
      </w:r>
    </w:p>
    <w:p>
      <w:pPr>
        <w:pStyle w:val="239"/>
        <w:spacing w:before="97" w:beforeLines="25" w:after="97" w:afterLines="25"/>
        <w:ind w:firstLine="488" w:firstLineChars="237"/>
        <w:rPr>
          <w:rFonts w:ascii="宋体" w:hAnsi="宋体"/>
          <w:sz w:val="20"/>
        </w:rPr>
      </w:pPr>
      <w:r>
        <w:rPr>
          <w:rFonts w:hint="eastAsia" w:ascii="宋体" w:hAnsi="宋体"/>
          <w:sz w:val="20"/>
        </w:rPr>
        <w:t>5.</w:t>
      </w:r>
      <w:r>
        <w:rPr>
          <w:rFonts w:ascii="宋体" w:hAnsi="宋体"/>
          <w:sz w:val="20"/>
        </w:rPr>
        <w:t>4</w:t>
      </w:r>
      <w:r>
        <w:rPr>
          <w:rFonts w:hint="eastAsia" w:ascii="宋体" w:hAnsi="宋体"/>
          <w:sz w:val="20"/>
        </w:rPr>
        <w:t>.1  改变处理工艺或设备</w:t>
      </w:r>
    </w:p>
    <w:p>
      <w:pPr>
        <w:pStyle w:val="239"/>
        <w:spacing w:before="97" w:beforeLines="25" w:after="97" w:afterLines="25"/>
        <w:ind w:firstLine="488" w:firstLineChars="237"/>
        <w:rPr>
          <w:rFonts w:ascii="宋体" w:hAnsi="宋体"/>
          <w:sz w:val="20"/>
        </w:rPr>
      </w:pPr>
      <w:r>
        <w:rPr>
          <w:rFonts w:hint="eastAsia" w:ascii="宋体" w:hAnsi="宋体"/>
          <w:sz w:val="20"/>
        </w:rPr>
        <w:t>如果由于进水不符合水质控制范围，致使乙方仅能通过以其它方式改变当时在污水处理厂采用的处理工艺，或在运营污水处理厂设施中需增加使用的设备，或污水处理过程中需通过增加化学药剂，来履行第5.1条规定应达到的出水水质标准的义务，则以第5.5.2条为前提，乙方应立即实施为使其能够履行该等义务所需的更新改造方案。</w:t>
      </w:r>
    </w:p>
    <w:p>
      <w:pPr>
        <w:pStyle w:val="239"/>
        <w:spacing w:before="97" w:beforeLines="25" w:after="97" w:afterLines="25"/>
        <w:ind w:firstLine="488" w:firstLineChars="237"/>
        <w:rPr>
          <w:rFonts w:ascii="宋体" w:hAnsi="宋体"/>
          <w:sz w:val="20"/>
        </w:rPr>
      </w:pPr>
      <w:r>
        <w:rPr>
          <w:rFonts w:hint="eastAsia" w:ascii="宋体" w:hAnsi="宋体"/>
          <w:sz w:val="20"/>
        </w:rPr>
        <w:t>5.</w:t>
      </w:r>
      <w:r>
        <w:rPr>
          <w:rFonts w:ascii="宋体" w:hAnsi="宋体"/>
          <w:sz w:val="20"/>
        </w:rPr>
        <w:t>4</w:t>
      </w:r>
      <w:r>
        <w:rPr>
          <w:rFonts w:hint="eastAsia" w:ascii="宋体" w:hAnsi="宋体"/>
          <w:sz w:val="20"/>
        </w:rPr>
        <w:t>.2  批准增加费用</w:t>
      </w:r>
    </w:p>
    <w:p>
      <w:pPr>
        <w:pStyle w:val="239"/>
        <w:spacing w:before="97" w:beforeLines="25" w:after="97" w:afterLines="25"/>
        <w:ind w:firstLine="488" w:firstLineChars="237"/>
        <w:rPr>
          <w:rFonts w:ascii="宋体" w:hAnsi="宋体"/>
          <w:sz w:val="20"/>
        </w:rPr>
      </w:pPr>
      <w:r>
        <w:rPr>
          <w:rFonts w:hint="eastAsia" w:ascii="宋体" w:hAnsi="宋体"/>
          <w:sz w:val="20"/>
        </w:rPr>
        <w:t>如果乙方实施根据第5.5.1条建议的更新改造方案会引致项目设施投资支出或运营成本费用的增加，则乙方应及时向甲方发出书面通知，详述其认为必要的更新改造及支出或成本的增加情况。</w:t>
      </w:r>
    </w:p>
    <w:p>
      <w:pPr>
        <w:pStyle w:val="239"/>
        <w:spacing w:before="97" w:beforeLines="25" w:after="97" w:afterLines="25"/>
        <w:ind w:firstLine="488" w:firstLineChars="237"/>
        <w:rPr>
          <w:rFonts w:ascii="宋体" w:hAnsi="宋体"/>
          <w:sz w:val="20"/>
        </w:rPr>
      </w:pPr>
      <w:r>
        <w:rPr>
          <w:rFonts w:hint="eastAsia" w:ascii="宋体" w:hAnsi="宋体"/>
          <w:sz w:val="20"/>
        </w:rPr>
        <w:t>在未获得甲方事先书面同意之前，乙方不得实施更新改造方案，就上述建议所需进行更新改造的性质、范围或必要性所产生的任何争议应根据第</w:t>
      </w:r>
      <w:r>
        <w:fldChar w:fldCharType="begin"/>
      </w:r>
      <w:r>
        <w:instrText xml:space="preserve"> HYPERLINK \l "_17.1_一般补偿" </w:instrText>
      </w:r>
      <w:r>
        <w:fldChar w:fldCharType="separate"/>
      </w:r>
      <w:r>
        <w:rPr>
          <w:rFonts w:hint="eastAsia" w:ascii="宋体" w:hAnsi="宋体"/>
          <w:sz w:val="20"/>
          <w:szCs w:val="20"/>
        </w:rPr>
        <w:t>1</w:t>
      </w:r>
      <w:r>
        <w:rPr>
          <w:rFonts w:ascii="宋体" w:hAnsi="宋体"/>
          <w:sz w:val="20"/>
          <w:szCs w:val="20"/>
        </w:rPr>
        <w:t>7</w:t>
      </w:r>
      <w:r>
        <w:rPr>
          <w:rFonts w:hint="eastAsia" w:ascii="宋体" w:hAnsi="宋体"/>
          <w:sz w:val="20"/>
          <w:szCs w:val="20"/>
        </w:rPr>
        <w:t>.1</w:t>
      </w:r>
      <w:r>
        <w:rPr>
          <w:rFonts w:hint="eastAsia" w:ascii="宋体" w:hAnsi="宋体"/>
          <w:sz w:val="20"/>
          <w:szCs w:val="20"/>
        </w:rPr>
        <w:fldChar w:fldCharType="end"/>
      </w:r>
      <w:r>
        <w:rPr>
          <w:rFonts w:hint="eastAsia" w:ascii="宋体" w:hAnsi="宋体"/>
          <w:sz w:val="20"/>
        </w:rPr>
        <w:t>条首先提交运营协调小组协商。</w:t>
      </w:r>
    </w:p>
    <w:p>
      <w:pPr>
        <w:pStyle w:val="239"/>
        <w:spacing w:before="97" w:beforeLines="25" w:after="97" w:afterLines="25"/>
        <w:ind w:firstLine="488" w:firstLineChars="237"/>
        <w:rPr>
          <w:rFonts w:ascii="宋体" w:hAnsi="宋体"/>
          <w:sz w:val="20"/>
        </w:rPr>
      </w:pPr>
      <w:r>
        <w:rPr>
          <w:rFonts w:ascii="宋体" w:hAnsi="宋体"/>
          <w:sz w:val="20"/>
        </w:rPr>
        <w:t xml:space="preserve">5.4.3  </w:t>
      </w:r>
      <w:r>
        <w:rPr>
          <w:rFonts w:hint="eastAsia" w:ascii="宋体" w:hAnsi="宋体"/>
          <w:sz w:val="20"/>
        </w:rPr>
        <w:t>因进水质量不合格而导致的出水水质超标处理</w:t>
      </w:r>
    </w:p>
    <w:p>
      <w:pPr>
        <w:pStyle w:val="239"/>
        <w:spacing w:before="97" w:beforeLines="25" w:after="97" w:afterLines="25"/>
        <w:ind w:firstLine="488" w:firstLineChars="237"/>
        <w:rPr>
          <w:rFonts w:ascii="宋体" w:hAnsi="宋体"/>
          <w:sz w:val="20"/>
        </w:rPr>
      </w:pPr>
      <w:r>
        <w:rPr>
          <w:rFonts w:hint="eastAsia" w:ascii="宋体" w:hAnsi="宋体"/>
          <w:sz w:val="20"/>
        </w:rPr>
        <w:t>因进水质量不合格而导致的出水水质超标，乙方须提供充分的证据并经甲方书面确认后，甲方将</w:t>
      </w:r>
      <w:r>
        <w:rPr>
          <w:rFonts w:hint="eastAsia" w:ascii="宋体" w:hAnsi="宋体"/>
          <w:color w:val="000000" w:themeColor="text1"/>
          <w:sz w:val="20"/>
          <w:highlight w:val="none"/>
          <w14:textFill>
            <w14:solidFill>
              <w14:schemeClr w14:val="tx1"/>
            </w14:solidFill>
          </w14:textFill>
        </w:rPr>
        <w:t>按</w:t>
      </w:r>
      <w:r>
        <w:rPr>
          <w:rFonts w:hint="eastAsia" w:ascii="宋体" w:hAnsi="宋体"/>
          <w:color w:val="000000" w:themeColor="text1"/>
          <w:sz w:val="20"/>
          <w:highlight w:val="none"/>
          <w:lang w:eastAsia="zh-CN"/>
          <w14:textFill>
            <w14:solidFill>
              <w14:schemeClr w14:val="tx1"/>
            </w14:solidFill>
          </w14:textFill>
        </w:rPr>
        <w:t>附录</w:t>
      </w:r>
      <w:r>
        <w:rPr>
          <w:rFonts w:hint="eastAsia" w:ascii="宋体" w:hAnsi="宋体"/>
          <w:sz w:val="20"/>
        </w:rPr>
        <w:t>约定对乙方进行相应的处理。</w:t>
      </w:r>
    </w:p>
    <w:p>
      <w:pPr>
        <w:pStyle w:val="239"/>
        <w:spacing w:before="97" w:beforeLines="25" w:after="97" w:afterLines="25"/>
        <w:ind w:firstLine="488" w:firstLineChars="237"/>
        <w:rPr>
          <w:rFonts w:ascii="宋体" w:hAnsi="宋体"/>
          <w:sz w:val="20"/>
        </w:rPr>
      </w:pPr>
      <w:r>
        <w:rPr>
          <w:rFonts w:hint="eastAsia" w:ascii="宋体" w:hAnsi="宋体"/>
          <w:sz w:val="20"/>
        </w:rPr>
        <w:t>5.</w:t>
      </w:r>
      <w:r>
        <w:rPr>
          <w:rFonts w:ascii="宋体" w:hAnsi="宋体"/>
          <w:sz w:val="20"/>
        </w:rPr>
        <w:t>4</w:t>
      </w:r>
      <w:r>
        <w:rPr>
          <w:rFonts w:hint="eastAsia" w:ascii="宋体" w:hAnsi="宋体"/>
          <w:sz w:val="20"/>
        </w:rPr>
        <w:t>.4 进水严重超标导致停运时运营费用的支付</w:t>
      </w:r>
    </w:p>
    <w:p>
      <w:pPr>
        <w:pStyle w:val="239"/>
        <w:spacing w:before="97" w:beforeLines="25" w:after="97" w:afterLines="25"/>
        <w:ind w:firstLine="488" w:firstLineChars="237"/>
        <w:rPr>
          <w:rFonts w:ascii="仿宋_GB2312" w:hAnsi="仿宋_GB2312" w:eastAsia="仿宋_GB2312"/>
          <w:bCs/>
          <w:i/>
          <w:sz w:val="24"/>
          <w:u w:val="single"/>
        </w:rPr>
      </w:pPr>
      <w:r>
        <w:rPr>
          <w:rFonts w:hint="eastAsia" w:ascii="宋体" w:hAnsi="宋体"/>
          <w:sz w:val="20"/>
          <w:u w:val="single"/>
        </w:rPr>
        <w:t>当进水严重超标（指进水中除</w:t>
      </w:r>
      <w:r>
        <w:rPr>
          <w:rFonts w:ascii="宋体" w:hAnsi="宋体"/>
          <w:sz w:val="20"/>
          <w:u w:val="single"/>
        </w:rPr>
        <w:t>PH</w:t>
      </w:r>
      <w:r>
        <w:rPr>
          <w:rFonts w:hint="eastAsia" w:ascii="宋体" w:hAnsi="宋体"/>
          <w:sz w:val="20"/>
          <w:u w:val="single"/>
        </w:rPr>
        <w:t>以外的任何一种进水主要水质指标超过本协议第</w:t>
      </w:r>
      <w:r>
        <w:rPr>
          <w:rFonts w:ascii="宋体" w:hAnsi="宋体"/>
          <w:sz w:val="20"/>
          <w:u w:val="single"/>
        </w:rPr>
        <w:t>5.1.1条款规定的进水水质标准+</w:t>
      </w:r>
      <w:r>
        <w:rPr>
          <w:rFonts w:hint="eastAsia" w:ascii="宋体" w:hAnsi="宋体"/>
          <w:sz w:val="20"/>
          <w:u w:val="single"/>
        </w:rPr>
        <w:t>10</w:t>
      </w:r>
      <w:r>
        <w:rPr>
          <w:rFonts w:ascii="宋体" w:hAnsi="宋体"/>
          <w:sz w:val="20"/>
          <w:u w:val="single"/>
        </w:rPr>
        <w:t>%以上</w:t>
      </w:r>
      <w:r>
        <w:rPr>
          <w:rFonts w:hint="eastAsia" w:ascii="宋体" w:hAnsi="宋体"/>
          <w:sz w:val="20"/>
          <w:u w:val="single"/>
        </w:rPr>
        <w:t>，</w:t>
      </w:r>
      <w:r>
        <w:rPr>
          <w:rFonts w:ascii="宋体" w:hAnsi="宋体"/>
          <w:sz w:val="20"/>
          <w:u w:val="single"/>
        </w:rPr>
        <w:t>或者PH＜</w:t>
      </w:r>
      <w:r>
        <w:rPr>
          <w:rFonts w:hint="eastAsia" w:ascii="宋体" w:hAnsi="宋体"/>
          <w:sz w:val="20"/>
          <w:u w:val="single"/>
        </w:rPr>
        <w:t>6</w:t>
      </w:r>
      <w:r>
        <w:rPr>
          <w:rFonts w:ascii="宋体" w:hAnsi="宋体"/>
          <w:sz w:val="20"/>
          <w:u w:val="single"/>
        </w:rPr>
        <w:t>或PH＞</w:t>
      </w:r>
      <w:r>
        <w:rPr>
          <w:rFonts w:hint="eastAsia" w:ascii="宋体" w:hAnsi="宋体"/>
          <w:sz w:val="20"/>
          <w:u w:val="single"/>
        </w:rPr>
        <w:t>9等情况时），且可能危及污水处理厂项目设施安全运行时，乙方在履行通知义务后应尽可能采取应急措施确保污水处理达标排放。若可能造成污水处理厂停止运行的，必须书面通知甲方并征得环保主管部门批准后方可停止运行，在此停止运行处理期间，甲方应按全停产情况计付补偿费用。</w:t>
      </w:r>
    </w:p>
    <w:p>
      <w:pPr>
        <w:pStyle w:val="239"/>
        <w:keepNext/>
        <w:keepLines/>
        <w:spacing w:before="120" w:after="120"/>
        <w:ind w:firstLine="500"/>
        <w:outlineLvl w:val="4"/>
        <w:rPr>
          <w:rFonts w:ascii="宋体" w:hAnsi="宋体"/>
          <w:b/>
          <w:szCs w:val="20"/>
        </w:rPr>
      </w:pPr>
      <w:r>
        <w:rPr>
          <w:rFonts w:hint="eastAsia" w:ascii="宋体" w:hAnsi="宋体"/>
          <w:b/>
          <w:szCs w:val="20"/>
        </w:rPr>
        <w:t>5.</w:t>
      </w:r>
      <w:r>
        <w:rPr>
          <w:rFonts w:ascii="宋体" w:hAnsi="宋体"/>
          <w:b/>
          <w:szCs w:val="20"/>
        </w:rPr>
        <w:t>5</w:t>
      </w:r>
      <w:r>
        <w:rPr>
          <w:rFonts w:hint="eastAsia" w:ascii="宋体" w:hAnsi="宋体"/>
          <w:b/>
          <w:szCs w:val="20"/>
        </w:rPr>
        <w:t xml:space="preserve">  无法达标排放情形的界定</w:t>
      </w:r>
    </w:p>
    <w:p>
      <w:pPr>
        <w:pStyle w:val="239"/>
        <w:spacing w:before="97" w:beforeLines="25" w:after="97" w:afterLines="25"/>
        <w:ind w:firstLine="488" w:firstLineChars="237"/>
        <w:rPr>
          <w:rFonts w:ascii="宋体" w:hAnsi="宋体"/>
          <w:sz w:val="20"/>
        </w:rPr>
      </w:pPr>
      <w:r>
        <w:rPr>
          <w:rFonts w:hint="eastAsia" w:ascii="宋体" w:hAnsi="宋体"/>
          <w:sz w:val="20"/>
        </w:rPr>
        <w:t>如果由于不可控或不可预见的因素导致排入的进水严重超出进水水质标准控制范围（</w:t>
      </w:r>
      <w:r>
        <w:rPr>
          <w:rFonts w:hint="eastAsia" w:ascii="宋体" w:hAnsi="宋体"/>
          <w:sz w:val="20"/>
          <w:u w:val="single"/>
        </w:rPr>
        <w:t>指进水中除PH以外的任何一种进水主要水质指标超过本协议第5.1.1条款规定的进水水质标准+10%以上，</w:t>
      </w:r>
      <w:r>
        <w:rPr>
          <w:rFonts w:ascii="宋体" w:hAnsi="宋体"/>
          <w:sz w:val="20"/>
          <w:u w:val="single"/>
        </w:rPr>
        <w:t>或者PH＜</w:t>
      </w:r>
      <w:r>
        <w:rPr>
          <w:rFonts w:hint="eastAsia" w:ascii="宋体" w:hAnsi="宋体"/>
          <w:sz w:val="20"/>
          <w:u w:val="single"/>
        </w:rPr>
        <w:t>6</w:t>
      </w:r>
      <w:r>
        <w:rPr>
          <w:rFonts w:ascii="宋体" w:hAnsi="宋体"/>
          <w:sz w:val="20"/>
          <w:u w:val="single"/>
        </w:rPr>
        <w:t>或PH＞</w:t>
      </w:r>
      <w:r>
        <w:rPr>
          <w:rFonts w:hint="eastAsia" w:ascii="宋体" w:hAnsi="宋体"/>
          <w:sz w:val="20"/>
          <w:u w:val="single"/>
        </w:rPr>
        <w:t>9等情况时</w:t>
      </w:r>
      <w:r>
        <w:rPr>
          <w:rFonts w:hint="eastAsia" w:ascii="宋体" w:hAnsi="宋体"/>
          <w:sz w:val="20"/>
        </w:rPr>
        <w:t>），致使乙方确经尽责努力仍无法履行其在第</w:t>
      </w:r>
      <w:r>
        <w:fldChar w:fldCharType="begin"/>
      </w:r>
      <w:r>
        <w:instrText xml:space="preserve"> HYPERLINK \l "_5.1__污水处理厂进出水质量及污泥排放标准" </w:instrText>
      </w:r>
      <w:r>
        <w:fldChar w:fldCharType="separate"/>
      </w:r>
      <w:r>
        <w:rPr>
          <w:rFonts w:hint="eastAsia" w:ascii="宋体" w:hAnsi="宋体"/>
          <w:sz w:val="20"/>
          <w:szCs w:val="20"/>
        </w:rPr>
        <w:t>5.1</w:t>
      </w:r>
      <w:r>
        <w:rPr>
          <w:rFonts w:hint="eastAsia" w:ascii="宋体" w:hAnsi="宋体"/>
          <w:sz w:val="20"/>
          <w:szCs w:val="20"/>
        </w:rPr>
        <w:fldChar w:fldCharType="end"/>
      </w:r>
      <w:r>
        <w:rPr>
          <w:rFonts w:hint="eastAsia" w:ascii="宋体" w:hAnsi="宋体"/>
          <w:sz w:val="20"/>
        </w:rPr>
        <w:t>条项下某一种或多种污染物达标排放义务的，或者如果环保主管部门及甲方未批准乙方就改变污水处理方式所做出的建议（即使该建议是乙方履行其达标排放义务所必需的）的，则以上情况在本协议中应被视作某一种或多种污染物无法达标排放情形。</w:t>
      </w:r>
    </w:p>
    <w:p>
      <w:pPr>
        <w:pStyle w:val="239"/>
        <w:widowControl w:val="0"/>
        <w:spacing w:before="194" w:beforeLines="50"/>
        <w:jc w:val="center"/>
        <w:rPr>
          <w:rFonts w:ascii="新宋体" w:hAnsi="新宋体" w:eastAsia="新宋体" w:cs="新宋体"/>
          <w:bCs/>
          <w:kern w:val="2"/>
          <w:sz w:val="28"/>
          <w:szCs w:val="28"/>
        </w:rPr>
      </w:pPr>
      <w:r>
        <w:rPr>
          <w:rFonts w:hint="eastAsia" w:ascii="新宋体" w:hAnsi="新宋体" w:eastAsia="新宋体" w:cs="新宋体"/>
          <w:b/>
          <w:kern w:val="2"/>
          <w:sz w:val="28"/>
          <w:szCs w:val="28"/>
        </w:rPr>
        <w:t>第六节  项目设施的运营和维护</w:t>
      </w:r>
    </w:p>
    <w:p>
      <w:pPr>
        <w:pStyle w:val="239"/>
        <w:keepNext/>
        <w:keepLines/>
        <w:spacing w:before="120" w:after="120"/>
        <w:ind w:firstLine="500"/>
        <w:outlineLvl w:val="4"/>
        <w:rPr>
          <w:rFonts w:ascii="宋体" w:hAnsi="宋体"/>
          <w:b/>
          <w:szCs w:val="20"/>
        </w:rPr>
      </w:pPr>
      <w:r>
        <w:rPr>
          <w:rFonts w:ascii="宋体" w:hAnsi="宋体"/>
          <w:b/>
          <w:szCs w:val="20"/>
        </w:rPr>
        <w:t>6</w:t>
      </w:r>
      <w:r>
        <w:rPr>
          <w:rFonts w:hint="eastAsia" w:ascii="宋体" w:hAnsi="宋体"/>
          <w:b/>
          <w:szCs w:val="20"/>
        </w:rPr>
        <w:t>.1 乙方的基本义务</w:t>
      </w:r>
    </w:p>
    <w:p>
      <w:pPr>
        <w:pStyle w:val="239"/>
        <w:spacing w:before="97" w:beforeLines="25" w:after="97" w:afterLines="25"/>
        <w:ind w:firstLine="488" w:firstLineChars="237"/>
        <w:rPr>
          <w:rFonts w:ascii="宋体" w:hAnsi="宋体"/>
          <w:sz w:val="20"/>
        </w:rPr>
      </w:pPr>
      <w:r>
        <w:rPr>
          <w:rFonts w:hint="eastAsia" w:ascii="宋体" w:hAnsi="宋体"/>
          <w:sz w:val="20"/>
        </w:rPr>
        <w:t>在运营期内：</w:t>
      </w:r>
    </w:p>
    <w:p>
      <w:pPr>
        <w:pStyle w:val="239"/>
        <w:spacing w:before="97" w:beforeLines="25" w:after="97" w:afterLines="25"/>
        <w:ind w:firstLine="488" w:firstLineChars="237"/>
        <w:rPr>
          <w:rFonts w:ascii="宋体" w:hAnsi="宋体"/>
          <w:sz w:val="20"/>
        </w:rPr>
      </w:pPr>
      <w:r>
        <w:rPr>
          <w:rFonts w:hint="eastAsia" w:ascii="宋体" w:hAnsi="宋体"/>
          <w:sz w:val="20"/>
        </w:rPr>
        <w:t>（a）乙方应依据本协议的规定和始终根据适用法律、谨慎运营惯例和国家规定的质量保证和质量控制要求，自行承担费用和风险，管理、运营和维护项目设施，履行运营职责。</w:t>
      </w:r>
    </w:p>
    <w:p>
      <w:pPr>
        <w:pStyle w:val="239"/>
        <w:spacing w:before="97" w:beforeLines="25" w:after="97" w:afterLines="25"/>
        <w:ind w:firstLine="488" w:firstLineChars="237"/>
        <w:rPr>
          <w:rFonts w:ascii="宋体" w:hAnsi="宋体"/>
          <w:sz w:val="20"/>
        </w:rPr>
      </w:pPr>
      <w:r>
        <w:rPr>
          <w:rFonts w:hint="eastAsia" w:ascii="宋体" w:hAnsi="宋体"/>
          <w:sz w:val="20"/>
        </w:rPr>
        <w:t>（b）以第7.2条为前提，乙方应在每个运营日持续确保处理经集污管网等污水收集系统送入的污水进水并排放符合出水水质标准的出水，但本协议另有约定的情形除外。</w:t>
      </w:r>
    </w:p>
    <w:p>
      <w:pPr>
        <w:pStyle w:val="239"/>
        <w:spacing w:before="97" w:beforeLines="25" w:after="97" w:afterLines="25"/>
        <w:ind w:firstLine="488" w:firstLineChars="237"/>
        <w:rPr>
          <w:rFonts w:ascii="宋体" w:hAnsi="宋体"/>
          <w:sz w:val="20"/>
        </w:rPr>
      </w:pPr>
      <w:r>
        <w:rPr>
          <w:rFonts w:hint="eastAsia" w:ascii="宋体" w:hAnsi="宋体"/>
          <w:sz w:val="20"/>
        </w:rPr>
        <w:t>（c）乙方应将污水处理厂的全部处理能力完全提供给甲方，并且未经甲方事先同意不得为任何第三方处理污水。</w:t>
      </w:r>
    </w:p>
    <w:p>
      <w:pPr>
        <w:pStyle w:val="239"/>
        <w:keepNext/>
        <w:keepLines/>
        <w:spacing w:before="120" w:after="120"/>
        <w:ind w:firstLine="500"/>
        <w:outlineLvl w:val="4"/>
        <w:rPr>
          <w:rFonts w:ascii="宋体" w:hAnsi="宋体"/>
          <w:b/>
          <w:szCs w:val="20"/>
        </w:rPr>
      </w:pPr>
      <w:r>
        <w:rPr>
          <w:rFonts w:ascii="宋体" w:hAnsi="宋体"/>
          <w:b/>
          <w:szCs w:val="20"/>
        </w:rPr>
        <w:t>6</w:t>
      </w:r>
      <w:r>
        <w:rPr>
          <w:rFonts w:hint="eastAsia" w:ascii="宋体" w:hAnsi="宋体"/>
          <w:b/>
          <w:szCs w:val="20"/>
        </w:rPr>
        <w:t>.2 甲方的基本义务</w:t>
      </w:r>
    </w:p>
    <w:p>
      <w:pPr>
        <w:pStyle w:val="239"/>
        <w:spacing w:before="97" w:beforeLines="25" w:after="97" w:afterLines="25"/>
        <w:ind w:firstLine="488" w:firstLineChars="237"/>
        <w:rPr>
          <w:rFonts w:ascii="宋体" w:hAnsi="宋体"/>
          <w:sz w:val="20"/>
        </w:rPr>
      </w:pPr>
      <w:r>
        <w:rPr>
          <w:rFonts w:hint="eastAsia" w:ascii="宋体" w:hAnsi="宋体"/>
          <w:sz w:val="20"/>
        </w:rPr>
        <w:t>在运营期内：</w:t>
      </w:r>
    </w:p>
    <w:p>
      <w:pPr>
        <w:pStyle w:val="239"/>
        <w:spacing w:before="97" w:beforeLines="25" w:after="97" w:afterLines="25"/>
        <w:ind w:firstLine="488" w:firstLineChars="237"/>
        <w:rPr>
          <w:rFonts w:ascii="宋体" w:hAnsi="宋体"/>
          <w:sz w:val="20"/>
        </w:rPr>
      </w:pPr>
      <w:r>
        <w:rPr>
          <w:rFonts w:hint="eastAsia" w:ascii="宋体" w:hAnsi="宋体"/>
          <w:sz w:val="20"/>
        </w:rPr>
        <w:t>（a）甲方应负责协调与本项目相关的厂区外配套设施的维护。</w:t>
      </w:r>
    </w:p>
    <w:p>
      <w:pPr>
        <w:pStyle w:val="239"/>
        <w:spacing w:before="97" w:beforeLines="25" w:after="97" w:afterLines="25"/>
        <w:ind w:firstLine="488" w:firstLineChars="237"/>
        <w:rPr>
          <w:rFonts w:ascii="宋体" w:hAnsi="宋体"/>
          <w:sz w:val="20"/>
        </w:rPr>
      </w:pPr>
      <w:r>
        <w:rPr>
          <w:rFonts w:hint="eastAsia" w:ascii="宋体" w:hAnsi="宋体"/>
          <w:sz w:val="20"/>
        </w:rPr>
        <w:t>（b）受限于甲方其它部门的相关批准程序，在运营期内的任何月份，甲方应根据本运营服务协议中确定的原则向乙方支付相应的运营服务费。</w:t>
      </w:r>
    </w:p>
    <w:p>
      <w:pPr>
        <w:pStyle w:val="239"/>
        <w:spacing w:before="97" w:beforeLines="25" w:after="97" w:afterLines="25"/>
        <w:ind w:firstLine="488" w:firstLineChars="237"/>
        <w:rPr>
          <w:rFonts w:ascii="宋体" w:hAnsi="宋体"/>
          <w:b/>
          <w:sz w:val="20"/>
        </w:rPr>
      </w:pPr>
      <w:r>
        <w:rPr>
          <w:rFonts w:ascii="宋体" w:hAnsi="宋体"/>
          <w:b/>
          <w:sz w:val="20"/>
        </w:rPr>
        <w:t>6</w:t>
      </w:r>
      <w:r>
        <w:rPr>
          <w:rFonts w:hint="eastAsia" w:ascii="宋体" w:hAnsi="宋体"/>
          <w:b/>
          <w:sz w:val="20"/>
        </w:rPr>
        <w:t>.3 项目设施运营的范围</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.3.1乙方对从甲方所接收的所有项目设施拥有使用和运营管理权，具体负责项目区域内所接管设备、设施的正常运行和维护保养。</w:t>
      </w:r>
    </w:p>
    <w:p>
      <w:pPr>
        <w:pStyle w:val="239"/>
        <w:spacing w:before="97" w:beforeLines="25" w:after="97" w:afterLines="25"/>
        <w:ind w:firstLine="488" w:firstLineChars="237"/>
        <w:rPr>
          <w:rFonts w:ascii="宋体" w:hAnsi="宋体"/>
          <w:color w:val="000000" w:themeColor="text1"/>
          <w:sz w:val="20"/>
          <w14:textFill>
            <w14:solidFill>
              <w14:schemeClr w14:val="tx1"/>
            </w14:solidFill>
          </w14:textFill>
        </w:rPr>
      </w:pPr>
      <w:r>
        <w:rPr>
          <w:rFonts w:ascii="宋体" w:hAnsi="宋体"/>
          <w:sz w:val="20"/>
        </w:rPr>
        <w:t>6</w:t>
      </w:r>
      <w:r>
        <w:rPr>
          <w:rFonts w:hint="eastAsia" w:ascii="宋体" w:hAnsi="宋体"/>
          <w:sz w:val="20"/>
        </w:rPr>
        <w:t>.3.2 乙方应负责所接收的厂区内构建筑物、道路、绿化、</w:t>
      </w:r>
      <w:r>
        <w:rPr>
          <w:rFonts w:hint="eastAsia" w:ascii="宋体" w:hAnsi="宋体"/>
          <w:color w:val="000000" w:themeColor="text1"/>
          <w:sz w:val="20"/>
          <w14:textFill>
            <w14:solidFill>
              <w14:schemeClr w14:val="tx1"/>
            </w14:solidFill>
          </w14:textFill>
        </w:rPr>
        <w:t xml:space="preserve">厂区及湿地内尾水排放管线的维护。 </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.3.3 运营期间，对污水处理厂产生的污泥外运处置全部交由乙方负责承担，具体安排见</w:t>
      </w:r>
      <w:r>
        <w:fldChar w:fldCharType="begin"/>
      </w:r>
      <w:r>
        <w:instrText xml:space="preserve"> HYPERLINK \l "_7.10 关于污泥处置的特别安排" </w:instrText>
      </w:r>
      <w:r>
        <w:fldChar w:fldCharType="separate"/>
      </w:r>
      <w:r>
        <w:rPr>
          <w:rFonts w:ascii="宋体" w:hAnsi="宋体"/>
          <w:sz w:val="20"/>
        </w:rPr>
        <w:t>6</w:t>
      </w:r>
      <w:r>
        <w:rPr>
          <w:rFonts w:hint="eastAsia" w:ascii="宋体" w:hAnsi="宋体"/>
          <w:sz w:val="20"/>
        </w:rPr>
        <w:t>.10</w:t>
      </w:r>
      <w:r>
        <w:rPr>
          <w:rFonts w:hint="eastAsia" w:ascii="宋体" w:hAnsi="宋体"/>
          <w:sz w:val="20"/>
        </w:rPr>
        <w:fldChar w:fldCharType="end"/>
      </w:r>
      <w:r>
        <w:rPr>
          <w:rFonts w:hint="eastAsia" w:ascii="宋体" w:hAnsi="宋体"/>
          <w:sz w:val="20"/>
        </w:rPr>
        <w:t>条款。</w:t>
      </w:r>
    </w:p>
    <w:p>
      <w:pPr>
        <w:pStyle w:val="239"/>
        <w:spacing w:before="97" w:beforeLines="25" w:after="97" w:afterLines="25"/>
        <w:ind w:firstLine="488" w:firstLineChars="237"/>
        <w:rPr>
          <w:rFonts w:ascii="宋体" w:hAnsi="宋体"/>
          <w:color w:val="000000" w:themeColor="text1"/>
          <w:sz w:val="20"/>
          <w14:textFill>
            <w14:solidFill>
              <w14:schemeClr w14:val="tx1"/>
            </w14:solidFill>
          </w14:textFill>
        </w:rPr>
      </w:pPr>
      <w:r>
        <w:rPr>
          <w:rFonts w:ascii="宋体" w:hAnsi="宋体"/>
          <w:sz w:val="20"/>
        </w:rPr>
        <w:t>6</w:t>
      </w:r>
      <w:r>
        <w:rPr>
          <w:rFonts w:hint="eastAsia" w:ascii="宋体" w:hAnsi="宋体"/>
          <w:sz w:val="20"/>
        </w:rPr>
        <w:t>.3.4 污水处理厂厂区内的树木、植物、草坪、景观等日常维护属于本次运营服务范围，</w:t>
      </w:r>
      <w:r>
        <w:rPr>
          <w:rFonts w:hint="eastAsia" w:ascii="宋体" w:hAnsi="宋体"/>
          <w:color w:val="000000" w:themeColor="text1"/>
          <w:sz w:val="20"/>
          <w14:textFill>
            <w14:solidFill>
              <w14:schemeClr w14:val="tx1"/>
            </w14:solidFill>
          </w14:textFill>
        </w:rPr>
        <w:t xml:space="preserve">维护费由乙方自行承担。 </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.3.5乙方不得擅自改变现有规划。</w:t>
      </w:r>
    </w:p>
    <w:p>
      <w:pPr>
        <w:pStyle w:val="239"/>
        <w:keepNext/>
        <w:keepLines/>
        <w:spacing w:before="120" w:after="120"/>
        <w:ind w:firstLine="500"/>
        <w:outlineLvl w:val="4"/>
        <w:rPr>
          <w:rFonts w:ascii="宋体" w:hAnsi="宋体"/>
          <w:b/>
          <w:szCs w:val="20"/>
        </w:rPr>
      </w:pPr>
      <w:r>
        <w:rPr>
          <w:rFonts w:ascii="宋体" w:hAnsi="宋体"/>
          <w:b/>
          <w:szCs w:val="20"/>
        </w:rPr>
        <w:t>6</w:t>
      </w:r>
      <w:r>
        <w:rPr>
          <w:rFonts w:hint="eastAsia" w:ascii="宋体" w:hAnsi="宋体"/>
          <w:b/>
          <w:szCs w:val="20"/>
        </w:rPr>
        <w:t>.4 运营管理和维护计划</w:t>
      </w:r>
    </w:p>
    <w:p>
      <w:pPr>
        <w:pStyle w:val="239"/>
        <w:spacing w:before="97" w:beforeLines="25" w:after="97" w:afterLines="25"/>
        <w:ind w:firstLine="488" w:firstLineChars="237"/>
        <w:rPr>
          <w:rFonts w:ascii="宋体" w:hAnsi="宋体"/>
          <w:strike/>
          <w:color w:val="FF0000"/>
          <w:sz w:val="20"/>
        </w:rPr>
      </w:pPr>
      <w:r>
        <w:rPr>
          <w:rFonts w:ascii="宋体" w:hAnsi="宋体"/>
          <w:sz w:val="20"/>
        </w:rPr>
        <w:t>6</w:t>
      </w:r>
      <w:r>
        <w:rPr>
          <w:rFonts w:hint="eastAsia" w:ascii="宋体" w:hAnsi="宋体"/>
          <w:sz w:val="20"/>
        </w:rPr>
        <w:t>.4.1 乙方应当按照相关运营管理技术规范并结合自身实际情况对项目设施进行定期的检修保养和必要的更新改造，确保不间断的提供约定的污水处理服务。</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.4.2 乙方应于当年的11月1日前向甲方提交下一年度大修维护计划，并按照该大修维护计划对项目设施进行有计划的维护和更新（设备在质保期内除外）。</w:t>
      </w:r>
    </w:p>
    <w:p>
      <w:pPr>
        <w:pStyle w:val="239"/>
        <w:keepNext/>
        <w:keepLines/>
        <w:spacing w:before="120" w:after="120"/>
        <w:ind w:firstLine="500"/>
        <w:outlineLvl w:val="4"/>
        <w:rPr>
          <w:rFonts w:ascii="宋体" w:hAnsi="宋体"/>
          <w:b/>
          <w:szCs w:val="20"/>
        </w:rPr>
      </w:pPr>
      <w:r>
        <w:rPr>
          <w:rFonts w:ascii="宋体" w:hAnsi="宋体"/>
          <w:b/>
          <w:szCs w:val="20"/>
        </w:rPr>
        <w:t>6</w:t>
      </w:r>
      <w:r>
        <w:rPr>
          <w:rFonts w:hint="eastAsia" w:ascii="宋体" w:hAnsi="宋体"/>
          <w:b/>
          <w:szCs w:val="20"/>
        </w:rPr>
        <w:t>.7  公共安全与应急预案</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.7.1 乙方应根据有关公共卫生和安全的适用法律和批准以及本协议的规定，确保项目设施的安全运营；</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.7.2 乙方应针对各种可能涉及安全、公共卫生和环境安全的突发事件，根据有关安全、公共卫生和环境安全的适用法律和案例，书面提出具有可操作性的紧急处理预案，负责办理相关主管部门备案或审批手续，并提交甲方备案。</w:t>
      </w:r>
    </w:p>
    <w:p>
      <w:pPr>
        <w:pStyle w:val="239"/>
        <w:keepNext/>
        <w:keepLines/>
        <w:spacing w:before="120" w:after="120"/>
        <w:ind w:firstLine="500"/>
        <w:outlineLvl w:val="4"/>
        <w:rPr>
          <w:rFonts w:ascii="仿宋_GB2312" w:hAnsi="仿宋_GB2312" w:eastAsia="仿宋_GB2312"/>
          <w:b/>
          <w:bCs/>
          <w:sz w:val="24"/>
        </w:rPr>
      </w:pPr>
      <w:r>
        <w:rPr>
          <w:rFonts w:ascii="宋体" w:hAnsi="宋体"/>
          <w:b/>
          <w:szCs w:val="20"/>
        </w:rPr>
        <w:t>6</w:t>
      </w:r>
      <w:r>
        <w:rPr>
          <w:rFonts w:hint="eastAsia" w:ascii="宋体" w:hAnsi="宋体"/>
          <w:b/>
          <w:szCs w:val="20"/>
        </w:rPr>
        <w:t>.8  安全运营与记录的保存</w:t>
      </w:r>
    </w:p>
    <w:p>
      <w:pPr>
        <w:pStyle w:val="239"/>
        <w:spacing w:before="97" w:beforeLines="25" w:after="97" w:afterLines="25"/>
        <w:ind w:firstLine="488" w:firstLineChars="237"/>
        <w:rPr>
          <w:rFonts w:ascii="宋体" w:hAnsi="宋体"/>
          <w:sz w:val="20"/>
        </w:rPr>
      </w:pPr>
      <w:r>
        <w:rPr>
          <w:rFonts w:hint="eastAsia" w:ascii="宋体" w:hAnsi="宋体"/>
          <w:sz w:val="20"/>
        </w:rPr>
        <w:t>对于项目设施的运营，乙方必须保证：</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.8.1必须确保连续正常运营，大修或重大技术改造时必须事先取得甲方批准。</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.8.2出水水质必须达到运营服务协议规定的排放标准。出现污染事故时，必须及时报告甲方及其它相关主管部门，并建立水质预警紧急处理预案，按水质污染情况追究相应责任。</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8.3在运营期间，乙方应妥善保存与本项目日常运营维护有关的记录数据、资料、信息等，以确保对项目设施运营状况的可追溯性，并应根据甲方的要求及时准确地提供上述记录数据、资料、信息，供甲方相关部门查阅与核实。</w:t>
      </w:r>
    </w:p>
    <w:p>
      <w:pPr>
        <w:pStyle w:val="239"/>
        <w:keepNext/>
        <w:keepLines/>
        <w:spacing w:before="120" w:after="120"/>
        <w:ind w:firstLine="500"/>
        <w:outlineLvl w:val="4"/>
        <w:rPr>
          <w:rFonts w:ascii="宋体" w:hAnsi="宋体"/>
          <w:b/>
          <w:szCs w:val="20"/>
        </w:rPr>
      </w:pPr>
      <w:r>
        <w:rPr>
          <w:rFonts w:ascii="宋体" w:hAnsi="宋体"/>
          <w:b/>
          <w:szCs w:val="20"/>
        </w:rPr>
        <w:t>6</w:t>
      </w:r>
      <w:r>
        <w:rPr>
          <w:rFonts w:hint="eastAsia" w:ascii="宋体" w:hAnsi="宋体"/>
          <w:b/>
          <w:szCs w:val="20"/>
        </w:rPr>
        <w:t>.9  计量</w:t>
      </w:r>
    </w:p>
    <w:p>
      <w:pPr>
        <w:pStyle w:val="239"/>
        <w:spacing w:before="97" w:beforeLines="25" w:after="97" w:afterLines="25"/>
        <w:ind w:firstLine="488" w:firstLineChars="237"/>
        <w:rPr>
          <w:rFonts w:ascii="宋体" w:hAnsi="宋体"/>
          <w:sz w:val="20"/>
        </w:rPr>
      </w:pPr>
      <w:r>
        <w:rPr>
          <w:rFonts w:hint="eastAsia" w:ascii="宋体" w:hAnsi="宋体"/>
          <w:sz w:val="20"/>
        </w:rPr>
        <w:t>乙方应使用满足本协议第</w:t>
      </w:r>
      <w:r>
        <w:fldChar w:fldCharType="begin"/>
      </w:r>
      <w:r>
        <w:instrText xml:space="preserve"> HYPERLINK "file:///C:\\Users\\szdfdywzm\\Desktop\\深圳排水处运营标\\提交文件夹\\委托运营服务合同1020.doc" \l "_5.2__进水及出水的检测#_5.2__进水及出水的检测" </w:instrText>
      </w:r>
      <w:r>
        <w:fldChar w:fldCharType="separate"/>
      </w:r>
      <w:r>
        <w:rPr>
          <w:rFonts w:ascii="宋体" w:hAnsi="宋体"/>
          <w:sz w:val="20"/>
          <w:szCs w:val="20"/>
        </w:rPr>
        <w:t>8</w:t>
      </w:r>
      <w:r>
        <w:rPr>
          <w:rFonts w:hint="eastAsia" w:ascii="宋体" w:hAnsi="宋体"/>
          <w:sz w:val="20"/>
          <w:szCs w:val="20"/>
        </w:rPr>
        <w:t>.</w:t>
      </w:r>
      <w:r>
        <w:rPr>
          <w:rFonts w:ascii="宋体" w:hAnsi="宋体"/>
          <w:sz w:val="20"/>
          <w:szCs w:val="20"/>
        </w:rPr>
        <w:t>2</w:t>
      </w:r>
      <w:r>
        <w:rPr>
          <w:rFonts w:ascii="宋体" w:hAnsi="宋体"/>
          <w:sz w:val="20"/>
          <w:szCs w:val="20"/>
        </w:rPr>
        <w:fldChar w:fldCharType="end"/>
      </w:r>
      <w:r>
        <w:rPr>
          <w:rFonts w:hint="eastAsia" w:ascii="宋体" w:hAnsi="宋体"/>
          <w:sz w:val="20"/>
        </w:rPr>
        <w:t>条要求的流量表连续测量、计算和记录在进水检测点提取的进水数量。</w:t>
      </w:r>
    </w:p>
    <w:p>
      <w:pPr>
        <w:pStyle w:val="239"/>
        <w:keepNext/>
        <w:keepLines/>
        <w:spacing w:before="120" w:after="120"/>
        <w:ind w:firstLine="500"/>
        <w:outlineLvl w:val="4"/>
        <w:rPr>
          <w:rFonts w:ascii="宋体" w:hAnsi="宋体"/>
          <w:b/>
          <w:szCs w:val="20"/>
        </w:rPr>
      </w:pPr>
      <w:r>
        <w:rPr>
          <w:rFonts w:ascii="宋体" w:hAnsi="宋体"/>
          <w:b/>
          <w:szCs w:val="20"/>
        </w:rPr>
        <w:t>6</w:t>
      </w:r>
      <w:r>
        <w:rPr>
          <w:rFonts w:hint="eastAsia" w:ascii="宋体" w:hAnsi="宋体"/>
          <w:b/>
          <w:szCs w:val="20"/>
        </w:rPr>
        <w:t>.10 污泥处置</w:t>
      </w:r>
    </w:p>
    <w:p>
      <w:pPr>
        <w:pStyle w:val="239"/>
        <w:spacing w:before="97" w:beforeLines="25" w:after="97" w:afterLines="25"/>
        <w:ind w:firstLine="488" w:firstLineChars="237"/>
        <w:rPr>
          <w:rFonts w:ascii="宋体" w:hAnsi="宋体"/>
          <w:sz w:val="20"/>
        </w:rPr>
      </w:pPr>
      <w:r>
        <w:rPr>
          <w:rFonts w:ascii="宋体" w:hAnsi="宋体"/>
          <w:sz w:val="20"/>
        </w:rPr>
        <w:t>6</w:t>
      </w:r>
      <w:r>
        <w:rPr>
          <w:rFonts w:hint="eastAsia" w:ascii="宋体" w:hAnsi="宋体"/>
          <w:sz w:val="20"/>
        </w:rPr>
        <w:t>.10.1运营期，对项目设施所产生的污泥经脱水达标后，由乙方负责与污泥处置单位签订处置协议、支付处置费用并安全合规处置。</w:t>
      </w:r>
    </w:p>
    <w:p>
      <w:pPr>
        <w:pStyle w:val="239"/>
        <w:widowControl w:val="0"/>
        <w:spacing w:before="194" w:beforeLines="50"/>
        <w:jc w:val="center"/>
        <w:rPr>
          <w:rFonts w:ascii="新宋体" w:hAnsi="新宋体" w:eastAsia="新宋体" w:cs="新宋体"/>
          <w:bCs/>
          <w:kern w:val="2"/>
          <w:sz w:val="28"/>
          <w:szCs w:val="28"/>
        </w:rPr>
      </w:pPr>
      <w:r>
        <w:rPr>
          <w:rFonts w:hint="eastAsia" w:ascii="新宋体" w:hAnsi="新宋体" w:eastAsia="新宋体" w:cs="新宋体"/>
          <w:b/>
          <w:kern w:val="2"/>
          <w:sz w:val="28"/>
          <w:szCs w:val="28"/>
        </w:rPr>
        <w:t>第七节  运营期满时项目设施的移交</w:t>
      </w:r>
    </w:p>
    <w:p>
      <w:pPr>
        <w:pStyle w:val="239"/>
        <w:keepNext/>
        <w:keepLines/>
        <w:spacing w:before="120" w:after="120"/>
        <w:ind w:firstLine="500"/>
        <w:outlineLvl w:val="4"/>
        <w:rPr>
          <w:rFonts w:ascii="宋体" w:hAnsi="宋体"/>
          <w:b/>
          <w:szCs w:val="20"/>
        </w:rPr>
      </w:pPr>
      <w:r>
        <w:rPr>
          <w:rFonts w:ascii="宋体" w:hAnsi="宋体"/>
          <w:b/>
          <w:szCs w:val="20"/>
        </w:rPr>
        <w:t>7</w:t>
      </w:r>
      <w:r>
        <w:rPr>
          <w:rFonts w:hint="eastAsia" w:ascii="宋体" w:hAnsi="宋体"/>
          <w:b/>
          <w:szCs w:val="20"/>
        </w:rPr>
        <w:t>.1 移交范围</w:t>
      </w:r>
    </w:p>
    <w:p>
      <w:pPr>
        <w:pStyle w:val="239"/>
        <w:tabs>
          <w:tab w:val="left" w:pos="420"/>
        </w:tabs>
        <w:spacing w:before="194" w:beforeLines="50"/>
        <w:ind w:firstLine="567"/>
        <w:rPr>
          <w:rFonts w:ascii="宋体" w:hAnsi="宋体"/>
          <w:sz w:val="20"/>
        </w:rPr>
      </w:pPr>
      <w:r>
        <w:rPr>
          <w:rFonts w:ascii="宋体" w:hAnsi="宋体"/>
          <w:sz w:val="20"/>
        </w:rPr>
        <w:t>7</w:t>
      </w:r>
      <w:r>
        <w:rPr>
          <w:rFonts w:hint="eastAsia" w:ascii="宋体" w:hAnsi="宋体"/>
          <w:sz w:val="20"/>
        </w:rPr>
        <w:t>.1.1 在运营期满的移交日，乙方应向甲方或其指定机构无偿移交：</w:t>
      </w:r>
    </w:p>
    <w:p>
      <w:pPr>
        <w:pStyle w:val="239"/>
        <w:tabs>
          <w:tab w:val="left" w:pos="420"/>
        </w:tabs>
        <w:spacing w:before="194" w:beforeLines="50"/>
        <w:ind w:firstLine="567"/>
        <w:rPr>
          <w:rFonts w:ascii="宋体" w:hAnsi="宋体"/>
          <w:sz w:val="20"/>
        </w:rPr>
      </w:pPr>
      <w:r>
        <w:rPr>
          <w:rFonts w:hint="eastAsia" w:ascii="宋体" w:hAnsi="宋体"/>
          <w:sz w:val="20"/>
        </w:rPr>
        <w:t>（a）乙方对项目设施的一切经营权利、占有权和移交后的潜在利益，包括：</w:t>
      </w:r>
    </w:p>
    <w:p>
      <w:pPr>
        <w:pStyle w:val="239"/>
        <w:tabs>
          <w:tab w:val="left" w:pos="420"/>
        </w:tabs>
        <w:spacing w:before="194" w:beforeLines="50"/>
        <w:ind w:firstLine="567"/>
        <w:rPr>
          <w:rFonts w:ascii="宋体" w:hAnsi="宋体"/>
          <w:sz w:val="20"/>
        </w:rPr>
      </w:pPr>
      <w:r>
        <w:rPr>
          <w:rFonts w:hint="eastAsia" w:ascii="宋体" w:hAnsi="宋体"/>
          <w:sz w:val="20"/>
        </w:rPr>
        <w:t>i. 项目厂区红线范围内全部设施及红线外乙方负责维护的厂区相关附属配套基础设施；</w:t>
      </w:r>
    </w:p>
    <w:p>
      <w:pPr>
        <w:pStyle w:val="239"/>
        <w:tabs>
          <w:tab w:val="left" w:pos="420"/>
        </w:tabs>
        <w:spacing w:before="194" w:beforeLines="50"/>
        <w:ind w:firstLine="567"/>
        <w:rPr>
          <w:rFonts w:ascii="宋体" w:hAnsi="宋体"/>
          <w:sz w:val="20"/>
        </w:rPr>
      </w:pPr>
      <w:r>
        <w:rPr>
          <w:rFonts w:hint="eastAsia" w:ascii="宋体" w:hAnsi="宋体"/>
          <w:sz w:val="20"/>
        </w:rPr>
        <w:t>ii. 与项目厂区设施使用相关的所有构件和设备；</w:t>
      </w:r>
    </w:p>
    <w:p>
      <w:pPr>
        <w:pStyle w:val="239"/>
        <w:tabs>
          <w:tab w:val="left" w:pos="420"/>
        </w:tabs>
        <w:spacing w:before="194" w:beforeLines="50"/>
        <w:ind w:firstLine="567"/>
        <w:rPr>
          <w:rFonts w:ascii="宋体" w:hAnsi="宋体"/>
          <w:sz w:val="20"/>
        </w:rPr>
      </w:pPr>
      <w:r>
        <w:rPr>
          <w:rFonts w:hint="eastAsia" w:ascii="宋体" w:hAnsi="宋体"/>
          <w:sz w:val="20"/>
        </w:rPr>
        <w:t>（b）甲方为运营维护而合理要求的此前乙方按照本协议规定未曾交付的运营操作手册、运营维护记录、移交说明、设计图纸、文件、合同、协议和其它资料，以使其能够直接或通过其指定机构继续项目厂区设施的运营维护。</w:t>
      </w:r>
    </w:p>
    <w:p>
      <w:pPr>
        <w:pStyle w:val="239"/>
        <w:tabs>
          <w:tab w:val="left" w:pos="420"/>
        </w:tabs>
        <w:spacing w:before="194" w:beforeLines="50"/>
        <w:ind w:firstLine="567"/>
        <w:rPr>
          <w:rFonts w:ascii="宋体" w:hAnsi="宋体"/>
          <w:sz w:val="20"/>
        </w:rPr>
      </w:pPr>
      <w:r>
        <w:rPr>
          <w:rFonts w:ascii="宋体" w:hAnsi="宋体"/>
          <w:sz w:val="20"/>
        </w:rPr>
        <w:t>7</w:t>
      </w:r>
      <w:r>
        <w:rPr>
          <w:rFonts w:hint="eastAsia" w:ascii="宋体" w:hAnsi="宋体"/>
          <w:sz w:val="20"/>
        </w:rPr>
        <w:t>.1.2 上述资产在向甲方移交时应不存在任何留置权、债权、抵押、担保物权或任何种类的其它请求权。污水处理厂场地在移交日应不存在因建设、运营和维护项目设施导致的或乙方另外引致的环境污染。</w:t>
      </w: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第八节  计  量</w:t>
      </w:r>
    </w:p>
    <w:p>
      <w:pPr>
        <w:pStyle w:val="239"/>
        <w:keepNext/>
        <w:keepLines/>
        <w:spacing w:before="120" w:after="120"/>
        <w:ind w:firstLine="500"/>
        <w:outlineLvl w:val="4"/>
        <w:rPr>
          <w:rFonts w:ascii="宋体" w:hAnsi="宋体"/>
          <w:b/>
          <w:szCs w:val="20"/>
        </w:rPr>
      </w:pPr>
      <w:r>
        <w:rPr>
          <w:rFonts w:ascii="宋体" w:hAnsi="宋体"/>
          <w:b/>
          <w:szCs w:val="20"/>
        </w:rPr>
        <w:t>8</w:t>
      </w:r>
      <w:r>
        <w:rPr>
          <w:rFonts w:hint="eastAsia" w:ascii="宋体" w:hAnsi="宋体"/>
          <w:b/>
          <w:szCs w:val="20"/>
        </w:rPr>
        <w:t>.1  流量计的安装</w:t>
      </w:r>
    </w:p>
    <w:p>
      <w:pPr>
        <w:pStyle w:val="239"/>
        <w:tabs>
          <w:tab w:val="left" w:pos="420"/>
        </w:tabs>
        <w:spacing w:before="194" w:beforeLines="50"/>
        <w:ind w:firstLine="567"/>
        <w:rPr>
          <w:rFonts w:ascii="宋体" w:hAnsi="宋体"/>
          <w:sz w:val="20"/>
          <w:szCs w:val="22"/>
        </w:rPr>
      </w:pPr>
      <w:r>
        <w:rPr>
          <w:rFonts w:ascii="宋体" w:hAnsi="宋体"/>
          <w:sz w:val="20"/>
          <w:szCs w:val="22"/>
        </w:rPr>
        <w:t>8</w:t>
      </w:r>
      <w:r>
        <w:rPr>
          <w:rFonts w:hint="eastAsia" w:ascii="宋体" w:hAnsi="宋体"/>
          <w:sz w:val="20"/>
          <w:szCs w:val="22"/>
        </w:rPr>
        <w:t>.1.1 流量计</w:t>
      </w:r>
    </w:p>
    <w:p>
      <w:pPr>
        <w:pStyle w:val="239"/>
        <w:tabs>
          <w:tab w:val="left" w:pos="420"/>
        </w:tabs>
        <w:spacing w:before="194" w:beforeLines="50"/>
        <w:ind w:firstLine="567"/>
        <w:rPr>
          <w:rFonts w:ascii="宋体" w:hAnsi="宋体"/>
          <w:sz w:val="20"/>
          <w:szCs w:val="22"/>
        </w:rPr>
      </w:pPr>
      <w:r>
        <w:rPr>
          <w:rFonts w:hint="eastAsia" w:ascii="宋体" w:hAnsi="宋体"/>
          <w:sz w:val="20"/>
          <w:szCs w:val="22"/>
        </w:rPr>
        <w:t>a) 进水流量计：甲方已在进水检测点安装了符合要求的进水流量计（“进水流量计”）。</w:t>
      </w:r>
    </w:p>
    <w:p>
      <w:pPr>
        <w:pStyle w:val="239"/>
        <w:tabs>
          <w:tab w:val="left" w:pos="420"/>
        </w:tabs>
        <w:spacing w:before="194" w:beforeLines="50"/>
        <w:ind w:firstLine="567"/>
        <w:rPr>
          <w:rFonts w:ascii="宋体" w:hAnsi="宋体"/>
          <w:sz w:val="20"/>
          <w:szCs w:val="22"/>
        </w:rPr>
      </w:pPr>
      <w:r>
        <w:rPr>
          <w:rFonts w:hint="eastAsia" w:ascii="宋体" w:hAnsi="宋体"/>
          <w:sz w:val="20"/>
          <w:szCs w:val="22"/>
        </w:rPr>
        <w:t>b) 出水流量计：甲方已在出水检测点安装了符合要求的出水流量计（“出水流量计”）。</w:t>
      </w:r>
    </w:p>
    <w:p>
      <w:pPr>
        <w:pStyle w:val="239"/>
        <w:tabs>
          <w:tab w:val="left" w:pos="420"/>
        </w:tabs>
        <w:spacing w:before="194" w:beforeLines="50"/>
        <w:ind w:firstLine="567"/>
        <w:rPr>
          <w:rFonts w:ascii="宋体" w:hAnsi="宋体"/>
          <w:sz w:val="20"/>
        </w:rPr>
      </w:pPr>
      <w:r>
        <w:rPr>
          <w:rFonts w:ascii="宋体" w:hAnsi="宋体"/>
          <w:sz w:val="20"/>
        </w:rPr>
        <w:t>8</w:t>
      </w:r>
      <w:r>
        <w:rPr>
          <w:rFonts w:hint="eastAsia" w:ascii="宋体" w:hAnsi="宋体"/>
          <w:sz w:val="20"/>
        </w:rPr>
        <w:t>.1.</w:t>
      </w:r>
      <w:r>
        <w:rPr>
          <w:rFonts w:ascii="宋体" w:hAnsi="宋体"/>
          <w:sz w:val="20"/>
        </w:rPr>
        <w:t>2</w:t>
      </w:r>
      <w:r>
        <w:rPr>
          <w:rFonts w:hint="eastAsia" w:ascii="宋体" w:hAnsi="宋体"/>
          <w:sz w:val="20"/>
        </w:rPr>
        <w:t xml:space="preserve"> 流量计的功能</w:t>
      </w:r>
    </w:p>
    <w:p>
      <w:pPr>
        <w:pStyle w:val="239"/>
        <w:tabs>
          <w:tab w:val="left" w:pos="420"/>
        </w:tabs>
        <w:spacing w:before="194" w:beforeLines="50"/>
        <w:ind w:firstLine="567"/>
        <w:rPr>
          <w:rFonts w:ascii="宋体" w:hAnsi="宋体"/>
          <w:sz w:val="20"/>
        </w:rPr>
      </w:pPr>
      <w:r>
        <w:rPr>
          <w:rFonts w:hint="eastAsia" w:ascii="宋体" w:hAnsi="宋体"/>
          <w:sz w:val="20"/>
        </w:rPr>
        <w:t>上述每个流量计具备提供瞬时流量、累计流量信息和在线传输的功能。</w:t>
      </w:r>
    </w:p>
    <w:p>
      <w:pPr>
        <w:pStyle w:val="239"/>
        <w:keepNext/>
        <w:keepLines/>
        <w:spacing w:before="120" w:after="120"/>
        <w:ind w:firstLine="500"/>
        <w:outlineLvl w:val="4"/>
        <w:rPr>
          <w:rFonts w:ascii="宋体" w:hAnsi="宋体"/>
          <w:b/>
          <w:szCs w:val="20"/>
        </w:rPr>
      </w:pPr>
      <w:r>
        <w:rPr>
          <w:rFonts w:ascii="宋体" w:hAnsi="宋体"/>
          <w:b/>
          <w:szCs w:val="20"/>
        </w:rPr>
        <w:t>8</w:t>
      </w:r>
      <w:r>
        <w:rPr>
          <w:rFonts w:hint="eastAsia" w:ascii="宋体" w:hAnsi="宋体"/>
          <w:b/>
          <w:szCs w:val="20"/>
        </w:rPr>
        <w:t>.2 检查和测试</w:t>
      </w:r>
    </w:p>
    <w:p>
      <w:pPr>
        <w:pStyle w:val="239"/>
        <w:tabs>
          <w:tab w:val="left" w:pos="420"/>
        </w:tabs>
        <w:spacing w:before="194" w:beforeLines="50"/>
        <w:ind w:firstLine="567"/>
        <w:rPr>
          <w:rFonts w:ascii="宋体" w:hAnsi="宋体"/>
          <w:sz w:val="20"/>
        </w:rPr>
      </w:pPr>
      <w:r>
        <w:rPr>
          <w:rFonts w:ascii="宋体" w:hAnsi="宋体"/>
          <w:sz w:val="20"/>
        </w:rPr>
        <w:t>8</w:t>
      </w:r>
      <w:r>
        <w:rPr>
          <w:rFonts w:hint="eastAsia" w:ascii="宋体" w:hAnsi="宋体"/>
          <w:sz w:val="20"/>
        </w:rPr>
        <w:t>.</w:t>
      </w:r>
      <w:r>
        <w:rPr>
          <w:rFonts w:ascii="宋体" w:hAnsi="宋体"/>
          <w:sz w:val="20"/>
        </w:rPr>
        <w:t>2</w:t>
      </w:r>
      <w:r>
        <w:rPr>
          <w:rFonts w:hint="eastAsia" w:ascii="宋体" w:hAnsi="宋体"/>
          <w:sz w:val="20"/>
        </w:rPr>
        <w:t>.</w:t>
      </w:r>
      <w:r>
        <w:rPr>
          <w:rFonts w:ascii="宋体" w:hAnsi="宋体"/>
          <w:sz w:val="20"/>
        </w:rPr>
        <w:t>1</w:t>
      </w:r>
      <w:r>
        <w:rPr>
          <w:rFonts w:hint="eastAsia" w:ascii="宋体" w:hAnsi="宋体"/>
          <w:sz w:val="20"/>
        </w:rPr>
        <w:t>对进水、出水水质检测点设置的测量仪表（流量计、液位计、在线监测COD</w:t>
      </w:r>
      <w:r>
        <w:rPr>
          <w:rFonts w:hint="eastAsia" w:ascii="宋体" w:hAnsi="宋体"/>
          <w:sz w:val="20"/>
          <w:vertAlign w:val="subscript"/>
        </w:rPr>
        <w:t>cr</w:t>
      </w:r>
      <w:r>
        <w:rPr>
          <w:rFonts w:hint="eastAsia" w:ascii="宋体" w:hAnsi="宋体"/>
          <w:sz w:val="20"/>
        </w:rPr>
        <w:t>计、在线检测TP、在线检测TN、在线检测NH</w:t>
      </w:r>
      <w:r>
        <w:rPr>
          <w:rFonts w:hint="eastAsia" w:ascii="宋体" w:hAnsi="宋体"/>
          <w:sz w:val="20"/>
          <w:vertAlign w:val="subscript"/>
        </w:rPr>
        <w:t>3</w:t>
      </w:r>
      <w:r>
        <w:rPr>
          <w:rFonts w:hint="eastAsia" w:ascii="宋体" w:hAnsi="宋体"/>
          <w:sz w:val="20"/>
        </w:rPr>
        <w:t>-N、在线监测pH等），乙方应负责日常维护、检修并承担费用。水质监测仪表参照上述条款执行。</w:t>
      </w:r>
    </w:p>
    <w:p>
      <w:pPr>
        <w:pStyle w:val="239"/>
        <w:keepNext/>
        <w:keepLines/>
        <w:spacing w:before="120" w:after="120"/>
        <w:ind w:firstLine="500"/>
        <w:outlineLvl w:val="4"/>
        <w:rPr>
          <w:rFonts w:ascii="宋体" w:hAnsi="宋体"/>
          <w:b/>
          <w:szCs w:val="20"/>
          <w:shd w:val="clear" w:color="FFFFFF" w:fill="D9D9D9"/>
        </w:rPr>
      </w:pPr>
      <w:r>
        <w:rPr>
          <w:rFonts w:ascii="宋体" w:hAnsi="宋体"/>
          <w:b/>
          <w:szCs w:val="20"/>
        </w:rPr>
        <w:t>8</w:t>
      </w:r>
      <w:r>
        <w:rPr>
          <w:rFonts w:hint="eastAsia" w:ascii="宋体" w:hAnsi="宋体"/>
          <w:b/>
          <w:szCs w:val="20"/>
        </w:rPr>
        <w:t>.</w:t>
      </w:r>
      <w:r>
        <w:rPr>
          <w:rFonts w:ascii="宋体" w:hAnsi="宋体"/>
          <w:b/>
          <w:szCs w:val="20"/>
        </w:rPr>
        <w:t xml:space="preserve">3 </w:t>
      </w:r>
      <w:r>
        <w:rPr>
          <w:rFonts w:hint="eastAsia" w:ascii="宋体" w:hAnsi="宋体"/>
          <w:b/>
          <w:szCs w:val="20"/>
        </w:rPr>
        <w:t>进、出水量的确定</w:t>
      </w:r>
    </w:p>
    <w:p>
      <w:pPr>
        <w:pStyle w:val="239"/>
        <w:tabs>
          <w:tab w:val="left" w:pos="420"/>
        </w:tabs>
        <w:spacing w:before="194" w:beforeLines="50"/>
        <w:ind w:firstLine="567"/>
        <w:rPr>
          <w:rFonts w:ascii="宋体" w:hAnsi="宋体"/>
          <w:sz w:val="20"/>
        </w:rPr>
      </w:pPr>
      <w:r>
        <w:rPr>
          <w:rFonts w:ascii="宋体" w:hAnsi="宋体"/>
          <w:sz w:val="20"/>
        </w:rPr>
        <w:t>8</w:t>
      </w:r>
      <w:r>
        <w:rPr>
          <w:rFonts w:hint="eastAsia" w:ascii="宋体" w:hAnsi="宋体"/>
          <w:sz w:val="20"/>
        </w:rPr>
        <w:t>.</w:t>
      </w:r>
      <w:r>
        <w:rPr>
          <w:rFonts w:ascii="宋体" w:hAnsi="宋体"/>
          <w:sz w:val="20"/>
        </w:rPr>
        <w:t>3</w:t>
      </w:r>
      <w:r>
        <w:rPr>
          <w:rFonts w:hint="eastAsia" w:ascii="宋体" w:hAnsi="宋体"/>
          <w:sz w:val="20"/>
        </w:rPr>
        <w:t>.1 为确定实际出水量以便于计算甲方应付给乙方的服务费款项，应依据以下原则：</w:t>
      </w:r>
    </w:p>
    <w:p>
      <w:pPr>
        <w:pStyle w:val="239"/>
        <w:tabs>
          <w:tab w:val="left" w:pos="420"/>
        </w:tabs>
        <w:spacing w:before="194" w:beforeLines="50"/>
        <w:ind w:firstLine="567"/>
        <w:rPr>
          <w:rFonts w:ascii="宋体" w:hAnsi="宋体"/>
          <w:sz w:val="20"/>
        </w:rPr>
      </w:pPr>
      <w:r>
        <w:rPr>
          <w:rFonts w:hint="eastAsia" w:ascii="宋体" w:hAnsi="宋体"/>
          <w:sz w:val="20"/>
        </w:rPr>
        <w:t>计量进水量应为进水流量计读数当月的增量值，并作为计算相关款项的参考依据；</w:t>
      </w:r>
    </w:p>
    <w:p>
      <w:pPr>
        <w:pStyle w:val="239"/>
        <w:tabs>
          <w:tab w:val="left" w:pos="420"/>
        </w:tabs>
        <w:spacing w:before="194" w:beforeLines="50"/>
        <w:ind w:firstLine="567"/>
        <w:rPr>
          <w:rFonts w:ascii="宋体" w:hAnsi="宋体"/>
          <w:sz w:val="20"/>
        </w:rPr>
      </w:pPr>
      <w:r>
        <w:rPr>
          <w:rFonts w:hint="eastAsia" w:ascii="宋体" w:hAnsi="宋体"/>
          <w:sz w:val="20"/>
        </w:rPr>
        <w:t>计量出水量应为出水流量计读数当月的增量值，并作为计算相关款项的参考依据。</w:t>
      </w:r>
    </w:p>
    <w:p>
      <w:pPr>
        <w:pStyle w:val="239"/>
        <w:tabs>
          <w:tab w:val="left" w:pos="420"/>
        </w:tabs>
        <w:spacing w:before="194" w:beforeLines="50"/>
        <w:ind w:firstLine="567"/>
        <w:rPr>
          <w:rFonts w:ascii="宋体" w:hAnsi="宋体"/>
          <w:sz w:val="20"/>
        </w:rPr>
      </w:pPr>
      <w:r>
        <w:rPr>
          <w:rFonts w:ascii="宋体" w:hAnsi="宋体"/>
          <w:sz w:val="20"/>
        </w:rPr>
        <w:t>8.3.2考虑到污水处理设施的合理损耗及流量计误差等因素，依据前述进水流量计读数确定的实际进水量与出水流量计读数确定的实际处理（出水）水量，如误差在流量计允许的累计最大合理范围以内，均应视为污水处理厂实际进水量得以足额处理。</w:t>
      </w:r>
    </w:p>
    <w:p>
      <w:pPr>
        <w:pStyle w:val="239"/>
        <w:tabs>
          <w:tab w:val="left" w:pos="420"/>
        </w:tabs>
        <w:spacing w:before="194" w:beforeLines="50"/>
        <w:ind w:firstLine="567"/>
        <w:rPr>
          <w:rFonts w:ascii="宋体" w:hAnsi="宋体"/>
          <w:sz w:val="20"/>
        </w:rPr>
      </w:pPr>
      <w:r>
        <w:rPr>
          <w:rFonts w:ascii="宋体" w:hAnsi="宋体"/>
          <w:sz w:val="20"/>
        </w:rPr>
        <w:t>8.3.3当进出水流量计因不具备工作条件或发生故障等情况暂时不能正常工作时，实测水量以本条所述故障发生之日前三十（30）个运营日内平均实测水量为准，并以此作为计费依据。</w:t>
      </w:r>
    </w:p>
    <w:p>
      <w:pPr>
        <w:pStyle w:val="239"/>
        <w:tabs>
          <w:tab w:val="left" w:pos="420"/>
        </w:tabs>
        <w:spacing w:before="194" w:beforeLines="50"/>
        <w:ind w:firstLine="567"/>
        <w:rPr>
          <w:rFonts w:ascii="宋体" w:hAnsi="宋体"/>
          <w:sz w:val="20"/>
        </w:rPr>
      </w:pPr>
      <w:r>
        <w:rPr>
          <w:rFonts w:ascii="宋体" w:hAnsi="宋体"/>
          <w:sz w:val="20"/>
        </w:rPr>
        <w:t>8.3.4如果在线流量计发生故障，</w:t>
      </w:r>
      <w:r>
        <w:rPr>
          <w:rFonts w:hint="eastAsia" w:ascii="宋体" w:hAnsi="宋体"/>
          <w:sz w:val="20"/>
        </w:rPr>
        <w:t>乙方</w:t>
      </w:r>
      <w:r>
        <w:rPr>
          <w:rFonts w:ascii="宋体" w:hAnsi="宋体"/>
          <w:sz w:val="20"/>
        </w:rPr>
        <w:t>应于</w:t>
      </w:r>
      <w:r>
        <w:rPr>
          <w:rFonts w:hint="eastAsia" w:ascii="宋体" w:hAnsi="宋体"/>
          <w:sz w:val="20"/>
        </w:rPr>
        <w:t>五</w:t>
      </w:r>
      <w:r>
        <w:rPr>
          <w:rFonts w:ascii="宋体" w:hAnsi="宋体"/>
          <w:sz w:val="20"/>
        </w:rPr>
        <w:t>（</w:t>
      </w:r>
      <w:r>
        <w:rPr>
          <w:rFonts w:hint="eastAsia" w:ascii="宋体" w:hAnsi="宋体"/>
          <w:sz w:val="20"/>
        </w:rPr>
        <w:t>5</w:t>
      </w:r>
      <w:r>
        <w:rPr>
          <w:rFonts w:ascii="宋体" w:hAnsi="宋体"/>
          <w:sz w:val="20"/>
        </w:rPr>
        <w:t>）日内委托有资质的机构进行修复或更换。在故障未排除期间，甲方、</w:t>
      </w:r>
      <w:r>
        <w:rPr>
          <w:rFonts w:hint="eastAsia" w:ascii="宋体" w:hAnsi="宋体"/>
          <w:sz w:val="20"/>
        </w:rPr>
        <w:t>乙方</w:t>
      </w:r>
      <w:r>
        <w:rPr>
          <w:rFonts w:ascii="宋体" w:hAnsi="宋体"/>
          <w:sz w:val="20"/>
        </w:rPr>
        <w:t>应联合在进、出水水量计量点对进出水流量计的读数进行记录并经双方签字确认。如果任何一方未参加上述日期的共同读数，另一方可单独读数，并在读数记录单上签字，如果该读数未有相反证据证明明显不属实，该读数记录单被视为已得到未参加方的认可。</w:t>
      </w: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第九节  违约</w:t>
      </w:r>
    </w:p>
    <w:p>
      <w:pPr>
        <w:pStyle w:val="239"/>
        <w:keepNext/>
        <w:keepLines/>
        <w:spacing w:before="120" w:after="120"/>
        <w:outlineLvl w:val="4"/>
        <w:rPr>
          <w:rFonts w:ascii="宋体" w:hAnsi="宋体" w:cs="宋体"/>
          <w:b/>
          <w:szCs w:val="20"/>
        </w:rPr>
      </w:pPr>
      <w:r>
        <w:rPr>
          <w:rFonts w:ascii="宋体" w:hAnsi="宋体" w:cs="宋体"/>
          <w:b/>
          <w:szCs w:val="20"/>
        </w:rPr>
        <w:t>9</w:t>
      </w:r>
      <w:r>
        <w:rPr>
          <w:rFonts w:hint="eastAsia" w:ascii="宋体" w:hAnsi="宋体" w:cs="宋体"/>
          <w:b/>
          <w:szCs w:val="20"/>
        </w:rPr>
        <w:t>.</w:t>
      </w:r>
      <w:r>
        <w:rPr>
          <w:rFonts w:ascii="宋体" w:hAnsi="宋体" w:cs="宋体"/>
          <w:b/>
          <w:szCs w:val="20"/>
        </w:rPr>
        <w:t>1</w:t>
      </w:r>
      <w:r>
        <w:rPr>
          <w:rFonts w:hint="eastAsia" w:ascii="宋体" w:hAnsi="宋体" w:cs="宋体"/>
          <w:b/>
          <w:szCs w:val="20"/>
        </w:rPr>
        <w:t>违反相关法规处罚</w:t>
      </w:r>
    </w:p>
    <w:p>
      <w:pPr>
        <w:pStyle w:val="239"/>
        <w:tabs>
          <w:tab w:val="left" w:pos="420"/>
        </w:tabs>
        <w:spacing w:before="194" w:beforeLines="50"/>
        <w:ind w:firstLine="567"/>
        <w:rPr>
          <w:rFonts w:ascii="宋体" w:hAnsi="宋体" w:cs="宋体"/>
          <w:sz w:val="20"/>
        </w:rPr>
      </w:pPr>
      <w:r>
        <w:rPr>
          <w:rFonts w:hint="eastAsia" w:ascii="宋体" w:hAnsi="宋体" w:cs="宋体"/>
          <w:sz w:val="20"/>
        </w:rPr>
        <w:t>乙方有义务自觉遵守和执行国家和地方已颁布实施的法律、法规做出的相关规定，并自行承担应付的违规责任并接受相关经济处罚。</w:t>
      </w:r>
    </w:p>
    <w:p>
      <w:pPr>
        <w:pStyle w:val="239"/>
        <w:tabs>
          <w:tab w:val="left" w:pos="420"/>
        </w:tabs>
        <w:spacing w:before="194" w:beforeLines="50"/>
        <w:ind w:firstLine="567"/>
        <w:rPr>
          <w:rFonts w:ascii="宋体" w:hAnsi="宋体"/>
          <w:b/>
          <w:sz w:val="20"/>
        </w:rPr>
      </w:pPr>
      <w:r>
        <w:rPr>
          <w:rFonts w:hint="eastAsia" w:ascii="宋体" w:hAnsi="宋体" w:cs="宋体"/>
          <w:sz w:val="20"/>
        </w:rPr>
        <w:t>今后如遇相关法律、法规做出调整或甲方发布新的相关地方法规或监管条例等，同时也可能导致相关所涉违反规定的处罚也将作相应调整，但乙方同样有义务无条件自觉遵守和执行这些法规或条例作出的相关规定并承担风险。</w:t>
      </w:r>
    </w:p>
    <w:p>
      <w:pPr>
        <w:pStyle w:val="239"/>
        <w:widowControl w:val="0"/>
        <w:spacing w:before="194" w:beforeLines="50"/>
        <w:jc w:val="center"/>
        <w:rPr>
          <w:rFonts w:hint="eastAsia" w:ascii="新宋体" w:hAnsi="新宋体" w:eastAsia="新宋体" w:cs="新宋体"/>
          <w:b/>
          <w:kern w:val="2"/>
          <w:sz w:val="28"/>
          <w:szCs w:val="28"/>
          <w:highlight w:val="none"/>
        </w:rPr>
      </w:pPr>
      <w:r>
        <w:rPr>
          <w:rFonts w:hint="eastAsia" w:ascii="新宋体" w:hAnsi="新宋体" w:eastAsia="新宋体" w:cs="新宋体"/>
          <w:b/>
          <w:kern w:val="2"/>
          <w:sz w:val="28"/>
          <w:szCs w:val="28"/>
          <w:highlight w:val="none"/>
        </w:rPr>
        <w:t>第十节  运营服务费及其支付和调整</w:t>
      </w:r>
    </w:p>
    <w:p>
      <w:pPr>
        <w:pStyle w:val="239"/>
        <w:widowControl w:val="0"/>
        <w:spacing w:before="194" w:beforeLines="50"/>
        <w:jc w:val="center"/>
        <w:rPr>
          <w:rFonts w:hint="eastAsia" w:ascii="新宋体" w:hAnsi="新宋体" w:eastAsia="新宋体" w:cs="新宋体"/>
          <w:b/>
          <w:kern w:val="2"/>
          <w:sz w:val="28"/>
          <w:szCs w:val="28"/>
          <w:highlight w:val="none"/>
        </w:rPr>
      </w:pPr>
    </w:p>
    <w:p>
      <w:pPr>
        <w:pStyle w:val="239"/>
        <w:keepNext/>
        <w:keepLines/>
        <w:spacing w:before="120" w:after="120"/>
        <w:ind w:firstLine="500"/>
        <w:outlineLvl w:val="4"/>
        <w:rPr>
          <w:rFonts w:ascii="宋体" w:hAnsi="宋体"/>
          <w:b/>
          <w:szCs w:val="20"/>
        </w:rPr>
      </w:pPr>
      <w:r>
        <w:rPr>
          <w:rFonts w:ascii="宋体" w:hAnsi="宋体"/>
          <w:b/>
          <w:szCs w:val="20"/>
        </w:rPr>
        <w:t>10</w:t>
      </w:r>
      <w:r>
        <w:rPr>
          <w:rFonts w:hint="eastAsia" w:ascii="宋体" w:hAnsi="宋体"/>
          <w:b/>
          <w:szCs w:val="20"/>
        </w:rPr>
        <w:t>.1 甲方支付运营服务费的义务</w:t>
      </w:r>
    </w:p>
    <w:p>
      <w:pPr>
        <w:pStyle w:val="239"/>
        <w:tabs>
          <w:tab w:val="left" w:pos="420"/>
        </w:tabs>
        <w:spacing w:before="194" w:beforeLines="50"/>
        <w:ind w:firstLine="567"/>
        <w:rPr>
          <w:rFonts w:ascii="宋体" w:hAnsi="宋体"/>
          <w:color w:val="000000" w:themeColor="text1"/>
          <w:sz w:val="20"/>
          <w14:textFill>
            <w14:solidFill>
              <w14:schemeClr w14:val="tx1"/>
            </w14:solidFill>
          </w14:textFill>
        </w:rPr>
      </w:pPr>
      <w:r>
        <w:rPr>
          <w:rFonts w:hint="eastAsia" w:ascii="宋体" w:hAnsi="宋体"/>
          <w:sz w:val="20"/>
        </w:rPr>
        <w:t>受限于第</w:t>
      </w:r>
      <w:r>
        <w:fldChar w:fldCharType="begin"/>
      </w:r>
      <w:r>
        <w:instrText xml:space="preserve"> HYPERLINK \l "_10.4_政府相关部门" </w:instrText>
      </w:r>
      <w:r>
        <w:fldChar w:fldCharType="separate"/>
      </w:r>
      <w:r>
        <w:rPr>
          <w:rFonts w:ascii="宋体" w:hAnsi="宋体"/>
          <w:sz w:val="20"/>
          <w:szCs w:val="20"/>
        </w:rPr>
        <w:t>10</w:t>
      </w:r>
      <w:r>
        <w:rPr>
          <w:rFonts w:hint="eastAsia" w:ascii="宋体" w:hAnsi="宋体"/>
          <w:sz w:val="20"/>
          <w:szCs w:val="20"/>
        </w:rPr>
        <w:t>.</w:t>
      </w:r>
      <w:r>
        <w:rPr>
          <w:rFonts w:ascii="宋体" w:hAnsi="宋体"/>
          <w:sz w:val="20"/>
          <w:szCs w:val="20"/>
        </w:rPr>
        <w:t>6</w:t>
      </w:r>
      <w:r>
        <w:rPr>
          <w:rFonts w:ascii="宋体" w:hAnsi="宋体"/>
          <w:sz w:val="20"/>
          <w:szCs w:val="20"/>
        </w:rPr>
        <w:fldChar w:fldCharType="end"/>
      </w:r>
      <w:r>
        <w:rPr>
          <w:rFonts w:hint="eastAsia" w:ascii="宋体" w:hAnsi="宋体"/>
          <w:sz w:val="20"/>
        </w:rPr>
        <w:t>条，在</w:t>
      </w:r>
      <w:r>
        <w:rPr>
          <w:rFonts w:hint="eastAsia" w:ascii="宋体" w:hAnsi="宋体"/>
          <w:color w:val="000000" w:themeColor="text1"/>
          <w:sz w:val="20"/>
          <w14:textFill>
            <w14:solidFill>
              <w14:schemeClr w14:val="tx1"/>
            </w14:solidFill>
          </w14:textFill>
        </w:rPr>
        <w:t>运营期内的每6个月，甲方应根据本协议确定的付费计算原则向乙方支付相应的运营服务费。</w:t>
      </w:r>
    </w:p>
    <w:p>
      <w:pPr>
        <w:pStyle w:val="239"/>
        <w:keepNext/>
        <w:keepLines/>
        <w:spacing w:before="120" w:after="120"/>
        <w:ind w:firstLine="500"/>
        <w:outlineLvl w:val="4"/>
        <w:rPr>
          <w:rFonts w:ascii="宋体" w:hAnsi="宋体"/>
          <w:b/>
          <w:szCs w:val="20"/>
        </w:rPr>
      </w:pPr>
      <w:r>
        <w:rPr>
          <w:rFonts w:ascii="宋体" w:hAnsi="宋体"/>
          <w:b/>
          <w:szCs w:val="20"/>
        </w:rPr>
        <w:t>10</w:t>
      </w:r>
      <w:r>
        <w:rPr>
          <w:rFonts w:hint="eastAsia" w:ascii="宋体" w:hAnsi="宋体"/>
          <w:b/>
          <w:szCs w:val="20"/>
        </w:rPr>
        <w:t>.2  甲方或取或付义务</w:t>
      </w:r>
    </w:p>
    <w:p>
      <w:pPr>
        <w:pStyle w:val="239"/>
        <w:tabs>
          <w:tab w:val="left" w:pos="420"/>
        </w:tabs>
        <w:spacing w:before="194" w:beforeLines="50"/>
        <w:ind w:firstLine="567"/>
        <w:rPr>
          <w:rFonts w:ascii="宋体" w:hAnsi="宋体"/>
          <w:sz w:val="20"/>
        </w:rPr>
      </w:pPr>
      <w:r>
        <w:rPr>
          <w:rFonts w:hint="eastAsia" w:ascii="宋体" w:hAnsi="宋体"/>
          <w:sz w:val="20"/>
        </w:rPr>
        <w:t>以第</w:t>
      </w:r>
      <w:r>
        <w:rPr>
          <w:rFonts w:ascii="宋体" w:hAnsi="宋体"/>
          <w:sz w:val="20"/>
        </w:rPr>
        <w:t>10</w:t>
      </w:r>
      <w:r>
        <w:rPr>
          <w:rFonts w:hint="eastAsia" w:ascii="宋体" w:hAnsi="宋体"/>
          <w:sz w:val="20"/>
        </w:rPr>
        <w:t>.3条为前提，运营期内甲方应</w:t>
      </w:r>
      <w:r>
        <w:rPr>
          <w:rFonts w:hint="eastAsia" w:ascii="宋体" w:hAnsi="宋体"/>
          <w:color w:val="000000" w:themeColor="text1"/>
          <w:sz w:val="20"/>
          <w14:textFill>
            <w14:solidFill>
              <w14:schemeClr w14:val="tx1"/>
            </w14:solidFill>
          </w14:textFill>
        </w:rPr>
        <w:t>每6个月</w:t>
      </w:r>
      <w:r>
        <w:rPr>
          <w:rFonts w:hint="eastAsia" w:ascii="宋体" w:hAnsi="宋体"/>
          <w:sz w:val="20"/>
        </w:rPr>
        <w:t>向乙方支付其应获得的运营服务费。</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0</w:t>
      </w:r>
      <w:r>
        <w:rPr>
          <w:rFonts w:hint="eastAsia" w:ascii="宋体" w:hAnsi="宋体"/>
          <w:b/>
          <w:szCs w:val="20"/>
        </w:rPr>
        <w:t>.</w:t>
      </w:r>
      <w:r>
        <w:rPr>
          <w:rFonts w:ascii="宋体" w:hAnsi="宋体"/>
          <w:b/>
          <w:szCs w:val="20"/>
        </w:rPr>
        <w:t>3</w:t>
      </w:r>
      <w:r>
        <w:rPr>
          <w:rFonts w:hint="eastAsia" w:ascii="宋体" w:hAnsi="宋体"/>
          <w:b/>
          <w:szCs w:val="20"/>
        </w:rPr>
        <w:t xml:space="preserve"> 运营服务费的计算和支付</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0</w:t>
      </w:r>
      <w:r>
        <w:rPr>
          <w:rFonts w:hint="eastAsia" w:ascii="宋体" w:hAnsi="宋体"/>
          <w:sz w:val="20"/>
        </w:rPr>
        <w:t>.</w:t>
      </w:r>
      <w:r>
        <w:rPr>
          <w:rFonts w:ascii="宋体" w:hAnsi="宋体"/>
          <w:sz w:val="20"/>
        </w:rPr>
        <w:t>3</w:t>
      </w:r>
      <w:r>
        <w:rPr>
          <w:rFonts w:hint="eastAsia" w:ascii="宋体" w:hAnsi="宋体"/>
          <w:sz w:val="20"/>
        </w:rPr>
        <w:t>.1乙方应提供所有证明记录和资料的复印件以便甲方能够核实该计算。</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0</w:t>
      </w:r>
      <w:r>
        <w:rPr>
          <w:rFonts w:hint="eastAsia" w:ascii="宋体" w:hAnsi="宋体"/>
          <w:sz w:val="20"/>
        </w:rPr>
        <w:t>.</w:t>
      </w:r>
      <w:r>
        <w:rPr>
          <w:rFonts w:ascii="宋体" w:hAnsi="宋体"/>
          <w:sz w:val="20"/>
        </w:rPr>
        <w:t>3</w:t>
      </w:r>
      <w:r>
        <w:rPr>
          <w:rFonts w:hint="eastAsia" w:ascii="宋体" w:hAnsi="宋体"/>
          <w:sz w:val="20"/>
        </w:rPr>
        <w:t>.2所有款项应按照本协议的第</w:t>
      </w:r>
      <w:r>
        <w:rPr>
          <w:rFonts w:ascii="宋体" w:hAnsi="宋体"/>
          <w:sz w:val="20"/>
        </w:rPr>
        <w:t>10</w:t>
      </w:r>
      <w:r>
        <w:rPr>
          <w:rFonts w:hint="eastAsia" w:ascii="宋体" w:hAnsi="宋体"/>
          <w:sz w:val="20"/>
        </w:rPr>
        <w:t>.</w:t>
      </w:r>
      <w:r>
        <w:rPr>
          <w:rFonts w:ascii="宋体" w:hAnsi="宋体"/>
          <w:sz w:val="20"/>
        </w:rPr>
        <w:t>5</w:t>
      </w:r>
      <w:r>
        <w:rPr>
          <w:rFonts w:hint="eastAsia" w:ascii="宋体" w:hAnsi="宋体"/>
          <w:sz w:val="20"/>
        </w:rPr>
        <w:t>条确定的帐户和付款方式支付，费用均以人民币支付。</w:t>
      </w:r>
    </w:p>
    <w:p>
      <w:pPr>
        <w:pStyle w:val="239"/>
        <w:keepNext/>
        <w:keepLines/>
        <w:spacing w:before="120" w:after="120"/>
        <w:ind w:firstLine="500"/>
        <w:outlineLvl w:val="4"/>
        <w:rPr>
          <w:rFonts w:ascii="宋体" w:hAnsi="宋体"/>
          <w:b/>
          <w:szCs w:val="20"/>
        </w:rPr>
      </w:pPr>
      <w:r>
        <w:rPr>
          <w:rFonts w:ascii="宋体" w:hAnsi="宋体"/>
          <w:b/>
          <w:szCs w:val="20"/>
        </w:rPr>
        <w:t>10</w:t>
      </w:r>
      <w:r>
        <w:rPr>
          <w:rFonts w:hint="eastAsia" w:ascii="宋体" w:hAnsi="宋体"/>
          <w:b/>
          <w:szCs w:val="20"/>
        </w:rPr>
        <w:t>.</w:t>
      </w:r>
      <w:r>
        <w:rPr>
          <w:rFonts w:ascii="宋体" w:hAnsi="宋体"/>
          <w:b/>
          <w:szCs w:val="20"/>
        </w:rPr>
        <w:t>4</w:t>
      </w:r>
      <w:r>
        <w:rPr>
          <w:rFonts w:hint="eastAsia" w:ascii="宋体" w:hAnsi="宋体"/>
          <w:b/>
          <w:szCs w:val="20"/>
        </w:rPr>
        <w:t xml:space="preserve"> 付款程序</w:t>
      </w:r>
    </w:p>
    <w:p>
      <w:pPr>
        <w:pStyle w:val="239"/>
        <w:tabs>
          <w:tab w:val="left" w:pos="420"/>
        </w:tabs>
        <w:spacing w:before="194" w:beforeLines="50"/>
        <w:ind w:firstLine="567"/>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1</w:t>
      </w:r>
      <w:r>
        <w:rPr>
          <w:rFonts w:ascii="宋体" w:hAnsi="宋体"/>
          <w:color w:val="000000" w:themeColor="text1"/>
          <w:sz w:val="20"/>
          <w14:textFill>
            <w14:solidFill>
              <w14:schemeClr w14:val="tx1"/>
            </w14:solidFill>
          </w14:textFill>
        </w:rPr>
        <w:t>0</w:t>
      </w:r>
      <w:r>
        <w:rPr>
          <w:rFonts w:hint="eastAsia" w:ascii="宋体" w:hAnsi="宋体"/>
          <w:color w:val="000000" w:themeColor="text1"/>
          <w:sz w:val="20"/>
          <w14:textFill>
            <w14:solidFill>
              <w14:schemeClr w14:val="tx1"/>
            </w14:solidFill>
          </w14:textFill>
        </w:rPr>
        <w:t>.</w:t>
      </w:r>
      <w:r>
        <w:rPr>
          <w:rFonts w:ascii="宋体" w:hAnsi="宋体"/>
          <w:color w:val="000000" w:themeColor="text1"/>
          <w:sz w:val="20"/>
          <w14:textFill>
            <w14:solidFill>
              <w14:schemeClr w14:val="tx1"/>
            </w14:solidFill>
          </w14:textFill>
        </w:rPr>
        <w:t>4</w:t>
      </w:r>
      <w:r>
        <w:rPr>
          <w:rFonts w:hint="eastAsia" w:ascii="宋体" w:hAnsi="宋体"/>
          <w:color w:val="000000" w:themeColor="text1"/>
          <w:sz w:val="20"/>
          <w14:textFill>
            <w14:solidFill>
              <w14:schemeClr w14:val="tx1"/>
            </w14:solidFill>
          </w14:textFill>
        </w:rPr>
        <w:t>.1乙方应于每6个月，按照第1</w:t>
      </w:r>
      <w:r>
        <w:rPr>
          <w:rFonts w:ascii="宋体" w:hAnsi="宋体"/>
          <w:color w:val="000000" w:themeColor="text1"/>
          <w:sz w:val="20"/>
          <w14:textFill>
            <w14:solidFill>
              <w14:schemeClr w14:val="tx1"/>
            </w14:solidFill>
          </w14:textFill>
        </w:rPr>
        <w:t>0</w:t>
      </w:r>
      <w:r>
        <w:rPr>
          <w:rFonts w:hint="eastAsia" w:ascii="宋体" w:hAnsi="宋体"/>
          <w:color w:val="000000" w:themeColor="text1"/>
          <w:sz w:val="20"/>
          <w14:textFill>
            <w14:solidFill>
              <w14:schemeClr w14:val="tx1"/>
            </w14:solidFill>
          </w14:textFill>
        </w:rPr>
        <w:t>.</w:t>
      </w:r>
      <w:r>
        <w:rPr>
          <w:rFonts w:ascii="宋体" w:hAnsi="宋体"/>
          <w:color w:val="000000" w:themeColor="text1"/>
          <w:sz w:val="20"/>
          <w14:textFill>
            <w14:solidFill>
              <w14:schemeClr w14:val="tx1"/>
            </w14:solidFill>
          </w14:textFill>
        </w:rPr>
        <w:t>3</w:t>
      </w:r>
      <w:r>
        <w:rPr>
          <w:rFonts w:hint="eastAsia" w:ascii="宋体" w:hAnsi="宋体"/>
          <w:color w:val="000000" w:themeColor="text1"/>
          <w:sz w:val="20"/>
          <w14:textFill>
            <w14:solidFill>
              <w14:schemeClr w14:val="tx1"/>
            </w14:solidFill>
          </w14:textFill>
        </w:rPr>
        <w:t>.1条款计算的金额，开具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"_附录10__污水处理服务费付款通知单" </w:instrText>
      </w:r>
      <w:r>
        <w:rPr>
          <w:color w:val="000000" w:themeColor="text1"/>
          <w14:textFill>
            <w14:solidFill>
              <w14:schemeClr w14:val="tx1"/>
            </w14:solidFill>
          </w14:textFill>
        </w:rPr>
        <w:fldChar w:fldCharType="separate"/>
      </w:r>
      <w:r>
        <w:rPr>
          <w:rFonts w:hint="eastAsia" w:ascii="宋体" w:hAnsi="宋体"/>
          <w:color w:val="000000" w:themeColor="text1"/>
          <w:sz w:val="20"/>
          <w:szCs w:val="20"/>
          <w14:textFill>
            <w14:solidFill>
              <w14:schemeClr w14:val="tx1"/>
            </w14:solidFill>
          </w14:textFill>
        </w:rPr>
        <w:t>付款通知</w:t>
      </w:r>
      <w:r>
        <w:rPr>
          <w:rFonts w:hint="eastAsia" w:ascii="宋体" w:hAnsi="宋体"/>
          <w:color w:val="000000" w:themeColor="text1"/>
          <w:sz w:val="20"/>
          <w:szCs w:val="20"/>
          <w14:textFill>
            <w14:solidFill>
              <w14:schemeClr w14:val="tx1"/>
            </w14:solidFill>
          </w14:textFill>
        </w:rPr>
        <w:fldChar w:fldCharType="end"/>
      </w:r>
      <w:r>
        <w:rPr>
          <w:rFonts w:hint="eastAsia" w:ascii="宋体" w:hAnsi="宋体"/>
          <w:color w:val="000000" w:themeColor="text1"/>
          <w:sz w:val="20"/>
          <w14:textFill>
            <w14:solidFill>
              <w14:schemeClr w14:val="tx1"/>
            </w14:solidFill>
          </w14:textFill>
        </w:rPr>
        <w:t>账单，同时应提供所有相应的证明记录和资料的复印件给甲方核实上述计算。</w:t>
      </w:r>
    </w:p>
    <w:p>
      <w:pPr>
        <w:pStyle w:val="239"/>
        <w:tabs>
          <w:tab w:val="left" w:pos="420"/>
        </w:tabs>
        <w:spacing w:before="194" w:beforeLines="50"/>
        <w:ind w:firstLine="567"/>
        <w:rPr>
          <w:rFonts w:ascii="宋体" w:hAnsi="宋体"/>
          <w:color w:val="000000" w:themeColor="text1"/>
          <w:sz w:val="20"/>
          <w14:textFill>
            <w14:solidFill>
              <w14:schemeClr w14:val="tx1"/>
            </w14:solidFill>
          </w14:textFill>
        </w:rPr>
      </w:pPr>
      <w:r>
        <w:rPr>
          <w:rFonts w:hint="eastAsia" w:ascii="宋体" w:hAnsi="宋体"/>
          <w:color w:val="000000" w:themeColor="text1"/>
          <w:sz w:val="20"/>
          <w14:textFill>
            <w14:solidFill>
              <w14:schemeClr w14:val="tx1"/>
            </w14:solidFill>
          </w14:textFill>
        </w:rPr>
        <w:t>1</w:t>
      </w:r>
      <w:r>
        <w:rPr>
          <w:rFonts w:ascii="宋体" w:hAnsi="宋体"/>
          <w:color w:val="000000" w:themeColor="text1"/>
          <w:sz w:val="20"/>
          <w14:textFill>
            <w14:solidFill>
              <w14:schemeClr w14:val="tx1"/>
            </w14:solidFill>
          </w14:textFill>
        </w:rPr>
        <w:t>0</w:t>
      </w:r>
      <w:r>
        <w:rPr>
          <w:rFonts w:hint="eastAsia" w:ascii="宋体" w:hAnsi="宋体"/>
          <w:color w:val="000000" w:themeColor="text1"/>
          <w:sz w:val="20"/>
          <w14:textFill>
            <w14:solidFill>
              <w14:schemeClr w14:val="tx1"/>
            </w14:solidFill>
          </w14:textFill>
        </w:rPr>
        <w:t>.</w:t>
      </w:r>
      <w:r>
        <w:rPr>
          <w:rFonts w:ascii="宋体" w:hAnsi="宋体"/>
          <w:color w:val="000000" w:themeColor="text1"/>
          <w:sz w:val="20"/>
          <w14:textFill>
            <w14:solidFill>
              <w14:schemeClr w14:val="tx1"/>
            </w14:solidFill>
          </w14:textFill>
        </w:rPr>
        <w:t>4</w:t>
      </w:r>
      <w:r>
        <w:rPr>
          <w:rFonts w:hint="eastAsia" w:ascii="宋体" w:hAnsi="宋体"/>
          <w:color w:val="000000" w:themeColor="text1"/>
          <w:sz w:val="20"/>
          <w14:textFill>
            <w14:solidFill>
              <w14:schemeClr w14:val="tx1"/>
            </w14:solidFill>
          </w14:textFill>
        </w:rPr>
        <w:t>.2 甲方在核准确认无争议应付运营服务费金额后，应在收到乙方付款通知账单日后的十（10）个工作日（“应付款日”）内及时通知乙方开具并递交与前述核准确认金额相符的服务费凭证给甲方，甲方将在每满6个月的次月月底前运营服务费款额。</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0</w:t>
      </w:r>
      <w:r>
        <w:rPr>
          <w:rFonts w:hint="eastAsia" w:ascii="宋体" w:hAnsi="宋体"/>
          <w:b/>
          <w:szCs w:val="20"/>
        </w:rPr>
        <w:t>.</w:t>
      </w:r>
      <w:r>
        <w:rPr>
          <w:rFonts w:ascii="宋体" w:hAnsi="宋体"/>
          <w:b/>
          <w:szCs w:val="20"/>
        </w:rPr>
        <w:t>5</w:t>
      </w:r>
      <w:r>
        <w:rPr>
          <w:rFonts w:hint="eastAsia" w:ascii="宋体" w:hAnsi="宋体"/>
          <w:b/>
          <w:szCs w:val="20"/>
        </w:rPr>
        <w:t xml:space="preserve"> 支付帐户</w:t>
      </w:r>
    </w:p>
    <w:p>
      <w:pPr>
        <w:pStyle w:val="239"/>
        <w:tabs>
          <w:tab w:val="left" w:pos="420"/>
        </w:tabs>
        <w:spacing w:before="194" w:beforeLines="50"/>
        <w:ind w:firstLine="567"/>
        <w:rPr>
          <w:rFonts w:ascii="宋体" w:hAnsi="宋体"/>
          <w:sz w:val="20"/>
        </w:rPr>
      </w:pPr>
      <w:r>
        <w:rPr>
          <w:rFonts w:hint="eastAsia" w:ascii="宋体" w:hAnsi="宋体"/>
          <w:sz w:val="20"/>
        </w:rPr>
        <w:t>根据本协议应支付的所有相关费用均应按照规定的收款人、开户行、账户和付款方式（或乙方另行书面通知的其他中国境内银行账户），由甲方以人民币向乙方支付，银行手续费由每一方自行承担。</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0</w:t>
      </w:r>
      <w:r>
        <w:rPr>
          <w:rFonts w:hint="eastAsia" w:ascii="宋体" w:hAnsi="宋体"/>
          <w:b/>
          <w:szCs w:val="20"/>
        </w:rPr>
        <w:t>.</w:t>
      </w:r>
      <w:r>
        <w:rPr>
          <w:rFonts w:ascii="宋体" w:hAnsi="宋体"/>
          <w:b/>
          <w:szCs w:val="20"/>
        </w:rPr>
        <w:t>6</w:t>
      </w:r>
      <w:r>
        <w:rPr>
          <w:rFonts w:hint="eastAsia" w:ascii="宋体" w:hAnsi="宋体"/>
          <w:b/>
          <w:szCs w:val="20"/>
        </w:rPr>
        <w:t xml:space="preserve"> 政府相关部门的核准</w:t>
      </w:r>
    </w:p>
    <w:p>
      <w:pPr>
        <w:pStyle w:val="239"/>
        <w:tabs>
          <w:tab w:val="left" w:pos="420"/>
        </w:tabs>
        <w:spacing w:before="194" w:beforeLines="50"/>
        <w:ind w:firstLine="567"/>
        <w:rPr>
          <w:rFonts w:ascii="宋体" w:hAnsi="宋体"/>
          <w:sz w:val="20"/>
        </w:rPr>
      </w:pPr>
      <w:r>
        <w:rPr>
          <w:rFonts w:hint="eastAsia" w:ascii="宋体" w:hAnsi="宋体"/>
          <w:sz w:val="20"/>
        </w:rPr>
        <w:t>政府相关部门将有权就任何一个周期（每6个月）运营服务费支付金额的计算、提议的单价调整方案是否与本协议中获得双方确认的公式和计算方法以及国家有关价格规定是否一致进行核实。</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0</w:t>
      </w:r>
      <w:r>
        <w:rPr>
          <w:rFonts w:hint="eastAsia" w:ascii="宋体" w:hAnsi="宋体"/>
          <w:b/>
          <w:szCs w:val="20"/>
        </w:rPr>
        <w:t>.</w:t>
      </w:r>
      <w:r>
        <w:rPr>
          <w:rFonts w:ascii="宋体" w:hAnsi="宋体"/>
          <w:b/>
          <w:szCs w:val="20"/>
        </w:rPr>
        <w:t>7</w:t>
      </w:r>
      <w:r>
        <w:rPr>
          <w:rFonts w:hint="eastAsia" w:ascii="宋体" w:hAnsi="宋体"/>
          <w:b/>
          <w:szCs w:val="20"/>
        </w:rPr>
        <w:t xml:space="preserve"> 收费发票或凭证</w:t>
      </w:r>
    </w:p>
    <w:p>
      <w:pPr>
        <w:pStyle w:val="239"/>
        <w:tabs>
          <w:tab w:val="left" w:pos="420"/>
        </w:tabs>
        <w:spacing w:before="194" w:beforeLines="50"/>
        <w:ind w:firstLine="567"/>
        <w:rPr>
          <w:rFonts w:ascii="宋体" w:hAnsi="宋体"/>
          <w:sz w:val="20"/>
        </w:rPr>
      </w:pPr>
      <w:r>
        <w:rPr>
          <w:rFonts w:hint="eastAsia" w:ascii="宋体" w:hAnsi="宋体"/>
          <w:sz w:val="20"/>
        </w:rPr>
        <w:t>乙方在申请获得运营服务费时，应按照甲方要求提交适宜的服务费发票。</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0</w:t>
      </w:r>
      <w:r>
        <w:rPr>
          <w:rFonts w:hint="eastAsia" w:ascii="宋体" w:hAnsi="宋体"/>
          <w:b/>
          <w:szCs w:val="20"/>
        </w:rPr>
        <w:t>.</w:t>
      </w:r>
      <w:r>
        <w:rPr>
          <w:rFonts w:ascii="宋体" w:hAnsi="宋体"/>
          <w:b/>
          <w:szCs w:val="20"/>
        </w:rPr>
        <w:t>8</w:t>
      </w:r>
      <w:r>
        <w:rPr>
          <w:rFonts w:hint="eastAsia" w:ascii="宋体" w:hAnsi="宋体"/>
          <w:b/>
          <w:szCs w:val="20"/>
        </w:rPr>
        <w:t xml:space="preserve"> 利息</w:t>
      </w:r>
    </w:p>
    <w:p>
      <w:pPr>
        <w:pStyle w:val="239"/>
        <w:tabs>
          <w:tab w:val="left" w:pos="420"/>
        </w:tabs>
        <w:spacing w:before="194" w:beforeLines="50"/>
        <w:ind w:firstLine="567"/>
        <w:rPr>
          <w:rFonts w:ascii="宋体" w:hAnsi="宋体"/>
          <w:sz w:val="20"/>
        </w:rPr>
      </w:pPr>
      <w:r>
        <w:rPr>
          <w:rFonts w:hint="eastAsia" w:ascii="宋体" w:hAnsi="宋体"/>
          <w:sz w:val="20"/>
        </w:rPr>
        <w:t>如果一方在本协议项下应向另一方支付的任何款项在到期之后未能支付，付款一方应支付按当时人民银行公布的一年期银行贷款利率计算的违约利息，该利息应依照前述约定利率自到期之日(包括该日)至收款方收到款项之日(不包括该日) 按日累计，按月计算。</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0</w:t>
      </w:r>
      <w:r>
        <w:rPr>
          <w:rFonts w:hint="eastAsia" w:ascii="宋体" w:hAnsi="宋体"/>
          <w:b/>
          <w:szCs w:val="20"/>
        </w:rPr>
        <w:t>.</w:t>
      </w:r>
      <w:r>
        <w:rPr>
          <w:rFonts w:ascii="宋体" w:hAnsi="宋体"/>
          <w:b/>
          <w:szCs w:val="20"/>
        </w:rPr>
        <w:t>9</w:t>
      </w:r>
      <w:r>
        <w:rPr>
          <w:rFonts w:hint="eastAsia" w:ascii="宋体" w:hAnsi="宋体"/>
          <w:b/>
          <w:szCs w:val="20"/>
        </w:rPr>
        <w:t xml:space="preserve">  争议款项</w:t>
      </w:r>
    </w:p>
    <w:p>
      <w:pPr>
        <w:pStyle w:val="239"/>
        <w:tabs>
          <w:tab w:val="left" w:pos="420"/>
        </w:tabs>
        <w:spacing w:before="194" w:beforeLines="50"/>
        <w:ind w:firstLine="567"/>
        <w:rPr>
          <w:rFonts w:ascii="宋体" w:hAnsi="宋体"/>
          <w:sz w:val="20"/>
        </w:rPr>
      </w:pPr>
      <w:r>
        <w:rPr>
          <w:rFonts w:hint="eastAsia" w:ascii="宋体" w:hAnsi="宋体"/>
          <w:sz w:val="20"/>
        </w:rPr>
        <w:t>如果双方对付款通知单中所列款额存在争议，则有争议的金额部分应按第</w:t>
      </w:r>
      <w:r>
        <w:fldChar w:fldCharType="begin"/>
      </w:r>
      <w:r>
        <w:instrText xml:space="preserve"> HYPERLINK \l "_第21章_争议的解决" </w:instrText>
      </w:r>
      <w:r>
        <w:fldChar w:fldCharType="separate"/>
      </w:r>
      <w:r>
        <w:rPr>
          <w:rFonts w:hint="eastAsia" w:ascii="宋体" w:hAnsi="宋体"/>
          <w:sz w:val="20"/>
          <w:szCs w:val="20"/>
        </w:rPr>
        <w:t>19</w:t>
      </w:r>
      <w:r>
        <w:rPr>
          <w:rFonts w:hint="eastAsia" w:ascii="宋体" w:hAnsi="宋体"/>
          <w:sz w:val="20"/>
          <w:szCs w:val="20"/>
        </w:rPr>
        <w:fldChar w:fldCharType="end"/>
      </w:r>
      <w:r>
        <w:rPr>
          <w:rFonts w:hint="eastAsia" w:ascii="宋体" w:hAnsi="宋体"/>
          <w:sz w:val="20"/>
        </w:rPr>
        <w:t>章的规定解决。且应付款到期日以后支付的一切款项均应按第</w:t>
      </w:r>
      <w:r>
        <w:fldChar w:fldCharType="begin"/>
      </w:r>
      <w:r>
        <w:instrText xml:space="preserve"> HYPERLINK \l "_10.6_利息" </w:instrText>
      </w:r>
      <w:r>
        <w:fldChar w:fldCharType="separate"/>
      </w:r>
      <w:r>
        <w:rPr>
          <w:rFonts w:hint="eastAsia" w:ascii="宋体" w:hAnsi="宋体"/>
          <w:sz w:val="20"/>
          <w:szCs w:val="20"/>
        </w:rPr>
        <w:t>1</w:t>
      </w:r>
      <w:r>
        <w:rPr>
          <w:rFonts w:ascii="宋体" w:hAnsi="宋体"/>
          <w:sz w:val="20"/>
          <w:szCs w:val="20"/>
        </w:rPr>
        <w:t>0</w:t>
      </w:r>
      <w:r>
        <w:rPr>
          <w:rFonts w:hint="eastAsia" w:ascii="宋体" w:hAnsi="宋体"/>
          <w:sz w:val="20"/>
          <w:szCs w:val="20"/>
        </w:rPr>
        <w:t>.</w:t>
      </w:r>
      <w:r>
        <w:rPr>
          <w:rFonts w:ascii="宋体" w:hAnsi="宋体"/>
          <w:sz w:val="20"/>
          <w:szCs w:val="20"/>
        </w:rPr>
        <w:t>8</w:t>
      </w:r>
      <w:r>
        <w:rPr>
          <w:rFonts w:ascii="宋体" w:hAnsi="宋体"/>
          <w:sz w:val="20"/>
          <w:szCs w:val="20"/>
        </w:rPr>
        <w:fldChar w:fldCharType="end"/>
      </w:r>
      <w:r>
        <w:rPr>
          <w:rFonts w:hint="eastAsia" w:ascii="宋体" w:hAnsi="宋体"/>
          <w:sz w:val="20"/>
        </w:rPr>
        <w:t>条的规定计付利息。</w:t>
      </w:r>
    </w:p>
    <w:p>
      <w:pPr>
        <w:pStyle w:val="239"/>
        <w:keepNext/>
        <w:keepLines/>
        <w:spacing w:before="120" w:after="120"/>
        <w:ind w:firstLine="500"/>
        <w:outlineLvl w:val="4"/>
        <w:rPr>
          <w:rFonts w:ascii="仿宋_GB2312" w:hAnsi="仿宋_GB2312" w:eastAsia="仿宋_GB2312"/>
          <w:b/>
          <w:bCs/>
          <w:sz w:val="24"/>
        </w:rPr>
      </w:pPr>
      <w:r>
        <w:rPr>
          <w:rFonts w:hint="eastAsia" w:ascii="宋体" w:hAnsi="宋体"/>
          <w:b/>
          <w:szCs w:val="20"/>
        </w:rPr>
        <w:t>1</w:t>
      </w:r>
      <w:r>
        <w:rPr>
          <w:rFonts w:ascii="宋体" w:hAnsi="宋体"/>
          <w:b/>
          <w:szCs w:val="20"/>
        </w:rPr>
        <w:t>0</w:t>
      </w:r>
      <w:r>
        <w:rPr>
          <w:rFonts w:hint="eastAsia" w:ascii="宋体" w:hAnsi="宋体"/>
          <w:b/>
          <w:szCs w:val="20"/>
        </w:rPr>
        <w:t>.1</w:t>
      </w:r>
      <w:r>
        <w:rPr>
          <w:rFonts w:ascii="宋体" w:hAnsi="宋体"/>
          <w:b/>
          <w:szCs w:val="20"/>
        </w:rPr>
        <w:t>0</w:t>
      </w:r>
      <w:r>
        <w:rPr>
          <w:rFonts w:hint="eastAsia" w:ascii="宋体" w:hAnsi="宋体"/>
          <w:b/>
          <w:szCs w:val="20"/>
        </w:rPr>
        <w:t xml:space="preserve"> 税项说明</w:t>
      </w:r>
    </w:p>
    <w:p>
      <w:pPr>
        <w:pStyle w:val="239"/>
        <w:tabs>
          <w:tab w:val="left" w:pos="420"/>
        </w:tabs>
        <w:spacing w:before="194" w:beforeLines="50"/>
        <w:ind w:firstLine="567"/>
        <w:rPr>
          <w:rFonts w:ascii="宋体" w:hAnsi="宋体"/>
          <w:sz w:val="20"/>
        </w:rPr>
      </w:pPr>
      <w:r>
        <w:rPr>
          <w:rFonts w:hint="eastAsia" w:ascii="宋体" w:hAnsi="宋体"/>
          <w:sz w:val="20"/>
        </w:rPr>
        <w:t>项目中标报价中的运营服务费中所包括或应包括的税费等，由乙方自行考虑。甲方向乙方支付的运营服务费应视作已包含根据适用法律乙方应纳的所有税费，使其不会因缴纳或扣除任何税费而减少预期收入。</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0</w:t>
      </w:r>
      <w:r>
        <w:rPr>
          <w:rFonts w:hint="eastAsia" w:ascii="宋体" w:hAnsi="宋体"/>
          <w:b/>
          <w:szCs w:val="20"/>
        </w:rPr>
        <w:t>.1</w:t>
      </w:r>
      <w:r>
        <w:rPr>
          <w:rFonts w:ascii="宋体" w:hAnsi="宋体"/>
          <w:b/>
          <w:szCs w:val="20"/>
        </w:rPr>
        <w:t>1</w:t>
      </w:r>
      <w:r>
        <w:rPr>
          <w:rFonts w:hint="eastAsia" w:ascii="宋体" w:hAnsi="宋体"/>
          <w:b/>
          <w:szCs w:val="20"/>
        </w:rPr>
        <w:t xml:space="preserve"> 有争议的金额</w:t>
      </w:r>
    </w:p>
    <w:p>
      <w:pPr>
        <w:pStyle w:val="239"/>
        <w:tabs>
          <w:tab w:val="left" w:pos="420"/>
        </w:tabs>
        <w:spacing w:before="194" w:beforeLines="50"/>
        <w:ind w:firstLine="567"/>
        <w:rPr>
          <w:rFonts w:ascii="宋体" w:hAnsi="宋体"/>
          <w:sz w:val="20"/>
        </w:rPr>
      </w:pPr>
      <w:r>
        <w:rPr>
          <w:rFonts w:hint="eastAsia" w:ascii="宋体" w:hAnsi="宋体"/>
          <w:sz w:val="20"/>
        </w:rPr>
        <w:t>甲方如对乙方提交的运营付费申请单显示的金额或对本协议项下的其他付款要求有任何异议，应在收到运营付费申请单之日后的十(10)天内通知乙方并说明原因，并在到期日先行支付无争议部分的金额。否则应视为无异议并应全额核准支付。任何有关剩余金额的争议应首先在争议出现后五（5）个工作日内协商解决。在该协商期结束时仍未能解决，则应按第</w:t>
      </w:r>
      <w:r>
        <w:fldChar w:fldCharType="begin"/>
      </w:r>
      <w:r>
        <w:instrText xml:space="preserve"> HYPERLINK \l "_19.1_运营协调小组的友好解决" </w:instrText>
      </w:r>
      <w:r>
        <w:fldChar w:fldCharType="separate"/>
      </w:r>
      <w:r>
        <w:rPr>
          <w:rFonts w:hint="eastAsia" w:ascii="宋体" w:hAnsi="宋体"/>
          <w:sz w:val="20"/>
          <w:szCs w:val="20"/>
        </w:rPr>
        <w:t>1</w:t>
      </w:r>
      <w:r>
        <w:rPr>
          <w:rFonts w:ascii="宋体" w:hAnsi="宋体"/>
          <w:sz w:val="20"/>
          <w:szCs w:val="20"/>
        </w:rPr>
        <w:t>7</w:t>
      </w:r>
      <w:r>
        <w:rPr>
          <w:rFonts w:hint="eastAsia" w:ascii="宋体" w:hAnsi="宋体"/>
          <w:sz w:val="20"/>
          <w:szCs w:val="20"/>
        </w:rPr>
        <w:t>.1</w:t>
      </w:r>
      <w:r>
        <w:rPr>
          <w:rFonts w:hint="eastAsia" w:ascii="宋体" w:hAnsi="宋体"/>
          <w:sz w:val="20"/>
          <w:szCs w:val="20"/>
        </w:rPr>
        <w:fldChar w:fldCharType="end"/>
      </w:r>
      <w:r>
        <w:rPr>
          <w:rFonts w:hint="eastAsia" w:ascii="宋体" w:hAnsi="宋体"/>
          <w:sz w:val="20"/>
        </w:rPr>
        <w:t>条的规定解决。</w:t>
      </w:r>
    </w:p>
    <w:p>
      <w:pPr>
        <w:pStyle w:val="239"/>
        <w:tabs>
          <w:tab w:val="left" w:pos="420"/>
        </w:tabs>
        <w:spacing w:before="194" w:beforeLines="50"/>
        <w:ind w:firstLine="567"/>
        <w:rPr>
          <w:rFonts w:ascii="宋体" w:hAnsi="宋体"/>
          <w:sz w:val="20"/>
        </w:rPr>
      </w:pPr>
      <w:r>
        <w:rPr>
          <w:rFonts w:ascii="宋体" w:hAnsi="宋体"/>
          <w:sz w:val="20"/>
        </w:rPr>
        <w:t>10</w:t>
      </w:r>
      <w:r>
        <w:rPr>
          <w:rFonts w:hint="eastAsia" w:ascii="宋体" w:hAnsi="宋体"/>
          <w:sz w:val="20"/>
        </w:rPr>
        <w:t>.1</w:t>
      </w:r>
      <w:r>
        <w:rPr>
          <w:rFonts w:ascii="宋体" w:hAnsi="宋体"/>
          <w:sz w:val="20"/>
        </w:rPr>
        <w:t>1</w:t>
      </w:r>
      <w:r>
        <w:rPr>
          <w:rFonts w:hint="eastAsia" w:ascii="宋体" w:hAnsi="宋体"/>
          <w:sz w:val="20"/>
        </w:rPr>
        <w:t>.1 未付款项的支付</w:t>
      </w:r>
    </w:p>
    <w:p>
      <w:pPr>
        <w:pStyle w:val="239"/>
        <w:tabs>
          <w:tab w:val="left" w:pos="420"/>
        </w:tabs>
        <w:spacing w:before="194" w:beforeLines="50"/>
        <w:ind w:firstLine="567"/>
        <w:rPr>
          <w:rFonts w:ascii="宋体" w:hAnsi="宋体"/>
          <w:sz w:val="20"/>
        </w:rPr>
      </w:pPr>
      <w:r>
        <w:rPr>
          <w:rFonts w:hint="eastAsia" w:ascii="宋体" w:hAnsi="宋体"/>
          <w:sz w:val="20"/>
        </w:rPr>
        <w:t>如果甲方对乙方提交的运营付费申请单显示的或要求的任何或部分金额有争议，且随后根据第1</w:t>
      </w:r>
      <w:r>
        <w:rPr>
          <w:rFonts w:ascii="宋体" w:hAnsi="宋体"/>
          <w:sz w:val="20"/>
        </w:rPr>
        <w:t>7</w:t>
      </w:r>
      <w:r>
        <w:rPr>
          <w:rFonts w:hint="eastAsia" w:ascii="宋体" w:hAnsi="宋体"/>
          <w:sz w:val="20"/>
        </w:rPr>
        <w:t>.1条的争议解决条款，确认甲方尚未支付的任何应付款项应由甲方支付给乙方。</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0</w:t>
      </w:r>
      <w:r>
        <w:rPr>
          <w:rFonts w:hint="eastAsia" w:ascii="宋体" w:hAnsi="宋体"/>
          <w:sz w:val="20"/>
        </w:rPr>
        <w:t>.1</w:t>
      </w:r>
      <w:r>
        <w:rPr>
          <w:rFonts w:ascii="宋体" w:hAnsi="宋体"/>
          <w:sz w:val="20"/>
        </w:rPr>
        <w:t>1</w:t>
      </w:r>
      <w:r>
        <w:rPr>
          <w:rFonts w:hint="eastAsia" w:ascii="宋体" w:hAnsi="宋体"/>
          <w:sz w:val="20"/>
        </w:rPr>
        <w:t>.2 多付款项的退还</w:t>
      </w:r>
    </w:p>
    <w:p>
      <w:pPr>
        <w:pStyle w:val="239"/>
        <w:tabs>
          <w:tab w:val="left" w:pos="420"/>
        </w:tabs>
        <w:spacing w:before="194" w:beforeLines="50"/>
        <w:ind w:firstLine="567"/>
        <w:rPr>
          <w:rFonts w:ascii="宋体" w:hAnsi="宋体"/>
          <w:sz w:val="20"/>
        </w:rPr>
      </w:pPr>
      <w:r>
        <w:rPr>
          <w:rFonts w:hint="eastAsia" w:ascii="宋体" w:hAnsi="宋体"/>
          <w:sz w:val="20"/>
        </w:rPr>
        <w:t>如果运营付费申请单显示或要求的任何金额或部分金额已支付，但事后产生争议或异议，且后来根据第1</w:t>
      </w:r>
      <w:r>
        <w:rPr>
          <w:rFonts w:ascii="宋体" w:hAnsi="宋体"/>
          <w:sz w:val="20"/>
        </w:rPr>
        <w:t>7</w:t>
      </w:r>
      <w:r>
        <w:rPr>
          <w:rFonts w:hint="eastAsia" w:ascii="宋体" w:hAnsi="宋体"/>
          <w:sz w:val="20"/>
        </w:rPr>
        <w:t>.1条争议解决条款商定或确定为属于不当支付，则乙方应退还不当支付部分并从下</w:t>
      </w:r>
      <w:r>
        <w:rPr>
          <w:rFonts w:hint="eastAsia" w:ascii="宋体" w:hAnsi="宋体"/>
          <w:sz w:val="20"/>
          <w:lang w:eastAsia="zh-CN"/>
        </w:rPr>
        <w:t>期</w:t>
      </w:r>
      <w:r>
        <w:rPr>
          <w:rFonts w:hint="eastAsia" w:ascii="宋体" w:hAnsi="宋体"/>
          <w:sz w:val="20"/>
        </w:rPr>
        <w:t>运营付费中扣除。</w:t>
      </w: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hint="eastAsia" w:ascii="新宋体" w:hAnsi="新宋体" w:eastAsia="新宋体" w:cs="新宋体"/>
          <w:b/>
          <w:kern w:val="2"/>
          <w:sz w:val="28"/>
          <w:szCs w:val="28"/>
        </w:rPr>
      </w:pP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第十一节  项目的财务管理</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1</w:t>
      </w:r>
      <w:r>
        <w:rPr>
          <w:rFonts w:hint="eastAsia" w:ascii="宋体" w:hAnsi="宋体"/>
          <w:b/>
          <w:szCs w:val="20"/>
        </w:rPr>
        <w:t>.1 乙方的基本义务</w:t>
      </w:r>
    </w:p>
    <w:p>
      <w:pPr>
        <w:pStyle w:val="239"/>
        <w:tabs>
          <w:tab w:val="left" w:pos="420"/>
        </w:tabs>
        <w:spacing w:before="194" w:beforeLines="50"/>
        <w:ind w:firstLine="567"/>
        <w:rPr>
          <w:rFonts w:ascii="宋体" w:hAnsi="宋体"/>
          <w:sz w:val="20"/>
        </w:rPr>
      </w:pPr>
      <w:r>
        <w:rPr>
          <w:rFonts w:hint="eastAsia" w:ascii="宋体" w:hAnsi="宋体"/>
          <w:sz w:val="20"/>
        </w:rPr>
        <w:t>在运营期内，乙方应全权承担项目设施的运营前接收、运营维护和移交等运营委托事项，独立负责和完成接收和正常运营时所需的流动资金筹措。对本项目应设立专账，并建立起完善的财务管理制度。</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1</w:t>
      </w:r>
      <w:r>
        <w:rPr>
          <w:rFonts w:hint="eastAsia" w:ascii="宋体" w:hAnsi="宋体"/>
          <w:b/>
          <w:szCs w:val="20"/>
        </w:rPr>
        <w:t>.2 项目融资限制</w:t>
      </w:r>
    </w:p>
    <w:p>
      <w:pPr>
        <w:pStyle w:val="239"/>
        <w:tabs>
          <w:tab w:val="left" w:pos="420"/>
        </w:tabs>
        <w:spacing w:before="194" w:beforeLines="50"/>
        <w:ind w:firstLine="567"/>
        <w:rPr>
          <w:rFonts w:ascii="宋体" w:hAnsi="宋体"/>
          <w:sz w:val="20"/>
        </w:rPr>
      </w:pPr>
      <w:r>
        <w:rPr>
          <w:rFonts w:hint="eastAsia" w:ascii="宋体" w:hAnsi="宋体"/>
          <w:sz w:val="20"/>
        </w:rPr>
        <w:t>在整个运营期内，乙方不得将本项目运营权及相关权益向任何第三方进行转让、出租、质押或其他任何处置。</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1</w:t>
      </w:r>
      <w:r>
        <w:rPr>
          <w:rFonts w:hint="eastAsia" w:ascii="宋体" w:hAnsi="宋体"/>
          <w:b/>
          <w:szCs w:val="20"/>
        </w:rPr>
        <w:t>.3 财务监督和检查</w:t>
      </w:r>
    </w:p>
    <w:p>
      <w:pPr>
        <w:pStyle w:val="239"/>
        <w:tabs>
          <w:tab w:val="left" w:pos="420"/>
        </w:tabs>
        <w:spacing w:before="194" w:beforeLines="50"/>
        <w:ind w:firstLine="567"/>
        <w:rPr>
          <w:rFonts w:ascii="宋体" w:hAnsi="宋体"/>
          <w:sz w:val="20"/>
        </w:rPr>
      </w:pPr>
      <w:r>
        <w:rPr>
          <w:rFonts w:hint="eastAsia" w:ascii="宋体" w:hAnsi="宋体"/>
          <w:sz w:val="20"/>
        </w:rPr>
        <w:t>乙方应按照国家相关法律法规依法接受相关机构的审计、监督和检查。甲方可能随时合理要求乙方提供有关财务状况等其他资料，以监督乙方遵守中国法律和运营服务协议。</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第十二节  不可抗力</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.1 不可抗力引起的终止履行</w:t>
      </w:r>
    </w:p>
    <w:p>
      <w:pPr>
        <w:pStyle w:val="239"/>
        <w:tabs>
          <w:tab w:val="left" w:pos="420"/>
        </w:tabs>
        <w:spacing w:before="194" w:beforeLines="50"/>
        <w:ind w:firstLine="567"/>
        <w:rPr>
          <w:rFonts w:ascii="宋体" w:hAnsi="宋体"/>
          <w:sz w:val="20"/>
        </w:rPr>
      </w:pPr>
      <w:r>
        <w:rPr>
          <w:rFonts w:hint="eastAsia" w:ascii="宋体" w:hAnsi="宋体"/>
          <w:sz w:val="20"/>
        </w:rPr>
        <w:t>在任何一方由于不可抗力事件使该方不能全部或部分履行其运营服务协议项下义务的情况下，该方应有权中止履行运营服务协议项下的义务(运营服务协议第</w:t>
      </w:r>
      <w:r>
        <w:fldChar w:fldCharType="begin"/>
      </w:r>
      <w:r>
        <w:instrText xml:space="preserve"> HYPERLINK \l "_15.1_终止事件" </w:instrText>
      </w:r>
      <w:r>
        <w:fldChar w:fldCharType="separate"/>
      </w:r>
      <w:r>
        <w:rPr>
          <w:rFonts w:hint="eastAsia" w:ascii="宋体" w:hAnsi="宋体"/>
          <w:sz w:val="20"/>
          <w:szCs w:val="20"/>
        </w:rPr>
        <w:t>1</w:t>
      </w:r>
      <w:r>
        <w:rPr>
          <w:rFonts w:ascii="宋体" w:hAnsi="宋体"/>
          <w:sz w:val="20"/>
          <w:szCs w:val="20"/>
        </w:rPr>
        <w:t>2</w:t>
      </w:r>
      <w:r>
        <w:rPr>
          <w:rFonts w:ascii="宋体" w:hAnsi="宋体"/>
          <w:sz w:val="20"/>
          <w:szCs w:val="20"/>
        </w:rPr>
        <w:fldChar w:fldCharType="end"/>
      </w:r>
      <w:r>
        <w:rPr>
          <w:rFonts w:hint="eastAsia" w:ascii="宋体" w:hAnsi="宋体"/>
          <w:sz w:val="20"/>
        </w:rPr>
        <w:t>.6和1</w:t>
      </w:r>
      <w:r>
        <w:rPr>
          <w:rFonts w:ascii="宋体" w:hAnsi="宋体"/>
          <w:sz w:val="20"/>
        </w:rPr>
        <w:t>3</w:t>
      </w:r>
      <w:r>
        <w:rPr>
          <w:rFonts w:hint="eastAsia" w:ascii="宋体" w:hAnsi="宋体"/>
          <w:sz w:val="20"/>
        </w:rPr>
        <w:t>.8款项下终止补偿时的支付义务除外)：</w:t>
      </w:r>
    </w:p>
    <w:p>
      <w:pPr>
        <w:pStyle w:val="239"/>
        <w:tabs>
          <w:tab w:val="left" w:pos="420"/>
        </w:tabs>
        <w:spacing w:before="194" w:beforeLines="50"/>
        <w:ind w:firstLine="567"/>
        <w:rPr>
          <w:rFonts w:ascii="宋体" w:hAnsi="宋体"/>
          <w:sz w:val="20"/>
        </w:rPr>
      </w:pPr>
      <w:r>
        <w:rPr>
          <w:rFonts w:hint="eastAsia" w:ascii="宋体" w:hAnsi="宋体"/>
          <w:sz w:val="20"/>
        </w:rPr>
        <w:t>该事件是在该方签订运营服务协议时不能合理预见，并且声称不可抗力的一方对该事件及其后果不能克服和不能避免的，包括但不限于：</w:t>
      </w:r>
    </w:p>
    <w:p>
      <w:pPr>
        <w:pStyle w:val="239"/>
        <w:tabs>
          <w:tab w:val="left" w:pos="420"/>
        </w:tabs>
        <w:spacing w:before="194" w:beforeLines="50"/>
        <w:ind w:firstLine="567"/>
        <w:rPr>
          <w:rFonts w:ascii="宋体" w:hAnsi="宋体"/>
          <w:sz w:val="20"/>
        </w:rPr>
      </w:pPr>
      <w:r>
        <w:rPr>
          <w:rFonts w:hint="eastAsia" w:ascii="宋体" w:hAnsi="宋体"/>
          <w:sz w:val="20"/>
        </w:rPr>
        <w:t>（a）任何战争行为（无论是否宣战）、入侵、武装冲突、外敌行为、封锁、暴乱、恐怖活动或军事力量的使用；</w:t>
      </w:r>
    </w:p>
    <w:p>
      <w:pPr>
        <w:pStyle w:val="239"/>
        <w:tabs>
          <w:tab w:val="left" w:pos="420"/>
        </w:tabs>
        <w:spacing w:before="194" w:beforeLines="50"/>
        <w:ind w:firstLine="567"/>
        <w:rPr>
          <w:rFonts w:ascii="宋体" w:hAnsi="宋体"/>
          <w:sz w:val="20"/>
        </w:rPr>
      </w:pPr>
      <w:r>
        <w:rPr>
          <w:rFonts w:hint="eastAsia" w:ascii="宋体" w:hAnsi="宋体"/>
          <w:sz w:val="20"/>
        </w:rPr>
        <w:t>（b）闪电、地震、地沉、地隆、山崩、飓风、风暴、火灾、洪水、干旱、陨石撞击和火山爆发，或任何其它天灾；</w:t>
      </w:r>
    </w:p>
    <w:p>
      <w:pPr>
        <w:pStyle w:val="239"/>
        <w:tabs>
          <w:tab w:val="left" w:pos="420"/>
        </w:tabs>
        <w:spacing w:before="194" w:beforeLines="50"/>
        <w:ind w:firstLine="567"/>
        <w:rPr>
          <w:rFonts w:ascii="宋体" w:hAnsi="宋体"/>
          <w:sz w:val="20"/>
        </w:rPr>
      </w:pPr>
      <w:r>
        <w:rPr>
          <w:rFonts w:hint="eastAsia" w:ascii="宋体" w:hAnsi="宋体"/>
          <w:sz w:val="20"/>
        </w:rPr>
        <w:t>（c）发生瘟疫和大规模流行性疾病；</w:t>
      </w:r>
    </w:p>
    <w:p>
      <w:pPr>
        <w:pStyle w:val="239"/>
        <w:tabs>
          <w:tab w:val="left" w:pos="420"/>
        </w:tabs>
        <w:spacing w:before="194" w:beforeLines="50"/>
        <w:ind w:firstLine="567"/>
        <w:rPr>
          <w:rFonts w:ascii="宋体" w:hAnsi="宋体"/>
          <w:sz w:val="20"/>
        </w:rPr>
      </w:pPr>
      <w:r>
        <w:rPr>
          <w:rFonts w:hint="eastAsia" w:ascii="宋体" w:hAnsi="宋体"/>
          <w:sz w:val="20"/>
        </w:rPr>
        <w:t>（d）任何征用；</w:t>
      </w:r>
    </w:p>
    <w:p>
      <w:pPr>
        <w:pStyle w:val="239"/>
        <w:tabs>
          <w:tab w:val="left" w:pos="420"/>
        </w:tabs>
        <w:spacing w:before="194" w:beforeLines="50"/>
        <w:ind w:firstLine="567"/>
        <w:rPr>
          <w:rFonts w:ascii="宋体" w:hAnsi="宋体"/>
          <w:sz w:val="20"/>
        </w:rPr>
      </w:pPr>
      <w:r>
        <w:rPr>
          <w:rFonts w:hint="eastAsia" w:ascii="宋体" w:hAnsi="宋体"/>
          <w:sz w:val="20"/>
        </w:rPr>
        <w:t>（e）影响污水处理厂所在场地的任何状态和情况（包括土壤、地下、环境、地理、地质工程和水文状况的变化所引致的）；</w:t>
      </w:r>
    </w:p>
    <w:p>
      <w:pPr>
        <w:pStyle w:val="239"/>
        <w:tabs>
          <w:tab w:val="left" w:pos="420"/>
        </w:tabs>
        <w:spacing w:before="194" w:beforeLines="50"/>
        <w:ind w:firstLine="567"/>
        <w:rPr>
          <w:rFonts w:ascii="宋体" w:hAnsi="宋体"/>
          <w:sz w:val="20"/>
        </w:rPr>
      </w:pPr>
      <w:r>
        <w:rPr>
          <w:rFonts w:hint="eastAsia" w:ascii="宋体" w:hAnsi="宋体"/>
          <w:sz w:val="20"/>
        </w:rPr>
        <w:t>（f）进水水质pH值或其他污染物对污水处理厂工艺系统造成毁灭性影响；</w:t>
      </w:r>
    </w:p>
    <w:p>
      <w:pPr>
        <w:pStyle w:val="239"/>
        <w:tabs>
          <w:tab w:val="left" w:pos="420"/>
        </w:tabs>
        <w:spacing w:before="194" w:beforeLines="50"/>
        <w:ind w:firstLine="567"/>
        <w:rPr>
          <w:rFonts w:ascii="宋体" w:hAnsi="宋体"/>
          <w:sz w:val="20"/>
        </w:rPr>
      </w:pPr>
      <w:r>
        <w:rPr>
          <w:rFonts w:hint="eastAsia" w:ascii="宋体" w:hAnsi="宋体"/>
          <w:sz w:val="20"/>
        </w:rPr>
        <w:t>（g）由于非乙方原因导致项目设施的外供电长期中断；</w:t>
      </w:r>
    </w:p>
    <w:p>
      <w:pPr>
        <w:pStyle w:val="239"/>
        <w:tabs>
          <w:tab w:val="left" w:pos="420"/>
        </w:tabs>
        <w:spacing w:before="194" w:beforeLines="50"/>
        <w:ind w:firstLine="567"/>
        <w:rPr>
          <w:rFonts w:ascii="宋体" w:hAnsi="宋体"/>
          <w:sz w:val="20"/>
        </w:rPr>
      </w:pPr>
      <w:r>
        <w:rPr>
          <w:rFonts w:hint="eastAsia" w:ascii="宋体" w:hAnsi="宋体"/>
          <w:sz w:val="20"/>
        </w:rPr>
        <w:t>（h）政府部门实施进口限制、配额或分配限制；</w:t>
      </w:r>
    </w:p>
    <w:p>
      <w:pPr>
        <w:pStyle w:val="239"/>
        <w:tabs>
          <w:tab w:val="left" w:pos="420"/>
        </w:tabs>
        <w:spacing w:before="194" w:beforeLines="50"/>
        <w:ind w:firstLine="567"/>
        <w:rPr>
          <w:rFonts w:ascii="宋体" w:hAnsi="宋体"/>
          <w:sz w:val="20"/>
        </w:rPr>
      </w:pPr>
      <w:r>
        <w:rPr>
          <w:rFonts w:hint="eastAsia" w:ascii="宋体" w:hAnsi="宋体"/>
          <w:sz w:val="20"/>
        </w:rPr>
        <w:t>（i）全国性、地区性或行业性罢工；</w:t>
      </w:r>
    </w:p>
    <w:p>
      <w:pPr>
        <w:pStyle w:val="239"/>
        <w:tabs>
          <w:tab w:val="left" w:pos="420"/>
        </w:tabs>
        <w:spacing w:before="194" w:beforeLines="50"/>
        <w:ind w:firstLine="567"/>
        <w:rPr>
          <w:rFonts w:ascii="宋体" w:hAnsi="宋体"/>
          <w:sz w:val="20"/>
        </w:rPr>
      </w:pPr>
      <w:r>
        <w:rPr>
          <w:rFonts w:hint="eastAsia" w:ascii="宋体" w:hAnsi="宋体"/>
          <w:sz w:val="20"/>
        </w:rPr>
        <w:t>（j）可导致终止的法律变更。</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.2 适用于乙方的例外情况</w:t>
      </w:r>
    </w:p>
    <w:p>
      <w:pPr>
        <w:pStyle w:val="239"/>
        <w:tabs>
          <w:tab w:val="left" w:pos="420"/>
        </w:tabs>
        <w:spacing w:before="194" w:beforeLines="50"/>
        <w:ind w:firstLine="567"/>
        <w:rPr>
          <w:rFonts w:ascii="宋体" w:hAnsi="宋体"/>
          <w:sz w:val="20"/>
        </w:rPr>
      </w:pPr>
      <w:r>
        <w:rPr>
          <w:rFonts w:hint="eastAsia" w:ascii="宋体" w:hAnsi="宋体"/>
          <w:sz w:val="20"/>
        </w:rPr>
        <w:t>乙方无权将任何下述情况视作不可抗力事件而终止履行运营服务协议或作为其不履行运营服务协议项下义务的理由,除非下述情况是由于符合第1</w:t>
      </w:r>
      <w:r>
        <w:rPr>
          <w:rFonts w:ascii="宋体" w:hAnsi="宋体"/>
          <w:sz w:val="20"/>
        </w:rPr>
        <w:t>2</w:t>
      </w:r>
      <w:r>
        <w:rPr>
          <w:rFonts w:hint="eastAsia" w:ascii="宋体" w:hAnsi="宋体"/>
          <w:sz w:val="20"/>
        </w:rPr>
        <w:t>.1条的某一事件所致：</w:t>
      </w:r>
    </w:p>
    <w:p>
      <w:pPr>
        <w:pStyle w:val="239"/>
        <w:tabs>
          <w:tab w:val="left" w:pos="420"/>
        </w:tabs>
        <w:spacing w:before="194" w:beforeLines="50"/>
        <w:ind w:firstLine="567"/>
        <w:rPr>
          <w:rFonts w:ascii="宋体" w:hAnsi="宋体"/>
          <w:sz w:val="20"/>
        </w:rPr>
      </w:pPr>
      <w:r>
        <w:rPr>
          <w:rFonts w:hint="eastAsia" w:ascii="宋体" w:hAnsi="宋体"/>
          <w:sz w:val="20"/>
        </w:rPr>
        <w:t xml:space="preserve">（a）乙方在履行协议方面发生过失或项目设施零配件、药剂及更新设备等的供应的交付上发生延误； </w:t>
      </w:r>
    </w:p>
    <w:p>
      <w:pPr>
        <w:pStyle w:val="239"/>
        <w:tabs>
          <w:tab w:val="left" w:pos="420"/>
        </w:tabs>
        <w:spacing w:before="194" w:beforeLines="50"/>
        <w:ind w:firstLine="567"/>
        <w:rPr>
          <w:rFonts w:ascii="宋体" w:hAnsi="宋体"/>
          <w:sz w:val="20"/>
        </w:rPr>
      </w:pPr>
      <w:r>
        <w:rPr>
          <w:rFonts w:hint="eastAsia" w:ascii="宋体" w:hAnsi="宋体"/>
          <w:sz w:val="20"/>
        </w:rPr>
        <w:t>（b）项目设施接收时就已明确的任何材料、设备、机器和零配件的任何明显或潜在的缺陷；</w:t>
      </w:r>
    </w:p>
    <w:p>
      <w:pPr>
        <w:pStyle w:val="239"/>
        <w:tabs>
          <w:tab w:val="left" w:pos="420"/>
        </w:tabs>
        <w:spacing w:before="194" w:beforeLines="50"/>
        <w:ind w:firstLine="567"/>
        <w:rPr>
          <w:rFonts w:ascii="宋体" w:hAnsi="宋体"/>
          <w:sz w:val="20"/>
        </w:rPr>
      </w:pPr>
      <w:r>
        <w:rPr>
          <w:rFonts w:hint="eastAsia" w:ascii="宋体" w:hAnsi="宋体"/>
          <w:sz w:val="20"/>
        </w:rPr>
        <w:t>（c）项目设施的材料、设备、机器或零件的故障或正常磨损。</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.3 适用于甲方的例外情况</w:t>
      </w:r>
    </w:p>
    <w:p>
      <w:pPr>
        <w:pStyle w:val="239"/>
        <w:tabs>
          <w:tab w:val="left" w:pos="420"/>
        </w:tabs>
        <w:spacing w:before="194" w:beforeLines="50"/>
        <w:ind w:firstLine="567"/>
        <w:rPr>
          <w:rFonts w:ascii="宋体" w:hAnsi="宋体"/>
          <w:sz w:val="20"/>
        </w:rPr>
      </w:pPr>
      <w:r>
        <w:rPr>
          <w:rFonts w:hint="eastAsia" w:ascii="宋体" w:hAnsi="宋体"/>
          <w:sz w:val="20"/>
        </w:rPr>
        <w:t>甲方无权将任何下述情况视作不可抗力事件而终止履行其运营服务协议项下的义务或作为其不履行协议项下义务的理由：</w:t>
      </w:r>
    </w:p>
    <w:p>
      <w:pPr>
        <w:pStyle w:val="239"/>
        <w:tabs>
          <w:tab w:val="left" w:pos="420"/>
        </w:tabs>
        <w:spacing w:before="194" w:beforeLines="50"/>
        <w:ind w:firstLine="567"/>
        <w:rPr>
          <w:rFonts w:ascii="宋体" w:hAnsi="宋体"/>
          <w:sz w:val="20"/>
        </w:rPr>
      </w:pPr>
      <w:r>
        <w:rPr>
          <w:rFonts w:hint="eastAsia" w:ascii="宋体" w:hAnsi="宋体"/>
          <w:sz w:val="20"/>
        </w:rPr>
        <w:t>（a）政府部门实行的封锁、进口限制或配额限制；</w:t>
      </w:r>
    </w:p>
    <w:p>
      <w:pPr>
        <w:pStyle w:val="239"/>
        <w:tabs>
          <w:tab w:val="left" w:pos="420"/>
        </w:tabs>
        <w:spacing w:before="194" w:beforeLines="50"/>
        <w:ind w:firstLine="567"/>
        <w:rPr>
          <w:rFonts w:ascii="宋体" w:hAnsi="宋体"/>
          <w:sz w:val="20"/>
        </w:rPr>
      </w:pPr>
      <w:r>
        <w:rPr>
          <w:rFonts w:hint="eastAsia" w:ascii="宋体" w:hAnsi="宋体"/>
          <w:sz w:val="20"/>
        </w:rPr>
        <w:t>（b）对项目设施或其任何部分实行国有化或征收；</w:t>
      </w:r>
    </w:p>
    <w:p>
      <w:pPr>
        <w:pStyle w:val="239"/>
        <w:tabs>
          <w:tab w:val="left" w:pos="420"/>
        </w:tabs>
        <w:spacing w:before="194" w:beforeLines="50"/>
        <w:ind w:firstLine="567"/>
        <w:rPr>
          <w:rFonts w:ascii="宋体" w:hAnsi="宋体"/>
          <w:sz w:val="20"/>
        </w:rPr>
      </w:pPr>
      <w:r>
        <w:rPr>
          <w:rFonts w:hint="eastAsia" w:ascii="宋体" w:hAnsi="宋体"/>
          <w:sz w:val="20"/>
        </w:rPr>
        <w:t>（c）法律变更；</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.4 通知程序</w:t>
      </w:r>
    </w:p>
    <w:p>
      <w:pPr>
        <w:pStyle w:val="239"/>
        <w:tabs>
          <w:tab w:val="left" w:pos="420"/>
        </w:tabs>
        <w:spacing w:before="194" w:beforeLines="50"/>
        <w:ind w:firstLine="567"/>
        <w:rPr>
          <w:rFonts w:ascii="宋体" w:hAnsi="宋体"/>
          <w:sz w:val="20"/>
        </w:rPr>
      </w:pPr>
      <w:r>
        <w:rPr>
          <w:rFonts w:hint="eastAsia" w:ascii="宋体" w:hAnsi="宋体"/>
          <w:sz w:val="20"/>
        </w:rPr>
        <w:t>声称受到不可抗力影响的一方应在知道不可抗力事件发生之后及时书面通知另一方有关不可抗力事件的发生和可能产生的影响，包括该不可抗力事件发生的日期和预计停止的事件，以及对该方履行在运营服务协议项下义务的影响。声称受到不可抗力影响的一方还应提供另一方可能合理要求的证明。</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.5 费用及时间表的修改</w:t>
      </w:r>
    </w:p>
    <w:p>
      <w:pPr>
        <w:pStyle w:val="239"/>
        <w:tabs>
          <w:tab w:val="left" w:pos="420"/>
        </w:tabs>
        <w:spacing w:before="194" w:beforeLines="50"/>
        <w:ind w:firstLine="567"/>
        <w:rPr>
          <w:rFonts w:ascii="宋体" w:hAnsi="宋体"/>
          <w:sz w:val="20"/>
        </w:rPr>
      </w:pPr>
      <w:r>
        <w:rPr>
          <w:rFonts w:hint="eastAsia" w:ascii="宋体" w:hAnsi="宋体"/>
          <w:sz w:val="20"/>
        </w:rPr>
        <w:t>发生不可抗力时：</w:t>
      </w:r>
    </w:p>
    <w:p>
      <w:pPr>
        <w:pStyle w:val="239"/>
        <w:tabs>
          <w:tab w:val="left" w:pos="420"/>
        </w:tabs>
        <w:spacing w:before="194" w:beforeLines="50"/>
        <w:ind w:firstLine="567"/>
        <w:rPr>
          <w:rFonts w:ascii="宋体" w:hAnsi="宋体"/>
          <w:sz w:val="20"/>
        </w:rPr>
      </w:pPr>
      <w:r>
        <w:rPr>
          <w:rFonts w:hint="eastAsia" w:ascii="宋体" w:hAnsi="宋体"/>
          <w:sz w:val="20"/>
        </w:rPr>
        <w:t>a）双方应各自承担由于不可抗力情况对其造成的支出；</w:t>
      </w:r>
    </w:p>
    <w:p>
      <w:pPr>
        <w:pStyle w:val="239"/>
        <w:tabs>
          <w:tab w:val="left" w:pos="420"/>
        </w:tabs>
        <w:spacing w:before="194" w:beforeLines="50"/>
        <w:ind w:firstLine="567"/>
        <w:rPr>
          <w:rFonts w:ascii="宋体" w:hAnsi="宋体"/>
          <w:sz w:val="20"/>
        </w:rPr>
      </w:pPr>
      <w:r>
        <w:rPr>
          <w:rFonts w:hint="eastAsia" w:ascii="宋体" w:hAnsi="宋体"/>
          <w:sz w:val="20"/>
        </w:rPr>
        <w:t>b）甲方应根据运营服务协议第1</w:t>
      </w:r>
      <w:r>
        <w:rPr>
          <w:rFonts w:ascii="宋体" w:hAnsi="宋体"/>
          <w:sz w:val="20"/>
        </w:rPr>
        <w:t>2</w:t>
      </w:r>
      <w:r>
        <w:rPr>
          <w:rFonts w:hint="eastAsia" w:ascii="宋体" w:hAnsi="宋体"/>
          <w:sz w:val="20"/>
        </w:rPr>
        <w:t>.6条向乙方支付一定的运营服务费；</w:t>
      </w:r>
    </w:p>
    <w:p>
      <w:pPr>
        <w:pStyle w:val="239"/>
        <w:tabs>
          <w:tab w:val="left" w:pos="420"/>
        </w:tabs>
        <w:spacing w:before="194" w:beforeLines="50"/>
        <w:ind w:firstLine="567"/>
        <w:rPr>
          <w:rFonts w:ascii="宋体" w:hAnsi="宋体"/>
          <w:sz w:val="20"/>
        </w:rPr>
      </w:pPr>
      <w:r>
        <w:rPr>
          <w:rFonts w:hint="eastAsia" w:ascii="宋体" w:hAnsi="宋体"/>
          <w:sz w:val="20"/>
        </w:rPr>
        <w:t>c）如果声称遭受不可抗力影响的一方已履行了第1</w:t>
      </w:r>
      <w:r>
        <w:rPr>
          <w:rFonts w:ascii="宋体" w:hAnsi="宋体"/>
          <w:sz w:val="20"/>
        </w:rPr>
        <w:t>2</w:t>
      </w:r>
      <w:r>
        <w:rPr>
          <w:rFonts w:hint="eastAsia" w:ascii="宋体" w:hAnsi="宋体"/>
          <w:sz w:val="20"/>
        </w:rPr>
        <w:t>.4条的通知程序，则应受影响方要求，运营服务协议规定的履行某项义务的任何期限应根据不可抗力对履行该项义务产生影响相同时间相应顺延。</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.6 不可抗力期间的付款</w:t>
      </w:r>
    </w:p>
    <w:p>
      <w:pPr>
        <w:pStyle w:val="239"/>
        <w:tabs>
          <w:tab w:val="left" w:pos="420"/>
        </w:tabs>
        <w:spacing w:before="194" w:beforeLines="50"/>
        <w:ind w:firstLine="567"/>
        <w:rPr>
          <w:rFonts w:ascii="宋体" w:hAnsi="宋体"/>
          <w:sz w:val="20"/>
        </w:rPr>
      </w:pPr>
      <w:r>
        <w:rPr>
          <w:rFonts w:hint="eastAsia" w:ascii="宋体" w:hAnsi="宋体"/>
          <w:sz w:val="20"/>
        </w:rPr>
        <w:t>在运营期内，如果乙方按照第1</w:t>
      </w:r>
      <w:r>
        <w:rPr>
          <w:rFonts w:ascii="宋体" w:hAnsi="宋体"/>
          <w:sz w:val="20"/>
        </w:rPr>
        <w:t>2</w:t>
      </w:r>
      <w:r>
        <w:rPr>
          <w:rFonts w:hint="eastAsia" w:ascii="宋体" w:hAnsi="宋体"/>
          <w:sz w:val="20"/>
        </w:rPr>
        <w:t>.4条的规定发出通知，说明由于发生了不可抗力，该不可抗力影响乙方全部或部分履行其按第5节处理达到出水水质标准的义务，则在上述不可抗力发生或持续的每个月或其部分时间内（但以第1</w:t>
      </w:r>
      <w:r>
        <w:rPr>
          <w:rFonts w:ascii="宋体" w:hAnsi="宋体"/>
          <w:sz w:val="20"/>
        </w:rPr>
        <w:t>2</w:t>
      </w:r>
      <w:r>
        <w:rPr>
          <w:rFonts w:hint="eastAsia" w:ascii="宋体" w:hAnsi="宋体"/>
          <w:sz w:val="20"/>
        </w:rPr>
        <w:t>.9条为前提），甲方应按照有关不可抗力期间的付费公式支付相应的运营服务费或停产补偿费用。</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.7 减少损失和协商的责任</w:t>
      </w:r>
    </w:p>
    <w:p>
      <w:pPr>
        <w:pStyle w:val="239"/>
        <w:tabs>
          <w:tab w:val="left" w:pos="420"/>
        </w:tabs>
        <w:spacing w:before="194" w:beforeLines="50"/>
        <w:ind w:firstLine="567"/>
        <w:rPr>
          <w:rFonts w:ascii="宋体" w:hAnsi="宋体"/>
          <w:sz w:val="20"/>
        </w:rPr>
      </w:pPr>
      <w:r>
        <w:rPr>
          <w:rFonts w:hint="eastAsia" w:ascii="宋体" w:hAnsi="宋体"/>
          <w:sz w:val="20"/>
        </w:rPr>
        <w:t>受到不可抗力影响的一方应尽合理的努力减少不可抗力的影响，包括为采取有效的措施支付合理的金额。双方应协商制定并实施补救计划及合理的替代措施以消除不可抗力，并确定为减少不可抗力给每一方带来的损失应采取的合理措施。声称遭受不可抗力的一方在不可抗力消除之后应尽快恢复履行运营服务协议项下的义务。</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.8 不可抗力造成的终止</w:t>
      </w:r>
    </w:p>
    <w:p>
      <w:pPr>
        <w:pStyle w:val="239"/>
        <w:tabs>
          <w:tab w:val="left" w:pos="420"/>
        </w:tabs>
        <w:spacing w:before="194" w:beforeLines="50"/>
        <w:ind w:firstLine="567"/>
        <w:rPr>
          <w:rFonts w:ascii="宋体" w:hAnsi="宋体"/>
          <w:sz w:val="20"/>
        </w:rPr>
      </w:pPr>
      <w:r>
        <w:rPr>
          <w:rFonts w:hint="eastAsia" w:ascii="宋体" w:hAnsi="宋体"/>
          <w:sz w:val="20"/>
        </w:rPr>
        <w:t>如果任何不可抗力事件阻止一方履行其义务的时间自该不可抗力事件发生日起连续超过六十（60）天，双方应协商决定继续履行运营服务协议的条件或者同意终止运营服务协议。如果自不可抗力发生后九十（90）天之内双方不能就继续履行的条件或终止运营服务协议达成一致意见，任何一方可以在给予另一方书面通知后终止运营服务协议。</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2</w:t>
      </w:r>
      <w:r>
        <w:rPr>
          <w:rFonts w:hint="eastAsia" w:ascii="宋体" w:hAnsi="宋体"/>
          <w:b/>
          <w:szCs w:val="20"/>
        </w:rPr>
        <w:t>.9 法律变更阻止履约</w:t>
      </w:r>
    </w:p>
    <w:p>
      <w:pPr>
        <w:pStyle w:val="239"/>
        <w:tabs>
          <w:tab w:val="left" w:pos="420"/>
        </w:tabs>
        <w:spacing w:before="194" w:beforeLines="50"/>
        <w:ind w:firstLine="567"/>
        <w:rPr>
          <w:rFonts w:ascii="宋体" w:hAnsi="宋体"/>
          <w:sz w:val="20"/>
        </w:rPr>
      </w:pPr>
      <w:r>
        <w:rPr>
          <w:rFonts w:hint="eastAsia" w:ascii="宋体" w:hAnsi="宋体"/>
          <w:sz w:val="20"/>
        </w:rPr>
        <w:t>如果由于法律变更且符合第1</w:t>
      </w:r>
      <w:r>
        <w:rPr>
          <w:rFonts w:ascii="宋体" w:hAnsi="宋体"/>
          <w:sz w:val="20"/>
        </w:rPr>
        <w:t>2</w:t>
      </w:r>
      <w:r>
        <w:rPr>
          <w:rFonts w:hint="eastAsia" w:ascii="宋体" w:hAnsi="宋体"/>
          <w:sz w:val="20"/>
        </w:rPr>
        <w:t>.1条规定的标准，致使乙方不能履行其在运营服务协议项下的义务：</w:t>
      </w:r>
    </w:p>
    <w:p>
      <w:pPr>
        <w:pStyle w:val="239"/>
        <w:tabs>
          <w:tab w:val="left" w:pos="420"/>
        </w:tabs>
        <w:spacing w:before="194" w:beforeLines="50"/>
        <w:ind w:firstLine="567"/>
        <w:rPr>
          <w:rFonts w:ascii="宋体" w:hAnsi="宋体"/>
          <w:sz w:val="20"/>
        </w:rPr>
      </w:pPr>
      <w:r>
        <w:rPr>
          <w:rFonts w:hint="eastAsia" w:ascii="宋体" w:hAnsi="宋体"/>
          <w:sz w:val="20"/>
        </w:rPr>
        <w:t>a）乙方有权终止履行其在运营服务协议项下的义务；</w:t>
      </w:r>
    </w:p>
    <w:p>
      <w:pPr>
        <w:pStyle w:val="239"/>
        <w:tabs>
          <w:tab w:val="left" w:pos="420"/>
        </w:tabs>
        <w:spacing w:before="194" w:beforeLines="50"/>
        <w:ind w:firstLine="567"/>
        <w:rPr>
          <w:rFonts w:ascii="宋体" w:hAnsi="宋体"/>
          <w:sz w:val="20"/>
        </w:rPr>
      </w:pPr>
      <w:r>
        <w:rPr>
          <w:rFonts w:hint="eastAsia" w:ascii="宋体" w:hAnsi="宋体"/>
          <w:sz w:val="20"/>
        </w:rPr>
        <w:t>b）发生在开始运营之后的法律变更应视为第</w:t>
      </w:r>
      <w:r>
        <w:fldChar w:fldCharType="begin"/>
      </w:r>
      <w:r>
        <w:instrText xml:space="preserve"> HYPERLINK \l "_14.1_不可抗力引起的终止履行" </w:instrText>
      </w:r>
      <w:r>
        <w:fldChar w:fldCharType="separate"/>
      </w:r>
      <w:r>
        <w:rPr>
          <w:rFonts w:hint="eastAsia" w:ascii="宋体" w:hAnsi="宋体"/>
          <w:sz w:val="20"/>
          <w:szCs w:val="20"/>
        </w:rPr>
        <w:t>1</w:t>
      </w:r>
      <w:r>
        <w:rPr>
          <w:rFonts w:ascii="宋体" w:hAnsi="宋体"/>
          <w:sz w:val="20"/>
          <w:szCs w:val="20"/>
        </w:rPr>
        <w:t>2</w:t>
      </w:r>
      <w:r>
        <w:rPr>
          <w:rFonts w:hint="eastAsia" w:ascii="宋体" w:hAnsi="宋体"/>
          <w:sz w:val="20"/>
          <w:szCs w:val="20"/>
        </w:rPr>
        <w:t>.1</w:t>
      </w:r>
      <w:r>
        <w:rPr>
          <w:rFonts w:hint="eastAsia" w:ascii="宋体" w:hAnsi="宋体"/>
          <w:sz w:val="20"/>
          <w:szCs w:val="20"/>
        </w:rPr>
        <w:fldChar w:fldCharType="end"/>
      </w:r>
      <w:r>
        <w:rPr>
          <w:rFonts w:hint="eastAsia" w:ascii="宋体" w:hAnsi="宋体"/>
          <w:sz w:val="20"/>
        </w:rPr>
        <w:t>条所述的导致付款的事件；</w:t>
      </w:r>
    </w:p>
    <w:p>
      <w:pPr>
        <w:pStyle w:val="239"/>
        <w:tabs>
          <w:tab w:val="left" w:pos="420"/>
        </w:tabs>
        <w:spacing w:before="194" w:beforeLines="50"/>
        <w:ind w:firstLine="567"/>
        <w:rPr>
          <w:rFonts w:ascii="宋体" w:hAnsi="宋体"/>
          <w:sz w:val="20"/>
        </w:rPr>
      </w:pPr>
      <w:r>
        <w:rPr>
          <w:rFonts w:hint="eastAsia" w:ascii="宋体" w:hAnsi="宋体"/>
          <w:sz w:val="20"/>
        </w:rPr>
        <w:t>c）第1</w:t>
      </w:r>
      <w:r>
        <w:rPr>
          <w:rFonts w:ascii="宋体" w:hAnsi="宋体"/>
          <w:sz w:val="20"/>
        </w:rPr>
        <w:t>2</w:t>
      </w:r>
      <w:r>
        <w:rPr>
          <w:rFonts w:hint="eastAsia" w:ascii="宋体" w:hAnsi="宋体"/>
          <w:sz w:val="20"/>
        </w:rPr>
        <w:t>.4、1</w:t>
      </w:r>
      <w:r>
        <w:rPr>
          <w:rFonts w:ascii="宋体" w:hAnsi="宋体"/>
          <w:sz w:val="20"/>
        </w:rPr>
        <w:t>2</w:t>
      </w:r>
      <w:r>
        <w:rPr>
          <w:rFonts w:hint="eastAsia" w:ascii="宋体" w:hAnsi="宋体"/>
          <w:sz w:val="20"/>
        </w:rPr>
        <w:t>.5、1</w:t>
      </w:r>
      <w:r>
        <w:rPr>
          <w:rFonts w:ascii="宋体" w:hAnsi="宋体"/>
          <w:sz w:val="20"/>
        </w:rPr>
        <w:t>2</w:t>
      </w:r>
      <w:r>
        <w:rPr>
          <w:rFonts w:hint="eastAsia" w:ascii="宋体" w:hAnsi="宋体"/>
          <w:sz w:val="20"/>
        </w:rPr>
        <w:t>.6、1</w:t>
      </w:r>
      <w:r>
        <w:rPr>
          <w:rFonts w:ascii="宋体" w:hAnsi="宋体"/>
          <w:sz w:val="20"/>
        </w:rPr>
        <w:t>2</w:t>
      </w:r>
      <w:r>
        <w:rPr>
          <w:rFonts w:hint="eastAsia" w:ascii="宋体" w:hAnsi="宋体"/>
          <w:sz w:val="20"/>
        </w:rPr>
        <w:t>.7和1</w:t>
      </w:r>
      <w:r>
        <w:rPr>
          <w:rFonts w:ascii="宋体" w:hAnsi="宋体"/>
          <w:sz w:val="20"/>
        </w:rPr>
        <w:t>2</w:t>
      </w:r>
      <w:r>
        <w:rPr>
          <w:rFonts w:hint="eastAsia" w:ascii="宋体" w:hAnsi="宋体"/>
          <w:sz w:val="20"/>
        </w:rPr>
        <w:t>.8条的规定应予以适用，如同该等法律变更是不可抗力事件；并且</w:t>
      </w:r>
    </w:p>
    <w:p>
      <w:pPr>
        <w:pStyle w:val="239"/>
        <w:tabs>
          <w:tab w:val="left" w:pos="420"/>
        </w:tabs>
        <w:spacing w:before="194" w:beforeLines="50"/>
        <w:ind w:firstLine="567"/>
        <w:rPr>
          <w:rFonts w:ascii="宋体" w:hAnsi="宋体"/>
          <w:sz w:val="20"/>
        </w:rPr>
      </w:pPr>
      <w:r>
        <w:rPr>
          <w:rFonts w:hint="eastAsia" w:ascii="宋体" w:hAnsi="宋体"/>
          <w:sz w:val="20"/>
        </w:rPr>
        <w:t>d）该等法律变更应被视作包含在运营服务协议中任何其它地方提及的不可抗力事件中，如同是第</w:t>
      </w:r>
      <w:r>
        <w:fldChar w:fldCharType="begin"/>
      </w:r>
      <w:r>
        <w:instrText xml:space="preserve"> HYPERLINK \l "_13.1_不可抗力引起的终止履行" </w:instrText>
      </w:r>
      <w:r>
        <w:fldChar w:fldCharType="separate"/>
      </w:r>
      <w:r>
        <w:rPr>
          <w:rFonts w:hint="eastAsia" w:ascii="宋体" w:hAnsi="宋体"/>
          <w:sz w:val="20"/>
          <w:szCs w:val="20"/>
        </w:rPr>
        <w:t>1</w:t>
      </w:r>
      <w:r>
        <w:rPr>
          <w:rFonts w:ascii="宋体" w:hAnsi="宋体"/>
          <w:sz w:val="20"/>
          <w:szCs w:val="20"/>
        </w:rPr>
        <w:t>2</w:t>
      </w:r>
      <w:r>
        <w:rPr>
          <w:rFonts w:hint="eastAsia" w:ascii="宋体" w:hAnsi="宋体"/>
          <w:sz w:val="20"/>
          <w:szCs w:val="20"/>
        </w:rPr>
        <w:t>.1</w:t>
      </w:r>
      <w:r>
        <w:rPr>
          <w:rFonts w:hint="eastAsia" w:ascii="宋体" w:hAnsi="宋体"/>
          <w:sz w:val="20"/>
          <w:szCs w:val="20"/>
        </w:rPr>
        <w:fldChar w:fldCharType="end"/>
      </w:r>
      <w:r>
        <w:rPr>
          <w:rFonts w:hint="eastAsia" w:ascii="宋体" w:hAnsi="宋体"/>
          <w:sz w:val="20"/>
        </w:rPr>
        <w:t>条所列的一项不可抗力事件。</w:t>
      </w:r>
    </w:p>
    <w:p>
      <w:pPr>
        <w:pStyle w:val="239"/>
        <w:tabs>
          <w:tab w:val="left" w:pos="420"/>
        </w:tabs>
        <w:spacing w:before="194" w:beforeLines="50"/>
        <w:ind w:firstLine="567"/>
        <w:rPr>
          <w:rFonts w:ascii="宋体" w:hAnsi="宋体"/>
          <w:sz w:val="20"/>
        </w:rPr>
      </w:pPr>
      <w:r>
        <w:rPr>
          <w:rFonts w:hint="eastAsia" w:ascii="宋体" w:hAnsi="宋体"/>
          <w:sz w:val="20"/>
          <w:u w:val="single"/>
        </w:rPr>
        <w:t>但法律变更导致乙方运营成本增加或预期收入降低不应视作不可抗力事件。</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第十三节  终止</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.1 终止事件</w:t>
      </w:r>
    </w:p>
    <w:p>
      <w:pPr>
        <w:pStyle w:val="239"/>
        <w:tabs>
          <w:tab w:val="left" w:pos="420"/>
        </w:tabs>
        <w:spacing w:before="194" w:beforeLines="50"/>
        <w:ind w:firstLine="567"/>
        <w:rPr>
          <w:rFonts w:ascii="宋体" w:hAnsi="宋体"/>
          <w:sz w:val="20"/>
        </w:rPr>
      </w:pPr>
      <w:r>
        <w:rPr>
          <w:rFonts w:hint="eastAsia" w:ascii="宋体" w:hAnsi="宋体"/>
          <w:sz w:val="20"/>
        </w:rPr>
        <w:t xml:space="preserve">运营服务协议应在下述任一事件最先发生之时终止： </w:t>
      </w:r>
    </w:p>
    <w:p>
      <w:pPr>
        <w:pStyle w:val="239"/>
        <w:tabs>
          <w:tab w:val="left" w:pos="420"/>
        </w:tabs>
        <w:spacing w:before="194" w:beforeLines="50"/>
        <w:ind w:firstLine="567"/>
        <w:rPr>
          <w:rFonts w:ascii="宋体" w:hAnsi="宋体"/>
          <w:sz w:val="20"/>
        </w:rPr>
      </w:pPr>
      <w:r>
        <w:rPr>
          <w:rFonts w:hint="eastAsia" w:ascii="宋体" w:hAnsi="宋体"/>
          <w:sz w:val="20"/>
        </w:rPr>
        <w:t>根据第1</w:t>
      </w:r>
      <w:r>
        <w:rPr>
          <w:rFonts w:ascii="宋体" w:hAnsi="宋体"/>
          <w:sz w:val="20"/>
        </w:rPr>
        <w:t>2</w:t>
      </w:r>
      <w:r>
        <w:rPr>
          <w:rFonts w:hint="eastAsia" w:ascii="宋体" w:hAnsi="宋体"/>
          <w:sz w:val="20"/>
        </w:rPr>
        <w:t>.8条，由于不可抗力事件终止运营服务协议；</w:t>
      </w:r>
    </w:p>
    <w:p>
      <w:pPr>
        <w:pStyle w:val="239"/>
        <w:tabs>
          <w:tab w:val="left" w:pos="420"/>
        </w:tabs>
        <w:spacing w:before="194" w:beforeLines="50"/>
        <w:ind w:firstLine="567"/>
        <w:rPr>
          <w:rFonts w:ascii="宋体" w:hAnsi="宋体"/>
          <w:sz w:val="20"/>
        </w:rPr>
      </w:pPr>
      <w:r>
        <w:rPr>
          <w:rFonts w:hint="eastAsia" w:ascii="宋体" w:hAnsi="宋体"/>
          <w:sz w:val="20"/>
        </w:rPr>
        <w:t>根据第1</w:t>
      </w:r>
      <w:r>
        <w:rPr>
          <w:rFonts w:ascii="宋体" w:hAnsi="宋体"/>
          <w:sz w:val="20"/>
        </w:rPr>
        <w:t>3</w:t>
      </w:r>
      <w:r>
        <w:rPr>
          <w:rFonts w:hint="eastAsia" w:ascii="宋体" w:hAnsi="宋体"/>
          <w:sz w:val="20"/>
        </w:rPr>
        <w:t>.2条规定，在乙方违约事件后，甲方终止运营服务协议；</w:t>
      </w:r>
    </w:p>
    <w:p>
      <w:pPr>
        <w:pStyle w:val="239"/>
        <w:tabs>
          <w:tab w:val="left" w:pos="420"/>
        </w:tabs>
        <w:spacing w:before="194" w:beforeLines="50"/>
        <w:ind w:firstLine="567"/>
        <w:rPr>
          <w:rFonts w:ascii="宋体" w:hAnsi="宋体"/>
          <w:sz w:val="20"/>
        </w:rPr>
      </w:pPr>
      <w:r>
        <w:rPr>
          <w:rFonts w:hint="eastAsia" w:ascii="宋体" w:hAnsi="宋体"/>
          <w:sz w:val="20"/>
        </w:rPr>
        <w:t>根据第1</w:t>
      </w:r>
      <w:r>
        <w:rPr>
          <w:rFonts w:ascii="宋体" w:hAnsi="宋体"/>
          <w:sz w:val="20"/>
        </w:rPr>
        <w:t>3</w:t>
      </w:r>
      <w:r>
        <w:rPr>
          <w:rFonts w:hint="eastAsia" w:ascii="宋体" w:hAnsi="宋体"/>
          <w:sz w:val="20"/>
        </w:rPr>
        <w:t>.3条规定，在甲方违约事件后，乙方终止运营服务协议。</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.2 乙方违约事件</w:t>
      </w:r>
    </w:p>
    <w:p>
      <w:pPr>
        <w:pStyle w:val="239"/>
        <w:tabs>
          <w:tab w:val="left" w:pos="420"/>
        </w:tabs>
        <w:spacing w:before="194" w:beforeLines="50"/>
        <w:ind w:firstLine="567"/>
        <w:rPr>
          <w:rFonts w:ascii="宋体" w:hAnsi="宋体"/>
          <w:sz w:val="20"/>
        </w:rPr>
      </w:pPr>
      <w:r>
        <w:rPr>
          <w:rFonts w:hint="eastAsia" w:ascii="宋体" w:hAnsi="宋体"/>
          <w:sz w:val="20"/>
        </w:rPr>
        <w:t>下述每一条款所述事件，如果不是由于甲方或不可抗力所致并且未在允许的时间（如有）内得到改正，应视为乙方违约事件，甲方有权立即发出终止意向通知：</w:t>
      </w:r>
    </w:p>
    <w:p>
      <w:pPr>
        <w:pStyle w:val="239"/>
        <w:tabs>
          <w:tab w:val="left" w:pos="420"/>
        </w:tabs>
        <w:spacing w:before="194" w:beforeLines="50"/>
        <w:ind w:firstLine="567"/>
        <w:rPr>
          <w:rFonts w:ascii="宋体" w:hAnsi="宋体"/>
          <w:sz w:val="20"/>
        </w:rPr>
      </w:pPr>
      <w:r>
        <w:rPr>
          <w:rFonts w:hint="eastAsia" w:ascii="宋体" w:hAnsi="宋体"/>
          <w:sz w:val="20"/>
        </w:rPr>
        <w:t>a）在任何一个运营年，除经批准的项目设施正常大修期间外，在进水达标的情况下出水未达到出水水质标准的情况累计超过十（10）个运营日或连续三（3）个运营日的；</w:t>
      </w:r>
    </w:p>
    <w:p>
      <w:pPr>
        <w:pStyle w:val="239"/>
        <w:tabs>
          <w:tab w:val="left" w:pos="420"/>
        </w:tabs>
        <w:spacing w:before="194" w:beforeLines="50"/>
        <w:ind w:firstLine="567"/>
        <w:rPr>
          <w:rFonts w:ascii="宋体" w:hAnsi="宋体"/>
          <w:sz w:val="20"/>
        </w:rPr>
      </w:pPr>
      <w:r>
        <w:rPr>
          <w:rFonts w:ascii="宋体" w:hAnsi="宋体"/>
          <w:sz w:val="20"/>
        </w:rPr>
        <w:t>b</w:t>
      </w:r>
      <w:r>
        <w:rPr>
          <w:rFonts w:hint="eastAsia" w:ascii="宋体" w:hAnsi="宋体"/>
          <w:sz w:val="20"/>
        </w:rPr>
        <w:t>）乙方未能根据运营服务协议运营和维护项目设施，致使在项目场地或附近的人员和财产的安全受到严重不良影响或产生严重不良后果；</w:t>
      </w:r>
    </w:p>
    <w:p>
      <w:pPr>
        <w:pStyle w:val="239"/>
        <w:tabs>
          <w:tab w:val="left" w:pos="420"/>
        </w:tabs>
        <w:spacing w:before="194" w:beforeLines="50"/>
        <w:ind w:firstLine="567"/>
        <w:rPr>
          <w:rFonts w:ascii="宋体" w:hAnsi="宋体"/>
          <w:sz w:val="20"/>
        </w:rPr>
      </w:pPr>
      <w:r>
        <w:rPr>
          <w:rFonts w:ascii="宋体" w:hAnsi="宋体"/>
          <w:sz w:val="20"/>
        </w:rPr>
        <w:t>c</w:t>
      </w:r>
      <w:r>
        <w:rPr>
          <w:rFonts w:hint="eastAsia" w:ascii="宋体" w:hAnsi="宋体"/>
          <w:sz w:val="20"/>
        </w:rPr>
        <w:t>）乙方依中国法律清算或其资不抵债；</w:t>
      </w:r>
    </w:p>
    <w:p>
      <w:pPr>
        <w:pStyle w:val="239"/>
        <w:tabs>
          <w:tab w:val="left" w:pos="420"/>
        </w:tabs>
        <w:spacing w:before="194" w:beforeLines="50"/>
        <w:ind w:firstLine="567"/>
        <w:rPr>
          <w:rFonts w:ascii="宋体" w:hAnsi="宋体"/>
          <w:sz w:val="20"/>
        </w:rPr>
      </w:pPr>
      <w:r>
        <w:rPr>
          <w:rFonts w:ascii="宋体" w:hAnsi="宋体"/>
          <w:sz w:val="20"/>
        </w:rPr>
        <w:t>d</w:t>
      </w:r>
      <w:r>
        <w:rPr>
          <w:rFonts w:hint="eastAsia" w:ascii="宋体" w:hAnsi="宋体"/>
          <w:sz w:val="20"/>
        </w:rPr>
        <w:t>）项目流动资金贷款人开始实施其在担保协议项下的担保权利并足以影响到项目设施的正常运行；</w:t>
      </w:r>
    </w:p>
    <w:p>
      <w:pPr>
        <w:pStyle w:val="239"/>
        <w:tabs>
          <w:tab w:val="left" w:pos="420"/>
        </w:tabs>
        <w:spacing w:before="194" w:beforeLines="50"/>
        <w:ind w:firstLine="567"/>
        <w:rPr>
          <w:rFonts w:ascii="宋体" w:hAnsi="宋体"/>
          <w:sz w:val="20"/>
        </w:rPr>
      </w:pPr>
      <w:r>
        <w:rPr>
          <w:rFonts w:ascii="宋体" w:hAnsi="宋体"/>
          <w:sz w:val="20"/>
        </w:rPr>
        <w:t>e</w:t>
      </w:r>
      <w:r>
        <w:rPr>
          <w:rFonts w:hint="eastAsia" w:ascii="宋体" w:hAnsi="宋体"/>
          <w:sz w:val="20"/>
        </w:rPr>
        <w:t>）乙方在运营服务协议中作的声明被证明在提供时严重有误，使其履行运营服务协议项下义务的能力受到严重不利影响；</w:t>
      </w:r>
    </w:p>
    <w:p>
      <w:pPr>
        <w:pStyle w:val="239"/>
        <w:tabs>
          <w:tab w:val="left" w:pos="420"/>
        </w:tabs>
        <w:spacing w:before="194" w:beforeLines="50"/>
        <w:ind w:firstLine="567"/>
        <w:rPr>
          <w:rFonts w:ascii="宋体" w:hAnsi="宋体"/>
          <w:sz w:val="20"/>
        </w:rPr>
      </w:pPr>
      <w:r>
        <w:rPr>
          <w:rFonts w:ascii="宋体" w:hAnsi="宋体"/>
          <w:sz w:val="20"/>
        </w:rPr>
        <w:t>f</w:t>
      </w:r>
      <w:r>
        <w:rPr>
          <w:rFonts w:hint="eastAsia" w:ascii="宋体" w:hAnsi="宋体"/>
          <w:sz w:val="20"/>
        </w:rPr>
        <w:t>）乙方及其雇员蓄意损坏或破坏甲方进水管网的任何部分；</w:t>
      </w:r>
    </w:p>
    <w:p>
      <w:pPr>
        <w:pStyle w:val="239"/>
        <w:tabs>
          <w:tab w:val="left" w:pos="420"/>
        </w:tabs>
        <w:spacing w:before="194" w:beforeLines="50"/>
        <w:ind w:firstLine="567"/>
        <w:rPr>
          <w:rFonts w:ascii="宋体" w:hAnsi="宋体"/>
          <w:sz w:val="20"/>
        </w:rPr>
      </w:pPr>
      <w:r>
        <w:rPr>
          <w:rFonts w:ascii="宋体" w:hAnsi="宋体"/>
          <w:sz w:val="20"/>
        </w:rPr>
        <w:t>g</w:t>
      </w:r>
      <w:r>
        <w:rPr>
          <w:rFonts w:hint="eastAsia" w:ascii="宋体" w:hAnsi="宋体"/>
          <w:sz w:val="20"/>
        </w:rPr>
        <w:t>）乙方未能履行其在运营服务协议项下的任何其它义务而构成对运营服务协议的重大违约，并且乙方在收到甲方发出说明该违约的书面通知和要求其对此进行补救后的二十（20）天之内未能补救；</w:t>
      </w:r>
    </w:p>
    <w:p>
      <w:pPr>
        <w:pStyle w:val="239"/>
        <w:tabs>
          <w:tab w:val="left" w:pos="420"/>
        </w:tabs>
        <w:spacing w:before="194" w:beforeLines="50"/>
        <w:ind w:firstLine="567"/>
        <w:rPr>
          <w:rFonts w:ascii="宋体" w:hAnsi="宋体"/>
          <w:sz w:val="20"/>
        </w:rPr>
      </w:pPr>
      <w:r>
        <w:rPr>
          <w:rFonts w:ascii="宋体" w:hAnsi="宋体"/>
          <w:sz w:val="20"/>
        </w:rPr>
        <w:t>h</w:t>
      </w:r>
      <w:r>
        <w:rPr>
          <w:rFonts w:hint="eastAsia" w:ascii="宋体" w:hAnsi="宋体"/>
          <w:sz w:val="20"/>
        </w:rPr>
        <w:t>) 未经过甲方书面批准同意，乙方的任何变动足以影响运营服务协议的履行；</w:t>
      </w:r>
    </w:p>
    <w:p>
      <w:pPr>
        <w:pStyle w:val="239"/>
        <w:tabs>
          <w:tab w:val="left" w:pos="420"/>
        </w:tabs>
        <w:spacing w:before="194" w:beforeLines="50"/>
        <w:ind w:firstLine="567"/>
        <w:rPr>
          <w:rFonts w:ascii="宋体" w:hAnsi="宋体"/>
          <w:sz w:val="20"/>
        </w:rPr>
      </w:pPr>
      <w:r>
        <w:rPr>
          <w:rFonts w:ascii="宋体" w:hAnsi="宋体"/>
          <w:sz w:val="20"/>
        </w:rPr>
        <w:t>i</w:t>
      </w:r>
      <w:r>
        <w:rPr>
          <w:rFonts w:hint="eastAsia" w:ascii="宋体" w:hAnsi="宋体"/>
          <w:sz w:val="20"/>
        </w:rPr>
        <w:t>) 以及不经过甲方同意的削减和暂停也可作为乙方的违约事件。</w:t>
      </w:r>
    </w:p>
    <w:p>
      <w:pPr>
        <w:pStyle w:val="239"/>
        <w:tabs>
          <w:tab w:val="left" w:pos="420"/>
        </w:tabs>
        <w:spacing w:before="194" w:beforeLines="50"/>
        <w:ind w:firstLine="567"/>
        <w:rPr>
          <w:rFonts w:ascii="宋体" w:hAnsi="宋体"/>
          <w:sz w:val="20"/>
          <w:u w:val="single"/>
        </w:rPr>
      </w:pPr>
      <w:r>
        <w:rPr>
          <w:rFonts w:ascii="宋体" w:hAnsi="宋体"/>
          <w:sz w:val="20"/>
          <w:u w:val="single"/>
        </w:rPr>
        <w:t>j</w:t>
      </w:r>
      <w:r>
        <w:rPr>
          <w:rFonts w:hint="eastAsia" w:ascii="宋体" w:hAnsi="宋体"/>
          <w:sz w:val="20"/>
          <w:u w:val="single"/>
        </w:rPr>
        <w:t>）无论何种原因，乙方受到环保主管部门处罚累计二（2）次及以上，或同一（1）运营年度被通报累计二（2）次及以上，或使甲方可能承担任何环保（法律）风险，则视为乙方违约。</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.3 甲方违约事件</w:t>
      </w:r>
    </w:p>
    <w:p>
      <w:pPr>
        <w:pStyle w:val="239"/>
        <w:tabs>
          <w:tab w:val="left" w:pos="420"/>
        </w:tabs>
        <w:spacing w:before="194" w:beforeLines="50"/>
        <w:ind w:firstLine="567"/>
        <w:rPr>
          <w:rFonts w:ascii="宋体" w:hAnsi="宋体"/>
          <w:sz w:val="20"/>
        </w:rPr>
      </w:pPr>
      <w:r>
        <w:rPr>
          <w:rFonts w:hint="eastAsia" w:ascii="宋体" w:hAnsi="宋体"/>
          <w:sz w:val="20"/>
        </w:rPr>
        <w:t>下述所述事件，如果不是由于乙方违约事件或不可抗力所致，并且未能在允许的时间（如有）内得到补救，应视为甲方违约事件，乙方有权立即发出终止意向通知：</w:t>
      </w:r>
    </w:p>
    <w:p>
      <w:pPr>
        <w:pStyle w:val="239"/>
        <w:tabs>
          <w:tab w:val="left" w:pos="420"/>
        </w:tabs>
        <w:spacing w:before="194" w:beforeLines="50"/>
        <w:ind w:firstLine="567"/>
        <w:rPr>
          <w:rFonts w:ascii="宋体" w:hAnsi="宋体"/>
          <w:sz w:val="20"/>
        </w:rPr>
      </w:pPr>
      <w:r>
        <w:rPr>
          <w:rFonts w:hint="eastAsia" w:ascii="宋体" w:hAnsi="宋体"/>
          <w:sz w:val="20"/>
        </w:rPr>
        <w:t>甲方严重违反运营服务协议项下的义务，并在收到乙方发出说明此违约的书面通知和要求甲方就此进行补救的书面通知后九十（90）天内，甲方未能补救。</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.4 终止意向通知</w:t>
      </w:r>
    </w:p>
    <w:p>
      <w:pPr>
        <w:pStyle w:val="239"/>
        <w:tabs>
          <w:tab w:val="left" w:pos="420"/>
        </w:tabs>
        <w:spacing w:before="194" w:beforeLines="50"/>
        <w:ind w:firstLine="567"/>
        <w:rPr>
          <w:rFonts w:ascii="宋体" w:hAnsi="宋体"/>
          <w:sz w:val="20"/>
        </w:rPr>
      </w:pPr>
      <w:r>
        <w:rPr>
          <w:rFonts w:hint="eastAsia" w:ascii="宋体" w:hAnsi="宋体"/>
          <w:sz w:val="20"/>
        </w:rPr>
        <w:t>任何终止意向通知均应适当详细说明导致发出该通知(“终止意向通知”)的违约事件情况。同时，任一方向另一方发出的任何终止意向通知应同时提交给乙方一份复印件。在发出终止意向通知后，双方应在三十（30）天期限内，或双方书面同意的更长期内协商避免终止运营服务协议而应采取的措施。</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.5 终止通知</w:t>
      </w:r>
    </w:p>
    <w:p>
      <w:pPr>
        <w:pStyle w:val="239"/>
        <w:tabs>
          <w:tab w:val="left" w:pos="420"/>
        </w:tabs>
        <w:spacing w:before="194" w:beforeLines="50"/>
        <w:ind w:firstLine="567"/>
        <w:rPr>
          <w:rFonts w:ascii="宋体" w:hAnsi="宋体"/>
          <w:sz w:val="20"/>
        </w:rPr>
      </w:pPr>
      <w:r>
        <w:rPr>
          <w:rFonts w:hint="eastAsia" w:ascii="宋体" w:hAnsi="宋体"/>
          <w:sz w:val="20"/>
        </w:rPr>
        <w:t>受第1</w:t>
      </w:r>
      <w:r>
        <w:rPr>
          <w:rFonts w:ascii="宋体" w:hAnsi="宋体"/>
          <w:sz w:val="20"/>
        </w:rPr>
        <w:t>3</w:t>
      </w:r>
      <w:r>
        <w:rPr>
          <w:rFonts w:hint="eastAsia" w:ascii="宋体" w:hAnsi="宋体"/>
          <w:sz w:val="20"/>
        </w:rPr>
        <w:t>.6条约束，在第1</w:t>
      </w:r>
      <w:r>
        <w:rPr>
          <w:rFonts w:ascii="宋体" w:hAnsi="宋体"/>
          <w:sz w:val="20"/>
        </w:rPr>
        <w:t>3</w:t>
      </w:r>
      <w:r>
        <w:rPr>
          <w:rFonts w:hint="eastAsia" w:ascii="宋体" w:hAnsi="宋体"/>
          <w:sz w:val="20"/>
        </w:rPr>
        <w:t>.4条规定的协商期满时，除非</w:t>
      </w:r>
    </w:p>
    <w:p>
      <w:pPr>
        <w:pStyle w:val="239"/>
        <w:tabs>
          <w:tab w:val="left" w:pos="420"/>
        </w:tabs>
        <w:spacing w:before="194" w:beforeLines="50"/>
        <w:ind w:firstLine="567"/>
        <w:rPr>
          <w:rFonts w:ascii="宋体" w:hAnsi="宋体"/>
          <w:sz w:val="20"/>
        </w:rPr>
      </w:pPr>
      <w:r>
        <w:rPr>
          <w:rFonts w:hint="eastAsia" w:ascii="宋体" w:hAnsi="宋体"/>
          <w:sz w:val="20"/>
        </w:rPr>
        <w:t>a）双方另外达成一致意见；</w:t>
      </w:r>
    </w:p>
    <w:p>
      <w:pPr>
        <w:pStyle w:val="239"/>
        <w:tabs>
          <w:tab w:val="left" w:pos="420"/>
        </w:tabs>
        <w:spacing w:before="194" w:beforeLines="50"/>
        <w:ind w:firstLine="567"/>
        <w:rPr>
          <w:rFonts w:ascii="宋体" w:hAnsi="宋体"/>
          <w:sz w:val="20"/>
        </w:rPr>
      </w:pPr>
      <w:r>
        <w:rPr>
          <w:rFonts w:hint="eastAsia" w:ascii="宋体" w:hAnsi="宋体"/>
          <w:sz w:val="20"/>
        </w:rPr>
        <w:t>b) 导致终止意向通知的乙方违约事件或甲方违约事件已得到补救。</w:t>
      </w:r>
    </w:p>
    <w:p>
      <w:pPr>
        <w:pStyle w:val="239"/>
        <w:tabs>
          <w:tab w:val="left" w:pos="420"/>
        </w:tabs>
        <w:spacing w:before="194" w:beforeLines="50"/>
        <w:ind w:firstLine="567"/>
        <w:rPr>
          <w:rFonts w:ascii="宋体" w:hAnsi="宋体"/>
          <w:sz w:val="20"/>
        </w:rPr>
      </w:pPr>
      <w:r>
        <w:rPr>
          <w:rFonts w:hint="eastAsia" w:ascii="宋体" w:hAnsi="宋体"/>
          <w:sz w:val="20"/>
        </w:rPr>
        <w:t>发出终止意向通知的一方可向另一方、乙方投资人和甲方相关部门发出通知（“终止通知”）并在上述各方收到通知后，立即终止运营服务协议。</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.6 甲方的权利</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3</w:t>
      </w:r>
      <w:r>
        <w:rPr>
          <w:rFonts w:hint="eastAsia" w:ascii="宋体" w:hAnsi="宋体"/>
          <w:sz w:val="20"/>
        </w:rPr>
        <w:t>.6.1 甲方接管运营项目设施的权利</w:t>
      </w:r>
    </w:p>
    <w:p>
      <w:pPr>
        <w:pStyle w:val="239"/>
        <w:tabs>
          <w:tab w:val="left" w:pos="420"/>
        </w:tabs>
        <w:spacing w:before="194" w:beforeLines="50"/>
        <w:ind w:firstLine="567"/>
        <w:rPr>
          <w:rFonts w:ascii="宋体" w:hAnsi="宋体"/>
          <w:sz w:val="20"/>
        </w:rPr>
      </w:pPr>
      <w:r>
        <w:rPr>
          <w:rFonts w:hint="eastAsia" w:ascii="宋体" w:hAnsi="宋体"/>
          <w:sz w:val="20"/>
        </w:rPr>
        <w:t>(a) 在运营期内，如果乙方违约事件发生并持续，并对乙方根据运营服务协议运营和维护污水处理厂设施的能力产生严重不利影响，则在甲方发出终止意向通知之后并直至终止通知之间甲方或其指定机构有权，但无义务，替代乙方接管项目设施的运营，以使项目设施继续运营或完成任何必要的修理以保证项目设施不间断地收纳输送污水和处理进厂污水。在此情况下，乙方应承担与甲方或其指定机构合作的义务。</w:t>
      </w:r>
    </w:p>
    <w:p>
      <w:pPr>
        <w:pStyle w:val="239"/>
        <w:tabs>
          <w:tab w:val="left" w:pos="420"/>
        </w:tabs>
        <w:spacing w:before="194" w:beforeLines="50"/>
        <w:ind w:firstLine="567"/>
        <w:rPr>
          <w:rFonts w:ascii="宋体" w:hAnsi="宋体"/>
          <w:sz w:val="20"/>
        </w:rPr>
      </w:pPr>
      <w:r>
        <w:rPr>
          <w:rFonts w:hint="eastAsia" w:ascii="宋体" w:hAnsi="宋体"/>
          <w:sz w:val="20"/>
        </w:rPr>
        <w:t>(b) 任何情况下，甲方选择接管运营项目设施不应视为本项目运营权的转让或承担乙方作为项目设施运营权人的义务。</w:t>
      </w:r>
    </w:p>
    <w:p>
      <w:pPr>
        <w:pStyle w:val="239"/>
        <w:tabs>
          <w:tab w:val="left" w:pos="420"/>
        </w:tabs>
        <w:spacing w:before="194" w:beforeLines="50"/>
        <w:ind w:firstLine="567"/>
        <w:rPr>
          <w:rFonts w:ascii="宋体" w:hAnsi="宋体"/>
          <w:sz w:val="20"/>
        </w:rPr>
      </w:pPr>
      <w:r>
        <w:rPr>
          <w:rFonts w:hint="eastAsia" w:ascii="宋体" w:hAnsi="宋体"/>
          <w:sz w:val="20"/>
        </w:rPr>
        <w:t>(c) 在甲方或其指定机构运营项目设施期间，乙方无义务支付在甲方及其指定机构接管项目设施的运营之日以后发生的运营费用。在因乙方发生违约事件甲方发出终止意向通知之日起，甲方无义务向乙方支付任何服务费，直至乙方按照运营服务协议接替或承担项目设施的运营。</w:t>
      </w:r>
    </w:p>
    <w:p>
      <w:pPr>
        <w:pStyle w:val="239"/>
        <w:tabs>
          <w:tab w:val="left" w:pos="420"/>
        </w:tabs>
        <w:spacing w:before="194" w:beforeLines="50"/>
        <w:ind w:firstLine="567"/>
        <w:rPr>
          <w:rFonts w:ascii="宋体" w:hAnsi="宋体"/>
          <w:sz w:val="20"/>
        </w:rPr>
      </w:pPr>
      <w:r>
        <w:rPr>
          <w:rFonts w:hint="eastAsia" w:ascii="宋体" w:hAnsi="宋体"/>
          <w:sz w:val="20"/>
        </w:rPr>
        <w:t>(d) 甲方应有权在任何时候退出对项目设施的运营，在此情况下乙方应全面负责项目设施运营，直到任何一方发出正式终止通知。</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3</w:t>
      </w:r>
      <w:r>
        <w:rPr>
          <w:rFonts w:hint="eastAsia" w:ascii="宋体" w:hAnsi="宋体"/>
          <w:sz w:val="20"/>
        </w:rPr>
        <w:t>.6.2甲方在任何时候终止运营服务协议的权利</w:t>
      </w:r>
    </w:p>
    <w:p>
      <w:pPr>
        <w:pStyle w:val="239"/>
        <w:tabs>
          <w:tab w:val="left" w:pos="420"/>
        </w:tabs>
        <w:spacing w:before="194" w:beforeLines="50"/>
        <w:ind w:firstLine="567"/>
        <w:rPr>
          <w:rFonts w:ascii="宋体" w:hAnsi="宋体"/>
          <w:sz w:val="20"/>
        </w:rPr>
      </w:pPr>
      <w:r>
        <w:rPr>
          <w:rFonts w:hint="eastAsia" w:ascii="宋体" w:hAnsi="宋体"/>
          <w:sz w:val="20"/>
        </w:rPr>
        <w:t>如果在乙方违约事件发生之后，甲方已发出终止意向通知，并且乙方违约事件在协商期满之日前未得以补救，则甲方应有权在上述日期之后的任何时候发出正式终止通知以终止运营服务协议。</w:t>
      </w:r>
    </w:p>
    <w:p>
      <w:pPr>
        <w:pStyle w:val="239"/>
        <w:tabs>
          <w:tab w:val="left" w:pos="420"/>
        </w:tabs>
        <w:spacing w:before="194" w:beforeLines="50"/>
        <w:ind w:firstLine="567"/>
        <w:rPr>
          <w:rFonts w:ascii="宋体" w:hAnsi="宋体"/>
          <w:b/>
          <w:sz w:val="20"/>
        </w:rPr>
      </w:pPr>
      <w:r>
        <w:rPr>
          <w:rFonts w:hint="eastAsia" w:ascii="宋体" w:hAnsi="宋体"/>
          <w:b/>
          <w:sz w:val="20"/>
        </w:rPr>
        <w:t>1</w:t>
      </w:r>
      <w:r>
        <w:rPr>
          <w:rFonts w:ascii="宋体" w:hAnsi="宋体"/>
          <w:b/>
          <w:sz w:val="20"/>
        </w:rPr>
        <w:t>3</w:t>
      </w:r>
      <w:r>
        <w:rPr>
          <w:rFonts w:hint="eastAsia" w:ascii="宋体" w:hAnsi="宋体"/>
          <w:b/>
          <w:sz w:val="20"/>
        </w:rPr>
        <w:t>.7 终止的一般后果</w:t>
      </w:r>
    </w:p>
    <w:p>
      <w:pPr>
        <w:pStyle w:val="239"/>
        <w:tabs>
          <w:tab w:val="left" w:pos="420"/>
        </w:tabs>
        <w:spacing w:before="194" w:beforeLines="50"/>
        <w:ind w:firstLine="567"/>
        <w:rPr>
          <w:rFonts w:ascii="宋体" w:hAnsi="宋体"/>
          <w:sz w:val="20"/>
        </w:rPr>
      </w:pPr>
      <w:r>
        <w:rPr>
          <w:rFonts w:hint="eastAsia" w:ascii="宋体" w:hAnsi="宋体"/>
          <w:sz w:val="20"/>
        </w:rPr>
        <w:t>运营服务协议终止后，双方在运营服务协议项下不再有进一步的义务，但根据第15.8条可能到期应付的任何款项，以及运营服务协议到期或终止之前发生的而在运营服务协议到期或终止之日尚未支付的付款义务除外；运营服务协议的终止不影响运营服务协议中争议解决条款和任何在运营服务协议终止后仍然有效的其它条款。</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.8 终止后的补偿</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3</w:t>
      </w:r>
      <w:r>
        <w:rPr>
          <w:rFonts w:hint="eastAsia" w:ascii="宋体" w:hAnsi="宋体"/>
          <w:sz w:val="20"/>
        </w:rPr>
        <w:t>.8.1乙方违约事件导致的终止</w:t>
      </w:r>
    </w:p>
    <w:p>
      <w:pPr>
        <w:pStyle w:val="239"/>
        <w:tabs>
          <w:tab w:val="left" w:pos="420"/>
        </w:tabs>
        <w:spacing w:before="194" w:beforeLines="50"/>
        <w:ind w:firstLine="567"/>
        <w:rPr>
          <w:rFonts w:ascii="宋体" w:hAnsi="宋体"/>
          <w:sz w:val="20"/>
        </w:rPr>
      </w:pPr>
      <w:r>
        <w:rPr>
          <w:rFonts w:hint="eastAsia" w:ascii="宋体" w:hAnsi="宋体"/>
          <w:sz w:val="20"/>
        </w:rPr>
        <w:t>如果甲方因乙方严重违约事件而根据1</w:t>
      </w:r>
      <w:r>
        <w:rPr>
          <w:rFonts w:ascii="宋体" w:hAnsi="宋体"/>
          <w:sz w:val="20"/>
        </w:rPr>
        <w:t>3</w:t>
      </w:r>
      <w:r>
        <w:rPr>
          <w:rFonts w:hint="eastAsia" w:ascii="宋体" w:hAnsi="宋体"/>
          <w:sz w:val="20"/>
        </w:rPr>
        <w:t>.2（a）至（h）条规定终止运营服务协议，甲方有权收回对乙方运营权，兑现履约保函中的相应数额，及按照</w:t>
      </w:r>
      <w:r>
        <w:fldChar w:fldCharType="begin"/>
      </w:r>
      <w:r>
        <w:instrText xml:space="preserve"> HYPERLINK \l "_17.2_终止后的合理补偿" </w:instrText>
      </w:r>
      <w:r>
        <w:fldChar w:fldCharType="separate"/>
      </w:r>
      <w:r>
        <w:rPr>
          <w:rFonts w:hint="eastAsia" w:ascii="宋体" w:hAnsi="宋体"/>
          <w:sz w:val="20"/>
          <w:szCs w:val="20"/>
        </w:rPr>
        <w:t>1</w:t>
      </w:r>
      <w:r>
        <w:rPr>
          <w:rFonts w:ascii="宋体" w:hAnsi="宋体"/>
          <w:sz w:val="20"/>
          <w:szCs w:val="20"/>
        </w:rPr>
        <w:t>5</w:t>
      </w:r>
      <w:r>
        <w:rPr>
          <w:rFonts w:hint="eastAsia" w:ascii="宋体" w:hAnsi="宋体"/>
          <w:sz w:val="20"/>
          <w:szCs w:val="20"/>
        </w:rPr>
        <w:t>.2</w:t>
      </w:r>
      <w:r>
        <w:rPr>
          <w:rFonts w:hint="eastAsia" w:ascii="宋体" w:hAnsi="宋体"/>
          <w:sz w:val="20"/>
          <w:szCs w:val="20"/>
        </w:rPr>
        <w:fldChar w:fldCharType="end"/>
      </w:r>
      <w:r>
        <w:rPr>
          <w:rFonts w:hint="eastAsia" w:ascii="宋体" w:hAnsi="宋体"/>
          <w:sz w:val="20"/>
        </w:rPr>
        <w:t>条的约定获得乙方违约赔偿金并付清乙方累计应收运营服务费后收回项目设施资产，并不承担任何其它义务。</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3</w:t>
      </w:r>
      <w:r>
        <w:rPr>
          <w:rFonts w:hint="eastAsia" w:ascii="宋体" w:hAnsi="宋体"/>
          <w:sz w:val="20"/>
        </w:rPr>
        <w:t>.8.2甲方违约事件导致的终止</w:t>
      </w:r>
    </w:p>
    <w:p>
      <w:pPr>
        <w:pStyle w:val="239"/>
        <w:tabs>
          <w:tab w:val="left" w:pos="420"/>
        </w:tabs>
        <w:spacing w:before="194" w:beforeLines="50"/>
        <w:ind w:firstLine="567"/>
        <w:rPr>
          <w:rFonts w:ascii="宋体" w:hAnsi="宋体"/>
          <w:sz w:val="20"/>
        </w:rPr>
      </w:pPr>
      <w:r>
        <w:rPr>
          <w:rFonts w:hint="eastAsia" w:ascii="宋体" w:hAnsi="宋体"/>
          <w:sz w:val="20"/>
        </w:rPr>
        <w:t>如果在生效日后乙方因甲方违约事件根据第</w:t>
      </w:r>
      <w:r>
        <w:fldChar w:fldCharType="begin"/>
      </w:r>
      <w:r>
        <w:instrText xml:space="preserve"> HYPERLINK \l "_16.2_项目公司的终止" </w:instrText>
      </w:r>
      <w:r>
        <w:fldChar w:fldCharType="separate"/>
      </w:r>
      <w:r>
        <w:rPr>
          <w:rFonts w:hint="eastAsia" w:ascii="宋体" w:hAnsi="宋体"/>
          <w:sz w:val="20"/>
          <w:szCs w:val="20"/>
        </w:rPr>
        <w:t>1</w:t>
      </w:r>
      <w:r>
        <w:rPr>
          <w:rFonts w:ascii="宋体" w:hAnsi="宋体"/>
          <w:sz w:val="20"/>
          <w:szCs w:val="20"/>
        </w:rPr>
        <w:t>2</w:t>
      </w:r>
      <w:r>
        <w:rPr>
          <w:rFonts w:hint="eastAsia" w:ascii="宋体" w:hAnsi="宋体"/>
          <w:sz w:val="20"/>
          <w:szCs w:val="20"/>
        </w:rPr>
        <w:t>.3</w:t>
      </w:r>
      <w:r>
        <w:rPr>
          <w:rFonts w:hint="eastAsia" w:ascii="宋体" w:hAnsi="宋体"/>
          <w:sz w:val="20"/>
          <w:szCs w:val="20"/>
        </w:rPr>
        <w:fldChar w:fldCharType="end"/>
      </w:r>
      <w:r>
        <w:rPr>
          <w:rFonts w:hint="eastAsia" w:ascii="宋体" w:hAnsi="宋体"/>
          <w:sz w:val="20"/>
        </w:rPr>
        <w:t>条终止运营服务协议，则乙方应将项目设施转让给甲方或其指定机构。如果这种转让发生，甲方或其指定机构应向乙方按照</w:t>
      </w:r>
      <w:r>
        <w:fldChar w:fldCharType="begin"/>
      </w:r>
      <w:r>
        <w:instrText xml:space="preserve"> HYPERLINK \l "_17.2_终止后的合理补偿" </w:instrText>
      </w:r>
      <w:r>
        <w:fldChar w:fldCharType="separate"/>
      </w:r>
      <w:r>
        <w:rPr>
          <w:rFonts w:hint="eastAsia" w:ascii="宋体" w:hAnsi="宋体"/>
          <w:sz w:val="20"/>
          <w:szCs w:val="20"/>
        </w:rPr>
        <w:t>1</w:t>
      </w:r>
      <w:r>
        <w:rPr>
          <w:rFonts w:ascii="宋体" w:hAnsi="宋体"/>
          <w:sz w:val="20"/>
          <w:szCs w:val="20"/>
        </w:rPr>
        <w:t>5</w:t>
      </w:r>
      <w:r>
        <w:rPr>
          <w:rFonts w:hint="eastAsia" w:ascii="宋体" w:hAnsi="宋体"/>
          <w:sz w:val="20"/>
          <w:szCs w:val="20"/>
        </w:rPr>
        <w:t>.2</w:t>
      </w:r>
      <w:r>
        <w:rPr>
          <w:rFonts w:hint="eastAsia" w:ascii="宋体" w:hAnsi="宋体"/>
          <w:sz w:val="20"/>
          <w:szCs w:val="20"/>
        </w:rPr>
        <w:fldChar w:fldCharType="end"/>
      </w:r>
      <w:r>
        <w:rPr>
          <w:rFonts w:hint="eastAsia" w:ascii="宋体" w:hAnsi="宋体"/>
          <w:sz w:val="20"/>
        </w:rPr>
        <w:t>条的约定支付一定的合理补偿。</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3</w:t>
      </w:r>
      <w:r>
        <w:rPr>
          <w:rFonts w:hint="eastAsia" w:ascii="宋体" w:hAnsi="宋体"/>
          <w:sz w:val="20"/>
        </w:rPr>
        <w:t>.8.3第</w:t>
      </w:r>
      <w:r>
        <w:fldChar w:fldCharType="begin"/>
      </w:r>
      <w:r>
        <w:instrText xml:space="preserve"> HYPERLINK \l "_15.1_不可抗力" </w:instrText>
      </w:r>
      <w:r>
        <w:fldChar w:fldCharType="separate"/>
      </w:r>
      <w:r>
        <w:rPr>
          <w:rFonts w:hint="eastAsia" w:ascii="宋体" w:hAnsi="宋体"/>
          <w:sz w:val="20"/>
          <w:szCs w:val="20"/>
        </w:rPr>
        <w:t>14.1</w:t>
      </w:r>
      <w:r>
        <w:rPr>
          <w:rFonts w:hint="eastAsia" w:ascii="宋体" w:hAnsi="宋体"/>
          <w:sz w:val="20"/>
          <w:szCs w:val="20"/>
        </w:rPr>
        <w:fldChar w:fldCharType="end"/>
      </w:r>
      <w:r>
        <w:rPr>
          <w:rFonts w:hint="eastAsia" w:ascii="宋体" w:hAnsi="宋体"/>
          <w:sz w:val="20"/>
        </w:rPr>
        <w:t>款项下不可抗力事件导致的终止</w:t>
      </w:r>
    </w:p>
    <w:p>
      <w:pPr>
        <w:pStyle w:val="239"/>
        <w:tabs>
          <w:tab w:val="left" w:pos="420"/>
        </w:tabs>
        <w:spacing w:before="194" w:beforeLines="50"/>
        <w:ind w:firstLine="567"/>
        <w:rPr>
          <w:rFonts w:ascii="宋体" w:hAnsi="宋体"/>
          <w:sz w:val="20"/>
        </w:rPr>
      </w:pPr>
      <w:r>
        <w:rPr>
          <w:rFonts w:hint="eastAsia" w:ascii="宋体" w:hAnsi="宋体"/>
          <w:sz w:val="20"/>
        </w:rPr>
        <w:t>因第14.1款项下不可抗力事件导致任何一方依据第1</w:t>
      </w:r>
      <w:r>
        <w:fldChar w:fldCharType="begin"/>
      </w:r>
      <w:r>
        <w:instrText xml:space="preserve"> HYPERLINK \l "_15.1_不可抗力" </w:instrText>
      </w:r>
      <w:r>
        <w:fldChar w:fldCharType="separate"/>
      </w:r>
      <w:r>
        <w:rPr>
          <w:rFonts w:hint="eastAsia" w:ascii="宋体" w:hAnsi="宋体"/>
          <w:sz w:val="20"/>
        </w:rPr>
        <w:t>4</w:t>
      </w:r>
      <w:r>
        <w:rPr>
          <w:rFonts w:hint="eastAsia" w:ascii="宋体" w:hAnsi="宋体"/>
          <w:sz w:val="20"/>
          <w:szCs w:val="20"/>
        </w:rPr>
        <w:t>.8</w:t>
      </w:r>
      <w:r>
        <w:rPr>
          <w:rFonts w:hint="eastAsia" w:ascii="宋体" w:hAnsi="宋体"/>
          <w:sz w:val="20"/>
          <w:szCs w:val="20"/>
        </w:rPr>
        <w:fldChar w:fldCharType="end"/>
      </w:r>
      <w:r>
        <w:rPr>
          <w:rFonts w:hint="eastAsia" w:ascii="宋体" w:hAnsi="宋体"/>
          <w:sz w:val="20"/>
        </w:rPr>
        <w:t>条终止运营服务协议，甲方应向乙方支付一定的合理补偿。甲方支付该项补偿后，乙方应将项目设施移交给甲方或其指定机构。</w:t>
      </w:r>
    </w:p>
    <w:p>
      <w:pPr>
        <w:pStyle w:val="239"/>
        <w:tabs>
          <w:tab w:val="left" w:pos="420"/>
        </w:tabs>
        <w:spacing w:before="194" w:beforeLines="50"/>
        <w:ind w:firstLine="567"/>
        <w:rPr>
          <w:rFonts w:ascii="宋体" w:hAnsi="宋体"/>
          <w:sz w:val="20"/>
        </w:rPr>
      </w:pPr>
      <w:r>
        <w:rPr>
          <w:rFonts w:hint="eastAsia" w:ascii="宋体" w:hAnsi="宋体"/>
          <w:sz w:val="20"/>
        </w:rPr>
        <w:t>15.8.4未包括在第</w:t>
      </w:r>
      <w:r>
        <w:fldChar w:fldCharType="begin"/>
      </w:r>
      <w:r>
        <w:instrText xml:space="preserve"> HYPERLINK \l "_15.1_不可抗力" </w:instrText>
      </w:r>
      <w:r>
        <w:fldChar w:fldCharType="separate"/>
      </w:r>
      <w:r>
        <w:rPr>
          <w:rFonts w:hint="eastAsia" w:ascii="宋体" w:hAnsi="宋体"/>
          <w:sz w:val="20"/>
        </w:rPr>
        <w:t>1</w:t>
      </w:r>
      <w:r>
        <w:rPr>
          <w:rFonts w:ascii="宋体" w:hAnsi="宋体"/>
          <w:sz w:val="20"/>
        </w:rPr>
        <w:t>2</w:t>
      </w:r>
      <w:r>
        <w:rPr>
          <w:rFonts w:hint="eastAsia" w:ascii="宋体" w:hAnsi="宋体"/>
          <w:sz w:val="20"/>
        </w:rPr>
        <w:t>.1</w:t>
      </w:r>
      <w:r>
        <w:rPr>
          <w:rFonts w:hint="eastAsia" w:ascii="宋体" w:hAnsi="宋体"/>
          <w:sz w:val="20"/>
        </w:rPr>
        <w:fldChar w:fldCharType="end"/>
      </w:r>
      <w:r>
        <w:rPr>
          <w:rFonts w:hint="eastAsia" w:ascii="宋体" w:hAnsi="宋体"/>
          <w:sz w:val="20"/>
        </w:rPr>
        <w:t>款项下的不可抗力事件导致的终止</w:t>
      </w:r>
    </w:p>
    <w:p>
      <w:pPr>
        <w:pStyle w:val="239"/>
        <w:tabs>
          <w:tab w:val="left" w:pos="420"/>
        </w:tabs>
        <w:spacing w:before="194" w:beforeLines="50"/>
        <w:ind w:firstLine="567"/>
        <w:rPr>
          <w:rFonts w:ascii="宋体" w:hAnsi="宋体"/>
          <w:sz w:val="20"/>
        </w:rPr>
      </w:pPr>
      <w:r>
        <w:rPr>
          <w:rFonts w:hint="eastAsia" w:ascii="宋体" w:hAnsi="宋体"/>
          <w:sz w:val="20"/>
        </w:rPr>
        <w:t>如果出现未包括在第1</w:t>
      </w:r>
      <w:r>
        <w:rPr>
          <w:rFonts w:ascii="宋体" w:hAnsi="宋体"/>
          <w:sz w:val="20"/>
        </w:rPr>
        <w:t>2</w:t>
      </w:r>
      <w:r>
        <w:rPr>
          <w:rFonts w:hint="eastAsia" w:ascii="宋体" w:hAnsi="宋体"/>
          <w:sz w:val="20"/>
        </w:rPr>
        <w:t>.1款项下的不可抗力事件，但对项目设施造成实质性损坏，致使任何一方依据第1</w:t>
      </w:r>
      <w:r>
        <w:rPr>
          <w:rFonts w:ascii="宋体" w:hAnsi="宋体"/>
          <w:sz w:val="20"/>
        </w:rPr>
        <w:t>2</w:t>
      </w:r>
      <w:r>
        <w:rPr>
          <w:rFonts w:hint="eastAsia" w:ascii="宋体" w:hAnsi="宋体"/>
          <w:sz w:val="20"/>
        </w:rPr>
        <w:t>.8条终止运营服务协议，甲方应向乙方支付一定的合理补偿。甲方支付该项补偿后，乙方应将项目设施移交给甲方或其指定机构。</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3</w:t>
      </w:r>
      <w:r>
        <w:rPr>
          <w:rFonts w:hint="eastAsia" w:ascii="宋体" w:hAnsi="宋体"/>
          <w:sz w:val="20"/>
        </w:rPr>
        <w:t>.8.5未包括在第</w:t>
      </w:r>
      <w:r>
        <w:fldChar w:fldCharType="begin"/>
      </w:r>
      <w:r>
        <w:instrText xml:space="preserve"> HYPERLINK \l "_15.1_不可抗力" </w:instrText>
      </w:r>
      <w:r>
        <w:fldChar w:fldCharType="separate"/>
      </w:r>
      <w:r>
        <w:rPr>
          <w:rFonts w:hint="eastAsia" w:ascii="宋体" w:hAnsi="宋体"/>
          <w:sz w:val="20"/>
        </w:rPr>
        <w:t>1</w:t>
      </w:r>
      <w:r>
        <w:rPr>
          <w:rFonts w:ascii="宋体" w:hAnsi="宋体"/>
          <w:sz w:val="20"/>
        </w:rPr>
        <w:t>2</w:t>
      </w:r>
      <w:r>
        <w:rPr>
          <w:rFonts w:hint="eastAsia" w:ascii="宋体" w:hAnsi="宋体"/>
          <w:sz w:val="20"/>
        </w:rPr>
        <w:t>.1</w:t>
      </w:r>
      <w:r>
        <w:rPr>
          <w:rFonts w:hint="eastAsia" w:ascii="宋体" w:hAnsi="宋体"/>
          <w:sz w:val="20"/>
        </w:rPr>
        <w:fldChar w:fldCharType="end"/>
      </w:r>
      <w:r>
        <w:rPr>
          <w:rFonts w:hint="eastAsia" w:ascii="宋体" w:hAnsi="宋体"/>
          <w:sz w:val="20"/>
        </w:rPr>
        <w:t>款项下的影响乙方的不可抗力导致的其它终止</w:t>
      </w:r>
    </w:p>
    <w:p>
      <w:pPr>
        <w:pStyle w:val="239"/>
        <w:tabs>
          <w:tab w:val="left" w:pos="420"/>
        </w:tabs>
        <w:spacing w:before="194" w:beforeLines="50"/>
        <w:ind w:firstLine="567"/>
        <w:rPr>
          <w:rFonts w:ascii="宋体" w:hAnsi="宋体"/>
          <w:sz w:val="20"/>
        </w:rPr>
      </w:pPr>
      <w:r>
        <w:rPr>
          <w:rFonts w:hint="eastAsia" w:ascii="宋体" w:hAnsi="宋体"/>
          <w:sz w:val="20"/>
        </w:rPr>
        <w:t>如果出现未包括在第1</w:t>
      </w:r>
      <w:r>
        <w:rPr>
          <w:rFonts w:ascii="宋体" w:hAnsi="宋体"/>
          <w:sz w:val="20"/>
        </w:rPr>
        <w:t>2</w:t>
      </w:r>
      <w:r>
        <w:rPr>
          <w:rFonts w:hint="eastAsia" w:ascii="宋体" w:hAnsi="宋体"/>
          <w:sz w:val="20"/>
        </w:rPr>
        <w:t>.1款项下的不可抗力事件影响到乙方，但未对项目设施造成严重损坏，致使任何一方依据第1</w:t>
      </w:r>
      <w:r>
        <w:rPr>
          <w:rFonts w:ascii="宋体" w:hAnsi="宋体"/>
          <w:sz w:val="20"/>
        </w:rPr>
        <w:t>2</w:t>
      </w:r>
      <w:r>
        <w:rPr>
          <w:rFonts w:hint="eastAsia" w:ascii="宋体" w:hAnsi="宋体"/>
          <w:sz w:val="20"/>
        </w:rPr>
        <w:t>.8条终止运营服务协议,甲方应向乙方支付一定的合理补偿。甲方支付该项补偿后，乙方应将项目设施移交给甲方或其指定机构。</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3</w:t>
      </w:r>
      <w:r>
        <w:rPr>
          <w:rFonts w:hint="eastAsia" w:ascii="宋体" w:hAnsi="宋体"/>
          <w:sz w:val="20"/>
        </w:rPr>
        <w:t>.8.6未包括在第</w:t>
      </w:r>
      <w:r>
        <w:fldChar w:fldCharType="begin"/>
      </w:r>
      <w:r>
        <w:instrText xml:space="preserve"> HYPERLINK \l "_15.1_不可抗力" </w:instrText>
      </w:r>
      <w:r>
        <w:fldChar w:fldCharType="separate"/>
      </w:r>
      <w:r>
        <w:rPr>
          <w:rFonts w:hint="eastAsia" w:ascii="宋体" w:hAnsi="宋体"/>
          <w:sz w:val="20"/>
        </w:rPr>
        <w:t>1</w:t>
      </w:r>
      <w:r>
        <w:rPr>
          <w:rFonts w:ascii="宋体" w:hAnsi="宋体"/>
          <w:sz w:val="20"/>
        </w:rPr>
        <w:t>2</w:t>
      </w:r>
      <w:r>
        <w:rPr>
          <w:rFonts w:hint="eastAsia" w:ascii="宋体" w:hAnsi="宋体"/>
          <w:sz w:val="20"/>
        </w:rPr>
        <w:t>.1</w:t>
      </w:r>
      <w:r>
        <w:rPr>
          <w:rFonts w:hint="eastAsia" w:ascii="宋体" w:hAnsi="宋体"/>
          <w:sz w:val="20"/>
        </w:rPr>
        <w:fldChar w:fldCharType="end"/>
      </w:r>
      <w:r>
        <w:rPr>
          <w:rFonts w:hint="eastAsia" w:ascii="宋体" w:hAnsi="宋体"/>
          <w:sz w:val="20"/>
        </w:rPr>
        <w:t>款项下的影响甲方的不可抗力而导致的终止</w:t>
      </w:r>
    </w:p>
    <w:p>
      <w:pPr>
        <w:pStyle w:val="239"/>
        <w:tabs>
          <w:tab w:val="left" w:pos="420"/>
        </w:tabs>
        <w:spacing w:before="194" w:beforeLines="50"/>
        <w:ind w:firstLine="567"/>
        <w:rPr>
          <w:rFonts w:ascii="宋体" w:hAnsi="宋体"/>
          <w:sz w:val="20"/>
        </w:rPr>
      </w:pPr>
      <w:r>
        <w:rPr>
          <w:rFonts w:hint="eastAsia" w:ascii="宋体" w:hAnsi="宋体"/>
          <w:sz w:val="20"/>
        </w:rPr>
        <w:t>如果出现未包括在第1</w:t>
      </w:r>
      <w:r>
        <w:rPr>
          <w:rFonts w:ascii="宋体" w:hAnsi="宋体"/>
          <w:sz w:val="20"/>
        </w:rPr>
        <w:t>2</w:t>
      </w:r>
      <w:r>
        <w:rPr>
          <w:rFonts w:hint="eastAsia" w:ascii="宋体" w:hAnsi="宋体"/>
          <w:sz w:val="20"/>
        </w:rPr>
        <w:t>.1款项下的不可抗力事件影响到甲方，致使任何一方依据第1</w:t>
      </w:r>
      <w:r>
        <w:rPr>
          <w:rFonts w:ascii="宋体" w:hAnsi="宋体"/>
          <w:sz w:val="20"/>
        </w:rPr>
        <w:t>2</w:t>
      </w:r>
      <w:r>
        <w:rPr>
          <w:rFonts w:hint="eastAsia" w:ascii="宋体" w:hAnsi="宋体"/>
          <w:sz w:val="20"/>
        </w:rPr>
        <w:t>.8条终止运营服务协议，甲方应向乙方支付一定的合理补偿。甲方支付该项补偿后，乙方应将项目设施移交给甲方或其指定机构。</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3</w:t>
      </w:r>
      <w:r>
        <w:rPr>
          <w:rFonts w:hint="eastAsia" w:ascii="宋体" w:hAnsi="宋体"/>
          <w:sz w:val="20"/>
        </w:rPr>
        <w:t>.8.7合理补偿之界定</w:t>
      </w:r>
    </w:p>
    <w:p>
      <w:pPr>
        <w:pStyle w:val="239"/>
        <w:tabs>
          <w:tab w:val="left" w:pos="420"/>
        </w:tabs>
        <w:spacing w:before="194" w:beforeLines="50"/>
        <w:ind w:firstLine="567"/>
        <w:rPr>
          <w:rFonts w:ascii="宋体" w:hAnsi="宋体"/>
          <w:sz w:val="20"/>
        </w:rPr>
      </w:pPr>
      <w:r>
        <w:rPr>
          <w:rFonts w:hint="eastAsia" w:ascii="宋体" w:hAnsi="宋体"/>
          <w:sz w:val="20"/>
        </w:rPr>
        <w:t>上述合理补偿是指由于乙方运营业务终止导致其前期资源投入和预期利益受损，按照行业内相关运营惯例、运营服务协议约定的相关折算规则及考虑合理需要等因素，甲方给与乙方进行的补偿。与该等合理补偿折算有关的具体内容和标准将在运营服务协议第</w:t>
      </w:r>
      <w:r>
        <w:t>15</w:t>
      </w:r>
      <w:r>
        <w:rPr>
          <w:rFonts w:hint="eastAsia"/>
        </w:rPr>
        <w:t>节</w:t>
      </w:r>
      <w:r>
        <w:rPr>
          <w:rFonts w:hint="eastAsia" w:ascii="宋体" w:hAnsi="宋体"/>
          <w:sz w:val="20"/>
        </w:rPr>
        <w:t>中予以规定。</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.9终止后的移交程序</w:t>
      </w:r>
    </w:p>
    <w:p>
      <w:pPr>
        <w:pStyle w:val="239"/>
        <w:tabs>
          <w:tab w:val="left" w:pos="420"/>
        </w:tabs>
        <w:spacing w:before="194" w:beforeLines="50"/>
        <w:ind w:firstLine="567"/>
        <w:rPr>
          <w:rFonts w:ascii="宋体" w:hAnsi="宋体"/>
          <w:sz w:val="20"/>
        </w:rPr>
      </w:pPr>
      <w:r>
        <w:rPr>
          <w:rFonts w:hint="eastAsia" w:ascii="宋体" w:hAnsi="宋体"/>
          <w:sz w:val="20"/>
        </w:rPr>
        <w:t>下列规定适用于运营服务协议按照本第1</w:t>
      </w:r>
      <w:r>
        <w:rPr>
          <w:rFonts w:ascii="宋体" w:hAnsi="宋体"/>
          <w:sz w:val="20"/>
        </w:rPr>
        <w:t>3</w:t>
      </w:r>
      <w:r>
        <w:rPr>
          <w:rFonts w:hint="eastAsia" w:ascii="宋体" w:hAnsi="宋体"/>
          <w:sz w:val="20"/>
        </w:rPr>
        <w:t>节提前终止后乙方将项目移交给甲方或其指定机构：</w:t>
      </w:r>
    </w:p>
    <w:p>
      <w:pPr>
        <w:pStyle w:val="239"/>
        <w:tabs>
          <w:tab w:val="left" w:pos="420"/>
        </w:tabs>
        <w:spacing w:before="194" w:beforeLines="50"/>
        <w:ind w:firstLine="567"/>
        <w:rPr>
          <w:rFonts w:ascii="宋体" w:hAnsi="宋体"/>
          <w:sz w:val="20"/>
        </w:rPr>
      </w:pPr>
      <w:r>
        <w:rPr>
          <w:rFonts w:hint="eastAsia" w:ascii="宋体" w:hAnsi="宋体"/>
          <w:sz w:val="20"/>
        </w:rPr>
        <w:t>（a）乙方在收到第1</w:t>
      </w:r>
      <w:r>
        <w:rPr>
          <w:rFonts w:ascii="宋体" w:hAnsi="宋体"/>
          <w:sz w:val="20"/>
        </w:rPr>
        <w:t>5</w:t>
      </w:r>
      <w:r>
        <w:rPr>
          <w:rFonts w:hint="eastAsia" w:ascii="宋体" w:hAnsi="宋体"/>
          <w:sz w:val="20"/>
        </w:rPr>
        <w:t>.2条项下应支付的补偿数额之后，乙方应向甲方移交以下资产的拥有权利和移交后的潜在利益，包括：</w:t>
      </w:r>
    </w:p>
    <w:p>
      <w:pPr>
        <w:pStyle w:val="239"/>
        <w:tabs>
          <w:tab w:val="left" w:pos="420"/>
        </w:tabs>
        <w:spacing w:before="194" w:beforeLines="50"/>
        <w:ind w:firstLine="567"/>
        <w:rPr>
          <w:rFonts w:ascii="宋体" w:hAnsi="宋体"/>
          <w:sz w:val="20"/>
        </w:rPr>
      </w:pPr>
      <w:r>
        <w:rPr>
          <w:rFonts w:hint="eastAsia" w:ascii="宋体" w:hAnsi="宋体"/>
          <w:sz w:val="20"/>
        </w:rPr>
        <w:t>i.  项目场地；</w:t>
      </w:r>
    </w:p>
    <w:p>
      <w:pPr>
        <w:pStyle w:val="239"/>
        <w:tabs>
          <w:tab w:val="left" w:pos="420"/>
        </w:tabs>
        <w:spacing w:before="194" w:beforeLines="50"/>
        <w:ind w:firstLine="567"/>
        <w:rPr>
          <w:rFonts w:ascii="宋体" w:hAnsi="宋体"/>
          <w:sz w:val="20"/>
        </w:rPr>
      </w:pPr>
      <w:r>
        <w:rPr>
          <w:rFonts w:hint="eastAsia" w:ascii="宋体" w:hAnsi="宋体"/>
          <w:sz w:val="20"/>
        </w:rPr>
        <w:t>ii. 项目设施；</w:t>
      </w:r>
    </w:p>
    <w:p>
      <w:pPr>
        <w:pStyle w:val="239"/>
        <w:tabs>
          <w:tab w:val="left" w:pos="420"/>
        </w:tabs>
        <w:spacing w:before="194" w:beforeLines="50"/>
        <w:ind w:firstLine="567"/>
        <w:rPr>
          <w:rFonts w:ascii="宋体" w:hAnsi="宋体"/>
          <w:sz w:val="20"/>
        </w:rPr>
      </w:pPr>
      <w:r>
        <w:rPr>
          <w:rFonts w:hint="eastAsia" w:ascii="宋体" w:hAnsi="宋体"/>
          <w:sz w:val="20"/>
        </w:rPr>
        <w:t>iii.与项目设施相关使用的所有设备、机器、零配件、化学品以及其它动产；</w:t>
      </w:r>
    </w:p>
    <w:p>
      <w:pPr>
        <w:pStyle w:val="239"/>
        <w:tabs>
          <w:tab w:val="left" w:pos="420"/>
        </w:tabs>
        <w:spacing w:before="194" w:beforeLines="50"/>
        <w:ind w:firstLine="567"/>
        <w:rPr>
          <w:rFonts w:ascii="宋体" w:hAnsi="宋体"/>
          <w:sz w:val="20"/>
        </w:rPr>
      </w:pPr>
      <w:r>
        <w:rPr>
          <w:rFonts w:hint="eastAsia" w:ascii="宋体" w:hAnsi="宋体"/>
          <w:sz w:val="20"/>
        </w:rPr>
        <w:t>iv. 运营和维护项目设施所要求的所有技术和专有技术（包括以许可或分许可的方式）；</w:t>
      </w:r>
    </w:p>
    <w:p>
      <w:pPr>
        <w:pStyle w:val="239"/>
        <w:tabs>
          <w:tab w:val="left" w:pos="420"/>
        </w:tabs>
        <w:spacing w:before="194" w:beforeLines="50"/>
        <w:ind w:firstLine="567"/>
        <w:rPr>
          <w:rFonts w:ascii="宋体" w:hAnsi="宋体"/>
          <w:sz w:val="20"/>
        </w:rPr>
      </w:pPr>
      <w:r>
        <w:rPr>
          <w:rFonts w:hint="eastAsia" w:ascii="宋体" w:hAnsi="宋体"/>
          <w:sz w:val="20"/>
        </w:rPr>
        <w:t>v.  所有尚未到期的保证、保险和其它协议（只要这些是可以转让的）的权利、义务及移交后的潜在利益；以及</w:t>
      </w:r>
    </w:p>
    <w:p>
      <w:pPr>
        <w:pStyle w:val="239"/>
        <w:tabs>
          <w:tab w:val="left" w:pos="420"/>
        </w:tabs>
        <w:spacing w:before="194" w:beforeLines="50"/>
        <w:ind w:firstLine="567"/>
        <w:rPr>
          <w:rFonts w:ascii="宋体" w:hAnsi="宋体"/>
          <w:sz w:val="20"/>
        </w:rPr>
      </w:pPr>
      <w:r>
        <w:rPr>
          <w:rFonts w:hint="eastAsia" w:ascii="宋体" w:hAnsi="宋体"/>
          <w:sz w:val="20"/>
        </w:rPr>
        <w:t>vi. 与项目设施更新改造工程有关的所有手册、图纸、文件和资料。</w:t>
      </w:r>
    </w:p>
    <w:p>
      <w:pPr>
        <w:pStyle w:val="239"/>
        <w:tabs>
          <w:tab w:val="left" w:pos="420"/>
        </w:tabs>
        <w:spacing w:before="194" w:beforeLines="50"/>
        <w:ind w:firstLine="567"/>
        <w:rPr>
          <w:rFonts w:ascii="宋体" w:hAnsi="宋体"/>
          <w:sz w:val="20"/>
        </w:rPr>
      </w:pPr>
      <w:r>
        <w:rPr>
          <w:rFonts w:hint="eastAsia" w:ascii="宋体" w:hAnsi="宋体"/>
          <w:sz w:val="20"/>
        </w:rPr>
        <w:t>所有上述资产应不存在任何债务负担，也不应存在归咎于乙方的环境污染。</w:t>
      </w:r>
    </w:p>
    <w:p>
      <w:pPr>
        <w:pStyle w:val="239"/>
        <w:tabs>
          <w:tab w:val="left" w:pos="420"/>
        </w:tabs>
        <w:spacing w:before="194" w:beforeLines="50"/>
        <w:ind w:firstLine="567"/>
        <w:rPr>
          <w:rFonts w:ascii="宋体" w:hAnsi="宋体"/>
          <w:sz w:val="20"/>
        </w:rPr>
      </w:pPr>
      <w:r>
        <w:rPr>
          <w:rFonts w:hint="eastAsia" w:ascii="宋体" w:hAnsi="宋体"/>
          <w:sz w:val="20"/>
        </w:rPr>
        <w:t>（b）如果终止发生在接收完成之前，乙方应保证在终止日之前对已接收的所有项目设施已按适用法律和运营服务协议规定向甲方进行了必要的交接与说明。</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.10 补救之累积</w:t>
      </w:r>
    </w:p>
    <w:p>
      <w:pPr>
        <w:pStyle w:val="239"/>
        <w:tabs>
          <w:tab w:val="left" w:pos="420"/>
        </w:tabs>
        <w:spacing w:before="194" w:beforeLines="50"/>
        <w:ind w:firstLine="567"/>
        <w:rPr>
          <w:rFonts w:ascii="宋体" w:hAnsi="宋体"/>
          <w:sz w:val="20"/>
        </w:rPr>
      </w:pPr>
      <w:r>
        <w:rPr>
          <w:rFonts w:hint="eastAsia" w:ascii="宋体" w:hAnsi="宋体"/>
          <w:sz w:val="20"/>
        </w:rPr>
        <w:t>任一方行使终止运营服务协议的权利并不排除该方采取运营服务协议规定的或法律提供的其它补救措施。补救措施均是累积的。任一方采取的、或未能采取的一种或多种补救措施并不限制或排除该方采取其它补救措施，亦不构成该方放弃其它补救措施。</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.11 对责任的限制</w:t>
      </w:r>
    </w:p>
    <w:p>
      <w:pPr>
        <w:pStyle w:val="239"/>
        <w:tabs>
          <w:tab w:val="left" w:pos="420"/>
        </w:tabs>
        <w:spacing w:before="194" w:beforeLines="50"/>
        <w:ind w:firstLine="567"/>
        <w:rPr>
          <w:rFonts w:ascii="宋体" w:hAnsi="宋体"/>
          <w:sz w:val="20"/>
        </w:rPr>
      </w:pPr>
      <w:r>
        <w:rPr>
          <w:rFonts w:hint="eastAsia" w:ascii="宋体" w:hAnsi="宋体"/>
          <w:sz w:val="20"/>
        </w:rPr>
        <w:t>(a) 运营服务协议依据第1</w:t>
      </w:r>
      <w:r>
        <w:rPr>
          <w:rFonts w:ascii="宋体" w:hAnsi="宋体"/>
          <w:sz w:val="20"/>
        </w:rPr>
        <w:t>3</w:t>
      </w:r>
      <w:r>
        <w:rPr>
          <w:rFonts w:hint="eastAsia" w:ascii="宋体" w:hAnsi="宋体"/>
          <w:sz w:val="20"/>
        </w:rPr>
        <w:t>节终止后，甲方不应就上述终止或导致上述终止的任何事件向乙方承担任何责任，但根据运营服务协议已事先约定的应付未付款项、违约赔偿和解决有关补偿费的支付除外(如有的话)。</w:t>
      </w:r>
    </w:p>
    <w:p>
      <w:pPr>
        <w:pStyle w:val="239"/>
        <w:tabs>
          <w:tab w:val="left" w:pos="6580"/>
        </w:tabs>
        <w:ind w:firstLine="618" w:firstLineChars="300"/>
        <w:jc w:val="left"/>
        <w:rPr>
          <w:rFonts w:ascii="宋体" w:hAnsi="宋体"/>
          <w:sz w:val="20"/>
        </w:rPr>
      </w:pPr>
      <w:r>
        <w:rPr>
          <w:rFonts w:hint="eastAsia" w:ascii="宋体" w:hAnsi="宋体"/>
          <w:sz w:val="20"/>
        </w:rPr>
        <w:t>(b) 运营服务协议依据第1</w:t>
      </w:r>
      <w:r>
        <w:rPr>
          <w:rFonts w:ascii="宋体" w:hAnsi="宋体"/>
          <w:sz w:val="20"/>
        </w:rPr>
        <w:t>3</w:t>
      </w:r>
      <w:r>
        <w:rPr>
          <w:rFonts w:hint="eastAsia" w:ascii="宋体" w:hAnsi="宋体"/>
          <w:sz w:val="20"/>
        </w:rPr>
        <w:t>节终止后，乙方应单独负责终止与项目有关的所有对外事务，以确保项目设施在终止收回日无负债、无对外担保、无法律诉讼等情况，除非乙方与甲方就项目设施在终止移交日的债权债务处理等事项已另外达成协议。</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.12终止的后果</w:t>
      </w:r>
    </w:p>
    <w:p>
      <w:pPr>
        <w:pStyle w:val="239"/>
        <w:tabs>
          <w:tab w:val="left" w:pos="420"/>
        </w:tabs>
        <w:spacing w:before="194" w:beforeLines="50"/>
        <w:ind w:firstLine="567"/>
        <w:rPr>
          <w:rFonts w:ascii="宋体" w:hAnsi="宋体"/>
          <w:sz w:val="20"/>
        </w:rPr>
      </w:pPr>
      <w:r>
        <w:rPr>
          <w:rFonts w:hint="eastAsia" w:ascii="宋体" w:hAnsi="宋体"/>
          <w:sz w:val="20"/>
        </w:rPr>
        <w:t>运营服务协议终止后，除在该终止或期满前产生的义务外,双方在运营服务协议项下无其它义务。该终止不得影响有关解决争议的规定、本章的规定或运营服务协议明确规定在该终止后继续有效的其它规定。</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.13 其它补救措施</w:t>
      </w:r>
    </w:p>
    <w:p>
      <w:pPr>
        <w:pStyle w:val="239"/>
        <w:tabs>
          <w:tab w:val="left" w:pos="420"/>
        </w:tabs>
        <w:spacing w:before="194" w:beforeLines="50"/>
        <w:ind w:firstLine="567"/>
        <w:rPr>
          <w:rFonts w:ascii="宋体" w:hAnsi="宋体"/>
          <w:sz w:val="20"/>
        </w:rPr>
      </w:pPr>
      <w:r>
        <w:rPr>
          <w:rFonts w:hint="eastAsia" w:ascii="宋体" w:hAnsi="宋体"/>
          <w:sz w:val="20"/>
        </w:rPr>
        <w:t>受第1</w:t>
      </w:r>
      <w:r>
        <w:rPr>
          <w:rFonts w:ascii="宋体" w:hAnsi="宋体"/>
          <w:sz w:val="20"/>
        </w:rPr>
        <w:t>3</w:t>
      </w:r>
      <w:r>
        <w:rPr>
          <w:rFonts w:hint="eastAsia" w:ascii="宋体" w:hAnsi="宋体"/>
          <w:sz w:val="20"/>
        </w:rPr>
        <w:t>.11条规定的约束，一方根据运营服务协议行使终止运营服务协议的权利不排除该方采取运营服务协议规定的或法律所允许的其它适用的补救措施，补救措施是累积的，且一方采取的或未采取的一种或多种补救措施，不应限制或排除该方采取其它补救措施。亦不构成对其它补救措施的弃权。</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3</w:t>
      </w:r>
      <w:r>
        <w:rPr>
          <w:rFonts w:hint="eastAsia" w:ascii="宋体" w:hAnsi="宋体"/>
          <w:b/>
          <w:szCs w:val="20"/>
        </w:rPr>
        <w:t>.14 继续有效</w:t>
      </w:r>
    </w:p>
    <w:p>
      <w:pPr>
        <w:pStyle w:val="239"/>
        <w:tabs>
          <w:tab w:val="left" w:pos="420"/>
        </w:tabs>
        <w:spacing w:before="194" w:beforeLines="50"/>
        <w:ind w:firstLine="567"/>
        <w:rPr>
          <w:rFonts w:ascii="宋体" w:hAnsi="宋体"/>
          <w:sz w:val="20"/>
        </w:rPr>
      </w:pPr>
      <w:r>
        <w:rPr>
          <w:rFonts w:hint="eastAsia" w:ascii="宋体" w:hAnsi="宋体"/>
          <w:sz w:val="20"/>
        </w:rPr>
        <w:t>本章的规定在运营服务协议终止后应仍然有效。</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第十四节  违约赔偿</w:t>
      </w:r>
    </w:p>
    <w:p>
      <w:pPr>
        <w:pStyle w:val="239"/>
        <w:keepNext/>
        <w:keepLines/>
        <w:spacing w:before="120" w:after="120"/>
        <w:ind w:firstLine="432" w:firstLineChars="200"/>
        <w:outlineLvl w:val="4"/>
        <w:rPr>
          <w:rFonts w:ascii="宋体" w:hAnsi="宋体"/>
          <w:b/>
          <w:szCs w:val="20"/>
        </w:rPr>
      </w:pPr>
      <w:r>
        <w:rPr>
          <w:rFonts w:hint="eastAsia" w:ascii="宋体" w:hAnsi="宋体"/>
          <w:b/>
          <w:szCs w:val="20"/>
        </w:rPr>
        <w:t>1</w:t>
      </w:r>
      <w:r>
        <w:rPr>
          <w:rFonts w:ascii="宋体" w:hAnsi="宋体"/>
          <w:b/>
          <w:szCs w:val="20"/>
        </w:rPr>
        <w:t>4</w:t>
      </w:r>
      <w:r>
        <w:rPr>
          <w:rFonts w:hint="eastAsia" w:ascii="宋体" w:hAnsi="宋体"/>
          <w:b/>
          <w:szCs w:val="20"/>
        </w:rPr>
        <w:t>.1 赔偿</w:t>
      </w:r>
    </w:p>
    <w:p>
      <w:pPr>
        <w:pStyle w:val="239"/>
        <w:tabs>
          <w:tab w:val="left" w:pos="420"/>
        </w:tabs>
        <w:spacing w:before="194" w:beforeLines="50"/>
        <w:ind w:firstLine="567"/>
        <w:rPr>
          <w:rFonts w:ascii="宋体" w:hAnsi="宋体"/>
          <w:sz w:val="20"/>
        </w:rPr>
      </w:pPr>
      <w:r>
        <w:rPr>
          <w:rFonts w:hint="eastAsia" w:ascii="宋体" w:hAnsi="宋体"/>
          <w:sz w:val="20"/>
        </w:rPr>
        <w:t>以运营服务协议的其它规定为前提，每一方应有权获得因违约方违约而使该方遭受的任何损失、支出和费用的赔偿，该项赔偿由违约方支付。该项赔偿不应超过违约方在签订运营服务协议时预见或应当预见的损失。</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4</w:t>
      </w:r>
      <w:r>
        <w:rPr>
          <w:rFonts w:hint="eastAsia" w:ascii="宋体" w:hAnsi="宋体"/>
          <w:b/>
          <w:szCs w:val="20"/>
        </w:rPr>
        <w:t>.2 免责</w:t>
      </w:r>
    </w:p>
    <w:p>
      <w:pPr>
        <w:pStyle w:val="239"/>
        <w:tabs>
          <w:tab w:val="left" w:pos="420"/>
        </w:tabs>
        <w:spacing w:before="194" w:beforeLines="50"/>
        <w:ind w:firstLine="567"/>
        <w:rPr>
          <w:rFonts w:ascii="宋体" w:hAnsi="宋体"/>
          <w:sz w:val="20"/>
        </w:rPr>
      </w:pPr>
      <w:r>
        <w:rPr>
          <w:rFonts w:hint="eastAsia" w:ascii="宋体" w:hAnsi="宋体"/>
          <w:sz w:val="20"/>
        </w:rPr>
        <w:t>如果一方证明其违约是由于第1</w:t>
      </w:r>
      <w:r>
        <w:rPr>
          <w:rFonts w:ascii="宋体" w:hAnsi="宋体"/>
          <w:sz w:val="20"/>
        </w:rPr>
        <w:t>2</w:t>
      </w:r>
      <w:r>
        <w:rPr>
          <w:rFonts w:hint="eastAsia" w:ascii="宋体" w:hAnsi="宋体"/>
          <w:sz w:val="20"/>
        </w:rPr>
        <w:t>章规定的不可抗力造成的，则该方对违约不承担责任。</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4</w:t>
      </w:r>
      <w:r>
        <w:rPr>
          <w:rFonts w:hint="eastAsia" w:ascii="宋体" w:hAnsi="宋体"/>
          <w:b/>
          <w:szCs w:val="20"/>
        </w:rPr>
        <w:t>.3 减轻损失的措施</w:t>
      </w:r>
    </w:p>
    <w:p>
      <w:pPr>
        <w:pStyle w:val="239"/>
        <w:tabs>
          <w:tab w:val="left" w:pos="420"/>
        </w:tabs>
        <w:spacing w:before="194" w:beforeLines="50"/>
        <w:ind w:firstLine="567"/>
        <w:rPr>
          <w:rFonts w:ascii="宋体" w:hAnsi="宋体"/>
          <w:sz w:val="20"/>
        </w:rPr>
      </w:pPr>
      <w:r>
        <w:rPr>
          <w:rFonts w:hint="eastAsia" w:ascii="宋体" w:hAnsi="宋体"/>
          <w:sz w:val="20"/>
        </w:rPr>
        <w:t>由于另一方违约而遭受损失或可能会遭受损失的一方应采取合理行动减轻或最大程度的减少另一方违约引起的损失。如果一方未能采取此类措施，违约方可以请求从赔偿金额中扣除应能够减轻或减少的损失金额。</w:t>
      </w:r>
    </w:p>
    <w:p>
      <w:pPr>
        <w:pStyle w:val="239"/>
        <w:tabs>
          <w:tab w:val="left" w:pos="420"/>
        </w:tabs>
        <w:spacing w:before="194" w:beforeLines="50"/>
        <w:ind w:firstLine="567"/>
        <w:rPr>
          <w:rFonts w:ascii="宋体" w:hAnsi="宋体"/>
          <w:sz w:val="20"/>
        </w:rPr>
      </w:pPr>
      <w:r>
        <w:rPr>
          <w:rFonts w:hint="eastAsia" w:ascii="宋体" w:hAnsi="宋体"/>
          <w:sz w:val="20"/>
        </w:rPr>
        <w:t>受损害的一方应有权从另一方获得在试图减轻和减少损失中发生的任何费用。</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4</w:t>
      </w:r>
      <w:r>
        <w:rPr>
          <w:rFonts w:hint="eastAsia" w:ascii="宋体" w:hAnsi="宋体"/>
          <w:b/>
          <w:szCs w:val="20"/>
        </w:rPr>
        <w:t>.4 部分由于受损害方造成的损失</w:t>
      </w:r>
    </w:p>
    <w:p>
      <w:pPr>
        <w:pStyle w:val="239"/>
        <w:tabs>
          <w:tab w:val="left" w:pos="420"/>
        </w:tabs>
        <w:spacing w:before="194" w:beforeLines="50"/>
        <w:ind w:firstLine="567"/>
        <w:rPr>
          <w:rFonts w:ascii="宋体" w:hAnsi="宋体"/>
          <w:sz w:val="20"/>
        </w:rPr>
      </w:pPr>
      <w:r>
        <w:rPr>
          <w:rFonts w:hint="eastAsia" w:ascii="宋体" w:hAnsi="宋体"/>
          <w:sz w:val="20"/>
        </w:rPr>
        <w:t>如果损失部分是由于受损害方的作为或不作为造成的，或产生于应由受损害方承担风险的另一事件，应从赔偿的数额中扣除这些因素造成的损失。</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4</w:t>
      </w:r>
      <w:r>
        <w:rPr>
          <w:rFonts w:hint="eastAsia" w:ascii="宋体" w:hAnsi="宋体"/>
          <w:b/>
          <w:szCs w:val="20"/>
        </w:rPr>
        <w:t>.5 对间接损失不负责任</w:t>
      </w:r>
    </w:p>
    <w:p>
      <w:pPr>
        <w:pStyle w:val="239"/>
        <w:tabs>
          <w:tab w:val="left" w:pos="420"/>
        </w:tabs>
        <w:spacing w:before="194" w:beforeLines="50"/>
        <w:ind w:firstLine="567"/>
        <w:rPr>
          <w:rFonts w:ascii="宋体" w:hAnsi="宋体"/>
          <w:sz w:val="20"/>
        </w:rPr>
      </w:pPr>
      <w:r>
        <w:rPr>
          <w:rFonts w:hint="eastAsia" w:ascii="宋体" w:hAnsi="宋体"/>
          <w:sz w:val="20"/>
        </w:rPr>
        <w:t>除非运营服务协议另有规定，就运营服务协议产生的或与之相关的任何赔索，任何一方不负责赔偿另一方的任何间接、特殊或附带的损失或惩罚性损失赔偿，无论其是否基于协议、侵权行为（包括过失、严格责任）或其它原因，除非该方行为构成严重不当行为。</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4</w:t>
      </w:r>
      <w:r>
        <w:rPr>
          <w:rFonts w:hint="eastAsia" w:ascii="宋体" w:hAnsi="宋体"/>
          <w:b/>
          <w:szCs w:val="20"/>
        </w:rPr>
        <w:t>.6 补救之累积</w:t>
      </w:r>
    </w:p>
    <w:p>
      <w:pPr>
        <w:pStyle w:val="239"/>
        <w:tabs>
          <w:tab w:val="left" w:pos="420"/>
        </w:tabs>
        <w:spacing w:before="194" w:beforeLines="50"/>
        <w:ind w:firstLine="567"/>
        <w:rPr>
          <w:rFonts w:ascii="宋体" w:hAnsi="宋体"/>
          <w:sz w:val="20"/>
        </w:rPr>
      </w:pPr>
      <w:r>
        <w:rPr>
          <w:rFonts w:hint="eastAsia" w:ascii="宋体" w:hAnsi="宋体"/>
          <w:sz w:val="20"/>
        </w:rPr>
        <w:t>本章不得阻止任何一方行使运营服务协议或法律规定的任何其它补救措施。</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第十五节  补 偿</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5</w:t>
      </w:r>
      <w:r>
        <w:rPr>
          <w:rFonts w:hint="eastAsia" w:ascii="宋体" w:hAnsi="宋体"/>
          <w:b/>
          <w:szCs w:val="20"/>
        </w:rPr>
        <w:t>.1 一般补偿</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.1.1 获得一般补偿的权利</w:t>
      </w:r>
    </w:p>
    <w:p>
      <w:pPr>
        <w:pStyle w:val="239"/>
        <w:tabs>
          <w:tab w:val="left" w:pos="420"/>
        </w:tabs>
        <w:spacing w:before="194" w:beforeLines="50"/>
        <w:ind w:firstLine="567"/>
        <w:rPr>
          <w:rFonts w:ascii="宋体" w:hAnsi="宋体"/>
          <w:sz w:val="20"/>
        </w:rPr>
      </w:pPr>
      <w:r>
        <w:rPr>
          <w:rFonts w:hint="eastAsia" w:ascii="宋体" w:hAnsi="宋体"/>
          <w:sz w:val="20"/>
        </w:rPr>
        <w:t>在运营期内，如发生下述事件（下称“补偿事件”）：</w:t>
      </w:r>
    </w:p>
    <w:p>
      <w:pPr>
        <w:pStyle w:val="239"/>
        <w:tabs>
          <w:tab w:val="left" w:pos="420"/>
        </w:tabs>
        <w:spacing w:before="194" w:beforeLines="50"/>
        <w:ind w:firstLine="567"/>
        <w:rPr>
          <w:rFonts w:ascii="宋体" w:hAnsi="宋体"/>
          <w:sz w:val="20"/>
        </w:rPr>
      </w:pPr>
      <w:r>
        <w:rPr>
          <w:rFonts w:hint="eastAsia" w:ascii="宋体" w:hAnsi="宋体"/>
          <w:sz w:val="20"/>
        </w:rPr>
        <w:t>（a）根据第</w:t>
      </w:r>
      <w:r>
        <w:fldChar w:fldCharType="begin"/>
      </w:r>
      <w:r>
        <w:instrText xml:space="preserve"> HYPERLINK \l "_15.1_不可抗力" </w:instrText>
      </w:r>
      <w:r>
        <w:fldChar w:fldCharType="separate"/>
      </w:r>
      <w:r>
        <w:rPr>
          <w:rFonts w:hint="eastAsia" w:ascii="宋体" w:hAnsi="宋体"/>
          <w:sz w:val="20"/>
          <w:szCs w:val="20"/>
        </w:rPr>
        <w:t>1</w:t>
      </w:r>
      <w:r>
        <w:rPr>
          <w:rFonts w:ascii="宋体" w:hAnsi="宋体"/>
          <w:sz w:val="20"/>
          <w:szCs w:val="20"/>
        </w:rPr>
        <w:t>2</w:t>
      </w:r>
      <w:r>
        <w:rPr>
          <w:rFonts w:hint="eastAsia" w:ascii="宋体" w:hAnsi="宋体"/>
          <w:sz w:val="20"/>
          <w:szCs w:val="20"/>
        </w:rPr>
        <w:t>.1</w:t>
      </w:r>
      <w:r>
        <w:rPr>
          <w:rFonts w:hint="eastAsia" w:ascii="宋体" w:hAnsi="宋体"/>
          <w:sz w:val="20"/>
          <w:szCs w:val="20"/>
        </w:rPr>
        <w:fldChar w:fldCharType="end"/>
      </w:r>
      <w:r>
        <w:rPr>
          <w:rFonts w:hint="eastAsia" w:ascii="宋体" w:hAnsi="宋体"/>
          <w:sz w:val="20"/>
        </w:rPr>
        <w:t>条款发生不可抗力事件导致污水处理厂全面停产；</w:t>
      </w:r>
    </w:p>
    <w:p>
      <w:pPr>
        <w:pStyle w:val="239"/>
        <w:tabs>
          <w:tab w:val="left" w:pos="420"/>
        </w:tabs>
        <w:spacing w:before="194" w:beforeLines="50"/>
        <w:ind w:firstLine="567"/>
        <w:rPr>
          <w:rFonts w:ascii="宋体" w:hAnsi="宋体"/>
          <w:sz w:val="20"/>
        </w:rPr>
      </w:pPr>
      <w:r>
        <w:rPr>
          <w:rFonts w:hint="eastAsia" w:ascii="宋体" w:hAnsi="宋体"/>
          <w:sz w:val="20"/>
        </w:rPr>
        <w:t>（b）应甲方要求对厂区外项目配套设施进行的抢修，导致乙方运营费用的额外增加；</w:t>
      </w:r>
    </w:p>
    <w:p>
      <w:pPr>
        <w:pStyle w:val="239"/>
        <w:tabs>
          <w:tab w:val="left" w:pos="420"/>
        </w:tabs>
        <w:spacing w:before="194" w:beforeLines="50"/>
        <w:ind w:firstLine="567"/>
        <w:rPr>
          <w:rFonts w:ascii="宋体" w:hAnsi="宋体"/>
          <w:sz w:val="20"/>
        </w:rPr>
      </w:pPr>
      <w:r>
        <w:rPr>
          <w:rFonts w:hint="eastAsia" w:ascii="宋体" w:hAnsi="宋体"/>
          <w:sz w:val="20"/>
        </w:rPr>
        <w:t>（c）按照甲方要求在运营期内进行的工况调整和设备改造，导致乙方运营费用的增加。</w:t>
      </w:r>
    </w:p>
    <w:p>
      <w:pPr>
        <w:pStyle w:val="239"/>
        <w:tabs>
          <w:tab w:val="left" w:pos="420"/>
        </w:tabs>
        <w:spacing w:before="194" w:beforeLines="50"/>
        <w:ind w:firstLine="567"/>
        <w:rPr>
          <w:rFonts w:ascii="宋体" w:hAnsi="宋体"/>
          <w:sz w:val="20"/>
        </w:rPr>
      </w:pPr>
      <w:r>
        <w:rPr>
          <w:rFonts w:hint="eastAsia" w:ascii="宋体" w:hAnsi="宋体"/>
          <w:sz w:val="20"/>
        </w:rPr>
        <w:t>则乙方有权依照本第1</w:t>
      </w:r>
      <w:r>
        <w:rPr>
          <w:rFonts w:ascii="宋体" w:hAnsi="宋体"/>
          <w:sz w:val="20"/>
        </w:rPr>
        <w:t>5</w:t>
      </w:r>
      <w:r>
        <w:rPr>
          <w:rFonts w:hint="eastAsia" w:ascii="宋体" w:hAnsi="宋体"/>
          <w:sz w:val="20"/>
        </w:rPr>
        <w:t>节中相关条款,从甲方获得相应补偿。</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.1.2 补偿原则</w:t>
      </w:r>
    </w:p>
    <w:p>
      <w:pPr>
        <w:pStyle w:val="239"/>
        <w:tabs>
          <w:tab w:val="left" w:pos="420"/>
        </w:tabs>
        <w:spacing w:before="194" w:beforeLines="50"/>
        <w:ind w:firstLine="567"/>
        <w:rPr>
          <w:rFonts w:ascii="宋体" w:hAnsi="宋体"/>
          <w:sz w:val="20"/>
        </w:rPr>
      </w:pPr>
      <w:r>
        <w:rPr>
          <w:rFonts w:hint="eastAsia" w:ascii="宋体" w:hAnsi="宋体"/>
          <w:sz w:val="20"/>
        </w:rPr>
        <w:t>（a）生效日期后发生第</w:t>
      </w:r>
      <w:r>
        <w:fldChar w:fldCharType="begin"/>
      </w:r>
      <w:r>
        <w:instrText xml:space="preserve"> HYPERLINK \l "_14.1_不可抗力引起的终止履行" </w:instrText>
      </w:r>
      <w:r>
        <w:fldChar w:fldCharType="separate"/>
      </w:r>
      <w:r>
        <w:rPr>
          <w:rFonts w:hint="eastAsia" w:ascii="宋体" w:hAnsi="宋体"/>
          <w:sz w:val="20"/>
          <w:szCs w:val="20"/>
        </w:rPr>
        <w:t>1</w:t>
      </w:r>
      <w:r>
        <w:rPr>
          <w:rFonts w:ascii="宋体" w:hAnsi="宋体"/>
          <w:sz w:val="20"/>
          <w:szCs w:val="20"/>
        </w:rPr>
        <w:t>2</w:t>
      </w:r>
      <w:r>
        <w:rPr>
          <w:rFonts w:hint="eastAsia" w:ascii="宋体" w:hAnsi="宋体"/>
          <w:sz w:val="20"/>
          <w:szCs w:val="20"/>
        </w:rPr>
        <w:t>.1（d）、（h）</w:t>
      </w:r>
      <w:r>
        <w:rPr>
          <w:rFonts w:hint="eastAsia" w:ascii="宋体" w:hAnsi="宋体"/>
          <w:sz w:val="20"/>
          <w:szCs w:val="20"/>
        </w:rPr>
        <w:fldChar w:fldCharType="end"/>
      </w:r>
      <w:r>
        <w:rPr>
          <w:rFonts w:hint="eastAsia" w:ascii="宋体" w:hAnsi="宋体"/>
          <w:sz w:val="20"/>
        </w:rPr>
        <w:t>条款项下的不可抗力事件的补偿：</w:t>
      </w:r>
    </w:p>
    <w:p>
      <w:pPr>
        <w:pStyle w:val="239"/>
        <w:tabs>
          <w:tab w:val="left" w:pos="420"/>
        </w:tabs>
        <w:spacing w:before="194" w:beforeLines="50"/>
        <w:ind w:firstLine="567"/>
        <w:rPr>
          <w:rFonts w:ascii="宋体" w:hAnsi="宋体"/>
          <w:sz w:val="20"/>
        </w:rPr>
      </w:pPr>
      <w:r>
        <w:rPr>
          <w:rFonts w:hint="eastAsia" w:ascii="宋体" w:hAnsi="宋体"/>
          <w:sz w:val="20"/>
        </w:rPr>
        <w:t>此等不可抗力或因甲方要求如导致本项目每年实际运营维护成本增加，甲方将以第三方机构评估测算结果为依据按照投标报价同比例下浮后对乙方给予补偿。</w:t>
      </w:r>
    </w:p>
    <w:p>
      <w:pPr>
        <w:pStyle w:val="239"/>
        <w:tabs>
          <w:tab w:val="left" w:pos="420"/>
        </w:tabs>
        <w:spacing w:before="194" w:beforeLines="50"/>
        <w:ind w:firstLine="567"/>
        <w:rPr>
          <w:rFonts w:ascii="宋体" w:hAnsi="宋体"/>
          <w:sz w:val="20"/>
        </w:rPr>
      </w:pPr>
      <w:r>
        <w:rPr>
          <w:rFonts w:hint="eastAsia" w:ascii="宋体" w:hAnsi="宋体"/>
          <w:sz w:val="20"/>
        </w:rPr>
        <w:t>（b）生效日期后发生第</w:t>
      </w:r>
      <w:r>
        <w:fldChar w:fldCharType="begin"/>
      </w:r>
      <w:r>
        <w:instrText xml:space="preserve"> HYPERLINK \l "_14.1_不可抗力引起的终止履行" </w:instrText>
      </w:r>
      <w:r>
        <w:fldChar w:fldCharType="separate"/>
      </w:r>
      <w:r>
        <w:rPr>
          <w:rFonts w:hint="eastAsia" w:ascii="宋体" w:hAnsi="宋体"/>
          <w:sz w:val="20"/>
          <w:szCs w:val="20"/>
        </w:rPr>
        <w:t>1</w:t>
      </w:r>
      <w:r>
        <w:rPr>
          <w:rFonts w:ascii="宋体" w:hAnsi="宋体"/>
          <w:sz w:val="20"/>
          <w:szCs w:val="20"/>
        </w:rPr>
        <w:t>2</w:t>
      </w:r>
      <w:r>
        <w:rPr>
          <w:rFonts w:hint="eastAsia" w:ascii="宋体" w:hAnsi="宋体"/>
          <w:sz w:val="20"/>
          <w:szCs w:val="20"/>
        </w:rPr>
        <w:t>.1（j）</w:t>
      </w:r>
      <w:r>
        <w:rPr>
          <w:rFonts w:hint="eastAsia" w:ascii="宋体" w:hAnsi="宋体"/>
          <w:sz w:val="20"/>
          <w:szCs w:val="20"/>
        </w:rPr>
        <w:fldChar w:fldCharType="end"/>
      </w:r>
      <w:r>
        <w:rPr>
          <w:rFonts w:hint="eastAsia" w:ascii="宋体" w:hAnsi="宋体"/>
          <w:sz w:val="20"/>
        </w:rPr>
        <w:t>条款项下的法律变更事件时：</w:t>
      </w:r>
    </w:p>
    <w:p>
      <w:pPr>
        <w:pStyle w:val="239"/>
        <w:tabs>
          <w:tab w:val="left" w:pos="420"/>
        </w:tabs>
        <w:spacing w:before="194" w:beforeLines="50"/>
        <w:ind w:firstLine="567"/>
        <w:rPr>
          <w:rFonts w:ascii="宋体" w:hAnsi="宋体"/>
          <w:sz w:val="20"/>
        </w:rPr>
      </w:pPr>
      <w:r>
        <w:rPr>
          <w:rFonts w:hint="eastAsia" w:ascii="宋体" w:hAnsi="宋体"/>
          <w:sz w:val="20"/>
        </w:rPr>
        <w:t>如在运营服务协议生效后，任何政府部门通过、颁布、修改、废除或重新解释的任何与本项目相关的适用法规；任何政府部门实施的关于签发、续展或修改任何批准的任何条件等造成的法律变更，导致对项目的运营、维护和移交的要求发生任何变化等，使得对乙方发生不利或获益的情况下，任一方均有权要求另一方以第三方机构评估测算结果为依据按照投标报价同比例下浮后给予对方以合理的补偿或抵减，以使其达到与其若未发生这些法律变更的情况下基本相同的经济状况。</w:t>
      </w:r>
    </w:p>
    <w:p>
      <w:pPr>
        <w:pStyle w:val="239"/>
        <w:tabs>
          <w:tab w:val="left" w:pos="420"/>
        </w:tabs>
        <w:spacing w:before="194" w:beforeLines="50"/>
        <w:ind w:firstLine="567"/>
        <w:rPr>
          <w:rFonts w:ascii="宋体" w:hAnsi="宋体"/>
          <w:sz w:val="20"/>
        </w:rPr>
      </w:pPr>
      <w:r>
        <w:rPr>
          <w:rFonts w:hint="eastAsia" w:ascii="宋体" w:hAnsi="宋体"/>
          <w:sz w:val="20"/>
        </w:rPr>
        <w:t>(d) 对厂区外项目设施实施紧急抢修费用的补偿：</w:t>
      </w:r>
    </w:p>
    <w:p>
      <w:pPr>
        <w:pStyle w:val="239"/>
        <w:tabs>
          <w:tab w:val="left" w:pos="420"/>
        </w:tabs>
        <w:spacing w:before="194" w:beforeLines="50"/>
        <w:ind w:firstLine="567"/>
        <w:rPr>
          <w:rFonts w:ascii="宋体" w:hAnsi="宋体"/>
          <w:sz w:val="20"/>
        </w:rPr>
      </w:pPr>
      <w:r>
        <w:rPr>
          <w:rFonts w:hint="eastAsia" w:ascii="宋体" w:hAnsi="宋体"/>
          <w:sz w:val="20"/>
        </w:rPr>
        <w:t>对乙方按照甲方紧急指令实际发生的抢修成本（不含人工费用）支出，在经甲方审核确认后三（3）个月内予以补偿。</w:t>
      </w:r>
    </w:p>
    <w:p>
      <w:pPr>
        <w:pStyle w:val="239"/>
        <w:tabs>
          <w:tab w:val="left" w:pos="420"/>
        </w:tabs>
        <w:spacing w:before="194" w:beforeLines="50"/>
        <w:ind w:firstLine="567"/>
        <w:rPr>
          <w:rFonts w:ascii="宋体" w:hAnsi="宋体"/>
          <w:sz w:val="20"/>
        </w:rPr>
      </w:pPr>
      <w:r>
        <w:rPr>
          <w:rFonts w:hint="eastAsia" w:ascii="宋体" w:hAnsi="宋体"/>
          <w:sz w:val="20"/>
        </w:rPr>
        <w:t>（e）运营成本：</w:t>
      </w:r>
    </w:p>
    <w:p>
      <w:pPr>
        <w:pStyle w:val="239"/>
        <w:tabs>
          <w:tab w:val="left" w:pos="420"/>
        </w:tabs>
        <w:spacing w:before="194" w:beforeLines="50"/>
        <w:ind w:firstLine="567"/>
        <w:rPr>
          <w:rFonts w:ascii="宋体" w:hAnsi="宋体"/>
          <w:sz w:val="20"/>
        </w:rPr>
      </w:pPr>
      <w:r>
        <w:rPr>
          <w:rFonts w:hint="eastAsia" w:ascii="宋体" w:hAnsi="宋体"/>
          <w:sz w:val="20"/>
        </w:rPr>
        <w:t>本项目包括人工、能源以及化学药品的等与此有关的补偿，甲方不予考虑。</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.1.3 以其它方式已补偿的损失</w:t>
      </w:r>
    </w:p>
    <w:p>
      <w:pPr>
        <w:pStyle w:val="239"/>
        <w:tabs>
          <w:tab w:val="left" w:pos="420"/>
        </w:tabs>
        <w:spacing w:before="194" w:beforeLines="50"/>
        <w:ind w:firstLine="567"/>
        <w:rPr>
          <w:rFonts w:ascii="宋体" w:hAnsi="宋体"/>
          <w:sz w:val="20"/>
        </w:rPr>
      </w:pPr>
      <w:r>
        <w:rPr>
          <w:rFonts w:hint="eastAsia" w:ascii="宋体" w:hAnsi="宋体"/>
          <w:sz w:val="20"/>
        </w:rPr>
        <w:t>就乙方因补偿事件而发生的损失、损害或责任（包括增加的运营成本），甲方没有义务对已从下列符合另行获取补偿或抵销的损失部分提供补偿：</w:t>
      </w:r>
    </w:p>
    <w:p>
      <w:pPr>
        <w:pStyle w:val="239"/>
        <w:tabs>
          <w:tab w:val="left" w:pos="420"/>
        </w:tabs>
        <w:spacing w:before="194" w:beforeLines="50"/>
        <w:ind w:firstLine="567"/>
        <w:rPr>
          <w:rFonts w:ascii="宋体" w:hAnsi="宋体"/>
          <w:sz w:val="20"/>
        </w:rPr>
      </w:pPr>
      <w:r>
        <w:rPr>
          <w:rFonts w:hint="eastAsia" w:ascii="宋体" w:hAnsi="宋体"/>
          <w:sz w:val="20"/>
        </w:rPr>
        <w:t>（b）乙方已从其它途径获得补偿；</w:t>
      </w:r>
    </w:p>
    <w:p>
      <w:pPr>
        <w:pStyle w:val="239"/>
        <w:tabs>
          <w:tab w:val="left" w:pos="420"/>
        </w:tabs>
        <w:spacing w:before="194" w:beforeLines="50"/>
        <w:ind w:firstLine="567"/>
        <w:rPr>
          <w:rFonts w:ascii="宋体" w:hAnsi="宋体"/>
          <w:sz w:val="20"/>
        </w:rPr>
      </w:pPr>
      <w:r>
        <w:rPr>
          <w:rFonts w:hint="eastAsia" w:ascii="宋体" w:hAnsi="宋体"/>
          <w:sz w:val="20"/>
        </w:rPr>
        <w:t>（c）甲方按照运营服务协议其它规定或以其它方式提供补偿；</w:t>
      </w:r>
    </w:p>
    <w:p>
      <w:pPr>
        <w:pStyle w:val="239"/>
        <w:tabs>
          <w:tab w:val="left" w:pos="420"/>
        </w:tabs>
        <w:spacing w:before="194" w:beforeLines="50"/>
        <w:ind w:firstLine="567"/>
        <w:rPr>
          <w:rFonts w:ascii="宋体" w:hAnsi="宋体"/>
          <w:sz w:val="20"/>
        </w:rPr>
      </w:pPr>
      <w:r>
        <w:rPr>
          <w:rFonts w:hint="eastAsia" w:ascii="宋体" w:hAnsi="宋体"/>
          <w:sz w:val="20"/>
        </w:rPr>
        <w:t>（d）法律变更使乙方的经常性支出减少或以其它方式已获补偿。</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.1.4补偿形式</w:t>
      </w:r>
    </w:p>
    <w:p>
      <w:pPr>
        <w:pStyle w:val="239"/>
        <w:tabs>
          <w:tab w:val="left" w:pos="420"/>
        </w:tabs>
        <w:spacing w:before="194" w:beforeLines="50"/>
        <w:ind w:firstLine="567"/>
        <w:rPr>
          <w:rFonts w:ascii="宋体" w:hAnsi="宋体"/>
          <w:sz w:val="20"/>
        </w:rPr>
      </w:pPr>
      <w:r>
        <w:rPr>
          <w:rFonts w:hint="eastAsia" w:ascii="宋体" w:hAnsi="宋体"/>
          <w:sz w:val="20"/>
        </w:rPr>
        <w:t>（a）补偿形式：</w:t>
      </w:r>
    </w:p>
    <w:p>
      <w:pPr>
        <w:pStyle w:val="239"/>
        <w:tabs>
          <w:tab w:val="left" w:pos="420"/>
        </w:tabs>
        <w:spacing w:before="194" w:beforeLines="50"/>
        <w:ind w:firstLine="567"/>
        <w:rPr>
          <w:rFonts w:ascii="宋体" w:hAnsi="宋体"/>
          <w:sz w:val="20"/>
        </w:rPr>
      </w:pPr>
      <w:r>
        <w:rPr>
          <w:rFonts w:hint="eastAsia" w:ascii="宋体" w:hAnsi="宋体"/>
          <w:sz w:val="20"/>
        </w:rPr>
        <w:t xml:space="preserve">    i）抵减违约金；</w:t>
      </w:r>
    </w:p>
    <w:p>
      <w:pPr>
        <w:pStyle w:val="239"/>
        <w:tabs>
          <w:tab w:val="left" w:pos="420"/>
        </w:tabs>
        <w:spacing w:before="194" w:beforeLines="50"/>
        <w:ind w:firstLine="567"/>
        <w:rPr>
          <w:rFonts w:ascii="宋体" w:hAnsi="宋体"/>
          <w:sz w:val="20"/>
        </w:rPr>
      </w:pPr>
      <w:r>
        <w:rPr>
          <w:rFonts w:hint="eastAsia" w:ascii="宋体" w:hAnsi="宋体"/>
          <w:sz w:val="20"/>
        </w:rPr>
        <w:t xml:space="preserve">    ii）每一个付费月结算时一次性补偿。</w:t>
      </w:r>
    </w:p>
    <w:p>
      <w:pPr>
        <w:pStyle w:val="239"/>
        <w:tabs>
          <w:tab w:val="left" w:pos="420"/>
        </w:tabs>
        <w:spacing w:before="194" w:beforeLines="50"/>
        <w:ind w:firstLine="567"/>
        <w:rPr>
          <w:rFonts w:ascii="宋体" w:hAnsi="宋体"/>
          <w:sz w:val="20"/>
        </w:rPr>
      </w:pPr>
      <w:r>
        <w:rPr>
          <w:rFonts w:hint="eastAsia" w:ascii="宋体" w:hAnsi="宋体"/>
          <w:sz w:val="20"/>
        </w:rPr>
        <w:t xml:space="preserve">  （b）补偿方式的优先：</w:t>
      </w:r>
    </w:p>
    <w:p>
      <w:pPr>
        <w:pStyle w:val="239"/>
        <w:tabs>
          <w:tab w:val="left" w:pos="420"/>
        </w:tabs>
        <w:spacing w:before="194" w:beforeLines="50"/>
        <w:ind w:firstLine="567"/>
        <w:rPr>
          <w:rFonts w:ascii="宋体" w:hAnsi="宋体"/>
          <w:sz w:val="20"/>
        </w:rPr>
      </w:pPr>
      <w:r>
        <w:rPr>
          <w:rFonts w:hint="eastAsia" w:ascii="宋体" w:hAnsi="宋体"/>
          <w:sz w:val="20"/>
        </w:rPr>
        <w:t xml:space="preserve">    i）乙方应付违约金的抵减（如有）；</w:t>
      </w:r>
    </w:p>
    <w:p>
      <w:pPr>
        <w:pStyle w:val="239"/>
        <w:tabs>
          <w:tab w:val="left" w:pos="420"/>
        </w:tabs>
        <w:spacing w:before="194" w:beforeLines="50"/>
        <w:ind w:firstLine="567"/>
        <w:rPr>
          <w:rFonts w:ascii="宋体" w:hAnsi="宋体"/>
          <w:sz w:val="20"/>
        </w:rPr>
      </w:pPr>
      <w:r>
        <w:rPr>
          <w:rFonts w:hint="eastAsia" w:ascii="宋体" w:hAnsi="宋体"/>
          <w:sz w:val="20"/>
        </w:rPr>
        <w:t xml:space="preserve">    ii）每一个付费月结算时一次性补偿;</w:t>
      </w:r>
    </w:p>
    <w:p>
      <w:pPr>
        <w:pStyle w:val="239"/>
        <w:tabs>
          <w:tab w:val="left" w:pos="420"/>
        </w:tabs>
        <w:spacing w:before="194" w:beforeLines="50"/>
        <w:ind w:firstLine="567"/>
        <w:rPr>
          <w:rFonts w:ascii="宋体" w:hAnsi="宋体"/>
          <w:sz w:val="20"/>
        </w:rPr>
      </w:pPr>
      <w:r>
        <w:rPr>
          <w:rFonts w:hint="eastAsia" w:ascii="宋体" w:hAnsi="宋体"/>
          <w:sz w:val="20"/>
        </w:rPr>
        <w:t xml:space="preserve">    iii）每一运营周年双方对各种费用结算审核完成后，纳入应付余额中一次性结算补偿（如有）。</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.1.5 补偿事件的通知</w:t>
      </w:r>
    </w:p>
    <w:p>
      <w:pPr>
        <w:pStyle w:val="239"/>
        <w:tabs>
          <w:tab w:val="left" w:pos="420"/>
        </w:tabs>
        <w:spacing w:before="194" w:beforeLines="50"/>
        <w:ind w:firstLine="567"/>
        <w:rPr>
          <w:rFonts w:ascii="宋体" w:hAnsi="宋体"/>
          <w:sz w:val="20"/>
        </w:rPr>
      </w:pPr>
      <w:r>
        <w:rPr>
          <w:rFonts w:hint="eastAsia" w:ascii="宋体" w:hAnsi="宋体"/>
          <w:sz w:val="20"/>
        </w:rPr>
        <w:t>当按照上述第1</w:t>
      </w:r>
      <w:r>
        <w:rPr>
          <w:rFonts w:ascii="宋体" w:hAnsi="宋体"/>
          <w:sz w:val="20"/>
        </w:rPr>
        <w:t>5</w:t>
      </w:r>
      <w:r>
        <w:rPr>
          <w:rFonts w:hint="eastAsia" w:ascii="宋体" w:hAnsi="宋体"/>
          <w:sz w:val="20"/>
        </w:rPr>
        <w:t>.1条款规定而使乙方有权获得补偿时，乙方应书面通知甲方补偿事件的发生及其可能之影响，包括有关损失的性质和估计数额（下称“补偿通知”）。</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.1.6 协商谈判期：</w:t>
      </w:r>
    </w:p>
    <w:p>
      <w:pPr>
        <w:pStyle w:val="239"/>
        <w:tabs>
          <w:tab w:val="left" w:pos="420"/>
        </w:tabs>
        <w:spacing w:before="194" w:beforeLines="50"/>
        <w:ind w:firstLine="567"/>
        <w:rPr>
          <w:rFonts w:ascii="宋体" w:hAnsi="宋体"/>
          <w:sz w:val="20"/>
        </w:rPr>
      </w:pPr>
      <w:r>
        <w:rPr>
          <w:rFonts w:hint="eastAsia" w:ascii="宋体" w:hAnsi="宋体"/>
          <w:sz w:val="20"/>
        </w:rPr>
        <w:t>（a）甲方收到补偿通知后，当事各方应以诚意进行协商谈判，并尽其最大努力就补偿的形式、数额及时间达成一致；</w:t>
      </w:r>
    </w:p>
    <w:p>
      <w:pPr>
        <w:pStyle w:val="239"/>
        <w:tabs>
          <w:tab w:val="left" w:pos="420"/>
        </w:tabs>
        <w:spacing w:before="194" w:beforeLines="50"/>
        <w:ind w:firstLine="567"/>
        <w:rPr>
          <w:rFonts w:ascii="宋体" w:hAnsi="宋体"/>
          <w:sz w:val="20"/>
        </w:rPr>
      </w:pPr>
      <w:r>
        <w:rPr>
          <w:rFonts w:hint="eastAsia" w:ascii="宋体" w:hAnsi="宋体"/>
          <w:sz w:val="20"/>
        </w:rPr>
        <w:t>（b）若在谈判开始后二十日（20）内当事方未能就补偿达成一致，则按照运营服务协议第</w:t>
      </w:r>
      <w:r>
        <w:fldChar w:fldCharType="begin"/>
      </w:r>
      <w:r>
        <w:instrText xml:space="preserve"> HYPERLINK \l "_第22章_争议的解决" </w:instrText>
      </w:r>
      <w:r>
        <w:fldChar w:fldCharType="separate"/>
      </w:r>
      <w:r>
        <w:rPr>
          <w:rFonts w:hint="eastAsia" w:ascii="宋体" w:hAnsi="宋体"/>
          <w:sz w:val="20"/>
          <w:szCs w:val="20"/>
        </w:rPr>
        <w:t>1</w:t>
      </w:r>
      <w:r>
        <w:rPr>
          <w:rFonts w:ascii="宋体" w:hAnsi="宋体"/>
          <w:sz w:val="20"/>
          <w:szCs w:val="20"/>
        </w:rPr>
        <w:t>7</w:t>
      </w:r>
      <w:r>
        <w:rPr>
          <w:rFonts w:ascii="宋体" w:hAnsi="宋体"/>
          <w:sz w:val="20"/>
          <w:szCs w:val="20"/>
        </w:rPr>
        <w:fldChar w:fldCharType="end"/>
      </w:r>
      <w:r>
        <w:rPr>
          <w:rFonts w:hint="eastAsia" w:ascii="宋体" w:hAnsi="宋体"/>
          <w:sz w:val="20"/>
        </w:rPr>
        <w:t>节规定解决。</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.1.7 对责任的限制</w:t>
      </w:r>
    </w:p>
    <w:p>
      <w:pPr>
        <w:pStyle w:val="239"/>
        <w:tabs>
          <w:tab w:val="left" w:pos="420"/>
        </w:tabs>
        <w:spacing w:before="194" w:beforeLines="50"/>
        <w:ind w:firstLine="567"/>
        <w:rPr>
          <w:rFonts w:ascii="宋体" w:hAnsi="宋体"/>
          <w:sz w:val="20"/>
        </w:rPr>
      </w:pPr>
      <w:r>
        <w:rPr>
          <w:rFonts w:hint="eastAsia" w:ascii="宋体" w:hAnsi="宋体"/>
          <w:sz w:val="20"/>
        </w:rPr>
        <w:t>乙方同意，如果甲方按照第17章的规定提供补偿，甲方对乙方不再承担有关补偿事件的任何其它责任。</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5</w:t>
      </w:r>
      <w:r>
        <w:rPr>
          <w:rFonts w:hint="eastAsia" w:ascii="宋体" w:hAnsi="宋体"/>
          <w:b/>
          <w:szCs w:val="20"/>
        </w:rPr>
        <w:t>.2 终止后的合理补偿或赔偿</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.2.1若运营服务协议所指的项目设施在运营期内根据第</w:t>
      </w:r>
      <w:r>
        <w:t>13</w:t>
      </w:r>
      <w:r>
        <w:rPr>
          <w:rFonts w:hint="eastAsia"/>
        </w:rPr>
        <w:t>节</w:t>
      </w:r>
      <w:r>
        <w:rPr>
          <w:rFonts w:hint="eastAsia" w:ascii="宋体" w:hAnsi="宋体"/>
          <w:sz w:val="20"/>
        </w:rPr>
        <w:t>终止，甲方应根据表1</w:t>
      </w:r>
      <w:r>
        <w:rPr>
          <w:rFonts w:ascii="宋体" w:hAnsi="宋体"/>
          <w:sz w:val="20"/>
        </w:rPr>
        <w:t>5</w:t>
      </w:r>
      <w:r>
        <w:rPr>
          <w:rFonts w:hint="eastAsia" w:ascii="宋体" w:hAnsi="宋体"/>
          <w:sz w:val="20"/>
        </w:rPr>
        <w:t>.2对由乙方购置的生活和办公器用具折旧残值的规定对乙方予以合理补偿。</w:t>
      </w:r>
    </w:p>
    <w:p>
      <w:pPr>
        <w:pStyle w:val="239"/>
        <w:tabs>
          <w:tab w:val="left" w:pos="420"/>
        </w:tabs>
        <w:spacing w:before="194" w:beforeLines="50"/>
        <w:ind w:firstLine="567"/>
        <w:rPr>
          <w:rFonts w:ascii="宋体" w:hAnsi="宋体"/>
          <w:sz w:val="20"/>
        </w:rPr>
      </w:pPr>
      <w:r>
        <w:rPr>
          <w:rFonts w:hint="eastAsia" w:ascii="宋体" w:hAnsi="宋体"/>
          <w:sz w:val="20"/>
        </w:rPr>
        <w:t xml:space="preserve">              表1</w:t>
      </w:r>
      <w:r>
        <w:rPr>
          <w:rFonts w:ascii="宋体" w:hAnsi="宋体"/>
          <w:sz w:val="20"/>
        </w:rPr>
        <w:t>5</w:t>
      </w:r>
      <w:r>
        <w:rPr>
          <w:rFonts w:hint="eastAsia" w:ascii="宋体" w:hAnsi="宋体"/>
          <w:sz w:val="20"/>
        </w:rPr>
        <w:t>.2 项目设施终止补偿事件及补偿金对照表</w:t>
      </w:r>
    </w:p>
    <w:tbl>
      <w:tblPr>
        <w:tblStyle w:val="61"/>
        <w:tblpPr w:leftFromText="180" w:rightFromText="180" w:vertAnchor="text" w:horzAnchor="margin" w:tblpXSpec="center" w:tblpY="263"/>
        <w:tblW w:w="81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6"/>
        <w:gridCol w:w="1701"/>
        <w:gridCol w:w="1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17" w:type="dxa"/>
            <w:vAlign w:val="center"/>
          </w:tcPr>
          <w:p>
            <w:pPr>
              <w:pStyle w:val="239"/>
              <w:spacing w:before="194" w:beforeLines="50"/>
              <w:jc w:val="center"/>
              <w:rPr>
                <w:rFonts w:ascii="宋体" w:hAnsi="宋体" w:cs="宋体"/>
                <w:bCs/>
                <w:sz w:val="20"/>
                <w:szCs w:val="20"/>
              </w:rPr>
            </w:pPr>
            <w:r>
              <w:rPr>
                <w:rFonts w:hint="eastAsia" w:ascii="宋体" w:hAnsi="宋体" w:cs="宋体"/>
                <w:bCs/>
                <w:sz w:val="20"/>
                <w:szCs w:val="20"/>
              </w:rPr>
              <w:t>序号</w:t>
            </w:r>
          </w:p>
        </w:tc>
        <w:tc>
          <w:tcPr>
            <w:tcW w:w="3686" w:type="dxa"/>
            <w:vAlign w:val="center"/>
          </w:tcPr>
          <w:p>
            <w:pPr>
              <w:pStyle w:val="239"/>
              <w:spacing w:before="194" w:beforeLines="50"/>
              <w:jc w:val="center"/>
              <w:textAlignment w:val="baseline"/>
              <w:rPr>
                <w:rFonts w:ascii="宋体" w:hAnsi="宋体" w:cs="宋体"/>
                <w:bCs/>
              </w:rPr>
            </w:pPr>
            <w:r>
              <w:rPr>
                <w:rFonts w:hint="eastAsia" w:ascii="宋体" w:hAnsi="宋体" w:cs="宋体"/>
                <w:bCs/>
              </w:rPr>
              <w:t>事件与涉及条款</w:t>
            </w:r>
          </w:p>
          <w:p>
            <w:pPr>
              <w:pStyle w:val="239"/>
              <w:spacing w:before="194" w:beforeLines="50"/>
              <w:jc w:val="center"/>
              <w:textAlignment w:val="baseline"/>
              <w:rPr>
                <w:rFonts w:ascii="宋体" w:hAnsi="宋体" w:cs="宋体"/>
                <w:bCs/>
              </w:rPr>
            </w:pPr>
            <w:r>
              <w:rPr>
                <w:rFonts w:hint="eastAsia" w:ascii="宋体" w:hAnsi="宋体" w:cs="宋体"/>
                <w:bCs/>
              </w:rPr>
              <w:t>（导致协议提前终止的原因）</w:t>
            </w: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协议提前终止</w:t>
            </w:r>
          </w:p>
          <w:p>
            <w:pPr>
              <w:pStyle w:val="239"/>
              <w:spacing w:before="194" w:beforeLines="50"/>
              <w:textAlignment w:val="baseline"/>
              <w:rPr>
                <w:rFonts w:ascii="宋体" w:hAnsi="宋体" w:cs="宋体"/>
                <w:bCs/>
              </w:rPr>
            </w:pPr>
            <w:r>
              <w:rPr>
                <w:rFonts w:hint="eastAsia" w:ascii="宋体" w:hAnsi="宋体" w:cs="宋体"/>
                <w:bCs/>
              </w:rPr>
              <w:t>所属时期</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终止</w:t>
            </w:r>
          </w:p>
          <w:p>
            <w:pPr>
              <w:pStyle w:val="239"/>
              <w:spacing w:before="194" w:beforeLines="50"/>
              <w:jc w:val="center"/>
              <w:textAlignment w:val="baseline"/>
              <w:rPr>
                <w:rFonts w:ascii="宋体" w:hAnsi="宋体" w:cs="宋体"/>
                <w:bCs/>
              </w:rPr>
            </w:pPr>
            <w:r>
              <w:rPr>
                <w:rFonts w:hint="eastAsia" w:ascii="宋体" w:hAnsi="宋体" w:cs="宋体"/>
                <w:bCs/>
              </w:rPr>
              <w:t>补（赔）偿金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17" w:type="dxa"/>
            <w:vMerge w:val="restart"/>
            <w:vAlign w:val="center"/>
          </w:tcPr>
          <w:p>
            <w:pPr>
              <w:pStyle w:val="239"/>
              <w:spacing w:before="194" w:beforeLines="50"/>
              <w:jc w:val="center"/>
              <w:rPr>
                <w:rFonts w:ascii="宋体" w:hAnsi="宋体" w:cs="宋体"/>
                <w:bCs/>
                <w:sz w:val="20"/>
                <w:szCs w:val="20"/>
              </w:rPr>
            </w:pPr>
            <w:r>
              <w:rPr>
                <w:rFonts w:hint="eastAsia" w:ascii="宋体" w:hAnsi="宋体" w:cs="宋体"/>
                <w:bCs/>
                <w:sz w:val="20"/>
                <w:szCs w:val="20"/>
              </w:rPr>
              <w:t>1</w:t>
            </w:r>
          </w:p>
        </w:tc>
        <w:tc>
          <w:tcPr>
            <w:tcW w:w="3686" w:type="dxa"/>
            <w:vMerge w:val="restart"/>
            <w:vAlign w:val="center"/>
          </w:tcPr>
          <w:p>
            <w:pPr>
              <w:pStyle w:val="239"/>
              <w:spacing w:before="194" w:beforeLines="50"/>
              <w:jc w:val="center"/>
              <w:textAlignment w:val="baseline"/>
              <w:rPr>
                <w:rFonts w:ascii="宋体" w:hAnsi="宋体" w:cs="宋体"/>
                <w:bCs/>
                <w:u w:val="single"/>
              </w:rPr>
            </w:pPr>
            <w:r>
              <w:rPr>
                <w:rFonts w:hint="eastAsia" w:ascii="宋体" w:hAnsi="宋体" w:cs="宋体"/>
                <w:bCs/>
              </w:rPr>
              <w:fldChar w:fldCharType="begin"/>
            </w:r>
            <w:r>
              <w:rPr>
                <w:rFonts w:hint="eastAsia" w:ascii="宋体" w:hAnsi="宋体" w:cs="宋体"/>
                <w:bCs/>
              </w:rPr>
              <w:instrText xml:space="preserve"> HYPERLINK  \l "_15.1_终止事件" </w:instrText>
            </w:r>
            <w:r>
              <w:rPr>
                <w:rFonts w:hint="eastAsia" w:ascii="宋体" w:hAnsi="宋体" w:cs="宋体"/>
                <w:bCs/>
              </w:rPr>
              <w:fldChar w:fldCharType="separate"/>
            </w:r>
            <w:r>
              <w:rPr>
                <w:rFonts w:hint="eastAsia" w:ascii="宋体" w:hAnsi="宋体" w:cs="宋体"/>
                <w:bCs/>
                <w:u w:val="single"/>
              </w:rPr>
              <w:t>1</w:t>
            </w:r>
            <w:r>
              <w:rPr>
                <w:rFonts w:ascii="宋体" w:hAnsi="宋体" w:cs="宋体"/>
                <w:bCs/>
                <w:u w:val="single"/>
              </w:rPr>
              <w:t>3</w:t>
            </w:r>
            <w:r>
              <w:rPr>
                <w:rFonts w:hint="eastAsia" w:ascii="宋体" w:hAnsi="宋体" w:cs="宋体"/>
                <w:bCs/>
                <w:u w:val="single"/>
              </w:rPr>
              <w:t>.2</w:t>
            </w:r>
          </w:p>
          <w:p>
            <w:pPr>
              <w:pStyle w:val="239"/>
              <w:spacing w:before="194" w:beforeLines="50"/>
              <w:jc w:val="center"/>
              <w:textAlignment w:val="baseline"/>
              <w:rPr>
                <w:rFonts w:ascii="宋体" w:hAnsi="宋体" w:cs="宋体"/>
                <w:bCs/>
              </w:rPr>
            </w:pPr>
            <w:r>
              <w:rPr>
                <w:rFonts w:hint="eastAsia" w:ascii="宋体" w:hAnsi="宋体" w:cs="宋体"/>
                <w:bCs/>
              </w:rPr>
              <w:fldChar w:fldCharType="end"/>
            </w:r>
            <w:r>
              <w:rPr>
                <w:rFonts w:hint="eastAsia" w:ascii="宋体" w:hAnsi="宋体" w:cs="宋体"/>
                <w:bCs/>
              </w:rPr>
              <w:t>（乙方违约）</w:t>
            </w: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运营初期终止</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A-B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817" w:type="dxa"/>
            <w:vMerge w:val="continue"/>
            <w:vAlign w:val="center"/>
          </w:tcPr>
          <w:p>
            <w:pPr>
              <w:pStyle w:val="239"/>
              <w:spacing w:before="194" w:beforeLines="50"/>
              <w:ind w:firstLine="567"/>
              <w:jc w:val="center"/>
              <w:rPr>
                <w:rFonts w:ascii="宋体" w:hAnsi="宋体" w:cs="宋体"/>
                <w:bCs/>
                <w:sz w:val="20"/>
                <w:szCs w:val="20"/>
              </w:rPr>
            </w:pPr>
          </w:p>
        </w:tc>
        <w:tc>
          <w:tcPr>
            <w:tcW w:w="3686" w:type="dxa"/>
            <w:vMerge w:val="continue"/>
            <w:vAlign w:val="center"/>
          </w:tcPr>
          <w:p>
            <w:pPr>
              <w:pStyle w:val="239"/>
              <w:spacing w:before="194" w:beforeLines="50"/>
              <w:ind w:firstLine="567"/>
              <w:jc w:val="center"/>
              <w:textAlignment w:val="baseline"/>
              <w:rPr>
                <w:rFonts w:ascii="宋体" w:hAnsi="宋体" w:cs="宋体"/>
                <w:bCs/>
              </w:rPr>
            </w:pP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运营期间终止</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A-C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17" w:type="dxa"/>
            <w:vMerge w:val="restart"/>
            <w:vAlign w:val="center"/>
          </w:tcPr>
          <w:p>
            <w:pPr>
              <w:pStyle w:val="239"/>
              <w:spacing w:before="194" w:beforeLines="50"/>
              <w:jc w:val="center"/>
              <w:rPr>
                <w:rFonts w:ascii="宋体" w:hAnsi="宋体" w:cs="宋体"/>
                <w:bCs/>
                <w:sz w:val="20"/>
                <w:szCs w:val="20"/>
              </w:rPr>
            </w:pPr>
            <w:r>
              <w:rPr>
                <w:rFonts w:hint="eastAsia" w:ascii="宋体" w:hAnsi="宋体" w:cs="宋体"/>
                <w:bCs/>
                <w:sz w:val="20"/>
                <w:szCs w:val="20"/>
              </w:rPr>
              <w:t>2</w:t>
            </w:r>
          </w:p>
        </w:tc>
        <w:tc>
          <w:tcPr>
            <w:tcW w:w="3686" w:type="dxa"/>
            <w:vMerge w:val="restart"/>
            <w:vAlign w:val="center"/>
          </w:tcPr>
          <w:p>
            <w:pPr>
              <w:pStyle w:val="239"/>
              <w:spacing w:before="194" w:beforeLines="50"/>
              <w:jc w:val="center"/>
              <w:textAlignment w:val="baseline"/>
              <w:rPr>
                <w:rFonts w:ascii="宋体" w:hAnsi="宋体" w:cs="宋体"/>
                <w:bCs/>
              </w:rPr>
            </w:pPr>
            <w:r>
              <w:fldChar w:fldCharType="begin"/>
            </w:r>
            <w:r>
              <w:instrText xml:space="preserve"> HYPERLINK \l "_16.2_特许经营者的终止" </w:instrText>
            </w:r>
            <w:r>
              <w:fldChar w:fldCharType="separate"/>
            </w:r>
            <w:r>
              <w:rPr>
                <w:rFonts w:hint="eastAsia" w:ascii="宋体" w:hAnsi="宋体" w:cs="宋体"/>
                <w:bCs/>
                <w:u w:val="single"/>
              </w:rPr>
              <w:t>1</w:t>
            </w:r>
            <w:r>
              <w:rPr>
                <w:rFonts w:ascii="宋体" w:hAnsi="宋体" w:cs="宋体"/>
                <w:bCs/>
                <w:u w:val="single"/>
              </w:rPr>
              <w:t>3</w:t>
            </w:r>
            <w:r>
              <w:rPr>
                <w:rFonts w:hint="eastAsia" w:ascii="宋体" w:hAnsi="宋体" w:cs="宋体"/>
                <w:bCs/>
                <w:u w:val="single"/>
              </w:rPr>
              <w:t>.3</w:t>
            </w:r>
            <w:r>
              <w:rPr>
                <w:rFonts w:hint="eastAsia" w:ascii="宋体" w:hAnsi="宋体" w:cs="宋体"/>
                <w:bCs/>
                <w:u w:val="single"/>
              </w:rPr>
              <w:fldChar w:fldCharType="end"/>
            </w:r>
          </w:p>
          <w:p>
            <w:pPr>
              <w:pStyle w:val="239"/>
              <w:spacing w:before="194" w:beforeLines="50"/>
              <w:jc w:val="center"/>
              <w:textAlignment w:val="baseline"/>
              <w:rPr>
                <w:rFonts w:ascii="宋体" w:hAnsi="宋体" w:cs="宋体"/>
                <w:bCs/>
              </w:rPr>
            </w:pPr>
            <w:r>
              <w:rPr>
                <w:rFonts w:hint="eastAsia" w:ascii="宋体" w:hAnsi="宋体" w:cs="宋体"/>
                <w:bCs/>
              </w:rPr>
              <w:t>（甲方违约）</w:t>
            </w: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运营初期终止</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A+B/2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17" w:type="dxa"/>
            <w:vMerge w:val="continue"/>
            <w:vAlign w:val="center"/>
          </w:tcPr>
          <w:p>
            <w:pPr>
              <w:pStyle w:val="239"/>
              <w:spacing w:before="194" w:beforeLines="50"/>
              <w:ind w:firstLine="567"/>
              <w:jc w:val="center"/>
              <w:rPr>
                <w:rFonts w:ascii="宋体" w:hAnsi="宋体" w:cs="宋体"/>
                <w:bCs/>
                <w:sz w:val="20"/>
                <w:szCs w:val="20"/>
              </w:rPr>
            </w:pPr>
          </w:p>
        </w:tc>
        <w:tc>
          <w:tcPr>
            <w:tcW w:w="3686" w:type="dxa"/>
            <w:vMerge w:val="continue"/>
            <w:vAlign w:val="center"/>
          </w:tcPr>
          <w:p>
            <w:pPr>
              <w:pStyle w:val="239"/>
              <w:spacing w:before="194" w:beforeLines="50"/>
              <w:ind w:firstLine="567"/>
              <w:jc w:val="center"/>
              <w:textAlignment w:val="baseline"/>
              <w:rPr>
                <w:rFonts w:ascii="宋体" w:hAnsi="宋体" w:cs="宋体"/>
                <w:bCs/>
              </w:rPr>
            </w:pP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运营期间终止</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A+C/2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17" w:type="dxa"/>
            <w:vMerge w:val="restart"/>
            <w:vAlign w:val="center"/>
          </w:tcPr>
          <w:p>
            <w:pPr>
              <w:pStyle w:val="239"/>
              <w:spacing w:before="194" w:beforeLines="50"/>
              <w:jc w:val="center"/>
              <w:rPr>
                <w:rFonts w:ascii="宋体" w:hAnsi="宋体" w:cs="宋体"/>
                <w:bCs/>
                <w:sz w:val="20"/>
                <w:szCs w:val="20"/>
              </w:rPr>
            </w:pPr>
            <w:r>
              <w:rPr>
                <w:rFonts w:hint="eastAsia" w:ascii="宋体" w:hAnsi="宋体" w:cs="宋体"/>
                <w:bCs/>
                <w:sz w:val="20"/>
                <w:szCs w:val="20"/>
              </w:rPr>
              <w:t>3</w:t>
            </w:r>
          </w:p>
        </w:tc>
        <w:tc>
          <w:tcPr>
            <w:tcW w:w="3686" w:type="dxa"/>
            <w:vMerge w:val="restart"/>
            <w:vAlign w:val="center"/>
          </w:tcPr>
          <w:p>
            <w:pPr>
              <w:pStyle w:val="239"/>
              <w:spacing w:before="194" w:beforeLines="50"/>
              <w:jc w:val="center"/>
              <w:textAlignment w:val="baseline"/>
              <w:rPr>
                <w:rFonts w:ascii="宋体" w:hAnsi="宋体" w:cs="宋体"/>
                <w:bCs/>
              </w:rPr>
            </w:pPr>
            <w:r>
              <w:fldChar w:fldCharType="begin"/>
            </w:r>
            <w:r>
              <w:instrText xml:space="preserve"> HYPERLINK \l "_15.1_不可抗力" </w:instrText>
            </w:r>
            <w:r>
              <w:fldChar w:fldCharType="separate"/>
            </w:r>
            <w:r>
              <w:rPr>
                <w:rFonts w:hint="eastAsia" w:ascii="宋体" w:hAnsi="宋体" w:cs="宋体"/>
                <w:bCs/>
                <w:u w:val="single"/>
              </w:rPr>
              <w:t>1</w:t>
            </w:r>
            <w:r>
              <w:rPr>
                <w:rFonts w:ascii="宋体" w:hAnsi="宋体" w:cs="宋体"/>
                <w:bCs/>
                <w:u w:val="single"/>
              </w:rPr>
              <w:t>2</w:t>
            </w:r>
            <w:r>
              <w:rPr>
                <w:rFonts w:hint="eastAsia" w:ascii="宋体" w:hAnsi="宋体" w:cs="宋体"/>
                <w:bCs/>
                <w:u w:val="single"/>
              </w:rPr>
              <w:t>.1  a、b、c、e、f、g或i</w:t>
            </w:r>
            <w:r>
              <w:rPr>
                <w:rFonts w:hint="eastAsia" w:ascii="宋体" w:hAnsi="宋体" w:cs="宋体"/>
                <w:bCs/>
                <w:u w:val="single"/>
              </w:rPr>
              <w:fldChar w:fldCharType="end"/>
            </w:r>
          </w:p>
          <w:p>
            <w:pPr>
              <w:pStyle w:val="239"/>
              <w:spacing w:before="194" w:beforeLines="50"/>
              <w:jc w:val="center"/>
              <w:textAlignment w:val="baseline"/>
              <w:rPr>
                <w:rFonts w:ascii="宋体" w:hAnsi="宋体" w:cs="宋体"/>
                <w:bCs/>
              </w:rPr>
            </w:pPr>
            <w:r>
              <w:rPr>
                <w:rFonts w:hint="eastAsia" w:ascii="宋体" w:hAnsi="宋体" w:cs="宋体"/>
                <w:bCs/>
              </w:rPr>
              <w:t>（不可抗力事件）</w:t>
            </w: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运营初期终止</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A+D/2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17" w:type="dxa"/>
            <w:vMerge w:val="continue"/>
            <w:vAlign w:val="center"/>
          </w:tcPr>
          <w:p>
            <w:pPr>
              <w:pStyle w:val="239"/>
              <w:spacing w:before="194" w:beforeLines="50"/>
              <w:ind w:firstLine="567"/>
              <w:jc w:val="center"/>
              <w:rPr>
                <w:rFonts w:ascii="宋体" w:hAnsi="宋体" w:cs="宋体"/>
                <w:bCs/>
                <w:sz w:val="20"/>
                <w:szCs w:val="20"/>
              </w:rPr>
            </w:pPr>
          </w:p>
        </w:tc>
        <w:tc>
          <w:tcPr>
            <w:tcW w:w="3686" w:type="dxa"/>
            <w:vMerge w:val="continue"/>
            <w:vAlign w:val="center"/>
          </w:tcPr>
          <w:p>
            <w:pPr>
              <w:pStyle w:val="239"/>
              <w:spacing w:before="194" w:beforeLines="50"/>
              <w:ind w:firstLine="567"/>
              <w:jc w:val="center"/>
              <w:textAlignment w:val="baseline"/>
              <w:rPr>
                <w:rFonts w:ascii="宋体" w:hAnsi="宋体" w:cs="宋体"/>
                <w:bCs/>
              </w:rPr>
            </w:pP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运营期间终止</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A+D/2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17" w:type="dxa"/>
            <w:vMerge w:val="restart"/>
            <w:vAlign w:val="center"/>
          </w:tcPr>
          <w:p>
            <w:pPr>
              <w:pStyle w:val="239"/>
              <w:spacing w:before="194" w:beforeLines="50"/>
              <w:jc w:val="center"/>
              <w:rPr>
                <w:rFonts w:ascii="宋体" w:hAnsi="宋体" w:cs="宋体"/>
                <w:bCs/>
                <w:sz w:val="20"/>
                <w:szCs w:val="20"/>
              </w:rPr>
            </w:pPr>
            <w:r>
              <w:rPr>
                <w:rFonts w:hint="eastAsia" w:ascii="宋体" w:hAnsi="宋体" w:cs="宋体"/>
                <w:bCs/>
                <w:sz w:val="20"/>
                <w:szCs w:val="20"/>
              </w:rPr>
              <w:t>4</w:t>
            </w:r>
          </w:p>
        </w:tc>
        <w:tc>
          <w:tcPr>
            <w:tcW w:w="3686" w:type="dxa"/>
            <w:vMerge w:val="restart"/>
            <w:vAlign w:val="center"/>
          </w:tcPr>
          <w:p>
            <w:pPr>
              <w:pStyle w:val="239"/>
              <w:spacing w:before="194" w:beforeLines="50"/>
              <w:jc w:val="center"/>
              <w:textAlignment w:val="baseline"/>
              <w:rPr>
                <w:rFonts w:ascii="宋体" w:hAnsi="宋体" w:cs="宋体"/>
                <w:bCs/>
              </w:rPr>
            </w:pPr>
            <w:r>
              <w:fldChar w:fldCharType="begin"/>
            </w:r>
            <w:r>
              <w:instrText xml:space="preserve"> HYPERLINK \l "_15.1_不可抗力" </w:instrText>
            </w:r>
            <w:r>
              <w:fldChar w:fldCharType="separate"/>
            </w:r>
            <w:r>
              <w:rPr>
                <w:rFonts w:hint="eastAsia" w:ascii="宋体" w:hAnsi="宋体" w:cs="宋体"/>
                <w:bCs/>
                <w:u w:val="single"/>
              </w:rPr>
              <w:t>1</w:t>
            </w:r>
            <w:r>
              <w:rPr>
                <w:rFonts w:ascii="宋体" w:hAnsi="宋体" w:cs="宋体"/>
                <w:bCs/>
                <w:u w:val="single"/>
              </w:rPr>
              <w:t>2</w:t>
            </w:r>
            <w:r>
              <w:rPr>
                <w:rFonts w:hint="eastAsia" w:ascii="宋体" w:hAnsi="宋体" w:cs="宋体"/>
                <w:bCs/>
                <w:u w:val="single"/>
              </w:rPr>
              <w:t>.1  d、h或j</w:t>
            </w:r>
            <w:r>
              <w:rPr>
                <w:rFonts w:hint="eastAsia" w:ascii="宋体" w:hAnsi="宋体" w:cs="宋体"/>
                <w:bCs/>
                <w:u w:val="single"/>
              </w:rPr>
              <w:fldChar w:fldCharType="end"/>
            </w:r>
          </w:p>
          <w:p>
            <w:pPr>
              <w:pStyle w:val="239"/>
              <w:spacing w:before="194" w:beforeLines="50"/>
              <w:jc w:val="center"/>
              <w:textAlignment w:val="baseline"/>
              <w:rPr>
                <w:rFonts w:ascii="宋体" w:hAnsi="宋体" w:cs="宋体"/>
                <w:bCs/>
              </w:rPr>
            </w:pPr>
            <w:r>
              <w:rPr>
                <w:rFonts w:hint="eastAsia" w:ascii="宋体" w:hAnsi="宋体" w:cs="宋体"/>
                <w:bCs/>
              </w:rPr>
              <w:t>（法律政策变更）</w:t>
            </w: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运营初期终止</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A+B/3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817" w:type="dxa"/>
            <w:vMerge w:val="continue"/>
            <w:vAlign w:val="center"/>
          </w:tcPr>
          <w:p>
            <w:pPr>
              <w:pStyle w:val="239"/>
              <w:spacing w:before="194" w:beforeLines="50"/>
              <w:ind w:firstLine="567"/>
              <w:rPr>
                <w:rFonts w:ascii="宋体" w:hAnsi="宋体" w:cs="宋体"/>
                <w:bCs/>
              </w:rPr>
            </w:pPr>
          </w:p>
        </w:tc>
        <w:tc>
          <w:tcPr>
            <w:tcW w:w="3686" w:type="dxa"/>
            <w:vMerge w:val="continue"/>
            <w:vAlign w:val="center"/>
          </w:tcPr>
          <w:p>
            <w:pPr>
              <w:pStyle w:val="239"/>
              <w:spacing w:before="194" w:beforeLines="50"/>
              <w:ind w:firstLine="567"/>
              <w:textAlignment w:val="baseline"/>
              <w:rPr>
                <w:rFonts w:ascii="宋体" w:hAnsi="宋体" w:cs="宋体"/>
                <w:bCs/>
              </w:rPr>
            </w:pPr>
          </w:p>
        </w:tc>
        <w:tc>
          <w:tcPr>
            <w:tcW w:w="1701" w:type="dxa"/>
            <w:vAlign w:val="center"/>
          </w:tcPr>
          <w:p>
            <w:pPr>
              <w:pStyle w:val="239"/>
              <w:spacing w:before="194" w:beforeLines="50"/>
              <w:textAlignment w:val="baseline"/>
              <w:rPr>
                <w:rFonts w:ascii="宋体" w:hAnsi="宋体" w:cs="宋体"/>
                <w:bCs/>
              </w:rPr>
            </w:pPr>
            <w:r>
              <w:rPr>
                <w:rFonts w:hint="eastAsia" w:ascii="宋体" w:hAnsi="宋体" w:cs="宋体"/>
                <w:bCs/>
              </w:rPr>
              <w:t>运营期间终止</w:t>
            </w:r>
          </w:p>
        </w:tc>
        <w:tc>
          <w:tcPr>
            <w:tcW w:w="1984" w:type="dxa"/>
            <w:vAlign w:val="center"/>
          </w:tcPr>
          <w:p>
            <w:pPr>
              <w:pStyle w:val="239"/>
              <w:spacing w:before="194" w:beforeLines="50"/>
              <w:jc w:val="center"/>
              <w:textAlignment w:val="baseline"/>
              <w:rPr>
                <w:rFonts w:ascii="宋体" w:hAnsi="宋体" w:cs="宋体"/>
                <w:bCs/>
              </w:rPr>
            </w:pPr>
            <w:r>
              <w:rPr>
                <w:rFonts w:hint="eastAsia" w:ascii="宋体" w:hAnsi="宋体" w:cs="宋体"/>
                <w:bCs/>
              </w:rPr>
              <w:t>A+C/3</w:t>
            </w:r>
          </w:p>
        </w:tc>
      </w:tr>
    </w:tbl>
    <w:p>
      <w:pPr>
        <w:pStyle w:val="239"/>
        <w:tabs>
          <w:tab w:val="left" w:pos="420"/>
        </w:tabs>
        <w:spacing w:before="194" w:beforeLines="50"/>
        <w:ind w:firstLine="567"/>
        <w:rPr>
          <w:rFonts w:ascii="宋体" w:hAnsi="宋体"/>
          <w:sz w:val="20"/>
        </w:rPr>
      </w:pPr>
      <w:r>
        <w:rPr>
          <w:rFonts w:hint="eastAsia" w:ascii="宋体" w:hAnsi="宋体"/>
          <w:sz w:val="20"/>
        </w:rPr>
        <w:t>其中，运营初期指开始运营日起的第一个周年，运营期间指开始运营日起的第二个或第三个周年，字母A、B、C、D分别用于表示不同的提前终止情形下，作为应付的终止补偿金中的不同组成部分。该等字母代表下列金额：</w:t>
      </w:r>
    </w:p>
    <w:p>
      <w:pPr>
        <w:pStyle w:val="239"/>
        <w:tabs>
          <w:tab w:val="left" w:pos="420"/>
        </w:tabs>
        <w:spacing w:before="194" w:beforeLines="50"/>
        <w:ind w:firstLine="567"/>
        <w:rPr>
          <w:rFonts w:ascii="宋体" w:hAnsi="宋体"/>
          <w:sz w:val="20"/>
        </w:rPr>
      </w:pPr>
      <w:r>
        <w:rPr>
          <w:rFonts w:hint="eastAsia" w:ascii="宋体" w:hAnsi="宋体"/>
          <w:sz w:val="20"/>
        </w:rPr>
        <w:t>A=终止时乙方累计应收未结运营服务费；</w:t>
      </w:r>
    </w:p>
    <w:p>
      <w:pPr>
        <w:pStyle w:val="239"/>
        <w:tabs>
          <w:tab w:val="left" w:pos="420"/>
        </w:tabs>
        <w:spacing w:before="194" w:beforeLines="50"/>
        <w:ind w:firstLine="567"/>
        <w:rPr>
          <w:rFonts w:ascii="宋体" w:hAnsi="宋体"/>
          <w:sz w:val="20"/>
        </w:rPr>
      </w:pPr>
      <w:r>
        <w:rPr>
          <w:rFonts w:hint="eastAsia" w:ascii="宋体" w:hAnsi="宋体"/>
          <w:sz w:val="20"/>
        </w:rPr>
        <w:t>B=乙方履约保证金金额；</w:t>
      </w:r>
    </w:p>
    <w:p>
      <w:pPr>
        <w:pStyle w:val="239"/>
        <w:tabs>
          <w:tab w:val="left" w:pos="420"/>
        </w:tabs>
        <w:spacing w:before="194" w:beforeLines="50"/>
        <w:ind w:firstLine="567"/>
        <w:rPr>
          <w:rFonts w:ascii="宋体" w:hAnsi="宋体"/>
          <w:sz w:val="20"/>
        </w:rPr>
      </w:pPr>
      <w:r>
        <w:rPr>
          <w:rFonts w:hint="eastAsia" w:ascii="宋体" w:hAnsi="宋体"/>
          <w:sz w:val="20"/>
        </w:rPr>
        <w:t>C=运营期间乙方或甲方发生违约终止时之违约金金额，取“所运营项目正常运营年运营服务费收入×30%”或“当月执行的运营服务费单价×365×每个镇日处理设计规模×30%”的大值；</w:t>
      </w:r>
    </w:p>
    <w:p>
      <w:pPr>
        <w:pStyle w:val="239"/>
        <w:tabs>
          <w:tab w:val="left" w:pos="420"/>
        </w:tabs>
        <w:spacing w:before="194" w:beforeLines="50"/>
        <w:ind w:firstLine="567"/>
        <w:rPr>
          <w:rFonts w:ascii="宋体" w:hAnsi="宋体"/>
          <w:sz w:val="20"/>
        </w:rPr>
      </w:pPr>
      <w:r>
        <w:rPr>
          <w:rFonts w:hint="eastAsia" w:ascii="宋体" w:hAnsi="宋体"/>
          <w:sz w:val="20"/>
        </w:rPr>
        <w:t>D=乙方因发生不可抗力而实际承担的那部分损失金额。</w:t>
      </w:r>
    </w:p>
    <w:p>
      <w:pPr>
        <w:pStyle w:val="239"/>
        <w:tabs>
          <w:tab w:val="left" w:pos="420"/>
        </w:tabs>
        <w:spacing w:before="194" w:beforeLines="50"/>
        <w:ind w:firstLine="567"/>
        <w:rPr>
          <w:rFonts w:ascii="宋体" w:hAnsi="宋体"/>
          <w:sz w:val="20"/>
        </w:rPr>
      </w:pPr>
      <w:r>
        <w:rPr>
          <w:rFonts w:hint="eastAsia" w:ascii="宋体" w:hAnsi="宋体"/>
          <w:sz w:val="20"/>
        </w:rPr>
        <w:t>由于不可抗力造成项目协议提前终止时，甲方与乙方根据运营服务协议</w:t>
      </w:r>
      <w:r>
        <w:fldChar w:fldCharType="begin"/>
      </w:r>
      <w:r>
        <w:instrText xml:space="preserve"> HYPERLINK \l "_14.8_保险" </w:instrText>
      </w:r>
      <w:r>
        <w:fldChar w:fldCharType="separate"/>
      </w:r>
      <w:r>
        <w:rPr>
          <w:rFonts w:hint="eastAsia" w:ascii="宋体" w:hAnsi="宋体"/>
          <w:sz w:val="20"/>
          <w:szCs w:val="20"/>
        </w:rPr>
        <w:t>1</w:t>
      </w:r>
      <w:r>
        <w:rPr>
          <w:rFonts w:ascii="宋体" w:hAnsi="宋体"/>
          <w:sz w:val="20"/>
          <w:szCs w:val="20"/>
        </w:rPr>
        <w:t>3</w:t>
      </w:r>
      <w:r>
        <w:rPr>
          <w:rFonts w:hint="eastAsia" w:ascii="宋体" w:hAnsi="宋体"/>
          <w:sz w:val="20"/>
          <w:szCs w:val="20"/>
        </w:rPr>
        <w:t>.9</w:t>
      </w:r>
      <w:r>
        <w:rPr>
          <w:rFonts w:hint="eastAsia" w:ascii="宋体" w:hAnsi="宋体"/>
          <w:sz w:val="20"/>
          <w:szCs w:val="20"/>
        </w:rPr>
        <w:fldChar w:fldCharType="end"/>
      </w:r>
      <w:r>
        <w:rPr>
          <w:rFonts w:hint="eastAsia" w:ascii="宋体" w:hAnsi="宋体"/>
          <w:sz w:val="20"/>
        </w:rPr>
        <w:t>（b） 关于保险金使用的约定，将各承担保险赔偿金不能弥补之实际损失额50%的部分。</w:t>
      </w:r>
    </w:p>
    <w:p>
      <w:pPr>
        <w:pStyle w:val="239"/>
        <w:tabs>
          <w:tab w:val="left" w:pos="420"/>
        </w:tabs>
        <w:spacing w:before="194" w:beforeLines="50"/>
        <w:ind w:firstLine="567"/>
        <w:rPr>
          <w:rFonts w:ascii="宋体" w:hAnsi="宋体"/>
          <w:sz w:val="20"/>
        </w:rPr>
      </w:pPr>
      <w:r>
        <w:rPr>
          <w:rFonts w:hint="eastAsia" w:ascii="宋体" w:hAnsi="宋体"/>
          <w:sz w:val="20"/>
        </w:rPr>
        <w:t>终止补（赔）偿金额为负数时，表示双方进行终止结算时乙方应向甲方缴纳的保证金、处罚金或违约金之金额。</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.2.2 对第1</w:t>
      </w:r>
      <w:r>
        <w:rPr>
          <w:rFonts w:ascii="宋体" w:hAnsi="宋体"/>
          <w:sz w:val="20"/>
        </w:rPr>
        <w:t>5</w:t>
      </w:r>
      <w:r>
        <w:rPr>
          <w:rFonts w:hint="eastAsia" w:ascii="宋体" w:hAnsi="宋体"/>
          <w:sz w:val="20"/>
        </w:rPr>
        <w:t>.2.1条款所规定补偿的计算必须经甲方指定的机构审计验证。</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5</w:t>
      </w:r>
      <w:r>
        <w:rPr>
          <w:rFonts w:hint="eastAsia" w:ascii="宋体" w:hAnsi="宋体"/>
          <w:sz w:val="20"/>
        </w:rPr>
        <w:t>.2.3 根据运营服务协议第</w:t>
      </w:r>
      <w:r>
        <w:rPr>
          <w:rFonts w:ascii="宋体" w:hAnsi="宋体"/>
          <w:sz w:val="20"/>
        </w:rPr>
        <w:t>13</w:t>
      </w:r>
      <w:r>
        <w:rPr>
          <w:rFonts w:hint="eastAsia" w:ascii="宋体" w:hAnsi="宋体"/>
          <w:sz w:val="20"/>
        </w:rPr>
        <w:t xml:space="preserve">节发生的终止所引起的甲方或其指定机构对乙方的补偿，将优先用于偿还项目债权人的债务余额（如有）。 </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第十六节  转让</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6</w:t>
      </w:r>
      <w:r>
        <w:rPr>
          <w:rFonts w:hint="eastAsia" w:ascii="宋体" w:hAnsi="宋体"/>
          <w:b/>
          <w:szCs w:val="20"/>
        </w:rPr>
        <w:t>.1 甲方的声明</w:t>
      </w:r>
    </w:p>
    <w:p>
      <w:pPr>
        <w:pStyle w:val="239"/>
        <w:tabs>
          <w:tab w:val="left" w:pos="420"/>
        </w:tabs>
        <w:spacing w:before="194" w:beforeLines="50"/>
        <w:ind w:firstLine="567"/>
        <w:rPr>
          <w:rFonts w:ascii="宋体" w:hAnsi="宋体"/>
          <w:sz w:val="20"/>
        </w:rPr>
      </w:pPr>
      <w:r>
        <w:rPr>
          <w:rFonts w:hint="eastAsia" w:ascii="宋体" w:hAnsi="宋体"/>
          <w:sz w:val="20"/>
        </w:rPr>
        <w:t>甲方的更名或与其它公司的合并或联合，对其出让或转让其运营服务协议项下全部或部分的权利或义务将不构成影响。在前述情况发生时，甲方将确保发生变更后的运营服务协议继承实体将：</w:t>
      </w:r>
    </w:p>
    <w:p>
      <w:pPr>
        <w:pStyle w:val="239"/>
        <w:tabs>
          <w:tab w:val="left" w:pos="420"/>
        </w:tabs>
        <w:spacing w:before="194" w:beforeLines="50"/>
        <w:ind w:firstLine="567"/>
        <w:rPr>
          <w:rFonts w:ascii="宋体" w:hAnsi="宋体"/>
          <w:sz w:val="20"/>
        </w:rPr>
      </w:pPr>
      <w:r>
        <w:rPr>
          <w:rFonts w:hint="eastAsia" w:ascii="宋体" w:hAnsi="宋体"/>
          <w:sz w:val="20"/>
        </w:rPr>
        <w:t>(i)具有与甲方同样的财务支付实力；</w:t>
      </w:r>
    </w:p>
    <w:p>
      <w:pPr>
        <w:pStyle w:val="239"/>
        <w:tabs>
          <w:tab w:val="left" w:pos="420"/>
        </w:tabs>
        <w:spacing w:before="194" w:beforeLines="50"/>
        <w:ind w:firstLine="567"/>
        <w:rPr>
          <w:rFonts w:ascii="宋体" w:hAnsi="宋体"/>
          <w:sz w:val="20"/>
        </w:rPr>
      </w:pPr>
      <w:r>
        <w:rPr>
          <w:rFonts w:hint="eastAsia" w:ascii="宋体" w:hAnsi="宋体"/>
          <w:sz w:val="20"/>
        </w:rPr>
        <w:t>(ii)具有承担甲方所承担的在运营服务协议下的所有权利、义务和责任的能力和授权；</w:t>
      </w:r>
    </w:p>
    <w:p>
      <w:pPr>
        <w:pStyle w:val="239"/>
        <w:tabs>
          <w:tab w:val="left" w:pos="420"/>
        </w:tabs>
        <w:spacing w:before="194" w:beforeLines="50"/>
        <w:ind w:firstLine="567"/>
        <w:rPr>
          <w:rFonts w:ascii="宋体" w:hAnsi="宋体"/>
          <w:sz w:val="20"/>
        </w:rPr>
      </w:pPr>
      <w:r>
        <w:rPr>
          <w:rFonts w:hint="eastAsia" w:ascii="宋体" w:hAnsi="宋体"/>
          <w:sz w:val="20"/>
        </w:rPr>
        <w:t>(iii)接受并完全承担甲方在运营服务协议项下义务的履行，包括但不限于涉及污水处理厂日常运营服务及监管方面的义务。</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6</w:t>
      </w:r>
      <w:r>
        <w:rPr>
          <w:rFonts w:hint="eastAsia" w:ascii="宋体" w:hAnsi="宋体"/>
          <w:b/>
          <w:szCs w:val="20"/>
        </w:rPr>
        <w:t>.2 乙方的转让</w:t>
      </w:r>
    </w:p>
    <w:p>
      <w:pPr>
        <w:pStyle w:val="239"/>
        <w:tabs>
          <w:tab w:val="left" w:pos="420"/>
        </w:tabs>
        <w:spacing w:before="194" w:beforeLines="50"/>
        <w:ind w:firstLine="567"/>
        <w:rPr>
          <w:rFonts w:ascii="宋体" w:hAnsi="宋体"/>
          <w:sz w:val="20"/>
        </w:rPr>
      </w:pPr>
      <w:r>
        <w:rPr>
          <w:rFonts w:hint="eastAsia" w:ascii="宋体" w:hAnsi="宋体"/>
          <w:sz w:val="20"/>
        </w:rPr>
        <w:t>未经甲方事先书面同意，乙方不得对下列各项向任何其他第三方进行转让、赠与、抵押、质押、设置滞留权或其它方式加以处置，但向甲方或其指定机构的转让除外：</w:t>
      </w:r>
    </w:p>
    <w:p>
      <w:pPr>
        <w:pStyle w:val="239"/>
        <w:tabs>
          <w:tab w:val="left" w:pos="420"/>
        </w:tabs>
        <w:spacing w:before="194" w:beforeLines="50"/>
        <w:ind w:firstLine="567"/>
        <w:rPr>
          <w:rFonts w:ascii="宋体" w:hAnsi="宋体"/>
          <w:sz w:val="20"/>
        </w:rPr>
      </w:pPr>
      <w:r>
        <w:rPr>
          <w:rFonts w:hint="eastAsia" w:ascii="宋体" w:hAnsi="宋体"/>
          <w:sz w:val="20"/>
        </w:rPr>
        <w:t>a) 其在运营服务协议下的任何权利和权益；</w:t>
      </w:r>
    </w:p>
    <w:p>
      <w:pPr>
        <w:pStyle w:val="239"/>
        <w:tabs>
          <w:tab w:val="left" w:pos="420"/>
        </w:tabs>
        <w:spacing w:before="194" w:beforeLines="50"/>
        <w:ind w:firstLine="567"/>
        <w:rPr>
          <w:rFonts w:ascii="宋体" w:hAnsi="宋体"/>
          <w:sz w:val="20"/>
        </w:rPr>
      </w:pPr>
      <w:r>
        <w:rPr>
          <w:rFonts w:hint="eastAsia" w:ascii="宋体" w:hAnsi="宋体"/>
          <w:sz w:val="20"/>
        </w:rPr>
        <w:t>b) 项目设施及用地占用权或用于本项目的任何其它主要资产；</w:t>
      </w:r>
    </w:p>
    <w:p>
      <w:pPr>
        <w:pStyle w:val="239"/>
        <w:tabs>
          <w:tab w:val="left" w:pos="420"/>
        </w:tabs>
        <w:spacing w:before="194" w:beforeLines="50"/>
        <w:ind w:firstLine="567"/>
        <w:rPr>
          <w:rFonts w:ascii="宋体" w:hAnsi="宋体"/>
          <w:sz w:val="20"/>
        </w:rPr>
      </w:pPr>
      <w:r>
        <w:rPr>
          <w:rFonts w:hint="eastAsia" w:ascii="宋体" w:hAnsi="宋体"/>
          <w:sz w:val="20"/>
        </w:rPr>
        <w:t>c) 乙方所全资持有的乙方任何股份（但在其作为实际控制人的控股成员单位之间的全额转让除外）。</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第十七节  争议的解决</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7</w:t>
      </w:r>
      <w:r>
        <w:rPr>
          <w:rFonts w:hint="eastAsia" w:ascii="宋体" w:hAnsi="宋体"/>
          <w:b/>
          <w:szCs w:val="20"/>
        </w:rPr>
        <w:t>.1 运营协调小组的友好解决</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7</w:t>
      </w:r>
      <w:r>
        <w:rPr>
          <w:rFonts w:hint="eastAsia" w:ascii="宋体" w:hAnsi="宋体"/>
          <w:sz w:val="20"/>
        </w:rPr>
        <w:t>.1.1 运营协调小组的成立</w:t>
      </w:r>
    </w:p>
    <w:p>
      <w:pPr>
        <w:pStyle w:val="239"/>
        <w:tabs>
          <w:tab w:val="left" w:pos="420"/>
        </w:tabs>
        <w:spacing w:before="194" w:beforeLines="50"/>
        <w:ind w:firstLine="567"/>
        <w:rPr>
          <w:rFonts w:ascii="宋体" w:hAnsi="宋体"/>
          <w:sz w:val="20"/>
        </w:rPr>
      </w:pPr>
      <w:r>
        <w:rPr>
          <w:rFonts w:hint="eastAsia" w:ascii="宋体" w:hAnsi="宋体"/>
          <w:sz w:val="20"/>
        </w:rPr>
        <w:t>运营服务协议正式签署后十五(15)天之内，双方应成立一个由三(3)名乙方代表和三(3)名甲方代表组成的运营协调小组。任何一方均可在任何时间经通知另一方后更换运营协调小组成员。该小组的任何决定应得到小组全体成员的一致通过。</w:t>
      </w:r>
    </w:p>
    <w:p>
      <w:pPr>
        <w:pStyle w:val="239"/>
        <w:tabs>
          <w:tab w:val="left" w:pos="420"/>
        </w:tabs>
        <w:spacing w:before="194" w:beforeLines="50"/>
        <w:ind w:firstLine="567"/>
        <w:rPr>
          <w:rFonts w:ascii="宋体" w:hAnsi="宋体"/>
          <w:sz w:val="20"/>
        </w:rPr>
      </w:pPr>
      <w:r>
        <w:rPr>
          <w:rFonts w:hint="eastAsia" w:ascii="宋体" w:hAnsi="宋体"/>
          <w:sz w:val="20"/>
        </w:rPr>
        <w:t>运营协调小组应负责按照第1</w:t>
      </w:r>
      <w:r>
        <w:rPr>
          <w:rFonts w:ascii="宋体" w:hAnsi="宋体"/>
          <w:sz w:val="20"/>
        </w:rPr>
        <w:t>7</w:t>
      </w:r>
      <w:r>
        <w:rPr>
          <w:rFonts w:hint="eastAsia" w:ascii="宋体" w:hAnsi="宋体"/>
          <w:sz w:val="20"/>
        </w:rPr>
        <w:t>.1.2条的规定解决有关包括但不限于项目设施在运营期发生的运营管理及维护等方面争议。这些协调事项应包括：</w:t>
      </w:r>
    </w:p>
    <w:p>
      <w:pPr>
        <w:pStyle w:val="239"/>
        <w:tabs>
          <w:tab w:val="left" w:pos="420"/>
        </w:tabs>
        <w:spacing w:before="194" w:beforeLines="50"/>
        <w:ind w:firstLine="567"/>
        <w:rPr>
          <w:rFonts w:ascii="宋体" w:hAnsi="宋体"/>
          <w:sz w:val="20"/>
        </w:rPr>
      </w:pPr>
      <w:r>
        <w:rPr>
          <w:rFonts w:hint="eastAsia" w:ascii="宋体" w:hAnsi="宋体"/>
          <w:sz w:val="20"/>
        </w:rPr>
        <w:t>（1）双方就运营前期项目设施的各类测试验收、涉及的相关交接清点方面的计划、安排和程序；</w:t>
      </w:r>
    </w:p>
    <w:p>
      <w:pPr>
        <w:pStyle w:val="239"/>
        <w:tabs>
          <w:tab w:val="left" w:pos="420"/>
        </w:tabs>
        <w:spacing w:before="194" w:beforeLines="50"/>
        <w:ind w:firstLine="567"/>
        <w:rPr>
          <w:rFonts w:ascii="宋体" w:hAnsi="宋体"/>
          <w:sz w:val="20"/>
        </w:rPr>
      </w:pPr>
      <w:r>
        <w:rPr>
          <w:rFonts w:hint="eastAsia" w:ascii="宋体" w:hAnsi="宋体"/>
          <w:sz w:val="20"/>
        </w:rPr>
        <w:t>（2）双方就项目设施的日常运营维护与监管方面的对接和议事沟通程序；</w:t>
      </w:r>
    </w:p>
    <w:p>
      <w:pPr>
        <w:pStyle w:val="239"/>
        <w:tabs>
          <w:tab w:val="left" w:pos="420"/>
        </w:tabs>
        <w:spacing w:before="194" w:beforeLines="50"/>
        <w:ind w:firstLine="567"/>
        <w:rPr>
          <w:rFonts w:ascii="宋体" w:hAnsi="宋体"/>
          <w:sz w:val="20"/>
        </w:rPr>
      </w:pPr>
      <w:r>
        <w:rPr>
          <w:rFonts w:hint="eastAsia" w:ascii="宋体" w:hAnsi="宋体"/>
          <w:sz w:val="20"/>
        </w:rPr>
        <w:t>（3）运营期内涉及项目设施大修更新改造的任何具体事宜；</w:t>
      </w:r>
    </w:p>
    <w:p>
      <w:pPr>
        <w:pStyle w:val="239"/>
        <w:tabs>
          <w:tab w:val="left" w:pos="420"/>
        </w:tabs>
        <w:spacing w:before="194" w:beforeLines="50"/>
        <w:ind w:firstLine="567"/>
        <w:rPr>
          <w:rFonts w:ascii="宋体" w:hAnsi="宋体"/>
          <w:sz w:val="20"/>
        </w:rPr>
      </w:pPr>
      <w:r>
        <w:rPr>
          <w:rFonts w:hint="eastAsia" w:ascii="宋体" w:hAnsi="宋体"/>
          <w:sz w:val="20"/>
        </w:rPr>
        <w:t>（4）涉及双方在协议履行中单方无法化解的各类争议；</w:t>
      </w:r>
    </w:p>
    <w:p>
      <w:pPr>
        <w:pStyle w:val="239"/>
        <w:tabs>
          <w:tab w:val="left" w:pos="420"/>
        </w:tabs>
        <w:spacing w:before="194" w:beforeLines="50"/>
        <w:ind w:firstLine="567"/>
        <w:rPr>
          <w:rFonts w:ascii="宋体" w:hAnsi="宋体"/>
          <w:sz w:val="20"/>
        </w:rPr>
      </w:pPr>
      <w:r>
        <w:rPr>
          <w:rFonts w:hint="eastAsia" w:ascii="宋体" w:hAnsi="宋体"/>
          <w:sz w:val="20"/>
        </w:rPr>
        <w:t>（5）讨论在发生突发或不可抗力事件影响项目设施运行时应采取的步骤；</w:t>
      </w:r>
    </w:p>
    <w:p>
      <w:pPr>
        <w:pStyle w:val="239"/>
        <w:tabs>
          <w:tab w:val="left" w:pos="420"/>
        </w:tabs>
        <w:spacing w:before="194" w:beforeLines="50"/>
        <w:ind w:firstLine="567"/>
        <w:rPr>
          <w:rFonts w:ascii="宋体" w:hAnsi="宋体"/>
          <w:sz w:val="20"/>
        </w:rPr>
      </w:pPr>
      <w:r>
        <w:rPr>
          <w:rFonts w:hint="eastAsia" w:ascii="宋体" w:hAnsi="宋体"/>
          <w:sz w:val="20"/>
        </w:rPr>
        <w:t>（6）双方同意的其它相关事项。</w:t>
      </w:r>
    </w:p>
    <w:p>
      <w:pPr>
        <w:pStyle w:val="239"/>
        <w:tabs>
          <w:tab w:val="left" w:pos="420"/>
        </w:tabs>
        <w:spacing w:before="194" w:beforeLines="50"/>
        <w:ind w:firstLine="567"/>
        <w:rPr>
          <w:rFonts w:ascii="宋体" w:hAnsi="宋体"/>
          <w:sz w:val="20"/>
        </w:rPr>
      </w:pPr>
      <w:r>
        <w:rPr>
          <w:rFonts w:hint="eastAsia" w:ascii="宋体" w:hAnsi="宋体"/>
          <w:sz w:val="20"/>
        </w:rPr>
        <w:t>1</w:t>
      </w:r>
      <w:r>
        <w:rPr>
          <w:rFonts w:ascii="宋体" w:hAnsi="宋体"/>
          <w:sz w:val="20"/>
        </w:rPr>
        <w:t>7</w:t>
      </w:r>
      <w:r>
        <w:rPr>
          <w:rFonts w:hint="eastAsia" w:ascii="宋体" w:hAnsi="宋体"/>
          <w:sz w:val="20"/>
        </w:rPr>
        <w:t>.1.2  运营协调小组的友好解决</w:t>
      </w:r>
    </w:p>
    <w:p>
      <w:pPr>
        <w:pStyle w:val="239"/>
        <w:tabs>
          <w:tab w:val="left" w:pos="420"/>
        </w:tabs>
        <w:spacing w:before="194" w:beforeLines="50"/>
        <w:ind w:firstLine="567"/>
        <w:rPr>
          <w:rFonts w:ascii="宋体" w:hAnsi="宋体"/>
          <w:sz w:val="20"/>
        </w:rPr>
      </w:pPr>
      <w:r>
        <w:rPr>
          <w:rFonts w:hint="eastAsia" w:ascii="宋体" w:hAnsi="宋体"/>
          <w:sz w:val="20"/>
        </w:rPr>
        <w:t>若双方对由于运营服务协议或其项下有关条款的解释，包括关于其存在、有效或终止的任何问题产生任何争议、分歧或索赔，则经运营协调小组任一成员要求，该小组须及时会晤，并尽力通过协商友好解决，运营协调小组的一致决议对各方均有约束力，若在提出上述要求后三十（30）天内该争议未能得到解决，则应适用第1</w:t>
      </w:r>
      <w:r>
        <w:rPr>
          <w:rFonts w:ascii="宋体" w:hAnsi="宋体"/>
          <w:sz w:val="20"/>
        </w:rPr>
        <w:t>7</w:t>
      </w:r>
      <w:r>
        <w:rPr>
          <w:rFonts w:hint="eastAsia" w:ascii="宋体" w:hAnsi="宋体"/>
          <w:sz w:val="20"/>
        </w:rPr>
        <w:t>.2条的规定。</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7</w:t>
      </w:r>
      <w:r>
        <w:rPr>
          <w:rFonts w:hint="eastAsia" w:ascii="宋体" w:hAnsi="宋体"/>
          <w:b/>
          <w:szCs w:val="20"/>
        </w:rPr>
        <w:t>.2 专家小组的调解</w:t>
      </w:r>
    </w:p>
    <w:p>
      <w:pPr>
        <w:pStyle w:val="239"/>
        <w:tabs>
          <w:tab w:val="left" w:pos="420"/>
        </w:tabs>
        <w:spacing w:before="194" w:beforeLines="50"/>
        <w:ind w:firstLine="567"/>
        <w:rPr>
          <w:rFonts w:ascii="宋体" w:hAnsi="宋体"/>
          <w:sz w:val="20"/>
        </w:rPr>
      </w:pPr>
      <w:r>
        <w:rPr>
          <w:rFonts w:hint="eastAsia" w:ascii="宋体" w:hAnsi="宋体"/>
          <w:sz w:val="20"/>
        </w:rPr>
        <w:t>若双方不能根据第1</w:t>
      </w:r>
      <w:r>
        <w:rPr>
          <w:rFonts w:ascii="宋体" w:hAnsi="宋体"/>
          <w:sz w:val="20"/>
        </w:rPr>
        <w:t>7</w:t>
      </w:r>
      <w:r>
        <w:rPr>
          <w:rFonts w:hint="eastAsia" w:ascii="宋体" w:hAnsi="宋体"/>
          <w:sz w:val="20"/>
        </w:rPr>
        <w:t>.1条规定解决争议、分歧或索赔，任何一方可将争议、分歧或索赔提交由运营协调小组一致同意选定的一个专家小组来进行调解解决。</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7</w:t>
      </w:r>
      <w:r>
        <w:rPr>
          <w:rFonts w:hint="eastAsia" w:ascii="宋体" w:hAnsi="宋体"/>
          <w:b/>
          <w:szCs w:val="20"/>
        </w:rPr>
        <w:t>.3 诉讼</w:t>
      </w:r>
    </w:p>
    <w:p>
      <w:pPr>
        <w:pStyle w:val="239"/>
        <w:tabs>
          <w:tab w:val="left" w:pos="420"/>
        </w:tabs>
        <w:spacing w:before="194" w:beforeLines="50"/>
        <w:ind w:firstLine="567"/>
        <w:rPr>
          <w:rFonts w:ascii="宋体" w:hAnsi="宋体"/>
          <w:sz w:val="20"/>
        </w:rPr>
      </w:pPr>
      <w:r>
        <w:rPr>
          <w:rFonts w:hint="eastAsia" w:ascii="宋体" w:hAnsi="宋体"/>
          <w:sz w:val="20"/>
        </w:rPr>
        <w:t>若双方未能根据第1</w:t>
      </w:r>
      <w:r>
        <w:rPr>
          <w:rFonts w:ascii="宋体" w:hAnsi="宋体"/>
          <w:sz w:val="20"/>
        </w:rPr>
        <w:t>7</w:t>
      </w:r>
      <w:r>
        <w:rPr>
          <w:rFonts w:hint="eastAsia" w:ascii="宋体" w:hAnsi="宋体"/>
          <w:sz w:val="20"/>
        </w:rPr>
        <w:t>.1和1</w:t>
      </w:r>
      <w:r>
        <w:rPr>
          <w:rFonts w:ascii="宋体" w:hAnsi="宋体"/>
          <w:sz w:val="20"/>
        </w:rPr>
        <w:t>7</w:t>
      </w:r>
      <w:r>
        <w:rPr>
          <w:rFonts w:hint="eastAsia" w:ascii="宋体" w:hAnsi="宋体"/>
          <w:sz w:val="20"/>
        </w:rPr>
        <w:t xml:space="preserve">.2条解决争议、分歧或索赔，且经专家小组协调十五（15）日后仍无法解决时，任何一方有权就该争议、分歧或索赔事项提交项目所在地人民法院审理。 </w:t>
      </w:r>
    </w:p>
    <w:p>
      <w:pPr>
        <w:pStyle w:val="239"/>
        <w:keepNext/>
        <w:keepLines/>
        <w:spacing w:before="120" w:after="120"/>
        <w:ind w:firstLine="500"/>
        <w:outlineLvl w:val="4"/>
        <w:rPr>
          <w:rFonts w:ascii="宋体" w:hAnsi="宋体"/>
          <w:b/>
          <w:szCs w:val="20"/>
        </w:rPr>
      </w:pPr>
      <w:r>
        <w:rPr>
          <w:rFonts w:hint="eastAsia" w:ascii="宋体" w:hAnsi="宋体"/>
          <w:b/>
          <w:szCs w:val="20"/>
        </w:rPr>
        <w:t>1</w:t>
      </w:r>
      <w:r>
        <w:rPr>
          <w:rFonts w:ascii="宋体" w:hAnsi="宋体"/>
          <w:b/>
          <w:szCs w:val="20"/>
        </w:rPr>
        <w:t>7</w:t>
      </w:r>
      <w:r>
        <w:rPr>
          <w:rFonts w:hint="eastAsia" w:ascii="宋体" w:hAnsi="宋体"/>
          <w:b/>
          <w:szCs w:val="20"/>
        </w:rPr>
        <w:t>.4 继续有效的义务</w:t>
      </w:r>
    </w:p>
    <w:p>
      <w:pPr>
        <w:pStyle w:val="239"/>
        <w:tabs>
          <w:tab w:val="left" w:pos="420"/>
        </w:tabs>
        <w:spacing w:before="194" w:beforeLines="50"/>
        <w:ind w:firstLine="567"/>
        <w:rPr>
          <w:rFonts w:ascii="宋体" w:hAnsi="宋体"/>
          <w:sz w:val="20"/>
        </w:rPr>
      </w:pPr>
      <w:r>
        <w:rPr>
          <w:rFonts w:hint="eastAsia" w:ascii="宋体" w:hAnsi="宋体"/>
          <w:sz w:val="20"/>
        </w:rPr>
        <w:t>本章规定的争议解决条款在运营服务协议终止后继续有效。</w:t>
      </w:r>
    </w:p>
    <w:p>
      <w:pPr>
        <w:pStyle w:val="239"/>
        <w:widowControl w:val="0"/>
        <w:spacing w:before="194" w:beforeLines="50"/>
        <w:jc w:val="center"/>
        <w:rPr>
          <w:rFonts w:ascii="新宋体" w:hAnsi="新宋体" w:eastAsia="新宋体" w:cs="新宋体"/>
          <w:b/>
          <w:kern w:val="2"/>
          <w:sz w:val="28"/>
          <w:szCs w:val="28"/>
        </w:rPr>
      </w:pPr>
      <w:r>
        <w:rPr>
          <w:rFonts w:hint="eastAsia" w:ascii="新宋体" w:hAnsi="新宋体" w:eastAsia="新宋体" w:cs="新宋体"/>
          <w:b/>
          <w:kern w:val="2"/>
          <w:sz w:val="28"/>
          <w:szCs w:val="28"/>
        </w:rPr>
        <w:t>第十八节  其它条款</w:t>
      </w:r>
    </w:p>
    <w:p>
      <w:pPr>
        <w:pStyle w:val="239"/>
        <w:keepNext/>
        <w:keepLines/>
        <w:spacing w:before="120" w:after="120"/>
        <w:ind w:firstLine="500"/>
        <w:outlineLvl w:val="4"/>
        <w:rPr>
          <w:rFonts w:ascii="宋体" w:hAnsi="宋体"/>
          <w:b/>
          <w:szCs w:val="20"/>
        </w:rPr>
      </w:pPr>
      <w:r>
        <w:rPr>
          <w:rFonts w:ascii="宋体" w:hAnsi="宋体"/>
          <w:b/>
          <w:szCs w:val="20"/>
        </w:rPr>
        <w:t>18</w:t>
      </w:r>
      <w:r>
        <w:rPr>
          <w:rFonts w:hint="eastAsia" w:ascii="宋体" w:hAnsi="宋体"/>
          <w:b/>
          <w:szCs w:val="20"/>
        </w:rPr>
        <w:t>.1 运营服务协议的完整性</w:t>
      </w:r>
    </w:p>
    <w:p>
      <w:pPr>
        <w:pStyle w:val="239"/>
        <w:tabs>
          <w:tab w:val="left" w:pos="420"/>
        </w:tabs>
        <w:spacing w:before="194" w:beforeLines="50"/>
        <w:ind w:firstLine="567"/>
        <w:rPr>
          <w:rFonts w:ascii="宋体" w:hAnsi="宋体"/>
          <w:sz w:val="20"/>
        </w:rPr>
      </w:pPr>
      <w:r>
        <w:rPr>
          <w:rFonts w:hint="eastAsia" w:ascii="宋体" w:hAnsi="宋体"/>
          <w:sz w:val="20"/>
        </w:rPr>
        <w:t>运营服务协议成为双方之间就运营服务协议所述事项的全部共识，并且取代双方以前就同样事项而达成的所有书面和口头的声明、协议或安排。</w:t>
      </w:r>
    </w:p>
    <w:p>
      <w:pPr>
        <w:pStyle w:val="239"/>
        <w:keepNext/>
        <w:keepLines/>
        <w:spacing w:before="120" w:after="120"/>
        <w:ind w:firstLine="500"/>
        <w:outlineLvl w:val="4"/>
        <w:rPr>
          <w:rFonts w:ascii="宋体" w:hAnsi="宋体"/>
          <w:b/>
          <w:szCs w:val="20"/>
        </w:rPr>
      </w:pPr>
      <w:r>
        <w:rPr>
          <w:rFonts w:ascii="宋体" w:hAnsi="宋体"/>
          <w:b/>
          <w:szCs w:val="20"/>
        </w:rPr>
        <w:t>18</w:t>
      </w:r>
      <w:r>
        <w:rPr>
          <w:rFonts w:hint="eastAsia" w:ascii="宋体" w:hAnsi="宋体"/>
          <w:b/>
          <w:szCs w:val="20"/>
        </w:rPr>
        <w:t>.2 可分割性</w:t>
      </w:r>
    </w:p>
    <w:p>
      <w:pPr>
        <w:pStyle w:val="239"/>
        <w:tabs>
          <w:tab w:val="left" w:pos="420"/>
        </w:tabs>
        <w:spacing w:before="194" w:beforeLines="50"/>
        <w:ind w:firstLine="567"/>
        <w:rPr>
          <w:rFonts w:ascii="宋体" w:hAnsi="宋体"/>
          <w:sz w:val="20"/>
        </w:rPr>
      </w:pPr>
      <w:r>
        <w:rPr>
          <w:rFonts w:hint="eastAsia" w:ascii="宋体" w:hAnsi="宋体"/>
          <w:sz w:val="20"/>
        </w:rPr>
        <w:t>如果运营服务协议任何条款不合法、无效或不可执行，或者被任何有管辖权的法院宣布为不合法、无效或不可执行，则：</w:t>
      </w:r>
    </w:p>
    <w:p>
      <w:pPr>
        <w:pStyle w:val="239"/>
        <w:tabs>
          <w:tab w:val="left" w:pos="420"/>
        </w:tabs>
        <w:spacing w:before="194" w:beforeLines="50"/>
        <w:ind w:firstLine="567"/>
        <w:rPr>
          <w:rFonts w:ascii="宋体" w:hAnsi="宋体"/>
          <w:sz w:val="20"/>
        </w:rPr>
      </w:pPr>
      <w:r>
        <w:rPr>
          <w:rFonts w:hint="eastAsia" w:ascii="宋体" w:hAnsi="宋体"/>
          <w:sz w:val="20"/>
        </w:rPr>
        <w:t>运营服务协议其它条款仍然有效和可执行；</w:t>
      </w:r>
    </w:p>
    <w:p>
      <w:pPr>
        <w:pStyle w:val="239"/>
        <w:tabs>
          <w:tab w:val="left" w:pos="420"/>
        </w:tabs>
        <w:spacing w:before="194" w:beforeLines="50"/>
        <w:ind w:firstLine="567"/>
        <w:rPr>
          <w:rFonts w:ascii="宋体" w:hAnsi="宋体"/>
          <w:sz w:val="20"/>
        </w:rPr>
      </w:pPr>
      <w:r>
        <w:rPr>
          <w:rFonts w:hint="eastAsia" w:ascii="宋体" w:hAnsi="宋体"/>
          <w:sz w:val="20"/>
        </w:rPr>
        <w:t>并且双方应商定以合法、有效和可执行的条款对不合法、无效或不可执行的条款加以修改或替换，其结果应尽可能平衡双方之间的利益。</w:t>
      </w:r>
    </w:p>
    <w:p>
      <w:pPr>
        <w:pStyle w:val="239"/>
        <w:keepNext/>
        <w:keepLines/>
        <w:spacing w:before="120" w:after="120"/>
        <w:ind w:firstLine="500"/>
        <w:outlineLvl w:val="4"/>
        <w:rPr>
          <w:rFonts w:ascii="宋体" w:hAnsi="宋体"/>
          <w:b/>
          <w:szCs w:val="20"/>
        </w:rPr>
      </w:pPr>
      <w:r>
        <w:rPr>
          <w:rFonts w:ascii="宋体" w:hAnsi="宋体"/>
          <w:b/>
          <w:szCs w:val="20"/>
        </w:rPr>
        <w:t>18</w:t>
      </w:r>
      <w:r>
        <w:rPr>
          <w:rFonts w:hint="eastAsia" w:ascii="宋体" w:hAnsi="宋体"/>
          <w:b/>
          <w:szCs w:val="20"/>
        </w:rPr>
        <w:t>.3 保密</w:t>
      </w:r>
    </w:p>
    <w:p>
      <w:pPr>
        <w:pStyle w:val="239"/>
        <w:tabs>
          <w:tab w:val="left" w:pos="420"/>
        </w:tabs>
        <w:spacing w:before="194" w:beforeLines="50"/>
        <w:ind w:firstLine="567"/>
        <w:rPr>
          <w:rFonts w:ascii="宋体" w:hAnsi="宋体"/>
          <w:sz w:val="20"/>
        </w:rPr>
      </w:pPr>
      <w:r>
        <w:rPr>
          <w:rFonts w:hint="eastAsia" w:ascii="宋体" w:hAnsi="宋体"/>
          <w:sz w:val="20"/>
        </w:rPr>
        <w:t>任何一方及其雇员、承包商、顾问或代理应对其获得的尚未公布的或以其它形式公开的所有与运营服务协议及项目相关的资料和文件（无论是财务、技术或其它方面的资料和文件）予以保密，并且未经另一方的同意，不得在运营权结束后的五（5）年内提供给第三方或公众，但法律要求提供的除外。这一限制不得阻碍任何一方在取得另一方面同意的情况下发布含有有关本项目进展的非敏感信息的新闻稿。本条规定在运营服务协议终止后依然有效。</w:t>
      </w:r>
    </w:p>
    <w:p>
      <w:pPr>
        <w:pStyle w:val="239"/>
        <w:keepNext/>
        <w:keepLines/>
        <w:spacing w:before="120" w:after="120"/>
        <w:ind w:firstLine="500"/>
        <w:outlineLvl w:val="4"/>
        <w:rPr>
          <w:rFonts w:ascii="宋体" w:hAnsi="宋体"/>
          <w:b/>
          <w:color w:val="000000" w:themeColor="text1"/>
          <w:szCs w:val="20"/>
          <w:highlight w:val="none"/>
          <w14:textFill>
            <w14:solidFill>
              <w14:schemeClr w14:val="tx1"/>
            </w14:solidFill>
          </w14:textFill>
        </w:rPr>
      </w:pPr>
      <w:r>
        <w:rPr>
          <w:rFonts w:ascii="宋体" w:hAnsi="宋体"/>
          <w:b/>
          <w:color w:val="000000" w:themeColor="text1"/>
          <w:szCs w:val="20"/>
          <w:highlight w:val="none"/>
          <w14:textFill>
            <w14:solidFill>
              <w14:schemeClr w14:val="tx1"/>
            </w14:solidFill>
          </w14:textFill>
        </w:rPr>
        <w:t>18</w:t>
      </w:r>
      <w:r>
        <w:rPr>
          <w:rFonts w:hint="eastAsia" w:ascii="宋体" w:hAnsi="宋体"/>
          <w:b/>
          <w:color w:val="000000" w:themeColor="text1"/>
          <w:szCs w:val="20"/>
          <w:highlight w:val="none"/>
          <w14:textFill>
            <w14:solidFill>
              <w14:schemeClr w14:val="tx1"/>
            </w14:solidFill>
          </w14:textFill>
        </w:rPr>
        <w:t>.4 通知</w:t>
      </w:r>
    </w:p>
    <w:p>
      <w:pPr>
        <w:pStyle w:val="239"/>
        <w:tabs>
          <w:tab w:val="left" w:pos="420"/>
        </w:tabs>
        <w:spacing w:before="194" w:beforeLines="50"/>
        <w:ind w:firstLine="567"/>
        <w:rPr>
          <w:rFonts w:hint="eastAsia" w:ascii="宋体" w:hAnsi="宋体" w:eastAsia="宋体" w:cs="Times New Roman"/>
          <w:color w:val="000000" w:themeColor="text1"/>
          <w:sz w:val="20"/>
          <w:highlight w:val="none"/>
          <w:lang w:eastAsia="zh-CN"/>
          <w14:textFill>
            <w14:solidFill>
              <w14:schemeClr w14:val="tx1"/>
            </w14:solidFill>
          </w14:textFill>
        </w:rPr>
      </w:pPr>
      <w:r>
        <w:rPr>
          <w:rFonts w:hint="eastAsia" w:ascii="宋体" w:hAnsi="宋体"/>
          <w:color w:val="000000" w:themeColor="text1"/>
          <w:sz w:val="20"/>
          <w:highlight w:val="none"/>
          <w14:textFill>
            <w14:solidFill>
              <w14:schemeClr w14:val="tx1"/>
            </w14:solidFill>
          </w14:textFill>
        </w:rPr>
        <w:t>运营服务协议项下所发出的通知应为专门通知，</w:t>
      </w:r>
      <w:r>
        <w:rPr>
          <w:rFonts w:hint="eastAsia" w:ascii="宋体" w:hAnsi="宋体"/>
          <w:color w:val="000000" w:themeColor="text1"/>
          <w:sz w:val="20"/>
          <w:highlight w:val="none"/>
          <w:lang w:eastAsia="zh-CN"/>
          <w14:textFill>
            <w14:solidFill>
              <w14:schemeClr w14:val="tx1"/>
            </w14:solidFill>
          </w14:textFill>
        </w:rPr>
        <w:t>须</w:t>
      </w:r>
      <w:r>
        <w:rPr>
          <w:rFonts w:hint="eastAsia" w:ascii="宋体" w:hAnsi="宋体"/>
          <w:color w:val="000000" w:themeColor="text1"/>
          <w:sz w:val="20"/>
          <w:highlight w:val="none"/>
          <w14:textFill>
            <w14:solidFill>
              <w14:schemeClr w14:val="tx1"/>
            </w14:solidFill>
          </w14:textFill>
        </w:rPr>
        <w:t>以中文书面形式</w:t>
      </w:r>
      <w:r>
        <w:rPr>
          <w:rFonts w:hint="eastAsia" w:ascii="宋体" w:hAnsi="宋体" w:eastAsia="宋体" w:cs="Times New Roman"/>
          <w:color w:val="000000" w:themeColor="text1"/>
          <w:sz w:val="20"/>
          <w:highlight w:val="none"/>
          <w:lang w:eastAsia="zh-CN"/>
          <w14:textFill>
            <w14:solidFill>
              <w14:schemeClr w14:val="tx1"/>
            </w14:solidFill>
          </w14:textFill>
        </w:rPr>
        <w:t>通知</w:t>
      </w:r>
      <w:r>
        <w:rPr>
          <w:rFonts w:hint="eastAsia" w:ascii="宋体" w:hAnsi="宋体" w:eastAsia="宋体" w:cs="Times New Roman"/>
          <w:color w:val="000000" w:themeColor="text1"/>
          <w:sz w:val="20"/>
          <w:highlight w:val="none"/>
          <w:lang w:val="en-US" w:eastAsia="zh-CN"/>
          <w14:textFill>
            <w14:solidFill>
              <w14:schemeClr w14:val="tx1"/>
            </w14:solidFill>
          </w14:textFill>
        </w:rPr>
        <w:t>甲乙双方指定代表。</w:t>
      </w:r>
    </w:p>
    <w:p>
      <w:pPr>
        <w:pStyle w:val="239"/>
        <w:keepNext/>
        <w:keepLines/>
        <w:spacing w:before="120" w:after="120"/>
        <w:ind w:firstLine="500"/>
        <w:outlineLvl w:val="4"/>
        <w:rPr>
          <w:rFonts w:ascii="宋体" w:hAnsi="宋体"/>
          <w:b/>
          <w:color w:val="000000" w:themeColor="text1"/>
          <w:szCs w:val="20"/>
          <w:highlight w:val="none"/>
          <w14:textFill>
            <w14:solidFill>
              <w14:schemeClr w14:val="tx1"/>
            </w14:solidFill>
          </w14:textFill>
        </w:rPr>
      </w:pPr>
      <w:r>
        <w:rPr>
          <w:rFonts w:ascii="宋体" w:hAnsi="宋体"/>
          <w:b/>
          <w:color w:val="000000" w:themeColor="text1"/>
          <w:szCs w:val="20"/>
          <w:highlight w:val="none"/>
          <w14:textFill>
            <w14:solidFill>
              <w14:schemeClr w14:val="tx1"/>
            </w14:solidFill>
          </w14:textFill>
        </w:rPr>
        <w:t>18</w:t>
      </w:r>
      <w:r>
        <w:rPr>
          <w:rFonts w:hint="eastAsia" w:ascii="宋体" w:hAnsi="宋体"/>
          <w:b/>
          <w:color w:val="000000" w:themeColor="text1"/>
          <w:szCs w:val="20"/>
          <w:highlight w:val="none"/>
          <w14:textFill>
            <w14:solidFill>
              <w14:schemeClr w14:val="tx1"/>
            </w14:solidFill>
          </w14:textFill>
        </w:rPr>
        <w:t>.5 不弃权</w:t>
      </w:r>
    </w:p>
    <w:p>
      <w:pPr>
        <w:pStyle w:val="239"/>
        <w:tabs>
          <w:tab w:val="left" w:pos="420"/>
        </w:tabs>
        <w:spacing w:before="194" w:beforeLines="50"/>
        <w:ind w:firstLine="567"/>
        <w:rPr>
          <w:rFonts w:ascii="宋体" w:hAnsi="宋体"/>
          <w:sz w:val="20"/>
        </w:rPr>
      </w:pPr>
      <w:r>
        <w:rPr>
          <w:rFonts w:hint="eastAsia" w:ascii="宋体" w:hAnsi="宋体"/>
          <w:sz w:val="20"/>
        </w:rPr>
        <w:t>任何一方如果未通过书面形式声明弃权，均不被视为放弃运营服务协议中的任何条款。如果任何一方未坚持严格履行运营服务协议中的任何条款，或未行使其运营服务协议中规定的任何权利，均不应被视为对任何上述条款的放弃或对今后行使任何上述权利的放弃。</w:t>
      </w:r>
    </w:p>
    <w:p>
      <w:pPr>
        <w:pStyle w:val="239"/>
        <w:keepNext/>
        <w:keepLines/>
        <w:spacing w:before="120" w:after="120"/>
        <w:ind w:firstLine="500"/>
        <w:outlineLvl w:val="4"/>
        <w:rPr>
          <w:rFonts w:ascii="宋体" w:hAnsi="宋体"/>
          <w:b/>
          <w:szCs w:val="20"/>
        </w:rPr>
      </w:pPr>
      <w:r>
        <w:rPr>
          <w:rFonts w:ascii="宋体" w:hAnsi="宋体"/>
          <w:b/>
          <w:szCs w:val="20"/>
        </w:rPr>
        <w:t>18</w:t>
      </w:r>
      <w:r>
        <w:rPr>
          <w:rFonts w:hint="eastAsia" w:ascii="宋体" w:hAnsi="宋体"/>
          <w:b/>
          <w:szCs w:val="20"/>
        </w:rPr>
        <w:t>.6 管辖法律</w:t>
      </w:r>
    </w:p>
    <w:p>
      <w:pPr>
        <w:pStyle w:val="239"/>
        <w:tabs>
          <w:tab w:val="left" w:pos="420"/>
        </w:tabs>
        <w:spacing w:before="194" w:beforeLines="50"/>
        <w:ind w:firstLine="567"/>
        <w:rPr>
          <w:rFonts w:ascii="宋体" w:hAnsi="宋体"/>
          <w:sz w:val="20"/>
        </w:rPr>
      </w:pPr>
      <w:r>
        <w:rPr>
          <w:rFonts w:hint="eastAsia" w:ascii="宋体" w:hAnsi="宋体"/>
          <w:sz w:val="20"/>
        </w:rPr>
        <w:t>运营服务协议受颁布的中华人民共和国法律管辖，并根据其解释。</w:t>
      </w:r>
    </w:p>
    <w:p>
      <w:pPr>
        <w:pStyle w:val="239"/>
        <w:keepNext/>
        <w:keepLines/>
        <w:spacing w:before="120" w:after="120"/>
        <w:ind w:firstLine="500"/>
        <w:outlineLvl w:val="4"/>
        <w:rPr>
          <w:rFonts w:ascii="宋体" w:hAnsi="宋体"/>
          <w:b/>
          <w:szCs w:val="20"/>
        </w:rPr>
      </w:pPr>
      <w:r>
        <w:rPr>
          <w:rFonts w:ascii="宋体" w:hAnsi="宋体"/>
          <w:b/>
          <w:szCs w:val="20"/>
        </w:rPr>
        <w:t>18</w:t>
      </w:r>
      <w:r>
        <w:rPr>
          <w:rFonts w:hint="eastAsia" w:ascii="宋体" w:hAnsi="宋体"/>
          <w:b/>
          <w:szCs w:val="20"/>
        </w:rPr>
        <w:t>.7 文字</w:t>
      </w:r>
    </w:p>
    <w:p>
      <w:pPr>
        <w:pStyle w:val="239"/>
        <w:tabs>
          <w:tab w:val="left" w:pos="420"/>
        </w:tabs>
        <w:spacing w:before="194" w:beforeLines="50"/>
        <w:ind w:firstLine="567"/>
        <w:rPr>
          <w:rFonts w:ascii="宋体" w:hAnsi="宋体"/>
          <w:sz w:val="20"/>
        </w:rPr>
      </w:pPr>
      <w:r>
        <w:rPr>
          <w:rFonts w:hint="eastAsia" w:ascii="宋体" w:hAnsi="宋体"/>
          <w:sz w:val="20"/>
        </w:rPr>
        <w:t>运营服务协议以中文订立。运营服务协议正本一式十二（12）份，具有同等效力，甲方和乙方各执六（6）份。</w:t>
      </w:r>
    </w:p>
    <w:p>
      <w:pPr>
        <w:pStyle w:val="239"/>
        <w:keepNext/>
        <w:keepLines/>
        <w:spacing w:before="120" w:after="120"/>
        <w:ind w:firstLine="500"/>
        <w:outlineLvl w:val="4"/>
        <w:rPr>
          <w:rFonts w:ascii="宋体" w:hAnsi="宋体"/>
          <w:b/>
          <w:szCs w:val="20"/>
        </w:rPr>
      </w:pPr>
      <w:r>
        <w:rPr>
          <w:rFonts w:ascii="宋体" w:hAnsi="宋体"/>
          <w:b/>
          <w:szCs w:val="20"/>
        </w:rPr>
        <w:t>18</w:t>
      </w:r>
      <w:r>
        <w:rPr>
          <w:rFonts w:hint="eastAsia" w:ascii="宋体" w:hAnsi="宋体"/>
          <w:b/>
          <w:szCs w:val="20"/>
        </w:rPr>
        <w:t>.8 修正</w:t>
      </w:r>
    </w:p>
    <w:p>
      <w:pPr>
        <w:pStyle w:val="239"/>
        <w:tabs>
          <w:tab w:val="left" w:pos="420"/>
        </w:tabs>
        <w:spacing w:before="194" w:beforeLines="50"/>
        <w:ind w:firstLine="567"/>
        <w:rPr>
          <w:rFonts w:ascii="宋体" w:hAnsi="宋体"/>
          <w:sz w:val="20"/>
        </w:rPr>
      </w:pPr>
      <w:r>
        <w:rPr>
          <w:rFonts w:hint="eastAsia" w:ascii="宋体" w:hAnsi="宋体"/>
          <w:sz w:val="20"/>
        </w:rPr>
        <w:t>运营服务协议的任何修改、增加或变化只有经双方授权代表书面签署后才有效和具有约束力。</w:t>
      </w:r>
    </w:p>
    <w:p>
      <w:pPr>
        <w:pStyle w:val="239"/>
        <w:keepNext/>
        <w:keepLines/>
        <w:spacing w:before="120" w:after="120"/>
        <w:ind w:firstLine="500"/>
        <w:outlineLvl w:val="4"/>
        <w:rPr>
          <w:rFonts w:ascii="宋体" w:hAnsi="宋体"/>
          <w:b/>
          <w:szCs w:val="20"/>
        </w:rPr>
      </w:pPr>
      <w:r>
        <w:rPr>
          <w:rFonts w:ascii="宋体" w:hAnsi="宋体"/>
          <w:b/>
          <w:szCs w:val="20"/>
        </w:rPr>
        <w:t>18</w:t>
      </w:r>
      <w:r>
        <w:rPr>
          <w:rFonts w:hint="eastAsia" w:ascii="宋体" w:hAnsi="宋体"/>
          <w:b/>
          <w:szCs w:val="20"/>
        </w:rPr>
        <w:t>.9 协议文件</w:t>
      </w:r>
    </w:p>
    <w:p>
      <w:pPr>
        <w:pStyle w:val="239"/>
        <w:tabs>
          <w:tab w:val="left" w:pos="420"/>
        </w:tabs>
        <w:spacing w:before="194" w:beforeLines="50"/>
        <w:ind w:firstLine="567"/>
        <w:rPr>
          <w:rFonts w:ascii="宋体" w:hAnsi="宋体"/>
          <w:spacing w:val="-6"/>
          <w:sz w:val="20"/>
        </w:rPr>
      </w:pPr>
      <w:r>
        <w:rPr>
          <w:rFonts w:hint="eastAsia" w:ascii="宋体" w:hAnsi="宋体"/>
          <w:spacing w:val="-6"/>
          <w:sz w:val="20"/>
        </w:rPr>
        <w:t>运营服务协议签署时包括</w:t>
      </w:r>
      <w:r>
        <w:rPr>
          <w:rFonts w:hint="eastAsia" w:ascii="宋体" w:hAnsi="宋体"/>
          <w:color w:val="000000" w:themeColor="text1"/>
          <w:spacing w:val="-6"/>
          <w:sz w:val="20"/>
          <w:highlight w:val="none"/>
          <w14:textFill>
            <w14:solidFill>
              <w14:schemeClr w14:val="tx1"/>
            </w14:solidFill>
          </w14:textFill>
        </w:rPr>
        <w:t>附件，</w:t>
      </w:r>
      <w:r>
        <w:rPr>
          <w:rFonts w:hint="eastAsia" w:ascii="宋体" w:hAnsi="宋体"/>
          <w:spacing w:val="-6"/>
          <w:sz w:val="20"/>
        </w:rPr>
        <w:t>每个附件及其附录在此均被视为包含在运营服务协议中的有效组成内容。</w:t>
      </w:r>
    </w:p>
    <w:p>
      <w:pPr>
        <w:pStyle w:val="239"/>
        <w:tabs>
          <w:tab w:val="left" w:pos="420"/>
        </w:tabs>
        <w:spacing w:before="194" w:beforeLines="50"/>
        <w:rPr>
          <w:rFonts w:hint="eastAsia" w:ascii="宋体" w:hAnsi="宋体" w:cs="Times New Roman"/>
          <w:b/>
          <w:szCs w:val="20"/>
        </w:rPr>
      </w:pPr>
      <w:r>
        <w:rPr>
          <w:rFonts w:hint="eastAsia" w:ascii="宋体" w:hAnsi="宋体"/>
          <w:b/>
          <w:szCs w:val="20"/>
        </w:rPr>
        <w:t xml:space="preserve">    </w:t>
      </w:r>
      <w:r>
        <w:rPr>
          <w:rFonts w:ascii="宋体" w:hAnsi="宋体"/>
          <w:b/>
          <w:szCs w:val="20"/>
        </w:rPr>
        <w:t>18</w:t>
      </w:r>
      <w:r>
        <w:rPr>
          <w:rFonts w:hint="eastAsia" w:ascii="宋体" w:hAnsi="宋体"/>
          <w:b/>
          <w:szCs w:val="20"/>
        </w:rPr>
        <w:t>.10协议执行过程中的考核</w:t>
      </w:r>
    </w:p>
    <w:p>
      <w:pPr>
        <w:keepNext w:val="0"/>
        <w:keepLines w:val="0"/>
        <w:pageBreakBefore w:val="0"/>
        <w:widowControl w:val="0"/>
        <w:kinsoku/>
        <w:wordWrap/>
        <w:overflowPunct/>
        <w:topLinePunct w:val="0"/>
        <w:autoSpaceDE/>
        <w:autoSpaceDN/>
        <w:bidi w:val="0"/>
        <w:adjustRightInd/>
        <w:snapToGrid/>
        <w:spacing w:line="460" w:lineRule="exact"/>
        <w:ind w:firstLine="412" w:firstLineChars="200"/>
        <w:jc w:val="both"/>
        <w:textAlignment w:val="auto"/>
        <w:rPr>
          <w:rFonts w:hint="eastAsia" w:ascii="宋体" w:hAnsi="宋体" w:eastAsia="宋体" w:cs="Times New Roman"/>
          <w:b/>
          <w:bCs/>
          <w:color w:val="000000" w:themeColor="text1"/>
          <w:kern w:val="0"/>
          <w:sz w:val="20"/>
          <w:szCs w:val="21"/>
          <w:highlight w:val="none"/>
          <w:u w:val="single"/>
          <w:lang w:val="en-US" w:eastAsia="zh-CN" w:bidi="ar-SA"/>
          <w14:textFill>
            <w14:solidFill>
              <w14:schemeClr w14:val="tx1"/>
            </w14:solidFill>
          </w14:textFill>
        </w:rPr>
      </w:pPr>
      <w:r>
        <w:rPr>
          <w:rFonts w:hint="eastAsia" w:ascii="宋体" w:hAnsi="宋体" w:eastAsia="宋体" w:cs="Times New Roman"/>
          <w:b/>
          <w:bCs/>
          <w:color w:val="000000" w:themeColor="text1"/>
          <w:kern w:val="0"/>
          <w:sz w:val="20"/>
          <w:szCs w:val="21"/>
          <w:highlight w:val="none"/>
          <w:u w:val="single"/>
          <w:lang w:val="en-US" w:eastAsia="zh-CN" w:bidi="ar-SA"/>
          <w14:textFill>
            <w14:solidFill>
              <w14:schemeClr w14:val="tx1"/>
            </w14:solidFill>
          </w14:textFill>
        </w:rPr>
        <w:t xml:space="preserve"> 甲方根据合同附件中列明的“高铁新城再生水厂运营管理服务项目考核实施细则”，对乙方服务进行考核，根据考核结果对服务费用进行拨付。如累计2个季度甲方对乙方的服务考核得分在60分以下，则甲方有权单方解除合同。</w:t>
      </w:r>
    </w:p>
    <w:p>
      <w:pPr>
        <w:pStyle w:val="239"/>
        <w:keepNext/>
        <w:keepLines/>
        <w:spacing w:before="120" w:after="120"/>
        <w:ind w:firstLine="500"/>
        <w:outlineLvl w:val="4"/>
        <w:rPr>
          <w:rFonts w:ascii="宋体" w:hAnsi="宋体"/>
          <w:b/>
          <w:szCs w:val="20"/>
        </w:rPr>
      </w:pPr>
      <w:r>
        <w:rPr>
          <w:rFonts w:ascii="宋体" w:hAnsi="宋体"/>
          <w:b/>
          <w:szCs w:val="20"/>
        </w:rPr>
        <w:t>18</w:t>
      </w:r>
      <w:r>
        <w:rPr>
          <w:rFonts w:hint="eastAsia" w:ascii="宋体" w:hAnsi="宋体"/>
          <w:b/>
          <w:szCs w:val="20"/>
        </w:rPr>
        <w:t>.11 协议的生效</w:t>
      </w:r>
    </w:p>
    <w:p>
      <w:pPr>
        <w:pStyle w:val="239"/>
        <w:tabs>
          <w:tab w:val="left" w:pos="420"/>
        </w:tabs>
        <w:spacing w:before="194" w:beforeLines="50"/>
        <w:ind w:firstLine="567"/>
        <w:rPr>
          <w:rFonts w:hint="eastAsia" w:ascii="宋体" w:hAnsi="宋体"/>
          <w:sz w:val="20"/>
        </w:rPr>
      </w:pPr>
      <w:r>
        <w:rPr>
          <w:rFonts w:hint="eastAsia" w:ascii="宋体" w:hAnsi="宋体"/>
          <w:sz w:val="20"/>
          <w:lang w:val="en-US" w:eastAsia="zh-CN"/>
        </w:rPr>
        <w:t>18.11.1</w:t>
      </w:r>
      <w:r>
        <w:rPr>
          <w:rFonts w:hint="eastAsia" w:ascii="宋体" w:hAnsi="宋体"/>
          <w:sz w:val="20"/>
        </w:rPr>
        <w:t>本运营服务协议自正式签署之日起生效，并应在整个运营期内保持完全有效，但根据运营服务协议修改或终止的情况除外。</w:t>
      </w:r>
    </w:p>
    <w:p>
      <w:pPr>
        <w:pStyle w:val="239"/>
        <w:tabs>
          <w:tab w:val="left" w:pos="420"/>
        </w:tabs>
        <w:spacing w:before="194" w:beforeLines="50"/>
        <w:ind w:firstLine="567"/>
        <w:rPr>
          <w:rFonts w:hint="eastAsia" w:ascii="宋体" w:hAnsi="宋体" w:eastAsia="宋体" w:cs="Times New Roman"/>
          <w:color w:val="000000" w:themeColor="text1"/>
          <w:sz w:val="20"/>
          <w:highlight w:val="none"/>
          <w:lang w:val="en-US" w:eastAsia="zh-CN"/>
          <w14:textFill>
            <w14:solidFill>
              <w14:schemeClr w14:val="tx1"/>
            </w14:solidFill>
          </w14:textFill>
        </w:rPr>
      </w:pPr>
      <w:r>
        <w:rPr>
          <w:rFonts w:hint="eastAsia" w:ascii="宋体" w:hAnsi="宋体" w:eastAsia="宋体" w:cs="Times New Roman"/>
          <w:color w:val="000000" w:themeColor="text1"/>
          <w:sz w:val="20"/>
          <w:highlight w:val="none"/>
          <w:lang w:val="en-US" w:eastAsia="zh-CN"/>
          <w14:textFill>
            <w14:solidFill>
              <w14:schemeClr w14:val="tx1"/>
            </w14:solidFill>
          </w14:textFill>
        </w:rPr>
        <w:t>18.11.2本合同未尽事宜，经双方商议可续签补充协议，该补充协议与本合同具有相同法律效力。</w:t>
      </w:r>
    </w:p>
    <w:p>
      <w:pPr>
        <w:pStyle w:val="2"/>
        <w:keepNext w:val="0"/>
        <w:keepLines w:val="0"/>
        <w:pageBreakBefore w:val="0"/>
        <w:widowControl w:val="0"/>
        <w:kinsoku/>
        <w:wordWrap/>
        <w:overflowPunct/>
        <w:topLinePunct w:val="0"/>
        <w:autoSpaceDE w:val="0"/>
        <w:autoSpaceDN w:val="0"/>
        <w:bidi w:val="0"/>
        <w:adjustRightInd/>
        <w:snapToGrid/>
        <w:spacing w:after="0" w:line="440" w:lineRule="exact"/>
        <w:ind w:right="377" w:firstLine="558" w:firstLineChars="271"/>
        <w:jc w:val="both"/>
        <w:textAlignment w:val="auto"/>
        <w:rPr>
          <w:rFonts w:ascii="宋体" w:hAnsi="宋体"/>
          <w:color w:val="000000" w:themeColor="text1"/>
          <w:sz w:val="20"/>
          <w:highlight w:val="none"/>
          <w14:textFill>
            <w14:solidFill>
              <w14:schemeClr w14:val="tx1"/>
            </w14:solidFill>
          </w14:textFill>
        </w:rPr>
      </w:pPr>
      <w:r>
        <w:rPr>
          <w:rFonts w:hint="eastAsia" w:ascii="宋体" w:hAnsi="宋体"/>
          <w:color w:val="000000" w:themeColor="text1"/>
          <w:sz w:val="20"/>
          <w:highlight w:val="none"/>
          <w:lang w:val="en-US" w:eastAsia="zh-CN"/>
          <w14:textFill>
            <w14:solidFill>
              <w14:schemeClr w14:val="tx1"/>
            </w14:solidFill>
          </w14:textFill>
        </w:rPr>
        <w:t xml:space="preserve">18.11.3 </w:t>
      </w:r>
      <w:r>
        <w:rPr>
          <w:rFonts w:hint="eastAsia" w:ascii="宋体" w:hAnsi="宋体"/>
          <w:color w:val="000000" w:themeColor="text1"/>
          <w:sz w:val="20"/>
          <w:highlight w:val="none"/>
          <w14:textFill>
            <w14:solidFill>
              <w14:schemeClr w14:val="tx1"/>
            </w14:solidFill>
          </w14:textFill>
        </w:rPr>
        <w:t>运营服务协议由</w:t>
      </w:r>
      <w:r>
        <w:rPr>
          <w:rFonts w:hint="eastAsia" w:ascii="宋体" w:hAnsi="宋体" w:eastAsia="宋体" w:cs="Times New Roman"/>
          <w:color w:val="000000" w:themeColor="text1"/>
          <w:sz w:val="20"/>
          <w:highlight w:val="none"/>
          <w:lang w:val="en-US" w:eastAsia="zh-CN"/>
          <w14:textFill>
            <w14:solidFill>
              <w14:schemeClr w14:val="tx1"/>
            </w14:solidFill>
          </w14:textFill>
        </w:rPr>
        <w:t>甲乙双方法定代表人或委托代理人签署并加盖单位公章后生效</w:t>
      </w:r>
      <w:r>
        <w:rPr>
          <w:rFonts w:hint="eastAsia" w:ascii="宋体" w:hAnsi="宋体"/>
          <w:color w:val="000000" w:themeColor="text1"/>
          <w:sz w:val="20"/>
          <w:highlight w:val="none"/>
          <w14:textFill>
            <w14:solidFill>
              <w14:schemeClr w14:val="tx1"/>
            </w14:solidFill>
          </w14:textFill>
        </w:rPr>
        <w:t>，以昭信守。</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sz w:val="20"/>
        </w:rPr>
      </w:pP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sz w:val="20"/>
        </w:rPr>
      </w:pP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sz w:val="20"/>
        </w:rPr>
      </w:pP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sz w:val="20"/>
        </w:rPr>
      </w:pP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ascii="宋体" w:hAnsi="宋体"/>
          <w:sz w:val="20"/>
        </w:rPr>
      </w:pPr>
      <w:r>
        <w:rPr>
          <w:rFonts w:hint="eastAsia" w:ascii="宋体" w:hAnsi="宋体"/>
          <w:sz w:val="20"/>
        </w:rPr>
        <w:t>甲方</w:t>
      </w:r>
      <w:r>
        <w:rPr>
          <w:rFonts w:hint="eastAsia" w:ascii="宋体" w:hAnsi="宋体"/>
          <w:sz w:val="20"/>
          <w:lang w:eastAsia="zh-CN"/>
        </w:rPr>
        <w:t>：</w:t>
      </w:r>
      <w:r>
        <w:rPr>
          <w:rFonts w:hint="eastAsia" w:ascii="宋体" w:hAnsi="宋体"/>
          <w:sz w:val="20"/>
          <w:lang w:val="en-US" w:eastAsia="zh-CN"/>
        </w:rPr>
        <w:t xml:space="preserve">                    </w:t>
      </w:r>
      <w:r>
        <w:rPr>
          <w:rFonts w:hint="eastAsia" w:ascii="宋体" w:hAnsi="宋体"/>
          <w:sz w:val="20"/>
        </w:rPr>
        <w:t>[</w:t>
      </w:r>
      <w:r>
        <w:rPr>
          <w:rFonts w:hint="eastAsia" w:ascii="宋体" w:hAnsi="宋体"/>
          <w:sz w:val="20"/>
          <w:lang w:val="en-US" w:eastAsia="zh-CN"/>
        </w:rPr>
        <w:t>盖</w:t>
      </w:r>
      <w:r>
        <w:rPr>
          <w:rFonts w:hint="eastAsia" w:ascii="宋体" w:hAnsi="宋体"/>
          <w:sz w:val="20"/>
        </w:rPr>
        <w:t>章]                乙方</w:t>
      </w:r>
      <w:r>
        <w:rPr>
          <w:rFonts w:hint="eastAsia" w:ascii="宋体" w:hAnsi="宋体"/>
          <w:sz w:val="20"/>
          <w:lang w:eastAsia="zh-CN"/>
        </w:rPr>
        <w:t>：</w:t>
      </w:r>
      <w:r>
        <w:rPr>
          <w:rFonts w:hint="eastAsia" w:ascii="宋体" w:hAnsi="宋体"/>
          <w:sz w:val="20"/>
          <w:lang w:val="en-US" w:eastAsia="zh-CN"/>
        </w:rPr>
        <w:t xml:space="preserve">              </w:t>
      </w:r>
      <w:r>
        <w:rPr>
          <w:rFonts w:hint="eastAsia" w:ascii="宋体" w:hAnsi="宋体"/>
          <w:sz w:val="20"/>
        </w:rPr>
        <w:t>[</w:t>
      </w:r>
      <w:r>
        <w:rPr>
          <w:rFonts w:hint="eastAsia" w:ascii="宋体" w:hAnsi="宋体"/>
          <w:sz w:val="20"/>
          <w:lang w:val="en-US" w:eastAsia="zh-CN"/>
        </w:rPr>
        <w:t>盖</w:t>
      </w:r>
      <w:r>
        <w:rPr>
          <w:rFonts w:hint="eastAsia" w:ascii="宋体" w:hAnsi="宋体"/>
          <w:sz w:val="20"/>
        </w:rPr>
        <w:t>章]</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sz w:val="20"/>
        </w:rPr>
      </w:pP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sz w:val="20"/>
        </w:rPr>
      </w:pPr>
      <w:r>
        <w:rPr>
          <w:rFonts w:hint="eastAsia" w:ascii="宋体" w:hAnsi="宋体"/>
          <w:sz w:val="20"/>
        </w:rPr>
        <w:t>法定代表人</w:t>
      </w:r>
      <w:r>
        <w:rPr>
          <w:rFonts w:hint="eastAsia" w:ascii="宋体" w:hAnsi="宋体"/>
          <w:sz w:val="20"/>
          <w:lang w:val="en-US" w:eastAsia="zh-CN"/>
        </w:rPr>
        <w:t>或委托代理人</w:t>
      </w:r>
      <w:r>
        <w:rPr>
          <w:rFonts w:hint="eastAsia" w:ascii="宋体" w:hAnsi="宋体"/>
          <w:sz w:val="20"/>
        </w:rPr>
        <w:t>：                        法定代表人</w:t>
      </w:r>
      <w:r>
        <w:rPr>
          <w:rFonts w:hint="eastAsia" w:ascii="宋体" w:hAnsi="宋体"/>
          <w:sz w:val="20"/>
          <w:lang w:val="en-US" w:eastAsia="zh-CN"/>
        </w:rPr>
        <w:t>或委托代理人</w:t>
      </w:r>
      <w:r>
        <w:rPr>
          <w:rFonts w:hint="eastAsia" w:ascii="宋体" w:hAnsi="宋体"/>
          <w:sz w:val="20"/>
        </w:rPr>
        <w:t>：</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sz w:val="20"/>
          <w:lang w:val="en-US" w:eastAsia="zh-CN"/>
        </w:rPr>
      </w:pPr>
      <w:r>
        <w:rPr>
          <w:rFonts w:hint="eastAsia" w:ascii="宋体" w:hAnsi="宋体"/>
          <w:sz w:val="20"/>
          <w:lang w:val="en-US" w:eastAsia="zh-CN"/>
        </w:rPr>
        <w:t>经办人：                                        经办人：</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default" w:ascii="宋体" w:hAnsi="宋体"/>
          <w:sz w:val="20"/>
          <w:lang w:val="en-US" w:eastAsia="zh-CN"/>
        </w:rPr>
      </w:pPr>
      <w:r>
        <w:rPr>
          <w:rFonts w:hint="eastAsia" w:ascii="宋体" w:hAnsi="宋体"/>
          <w:sz w:val="20"/>
          <w:lang w:val="en-US" w:eastAsia="zh-CN"/>
        </w:rPr>
        <w:t>地址：                                          地址：</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ascii="宋体" w:hAnsi="宋体"/>
          <w:sz w:val="20"/>
        </w:rPr>
      </w:pPr>
      <w:r>
        <w:rPr>
          <w:rFonts w:hint="eastAsia" w:ascii="宋体" w:hAnsi="宋体"/>
          <w:sz w:val="20"/>
        </w:rPr>
        <w:t>开户银行：                                      开户银行：</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ascii="宋体" w:hAnsi="宋体"/>
          <w:sz w:val="20"/>
        </w:rPr>
      </w:pPr>
      <w:r>
        <w:rPr>
          <w:rFonts w:hint="eastAsia" w:ascii="宋体" w:hAnsi="宋体"/>
          <w:sz w:val="20"/>
        </w:rPr>
        <w:t xml:space="preserve">账号：                                          账号： </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ascii="宋体" w:hAnsi="宋体"/>
          <w:b/>
          <w:bCs/>
          <w:sz w:val="20"/>
        </w:rPr>
      </w:pPr>
      <w:r>
        <w:rPr>
          <w:rFonts w:hint="eastAsia" w:ascii="宋体" w:hAnsi="宋体"/>
          <w:sz w:val="20"/>
        </w:rPr>
        <w:t xml:space="preserve">联系人电话：                                    联系人电话： </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color w:val="000000" w:themeColor="text1"/>
          <w:sz w:val="20"/>
          <w:highlight w:val="none"/>
          <w:lang w:eastAsia="zh-CN"/>
          <w14:textFill>
            <w14:solidFill>
              <w14:schemeClr w14:val="tx1"/>
            </w14:solidFill>
          </w14:textFill>
        </w:rPr>
      </w:pPr>
      <w:r>
        <w:rPr>
          <w:rFonts w:hint="eastAsia" w:ascii="宋体" w:hAnsi="宋体"/>
          <w:color w:val="000000" w:themeColor="text1"/>
          <w:sz w:val="20"/>
          <w:highlight w:val="none"/>
          <w:lang w:eastAsia="zh-CN"/>
          <w14:textFill>
            <w14:solidFill>
              <w14:schemeClr w14:val="tx1"/>
            </w14:solidFill>
          </w14:textFill>
        </w:rPr>
        <w:t>签订日期：</w:t>
      </w:r>
      <w:r>
        <w:rPr>
          <w:rFonts w:hint="eastAsia" w:ascii="宋体" w:hAnsi="宋体"/>
          <w:color w:val="000000" w:themeColor="text1"/>
          <w:sz w:val="20"/>
          <w:highlight w:val="none"/>
          <w:lang w:val="en-US" w:eastAsia="zh-CN"/>
          <w14:textFill>
            <w14:solidFill>
              <w14:schemeClr w14:val="tx1"/>
            </w14:solidFill>
          </w14:textFill>
        </w:rPr>
        <w:t xml:space="preserve">                                      </w:t>
      </w:r>
      <w:r>
        <w:rPr>
          <w:rFonts w:hint="eastAsia" w:ascii="宋体" w:hAnsi="宋体"/>
          <w:color w:val="000000" w:themeColor="text1"/>
          <w:sz w:val="20"/>
          <w:highlight w:val="none"/>
          <w:lang w:eastAsia="zh-CN"/>
          <w14:textFill>
            <w14:solidFill>
              <w14:schemeClr w14:val="tx1"/>
            </w14:solidFill>
          </w14:textFill>
        </w:rPr>
        <w:t>签订日期：</w:t>
      </w:r>
    </w:p>
    <w:p>
      <w:pPr>
        <w:pStyle w:val="239"/>
        <w:keepNext w:val="0"/>
        <w:keepLines w:val="0"/>
        <w:pageBreakBefore w:val="0"/>
        <w:widowControl/>
        <w:tabs>
          <w:tab w:val="left" w:pos="420"/>
        </w:tabs>
        <w:kinsoku/>
        <w:wordWrap/>
        <w:overflowPunct/>
        <w:topLinePunct w:val="0"/>
        <w:autoSpaceDE/>
        <w:autoSpaceDN/>
        <w:bidi w:val="0"/>
        <w:adjustRightInd/>
        <w:snapToGrid/>
        <w:spacing w:before="194" w:beforeLines="50" w:line="240" w:lineRule="exact"/>
        <w:ind w:firstLine="567"/>
        <w:textAlignment w:val="auto"/>
        <w:rPr>
          <w:rFonts w:hint="eastAsia" w:ascii="宋体" w:hAnsi="宋体"/>
          <w:color w:val="000000" w:themeColor="text1"/>
          <w:sz w:val="20"/>
          <w:highlight w:val="none"/>
          <w:lang w:eastAsia="zh-CN"/>
          <w14:textFill>
            <w14:solidFill>
              <w14:schemeClr w14:val="tx1"/>
            </w14:solidFill>
          </w14:textFill>
        </w:rPr>
      </w:pPr>
    </w:p>
    <w:p>
      <w:pPr>
        <w:pStyle w:val="239"/>
        <w:keepNext w:val="0"/>
        <w:keepLines w:val="0"/>
        <w:pageBreakBefore w:val="0"/>
        <w:kinsoku/>
        <w:wordWrap/>
        <w:overflowPunct/>
        <w:topLinePunct w:val="0"/>
        <w:bidi w:val="0"/>
        <w:snapToGrid/>
        <w:spacing w:line="500" w:lineRule="exact"/>
        <w:textAlignment w:val="auto"/>
        <w:rPr>
          <w:rFonts w:hint="eastAsia"/>
          <w:b/>
          <w:color w:val="000000" w:themeColor="text1"/>
          <w:sz w:val="21"/>
          <w:szCs w:val="21"/>
          <w:highlight w:val="none"/>
          <w14:textFill>
            <w14:solidFill>
              <w14:schemeClr w14:val="tx1"/>
            </w14:solidFill>
          </w14:textFill>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rFonts w:hint="eastAsia"/>
          <w:b/>
          <w:sz w:val="21"/>
          <w:szCs w:val="21"/>
        </w:rPr>
      </w:pPr>
    </w:p>
    <w:p>
      <w:pPr>
        <w:pStyle w:val="239"/>
        <w:keepNext w:val="0"/>
        <w:keepLines w:val="0"/>
        <w:pageBreakBefore w:val="0"/>
        <w:kinsoku/>
        <w:wordWrap/>
        <w:overflowPunct/>
        <w:topLinePunct w:val="0"/>
        <w:bidi w:val="0"/>
        <w:snapToGrid/>
        <w:spacing w:line="500" w:lineRule="exact"/>
        <w:textAlignment w:val="auto"/>
        <w:rPr>
          <w:b/>
          <w:sz w:val="21"/>
          <w:szCs w:val="21"/>
        </w:rPr>
      </w:pPr>
      <w:r>
        <w:rPr>
          <w:rFonts w:hint="eastAsia"/>
          <w:b/>
          <w:sz w:val="21"/>
          <w:szCs w:val="21"/>
        </w:rPr>
        <w:t xml:space="preserve">附件一 </w:t>
      </w:r>
    </w:p>
    <w:p>
      <w:pPr>
        <w:pStyle w:val="239"/>
        <w:keepNext w:val="0"/>
        <w:keepLines w:val="0"/>
        <w:pageBreakBefore w:val="0"/>
        <w:tabs>
          <w:tab w:val="left" w:pos="567"/>
        </w:tabs>
        <w:kinsoku/>
        <w:wordWrap/>
        <w:overflowPunct/>
        <w:topLinePunct w:val="0"/>
        <w:bidi w:val="0"/>
        <w:snapToGrid/>
        <w:spacing w:line="420" w:lineRule="exact"/>
        <w:ind w:left="0" w:leftChars="0" w:firstLine="432" w:firstLineChars="200"/>
        <w:textAlignment w:val="auto"/>
        <w:rPr>
          <w:rFonts w:ascii="宋体" w:hAnsi="宋体"/>
          <w:b/>
          <w:color w:val="000000" w:themeColor="text1"/>
          <w:sz w:val="21"/>
          <w:szCs w:val="21"/>
          <w:highlight w:val="none"/>
          <w14:textFill>
            <w14:solidFill>
              <w14:schemeClr w14:val="tx1"/>
            </w14:solidFill>
          </w14:textFill>
        </w:rPr>
      </w:pPr>
      <w:r>
        <w:rPr>
          <w:rFonts w:hint="eastAsia" w:ascii="宋体" w:hAnsi="宋体"/>
          <w:b/>
          <w:color w:val="000000" w:themeColor="text1"/>
          <w:sz w:val="21"/>
          <w:szCs w:val="21"/>
          <w:highlight w:val="none"/>
          <w14:textFill>
            <w14:solidFill>
              <w14:schemeClr w14:val="tx1"/>
            </w14:solidFill>
          </w14:textFill>
        </w:rPr>
        <w:t>附录1 运营服务费的计算</w:t>
      </w:r>
    </w:p>
    <w:p>
      <w:pPr>
        <w:pStyle w:val="239"/>
        <w:keepNext w:val="0"/>
        <w:keepLines w:val="0"/>
        <w:pageBreakBefore w:val="0"/>
        <w:widowControl w:val="0"/>
        <w:tabs>
          <w:tab w:val="left" w:pos="945"/>
        </w:tabs>
        <w:kinsoku/>
        <w:wordWrap/>
        <w:overflowPunct/>
        <w:topLinePunct w:val="0"/>
        <w:bidi w:val="0"/>
        <w:snapToGrid/>
        <w:spacing w:line="420" w:lineRule="exact"/>
        <w:ind w:firstLine="480"/>
        <w:textAlignment w:val="auto"/>
        <w:rPr>
          <w:rFonts w:hint="eastAsia" w:ascii="宋体" w:hAnsi="宋体" w:cs="宋体"/>
          <w:bCs/>
          <w:color w:val="000000" w:themeColor="text1"/>
          <w:spacing w:val="-6"/>
          <w:sz w:val="21"/>
          <w:szCs w:val="21"/>
          <w:highlight w:val="none"/>
          <w14:textFill>
            <w14:solidFill>
              <w14:schemeClr w14:val="tx1"/>
            </w14:solidFill>
          </w14:textFill>
        </w:rPr>
      </w:pPr>
      <w:r>
        <w:rPr>
          <w:rFonts w:hint="eastAsia" w:ascii="宋体" w:hAnsi="宋体" w:cs="宋体"/>
          <w:b w:val="0"/>
          <w:bCs/>
          <w:color w:val="000000" w:themeColor="text1"/>
          <w:spacing w:val="-6"/>
          <w:sz w:val="21"/>
          <w:szCs w:val="21"/>
          <w:highlight w:val="none"/>
          <w:lang w:val="en-US" w:eastAsia="zh-CN"/>
          <w14:textFill>
            <w14:solidFill>
              <w14:schemeClr w14:val="tx1"/>
            </w14:solidFill>
          </w14:textFill>
        </w:rPr>
        <w:t>暂估合同</w:t>
      </w:r>
      <w:r>
        <w:rPr>
          <w:rFonts w:hint="eastAsia" w:ascii="宋体" w:hAnsi="宋体" w:eastAsia="宋体" w:cs="宋体"/>
          <w:b w:val="0"/>
          <w:bCs/>
          <w:color w:val="000000" w:themeColor="text1"/>
          <w:spacing w:val="-6"/>
          <w:sz w:val="21"/>
          <w:szCs w:val="21"/>
          <w:highlight w:val="none"/>
          <w:lang w:val="en-US"/>
          <w14:textFill>
            <w14:solidFill>
              <w14:schemeClr w14:val="tx1"/>
            </w14:solidFill>
          </w14:textFill>
        </w:rPr>
        <w:t>总价</w:t>
      </w:r>
      <w:r>
        <w:rPr>
          <w:rFonts w:hint="eastAsia" w:ascii="宋体" w:hAnsi="宋体" w:cs="宋体"/>
          <w:b w:val="0"/>
          <w:bCs/>
          <w:color w:val="000000" w:themeColor="text1"/>
          <w:spacing w:val="-6"/>
          <w:sz w:val="21"/>
          <w:szCs w:val="21"/>
          <w:highlight w:val="none"/>
          <w:lang w:val="en-US" w:eastAsia="zh-CN"/>
          <w14:textFill>
            <w14:solidFill>
              <w14:schemeClr w14:val="tx1"/>
            </w14:solidFill>
          </w14:textFill>
        </w:rPr>
        <w:t>为</w:t>
      </w:r>
      <w:r>
        <w:rPr>
          <w:rFonts w:hint="eastAsia" w:ascii="宋体" w:hAnsi="宋体" w:eastAsia="宋体" w:cs="宋体"/>
          <w:b w:val="0"/>
          <w:bCs/>
          <w:color w:val="000000" w:themeColor="text1"/>
          <w:spacing w:val="-6"/>
          <w:sz w:val="21"/>
          <w:szCs w:val="21"/>
          <w:highlight w:val="none"/>
          <w:u w:val="single"/>
          <w:lang w:val="en-US" w:eastAsia="zh-CN"/>
          <w14:textFill>
            <w14:solidFill>
              <w14:schemeClr w14:val="tx1"/>
            </w14:solidFill>
          </w14:textFill>
        </w:rPr>
        <w:t xml:space="preserve">   </w:t>
      </w:r>
      <w:r>
        <w:rPr>
          <w:rFonts w:hint="eastAsia" w:ascii="宋体" w:hAnsi="宋体" w:cs="宋体"/>
          <w:b w:val="0"/>
          <w:bCs/>
          <w:color w:val="000000" w:themeColor="text1"/>
          <w:spacing w:val="-6"/>
          <w:sz w:val="21"/>
          <w:szCs w:val="21"/>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pacing w:val="-6"/>
          <w:sz w:val="21"/>
          <w:szCs w:val="21"/>
          <w:highlight w:val="none"/>
          <w:u w:val="single"/>
          <w:lang w:val="en-US" w:eastAsia="zh-CN"/>
          <w14:textFill>
            <w14:solidFill>
              <w14:schemeClr w14:val="tx1"/>
            </w14:solidFill>
          </w14:textFill>
        </w:rPr>
        <w:t xml:space="preserve">  </w:t>
      </w:r>
      <w:r>
        <w:rPr>
          <w:rFonts w:hint="eastAsia" w:ascii="宋体" w:hAnsi="宋体" w:eastAsia="宋体" w:cs="宋体"/>
          <w:b w:val="0"/>
          <w:bCs/>
          <w:color w:val="000000" w:themeColor="text1"/>
          <w:spacing w:val="-6"/>
          <w:sz w:val="21"/>
          <w:szCs w:val="21"/>
          <w:highlight w:val="none"/>
          <w:lang w:val="en-US"/>
          <w14:textFill>
            <w14:solidFill>
              <w14:schemeClr w14:val="tx1"/>
            </w14:solidFill>
          </w14:textFill>
        </w:rPr>
        <w:t>万元</w:t>
      </w:r>
      <w:r>
        <w:rPr>
          <w:rFonts w:hint="eastAsia" w:ascii="宋体" w:hAnsi="宋体" w:cs="宋体"/>
          <w:bCs/>
          <w:color w:val="000000" w:themeColor="text1"/>
          <w:spacing w:val="-6"/>
          <w:sz w:val="21"/>
          <w:szCs w:val="21"/>
          <w:highlight w:val="none"/>
          <w:lang w:eastAsia="zh-CN"/>
          <w14:textFill>
            <w14:solidFill>
              <w14:schemeClr w14:val="tx1"/>
            </w14:solidFill>
          </w14:textFill>
        </w:rPr>
        <w:t>，</w:t>
      </w:r>
      <w:r>
        <w:rPr>
          <w:rFonts w:hint="eastAsia" w:ascii="宋体" w:hAnsi="宋体" w:eastAsia="宋体" w:cs="宋体"/>
          <w:b w:val="0"/>
          <w:bCs/>
          <w:color w:val="000000" w:themeColor="text1"/>
          <w:spacing w:val="-6"/>
          <w:sz w:val="21"/>
          <w:szCs w:val="21"/>
          <w:highlight w:val="none"/>
          <w:lang w:val="en-US"/>
          <w14:textFill>
            <w14:solidFill>
              <w14:schemeClr w14:val="tx1"/>
            </w14:solidFill>
          </w14:textFill>
        </w:rPr>
        <w:t>第1年暂按日处理污水量10000吨预计，第二年及第三年暂按日处理污水量15000吨预计。（如遇</w:t>
      </w:r>
      <w:r>
        <w:rPr>
          <w:rFonts w:hint="eastAsia" w:ascii="宋体" w:hAnsi="宋体" w:cs="宋体"/>
          <w:b/>
          <w:bCs w:val="0"/>
          <w:color w:val="000000" w:themeColor="text1"/>
          <w:spacing w:val="-6"/>
          <w:sz w:val="21"/>
          <w:szCs w:val="21"/>
          <w:highlight w:val="none"/>
          <w:lang w:val="en-US" w:eastAsia="zh-CN"/>
          <w14:textFill>
            <w14:solidFill>
              <w14:schemeClr w14:val="tx1"/>
            </w14:solidFill>
          </w14:textFill>
        </w:rPr>
        <w:t>月</w:t>
      </w:r>
      <w:r>
        <w:rPr>
          <w:rFonts w:hint="eastAsia" w:ascii="宋体" w:hAnsi="宋体" w:eastAsia="宋体" w:cs="宋体"/>
          <w:b/>
          <w:bCs w:val="0"/>
          <w:color w:val="000000" w:themeColor="text1"/>
          <w:spacing w:val="-6"/>
          <w:sz w:val="21"/>
          <w:szCs w:val="21"/>
          <w:highlight w:val="none"/>
          <w:lang w:val="en-US"/>
          <w14:textFill>
            <w14:solidFill>
              <w14:schemeClr w14:val="tx1"/>
            </w14:solidFill>
          </w14:textFill>
        </w:rPr>
        <w:t>度</w:t>
      </w:r>
      <w:r>
        <w:rPr>
          <w:rFonts w:hint="eastAsia" w:ascii="宋体" w:hAnsi="宋体" w:eastAsia="宋体" w:cs="宋体"/>
          <w:b w:val="0"/>
          <w:bCs/>
          <w:color w:val="000000" w:themeColor="text1"/>
          <w:spacing w:val="-6"/>
          <w:sz w:val="21"/>
          <w:szCs w:val="21"/>
          <w:highlight w:val="none"/>
          <w:lang w:val="en-US"/>
          <w14:textFill>
            <w14:solidFill>
              <w14:schemeClr w14:val="tx1"/>
            </w14:solidFill>
          </w14:textFill>
        </w:rPr>
        <w:t>实际污水处理量折算至每日低于3000吨的，以每日3000吨计算保底水量）。</w:t>
      </w:r>
    </w:p>
    <w:p>
      <w:pPr>
        <w:pStyle w:val="239"/>
        <w:keepNext w:val="0"/>
        <w:keepLines w:val="0"/>
        <w:pageBreakBefore w:val="0"/>
        <w:widowControl w:val="0"/>
        <w:tabs>
          <w:tab w:val="left" w:pos="945"/>
        </w:tabs>
        <w:kinsoku/>
        <w:wordWrap/>
        <w:overflowPunct/>
        <w:topLinePunct w:val="0"/>
        <w:bidi w:val="0"/>
        <w:snapToGrid/>
        <w:spacing w:line="420" w:lineRule="exact"/>
        <w:ind w:firstLine="480"/>
        <w:textAlignment w:val="auto"/>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①日处理污水量 3000吨（含）-</w:t>
      </w:r>
      <w:r>
        <w:rPr>
          <w:rFonts w:hint="eastAsia" w:ascii="宋体" w:hAnsi="宋体" w:cs="宋体"/>
          <w:bCs/>
          <w:color w:val="000000" w:themeColor="text1"/>
          <w:sz w:val="21"/>
          <w:szCs w:val="21"/>
          <w:highlight w:val="none"/>
          <w:lang w:val="en-US" w:eastAsia="zh-CN"/>
          <w14:textFill>
            <w14:solidFill>
              <w14:schemeClr w14:val="tx1"/>
            </w14:solidFill>
          </w14:textFill>
        </w:rPr>
        <w:t>5</w:t>
      </w:r>
      <w:r>
        <w:rPr>
          <w:rFonts w:hint="eastAsia" w:ascii="宋体" w:hAnsi="宋体" w:cs="宋体"/>
          <w:bCs/>
          <w:color w:val="000000" w:themeColor="text1"/>
          <w:sz w:val="21"/>
          <w:szCs w:val="21"/>
          <w:highlight w:val="none"/>
          <w14:textFill>
            <w14:solidFill>
              <w14:schemeClr w14:val="tx1"/>
            </w14:solidFill>
          </w14:textFill>
        </w:rPr>
        <w:t>000吨（含），全费用综合单价</w:t>
      </w:r>
      <w:r>
        <w:rPr>
          <w:rFonts w:hint="eastAsia" w:ascii="宋体" w:hAnsi="宋体" w:cs="宋体"/>
          <w:bCs/>
          <w:color w:val="000000" w:themeColor="text1"/>
          <w:sz w:val="21"/>
          <w:szCs w:val="21"/>
          <w:highlight w:val="none"/>
          <w:u w:val="single"/>
          <w14:textFill>
            <w14:solidFill>
              <w14:schemeClr w14:val="tx1"/>
            </w14:solidFill>
          </w14:textFill>
        </w:rPr>
        <w:t xml:space="preserve">     </w:t>
      </w:r>
      <w:r>
        <w:rPr>
          <w:rFonts w:hint="eastAsia" w:ascii="宋体" w:hAnsi="宋体" w:cs="宋体"/>
          <w:bCs/>
          <w:color w:val="000000" w:themeColor="text1"/>
          <w:sz w:val="21"/>
          <w:szCs w:val="21"/>
          <w:highlight w:val="none"/>
          <w14:textFill>
            <w14:solidFill>
              <w14:schemeClr w14:val="tx1"/>
            </w14:solidFill>
          </w14:textFill>
        </w:rPr>
        <w:t>元/立方米；</w:t>
      </w:r>
    </w:p>
    <w:p>
      <w:pPr>
        <w:pStyle w:val="239"/>
        <w:keepNext w:val="0"/>
        <w:keepLines w:val="0"/>
        <w:pageBreakBefore w:val="0"/>
        <w:widowControl w:val="0"/>
        <w:tabs>
          <w:tab w:val="left" w:pos="945"/>
        </w:tabs>
        <w:kinsoku/>
        <w:wordWrap/>
        <w:overflowPunct/>
        <w:topLinePunct w:val="0"/>
        <w:bidi w:val="0"/>
        <w:snapToGrid/>
        <w:spacing w:line="420" w:lineRule="exact"/>
        <w:ind w:firstLine="480"/>
        <w:textAlignment w:val="auto"/>
        <w:rPr>
          <w:rFonts w:ascii="宋体" w:hAnsi="宋体" w:cs="宋体"/>
          <w:bCs/>
          <w:color w:val="000000" w:themeColor="text1"/>
          <w:sz w:val="21"/>
          <w:szCs w:val="21"/>
          <w:highlight w:val="none"/>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 xml:space="preserve">②日处理污水量 </w:t>
      </w:r>
      <w:r>
        <w:rPr>
          <w:rFonts w:hint="eastAsia" w:ascii="宋体" w:hAnsi="宋体" w:cs="宋体"/>
          <w:bCs/>
          <w:color w:val="000000" w:themeColor="text1"/>
          <w:sz w:val="21"/>
          <w:szCs w:val="21"/>
          <w:highlight w:val="none"/>
          <w:lang w:val="en-US" w:eastAsia="zh-CN"/>
          <w14:textFill>
            <w14:solidFill>
              <w14:schemeClr w14:val="tx1"/>
            </w14:solidFill>
          </w14:textFill>
        </w:rPr>
        <w:t>5</w:t>
      </w:r>
      <w:r>
        <w:rPr>
          <w:rFonts w:hint="eastAsia" w:ascii="宋体" w:hAnsi="宋体" w:cs="宋体"/>
          <w:bCs/>
          <w:color w:val="000000" w:themeColor="text1"/>
          <w:sz w:val="21"/>
          <w:szCs w:val="21"/>
          <w:highlight w:val="none"/>
          <w14:textFill>
            <w14:solidFill>
              <w14:schemeClr w14:val="tx1"/>
            </w14:solidFill>
          </w14:textFill>
        </w:rPr>
        <w:t>000吨（</w:t>
      </w:r>
      <w:r>
        <w:rPr>
          <w:rFonts w:hint="eastAsia" w:ascii="宋体" w:hAnsi="宋体" w:cs="宋体"/>
          <w:bCs/>
          <w:color w:val="000000" w:themeColor="text1"/>
          <w:sz w:val="21"/>
          <w:szCs w:val="21"/>
          <w:highlight w:val="none"/>
          <w:lang w:val="en-US" w:eastAsia="zh-CN"/>
          <w14:textFill>
            <w14:solidFill>
              <w14:schemeClr w14:val="tx1"/>
            </w14:solidFill>
          </w14:textFill>
        </w:rPr>
        <w:t>不</w:t>
      </w:r>
      <w:r>
        <w:rPr>
          <w:rFonts w:hint="eastAsia" w:ascii="宋体" w:hAnsi="宋体" w:cs="宋体"/>
          <w:bCs/>
          <w:color w:val="000000" w:themeColor="text1"/>
          <w:sz w:val="21"/>
          <w:szCs w:val="21"/>
          <w:highlight w:val="none"/>
          <w14:textFill>
            <w14:solidFill>
              <w14:schemeClr w14:val="tx1"/>
            </w14:solidFill>
          </w14:textFill>
        </w:rPr>
        <w:t>含）-</w:t>
      </w:r>
      <w:r>
        <w:rPr>
          <w:rFonts w:hint="eastAsia" w:ascii="宋体" w:hAnsi="宋体" w:cs="宋体"/>
          <w:bCs/>
          <w:color w:val="000000" w:themeColor="text1"/>
          <w:sz w:val="21"/>
          <w:szCs w:val="21"/>
          <w:highlight w:val="none"/>
          <w:lang w:val="en-US" w:eastAsia="zh-CN"/>
          <w14:textFill>
            <w14:solidFill>
              <w14:schemeClr w14:val="tx1"/>
            </w14:solidFill>
          </w14:textFill>
        </w:rPr>
        <w:t>10</w:t>
      </w:r>
      <w:r>
        <w:rPr>
          <w:rFonts w:hint="eastAsia" w:ascii="宋体" w:hAnsi="宋体" w:cs="宋体"/>
          <w:bCs/>
          <w:color w:val="000000" w:themeColor="text1"/>
          <w:sz w:val="21"/>
          <w:szCs w:val="21"/>
          <w:highlight w:val="none"/>
          <w14:textFill>
            <w14:solidFill>
              <w14:schemeClr w14:val="tx1"/>
            </w14:solidFill>
          </w14:textFill>
        </w:rPr>
        <w:t>000吨（含），全费用综合单价</w:t>
      </w:r>
      <w:r>
        <w:rPr>
          <w:rFonts w:hint="eastAsia" w:ascii="宋体" w:hAnsi="宋体" w:cs="宋体"/>
          <w:bCs/>
          <w:color w:val="000000" w:themeColor="text1"/>
          <w:sz w:val="21"/>
          <w:szCs w:val="21"/>
          <w:highlight w:val="none"/>
          <w:u w:val="single"/>
          <w14:textFill>
            <w14:solidFill>
              <w14:schemeClr w14:val="tx1"/>
            </w14:solidFill>
          </w14:textFill>
        </w:rPr>
        <w:t xml:space="preserve">     </w:t>
      </w:r>
      <w:r>
        <w:rPr>
          <w:rFonts w:hint="eastAsia" w:ascii="宋体" w:hAnsi="宋体" w:cs="宋体"/>
          <w:bCs/>
          <w:color w:val="000000" w:themeColor="text1"/>
          <w:sz w:val="21"/>
          <w:szCs w:val="21"/>
          <w:highlight w:val="none"/>
          <w14:textFill>
            <w14:solidFill>
              <w14:schemeClr w14:val="tx1"/>
            </w14:solidFill>
          </w14:textFill>
        </w:rPr>
        <w:t>元/立方米；</w:t>
      </w:r>
    </w:p>
    <w:p>
      <w:pPr>
        <w:pStyle w:val="239"/>
        <w:keepNext w:val="0"/>
        <w:keepLines w:val="0"/>
        <w:pageBreakBefore w:val="0"/>
        <w:widowControl w:val="0"/>
        <w:tabs>
          <w:tab w:val="left" w:pos="945"/>
        </w:tabs>
        <w:kinsoku/>
        <w:wordWrap/>
        <w:overflowPunct/>
        <w:topLinePunct w:val="0"/>
        <w:bidi w:val="0"/>
        <w:snapToGrid/>
        <w:spacing w:line="420" w:lineRule="exact"/>
        <w:ind w:firstLine="480"/>
        <w:textAlignment w:val="auto"/>
        <w:rPr>
          <w:rFonts w:hint="eastAsia" w:ascii="宋体" w:hAnsi="宋体" w:cs="宋体"/>
          <w:bCs/>
          <w:color w:val="000000" w:themeColor="text1"/>
          <w:sz w:val="21"/>
          <w:szCs w:val="21"/>
          <w:highlight w:val="none"/>
          <w:lang w:eastAsia="zh-CN"/>
          <w14:textFill>
            <w14:solidFill>
              <w14:schemeClr w14:val="tx1"/>
            </w14:solidFill>
          </w14:textFill>
        </w:rPr>
      </w:pPr>
      <w:r>
        <w:rPr>
          <w:rFonts w:hint="eastAsia" w:ascii="宋体" w:hAnsi="宋体" w:cs="宋体"/>
          <w:bCs/>
          <w:color w:val="000000" w:themeColor="text1"/>
          <w:sz w:val="21"/>
          <w:szCs w:val="21"/>
          <w:highlight w:val="none"/>
          <w14:textFill>
            <w14:solidFill>
              <w14:schemeClr w14:val="tx1"/>
            </w14:solidFill>
          </w14:textFill>
        </w:rPr>
        <w:t>③日处理污水量</w:t>
      </w:r>
      <w:r>
        <w:rPr>
          <w:rFonts w:hint="eastAsia" w:ascii="宋体" w:hAnsi="宋体" w:cs="宋体"/>
          <w:bCs/>
          <w:color w:val="000000" w:themeColor="text1"/>
          <w:sz w:val="21"/>
          <w:szCs w:val="21"/>
          <w:highlight w:val="none"/>
          <w:lang w:val="en-US" w:eastAsia="zh-CN"/>
          <w14:textFill>
            <w14:solidFill>
              <w14:schemeClr w14:val="tx1"/>
            </w14:solidFill>
          </w14:textFill>
        </w:rPr>
        <w:t>10</w:t>
      </w:r>
      <w:r>
        <w:rPr>
          <w:rFonts w:hint="eastAsia" w:ascii="宋体" w:hAnsi="宋体" w:cs="宋体"/>
          <w:bCs/>
          <w:color w:val="000000" w:themeColor="text1"/>
          <w:sz w:val="21"/>
          <w:szCs w:val="21"/>
          <w:highlight w:val="none"/>
          <w14:textFill>
            <w14:solidFill>
              <w14:schemeClr w14:val="tx1"/>
            </w14:solidFill>
          </w14:textFill>
        </w:rPr>
        <w:t>000吨（</w:t>
      </w:r>
      <w:r>
        <w:rPr>
          <w:rFonts w:hint="eastAsia" w:ascii="宋体" w:hAnsi="宋体" w:cs="宋体"/>
          <w:bCs/>
          <w:color w:val="000000" w:themeColor="text1"/>
          <w:sz w:val="21"/>
          <w:szCs w:val="21"/>
          <w:highlight w:val="none"/>
          <w:lang w:val="en-US" w:eastAsia="zh-CN"/>
          <w14:textFill>
            <w14:solidFill>
              <w14:schemeClr w14:val="tx1"/>
            </w14:solidFill>
          </w14:textFill>
        </w:rPr>
        <w:t>不</w:t>
      </w:r>
      <w:r>
        <w:rPr>
          <w:rFonts w:hint="eastAsia" w:ascii="宋体" w:hAnsi="宋体" w:cs="宋体"/>
          <w:bCs/>
          <w:color w:val="000000" w:themeColor="text1"/>
          <w:sz w:val="21"/>
          <w:szCs w:val="21"/>
          <w:highlight w:val="none"/>
          <w14:textFill>
            <w14:solidFill>
              <w14:schemeClr w14:val="tx1"/>
            </w14:solidFill>
          </w14:textFill>
        </w:rPr>
        <w:t>含）-1</w:t>
      </w:r>
      <w:r>
        <w:rPr>
          <w:rFonts w:hint="eastAsia" w:ascii="宋体" w:hAnsi="宋体" w:cs="宋体"/>
          <w:bCs/>
          <w:color w:val="000000" w:themeColor="text1"/>
          <w:sz w:val="21"/>
          <w:szCs w:val="21"/>
          <w:highlight w:val="none"/>
          <w:lang w:val="en-US" w:eastAsia="zh-CN"/>
          <w14:textFill>
            <w14:solidFill>
              <w14:schemeClr w14:val="tx1"/>
            </w14:solidFill>
          </w14:textFill>
        </w:rPr>
        <w:t>5</w:t>
      </w:r>
      <w:r>
        <w:rPr>
          <w:rFonts w:hint="eastAsia" w:ascii="宋体" w:hAnsi="宋体" w:cs="宋体"/>
          <w:bCs/>
          <w:color w:val="000000" w:themeColor="text1"/>
          <w:sz w:val="21"/>
          <w:szCs w:val="21"/>
          <w:highlight w:val="none"/>
          <w14:textFill>
            <w14:solidFill>
              <w14:schemeClr w14:val="tx1"/>
            </w14:solidFill>
          </w14:textFill>
        </w:rPr>
        <w:t>000吨（含），全费用综合单价</w:t>
      </w:r>
      <w:r>
        <w:rPr>
          <w:rFonts w:hint="eastAsia" w:ascii="宋体" w:hAnsi="宋体" w:cs="宋体"/>
          <w:bCs/>
          <w:color w:val="000000" w:themeColor="text1"/>
          <w:sz w:val="21"/>
          <w:szCs w:val="21"/>
          <w:highlight w:val="none"/>
          <w:u w:val="single"/>
          <w14:textFill>
            <w14:solidFill>
              <w14:schemeClr w14:val="tx1"/>
            </w14:solidFill>
          </w14:textFill>
        </w:rPr>
        <w:t xml:space="preserve">     </w:t>
      </w:r>
      <w:r>
        <w:rPr>
          <w:rFonts w:hint="eastAsia" w:ascii="宋体" w:hAnsi="宋体" w:cs="宋体"/>
          <w:bCs/>
          <w:color w:val="000000" w:themeColor="text1"/>
          <w:sz w:val="21"/>
          <w:szCs w:val="21"/>
          <w:highlight w:val="none"/>
          <w14:textFill>
            <w14:solidFill>
              <w14:schemeClr w14:val="tx1"/>
            </w14:solidFill>
          </w14:textFill>
        </w:rPr>
        <w:t>元/立方米</w:t>
      </w:r>
      <w:r>
        <w:rPr>
          <w:rFonts w:hint="eastAsia" w:ascii="宋体" w:hAnsi="宋体" w:cs="宋体"/>
          <w:bCs/>
          <w:color w:val="000000" w:themeColor="text1"/>
          <w:sz w:val="21"/>
          <w:szCs w:val="21"/>
          <w:highlight w:val="none"/>
          <w:lang w:eastAsia="zh-CN"/>
          <w14:textFill>
            <w14:solidFill>
              <w14:schemeClr w14:val="tx1"/>
            </w14:solidFill>
          </w14:textFill>
        </w:rPr>
        <w:t>。</w:t>
      </w:r>
    </w:p>
    <w:p>
      <w:pPr>
        <w:pStyle w:val="239"/>
        <w:keepNext w:val="0"/>
        <w:keepLines w:val="0"/>
        <w:pageBreakBefore w:val="0"/>
        <w:numPr>
          <w:ilvl w:val="0"/>
          <w:numId w:val="0"/>
        </w:numPr>
        <w:tabs>
          <w:tab w:val="left" w:pos="945"/>
        </w:tabs>
        <w:kinsoku/>
        <w:wordWrap/>
        <w:overflowPunct/>
        <w:topLinePunct w:val="0"/>
        <w:bidi w:val="0"/>
        <w:snapToGrid/>
        <w:spacing w:line="420" w:lineRule="exact"/>
        <w:ind w:left="-640" w:right="-1144" w:rightChars="-400" w:firstLine="1080" w:firstLineChars="500"/>
        <w:textAlignment w:val="auto"/>
        <w:rPr>
          <w:rFonts w:hint="default" w:ascii="宋体" w:hAnsi="宋体" w:eastAsia="宋体" w:cs="宋体"/>
          <w:bCs/>
          <w:color w:val="000000" w:themeColor="text1"/>
          <w:spacing w:val="0"/>
          <w:sz w:val="21"/>
          <w:szCs w:val="21"/>
          <w:highlight w:val="none"/>
          <w:lang w:val="en-US" w:eastAsia="zh-CN"/>
          <w14:textFill>
            <w14:solidFill>
              <w14:schemeClr w14:val="tx1"/>
            </w14:solidFill>
          </w14:textFill>
        </w:rPr>
      </w:pPr>
      <w:r>
        <w:rPr>
          <w:rFonts w:hint="eastAsia" w:ascii="宋体" w:hAnsi="宋体" w:cs="宋体"/>
          <w:bCs/>
          <w:color w:val="000000" w:themeColor="text1"/>
          <w:spacing w:val="0"/>
          <w:sz w:val="21"/>
          <w:szCs w:val="21"/>
          <w:highlight w:val="none"/>
          <w:lang w:val="en-US" w:eastAsia="zh-CN"/>
          <w14:textFill>
            <w14:solidFill>
              <w14:schemeClr w14:val="tx1"/>
            </w14:solidFill>
          </w14:textFill>
        </w:rPr>
        <w:t>计算方式：</w:t>
      </w:r>
      <w:r>
        <w:rPr>
          <w:rFonts w:hint="eastAsia" w:ascii="宋体" w:hAnsi="宋体" w:cs="宋体"/>
          <w:bCs/>
          <w:color w:val="000000" w:themeColor="text1"/>
          <w:spacing w:val="0"/>
          <w:sz w:val="21"/>
          <w:szCs w:val="21"/>
          <w:highlight w:val="none"/>
          <w:u w:val="single"/>
          <w:lang w:val="en-US" w:eastAsia="zh-CN"/>
          <w14:textFill>
            <w14:solidFill>
              <w14:schemeClr w14:val="tx1"/>
            </w14:solidFill>
          </w14:textFill>
        </w:rPr>
        <w:t xml:space="preserve">    </w:t>
      </w:r>
      <w:r>
        <w:rPr>
          <w:rFonts w:hint="eastAsia" w:ascii="宋体" w:hAnsi="宋体" w:cs="宋体"/>
          <w:bCs/>
          <w:color w:val="000000" w:themeColor="text1"/>
          <w:spacing w:val="0"/>
          <w:sz w:val="21"/>
          <w:szCs w:val="21"/>
          <w:highlight w:val="none"/>
          <w:lang w:val="en-US" w:eastAsia="zh-CN"/>
          <w14:textFill>
            <w14:solidFill>
              <w14:schemeClr w14:val="tx1"/>
            </w14:solidFill>
          </w14:textFill>
        </w:rPr>
        <w:t>*10000*365+</w:t>
      </w:r>
      <w:r>
        <w:rPr>
          <w:rFonts w:hint="eastAsia" w:ascii="宋体" w:hAnsi="宋体" w:cs="宋体"/>
          <w:bCs/>
          <w:color w:val="000000" w:themeColor="text1"/>
          <w:spacing w:val="0"/>
          <w:sz w:val="21"/>
          <w:szCs w:val="21"/>
          <w:highlight w:val="none"/>
          <w:u w:val="single"/>
          <w:lang w:val="en-US" w:eastAsia="zh-CN"/>
          <w14:textFill>
            <w14:solidFill>
              <w14:schemeClr w14:val="tx1"/>
            </w14:solidFill>
          </w14:textFill>
        </w:rPr>
        <w:t xml:space="preserve">    </w:t>
      </w:r>
      <w:r>
        <w:rPr>
          <w:rFonts w:hint="eastAsia" w:ascii="宋体" w:hAnsi="宋体" w:cs="宋体"/>
          <w:bCs/>
          <w:color w:val="000000" w:themeColor="text1"/>
          <w:spacing w:val="0"/>
          <w:sz w:val="21"/>
          <w:szCs w:val="21"/>
          <w:highlight w:val="none"/>
          <w:lang w:val="en-US" w:eastAsia="zh-CN"/>
          <w14:textFill>
            <w14:solidFill>
              <w14:schemeClr w14:val="tx1"/>
            </w14:solidFill>
          </w14:textFill>
        </w:rPr>
        <w:t>*15000*365*2=</w:t>
      </w:r>
      <w:r>
        <w:rPr>
          <w:rFonts w:hint="eastAsia" w:ascii="宋体" w:hAnsi="宋体" w:cs="宋体"/>
          <w:bCs/>
          <w:color w:val="000000" w:themeColor="text1"/>
          <w:spacing w:val="0"/>
          <w:sz w:val="21"/>
          <w:szCs w:val="21"/>
          <w:highlight w:val="none"/>
          <w:u w:val="single"/>
          <w:lang w:val="en-US" w:eastAsia="zh-CN"/>
          <w14:textFill>
            <w14:solidFill>
              <w14:schemeClr w14:val="tx1"/>
            </w14:solidFill>
          </w14:textFill>
        </w:rPr>
        <w:t xml:space="preserve">        </w:t>
      </w:r>
      <w:r>
        <w:rPr>
          <w:rFonts w:hint="eastAsia" w:ascii="宋体" w:hAnsi="宋体" w:cs="宋体"/>
          <w:bCs/>
          <w:color w:val="000000" w:themeColor="text1"/>
          <w:spacing w:val="0"/>
          <w:sz w:val="21"/>
          <w:szCs w:val="21"/>
          <w:highlight w:val="none"/>
          <w:lang w:val="en-US" w:eastAsia="zh-CN"/>
          <w14:textFill>
            <w14:solidFill>
              <w14:schemeClr w14:val="tx1"/>
            </w14:solidFill>
          </w14:textFill>
        </w:rPr>
        <w:t>元。（以上费用均为含税价）</w:t>
      </w:r>
    </w:p>
    <w:p>
      <w:pPr>
        <w:pStyle w:val="19"/>
        <w:keepNext w:val="0"/>
        <w:keepLines w:val="0"/>
        <w:pageBreakBefore w:val="0"/>
        <w:kinsoku/>
        <w:wordWrap/>
        <w:overflowPunct/>
        <w:topLinePunct w:val="0"/>
        <w:bidi w:val="0"/>
        <w:snapToGrid/>
        <w:spacing w:line="420" w:lineRule="exact"/>
        <w:ind w:firstLine="432" w:firstLineChars="200"/>
        <w:textAlignment w:val="auto"/>
        <w:rPr>
          <w:rFonts w:hint="eastAsia" w:ascii="宋体" w:hAnsi="宋体" w:eastAsia="宋体" w:cs="宋体"/>
          <w:b/>
          <w:bCs w:val="0"/>
          <w:color w:val="000000" w:themeColor="text1"/>
          <w:sz w:val="21"/>
          <w:szCs w:val="21"/>
          <w:highlight w:val="none"/>
          <w:lang w:val="en-US" w:eastAsia="zh-CN" w:bidi="ar-SA"/>
          <w14:textFill>
            <w14:solidFill>
              <w14:schemeClr w14:val="tx1"/>
            </w14:solidFill>
          </w14:textFill>
        </w:rPr>
      </w:pPr>
      <w:r>
        <w:rPr>
          <w:rFonts w:hint="eastAsia" w:ascii="宋体" w:hAnsi="宋体" w:eastAsia="宋体" w:cs="宋体"/>
          <w:b/>
          <w:bCs w:val="0"/>
          <w:color w:val="000000" w:themeColor="text1"/>
          <w:sz w:val="21"/>
          <w:szCs w:val="21"/>
          <w:highlight w:val="none"/>
          <w:lang w:val="en-US" w:eastAsia="zh-CN" w:bidi="ar-SA"/>
          <w14:textFill>
            <w14:solidFill>
              <w14:schemeClr w14:val="tx1"/>
            </w14:solidFill>
          </w14:textFill>
        </w:rPr>
        <w:t>付款方式：</w:t>
      </w:r>
    </w:p>
    <w:p>
      <w:pPr>
        <w:pStyle w:val="19"/>
        <w:keepNext w:val="0"/>
        <w:keepLines w:val="0"/>
        <w:pageBreakBefore w:val="0"/>
        <w:numPr>
          <w:ilvl w:val="0"/>
          <w:numId w:val="0"/>
        </w:numPr>
        <w:kinsoku/>
        <w:wordWrap/>
        <w:overflowPunct/>
        <w:topLinePunct w:val="0"/>
        <w:bidi w:val="0"/>
        <w:snapToGrid/>
        <w:spacing w:line="420" w:lineRule="exact"/>
        <w:ind w:firstLine="408" w:firstLineChars="200"/>
        <w:textAlignment w:val="auto"/>
        <w:rPr>
          <w:rFonts w:hint="eastAsia" w:ascii="宋体" w:hAnsi="宋体" w:eastAsia="宋体" w:cs="宋体"/>
          <w:b w:val="0"/>
          <w:bCs w:val="0"/>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pacing w:val="-6"/>
          <w:sz w:val="21"/>
          <w:szCs w:val="21"/>
          <w:highlight w:val="none"/>
          <w:lang w:val="en-US" w:eastAsia="zh-CN"/>
          <w14:textFill>
            <w14:solidFill>
              <w14:schemeClr w14:val="tx1"/>
            </w14:solidFill>
          </w14:textFill>
        </w:rPr>
        <w:t>1.本项目服务费每半年付一次</w:t>
      </w: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，最终结算</w:t>
      </w:r>
      <w:r>
        <w:rPr>
          <w:rFonts w:hint="eastAsia" w:ascii="宋体" w:hAnsi="宋体" w:eastAsia="宋体" w:cs="宋体"/>
          <w:b w:val="0"/>
          <w:bCs w:val="0"/>
          <w:color w:val="000000" w:themeColor="text1"/>
          <w:spacing w:val="-6"/>
          <w:sz w:val="21"/>
          <w:szCs w:val="21"/>
          <w:highlight w:val="none"/>
          <w:lang w:val="en-US"/>
          <w14:textFill>
            <w14:solidFill>
              <w14:schemeClr w14:val="tx1"/>
            </w14:solidFill>
          </w14:textFill>
        </w:rPr>
        <w:t>按每月日处理污水量对应单价计价，</w:t>
      </w: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每年前6个月的费用于第7个月月底前根据考核情况予以支付；后6个月的</w:t>
      </w:r>
      <w:r>
        <w:rPr>
          <w:rFonts w:hint="eastAsia" w:ascii="宋体" w:hAnsi="宋体" w:eastAsia="宋体" w:cs="宋体"/>
          <w:b w:val="0"/>
          <w:bCs w:val="0"/>
          <w:color w:val="000000" w:themeColor="text1"/>
          <w:spacing w:val="-6"/>
          <w:sz w:val="21"/>
          <w:szCs w:val="21"/>
          <w:highlight w:val="none"/>
          <w:lang w:val="en-US"/>
          <w14:textFill>
            <w14:solidFill>
              <w14:schemeClr w14:val="tx1"/>
            </w14:solidFill>
          </w14:textFill>
        </w:rPr>
        <w:t>费用</w:t>
      </w: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于次年第一个月月底前</w:t>
      </w:r>
      <w:r>
        <w:rPr>
          <w:rFonts w:hint="eastAsia" w:ascii="宋体" w:hAnsi="宋体" w:eastAsia="宋体" w:cs="宋体"/>
          <w:b w:val="0"/>
          <w:bCs w:val="0"/>
          <w:color w:val="000000" w:themeColor="text1"/>
          <w:spacing w:val="-6"/>
          <w:sz w:val="21"/>
          <w:szCs w:val="21"/>
          <w:highlight w:val="none"/>
          <w:lang w:val="en-US"/>
          <w14:textFill>
            <w14:solidFill>
              <w14:schemeClr w14:val="tx1"/>
            </w14:solidFill>
          </w14:textFill>
        </w:rPr>
        <w:t>根据</w:t>
      </w: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考核情况予以支付。</w:t>
      </w:r>
    </w:p>
    <w:p>
      <w:pPr>
        <w:pStyle w:val="19"/>
        <w:keepNext w:val="0"/>
        <w:keepLines w:val="0"/>
        <w:pageBreakBefore w:val="0"/>
        <w:kinsoku/>
        <w:wordWrap/>
        <w:overflowPunct/>
        <w:topLinePunct w:val="0"/>
        <w:bidi w:val="0"/>
        <w:snapToGrid/>
        <w:spacing w:line="420" w:lineRule="exact"/>
        <w:ind w:firstLine="408" w:firstLineChars="200"/>
        <w:textAlignment w:val="auto"/>
        <w:rPr>
          <w:rFonts w:hint="default" w:ascii="宋体" w:hAnsi="宋体" w:eastAsia="宋体" w:cs="宋体"/>
          <w:b/>
          <w:bCs/>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2.甲方根据考核结果对服务费用进行拨付。季度考核总分在达标分90分（含）以上的，全额拨付当期服务费用；季度考核总分在达标分90分（不含）以下的，则扣除相应的服务费用；服务费用核拨将根据季度考核结果进行，考核优秀的全额拨付服务费用，其余酌情进行核减，</w:t>
      </w:r>
      <w:r>
        <w:rPr>
          <w:rFonts w:hint="eastAsia" w:ascii="宋体" w:hAnsi="宋体" w:eastAsia="宋体" w:cs="宋体"/>
          <w:b/>
          <w:bCs/>
          <w:color w:val="000000" w:themeColor="text1"/>
          <w:spacing w:val="-6"/>
          <w:sz w:val="21"/>
          <w:szCs w:val="21"/>
          <w:highlight w:val="none"/>
          <w:lang w:val="en-US" w:eastAsia="zh-CN"/>
          <w14:textFill>
            <w14:solidFill>
              <w14:schemeClr w14:val="tx1"/>
            </w14:solidFill>
          </w14:textFill>
        </w:rPr>
        <w:t>具体核减标准如下：</w:t>
      </w:r>
    </w:p>
    <w:p>
      <w:pPr>
        <w:pStyle w:val="19"/>
        <w:keepNext w:val="0"/>
        <w:keepLines w:val="0"/>
        <w:pageBreakBefore w:val="0"/>
        <w:kinsoku/>
        <w:wordWrap/>
        <w:overflowPunct/>
        <w:topLinePunct w:val="0"/>
        <w:bidi w:val="0"/>
        <w:snapToGrid/>
        <w:spacing w:line="420" w:lineRule="exact"/>
        <w:ind w:firstLine="408" w:firstLineChars="200"/>
        <w:textAlignment w:val="auto"/>
        <w:rPr>
          <w:rFonts w:hint="default" w:ascii="宋体" w:hAnsi="宋体" w:eastAsia="宋体" w:cs="宋体"/>
          <w:b w:val="0"/>
          <w:bCs w:val="0"/>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（1）得分在85分（含）-90分（不含）的，扣减2.5%，支付当期97.5%的服务费用；得分在80分（含）-85分（不含）的，扣减5%，支付当期95%服务费用。</w:t>
      </w:r>
    </w:p>
    <w:p>
      <w:pPr>
        <w:pStyle w:val="19"/>
        <w:keepNext w:val="0"/>
        <w:keepLines w:val="0"/>
        <w:pageBreakBefore w:val="0"/>
        <w:kinsoku/>
        <w:wordWrap/>
        <w:overflowPunct/>
        <w:topLinePunct w:val="0"/>
        <w:bidi w:val="0"/>
        <w:snapToGrid/>
        <w:spacing w:line="420" w:lineRule="exact"/>
        <w:ind w:firstLine="408" w:firstLineChars="200"/>
        <w:textAlignment w:val="auto"/>
        <w:rPr>
          <w:rFonts w:hint="default" w:ascii="宋体" w:hAnsi="宋体" w:eastAsia="宋体" w:cs="宋体"/>
          <w:b w:val="0"/>
          <w:bCs w:val="0"/>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（2）得分在75分（含）-80分（不含）的，扣减7.5%，支付当期92.5%的服务费用；得分在70分（含）-75分（不含）的，扣减10%，支付当期90%服务费用。</w:t>
      </w:r>
    </w:p>
    <w:p>
      <w:pPr>
        <w:pStyle w:val="19"/>
        <w:keepNext w:val="0"/>
        <w:keepLines w:val="0"/>
        <w:pageBreakBefore w:val="0"/>
        <w:kinsoku/>
        <w:wordWrap/>
        <w:overflowPunct/>
        <w:topLinePunct w:val="0"/>
        <w:bidi w:val="0"/>
        <w:snapToGrid/>
        <w:spacing w:line="420" w:lineRule="exact"/>
        <w:ind w:firstLine="408" w:firstLineChars="200"/>
        <w:textAlignment w:val="auto"/>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（3）得分在70分（不含）以下的，扣减20%，支付当期80%服务费用。</w:t>
      </w:r>
    </w:p>
    <w:p>
      <w:pPr>
        <w:pStyle w:val="19"/>
        <w:keepNext w:val="0"/>
        <w:keepLines w:val="0"/>
        <w:pageBreakBefore w:val="0"/>
        <w:widowControl w:val="0"/>
        <w:kinsoku/>
        <w:wordWrap/>
        <w:overflowPunct/>
        <w:topLinePunct w:val="0"/>
        <w:bidi w:val="0"/>
        <w:snapToGrid/>
        <w:spacing w:line="420" w:lineRule="exact"/>
        <w:ind w:firstLine="408" w:firstLineChars="200"/>
        <w:textAlignment w:val="auto"/>
        <w:rPr>
          <w:rFonts w:hint="eastAsia" w:ascii="宋体" w:hAnsi="宋体" w:eastAsia="宋体" w:cs="宋体"/>
          <w:color w:val="000000" w:themeColor="text1"/>
          <w:spacing w:val="0"/>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（4）如当季考核</w:t>
      </w:r>
      <w:r>
        <w:rPr>
          <w:rFonts w:hint="eastAsia" w:ascii="宋体" w:hAnsi="宋体" w:eastAsia="宋体" w:cs="宋体"/>
          <w:b w:val="0"/>
          <w:bCs w:val="0"/>
          <w:color w:val="000000" w:themeColor="text1"/>
          <w:spacing w:val="0"/>
          <w:sz w:val="21"/>
          <w:szCs w:val="21"/>
          <w:highlight w:val="none"/>
          <w:lang w:val="en-US" w:eastAsia="zh-CN"/>
          <w14:textFill>
            <w14:solidFill>
              <w14:schemeClr w14:val="tx1"/>
            </w14:solidFill>
          </w14:textFill>
        </w:rPr>
        <w:t>扣分有在“高铁新城再生水厂运营管理服务项目考核实施细则”中第一项污水处理质量</w:t>
      </w:r>
      <w:r>
        <w:rPr>
          <w:rFonts w:hint="eastAsia" w:ascii="宋体" w:hAnsi="宋体" w:eastAsia="宋体" w:cs="宋体"/>
          <w:b/>
          <w:bCs/>
          <w:color w:val="000000" w:themeColor="text1"/>
          <w:spacing w:val="0"/>
          <w:sz w:val="21"/>
          <w:szCs w:val="21"/>
          <w:highlight w:val="none"/>
          <w:lang w:val="en-US" w:eastAsia="zh-CN"/>
          <w14:textFill>
            <w14:solidFill>
              <w14:schemeClr w14:val="tx1"/>
            </w14:solidFill>
          </w14:textFill>
        </w:rPr>
        <w:t>（30分）</w:t>
      </w:r>
      <w:r>
        <w:rPr>
          <w:rFonts w:hint="eastAsia" w:ascii="宋体" w:hAnsi="宋体" w:eastAsia="宋体" w:cs="宋体"/>
          <w:b w:val="0"/>
          <w:bCs w:val="0"/>
          <w:color w:val="000000" w:themeColor="text1"/>
          <w:spacing w:val="0"/>
          <w:sz w:val="21"/>
          <w:szCs w:val="21"/>
          <w:highlight w:val="none"/>
          <w:lang w:val="en-US" w:eastAsia="zh-CN"/>
          <w14:textFill>
            <w14:solidFill>
              <w14:schemeClr w14:val="tx1"/>
            </w14:solidFill>
          </w14:textFill>
        </w:rPr>
        <w:t>中产生的，</w:t>
      </w:r>
      <w:r>
        <w:rPr>
          <w:rFonts w:hint="eastAsia" w:ascii="宋体" w:hAnsi="宋体" w:eastAsia="宋体" w:cs="宋体"/>
          <w:b/>
          <w:bCs/>
          <w:color w:val="000000" w:themeColor="text1"/>
          <w:spacing w:val="0"/>
          <w:sz w:val="21"/>
          <w:szCs w:val="21"/>
          <w:highlight w:val="none"/>
          <w:lang w:val="en-US" w:eastAsia="zh-CN"/>
          <w14:textFill>
            <w14:solidFill>
              <w14:schemeClr w14:val="tx1"/>
            </w14:solidFill>
          </w14:textFill>
        </w:rPr>
        <w:t>则在原考核核减标准基础上，每扣一分再扣减当季服务费用的0.5%。（增加扣减费用计算基数为当期该季度对应每月此项扣分总数，即如该项扣分总数为3分的，则增加扣减当季服务费用3分*0.5%/分=1.5%）</w:t>
      </w:r>
    </w:p>
    <w:p>
      <w:pPr>
        <w:pStyle w:val="19"/>
        <w:keepNext w:val="0"/>
        <w:keepLines w:val="0"/>
        <w:pageBreakBefore w:val="0"/>
        <w:widowControl w:val="0"/>
        <w:kinsoku/>
        <w:wordWrap/>
        <w:overflowPunct/>
        <w:topLinePunct w:val="0"/>
        <w:bidi w:val="0"/>
        <w:snapToGrid/>
        <w:spacing w:line="420" w:lineRule="exact"/>
        <w:ind w:firstLine="408" w:firstLineChars="200"/>
        <w:textAlignment w:val="auto"/>
        <w:rPr>
          <w:rFonts w:hint="default" w:ascii="宋体" w:hAnsi="宋体" w:eastAsia="宋体" w:cs="宋体"/>
          <w:b/>
          <w:bCs/>
          <w:color w:val="000000" w:themeColor="text1"/>
          <w:spacing w:val="-6"/>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pacing w:val="-6"/>
          <w:sz w:val="21"/>
          <w:szCs w:val="21"/>
          <w:highlight w:val="none"/>
          <w:lang w:val="en-US" w:eastAsia="zh-CN"/>
          <w14:textFill>
            <w14:solidFill>
              <w14:schemeClr w14:val="tx1"/>
            </w14:solidFill>
          </w14:textFill>
        </w:rPr>
        <w:t xml:space="preserve"> 例：如当季考核得分87分[当季考核对应第一个月考核得分88分；第二个月考核得分87分；第三个月考核得86分，即当季考核得分为（88+87+86）/3=87分]。其中当季考核对应的第一个月考核扣分中未涉及在“污水处理质量”中产生扣分；第二个月有在“污水处理质量”中产生扣分3分；第三个月有在“污水处理质量”中产生扣分5分；则当季支付的服务费用应为97.5%-当季对应每月此项扣分总数（0+3+5）*0.5%=93.5%的服务费用；如当季考核得分87分，对应每月扣分中均未涉及“污水处理质量”中产生扣分的，则支付当期97.5%的服务费用。</w:t>
      </w:r>
    </w:p>
    <w:p>
      <w:pPr>
        <w:keepNext w:val="0"/>
        <w:keepLines w:val="0"/>
        <w:pageBreakBefore w:val="0"/>
        <w:widowControl w:val="0"/>
        <w:kinsoku/>
        <w:wordWrap/>
        <w:overflowPunct/>
        <w:topLinePunct w:val="0"/>
        <w:autoSpaceDE/>
        <w:autoSpaceDN/>
        <w:bidi w:val="0"/>
        <w:adjustRightInd/>
        <w:snapToGrid/>
        <w:spacing w:line="420" w:lineRule="exact"/>
        <w:ind w:firstLine="408" w:firstLineChars="200"/>
        <w:textAlignment w:val="auto"/>
        <w:rPr>
          <w:rFonts w:hint="default"/>
          <w:color w:val="000000" w:themeColor="text1"/>
          <w:sz w:val="21"/>
          <w:szCs w:val="21"/>
          <w:highlight w:val="none"/>
          <w:lang w:val="en-US" w:eastAsia="zh-CN"/>
          <w14:textFill>
            <w14:solidFill>
              <w14:schemeClr w14:val="tx1"/>
            </w14:solidFill>
          </w14:textFill>
        </w:rPr>
      </w:pPr>
      <w:r>
        <w:rPr>
          <w:rFonts w:hint="eastAsia" w:ascii="宋体" w:hAnsi="宋体" w:eastAsia="宋体" w:cs="宋体"/>
          <w:b w:val="0"/>
          <w:bCs w:val="0"/>
          <w:color w:val="000000" w:themeColor="text1"/>
          <w:spacing w:val="-6"/>
          <w:sz w:val="21"/>
          <w:szCs w:val="21"/>
          <w:highlight w:val="none"/>
          <w:lang w:val="en-US" w:eastAsia="zh-CN"/>
          <w14:textFill>
            <w14:solidFill>
              <w14:schemeClr w14:val="tx1"/>
            </w14:solidFill>
          </w14:textFill>
        </w:rPr>
        <w:t>3.费用计算方式：以每月污水处理量为基数，计算单月日平均污水处理量，在套用中标单价，计算出每月支付费用。三个月费用相加得到季度费用，在结合相应季度考核分，得出最终季度计算费用。</w:t>
      </w:r>
    </w:p>
    <w:p>
      <w:pPr>
        <w:pStyle w:val="19"/>
        <w:keepNext w:val="0"/>
        <w:keepLines w:val="0"/>
        <w:pageBreakBefore w:val="0"/>
        <w:kinsoku/>
        <w:wordWrap/>
        <w:overflowPunct/>
        <w:topLinePunct w:val="0"/>
        <w:bidi w:val="0"/>
        <w:snapToGrid/>
        <w:spacing w:line="420" w:lineRule="exact"/>
        <w:ind w:firstLine="432" w:firstLineChars="200"/>
        <w:textAlignment w:val="auto"/>
        <w:rPr>
          <w:rFonts w:ascii="宋体" w:hAnsi="宋体" w:eastAsia="宋体" w:cs="宋体"/>
          <w:b/>
          <w:bCs/>
          <w:color w:val="000000" w:themeColor="text1"/>
          <w:spacing w:val="0"/>
          <w:sz w:val="21"/>
          <w:szCs w:val="21"/>
          <w:highlight w:val="none"/>
          <w:lang w:val="en-US"/>
          <w14:textFill>
            <w14:solidFill>
              <w14:schemeClr w14:val="tx1"/>
            </w14:solidFill>
          </w14:textFill>
        </w:rPr>
      </w:pPr>
      <w:r>
        <w:rPr>
          <w:rFonts w:hint="eastAsia" w:ascii="宋体" w:hAnsi="宋体" w:eastAsia="宋体" w:cs="宋体"/>
          <w:b/>
          <w:bCs/>
          <w:color w:val="000000" w:themeColor="text1"/>
          <w:spacing w:val="0"/>
          <w:sz w:val="21"/>
          <w:szCs w:val="21"/>
          <w:highlight w:val="none"/>
          <w:lang w:val="en-US"/>
          <w14:textFill>
            <w14:solidFill>
              <w14:schemeClr w14:val="tx1"/>
            </w14:solidFill>
          </w14:textFill>
        </w:rPr>
        <w:t>结算时需按业主要求递交结算申请资料及对应金额的发票。最后一笔运维费须等确认所有设备完好、无偿移交、资料完整移交后支付。</w:t>
      </w:r>
    </w:p>
    <w:p>
      <w:pPr>
        <w:pStyle w:val="239"/>
        <w:spacing w:before="194" w:beforeLines="50"/>
        <w:ind w:firstLine="567"/>
        <w:rPr>
          <w:rFonts w:ascii="宋体" w:hAnsi="宋体"/>
          <w:b/>
          <w:sz w:val="20"/>
          <w:szCs w:val="20"/>
        </w:rPr>
      </w:pPr>
      <w:r>
        <w:rPr>
          <w:rFonts w:hint="eastAsia" w:ascii="宋体" w:hAnsi="宋体"/>
          <w:b/>
          <w:sz w:val="20"/>
          <w:szCs w:val="20"/>
          <w:lang w:val="en-US" w:eastAsia="zh-CN"/>
        </w:rPr>
        <w:t>4</w:t>
      </w:r>
      <w:r>
        <w:rPr>
          <w:rFonts w:hint="eastAsia" w:ascii="宋体" w:hAnsi="宋体"/>
          <w:b/>
          <w:sz w:val="20"/>
          <w:szCs w:val="20"/>
          <w:lang w:eastAsia="zh-CN"/>
        </w:rPr>
        <w:t>.</w:t>
      </w:r>
      <w:r>
        <w:rPr>
          <w:rFonts w:hint="eastAsia" w:ascii="宋体" w:hAnsi="宋体"/>
          <w:b/>
          <w:sz w:val="20"/>
          <w:szCs w:val="20"/>
        </w:rPr>
        <w:t xml:space="preserve"> 不可抗力事件造成的</w:t>
      </w:r>
      <w:r>
        <w:rPr>
          <w:rFonts w:hint="eastAsia" w:ascii="宋体" w:hAnsi="宋体"/>
          <w:b/>
          <w:sz w:val="20"/>
          <w:szCs w:val="20"/>
          <w:u w:val="single"/>
        </w:rPr>
        <w:t>停产期间保底运营服务费</w:t>
      </w:r>
    </w:p>
    <w:p>
      <w:pPr>
        <w:pStyle w:val="239"/>
        <w:tabs>
          <w:tab w:val="left" w:pos="720"/>
        </w:tabs>
        <w:spacing w:before="194" w:beforeLines="50"/>
        <w:ind w:firstLine="567"/>
        <w:rPr>
          <w:rFonts w:ascii="宋体" w:hAnsi="宋体"/>
          <w:bCs/>
          <w:sz w:val="20"/>
          <w:szCs w:val="20"/>
        </w:rPr>
      </w:pPr>
      <w:r>
        <w:rPr>
          <w:rFonts w:hint="eastAsia" w:ascii="宋体" w:hAnsi="宋体"/>
          <w:bCs/>
          <w:sz w:val="20"/>
          <w:szCs w:val="20"/>
        </w:rPr>
        <w:t>在运营期内且协议执行尚未终止时，如发生运营服务协议约定的不可抗力事件</w:t>
      </w:r>
      <w:r>
        <w:rPr>
          <w:rFonts w:hint="eastAsia" w:ascii="宋体" w:hAnsi="宋体"/>
          <w:bCs/>
          <w:sz w:val="20"/>
          <w:szCs w:val="20"/>
          <w:u w:val="single"/>
        </w:rPr>
        <w:t>（污水进水质量不符合规定标准或控制范围的情形除外</w:t>
      </w:r>
      <w:r>
        <w:rPr>
          <w:rFonts w:hint="eastAsia" w:ascii="宋体" w:hAnsi="宋体"/>
          <w:bCs/>
          <w:sz w:val="20"/>
          <w:szCs w:val="20"/>
        </w:rPr>
        <w:t>），造成污水处理设施完全停产的严重停产运营期间，此期间应付的保底运营服务费</w:t>
      </w:r>
      <w:r>
        <w:rPr>
          <w:rFonts w:hint="eastAsia" w:ascii="宋体" w:hAnsi="宋体"/>
          <w:bCs/>
          <w:sz w:val="20"/>
          <w:szCs w:val="20"/>
          <w:lang w:val="fr-FR"/>
        </w:rPr>
        <w:t>，</w:t>
      </w:r>
      <w:r>
        <w:rPr>
          <w:rFonts w:hint="eastAsia" w:ascii="宋体" w:hAnsi="宋体"/>
          <w:bCs/>
          <w:sz w:val="20"/>
          <w:szCs w:val="20"/>
        </w:rPr>
        <w:t xml:space="preserve">即 ： </w:t>
      </w:r>
    </w:p>
    <w:p>
      <w:pPr>
        <w:pStyle w:val="239"/>
        <w:spacing w:before="194" w:beforeLines="50"/>
        <w:ind w:firstLine="567"/>
        <w:rPr>
          <w:rFonts w:ascii="宋体" w:hAnsi="宋体"/>
          <w:bCs/>
          <w:i/>
          <w:color w:val="000000" w:themeColor="text1"/>
          <w:sz w:val="20"/>
          <w:szCs w:val="20"/>
          <w:highlight w:val="none"/>
          <w14:textFill>
            <w14:solidFill>
              <w14:schemeClr w14:val="tx1"/>
            </w14:solidFill>
          </w14:textFill>
        </w:rPr>
      </w:pPr>
      <w:r>
        <w:rPr>
          <w:rFonts w:hint="eastAsia" w:ascii="宋体" w:hAnsi="宋体"/>
          <w:b/>
          <w:bCs/>
          <w:sz w:val="20"/>
          <w:szCs w:val="20"/>
        </w:rPr>
        <w:t>日设计处理量40%×</w:t>
      </w:r>
      <w:r>
        <w:rPr>
          <w:rFonts w:hint="eastAsia" w:ascii="宋体" w:hAnsi="宋体"/>
          <w:b/>
          <w:bCs/>
          <w:color w:val="000000" w:themeColor="text1"/>
          <w:sz w:val="20"/>
          <w:szCs w:val="20"/>
          <w:highlight w:val="none"/>
          <w14:textFill>
            <w14:solidFill>
              <w14:schemeClr w14:val="tx1"/>
            </w14:solidFill>
          </w14:textFill>
        </w:rPr>
        <w:t>对应档次项目设施运营服务费全费用综合单价（中标单价）×天数</w:t>
      </w:r>
    </w:p>
    <w:p>
      <w:pPr>
        <w:pStyle w:val="239"/>
        <w:tabs>
          <w:tab w:val="left" w:pos="720"/>
        </w:tabs>
        <w:spacing w:before="194" w:beforeLines="50"/>
        <w:ind w:firstLine="567"/>
        <w:rPr>
          <w:rFonts w:ascii="宋体" w:hAnsi="宋体"/>
          <w:b/>
          <w:color w:val="000000" w:themeColor="text1"/>
          <w:sz w:val="20"/>
          <w:szCs w:val="20"/>
          <w:highlight w:val="none"/>
          <w14:textFill>
            <w14:solidFill>
              <w14:schemeClr w14:val="tx1"/>
            </w14:solidFill>
          </w14:textFill>
        </w:rPr>
      </w:pPr>
      <w:r>
        <w:rPr>
          <w:rFonts w:hint="eastAsia" w:ascii="宋体" w:hAnsi="宋体"/>
          <w:b/>
          <w:color w:val="000000" w:themeColor="text1"/>
          <w:sz w:val="20"/>
          <w:szCs w:val="20"/>
          <w:highlight w:val="none"/>
          <w:lang w:val="en-US" w:eastAsia="zh-CN"/>
          <w14:textFill>
            <w14:solidFill>
              <w14:schemeClr w14:val="tx1"/>
            </w14:solidFill>
          </w14:textFill>
        </w:rPr>
        <w:t>5</w:t>
      </w:r>
      <w:r>
        <w:rPr>
          <w:rFonts w:hint="eastAsia" w:ascii="宋体" w:hAnsi="宋体"/>
          <w:b/>
          <w:color w:val="000000" w:themeColor="text1"/>
          <w:sz w:val="20"/>
          <w:szCs w:val="20"/>
          <w:highlight w:val="none"/>
          <w:lang w:eastAsia="zh-CN"/>
          <w14:textFill>
            <w14:solidFill>
              <w14:schemeClr w14:val="tx1"/>
            </w14:solidFill>
          </w14:textFill>
        </w:rPr>
        <w:t>.</w:t>
      </w:r>
      <w:r>
        <w:rPr>
          <w:rFonts w:hint="eastAsia" w:ascii="宋体" w:hAnsi="宋体"/>
          <w:b/>
          <w:color w:val="000000" w:themeColor="text1"/>
          <w:sz w:val="20"/>
          <w:szCs w:val="20"/>
          <w:highlight w:val="none"/>
          <w14:textFill>
            <w14:solidFill>
              <w14:schemeClr w14:val="tx1"/>
            </w14:solidFill>
          </w14:textFill>
        </w:rPr>
        <w:t>暂停服务期间应付的</w:t>
      </w:r>
      <w:r>
        <w:rPr>
          <w:rFonts w:hint="eastAsia" w:ascii="宋体" w:hAnsi="宋体"/>
          <w:b/>
          <w:color w:val="000000" w:themeColor="text1"/>
          <w:sz w:val="20"/>
          <w:szCs w:val="20"/>
          <w:highlight w:val="none"/>
          <w:u w:val="single"/>
          <w14:textFill>
            <w14:solidFill>
              <w14:schemeClr w14:val="tx1"/>
            </w14:solidFill>
          </w14:textFill>
        </w:rPr>
        <w:t>停产期间保底运营服务费</w:t>
      </w:r>
    </w:p>
    <w:p>
      <w:pPr>
        <w:pStyle w:val="239"/>
        <w:tabs>
          <w:tab w:val="left" w:pos="720"/>
        </w:tabs>
        <w:spacing w:before="194" w:beforeLines="50"/>
        <w:ind w:firstLine="567"/>
        <w:rPr>
          <w:rFonts w:ascii="宋体" w:hAnsi="宋体"/>
          <w:bCs/>
          <w:color w:val="000000" w:themeColor="text1"/>
          <w:sz w:val="20"/>
          <w:szCs w:val="20"/>
          <w:highlight w:val="none"/>
          <w14:textFill>
            <w14:solidFill>
              <w14:schemeClr w14:val="tx1"/>
            </w14:solidFill>
          </w14:textFill>
        </w:rPr>
      </w:pPr>
      <w:r>
        <w:rPr>
          <w:rFonts w:hint="eastAsia" w:ascii="宋体" w:hAnsi="宋体"/>
          <w:bCs/>
          <w:color w:val="000000" w:themeColor="text1"/>
          <w:sz w:val="20"/>
          <w:szCs w:val="20"/>
          <w:highlight w:val="none"/>
          <w14:textFill>
            <w14:solidFill>
              <w14:schemeClr w14:val="tx1"/>
            </w14:solidFill>
          </w14:textFill>
        </w:rPr>
        <w:t>⑴由于甲方原因发生的暂停</w:t>
      </w:r>
    </w:p>
    <w:p>
      <w:pPr>
        <w:pStyle w:val="239"/>
        <w:spacing w:before="194" w:beforeLines="50"/>
        <w:ind w:firstLine="567"/>
        <w:rPr>
          <w:rFonts w:ascii="宋体" w:hAnsi="宋体"/>
          <w:bCs/>
          <w:i/>
          <w:color w:val="000000" w:themeColor="text1"/>
          <w:sz w:val="20"/>
          <w:szCs w:val="20"/>
          <w:highlight w:val="none"/>
          <w14:textFill>
            <w14:solidFill>
              <w14:schemeClr w14:val="tx1"/>
            </w14:solidFill>
          </w14:textFill>
        </w:rPr>
      </w:pPr>
      <w:r>
        <w:rPr>
          <w:rFonts w:hint="eastAsia" w:ascii="宋体" w:hAnsi="宋体"/>
          <w:bCs/>
          <w:color w:val="000000" w:themeColor="text1"/>
          <w:sz w:val="20"/>
          <w:szCs w:val="20"/>
          <w:highlight w:val="none"/>
          <w14:textFill>
            <w14:solidFill>
              <w14:schemeClr w14:val="tx1"/>
            </w14:solidFill>
          </w14:textFill>
        </w:rPr>
        <w:t>对于由于甲方原因经主管机构批准、认可或要求的计划外特殊暂停服务且造成污水处理设施完全停产的运营期间，结算按</w:t>
      </w:r>
      <w:r>
        <w:rPr>
          <w:rFonts w:hint="eastAsia" w:ascii="宋体" w:hAnsi="宋体"/>
          <w:b/>
          <w:bCs/>
          <w:color w:val="000000" w:themeColor="text1"/>
          <w:sz w:val="20"/>
          <w:szCs w:val="20"/>
          <w:highlight w:val="none"/>
          <w14:textFill>
            <w14:solidFill>
              <w14:schemeClr w14:val="tx1"/>
            </w14:solidFill>
          </w14:textFill>
        </w:rPr>
        <w:t>日设计处理量40%×对应档次项目设施运营服务费全费用综合单价（中标单价）×天数。</w:t>
      </w:r>
    </w:p>
    <w:p>
      <w:pPr>
        <w:pStyle w:val="239"/>
        <w:tabs>
          <w:tab w:val="left" w:pos="720"/>
        </w:tabs>
        <w:spacing w:before="194" w:beforeLines="50"/>
        <w:ind w:firstLine="567"/>
        <w:rPr>
          <w:rFonts w:ascii="宋体" w:hAnsi="宋体"/>
          <w:bCs/>
          <w:color w:val="000000" w:themeColor="text1"/>
          <w:sz w:val="20"/>
          <w:szCs w:val="20"/>
          <w:highlight w:val="none"/>
          <w14:textFill>
            <w14:solidFill>
              <w14:schemeClr w14:val="tx1"/>
            </w14:solidFill>
          </w14:textFill>
        </w:rPr>
      </w:pPr>
      <w:r>
        <w:rPr>
          <w:rFonts w:hint="eastAsia" w:ascii="宋体" w:hAnsi="宋体"/>
          <w:bCs/>
          <w:color w:val="000000" w:themeColor="text1"/>
          <w:sz w:val="20"/>
          <w:szCs w:val="20"/>
          <w:highlight w:val="none"/>
          <w14:textFill>
            <w14:solidFill>
              <w14:schemeClr w14:val="tx1"/>
            </w14:solidFill>
          </w14:textFill>
        </w:rPr>
        <w:t>⑵ 未经甲方批准、认可或要求的其他计划外暂停，该暂停服务期间甲方将不承担支付运营服务费和保底运营服务费的义务，并有权追究乙方未能及时处理收集输送进厂污水的违约责任。</w:t>
      </w:r>
    </w:p>
    <w:p>
      <w:pPr>
        <w:pStyle w:val="239"/>
        <w:tabs>
          <w:tab w:val="left" w:pos="720"/>
        </w:tabs>
        <w:spacing w:before="194" w:beforeLines="50"/>
        <w:ind w:firstLine="567"/>
        <w:rPr>
          <w:rFonts w:ascii="宋体" w:hAnsi="宋体"/>
          <w:b/>
          <w:color w:val="000000" w:themeColor="text1"/>
          <w:sz w:val="20"/>
          <w:szCs w:val="20"/>
          <w:highlight w:val="none"/>
          <w14:textFill>
            <w14:solidFill>
              <w14:schemeClr w14:val="tx1"/>
            </w14:solidFill>
          </w14:textFill>
        </w:rPr>
      </w:pPr>
      <w:r>
        <w:rPr>
          <w:rFonts w:hint="eastAsia" w:ascii="宋体" w:hAnsi="宋体"/>
          <w:b/>
          <w:color w:val="000000" w:themeColor="text1"/>
          <w:sz w:val="20"/>
          <w:szCs w:val="20"/>
          <w:highlight w:val="none"/>
          <w:lang w:val="en-US" w:eastAsia="zh-CN"/>
          <w14:textFill>
            <w14:solidFill>
              <w14:schemeClr w14:val="tx1"/>
            </w14:solidFill>
          </w14:textFill>
        </w:rPr>
        <w:t>6</w:t>
      </w:r>
      <w:r>
        <w:rPr>
          <w:rFonts w:hint="eastAsia" w:ascii="宋体" w:hAnsi="宋体"/>
          <w:b/>
          <w:color w:val="000000" w:themeColor="text1"/>
          <w:sz w:val="20"/>
          <w:szCs w:val="20"/>
          <w:highlight w:val="none"/>
          <w:lang w:eastAsia="zh-CN"/>
          <w14:textFill>
            <w14:solidFill>
              <w14:schemeClr w14:val="tx1"/>
            </w14:solidFill>
          </w14:textFill>
        </w:rPr>
        <w:t>.</w:t>
      </w:r>
      <w:r>
        <w:rPr>
          <w:rFonts w:hint="eastAsia" w:ascii="宋体" w:hAnsi="宋体"/>
          <w:b/>
          <w:color w:val="000000" w:themeColor="text1"/>
          <w:sz w:val="20"/>
          <w:szCs w:val="20"/>
          <w:highlight w:val="none"/>
          <w14:textFill>
            <w14:solidFill>
              <w14:schemeClr w14:val="tx1"/>
            </w14:solidFill>
          </w14:textFill>
        </w:rPr>
        <w:t>停产补偿费用的计付方式</w:t>
      </w:r>
    </w:p>
    <w:p>
      <w:pPr>
        <w:pStyle w:val="239"/>
        <w:spacing w:before="194" w:beforeLines="50"/>
        <w:ind w:firstLine="567"/>
        <w:rPr>
          <w:rFonts w:ascii="宋体" w:hAnsi="宋体"/>
          <w:bCs/>
          <w:i/>
          <w:color w:val="000000" w:themeColor="text1"/>
          <w:sz w:val="20"/>
          <w:szCs w:val="20"/>
          <w14:textFill>
            <w14:solidFill>
              <w14:schemeClr w14:val="tx1"/>
            </w14:solidFill>
          </w14:textFill>
        </w:rPr>
      </w:pPr>
      <w:r>
        <w:rPr>
          <w:rFonts w:hint="eastAsia" w:ascii="宋体" w:hAnsi="宋体"/>
          <w:bCs/>
          <w:color w:val="000000" w:themeColor="text1"/>
          <w:sz w:val="20"/>
          <w:szCs w:val="20"/>
          <w:highlight w:val="none"/>
          <w14:textFill>
            <w14:solidFill>
              <w14:schemeClr w14:val="tx1"/>
            </w14:solidFill>
          </w14:textFill>
        </w:rPr>
        <w:t>在因不可抗力或暂停服务期间发生保底补偿费用结算按</w:t>
      </w:r>
      <w:r>
        <w:rPr>
          <w:rFonts w:hint="eastAsia" w:ascii="宋体" w:hAnsi="宋体"/>
          <w:b/>
          <w:bCs/>
          <w:color w:val="000000" w:themeColor="text1"/>
          <w:sz w:val="20"/>
          <w:szCs w:val="20"/>
          <w:highlight w:val="none"/>
          <w14:textFill>
            <w14:solidFill>
              <w14:schemeClr w14:val="tx1"/>
            </w14:solidFill>
          </w14:textFill>
        </w:rPr>
        <w:t>日设计处理量40%×对应档次</w:t>
      </w:r>
      <w:r>
        <w:rPr>
          <w:rFonts w:hint="eastAsia" w:ascii="宋体" w:hAnsi="宋体"/>
          <w:b/>
          <w:bCs/>
          <w:color w:val="000000" w:themeColor="text1"/>
          <w:sz w:val="20"/>
          <w:szCs w:val="20"/>
          <w14:textFill>
            <w14:solidFill>
              <w14:schemeClr w14:val="tx1"/>
            </w14:solidFill>
          </w14:textFill>
        </w:rPr>
        <w:t>项目设施运营服务费全费用综合单价（中标单价）×天数。</w:t>
      </w:r>
    </w:p>
    <w:p>
      <w:pPr>
        <w:pStyle w:val="239"/>
        <w:tabs>
          <w:tab w:val="left" w:pos="720"/>
        </w:tabs>
        <w:spacing w:before="194" w:beforeLines="50"/>
        <w:ind w:firstLine="567"/>
        <w:rPr>
          <w:rFonts w:ascii="宋体" w:hAnsi="宋体"/>
          <w:bCs/>
          <w:sz w:val="20"/>
          <w:szCs w:val="20"/>
        </w:rPr>
      </w:pPr>
      <w:r>
        <w:rPr>
          <w:rFonts w:hint="eastAsia" w:ascii="宋体" w:hAnsi="宋体"/>
          <w:bCs/>
          <w:sz w:val="20"/>
          <w:szCs w:val="20"/>
        </w:rPr>
        <w:t>乙方应依据各自实际发生完全停产服务天数，按上述约定方式计算后单独就每次发生金额及累计余额做好记录并及时报甲方审核确认，待下一次运营服务费支付时一并支付或累计至该周年一次结清。</w:t>
      </w:r>
    </w:p>
    <w:p>
      <w:pPr>
        <w:pStyle w:val="239"/>
        <w:tabs>
          <w:tab w:val="left" w:pos="720"/>
        </w:tabs>
        <w:spacing w:before="194" w:beforeLines="50"/>
        <w:ind w:firstLine="567"/>
        <w:rPr>
          <w:rFonts w:ascii="宋体" w:hAnsi="宋体"/>
          <w:b/>
          <w:color w:val="000000"/>
          <w:sz w:val="20"/>
          <w:szCs w:val="20"/>
        </w:rPr>
      </w:pPr>
      <w:r>
        <w:rPr>
          <w:rFonts w:hint="eastAsia" w:ascii="宋体" w:hAnsi="宋体"/>
          <w:b/>
          <w:color w:val="000000"/>
          <w:sz w:val="20"/>
          <w:szCs w:val="20"/>
          <w:lang w:val="en-US" w:eastAsia="zh-CN"/>
        </w:rPr>
        <w:t>7</w:t>
      </w:r>
      <w:r>
        <w:rPr>
          <w:rFonts w:hint="eastAsia" w:ascii="宋体" w:hAnsi="宋体"/>
          <w:b/>
          <w:color w:val="000000"/>
          <w:sz w:val="20"/>
          <w:szCs w:val="20"/>
          <w:lang w:eastAsia="zh-CN"/>
        </w:rPr>
        <w:t>.</w:t>
      </w:r>
      <w:r>
        <w:rPr>
          <w:rFonts w:hint="eastAsia" w:ascii="宋体" w:hAnsi="宋体"/>
          <w:b/>
          <w:color w:val="000000"/>
          <w:sz w:val="20"/>
          <w:szCs w:val="20"/>
        </w:rPr>
        <w:t>运营服务费全费用综合单价</w:t>
      </w:r>
    </w:p>
    <w:p>
      <w:pPr>
        <w:pStyle w:val="239"/>
        <w:tabs>
          <w:tab w:val="left" w:pos="720"/>
        </w:tabs>
        <w:spacing w:before="194" w:beforeLines="50"/>
        <w:ind w:firstLine="567"/>
        <w:rPr>
          <w:rFonts w:ascii="宋体" w:hAnsi="宋体"/>
          <w:bCs/>
          <w:color w:val="000000"/>
          <w:sz w:val="20"/>
          <w:szCs w:val="20"/>
        </w:rPr>
      </w:pPr>
      <w:r>
        <w:rPr>
          <w:rFonts w:hint="eastAsia" w:ascii="宋体" w:hAnsi="宋体"/>
          <w:bCs/>
          <w:color w:val="000000"/>
          <w:sz w:val="20"/>
          <w:szCs w:val="20"/>
          <w:lang w:eastAsia="zh-CN"/>
        </w:rPr>
        <w:t>（</w:t>
      </w:r>
      <w:r>
        <w:rPr>
          <w:rFonts w:hint="eastAsia" w:ascii="宋体" w:hAnsi="宋体"/>
          <w:bCs/>
          <w:color w:val="000000"/>
          <w:sz w:val="20"/>
          <w:szCs w:val="20"/>
          <w:lang w:val="en-US" w:eastAsia="zh-CN"/>
        </w:rPr>
        <w:t>1）</w:t>
      </w:r>
      <w:r>
        <w:rPr>
          <w:rFonts w:hint="eastAsia" w:ascii="宋体" w:hAnsi="宋体"/>
          <w:bCs/>
          <w:color w:val="000000"/>
          <w:sz w:val="20"/>
          <w:szCs w:val="20"/>
        </w:rPr>
        <w:t>项目运营服务费全费用综合单价为：</w:t>
      </w:r>
    </w:p>
    <w:p>
      <w:pPr>
        <w:pStyle w:val="239"/>
        <w:widowControl w:val="0"/>
        <w:numPr>
          <w:ilvl w:val="0"/>
          <w:numId w:val="19"/>
        </w:numPr>
        <w:tabs>
          <w:tab w:val="left" w:pos="945"/>
        </w:tabs>
        <w:spacing w:line="400" w:lineRule="exact"/>
        <w:ind w:left="644" w:leftChars="0" w:right="-1144" w:rightChars="-400" w:hanging="64" w:firstLineChars="0"/>
        <w:rPr>
          <w:rFonts w:ascii="宋体" w:hAnsi="宋体" w:cs="宋体"/>
          <w:b/>
          <w:bCs w:val="0"/>
          <w:color w:val="000000" w:themeColor="text1"/>
          <w:spacing w:val="-11"/>
          <w:sz w:val="21"/>
          <w:szCs w:val="21"/>
          <w:highlight w:val="none"/>
          <w14:textFill>
            <w14:solidFill>
              <w14:schemeClr w14:val="tx1"/>
            </w14:solidFill>
          </w14:textFill>
        </w:rPr>
      </w:pPr>
      <w:r>
        <w:rPr>
          <w:rFonts w:hint="eastAsia" w:ascii="宋体" w:hAnsi="宋体" w:cs="宋体"/>
          <w:b/>
          <w:bCs w:val="0"/>
          <w:color w:val="000000" w:themeColor="text1"/>
          <w:spacing w:val="-11"/>
          <w:sz w:val="21"/>
          <w:szCs w:val="21"/>
          <w:highlight w:val="none"/>
          <w14:textFill>
            <w14:solidFill>
              <w14:schemeClr w14:val="tx1"/>
            </w14:solidFill>
          </w14:textFill>
        </w:rPr>
        <w:t>日处理污水量 3000吨（含）-</w:t>
      </w:r>
      <w:r>
        <w:rPr>
          <w:rFonts w:ascii="宋体" w:hAnsi="宋体" w:cs="宋体"/>
          <w:b/>
          <w:bCs w:val="0"/>
          <w:color w:val="000000" w:themeColor="text1"/>
          <w:spacing w:val="-11"/>
          <w:sz w:val="21"/>
          <w:szCs w:val="21"/>
          <w:highlight w:val="none"/>
          <w14:textFill>
            <w14:solidFill>
              <w14:schemeClr w14:val="tx1"/>
            </w14:solidFill>
          </w14:textFill>
        </w:rPr>
        <w:t>5</w:t>
      </w:r>
      <w:r>
        <w:rPr>
          <w:rFonts w:hint="eastAsia" w:ascii="宋体" w:hAnsi="宋体" w:cs="宋体"/>
          <w:b/>
          <w:bCs w:val="0"/>
          <w:color w:val="000000" w:themeColor="text1"/>
          <w:spacing w:val="-11"/>
          <w:sz w:val="21"/>
          <w:szCs w:val="21"/>
          <w:highlight w:val="none"/>
          <w14:textFill>
            <w14:solidFill>
              <w14:schemeClr w14:val="tx1"/>
            </w14:solidFill>
          </w14:textFill>
        </w:rPr>
        <w:t>000吨（含），</w:t>
      </w:r>
      <w:r>
        <w:rPr>
          <w:rFonts w:hint="eastAsia" w:ascii="宋体" w:hAnsi="宋体" w:cs="宋体"/>
          <w:b/>
          <w:bCs w:val="0"/>
          <w:color w:val="000000" w:themeColor="text1"/>
          <w:sz w:val="21"/>
          <w:szCs w:val="21"/>
          <w:highlight w:val="none"/>
          <w14:textFill>
            <w14:solidFill>
              <w14:schemeClr w14:val="tx1"/>
            </w14:solidFill>
          </w14:textFill>
        </w:rPr>
        <w:t>全费用综合单价</w:t>
      </w:r>
      <w:r>
        <w:rPr>
          <w:rFonts w:hint="eastAsia" w:ascii="宋体" w:hAnsi="宋体" w:cs="宋体"/>
          <w:b/>
          <w:bCs w:val="0"/>
          <w:color w:val="000000" w:themeColor="text1"/>
          <w:sz w:val="21"/>
          <w:szCs w:val="21"/>
          <w:highlight w:val="none"/>
          <w:u w:val="single"/>
          <w14:textFill>
            <w14:solidFill>
              <w14:schemeClr w14:val="tx1"/>
            </w14:solidFill>
          </w14:textFill>
        </w:rPr>
        <w:t xml:space="preserve">     </w:t>
      </w:r>
      <w:r>
        <w:rPr>
          <w:rFonts w:hint="eastAsia" w:ascii="宋体" w:hAnsi="宋体" w:cs="宋体"/>
          <w:b/>
          <w:bCs w:val="0"/>
          <w:color w:val="000000" w:themeColor="text1"/>
          <w:sz w:val="21"/>
          <w:szCs w:val="21"/>
          <w:highlight w:val="none"/>
          <w14:textFill>
            <w14:solidFill>
              <w14:schemeClr w14:val="tx1"/>
            </w14:solidFill>
          </w14:textFill>
        </w:rPr>
        <w:t>元/立方米；</w:t>
      </w:r>
    </w:p>
    <w:p>
      <w:pPr>
        <w:pStyle w:val="239"/>
        <w:widowControl w:val="0"/>
        <w:numPr>
          <w:ilvl w:val="0"/>
          <w:numId w:val="19"/>
        </w:numPr>
        <w:tabs>
          <w:tab w:val="left" w:pos="945"/>
        </w:tabs>
        <w:spacing w:line="400" w:lineRule="exact"/>
        <w:ind w:left="644" w:leftChars="0" w:right="-1144" w:rightChars="-400" w:hanging="64" w:firstLineChars="0"/>
        <w:rPr>
          <w:rFonts w:ascii="宋体" w:hAnsi="宋体" w:cs="宋体"/>
          <w:b/>
          <w:bCs w:val="0"/>
          <w:color w:val="000000" w:themeColor="text1"/>
          <w:spacing w:val="-11"/>
          <w:sz w:val="21"/>
          <w:szCs w:val="21"/>
          <w:highlight w:val="none"/>
          <w14:textFill>
            <w14:solidFill>
              <w14:schemeClr w14:val="tx1"/>
            </w14:solidFill>
          </w14:textFill>
        </w:rPr>
      </w:pPr>
      <w:r>
        <w:rPr>
          <w:rFonts w:hint="eastAsia" w:ascii="宋体" w:hAnsi="宋体" w:cs="宋体"/>
          <w:b/>
          <w:bCs w:val="0"/>
          <w:color w:val="000000" w:themeColor="text1"/>
          <w:spacing w:val="-11"/>
          <w:sz w:val="21"/>
          <w:szCs w:val="21"/>
          <w:highlight w:val="none"/>
          <w14:textFill>
            <w14:solidFill>
              <w14:schemeClr w14:val="tx1"/>
            </w14:solidFill>
          </w14:textFill>
        </w:rPr>
        <w:t xml:space="preserve">日处理污水量 </w:t>
      </w:r>
      <w:r>
        <w:rPr>
          <w:rFonts w:ascii="宋体" w:hAnsi="宋体" w:cs="宋体"/>
          <w:b/>
          <w:bCs w:val="0"/>
          <w:color w:val="000000" w:themeColor="text1"/>
          <w:spacing w:val="-11"/>
          <w:sz w:val="21"/>
          <w:szCs w:val="21"/>
          <w:highlight w:val="none"/>
          <w14:textFill>
            <w14:solidFill>
              <w14:schemeClr w14:val="tx1"/>
            </w14:solidFill>
          </w14:textFill>
        </w:rPr>
        <w:t>5</w:t>
      </w:r>
      <w:r>
        <w:rPr>
          <w:rFonts w:hint="eastAsia" w:ascii="宋体" w:hAnsi="宋体" w:cs="宋体"/>
          <w:b/>
          <w:bCs w:val="0"/>
          <w:color w:val="000000" w:themeColor="text1"/>
          <w:spacing w:val="-11"/>
          <w:sz w:val="21"/>
          <w:szCs w:val="21"/>
          <w:highlight w:val="none"/>
          <w14:textFill>
            <w14:solidFill>
              <w14:schemeClr w14:val="tx1"/>
            </w14:solidFill>
          </w14:textFill>
        </w:rPr>
        <w:t>000吨（</w:t>
      </w:r>
      <w:r>
        <w:rPr>
          <w:rFonts w:hint="eastAsia" w:ascii="宋体" w:hAnsi="宋体" w:cs="宋体"/>
          <w:b/>
          <w:bCs w:val="0"/>
          <w:color w:val="000000" w:themeColor="text1"/>
          <w:spacing w:val="-11"/>
          <w:sz w:val="21"/>
          <w:szCs w:val="21"/>
          <w:highlight w:val="none"/>
          <w:lang w:val="en-US" w:eastAsia="zh-CN"/>
          <w14:textFill>
            <w14:solidFill>
              <w14:schemeClr w14:val="tx1"/>
            </w14:solidFill>
          </w14:textFill>
        </w:rPr>
        <w:t>不</w:t>
      </w:r>
      <w:r>
        <w:rPr>
          <w:rFonts w:hint="eastAsia" w:ascii="宋体" w:hAnsi="宋体" w:cs="宋体"/>
          <w:b/>
          <w:bCs w:val="0"/>
          <w:color w:val="000000" w:themeColor="text1"/>
          <w:spacing w:val="-11"/>
          <w:sz w:val="21"/>
          <w:szCs w:val="21"/>
          <w:highlight w:val="none"/>
          <w14:textFill>
            <w14:solidFill>
              <w14:schemeClr w14:val="tx1"/>
            </w14:solidFill>
          </w14:textFill>
        </w:rPr>
        <w:t>含）-</w:t>
      </w:r>
      <w:r>
        <w:rPr>
          <w:rFonts w:ascii="宋体" w:hAnsi="宋体" w:cs="宋体"/>
          <w:b/>
          <w:bCs w:val="0"/>
          <w:color w:val="000000" w:themeColor="text1"/>
          <w:spacing w:val="-11"/>
          <w:sz w:val="21"/>
          <w:szCs w:val="21"/>
          <w:highlight w:val="none"/>
          <w14:textFill>
            <w14:solidFill>
              <w14:schemeClr w14:val="tx1"/>
            </w14:solidFill>
          </w14:textFill>
        </w:rPr>
        <w:t>10</w:t>
      </w:r>
      <w:r>
        <w:rPr>
          <w:rFonts w:hint="eastAsia" w:ascii="宋体" w:hAnsi="宋体" w:cs="宋体"/>
          <w:b/>
          <w:bCs w:val="0"/>
          <w:color w:val="000000" w:themeColor="text1"/>
          <w:spacing w:val="-11"/>
          <w:sz w:val="21"/>
          <w:szCs w:val="21"/>
          <w:highlight w:val="none"/>
          <w14:textFill>
            <w14:solidFill>
              <w14:schemeClr w14:val="tx1"/>
            </w14:solidFill>
          </w14:textFill>
        </w:rPr>
        <w:t>000吨（含），</w:t>
      </w:r>
      <w:r>
        <w:rPr>
          <w:rFonts w:hint="eastAsia" w:ascii="宋体" w:hAnsi="宋体" w:cs="宋体"/>
          <w:b/>
          <w:bCs w:val="0"/>
          <w:color w:val="000000" w:themeColor="text1"/>
          <w:sz w:val="21"/>
          <w:szCs w:val="21"/>
          <w:highlight w:val="none"/>
          <w14:textFill>
            <w14:solidFill>
              <w14:schemeClr w14:val="tx1"/>
            </w14:solidFill>
          </w14:textFill>
        </w:rPr>
        <w:t>全费用综合单价</w:t>
      </w:r>
      <w:r>
        <w:rPr>
          <w:rFonts w:hint="eastAsia" w:ascii="宋体" w:hAnsi="宋体" w:cs="宋体"/>
          <w:b/>
          <w:bCs w:val="0"/>
          <w:color w:val="000000" w:themeColor="text1"/>
          <w:sz w:val="21"/>
          <w:szCs w:val="21"/>
          <w:highlight w:val="none"/>
          <w:u w:val="single"/>
          <w14:textFill>
            <w14:solidFill>
              <w14:schemeClr w14:val="tx1"/>
            </w14:solidFill>
          </w14:textFill>
        </w:rPr>
        <w:t xml:space="preserve">     </w:t>
      </w:r>
      <w:r>
        <w:rPr>
          <w:rFonts w:hint="eastAsia" w:ascii="宋体" w:hAnsi="宋体" w:cs="宋体"/>
          <w:b/>
          <w:bCs w:val="0"/>
          <w:color w:val="000000" w:themeColor="text1"/>
          <w:sz w:val="21"/>
          <w:szCs w:val="21"/>
          <w:highlight w:val="none"/>
          <w14:textFill>
            <w14:solidFill>
              <w14:schemeClr w14:val="tx1"/>
            </w14:solidFill>
          </w14:textFill>
        </w:rPr>
        <w:t>元/立方米；</w:t>
      </w:r>
    </w:p>
    <w:p>
      <w:pPr>
        <w:pStyle w:val="239"/>
        <w:widowControl w:val="0"/>
        <w:numPr>
          <w:ilvl w:val="0"/>
          <w:numId w:val="19"/>
        </w:numPr>
        <w:tabs>
          <w:tab w:val="left" w:pos="945"/>
        </w:tabs>
        <w:spacing w:line="400" w:lineRule="exact"/>
        <w:ind w:left="644" w:leftChars="0" w:right="-1144" w:rightChars="-400" w:hanging="64" w:firstLineChars="0"/>
        <w:rPr>
          <w:rFonts w:ascii="宋体" w:hAnsi="宋体" w:cs="宋体"/>
          <w:b/>
          <w:bCs w:val="0"/>
          <w:color w:val="000000" w:themeColor="text1"/>
          <w:spacing w:val="-11"/>
          <w:sz w:val="21"/>
          <w:szCs w:val="21"/>
          <w:highlight w:val="none"/>
          <w14:textFill>
            <w14:solidFill>
              <w14:schemeClr w14:val="tx1"/>
            </w14:solidFill>
          </w14:textFill>
        </w:rPr>
      </w:pPr>
      <w:r>
        <w:rPr>
          <w:rFonts w:hint="eastAsia" w:ascii="宋体" w:hAnsi="宋体" w:cs="宋体"/>
          <w:b/>
          <w:bCs w:val="0"/>
          <w:color w:val="000000" w:themeColor="text1"/>
          <w:spacing w:val="-11"/>
          <w:sz w:val="21"/>
          <w:szCs w:val="21"/>
          <w:highlight w:val="none"/>
          <w14:textFill>
            <w14:solidFill>
              <w14:schemeClr w14:val="tx1"/>
            </w14:solidFill>
          </w14:textFill>
        </w:rPr>
        <w:t xml:space="preserve">日处理污水量 </w:t>
      </w:r>
      <w:r>
        <w:rPr>
          <w:rFonts w:ascii="宋体" w:hAnsi="宋体" w:cs="宋体"/>
          <w:b/>
          <w:bCs w:val="0"/>
          <w:color w:val="000000" w:themeColor="text1"/>
          <w:spacing w:val="-11"/>
          <w:sz w:val="21"/>
          <w:szCs w:val="21"/>
          <w:highlight w:val="none"/>
          <w14:textFill>
            <w14:solidFill>
              <w14:schemeClr w14:val="tx1"/>
            </w14:solidFill>
          </w14:textFill>
        </w:rPr>
        <w:t>10</w:t>
      </w:r>
      <w:r>
        <w:rPr>
          <w:rFonts w:hint="eastAsia" w:ascii="宋体" w:hAnsi="宋体" w:cs="宋体"/>
          <w:b/>
          <w:bCs w:val="0"/>
          <w:color w:val="000000" w:themeColor="text1"/>
          <w:spacing w:val="-11"/>
          <w:sz w:val="21"/>
          <w:szCs w:val="21"/>
          <w:highlight w:val="none"/>
          <w14:textFill>
            <w14:solidFill>
              <w14:schemeClr w14:val="tx1"/>
            </w14:solidFill>
          </w14:textFill>
        </w:rPr>
        <w:t>000吨（</w:t>
      </w:r>
      <w:r>
        <w:rPr>
          <w:rFonts w:hint="eastAsia" w:ascii="宋体" w:hAnsi="宋体" w:cs="宋体"/>
          <w:b/>
          <w:bCs w:val="0"/>
          <w:color w:val="000000" w:themeColor="text1"/>
          <w:spacing w:val="-11"/>
          <w:sz w:val="21"/>
          <w:szCs w:val="21"/>
          <w:highlight w:val="none"/>
          <w:lang w:val="en-US" w:eastAsia="zh-CN"/>
          <w14:textFill>
            <w14:solidFill>
              <w14:schemeClr w14:val="tx1"/>
            </w14:solidFill>
          </w14:textFill>
        </w:rPr>
        <w:t>不</w:t>
      </w:r>
      <w:r>
        <w:rPr>
          <w:rFonts w:hint="eastAsia" w:ascii="宋体" w:hAnsi="宋体" w:cs="宋体"/>
          <w:b/>
          <w:bCs w:val="0"/>
          <w:color w:val="000000" w:themeColor="text1"/>
          <w:spacing w:val="-11"/>
          <w:sz w:val="21"/>
          <w:szCs w:val="21"/>
          <w:highlight w:val="none"/>
          <w14:textFill>
            <w14:solidFill>
              <w14:schemeClr w14:val="tx1"/>
            </w14:solidFill>
          </w14:textFill>
        </w:rPr>
        <w:t>含）-1</w:t>
      </w:r>
      <w:r>
        <w:rPr>
          <w:rFonts w:ascii="宋体" w:hAnsi="宋体" w:cs="宋体"/>
          <w:b/>
          <w:bCs w:val="0"/>
          <w:color w:val="000000" w:themeColor="text1"/>
          <w:spacing w:val="-11"/>
          <w:sz w:val="21"/>
          <w:szCs w:val="21"/>
          <w:highlight w:val="none"/>
          <w14:textFill>
            <w14:solidFill>
              <w14:schemeClr w14:val="tx1"/>
            </w14:solidFill>
          </w14:textFill>
        </w:rPr>
        <w:t>5</w:t>
      </w:r>
      <w:r>
        <w:rPr>
          <w:rFonts w:hint="eastAsia" w:ascii="宋体" w:hAnsi="宋体" w:cs="宋体"/>
          <w:b/>
          <w:bCs w:val="0"/>
          <w:color w:val="000000" w:themeColor="text1"/>
          <w:spacing w:val="-11"/>
          <w:sz w:val="21"/>
          <w:szCs w:val="21"/>
          <w:highlight w:val="none"/>
          <w14:textFill>
            <w14:solidFill>
              <w14:schemeClr w14:val="tx1"/>
            </w14:solidFill>
          </w14:textFill>
        </w:rPr>
        <w:t>000吨（含），</w:t>
      </w:r>
      <w:r>
        <w:rPr>
          <w:rFonts w:hint="eastAsia" w:ascii="宋体" w:hAnsi="宋体" w:cs="宋体"/>
          <w:b/>
          <w:bCs w:val="0"/>
          <w:color w:val="000000" w:themeColor="text1"/>
          <w:sz w:val="21"/>
          <w:szCs w:val="21"/>
          <w:highlight w:val="none"/>
          <w14:textFill>
            <w14:solidFill>
              <w14:schemeClr w14:val="tx1"/>
            </w14:solidFill>
          </w14:textFill>
        </w:rPr>
        <w:t>全费用综合单价</w:t>
      </w:r>
      <w:r>
        <w:rPr>
          <w:rFonts w:hint="eastAsia" w:ascii="宋体" w:hAnsi="宋体" w:cs="宋体"/>
          <w:b/>
          <w:bCs w:val="0"/>
          <w:color w:val="000000" w:themeColor="text1"/>
          <w:sz w:val="21"/>
          <w:szCs w:val="21"/>
          <w:highlight w:val="none"/>
          <w:u w:val="single"/>
          <w14:textFill>
            <w14:solidFill>
              <w14:schemeClr w14:val="tx1"/>
            </w14:solidFill>
          </w14:textFill>
        </w:rPr>
        <w:t xml:space="preserve">     </w:t>
      </w:r>
      <w:r>
        <w:rPr>
          <w:rFonts w:hint="eastAsia" w:ascii="宋体" w:hAnsi="宋体" w:cs="宋体"/>
          <w:b/>
          <w:bCs w:val="0"/>
          <w:color w:val="000000" w:themeColor="text1"/>
          <w:sz w:val="21"/>
          <w:szCs w:val="21"/>
          <w:highlight w:val="none"/>
          <w14:textFill>
            <w14:solidFill>
              <w14:schemeClr w14:val="tx1"/>
            </w14:solidFill>
          </w14:textFill>
        </w:rPr>
        <w:t>元/立方米；</w:t>
      </w:r>
    </w:p>
    <w:p>
      <w:pPr>
        <w:pStyle w:val="239"/>
        <w:keepNext w:val="0"/>
        <w:keepLines w:val="0"/>
        <w:pageBreakBefore w:val="0"/>
        <w:widowControl/>
        <w:tabs>
          <w:tab w:val="left" w:pos="720"/>
        </w:tabs>
        <w:kinsoku/>
        <w:wordWrap/>
        <w:overflowPunct/>
        <w:topLinePunct w:val="0"/>
        <w:autoSpaceDE/>
        <w:autoSpaceDN/>
        <w:bidi w:val="0"/>
        <w:adjustRightInd/>
        <w:snapToGrid/>
        <w:ind w:firstLine="567"/>
        <w:textAlignment w:val="auto"/>
        <w:rPr>
          <w:rFonts w:ascii="宋体" w:hAnsi="宋体"/>
          <w:bCs/>
          <w:color w:val="000000"/>
          <w:sz w:val="20"/>
          <w:szCs w:val="20"/>
        </w:rPr>
      </w:pPr>
      <w:r>
        <w:rPr>
          <w:rFonts w:hint="eastAsia" w:ascii="宋体" w:hAnsi="宋体"/>
          <w:bCs/>
          <w:color w:val="000000"/>
          <w:sz w:val="20"/>
          <w:szCs w:val="20"/>
        </w:rPr>
        <w:t>（2）项目远期设施（如有）投产运营后，运营服务费全费用综合单价根据第三方会计师事务所测算出全费用综合单价后按</w:t>
      </w:r>
      <w:r>
        <w:rPr>
          <w:rFonts w:hint="eastAsia" w:ascii="宋体" w:hAnsi="宋体"/>
          <w:bCs/>
          <w:color w:val="000000" w:themeColor="text1"/>
          <w:sz w:val="20"/>
          <w:szCs w:val="20"/>
          <w14:textFill>
            <w14:solidFill>
              <w14:schemeClr w14:val="tx1"/>
            </w14:solidFill>
          </w14:textFill>
        </w:rPr>
        <w:t>投标单价计算</w:t>
      </w:r>
      <w:r>
        <w:rPr>
          <w:rFonts w:hint="eastAsia" w:ascii="宋体" w:hAnsi="宋体"/>
          <w:bCs/>
          <w:color w:val="000000"/>
          <w:sz w:val="20"/>
          <w:szCs w:val="20"/>
        </w:rPr>
        <w:t>下浮比例下浮后确定；</w:t>
      </w:r>
    </w:p>
    <w:p>
      <w:pPr>
        <w:pStyle w:val="239"/>
        <w:keepNext w:val="0"/>
        <w:keepLines w:val="0"/>
        <w:pageBreakBefore w:val="0"/>
        <w:widowControl/>
        <w:tabs>
          <w:tab w:val="left" w:pos="720"/>
        </w:tabs>
        <w:kinsoku/>
        <w:wordWrap/>
        <w:overflowPunct/>
        <w:topLinePunct w:val="0"/>
        <w:autoSpaceDE/>
        <w:autoSpaceDN/>
        <w:bidi w:val="0"/>
        <w:adjustRightInd/>
        <w:snapToGrid/>
        <w:ind w:firstLine="567"/>
        <w:textAlignment w:val="auto"/>
        <w:rPr>
          <w:rFonts w:ascii="宋体" w:hAnsi="宋体"/>
          <w:bCs/>
          <w:color w:val="000000"/>
          <w:sz w:val="20"/>
          <w:szCs w:val="20"/>
        </w:rPr>
      </w:pPr>
      <w:r>
        <w:rPr>
          <w:rFonts w:hint="eastAsia" w:ascii="宋体" w:hAnsi="宋体"/>
          <w:bCs/>
          <w:color w:val="000000"/>
          <w:sz w:val="20"/>
          <w:szCs w:val="20"/>
        </w:rPr>
        <w:t>（3）本次运营服务费全费用综合单价将作为初始基准单价，在运营期内不作调整。</w:t>
      </w:r>
    </w:p>
    <w:p>
      <w:pPr>
        <w:pStyle w:val="239"/>
        <w:tabs>
          <w:tab w:val="left" w:pos="567"/>
        </w:tabs>
        <w:spacing w:before="194" w:beforeLines="50"/>
        <w:ind w:firstLine="567"/>
        <w:rPr>
          <w:rFonts w:hint="eastAsia" w:ascii="宋体" w:hAnsi="宋体"/>
          <w:b/>
          <w:bCs/>
          <w:sz w:val="20"/>
          <w:szCs w:val="20"/>
          <w:highlight w:val="none"/>
          <w:lang w:val="en-US" w:eastAsia="zh-CN"/>
        </w:rPr>
      </w:pPr>
    </w:p>
    <w:p>
      <w:pPr>
        <w:pStyle w:val="239"/>
        <w:tabs>
          <w:tab w:val="left" w:pos="567"/>
        </w:tabs>
        <w:spacing w:before="194" w:beforeLines="50"/>
        <w:ind w:firstLine="567"/>
        <w:rPr>
          <w:rFonts w:hint="eastAsia" w:ascii="宋体" w:hAnsi="宋体"/>
          <w:b/>
          <w:bCs/>
          <w:sz w:val="20"/>
          <w:szCs w:val="20"/>
          <w:highlight w:val="none"/>
          <w:lang w:val="en-US" w:eastAsia="zh-CN"/>
        </w:rPr>
      </w:pPr>
    </w:p>
    <w:p>
      <w:pPr>
        <w:pStyle w:val="239"/>
        <w:tabs>
          <w:tab w:val="left" w:pos="567"/>
        </w:tabs>
        <w:spacing w:before="194" w:beforeLines="50"/>
        <w:ind w:firstLine="567"/>
        <w:rPr>
          <w:rFonts w:hint="eastAsia" w:ascii="宋体" w:hAnsi="宋体"/>
          <w:b/>
          <w:bCs/>
          <w:sz w:val="20"/>
          <w:szCs w:val="20"/>
          <w:highlight w:val="none"/>
          <w:lang w:val="en-US" w:eastAsia="zh-CN"/>
        </w:rPr>
      </w:pPr>
    </w:p>
    <w:p>
      <w:pPr>
        <w:pStyle w:val="239"/>
        <w:tabs>
          <w:tab w:val="left" w:pos="567"/>
        </w:tabs>
        <w:spacing w:before="194" w:beforeLines="50"/>
        <w:ind w:firstLine="567"/>
        <w:rPr>
          <w:rFonts w:hint="eastAsia" w:ascii="宋体" w:hAnsi="宋体"/>
          <w:b/>
          <w:bCs/>
          <w:sz w:val="20"/>
          <w:szCs w:val="20"/>
          <w:highlight w:val="none"/>
          <w:lang w:val="en-US" w:eastAsia="zh-CN"/>
        </w:rPr>
      </w:pPr>
    </w:p>
    <w:p>
      <w:pPr>
        <w:pStyle w:val="239"/>
        <w:tabs>
          <w:tab w:val="left" w:pos="567"/>
        </w:tabs>
        <w:spacing w:before="194" w:beforeLines="50"/>
        <w:ind w:firstLine="567"/>
        <w:rPr>
          <w:rFonts w:ascii="宋体" w:hAnsi="宋体"/>
          <w:b/>
          <w:bCs/>
          <w:sz w:val="20"/>
          <w:szCs w:val="20"/>
          <w:highlight w:val="none"/>
        </w:rPr>
      </w:pPr>
      <w:r>
        <w:rPr>
          <w:rFonts w:hint="eastAsia" w:ascii="宋体" w:hAnsi="宋体"/>
          <w:b/>
          <w:bCs/>
          <w:sz w:val="20"/>
          <w:szCs w:val="20"/>
          <w:highlight w:val="none"/>
          <w:lang w:val="en-US" w:eastAsia="zh-CN"/>
        </w:rPr>
        <w:t>8</w:t>
      </w:r>
      <w:r>
        <w:rPr>
          <w:rFonts w:hint="eastAsia" w:ascii="宋体" w:hAnsi="宋体"/>
          <w:b/>
          <w:bCs/>
          <w:sz w:val="20"/>
          <w:szCs w:val="20"/>
          <w:highlight w:val="none"/>
          <w:lang w:eastAsia="zh-CN"/>
        </w:rPr>
        <w:t>.</w:t>
      </w:r>
      <w:r>
        <w:rPr>
          <w:rFonts w:hint="eastAsia" w:ascii="宋体" w:hAnsi="宋体"/>
          <w:b/>
          <w:bCs/>
          <w:sz w:val="20"/>
          <w:szCs w:val="20"/>
          <w:highlight w:val="none"/>
        </w:rPr>
        <w:t xml:space="preserve"> </w:t>
      </w:r>
      <w:r>
        <w:rPr>
          <w:rFonts w:ascii="宋体" w:hAnsi="宋体"/>
          <w:b/>
          <w:bCs/>
          <w:sz w:val="20"/>
          <w:szCs w:val="20"/>
          <w:highlight w:val="none"/>
        </w:rPr>
        <w:t>运行管理考核</w:t>
      </w:r>
    </w:p>
    <w:p>
      <w:pPr>
        <w:pStyle w:val="239"/>
        <w:tabs>
          <w:tab w:val="left" w:pos="420"/>
        </w:tabs>
        <w:spacing w:before="194" w:beforeLines="50"/>
        <w:ind w:firstLine="567"/>
        <w:rPr>
          <w:rFonts w:ascii="宋体" w:hAnsi="宋体"/>
          <w:sz w:val="20"/>
          <w:szCs w:val="20"/>
        </w:rPr>
      </w:pPr>
    </w:p>
    <w:p>
      <w:pPr>
        <w:spacing w:line="54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高铁新城再生水厂运营管理服务项目</w:t>
      </w:r>
      <w:r>
        <w:rPr>
          <w:rFonts w:hint="eastAsia" w:ascii="宋体" w:hAnsi="宋体" w:eastAsia="宋体" w:cs="宋体"/>
          <w:b/>
          <w:color w:val="000000" w:themeColor="text1"/>
          <w:sz w:val="28"/>
          <w:szCs w:val="28"/>
          <w14:textFill>
            <w14:solidFill>
              <w14:schemeClr w14:val="tx1"/>
            </w14:solidFill>
          </w14:textFill>
        </w:rPr>
        <w:t>季度考核表</w:t>
      </w:r>
    </w:p>
    <w:tbl>
      <w:tblPr>
        <w:tblStyle w:val="61"/>
        <w:tblpPr w:leftFromText="180" w:rightFromText="180" w:vertAnchor="text" w:horzAnchor="page" w:tblpX="1397" w:tblpY="309"/>
        <w:tblOverlap w:val="never"/>
        <w:tblW w:w="9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559" w:type="dxa"/>
            <w:noWrap w:val="0"/>
            <w:vAlign w:val="center"/>
          </w:tcPr>
          <w:p>
            <w:pPr>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项  目</w:t>
            </w:r>
          </w:p>
        </w:tc>
        <w:tc>
          <w:tcPr>
            <w:tcW w:w="8056" w:type="dxa"/>
            <w:noWrap w:val="0"/>
            <w:vAlign w:val="center"/>
          </w:tcPr>
          <w:p>
            <w:pPr>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高铁新城再生水厂运营管理服务项目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559" w:type="dxa"/>
            <w:noWrap w:val="0"/>
            <w:vAlign w:val="center"/>
          </w:tcPr>
          <w:p>
            <w:pPr>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考核范围</w:t>
            </w:r>
          </w:p>
        </w:tc>
        <w:tc>
          <w:tcPr>
            <w:tcW w:w="8056" w:type="dxa"/>
            <w:noWrap w:val="0"/>
            <w:vAlign w:val="center"/>
          </w:tcPr>
          <w:p>
            <w:pP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高铁新城再生水厂运营管理服务项目</w:t>
            </w:r>
            <w:r>
              <w:rPr>
                <w:rFonts w:hint="eastAsia" w:ascii="宋体" w:hAnsi="宋体" w:cs="宋体"/>
                <w:b/>
                <w:bCs/>
                <w:color w:val="000000" w:themeColor="text1"/>
                <w:sz w:val="28"/>
                <w:szCs w:val="28"/>
                <w:lang w:val="en-US" w:eastAsia="zh-CN"/>
                <w14:textFill>
                  <w14:solidFill>
                    <w14:schemeClr w14:val="tx1"/>
                  </w14:solidFill>
                </w14:textFill>
              </w:rPr>
              <w:t>整体运营情况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559" w:type="dxa"/>
            <w:vMerge w:val="restart"/>
            <w:noWrap w:val="0"/>
            <w:vAlign w:val="center"/>
          </w:tcPr>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月度考核</w:t>
            </w: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情况</w:t>
            </w:r>
          </w:p>
        </w:tc>
        <w:tc>
          <w:tcPr>
            <w:tcW w:w="8056" w:type="dxa"/>
            <w:noWrap w:val="0"/>
            <w:vAlign w:val="center"/>
          </w:tcPr>
          <w:p>
            <w:pPr>
              <w:spacing w:line="500" w:lineRule="exact"/>
              <w:ind w:left="39" w:leftChars="-41" w:hanging="156" w:hangingChars="6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月份，综合考核得分</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59" w:type="dxa"/>
            <w:vMerge w:val="continue"/>
            <w:noWrap w:val="0"/>
            <w:vAlign w:val="center"/>
          </w:tcPr>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tc>
        <w:tc>
          <w:tcPr>
            <w:tcW w:w="8056" w:type="dxa"/>
            <w:noWrap w:val="0"/>
            <w:vAlign w:val="center"/>
          </w:tcPr>
          <w:p>
            <w:pPr>
              <w:spacing w:line="500" w:lineRule="exact"/>
              <w:ind w:left="39" w:leftChars="-41" w:hanging="156" w:hangingChars="6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月份，综合考核得分</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559" w:type="dxa"/>
            <w:vMerge w:val="continue"/>
            <w:noWrap w:val="0"/>
            <w:vAlign w:val="center"/>
          </w:tcPr>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p>
        </w:tc>
        <w:tc>
          <w:tcPr>
            <w:tcW w:w="8056" w:type="dxa"/>
            <w:noWrap w:val="0"/>
            <w:vAlign w:val="center"/>
          </w:tcPr>
          <w:p>
            <w:pPr>
              <w:spacing w:line="500" w:lineRule="exact"/>
              <w:ind w:left="39" w:leftChars="-41" w:hanging="156" w:hangingChars="6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月份，综合考核得分</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1559" w:type="dxa"/>
            <w:noWrap w:val="0"/>
            <w:vAlign w:val="center"/>
          </w:tcPr>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季度考核结果及评价</w:t>
            </w:r>
          </w:p>
        </w:tc>
        <w:tc>
          <w:tcPr>
            <w:tcW w:w="8056" w:type="dxa"/>
            <w:noWrap w:val="0"/>
            <w:vAlign w:val="center"/>
          </w:tcPr>
          <w:p>
            <w:pPr>
              <w:spacing w:line="500" w:lineRule="exact"/>
              <w:ind w:left="39" w:leftChars="-41" w:hanging="156" w:hangingChars="64"/>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本季考核得分</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分，季度考核评为</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，共计扣款</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元（扣款计算：</w:t>
            </w:r>
            <w:r>
              <w:rPr>
                <w:rFonts w:hint="eastAsia" w:ascii="宋体" w:hAnsi="宋体" w:eastAsia="宋体" w:cs="宋体"/>
                <w:color w:val="000000" w:themeColor="text1"/>
                <w:sz w:val="24"/>
                <w:szCs w:val="24"/>
                <w:u w:val="single"/>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1559" w:type="dxa"/>
            <w:noWrap w:val="0"/>
            <w:vAlign w:val="center"/>
          </w:tcPr>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业主代表</w:t>
            </w: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签字</w:t>
            </w:r>
          </w:p>
        </w:tc>
        <w:tc>
          <w:tcPr>
            <w:tcW w:w="8056" w:type="dxa"/>
            <w:noWrap w:val="0"/>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559" w:type="dxa"/>
            <w:noWrap w:val="0"/>
            <w:vAlign w:val="center"/>
          </w:tcPr>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局室负责人签字</w:t>
            </w:r>
          </w:p>
        </w:tc>
        <w:tc>
          <w:tcPr>
            <w:tcW w:w="8056" w:type="dxa"/>
            <w:noWrap w:val="0"/>
            <w:vAlign w:val="center"/>
          </w:tcPr>
          <w:p>
            <w:pPr>
              <w:rPr>
                <w:rFonts w:hint="eastAsia"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1559" w:type="dxa"/>
            <w:noWrap w:val="0"/>
            <w:vAlign w:val="center"/>
          </w:tcPr>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分管领导</w:t>
            </w:r>
          </w:p>
          <w:p>
            <w:pPr>
              <w:spacing w:line="420" w:lineRule="exact"/>
              <w:jc w:val="center"/>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签字</w:t>
            </w:r>
          </w:p>
        </w:tc>
        <w:tc>
          <w:tcPr>
            <w:tcW w:w="8056" w:type="dxa"/>
            <w:noWrap w:val="0"/>
            <w:vAlign w:val="center"/>
          </w:tcPr>
          <w:p>
            <w:pPr>
              <w:rPr>
                <w:rFonts w:hint="eastAsia" w:ascii="宋体" w:hAnsi="宋体" w:eastAsia="宋体" w:cs="宋体"/>
                <w:color w:val="000000" w:themeColor="text1"/>
                <w:sz w:val="24"/>
                <w:szCs w:val="24"/>
                <w14:textFill>
                  <w14:solidFill>
                    <w14:schemeClr w14:val="tx1"/>
                  </w14:solidFill>
                </w14:textFill>
              </w:rPr>
            </w:pPr>
          </w:p>
        </w:tc>
      </w:tr>
    </w:tbl>
    <w:p>
      <w:pPr>
        <w:spacing w:line="540" w:lineRule="exact"/>
        <w:jc w:val="center"/>
        <w:rPr>
          <w:rFonts w:hint="eastAsia" w:ascii="宋体" w:hAnsi="宋体" w:eastAsia="宋体" w:cs="宋体"/>
          <w:b/>
          <w:color w:val="000000" w:themeColor="text1"/>
          <w:sz w:val="24"/>
          <w:szCs w:val="24"/>
          <w14:textFill>
            <w14:solidFill>
              <w14:schemeClr w14:val="tx1"/>
            </w14:solidFill>
          </w14:textFill>
        </w:rPr>
      </w:pPr>
    </w:p>
    <w:p>
      <w:pPr>
        <w:rPr>
          <w:rFonts w:hint="eastAsia" w:ascii="宋体" w:hAnsi="宋体" w:eastAsia="宋体" w:cs="宋体"/>
          <w:b/>
          <w:color w:val="000000" w:themeColor="text1"/>
          <w:sz w:val="24"/>
          <w:szCs w:val="24"/>
          <w14:textFill>
            <w14:solidFill>
              <w14:schemeClr w14:val="tx1"/>
            </w14:solidFill>
          </w14:textFill>
        </w:rPr>
      </w:pPr>
    </w:p>
    <w:p>
      <w:pPr>
        <w:pStyle w:val="74"/>
        <w:rPr>
          <w:rFonts w:hint="eastAsia" w:ascii="宋体" w:hAnsi="宋体" w:eastAsia="宋体" w:cs="宋体"/>
          <w:b/>
          <w:color w:val="000000" w:themeColor="text1"/>
          <w:sz w:val="24"/>
          <w:szCs w:val="24"/>
          <w14:textFill>
            <w14:solidFill>
              <w14:schemeClr w14:val="tx1"/>
            </w14:solidFill>
          </w14:textFill>
        </w:rPr>
      </w:pPr>
    </w:p>
    <w:p>
      <w:pPr>
        <w:pStyle w:val="75"/>
        <w:rPr>
          <w:rFonts w:hint="eastAsia" w:ascii="宋体" w:hAnsi="宋体" w:eastAsia="宋体" w:cs="宋体"/>
          <w:b/>
          <w:color w:val="000000" w:themeColor="text1"/>
          <w:sz w:val="24"/>
          <w:szCs w:val="24"/>
          <w14:textFill>
            <w14:solidFill>
              <w14:schemeClr w14:val="tx1"/>
            </w14:solidFill>
          </w14:textFill>
        </w:rPr>
      </w:pPr>
    </w:p>
    <w:p>
      <w:pPr>
        <w:rPr>
          <w:rFonts w:hint="eastAsia" w:ascii="宋体" w:hAnsi="宋体" w:eastAsia="宋体" w:cs="宋体"/>
          <w:b/>
          <w:color w:val="000000" w:themeColor="text1"/>
          <w:sz w:val="24"/>
          <w:szCs w:val="24"/>
          <w14:textFill>
            <w14:solidFill>
              <w14:schemeClr w14:val="tx1"/>
            </w14:solidFill>
          </w14:textFill>
        </w:rPr>
      </w:pPr>
    </w:p>
    <w:p>
      <w:pPr>
        <w:pStyle w:val="74"/>
        <w:rPr>
          <w:rFonts w:hint="eastAsia"/>
        </w:rPr>
      </w:pPr>
    </w:p>
    <w:p>
      <w:pPr>
        <w:jc w:val="center"/>
        <w:rPr>
          <w:rFonts w:hint="eastAsia" w:ascii="宋体" w:hAnsi="宋体" w:eastAsia="宋体" w:cs="宋体"/>
          <w:b/>
          <w:bCs/>
          <w:color w:val="000000" w:themeColor="text1"/>
          <w:sz w:val="28"/>
          <w:szCs w:val="28"/>
          <w14:textFill>
            <w14:solidFill>
              <w14:schemeClr w14:val="tx1"/>
            </w14:solidFill>
          </w14:textFill>
        </w:rPr>
      </w:pPr>
    </w:p>
    <w:p>
      <w:pPr>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高铁新城再生水厂运营管理服务项目月度考核审批表</w:t>
      </w:r>
    </w:p>
    <w:tbl>
      <w:tblPr>
        <w:tblStyle w:val="61"/>
        <w:tblpPr w:leftFromText="180" w:rightFromText="180" w:vertAnchor="text" w:horzAnchor="page" w:tblpX="1397" w:tblpY="309"/>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5781"/>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734" w:type="dxa"/>
            <w:noWrap w:val="0"/>
            <w:vAlign w:val="center"/>
          </w:tcPr>
          <w:p>
            <w:pPr>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项  目</w:t>
            </w:r>
          </w:p>
        </w:tc>
        <w:tc>
          <w:tcPr>
            <w:tcW w:w="7566" w:type="dxa"/>
            <w:gridSpan w:val="2"/>
            <w:noWrap w:val="0"/>
            <w:vAlign w:val="center"/>
          </w:tcPr>
          <w:p>
            <w:pPr>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8"/>
                <w:szCs w:val="28"/>
                <w14:textFill>
                  <w14:solidFill>
                    <w14:schemeClr w14:val="tx1"/>
                  </w14:solidFill>
                </w14:textFill>
              </w:rPr>
              <w:t>高铁新城再生水厂运营管理服务项目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734" w:type="dxa"/>
            <w:noWrap w:val="0"/>
            <w:vAlign w:val="center"/>
          </w:tcPr>
          <w:p>
            <w:pPr>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考核范围</w:t>
            </w:r>
          </w:p>
        </w:tc>
        <w:tc>
          <w:tcPr>
            <w:tcW w:w="7566" w:type="dxa"/>
            <w:gridSpan w:val="2"/>
            <w:noWrap w:val="0"/>
            <w:vAlign w:val="center"/>
          </w:tcPr>
          <w:p>
            <w:pPr>
              <w:ind w:firstLine="572" w:firstLineChars="200"/>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8"/>
                <w:szCs w:val="28"/>
                <w14:textFill>
                  <w14:solidFill>
                    <w14:schemeClr w14:val="tx1"/>
                  </w14:solidFill>
                </w14:textFill>
              </w:rPr>
              <w:t>高铁新城再生水厂运营管理服务项目</w:t>
            </w:r>
            <w:r>
              <w:rPr>
                <w:rFonts w:hint="eastAsia" w:ascii="宋体" w:hAnsi="宋体" w:cs="宋体"/>
                <w:b/>
                <w:bCs w:val="0"/>
                <w:color w:val="000000" w:themeColor="text1"/>
                <w:sz w:val="28"/>
                <w:szCs w:val="28"/>
                <w:lang w:val="en-US" w:eastAsia="zh-CN"/>
                <w14:textFill>
                  <w14:solidFill>
                    <w14:schemeClr w14:val="tx1"/>
                  </w14:solidFill>
                </w14:textFill>
              </w:rPr>
              <w:t>整体运营情况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734" w:type="dxa"/>
            <w:vMerge w:val="restart"/>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考核扣分情况</w:t>
            </w:r>
          </w:p>
        </w:tc>
        <w:tc>
          <w:tcPr>
            <w:tcW w:w="5781" w:type="dxa"/>
            <w:noWrap w:val="0"/>
            <w:vAlign w:val="center"/>
          </w:tcPr>
          <w:p>
            <w:pPr>
              <w:spacing w:line="500" w:lineRule="exact"/>
              <w:ind w:left="39" w:leftChars="-41" w:hanging="156" w:hangingChars="64"/>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扣分项</w:t>
            </w:r>
          </w:p>
        </w:tc>
        <w:tc>
          <w:tcPr>
            <w:tcW w:w="1785" w:type="dxa"/>
            <w:noWrap w:val="0"/>
            <w:vAlign w:val="center"/>
          </w:tcPr>
          <w:p>
            <w:pPr>
              <w:spacing w:line="500" w:lineRule="exact"/>
              <w:ind w:left="39" w:leftChars="-41" w:hanging="156" w:hangingChars="64"/>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jc w:val="center"/>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jc w:val="center"/>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jc w:val="center"/>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jc w:val="center"/>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jc w:val="center"/>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jc w:val="center"/>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734" w:type="dxa"/>
            <w:vMerge w:val="continue"/>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p>
        </w:tc>
        <w:tc>
          <w:tcPr>
            <w:tcW w:w="5781"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c>
          <w:tcPr>
            <w:tcW w:w="1785" w:type="dxa"/>
            <w:noWrap w:val="0"/>
            <w:vAlign w:val="center"/>
          </w:tcPr>
          <w:p>
            <w:pPr>
              <w:spacing w:line="500" w:lineRule="exact"/>
              <w:ind w:left="39" w:leftChars="-41" w:hanging="156" w:hangingChars="64"/>
              <w:rPr>
                <w:rFonts w:hint="eastAsia" w:ascii="宋体" w:hAnsi="宋体" w:eastAsia="宋体" w:cs="宋体"/>
                <w:b/>
                <w:bCs w:val="0"/>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734" w:type="dxa"/>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月度考核结果</w:t>
            </w:r>
          </w:p>
        </w:tc>
        <w:tc>
          <w:tcPr>
            <w:tcW w:w="7566" w:type="dxa"/>
            <w:gridSpan w:val="2"/>
            <w:noWrap w:val="0"/>
            <w:vAlign w:val="center"/>
          </w:tcPr>
          <w:p>
            <w:pPr>
              <w:spacing w:line="500" w:lineRule="exact"/>
              <w:jc w:val="left"/>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本月最终考核得分</w:t>
            </w:r>
            <w:r>
              <w:rPr>
                <w:rFonts w:hint="eastAsia" w:ascii="宋体" w:hAnsi="宋体" w:eastAsia="宋体" w:cs="宋体"/>
                <w:b/>
                <w:bCs w:val="0"/>
                <w:color w:val="000000" w:themeColor="text1"/>
                <w:sz w:val="24"/>
                <w:szCs w:val="24"/>
                <w:u w:val="single"/>
                <w14:textFill>
                  <w14:solidFill>
                    <w14:schemeClr w14:val="tx1"/>
                  </w14:solidFill>
                </w14:textFill>
              </w:rPr>
              <w:t xml:space="preserve">     </w:t>
            </w:r>
            <w:r>
              <w:rPr>
                <w:rFonts w:hint="eastAsia" w:ascii="宋体" w:hAnsi="宋体" w:eastAsia="宋体" w:cs="宋体"/>
                <w:b/>
                <w:bCs w:val="0"/>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734" w:type="dxa"/>
            <w:noWrap w:val="0"/>
            <w:vAlign w:val="center"/>
          </w:tcPr>
          <w:p>
            <w:pPr>
              <w:spacing w:line="420" w:lineRule="exact"/>
              <w:jc w:val="cente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考核人员签字</w:t>
            </w:r>
          </w:p>
        </w:tc>
        <w:tc>
          <w:tcPr>
            <w:tcW w:w="7566" w:type="dxa"/>
            <w:gridSpan w:val="2"/>
            <w:noWrap w:val="0"/>
            <w:vAlign w:val="center"/>
          </w:tcPr>
          <w:p>
            <w:pPr>
              <w:rPr>
                <w:rFonts w:hint="eastAsia" w:ascii="宋体" w:hAnsi="宋体" w:eastAsia="宋体" w:cs="宋体"/>
                <w:b/>
                <w:bCs w:val="0"/>
                <w:color w:val="000000" w:themeColor="text1"/>
                <w:sz w:val="24"/>
                <w:szCs w:val="24"/>
                <w14:textFill>
                  <w14:solidFill>
                    <w14:schemeClr w14:val="tx1"/>
                  </w14:solidFill>
                </w14:textFill>
              </w:rPr>
            </w:pPr>
          </w:p>
          <w:p>
            <w:pPr>
              <w:rPr>
                <w:rFonts w:hint="eastAsia" w:ascii="宋体" w:hAnsi="宋体" w:eastAsia="宋体" w:cs="宋体"/>
                <w:b/>
                <w:bCs w:val="0"/>
                <w:color w:val="000000" w:themeColor="text1"/>
                <w:sz w:val="24"/>
                <w:szCs w:val="24"/>
                <w14:textFill>
                  <w14:solidFill>
                    <w14:schemeClr w14:val="tx1"/>
                  </w14:solidFill>
                </w14:textFill>
              </w:rPr>
            </w:pPr>
          </w:p>
          <w:p>
            <w:pPr>
              <w:rPr>
                <w:rFonts w:hint="eastAsia" w:ascii="宋体" w:hAnsi="宋体" w:eastAsia="宋体" w:cs="宋体"/>
                <w:b/>
                <w:bCs w:val="0"/>
                <w:color w:val="000000" w:themeColor="text1"/>
                <w:sz w:val="24"/>
                <w:szCs w:val="24"/>
                <w14:textFill>
                  <w14:solidFill>
                    <w14:schemeClr w14:val="tx1"/>
                  </w14:solidFill>
                </w14:textFill>
              </w:rPr>
            </w:pPr>
          </w:p>
          <w:p>
            <w:pPr>
              <w:rPr>
                <w:rFonts w:hint="eastAsia" w:ascii="宋体" w:hAnsi="宋体" w:eastAsia="宋体" w:cs="宋体"/>
                <w:b/>
                <w:bCs w:val="0"/>
                <w:color w:val="000000" w:themeColor="text1"/>
                <w:sz w:val="24"/>
                <w:szCs w:val="24"/>
                <w14:textFill>
                  <w14:solidFill>
                    <w14:schemeClr w14:val="tx1"/>
                  </w14:solidFill>
                </w14:textFill>
              </w:rPr>
            </w:pPr>
            <w:r>
              <w:rPr>
                <w:rFonts w:hint="eastAsia" w:ascii="宋体" w:hAnsi="宋体" w:eastAsia="宋体" w:cs="宋体"/>
                <w:b/>
                <w:bCs w:val="0"/>
                <w:color w:val="000000" w:themeColor="text1"/>
                <w:sz w:val="24"/>
                <w:szCs w:val="24"/>
                <w14:textFill>
                  <w14:solidFill>
                    <w14:schemeClr w14:val="tx1"/>
                  </w14:solidFill>
                </w14:textFill>
              </w:rPr>
              <w:t xml:space="preserve">                                     日期：</w:t>
            </w:r>
            <w:r>
              <w:rPr>
                <w:rFonts w:hint="eastAsia" w:ascii="宋体" w:hAnsi="宋体" w:cs="宋体"/>
                <w:b/>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val="0"/>
                <w:color w:val="000000" w:themeColor="text1"/>
                <w:sz w:val="24"/>
                <w:szCs w:val="24"/>
                <w14:textFill>
                  <w14:solidFill>
                    <w14:schemeClr w14:val="tx1"/>
                  </w14:solidFill>
                </w14:textFill>
              </w:rPr>
              <w:t xml:space="preserve"> </w:t>
            </w:r>
            <w:r>
              <w:rPr>
                <w:rFonts w:hint="eastAsia" w:ascii="宋体" w:hAnsi="宋体" w:cs="宋体"/>
                <w:b/>
                <w:bCs w:val="0"/>
                <w:color w:val="000000" w:themeColor="text1"/>
                <w:sz w:val="24"/>
                <w:szCs w:val="24"/>
                <w:lang w:val="en-US" w:eastAsia="zh-CN"/>
                <w14:textFill>
                  <w14:solidFill>
                    <w14:schemeClr w14:val="tx1"/>
                  </w14:solidFill>
                </w14:textFill>
              </w:rPr>
              <w:t xml:space="preserve"> </w:t>
            </w:r>
            <w:r>
              <w:rPr>
                <w:rFonts w:hint="eastAsia" w:ascii="宋体" w:hAnsi="宋体" w:eastAsia="宋体" w:cs="宋体"/>
                <w:b/>
                <w:bCs w:val="0"/>
                <w:color w:val="000000" w:themeColor="text1"/>
                <w:sz w:val="24"/>
                <w:szCs w:val="24"/>
                <w14:textFill>
                  <w14:solidFill>
                    <w14:schemeClr w14:val="tx1"/>
                  </w14:solidFill>
                </w14:textFill>
              </w:rPr>
              <w:t xml:space="preserve">  年   月   日</w:t>
            </w:r>
          </w:p>
        </w:tc>
      </w:tr>
    </w:tbl>
    <w:p>
      <w:pPr>
        <w:jc w:val="center"/>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color w:val="FF0000"/>
          <w:sz w:val="24"/>
          <w:szCs w:val="24"/>
        </w:rPr>
        <w:br w:type="page"/>
      </w:r>
      <w:r>
        <w:rPr>
          <w:rFonts w:hint="eastAsia" w:ascii="宋体" w:hAnsi="宋体" w:eastAsia="宋体" w:cs="宋体"/>
          <w:b/>
          <w:bCs/>
          <w:color w:val="000000" w:themeColor="text1"/>
          <w:sz w:val="28"/>
          <w:szCs w:val="28"/>
          <w:highlight w:val="none"/>
          <w14:textFill>
            <w14:solidFill>
              <w14:schemeClr w14:val="tx1"/>
            </w14:solidFill>
          </w14:textFill>
        </w:rPr>
        <w:t>高铁新城再生水厂运营管理服务项目考核实施细则</w:t>
      </w:r>
    </w:p>
    <w:tbl>
      <w:tblPr>
        <w:tblStyle w:val="61"/>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904"/>
        <w:gridCol w:w="1605"/>
        <w:gridCol w:w="109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序号</w:t>
            </w:r>
          </w:p>
        </w:tc>
        <w:tc>
          <w:tcPr>
            <w:tcW w:w="250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打分项目、内容</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标准分</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扣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4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1</w:t>
            </w:r>
          </w:p>
        </w:tc>
        <w:tc>
          <w:tcPr>
            <w:tcW w:w="9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污水处理质量</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出水水质</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20分）</w:t>
            </w:r>
          </w:p>
        </w:tc>
        <w:tc>
          <w:tcPr>
            <w:tcW w:w="10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30</w:t>
            </w:r>
            <w:r>
              <w:rPr>
                <w:rFonts w:hint="eastAsia" w:ascii="宋体" w:hAnsi="宋体" w:eastAsia="宋体" w:cs="宋体"/>
                <w:b/>
                <w:bCs/>
                <w:color w:val="000000" w:themeColor="text1"/>
                <w:sz w:val="21"/>
                <w:szCs w:val="21"/>
                <w:highlight w:val="none"/>
                <w14:textFill>
                  <w14:solidFill>
                    <w14:schemeClr w14:val="tx1"/>
                  </w14:solidFill>
                </w14:textFill>
              </w:rPr>
              <w:t>分</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出水水质检测COD</w:t>
            </w:r>
            <w:r>
              <w:rPr>
                <w:rFonts w:hint="eastAsia" w:ascii="宋体" w:hAnsi="宋体" w:eastAsia="宋体" w:cs="宋体"/>
                <w:color w:val="000000" w:themeColor="text1"/>
                <w:sz w:val="21"/>
                <w:szCs w:val="21"/>
                <w:highlight w:val="none"/>
                <w:vertAlign w:val="subscript"/>
                <w14:textFill>
                  <w14:solidFill>
                    <w14:schemeClr w14:val="tx1"/>
                  </w14:solidFill>
                </w14:textFill>
              </w:rPr>
              <w:t>cr</w:t>
            </w:r>
            <w:r>
              <w:rPr>
                <w:rFonts w:hint="eastAsia" w:ascii="宋体" w:hAnsi="宋体" w:eastAsia="宋体" w:cs="宋体"/>
                <w:color w:val="000000" w:themeColor="text1"/>
                <w:sz w:val="21"/>
                <w:szCs w:val="21"/>
                <w:highlight w:val="none"/>
                <w14:textFill>
                  <w14:solidFill>
                    <w14:schemeClr w14:val="tx1"/>
                  </w14:solidFill>
                </w14:textFill>
              </w:rPr>
              <w:t>、NH</w:t>
            </w:r>
            <w:r>
              <w:rPr>
                <w:rFonts w:hint="eastAsia" w:ascii="宋体" w:hAnsi="宋体" w:eastAsia="宋体" w:cs="宋体"/>
                <w:color w:val="000000" w:themeColor="text1"/>
                <w:sz w:val="21"/>
                <w:szCs w:val="21"/>
                <w:highlight w:val="none"/>
                <w:vertAlign w:val="subscript"/>
                <w14:textFill>
                  <w14:solidFill>
                    <w14:schemeClr w14:val="tx1"/>
                  </w14:solidFill>
                </w14:textFill>
              </w:rPr>
              <w:t>3</w:t>
            </w:r>
            <w:r>
              <w:rPr>
                <w:rFonts w:hint="eastAsia" w:ascii="宋体" w:hAnsi="宋体" w:eastAsia="宋体" w:cs="宋体"/>
                <w:color w:val="000000" w:themeColor="text1"/>
                <w:sz w:val="21"/>
                <w:szCs w:val="21"/>
                <w:highlight w:val="none"/>
                <w14:textFill>
                  <w14:solidFill>
                    <w14:schemeClr w14:val="tx1"/>
                  </w14:solidFill>
                </w14:textFill>
              </w:rPr>
              <w:t>-N（以N计）、TN、TP、pH值达标</w:t>
            </w:r>
            <w:r>
              <w:rPr>
                <w:rFonts w:hint="eastAsia" w:ascii="宋体" w:hAnsi="宋体" w:eastAsia="宋体" w:cs="宋体"/>
                <w:color w:val="000000" w:themeColor="text1"/>
                <w:sz w:val="21"/>
                <w:szCs w:val="21"/>
                <w:highlight w:val="none"/>
                <w:lang w:eastAsia="zh-CN"/>
                <w14:textFill>
                  <w14:solidFill>
                    <w14:schemeClr w14:val="tx1"/>
                  </w14:solidFill>
                </w14:textFill>
              </w:rPr>
              <w:t>情况，每发现</w:t>
            </w:r>
            <w:r>
              <w:rPr>
                <w:rFonts w:hint="eastAsia" w:ascii="宋体" w:hAnsi="宋体" w:eastAsia="宋体" w:cs="宋体"/>
                <w:color w:val="000000" w:themeColor="text1"/>
                <w:sz w:val="21"/>
                <w:szCs w:val="21"/>
                <w:highlight w:val="none"/>
                <w:lang w:val="en-US" w:eastAsia="zh-CN"/>
                <w14:textFill>
                  <w14:solidFill>
                    <w14:schemeClr w14:val="tx1"/>
                  </w14:solidFill>
                </w14:textFill>
              </w:rPr>
              <w:t>一次</w:t>
            </w:r>
            <w:r>
              <w:rPr>
                <w:rFonts w:hint="eastAsia" w:ascii="宋体" w:hAnsi="宋体" w:eastAsia="宋体" w:cs="宋体"/>
                <w:color w:val="000000" w:themeColor="text1"/>
                <w:sz w:val="21"/>
                <w:szCs w:val="21"/>
                <w:highlight w:val="none"/>
                <w:lang w:eastAsia="zh-CN"/>
                <w14:textFill>
                  <w14:solidFill>
                    <w14:schemeClr w14:val="tx1"/>
                  </w14:solidFill>
                </w14:textFill>
              </w:rPr>
              <w:t>出水水质不符合标准规定的，扣</w:t>
            </w:r>
            <w:r>
              <w:rPr>
                <w:rFonts w:hint="eastAsia" w:ascii="宋体" w:hAnsi="宋体" w:eastAsia="宋体" w:cs="宋体"/>
                <w:color w:val="000000" w:themeColor="text1"/>
                <w:sz w:val="21"/>
                <w:szCs w:val="21"/>
                <w:highlight w:val="none"/>
                <w:lang w:val="en-US" w:eastAsia="zh-CN"/>
                <w14:textFill>
                  <w14:solidFill>
                    <w14:schemeClr w14:val="tx1"/>
                  </w14:solidFill>
                </w14:textFill>
              </w:rPr>
              <w:t>3分。被主管部门通报批评每次扣5分。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污泥安全处置过程（</w:t>
            </w:r>
            <w:r>
              <w:rPr>
                <w:rFonts w:hint="eastAsia" w:ascii="宋体" w:hAnsi="宋体" w:eastAsia="宋体" w:cs="宋体"/>
                <w:color w:val="000000" w:themeColor="text1"/>
                <w:sz w:val="21"/>
                <w:szCs w:val="21"/>
                <w:highlight w:val="none"/>
                <w:lang w:val="en-US" w:eastAsia="zh-CN"/>
                <w14:textFill>
                  <w14:solidFill>
                    <w14:schemeClr w14:val="tx1"/>
                  </w14:solidFill>
                </w14:textFill>
              </w:rPr>
              <w:t>10分）</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污泥处置应符合规范，不会造成二次污染；污泥运输</w:t>
            </w:r>
            <w:r>
              <w:rPr>
                <w:rFonts w:hint="eastAsia" w:ascii="宋体" w:hAnsi="宋体" w:eastAsia="宋体" w:cs="宋体"/>
                <w:color w:val="000000" w:themeColor="text1"/>
                <w:sz w:val="21"/>
                <w:szCs w:val="21"/>
                <w:highlight w:val="none"/>
                <w:lang w:val="en-US" w:eastAsia="zh-CN"/>
                <w14:textFill>
                  <w14:solidFill>
                    <w14:schemeClr w14:val="tx1"/>
                  </w14:solidFill>
                </w14:textFill>
              </w:rPr>
              <w:t>未采用封闭式车辆</w:t>
            </w:r>
            <w:r>
              <w:rPr>
                <w:rFonts w:hint="eastAsia" w:ascii="宋体" w:hAnsi="宋体" w:eastAsia="宋体" w:cs="宋体"/>
                <w:color w:val="000000" w:themeColor="text1"/>
                <w:sz w:val="21"/>
                <w:szCs w:val="21"/>
                <w:highlight w:val="none"/>
                <w:lang w:eastAsia="zh-CN"/>
                <w14:textFill>
                  <w14:solidFill>
                    <w14:schemeClr w14:val="tx1"/>
                  </w14:solidFill>
                </w14:textFill>
              </w:rPr>
              <w:t>、处置不符合标准规定的，每</w:t>
            </w:r>
            <w:r>
              <w:rPr>
                <w:rFonts w:hint="eastAsia" w:ascii="宋体" w:hAnsi="宋体" w:eastAsia="宋体" w:cs="宋体"/>
                <w:color w:val="000000" w:themeColor="text1"/>
                <w:sz w:val="21"/>
                <w:szCs w:val="21"/>
                <w:highlight w:val="none"/>
                <w:lang w:val="en-US" w:eastAsia="zh-CN"/>
                <w14:textFill>
                  <w14:solidFill>
                    <w14:schemeClr w14:val="tx1"/>
                  </w14:solidFill>
                </w14:textFill>
              </w:rPr>
              <w:t>次每</w:t>
            </w:r>
            <w:r>
              <w:rPr>
                <w:rFonts w:hint="eastAsia" w:ascii="宋体" w:hAnsi="宋体" w:eastAsia="宋体" w:cs="宋体"/>
                <w:color w:val="000000" w:themeColor="text1"/>
                <w:sz w:val="21"/>
                <w:szCs w:val="21"/>
                <w:highlight w:val="none"/>
                <w:lang w:eastAsia="zh-CN"/>
                <w14:textFill>
                  <w14:solidFill>
                    <w14:schemeClr w14:val="tx1"/>
                  </w14:solidFill>
                </w14:textFill>
              </w:rPr>
              <w:t>项扣</w:t>
            </w:r>
            <w:r>
              <w:rPr>
                <w:rFonts w:hint="eastAsia" w:ascii="宋体" w:hAnsi="宋体" w:eastAsia="宋体" w:cs="宋体"/>
                <w:color w:val="000000" w:themeColor="text1"/>
                <w:sz w:val="21"/>
                <w:szCs w:val="21"/>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4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2</w:t>
            </w:r>
          </w:p>
        </w:tc>
        <w:tc>
          <w:tcPr>
            <w:tcW w:w="9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人员配备情况</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设备运行</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10分）</w:t>
            </w:r>
          </w:p>
        </w:tc>
        <w:tc>
          <w:tcPr>
            <w:tcW w:w="10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20分</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应按照进水水质和水量运行污水处理设备，不得擅自停运或减少运行台数</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设备操作规程和维修保养</w:t>
            </w:r>
            <w:r>
              <w:rPr>
                <w:rFonts w:hint="eastAsia" w:ascii="宋体" w:hAnsi="宋体" w:eastAsia="宋体" w:cs="宋体"/>
                <w:color w:val="000000" w:themeColor="text1"/>
                <w:sz w:val="21"/>
                <w:szCs w:val="21"/>
                <w:highlight w:val="none"/>
                <w:lang w:eastAsia="zh-CN"/>
                <w14:textFill>
                  <w14:solidFill>
                    <w14:schemeClr w14:val="tx1"/>
                  </w14:solidFill>
                </w14:textFill>
              </w:rPr>
              <w:t>按</w:t>
            </w:r>
            <w:r>
              <w:rPr>
                <w:rFonts w:hint="eastAsia" w:ascii="宋体" w:hAnsi="宋体" w:eastAsia="宋体" w:cs="宋体"/>
                <w:color w:val="000000" w:themeColor="text1"/>
                <w:sz w:val="21"/>
                <w:szCs w:val="21"/>
                <w:highlight w:val="none"/>
                <w14:textFill>
                  <w14:solidFill>
                    <w14:schemeClr w14:val="tx1"/>
                  </w14:solidFill>
                </w14:textFill>
              </w:rPr>
              <w:t>规定执行</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不符合要求的发现一处扣</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bCs/>
                <w:color w:val="000000" w:themeColor="text1"/>
                <w:sz w:val="21"/>
                <w:szCs w:val="21"/>
                <w:highlight w:val="none"/>
                <w14:textFill>
                  <w14:solidFill>
                    <w14:schemeClr w14:val="tx1"/>
                  </w14:solidFill>
                </w14:textFill>
              </w:rPr>
              <w:t>每发现一个设备、设施运行不正常并导致污水处理作业无法正常运行的，扣</w:t>
            </w:r>
            <w:r>
              <w:rPr>
                <w:rFonts w:hint="eastAsia" w:ascii="宋体" w:hAnsi="宋体" w:eastAsia="宋体" w:cs="宋体"/>
                <w:bCs/>
                <w:color w:val="000000" w:themeColor="text1"/>
                <w:sz w:val="21"/>
                <w:szCs w:val="21"/>
                <w:highlight w:val="none"/>
                <w:lang w:val="en-US" w:eastAsia="zh-CN"/>
                <w14:textFill>
                  <w14:solidFill>
                    <w14:schemeClr w14:val="tx1"/>
                  </w14:solidFill>
                </w14:textFill>
              </w:rPr>
              <w:t>1</w:t>
            </w:r>
            <w:r>
              <w:rPr>
                <w:rFonts w:hint="eastAsia" w:ascii="宋体" w:hAnsi="宋体" w:eastAsia="宋体" w:cs="宋体"/>
                <w:bCs/>
                <w:color w:val="000000" w:themeColor="text1"/>
                <w:sz w:val="21"/>
                <w:szCs w:val="21"/>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人员配备</w:t>
            </w:r>
            <w:r>
              <w:rPr>
                <w:rFonts w:hint="eastAsia" w:ascii="宋体" w:hAnsi="宋体" w:eastAsia="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5分）</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根据处理规模及岗位要求配备人员，人员配备</w:t>
            </w:r>
            <w:r>
              <w:rPr>
                <w:rFonts w:hint="eastAsia" w:ascii="宋体" w:hAnsi="宋体" w:eastAsia="宋体" w:cs="宋体"/>
                <w:color w:val="000000" w:themeColor="text1"/>
                <w:sz w:val="21"/>
                <w:szCs w:val="21"/>
                <w:highlight w:val="none"/>
                <w:lang w:eastAsia="zh-CN"/>
                <w14:textFill>
                  <w14:solidFill>
                    <w14:schemeClr w14:val="tx1"/>
                  </w14:solidFill>
                </w14:textFill>
              </w:rPr>
              <w:t>不符合规定的，每人扣</w:t>
            </w:r>
            <w:r>
              <w:rPr>
                <w:rFonts w:hint="eastAsia" w:ascii="宋体" w:hAnsi="宋体" w:eastAsia="宋体" w:cs="宋体"/>
                <w:color w:val="000000" w:themeColor="text1"/>
                <w:sz w:val="21"/>
                <w:szCs w:val="21"/>
                <w:highlight w:val="none"/>
                <w:lang w:val="en-US" w:eastAsia="zh-CN"/>
                <w14:textFill>
                  <w14:solidFill>
                    <w14:schemeClr w14:val="tx1"/>
                  </w14:solidFill>
                </w14:textFill>
              </w:rPr>
              <w:t>1分。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宋体"/>
                <w:color w:val="000000" w:themeColor="text1"/>
                <w:sz w:val="2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考勤签到、考勤台帐资料齐全，日常巡查时人员不得少于</w:t>
            </w:r>
            <w:r>
              <w:rPr>
                <w:rFonts w:hint="eastAsia" w:ascii="宋体" w:hAnsi="宋体" w:eastAsia="宋体" w:cs="宋体"/>
                <w:color w:val="000000" w:themeColor="text1"/>
                <w:sz w:val="21"/>
                <w:szCs w:val="21"/>
                <w:highlight w:val="none"/>
                <w:u w:val="single"/>
                <w:lang w:val="en-US" w:eastAsia="zh-CN"/>
                <w14:textFill>
                  <w14:solidFill>
                    <w14:schemeClr w14:val="tx1"/>
                  </w14:solidFill>
                </w14:textFill>
              </w:rPr>
              <w:t xml:space="preserve"> 16</w:t>
            </w:r>
            <w:r>
              <w:rPr>
                <w:rFonts w:hint="eastAsia" w:ascii="宋体" w:hAnsi="宋体" w:eastAsia="宋体" w:cs="宋体"/>
                <w:color w:val="000000" w:themeColor="text1"/>
                <w:sz w:val="21"/>
                <w:szCs w:val="21"/>
                <w:highlight w:val="none"/>
                <w:u w:val="none"/>
                <w:lang w:val="en-US" w:eastAsia="zh-CN"/>
                <w14:textFill>
                  <w14:solidFill>
                    <w14:schemeClr w14:val="tx1"/>
                  </w14:solidFill>
                </w14:textFill>
              </w:rPr>
              <w:t>人（每个岗位必须有人），每发现少1人，扣1分。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605" w:type="dxa"/>
            <w:noWrap w:val="0"/>
            <w:vAlign w:val="center"/>
          </w:tcPr>
          <w:p>
            <w:pPr>
              <w:pStyle w:val="239"/>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持证上岗</w:t>
            </w:r>
          </w:p>
          <w:p>
            <w:pPr>
              <w:pStyle w:val="239"/>
              <w:keepNext w:val="0"/>
              <w:keepLines w:val="0"/>
              <w:pageBreakBefore w:val="0"/>
              <w:widowControl w:val="0"/>
              <w:kinsoku/>
              <w:wordWrap/>
              <w:overflowPunct/>
              <w:topLinePunct w:val="0"/>
              <w:autoSpaceDE/>
              <w:autoSpaceDN w:val="0"/>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6282" w:type="dxa"/>
            <w:noWrap w:val="0"/>
            <w:vAlign w:val="center"/>
          </w:tcPr>
          <w:p>
            <w:pPr>
              <w:pStyle w:val="239"/>
              <w:keepNext w:val="0"/>
              <w:keepLines w:val="0"/>
              <w:pageBreakBefore w:val="0"/>
              <w:widowControl w:val="0"/>
              <w:kinsoku/>
              <w:wordWrap/>
              <w:overflowPunct/>
              <w:topLinePunct w:val="0"/>
              <w:autoSpaceDE/>
              <w:autoSpaceDN w:val="0"/>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操作人员持证</w:t>
            </w:r>
            <w:r>
              <w:rPr>
                <w:rFonts w:hint="eastAsia" w:ascii="宋体" w:hAnsi="宋体" w:eastAsia="宋体" w:cs="宋体"/>
                <w:strike w:val="0"/>
                <w:dstrike w:val="0"/>
                <w:color w:val="000000" w:themeColor="text1"/>
                <w:kern w:val="2"/>
                <w:sz w:val="21"/>
                <w:szCs w:val="21"/>
                <w:highlight w:val="none"/>
                <w:lang w:val="en-US" w:eastAsia="zh-CN" w:bidi="ar-SA"/>
                <w14:textFill>
                  <w14:solidFill>
                    <w14:schemeClr w14:val="tx1"/>
                  </w14:solidFill>
                </w14:textFill>
              </w:rPr>
              <w:t>（行业</w:t>
            </w:r>
            <w:r>
              <w:rPr>
                <w:rFonts w:hint="eastAsia" w:ascii="宋体" w:hAnsi="宋体" w:cs="宋体"/>
                <w:strike w:val="0"/>
                <w:dstrike w:val="0"/>
                <w:color w:val="000000" w:themeColor="text1"/>
                <w:kern w:val="2"/>
                <w:sz w:val="21"/>
                <w:szCs w:val="21"/>
                <w:highlight w:val="none"/>
                <w:lang w:val="en-US" w:eastAsia="zh-CN" w:bidi="ar-SA"/>
                <w14:textFill>
                  <w14:solidFill>
                    <w14:schemeClr w14:val="tx1"/>
                  </w14:solidFill>
                </w14:textFill>
              </w:rPr>
              <w:t>主管部门</w:t>
            </w:r>
            <w:r>
              <w:rPr>
                <w:rFonts w:hint="eastAsia" w:ascii="宋体" w:hAnsi="宋体" w:eastAsia="宋体" w:cs="宋体"/>
                <w:strike w:val="0"/>
                <w:dstrike w:val="0"/>
                <w:color w:val="000000" w:themeColor="text1"/>
                <w:kern w:val="2"/>
                <w:sz w:val="21"/>
                <w:szCs w:val="21"/>
                <w:highlight w:val="none"/>
                <w:lang w:val="en-US" w:eastAsia="zh-CN" w:bidi="ar-SA"/>
                <w14:textFill>
                  <w14:solidFill>
                    <w14:schemeClr w14:val="tx1"/>
                  </w14:solidFill>
                </w14:textFill>
              </w:rPr>
              <w:t>颁发的资质证书）</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上岗率应达到 100%，特殊工种操作人员需培训合格,持证上岗；</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定期分别对操作人员进行专业培训，熟练掌握“三好”“四会”内容。即管好、用好、修好、会使用、会保养、会检查、会排除故障。有完整、真实的培训记录及材料</w:t>
            </w:r>
            <w:r>
              <w:rPr>
                <w:rFonts w:hint="eastAsia" w:ascii="宋体" w:hAnsi="宋体" w:eastAsia="宋体" w:cs="宋体"/>
                <w:color w:val="000000" w:themeColor="text1"/>
                <w:sz w:val="21"/>
                <w:szCs w:val="21"/>
                <w:highlight w:val="none"/>
                <w:lang w:eastAsia="zh-CN"/>
                <w14:textFill>
                  <w14:solidFill>
                    <w14:schemeClr w14:val="tx1"/>
                  </w14:solidFill>
                </w14:textFill>
              </w:rPr>
              <w:t>。不符合规定的每项扣</w:t>
            </w:r>
            <w:r>
              <w:rPr>
                <w:rFonts w:hint="eastAsia" w:ascii="宋体" w:hAnsi="宋体" w:eastAsia="宋体" w:cs="宋体"/>
                <w:color w:val="000000" w:themeColor="text1"/>
                <w:sz w:val="21"/>
                <w:szCs w:val="21"/>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4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3</w:t>
            </w:r>
          </w:p>
        </w:tc>
        <w:tc>
          <w:tcPr>
            <w:tcW w:w="9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台帐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管理</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污水台帐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（3分）</w:t>
            </w:r>
          </w:p>
        </w:tc>
        <w:tc>
          <w:tcPr>
            <w:tcW w:w="10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12分</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原始记录应包括：预处理及初级处理、二级处理、深度处理；消毒、加药记录等各工艺段的原始记录；统计报表包括工艺运行的统计日报、月报、年报等。</w:t>
            </w:r>
            <w:r>
              <w:rPr>
                <w:rFonts w:hint="eastAsia" w:ascii="宋体" w:hAnsi="宋体" w:eastAsia="宋体" w:cs="宋体"/>
                <w:color w:val="000000" w:themeColor="text1"/>
                <w:sz w:val="21"/>
                <w:szCs w:val="21"/>
                <w:highlight w:val="none"/>
                <w:lang w:eastAsia="zh-CN"/>
                <w14:textFill>
                  <w14:solidFill>
                    <w14:schemeClr w14:val="tx1"/>
                  </w14:solidFill>
                </w14:textFill>
              </w:rPr>
              <w:t>每缺一项扣</w:t>
            </w:r>
            <w:r>
              <w:rPr>
                <w:rFonts w:hint="eastAsia" w:ascii="宋体" w:hAnsi="宋体" w:eastAsia="宋体" w:cs="宋体"/>
                <w:color w:val="000000" w:themeColor="text1"/>
                <w:sz w:val="21"/>
                <w:szCs w:val="21"/>
                <w:highlight w:val="none"/>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污泥台帐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（3分）</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原始记录应包括：絮凝剂用量记录、脱水机房运行记录、污泥运输联单、污泥运输记录等。</w:t>
            </w:r>
            <w:r>
              <w:rPr>
                <w:rFonts w:hint="eastAsia" w:ascii="宋体" w:hAnsi="宋体" w:eastAsia="宋体" w:cs="宋体"/>
                <w:color w:val="000000" w:themeColor="text1"/>
                <w:sz w:val="21"/>
                <w:szCs w:val="21"/>
                <w:highlight w:val="none"/>
                <w:lang w:eastAsia="zh-CN"/>
                <w14:textFill>
                  <w14:solidFill>
                    <w14:schemeClr w14:val="tx1"/>
                  </w14:solidFill>
                </w14:textFill>
              </w:rPr>
              <w:t>每缺一项扣</w:t>
            </w:r>
            <w:r>
              <w:rPr>
                <w:rFonts w:hint="eastAsia" w:ascii="宋体" w:hAnsi="宋体" w:eastAsia="宋体" w:cs="宋体"/>
                <w:color w:val="000000" w:themeColor="text1"/>
                <w:sz w:val="21"/>
                <w:szCs w:val="21"/>
                <w:highlight w:val="none"/>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设备及在线仪表台帐（3分）</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原始记录应包括：设备汇总记录、设备档案、维保计划及记录、备品备件进出库记录、在线仪表的维护校验记录等。统计报表包括设备统计日报、月报、年报等。</w:t>
            </w:r>
            <w:r>
              <w:rPr>
                <w:rFonts w:hint="eastAsia" w:ascii="宋体" w:hAnsi="宋体" w:eastAsia="宋体" w:cs="宋体"/>
                <w:color w:val="000000" w:themeColor="text1"/>
                <w:sz w:val="21"/>
                <w:szCs w:val="21"/>
                <w:highlight w:val="none"/>
                <w:lang w:eastAsia="zh-CN"/>
                <w14:textFill>
                  <w14:solidFill>
                    <w14:schemeClr w14:val="tx1"/>
                  </w14:solidFill>
                </w14:textFill>
              </w:rPr>
              <w:t>每缺一项扣</w:t>
            </w:r>
            <w:r>
              <w:rPr>
                <w:rFonts w:hint="eastAsia" w:ascii="宋体" w:hAnsi="宋体" w:eastAsia="宋体" w:cs="宋体"/>
                <w:color w:val="000000" w:themeColor="text1"/>
                <w:sz w:val="21"/>
                <w:szCs w:val="21"/>
                <w:highlight w:val="none"/>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化验台帐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（3分）</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pStyle w:val="239"/>
              <w:keepNext w:val="0"/>
              <w:keepLines w:val="0"/>
              <w:pageBreakBefore w:val="0"/>
              <w:kinsoku/>
              <w:wordWrap/>
              <w:overflowPunct/>
              <w:topLinePunct w:val="0"/>
              <w:autoSpaceDE/>
              <w:bidi w:val="0"/>
              <w:adjustRightInd/>
              <w:snapToGrid/>
              <w:spacing w:line="300" w:lineRule="exact"/>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原始记录应包括：检测记录、采样记录、库存记录、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量值溯源记录、其他化验记录等。统计报表包括化验、统计日报、月报、年报等。</w:t>
            </w:r>
            <w:r>
              <w:rPr>
                <w:rFonts w:hint="eastAsia" w:ascii="宋体" w:hAnsi="宋体" w:eastAsia="宋体" w:cs="宋体"/>
                <w:color w:val="000000" w:themeColor="text1"/>
                <w:sz w:val="21"/>
                <w:szCs w:val="21"/>
                <w:highlight w:val="none"/>
                <w:lang w:eastAsia="zh-CN"/>
                <w14:textFill>
                  <w14:solidFill>
                    <w14:schemeClr w14:val="tx1"/>
                  </w14:solidFill>
                </w14:textFill>
              </w:rPr>
              <w:t>每缺一项扣</w:t>
            </w:r>
            <w:r>
              <w:rPr>
                <w:rFonts w:hint="eastAsia" w:ascii="宋体" w:hAnsi="宋体" w:eastAsia="宋体" w:cs="宋体"/>
                <w:color w:val="000000" w:themeColor="text1"/>
                <w:sz w:val="21"/>
                <w:szCs w:val="21"/>
                <w:highlight w:val="none"/>
                <w:lang w:val="en-US" w:eastAsia="zh-CN"/>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4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4</w:t>
            </w:r>
          </w:p>
        </w:tc>
        <w:tc>
          <w:tcPr>
            <w:tcW w:w="9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安全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管理落实情况</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安全管理人员及管理机构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5分）</w:t>
            </w:r>
          </w:p>
        </w:tc>
        <w:tc>
          <w:tcPr>
            <w:tcW w:w="10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15分</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污水处理厂应设置专职安全管理人员；要有健全的三级安全管理机构；各级均有明确的安全责任制；安全管理人员应持有地市级以上安全生产管理部门的安全上岗证</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 xml:space="preserve">每缺一项扣 </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605" w:type="dxa"/>
            <w:noWrap w:val="0"/>
            <w:vAlign w:val="center"/>
          </w:tcPr>
          <w:p>
            <w:pPr>
              <w:pStyle w:val="239"/>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安全管理制度</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5分）</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制定齐全、详细的安全规章制度；安全检查日志记录齐全；发现安全隐患有积极的响应措施、并能及时解决；安全检查台账、安全隐患排除、安全检查整改情况记录齐全。每缺一项扣 </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 xml:space="preserve"> 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605" w:type="dxa"/>
            <w:noWrap w:val="0"/>
            <w:vAlign w:val="center"/>
          </w:tcPr>
          <w:p>
            <w:pPr>
              <w:pStyle w:val="239"/>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安全规程</w:t>
            </w:r>
            <w:r>
              <w:rPr>
                <w:rFonts w:hint="eastAsia" w:ascii="宋体" w:hAnsi="宋体" w:cs="宋体"/>
                <w:color w:val="000000" w:themeColor="text1"/>
                <w:sz w:val="2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 w:val="21"/>
                <w:szCs w:val="21"/>
                <w:highlight w:val="none"/>
                <w14:textFill>
                  <w14:solidFill>
                    <w14:schemeClr w14:val="tx1"/>
                  </w14:solidFill>
                </w14:textFill>
              </w:rPr>
              <w:t>及防护</w:t>
            </w:r>
          </w:p>
          <w:p>
            <w:pPr>
              <w:pStyle w:val="239"/>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5分）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 xml:space="preserve">操作规程齐全、到位；岗位人员由必须的安全防护措施；必要场所有安全警示牌；有毒、有害场所配备由安全防护仪器、仪表、器具；密闭空间作业应配备符合要求的通风设备、个人防护用品、检测设备、照明设备、通讯设备和应急救援设备；重视易燃、易爆、剧毒药品的保管、储存和领用，制定相应的管理制度，并严格执行；剧毒药品应制定更严格的保管使用制度，例如严格专柜储存、双人双锁保管等。每缺一项扣 </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000000" w:themeColor="text1"/>
                <w:sz w:val="21"/>
                <w:szCs w:val="21"/>
                <w:highlight w:val="none"/>
                <w:lang w:eastAsia="zh-CN"/>
                <w14:textFill>
                  <w14:solidFill>
                    <w14:schemeClr w14:val="tx1"/>
                  </w14:solidFill>
                </w14:textFill>
              </w:rPr>
            </w:pPr>
            <w:r>
              <w:rPr>
                <w:rFonts w:hint="eastAsia" w:ascii="宋体" w:hAnsi="宋体" w:eastAsia="宋体" w:cs="宋体"/>
                <w:b/>
                <w:bCs/>
                <w:color w:val="000000" w:themeColor="text1"/>
                <w:sz w:val="21"/>
                <w:szCs w:val="21"/>
                <w:highlight w:val="none"/>
                <w:lang w:eastAsia="zh-CN"/>
                <w14:textFill>
                  <w14:solidFill>
                    <w14:schemeClr w14:val="tx1"/>
                  </w14:solidFill>
                </w14:textFill>
              </w:rPr>
              <w:t>安生事故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lang w:eastAsia="zh-CN"/>
                <w14:textFill>
                  <w14:solidFill>
                    <w14:schemeClr w14:val="tx1"/>
                  </w14:solidFill>
                </w14:textFill>
              </w:rPr>
              <w:t>扣分项（</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-10-0）</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运营单位安全生产发生一般事故的，扣2分；发生较大安全生产事故的，扣5分；发生较大安全生产事故以上的，扣10分。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4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5</w:t>
            </w:r>
          </w:p>
        </w:tc>
        <w:tc>
          <w:tcPr>
            <w:tcW w:w="90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水质与检验</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化验室配备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（5分）</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5分</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发现不满足相关标准和服务协议约定的检测项目和检测频率要求，每一项扣</w:t>
            </w:r>
            <w:r>
              <w:rPr>
                <w:rFonts w:hint="eastAsia" w:ascii="宋体" w:hAnsi="宋体" w:eastAsia="宋体" w:cs="宋体"/>
                <w:color w:val="000000" w:themeColor="text1"/>
                <w:sz w:val="21"/>
                <w:szCs w:val="21"/>
                <w:highlight w:val="none"/>
                <w:lang w:val="en-US" w:eastAsia="zh-CN"/>
                <w14:textFill>
                  <w14:solidFill>
                    <w14:schemeClr w14:val="tx1"/>
                  </w14:solidFill>
                </w14:textFill>
              </w:rPr>
              <w:t>0.5分；发现水样采集、检测操作不满足相关规范要求的，每一项扣0.5分；发现缺少化验室检测项目过程记录和原始记录，每一项扣0.5分；发现化验所需药剂存放、使用、处置不符合相关规定的，每一项扣0.5分；发现仪器未定期校验、仪器故障导致无法出具实验数据，每一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jc w:val="center"/>
        </w:trPr>
        <w:tc>
          <w:tcPr>
            <w:tcW w:w="4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val="en-US"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6</w:t>
            </w:r>
          </w:p>
        </w:tc>
        <w:tc>
          <w:tcPr>
            <w:tcW w:w="9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厂容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厂貌</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室外</w:t>
            </w:r>
            <w:r>
              <w:rPr>
                <w:rFonts w:hint="eastAsia" w:ascii="宋体" w:hAnsi="宋体" w:eastAsia="宋体" w:cs="宋体"/>
                <w:color w:val="000000" w:themeColor="text1"/>
                <w:sz w:val="21"/>
                <w:szCs w:val="21"/>
                <w:highlight w:val="none"/>
                <w:lang w:val="en-US" w:eastAsia="zh-CN"/>
                <w14:textFill>
                  <w14:solidFill>
                    <w14:schemeClr w14:val="tx1"/>
                  </w14:solidFill>
                </w14:textFill>
              </w:rPr>
              <w:t>（3分）</w:t>
            </w:r>
          </w:p>
        </w:tc>
        <w:tc>
          <w:tcPr>
            <w:tcW w:w="109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9分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建筑物外观整洁、无明显的破损和渗漏；设施设置明显标识，包括进水口、出水口（排放口）、污水处置单元、污泥处理和废气恶臭处理的构筑物、全部运转设备、各类管道和电缆，以及主要工艺节点；厂内道路完好、通畅，无破损；在潜在的落空、落水、窒息、中毒、触电、起火、绞伤、传染处应设置警示标识；厂内照明设施完好；厂内生活垃圾、栅渣等及时清理。每有一项不符合要求，扣 0.5 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5"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室内</w:t>
            </w:r>
            <w:r>
              <w:rPr>
                <w:rFonts w:hint="eastAsia" w:ascii="宋体" w:hAnsi="宋体" w:eastAsia="宋体" w:cs="宋体"/>
                <w:color w:val="000000" w:themeColor="text1"/>
                <w:sz w:val="21"/>
                <w:szCs w:val="21"/>
                <w:highlight w:val="none"/>
                <w:lang w:val="en-US" w:eastAsia="zh-CN"/>
                <w14:textFill>
                  <w14:solidFill>
                    <w14:schemeClr w14:val="tx1"/>
                  </w14:solidFill>
                </w14:textFill>
              </w:rPr>
              <w:t>（3分）</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办公室、值班室、中控室、监测室内物品摆放整齐，卫生整洁，无烟头污渍等，照明齐全有效；门、窗、玻璃明亮无破损，墙壁整洁；办公桌椅、操作工具摆放整齐；淋浴室、卫生间设施齐全、无破损、无异味；操作人员着装整齐、干净、文明礼貌。每有一项不符合要求，扣 0.5 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构筑物、管道等</w:t>
            </w:r>
            <w:r>
              <w:rPr>
                <w:rFonts w:hint="eastAsia" w:ascii="宋体" w:hAnsi="宋体" w:eastAsia="宋体" w:cs="宋体"/>
                <w:color w:val="000000" w:themeColor="text1"/>
                <w:sz w:val="21"/>
                <w:szCs w:val="21"/>
                <w:highlight w:val="none"/>
                <w:lang w:val="en-US" w:eastAsia="zh-CN"/>
                <w14:textFill>
                  <w14:solidFill>
                    <w14:schemeClr w14:val="tx1"/>
                  </w14:solidFill>
                </w14:textFill>
              </w:rPr>
              <w:t>（3分）</w:t>
            </w:r>
          </w:p>
        </w:tc>
        <w:tc>
          <w:tcPr>
            <w:tcW w:w="109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构筑物外观整洁，无渗漏；堰口、池壁保持清洁、完好、出水均匀，池面清洁；各种管道、闸阀无破损、无泄露，色标明显；各种井盖整齐完好，井内无杂物、积水、污物；井内和露地的管阀、管件无缺损，无明显锈蚀；电缆沟内无积水和杂物垃圾，盖板完整，各种线路按规定摆放整齐，标示明显。每有一项不符合要求，扣 0.5 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lang w:eastAsia="zh-CN"/>
                <w14:textFill>
                  <w14:solidFill>
                    <w14:schemeClr w14:val="tx1"/>
                  </w14:solidFill>
                </w14:textFill>
              </w:rPr>
            </w:pPr>
            <w:r>
              <w:rPr>
                <w:rFonts w:hint="eastAsia" w:ascii="宋体" w:hAnsi="宋体" w:eastAsia="宋体" w:cs="宋体"/>
                <w:b/>
                <w:color w:val="000000" w:themeColor="text1"/>
                <w:sz w:val="21"/>
                <w:szCs w:val="21"/>
                <w:highlight w:val="none"/>
                <w:lang w:val="en-US" w:eastAsia="zh-CN"/>
                <w14:textFill>
                  <w14:solidFill>
                    <w14:schemeClr w14:val="tx1"/>
                  </w14:solidFill>
                </w14:textFill>
              </w:rPr>
              <w:t>7</w:t>
            </w:r>
          </w:p>
        </w:tc>
        <w:tc>
          <w:tcPr>
            <w:tcW w:w="90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其他</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接受</w:t>
            </w:r>
            <w:r>
              <w:rPr>
                <w:rFonts w:hint="eastAsia" w:ascii="宋体" w:hAnsi="宋体" w:eastAsia="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lang w:eastAsia="zh-CN"/>
                <w14:textFill>
                  <w14:solidFill>
                    <w14:schemeClr w14:val="tx1"/>
                  </w14:solidFill>
                </w14:textFill>
              </w:rPr>
              <w:t>和相关部门的监督管理</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6分</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及时向</w:t>
            </w:r>
            <w:r>
              <w:rPr>
                <w:rFonts w:hint="eastAsia" w:ascii="宋体" w:hAnsi="宋体" w:eastAsia="宋体" w:cs="宋体"/>
                <w:color w:val="000000" w:themeColor="text1"/>
                <w:sz w:val="21"/>
                <w:szCs w:val="21"/>
                <w:highlight w:val="none"/>
                <w:lang w:val="en-US" w:eastAsia="zh-CN"/>
                <w14:textFill>
                  <w14:solidFill>
                    <w14:schemeClr w14:val="tx1"/>
                  </w14:solidFill>
                </w14:textFill>
              </w:rPr>
              <w:t>甲方</w:t>
            </w:r>
            <w:r>
              <w:rPr>
                <w:rFonts w:hint="eastAsia" w:ascii="宋体" w:hAnsi="宋体" w:eastAsia="宋体" w:cs="宋体"/>
                <w:color w:val="000000" w:themeColor="text1"/>
                <w:sz w:val="21"/>
                <w:szCs w:val="21"/>
                <w:highlight w:val="none"/>
                <w14:textFill>
                  <w14:solidFill>
                    <w14:schemeClr w14:val="tx1"/>
                  </w14:solidFill>
                </w14:textFill>
              </w:rPr>
              <w:t>上报日常运行报表、月度运营报表、各类生产运营类报表，且报表数据真实，不得虚报、瞒报、漏报</w:t>
            </w:r>
            <w:r>
              <w:rPr>
                <w:rFonts w:hint="eastAsia" w:ascii="宋体" w:hAnsi="宋体" w:eastAsia="宋体" w:cs="宋体"/>
                <w:color w:val="000000" w:themeColor="text1"/>
                <w:sz w:val="21"/>
                <w:szCs w:val="21"/>
                <w:highlight w:val="none"/>
                <w:lang w:eastAsia="zh-CN"/>
                <w14:textFill>
                  <w14:solidFill>
                    <w14:schemeClr w14:val="tx1"/>
                  </w14:solidFill>
                </w14:textFill>
              </w:rPr>
              <w:t>。如违反本条规定，</w:t>
            </w:r>
            <w:r>
              <w:rPr>
                <w:rFonts w:hint="eastAsia" w:ascii="宋体" w:hAnsi="宋体" w:eastAsia="宋体" w:cs="宋体"/>
                <w:color w:val="000000" w:themeColor="text1"/>
                <w:sz w:val="21"/>
                <w:szCs w:val="21"/>
                <w:highlight w:val="none"/>
                <w14:textFill>
                  <w14:solidFill>
                    <w14:schemeClr w14:val="tx1"/>
                  </w14:solidFill>
                </w14:textFill>
              </w:rPr>
              <w:t xml:space="preserve">每缺一项扣 </w:t>
            </w:r>
            <w:r>
              <w:rPr>
                <w:rFonts w:hint="eastAsia" w:ascii="宋体" w:hAnsi="宋体" w:eastAsia="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14:textFill>
                  <w14:solidFill>
                    <w14:schemeClr w14:val="tx1"/>
                  </w14:solidFill>
                </w14:textFill>
              </w:rPr>
              <w:t>分</w:t>
            </w:r>
            <w:r>
              <w:rPr>
                <w:rFonts w:hint="eastAsia" w:ascii="宋体" w:hAnsi="宋体" w:eastAsia="宋体" w:cs="宋体"/>
                <w:color w:val="000000" w:themeColor="text1"/>
                <w:sz w:val="21"/>
                <w:szCs w:val="21"/>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4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000000" w:themeColor="text1"/>
                <w:sz w:val="21"/>
                <w:szCs w:val="21"/>
                <w:highlight w:val="none"/>
                <w14:textFill>
                  <w14:solidFill>
                    <w14:schemeClr w14:val="tx1"/>
                  </w14:solidFill>
                </w14:textFill>
              </w:rPr>
            </w:pPr>
          </w:p>
        </w:tc>
        <w:tc>
          <w:tcPr>
            <w:tcW w:w="90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14:textFill>
                  <w14:solidFill>
                    <w14:schemeClr w14:val="tx1"/>
                  </w14:solidFill>
                </w14:textFill>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信息公开</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3分</w:t>
            </w:r>
          </w:p>
        </w:tc>
        <w:tc>
          <w:tcPr>
            <w:tcW w:w="62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未按规定公开水质水量信息等情况，发现</w:t>
            </w:r>
            <w:r>
              <w:rPr>
                <w:rFonts w:hint="eastAsia" w:ascii="宋体" w:hAnsi="宋体" w:eastAsia="宋体" w:cs="宋体"/>
                <w:color w:val="000000" w:themeColor="text1"/>
                <w:sz w:val="21"/>
                <w:szCs w:val="21"/>
                <w:highlight w:val="none"/>
                <w:lang w:val="en-US" w:eastAsia="zh-CN"/>
                <w14:textFill>
                  <w14:solidFill>
                    <w14:schemeClr w14:val="tx1"/>
                  </w14:solidFill>
                </w14:textFill>
              </w:rPr>
              <w:t>一次扣1分。</w:t>
            </w:r>
          </w:p>
        </w:tc>
      </w:tr>
    </w:tbl>
    <w:p>
      <w:pPr>
        <w:pStyle w:val="239"/>
        <w:spacing w:before="194" w:beforeLines="50"/>
        <w:textAlignment w:val="baseline"/>
        <w:rPr>
          <w:rFonts w:hint="eastAsia" w:ascii="宋体" w:hAnsi="宋体"/>
          <w:b/>
          <w:color w:val="000000" w:themeColor="text1"/>
          <w:sz w:val="20"/>
          <w:szCs w:val="20"/>
          <w:highlight w:val="none"/>
          <w14:textFill>
            <w14:solidFill>
              <w14:schemeClr w14:val="tx1"/>
            </w14:solidFill>
          </w14:textFill>
        </w:rPr>
      </w:pPr>
    </w:p>
    <w:p>
      <w:pPr>
        <w:pStyle w:val="239"/>
        <w:spacing w:before="194" w:beforeLines="50"/>
        <w:textAlignment w:val="baseline"/>
        <w:rPr>
          <w:rFonts w:ascii="宋体" w:hAnsi="宋体"/>
          <w:b/>
          <w:sz w:val="20"/>
          <w:szCs w:val="20"/>
        </w:rPr>
      </w:pPr>
      <w:r>
        <w:rPr>
          <w:rFonts w:hint="eastAsia" w:ascii="宋体" w:hAnsi="宋体"/>
          <w:b/>
          <w:sz w:val="20"/>
          <w:szCs w:val="20"/>
        </w:rPr>
        <w:t>附录2 处理污水量的计量</w:t>
      </w:r>
    </w:p>
    <w:p>
      <w:pPr>
        <w:pStyle w:val="239"/>
        <w:spacing w:before="194" w:beforeLines="50"/>
        <w:ind w:firstLine="567"/>
        <w:rPr>
          <w:rFonts w:ascii="宋体" w:hAnsi="宋体"/>
          <w:bCs/>
          <w:sz w:val="20"/>
          <w:szCs w:val="20"/>
          <w:lang w:val="fr-FR"/>
        </w:rPr>
      </w:pPr>
      <w:r>
        <w:rPr>
          <w:rFonts w:hint="eastAsia" w:ascii="宋体" w:hAnsi="宋体"/>
          <w:bCs/>
          <w:sz w:val="20"/>
          <w:szCs w:val="20"/>
        </w:rPr>
        <w:t xml:space="preserve">1. </w:t>
      </w:r>
      <w:r>
        <w:rPr>
          <w:rFonts w:hint="eastAsia" w:ascii="宋体" w:hAnsi="宋体"/>
          <w:bCs/>
          <w:sz w:val="20"/>
          <w:szCs w:val="20"/>
          <w:lang w:val="fr-FR"/>
        </w:rPr>
        <w:t>乙方应在污水处理厂甲方建设时已安装好的出水流量计位置完成污水处理厂进、出水水量的计量工作。</w:t>
      </w:r>
    </w:p>
    <w:p>
      <w:pPr>
        <w:pStyle w:val="239"/>
        <w:spacing w:before="194" w:beforeLines="50"/>
        <w:ind w:firstLine="567"/>
        <w:rPr>
          <w:rFonts w:ascii="宋体" w:hAnsi="宋体"/>
          <w:bCs/>
          <w:sz w:val="20"/>
          <w:szCs w:val="20"/>
          <w:lang w:val="fr-FR"/>
        </w:rPr>
      </w:pPr>
      <w:r>
        <w:rPr>
          <w:rFonts w:hint="eastAsia" w:ascii="宋体" w:hAnsi="宋体"/>
          <w:bCs/>
          <w:sz w:val="20"/>
          <w:szCs w:val="20"/>
        </w:rPr>
        <w:t xml:space="preserve">2. </w:t>
      </w:r>
      <w:r>
        <w:rPr>
          <w:rFonts w:hint="eastAsia" w:ascii="宋体" w:hAnsi="宋体"/>
          <w:bCs/>
          <w:sz w:val="20"/>
          <w:szCs w:val="20"/>
          <w:lang w:val="fr-FR"/>
        </w:rPr>
        <w:t>乙方应按运营服务协议规定进行流量计的连续测量、计算和记录出水量，并应确保这些流量计能够以在线方式分别向污水处理厂的中央控制室连续传送上述计量结果，包括瞬时和时、日、月和年的累计流量。</w:t>
      </w:r>
    </w:p>
    <w:p>
      <w:pPr>
        <w:pStyle w:val="239"/>
        <w:spacing w:before="194" w:beforeLines="50"/>
        <w:ind w:firstLine="567"/>
        <w:rPr>
          <w:rFonts w:ascii="宋体" w:hAnsi="宋体"/>
          <w:bCs/>
          <w:sz w:val="20"/>
          <w:szCs w:val="20"/>
          <w:lang w:val="fr-FR"/>
        </w:rPr>
      </w:pPr>
      <w:r>
        <w:rPr>
          <w:rFonts w:hint="eastAsia" w:ascii="宋体" w:hAnsi="宋体"/>
          <w:bCs/>
          <w:sz w:val="20"/>
          <w:szCs w:val="20"/>
        </w:rPr>
        <w:t xml:space="preserve">3. </w:t>
      </w:r>
      <w:r>
        <w:rPr>
          <w:rFonts w:hint="eastAsia" w:ascii="宋体" w:hAnsi="宋体"/>
          <w:bCs/>
          <w:sz w:val="20"/>
          <w:szCs w:val="20"/>
          <w:lang w:val="fr-FR"/>
        </w:rPr>
        <w:t>出水流量计由乙方在每月的最后一日抄表，以确定出水水量，水量将以立方米计算，甲方有权随时核查乙方的抄表记录。</w:t>
      </w:r>
    </w:p>
    <w:p>
      <w:pPr>
        <w:pStyle w:val="239"/>
        <w:spacing w:before="194" w:beforeLines="50"/>
        <w:ind w:firstLine="567"/>
        <w:rPr>
          <w:rFonts w:ascii="宋体" w:hAnsi="宋体"/>
          <w:bCs/>
          <w:sz w:val="20"/>
          <w:szCs w:val="20"/>
          <w:lang w:val="fr-FR"/>
        </w:rPr>
      </w:pPr>
      <w:r>
        <w:rPr>
          <w:rFonts w:hint="eastAsia" w:ascii="宋体" w:hAnsi="宋体"/>
          <w:bCs/>
          <w:sz w:val="20"/>
          <w:szCs w:val="20"/>
        </w:rPr>
        <w:t xml:space="preserve">4. </w:t>
      </w:r>
      <w:r>
        <w:rPr>
          <w:rFonts w:hint="eastAsia" w:ascii="宋体" w:hAnsi="宋体"/>
          <w:bCs/>
          <w:sz w:val="20"/>
          <w:szCs w:val="20"/>
          <w:lang w:val="fr-FR"/>
        </w:rPr>
        <w:t>出水计量点所计量的出水水量作为乙方处理的实际水量。</w:t>
      </w:r>
    </w:p>
    <w:p>
      <w:pPr>
        <w:pStyle w:val="239"/>
        <w:tabs>
          <w:tab w:val="left" w:pos="567"/>
        </w:tabs>
        <w:spacing w:before="194" w:beforeLines="50"/>
        <w:ind w:firstLine="567"/>
        <w:rPr>
          <w:rFonts w:ascii="宋体" w:hAnsi="宋体"/>
          <w:bCs/>
          <w:sz w:val="20"/>
          <w:szCs w:val="20"/>
          <w:lang w:val="fr-FR"/>
        </w:rPr>
      </w:pPr>
      <w:r>
        <w:rPr>
          <w:rFonts w:hint="eastAsia" w:ascii="宋体" w:hAnsi="宋体"/>
          <w:bCs/>
          <w:sz w:val="20"/>
          <w:szCs w:val="20"/>
        </w:rPr>
        <w:t xml:space="preserve">5. </w:t>
      </w:r>
      <w:r>
        <w:rPr>
          <w:rFonts w:hint="eastAsia" w:ascii="宋体" w:hAnsi="宋体"/>
          <w:bCs/>
          <w:sz w:val="20"/>
          <w:szCs w:val="20"/>
          <w:lang w:val="fr-FR"/>
        </w:rPr>
        <w:t>在某一个月（n）内出水总水量（Q</w:t>
      </w:r>
      <w:r>
        <w:rPr>
          <w:rFonts w:hint="eastAsia" w:ascii="宋体" w:hAnsi="宋体"/>
          <w:bCs/>
          <w:sz w:val="20"/>
          <w:szCs w:val="20"/>
          <w:vertAlign w:val="subscript"/>
          <w:lang w:val="fr-FR"/>
        </w:rPr>
        <w:t>n</w:t>
      </w:r>
      <w:r>
        <w:rPr>
          <w:rFonts w:hint="eastAsia" w:ascii="宋体" w:hAnsi="宋体"/>
          <w:bCs/>
          <w:sz w:val="20"/>
          <w:szCs w:val="20"/>
          <w:lang w:val="fr-FR"/>
        </w:rPr>
        <w:t>）应等于出水流量计当月所记录的水量（VM）减去该流量计上月（n-1）记录的出水量。</w:t>
      </w:r>
    </w:p>
    <w:p>
      <w:pPr>
        <w:pStyle w:val="239"/>
        <w:spacing w:before="194" w:beforeLines="50"/>
        <w:ind w:firstLine="567"/>
        <w:rPr>
          <w:rFonts w:ascii="宋体" w:hAnsi="宋体"/>
          <w:bCs/>
          <w:sz w:val="20"/>
          <w:szCs w:val="20"/>
          <w:lang w:val="fr-FR"/>
        </w:rPr>
      </w:pPr>
      <w:r>
        <w:rPr>
          <w:rFonts w:hint="eastAsia" w:ascii="宋体" w:hAnsi="宋体"/>
          <w:bCs/>
          <w:sz w:val="20"/>
          <w:szCs w:val="20"/>
          <w:lang w:val="fr-FR"/>
        </w:rPr>
        <w:t>即：Q</w:t>
      </w:r>
      <w:r>
        <w:rPr>
          <w:rFonts w:hint="eastAsia" w:ascii="宋体" w:hAnsi="宋体"/>
          <w:bCs/>
          <w:sz w:val="20"/>
          <w:szCs w:val="20"/>
          <w:vertAlign w:val="subscript"/>
          <w:lang w:val="fr-FR"/>
        </w:rPr>
        <w:t>n</w:t>
      </w:r>
      <w:r>
        <w:rPr>
          <w:rFonts w:hint="eastAsia" w:ascii="宋体" w:hAnsi="宋体"/>
          <w:bCs/>
          <w:sz w:val="20"/>
          <w:szCs w:val="20"/>
          <w:lang w:val="fr-FR"/>
        </w:rPr>
        <w:t xml:space="preserve"> =VM(n)-VM(n-1)</w:t>
      </w:r>
    </w:p>
    <w:p>
      <w:pPr>
        <w:pStyle w:val="239"/>
        <w:tabs>
          <w:tab w:val="left" w:pos="567"/>
        </w:tabs>
        <w:spacing w:before="194" w:beforeLines="50"/>
        <w:ind w:firstLine="567"/>
        <w:rPr>
          <w:rFonts w:ascii="宋体" w:hAnsi="宋体"/>
          <w:bCs/>
          <w:sz w:val="20"/>
          <w:szCs w:val="20"/>
          <w:lang w:val="fr-FR"/>
        </w:rPr>
      </w:pPr>
      <w:r>
        <w:rPr>
          <w:rFonts w:hint="eastAsia" w:ascii="宋体" w:hAnsi="宋体"/>
          <w:bCs/>
          <w:sz w:val="20"/>
          <w:szCs w:val="20"/>
        </w:rPr>
        <w:t xml:space="preserve">6. </w:t>
      </w:r>
      <w:r>
        <w:rPr>
          <w:rFonts w:hint="eastAsia" w:ascii="宋体" w:hAnsi="宋体"/>
          <w:bCs/>
          <w:sz w:val="20"/>
          <w:szCs w:val="20"/>
          <w:lang w:val="fr-FR"/>
        </w:rPr>
        <w:t>在污水处理厂任一个发生暂停服务的月度，乙方应对暂停期间每日的进、出水流量计做连续、单独的计量记录，其间在某一天（第i日）内出水水量（q</w:t>
      </w:r>
      <w:r>
        <w:rPr>
          <w:rFonts w:hint="eastAsia" w:ascii="宋体" w:hAnsi="宋体"/>
          <w:bCs/>
          <w:sz w:val="20"/>
          <w:szCs w:val="20"/>
          <w:vertAlign w:val="subscript"/>
          <w:lang w:val="fr-FR"/>
        </w:rPr>
        <w:t>i</w:t>
      </w:r>
      <w:r>
        <w:rPr>
          <w:rFonts w:hint="eastAsia" w:ascii="宋体" w:hAnsi="宋体"/>
          <w:bCs/>
          <w:sz w:val="20"/>
          <w:szCs w:val="20"/>
          <w:lang w:val="fr-FR"/>
        </w:rPr>
        <w:t>）应等于出水流量计当日所记录的水量（VD）减去该流量计上一天（第i-1日）记录的出水量。</w:t>
      </w:r>
    </w:p>
    <w:p>
      <w:pPr>
        <w:pStyle w:val="239"/>
        <w:spacing w:before="194" w:beforeLines="50"/>
        <w:ind w:firstLine="567"/>
        <w:rPr>
          <w:rFonts w:ascii="宋体" w:hAnsi="宋体"/>
          <w:bCs/>
          <w:sz w:val="20"/>
          <w:szCs w:val="20"/>
          <w:lang w:val="fr-FR"/>
        </w:rPr>
      </w:pPr>
      <w:r>
        <w:rPr>
          <w:rFonts w:hint="eastAsia" w:ascii="宋体" w:hAnsi="宋体"/>
          <w:bCs/>
          <w:sz w:val="20"/>
          <w:szCs w:val="20"/>
          <w:lang w:val="fr-FR"/>
        </w:rPr>
        <w:t>即：q</w:t>
      </w:r>
      <w:r>
        <w:rPr>
          <w:rFonts w:hint="eastAsia" w:ascii="宋体" w:hAnsi="宋体"/>
          <w:bCs/>
          <w:sz w:val="20"/>
          <w:szCs w:val="20"/>
          <w:vertAlign w:val="subscript"/>
          <w:lang w:val="fr-FR"/>
        </w:rPr>
        <w:t>i</w:t>
      </w:r>
      <w:r>
        <w:rPr>
          <w:rFonts w:hint="eastAsia" w:ascii="宋体" w:hAnsi="宋体"/>
          <w:bCs/>
          <w:sz w:val="20"/>
          <w:szCs w:val="20"/>
          <w:lang w:val="fr-FR"/>
        </w:rPr>
        <w:t>=VD(i)-VD(i-1)</w:t>
      </w:r>
    </w:p>
    <w:p>
      <w:pPr>
        <w:pStyle w:val="239"/>
        <w:spacing w:before="194" w:beforeLines="50"/>
        <w:ind w:firstLine="567"/>
        <w:rPr>
          <w:rFonts w:ascii="宋体" w:hAnsi="宋体"/>
          <w:bCs/>
          <w:sz w:val="20"/>
          <w:szCs w:val="20"/>
          <w:lang w:val="fr-FR"/>
        </w:rPr>
      </w:pPr>
      <w:r>
        <w:rPr>
          <w:rFonts w:hint="eastAsia" w:ascii="宋体" w:hAnsi="宋体"/>
          <w:bCs/>
          <w:sz w:val="20"/>
          <w:szCs w:val="20"/>
        </w:rPr>
        <w:t xml:space="preserve">7. </w:t>
      </w:r>
      <w:r>
        <w:rPr>
          <w:rFonts w:hint="eastAsia" w:ascii="宋体" w:hAnsi="宋体"/>
          <w:bCs/>
          <w:sz w:val="20"/>
          <w:szCs w:val="20"/>
          <w:lang w:val="fr-FR"/>
        </w:rPr>
        <w:t>在污水处理厂开始运营日之月份（0）起，双方应立即将所有流量计确立一个基础读数，以确定每一污水流量计的VM(0)值。此后，流量计不得归零，如果因技术原因必须归零时，乙方至少提前三（3）个工作日书面通知甲方。流量计归零时，需要有甲方指定代表或监督员到场。</w:t>
      </w:r>
    </w:p>
    <w:p>
      <w:pPr>
        <w:pStyle w:val="239"/>
        <w:spacing w:before="194" w:beforeLines="50"/>
        <w:ind w:firstLine="567"/>
        <w:rPr>
          <w:rFonts w:ascii="宋体" w:hAnsi="宋体"/>
          <w:bCs/>
          <w:sz w:val="20"/>
          <w:szCs w:val="20"/>
          <w:lang w:val="fr-FR"/>
        </w:rPr>
      </w:pPr>
    </w:p>
    <w:p>
      <w:pPr>
        <w:pStyle w:val="239"/>
        <w:spacing w:before="194" w:beforeLines="50"/>
        <w:textAlignment w:val="baseline"/>
        <w:rPr>
          <w:rFonts w:ascii="宋体" w:hAnsi="宋体"/>
          <w:b/>
          <w:sz w:val="20"/>
          <w:szCs w:val="20"/>
        </w:rPr>
      </w:pPr>
      <w:r>
        <w:rPr>
          <w:rFonts w:hint="eastAsia" w:ascii="宋体" w:hAnsi="宋体"/>
          <w:b/>
          <w:sz w:val="20"/>
          <w:szCs w:val="20"/>
        </w:rPr>
        <w:t>附录</w:t>
      </w:r>
      <w:r>
        <w:rPr>
          <w:rFonts w:hint="eastAsia" w:ascii="宋体" w:hAnsi="宋体"/>
          <w:b/>
          <w:sz w:val="20"/>
          <w:szCs w:val="20"/>
          <w:lang w:val="en-US" w:eastAsia="zh-CN"/>
        </w:rPr>
        <w:t>3</w:t>
      </w:r>
      <w:r>
        <w:rPr>
          <w:rFonts w:hint="eastAsia" w:ascii="宋体" w:hAnsi="宋体"/>
          <w:b/>
          <w:sz w:val="20"/>
          <w:szCs w:val="20"/>
        </w:rPr>
        <w:t>污水处理厂厂区平面规划与布置</w:t>
      </w:r>
    </w:p>
    <w:p>
      <w:pPr>
        <w:pStyle w:val="239"/>
        <w:spacing w:before="194" w:beforeLines="50"/>
        <w:ind w:firstLine="567"/>
        <w:rPr>
          <w:rFonts w:ascii="宋体" w:hAnsi="宋体"/>
          <w:bCs/>
          <w:sz w:val="20"/>
          <w:szCs w:val="20"/>
        </w:rPr>
      </w:pPr>
      <w:r>
        <w:rPr>
          <w:rFonts w:hint="eastAsia" w:ascii="宋体" w:hAnsi="宋体"/>
          <w:bCs/>
          <w:sz w:val="20"/>
          <w:szCs w:val="20"/>
        </w:rPr>
        <w:t>乙方向甲方提交一份高铁新城再生水厂  厂区内实际平面布置示意图，其中对污水处理厂进厂大门、综合楼等建筑物位置和进水接收点和出水交付点，进水流量计和出水流量计位置，以及进水水质检测点和出水水质检测点必须在该平面布置图中予以明示并做简单说明。</w:t>
      </w:r>
    </w:p>
    <w:p>
      <w:pPr>
        <w:pStyle w:val="239"/>
        <w:spacing w:before="194" w:beforeLines="50"/>
        <w:textAlignment w:val="baseline"/>
        <w:rPr>
          <w:rFonts w:ascii="宋体" w:hAnsi="宋体"/>
          <w:b/>
          <w:sz w:val="20"/>
          <w:szCs w:val="20"/>
        </w:rPr>
      </w:pPr>
    </w:p>
    <w:p>
      <w:pPr>
        <w:pStyle w:val="239"/>
        <w:spacing w:before="194" w:beforeLines="50"/>
        <w:textAlignment w:val="baseline"/>
        <w:rPr>
          <w:rFonts w:hint="eastAsia" w:ascii="宋体" w:hAnsi="宋体"/>
          <w:b/>
          <w:sz w:val="20"/>
          <w:szCs w:val="20"/>
        </w:rPr>
      </w:pPr>
    </w:p>
    <w:p>
      <w:pPr>
        <w:pStyle w:val="239"/>
        <w:spacing w:before="194" w:beforeLines="50"/>
        <w:textAlignment w:val="baseline"/>
        <w:rPr>
          <w:rFonts w:hint="eastAsia" w:ascii="宋体" w:hAnsi="宋体"/>
          <w:b/>
          <w:sz w:val="20"/>
          <w:szCs w:val="20"/>
        </w:rPr>
      </w:pPr>
    </w:p>
    <w:p>
      <w:pPr>
        <w:pStyle w:val="239"/>
        <w:spacing w:before="194" w:beforeLines="50"/>
        <w:textAlignment w:val="baseline"/>
        <w:rPr>
          <w:rFonts w:hint="eastAsia" w:ascii="宋体" w:hAnsi="宋体"/>
          <w:b/>
          <w:sz w:val="20"/>
          <w:szCs w:val="20"/>
        </w:rPr>
      </w:pPr>
    </w:p>
    <w:p>
      <w:pPr>
        <w:pStyle w:val="239"/>
        <w:spacing w:before="194" w:beforeLines="50"/>
        <w:textAlignment w:val="baseline"/>
        <w:rPr>
          <w:rFonts w:ascii="宋体" w:hAnsi="宋体"/>
          <w:b/>
          <w:sz w:val="20"/>
          <w:szCs w:val="20"/>
        </w:rPr>
      </w:pPr>
      <w:r>
        <w:rPr>
          <w:rFonts w:hint="eastAsia" w:ascii="宋体" w:hAnsi="宋体"/>
          <w:b/>
          <w:sz w:val="20"/>
          <w:szCs w:val="20"/>
        </w:rPr>
        <w:t>附录</w:t>
      </w:r>
      <w:r>
        <w:rPr>
          <w:rFonts w:hint="eastAsia" w:ascii="宋体" w:hAnsi="宋体"/>
          <w:b/>
          <w:sz w:val="20"/>
          <w:szCs w:val="20"/>
          <w:lang w:val="en-US" w:eastAsia="zh-CN"/>
        </w:rPr>
        <w:t>4</w:t>
      </w:r>
      <w:r>
        <w:rPr>
          <w:rFonts w:hint="eastAsia" w:ascii="宋体" w:hAnsi="宋体"/>
          <w:b/>
          <w:sz w:val="20"/>
          <w:szCs w:val="20"/>
        </w:rPr>
        <w:t xml:space="preserve"> 进水水质超标的处理</w:t>
      </w:r>
    </w:p>
    <w:p>
      <w:pPr>
        <w:pStyle w:val="239"/>
        <w:tabs>
          <w:tab w:val="left" w:pos="721"/>
        </w:tabs>
        <w:spacing w:before="194" w:beforeLines="50"/>
        <w:rPr>
          <w:rFonts w:ascii="宋体" w:hAnsi="宋体"/>
          <w:bCs/>
          <w:sz w:val="20"/>
          <w:szCs w:val="20"/>
          <w:lang w:val="fr-FR"/>
        </w:rPr>
      </w:pPr>
      <w:r>
        <w:rPr>
          <w:rFonts w:hint="eastAsia" w:ascii="宋体" w:hAnsi="宋体"/>
          <w:bCs/>
          <w:sz w:val="20"/>
          <w:szCs w:val="20"/>
        </w:rPr>
        <w:t xml:space="preserve">     1. </w:t>
      </w:r>
      <w:r>
        <w:rPr>
          <w:rFonts w:hint="eastAsia" w:ascii="宋体" w:hAnsi="宋体"/>
          <w:bCs/>
          <w:sz w:val="20"/>
          <w:szCs w:val="20"/>
          <w:lang w:val="fr-FR"/>
        </w:rPr>
        <w:t xml:space="preserve"> 进水中除pH值以外的任何一种进水主要水质指标超过运营服务协议第</w:t>
      </w:r>
      <w:r>
        <w:rPr>
          <w:rFonts w:hint="eastAsia" w:ascii="宋体" w:hAnsi="宋体"/>
          <w:bCs/>
          <w:sz w:val="20"/>
          <w:szCs w:val="20"/>
          <w:u w:val="single"/>
          <w:lang w:val="fr-FR"/>
        </w:rPr>
        <w:t>5.1.1</w:t>
      </w:r>
      <w:r>
        <w:rPr>
          <w:rFonts w:hint="eastAsia" w:ascii="宋体" w:hAnsi="宋体"/>
          <w:bCs/>
          <w:sz w:val="20"/>
          <w:szCs w:val="20"/>
          <w:lang w:val="fr-FR"/>
        </w:rPr>
        <w:t>条款规定的进水水质标准</w:t>
      </w:r>
      <w:r>
        <w:rPr>
          <w:rFonts w:hint="eastAsia" w:ascii="宋体" w:hAnsi="宋体"/>
          <w:bCs/>
          <w:sz w:val="20"/>
          <w:szCs w:val="20"/>
        </w:rPr>
        <w:t>10</w:t>
      </w:r>
      <w:r>
        <w:rPr>
          <w:rFonts w:hint="eastAsia" w:ascii="宋体" w:hAnsi="宋体"/>
          <w:bCs/>
          <w:sz w:val="20"/>
          <w:szCs w:val="20"/>
          <w:lang w:val="fr-FR"/>
        </w:rPr>
        <w:t>%以内（含</w:t>
      </w:r>
      <w:r>
        <w:rPr>
          <w:rFonts w:hint="eastAsia" w:ascii="宋体" w:hAnsi="宋体"/>
          <w:bCs/>
          <w:sz w:val="20"/>
          <w:szCs w:val="20"/>
        </w:rPr>
        <w:t>10</w:t>
      </w:r>
      <w:r>
        <w:rPr>
          <w:rFonts w:hint="eastAsia" w:ascii="宋体" w:hAnsi="宋体"/>
          <w:bCs/>
          <w:sz w:val="20"/>
          <w:szCs w:val="20"/>
          <w:lang w:val="fr-FR"/>
        </w:rPr>
        <w:t>%）等</w:t>
      </w:r>
      <w:r>
        <w:rPr>
          <w:rFonts w:hint="eastAsia" w:ascii="宋体" w:hAnsi="宋体"/>
          <w:sz w:val="20"/>
        </w:rPr>
        <w:t>情况</w:t>
      </w:r>
      <w:r>
        <w:rPr>
          <w:rFonts w:hint="eastAsia" w:ascii="宋体" w:hAnsi="宋体"/>
          <w:bCs/>
          <w:sz w:val="20"/>
          <w:szCs w:val="20"/>
          <w:lang w:val="fr-FR"/>
        </w:rPr>
        <w:t>时，视为此种超标在污水处理厂正常处理范围之内，乙方应及时向环保主管部门及甲方报告，并有义务保证出水水质符合运营服务协议第</w:t>
      </w:r>
      <w:r>
        <w:rPr>
          <w:rFonts w:hint="eastAsia" w:ascii="宋体" w:hAnsi="宋体"/>
          <w:bCs/>
          <w:sz w:val="20"/>
          <w:szCs w:val="20"/>
          <w:u w:val="single"/>
          <w:lang w:val="fr-FR"/>
        </w:rPr>
        <w:t>5.1.2</w:t>
      </w:r>
      <w:r>
        <w:rPr>
          <w:rFonts w:hint="eastAsia" w:ascii="宋体" w:hAnsi="宋体"/>
          <w:bCs/>
          <w:sz w:val="20"/>
          <w:szCs w:val="20"/>
          <w:lang w:val="fr-FR"/>
        </w:rPr>
        <w:t>条款规定的出水质量标准。</w:t>
      </w:r>
    </w:p>
    <w:p>
      <w:pPr>
        <w:pStyle w:val="239"/>
        <w:tabs>
          <w:tab w:val="left" w:pos="721"/>
        </w:tabs>
        <w:spacing w:before="194" w:beforeLines="50"/>
        <w:rPr>
          <w:rFonts w:ascii="宋体" w:hAnsi="宋体"/>
          <w:bCs/>
          <w:sz w:val="20"/>
          <w:szCs w:val="20"/>
          <w:lang w:val="fr-FR"/>
        </w:rPr>
      </w:pPr>
      <w:r>
        <w:rPr>
          <w:rFonts w:hint="eastAsia" w:ascii="宋体" w:hAnsi="宋体"/>
          <w:bCs/>
          <w:sz w:val="20"/>
          <w:szCs w:val="20"/>
        </w:rPr>
        <w:t xml:space="preserve">     2. </w:t>
      </w:r>
      <w:r>
        <w:rPr>
          <w:rFonts w:hint="eastAsia" w:ascii="宋体" w:hAnsi="宋体"/>
          <w:bCs/>
          <w:sz w:val="20"/>
          <w:szCs w:val="20"/>
          <w:lang w:val="fr-FR"/>
        </w:rPr>
        <w:t>进水中除pH值以外的任何一种进水主要水质指标超过运营服务协议第</w:t>
      </w:r>
      <w:r>
        <w:rPr>
          <w:rFonts w:hint="eastAsia" w:ascii="宋体" w:hAnsi="宋体"/>
          <w:bCs/>
          <w:sz w:val="20"/>
          <w:szCs w:val="20"/>
          <w:u w:val="single"/>
          <w:lang w:val="fr-FR"/>
        </w:rPr>
        <w:t>5.1.1</w:t>
      </w:r>
      <w:r>
        <w:rPr>
          <w:rFonts w:hint="eastAsia" w:ascii="宋体" w:hAnsi="宋体"/>
          <w:bCs/>
          <w:sz w:val="20"/>
          <w:szCs w:val="20"/>
          <w:lang w:val="fr-FR"/>
        </w:rPr>
        <w:t>条款规定的进水水质标准</w:t>
      </w:r>
      <w:r>
        <w:rPr>
          <w:rFonts w:hint="eastAsia" w:ascii="宋体" w:hAnsi="宋体"/>
          <w:bCs/>
          <w:sz w:val="20"/>
          <w:szCs w:val="20"/>
        </w:rPr>
        <w:t>10</w:t>
      </w:r>
      <w:r>
        <w:rPr>
          <w:rFonts w:hint="eastAsia" w:ascii="宋体" w:hAnsi="宋体"/>
          <w:bCs/>
          <w:sz w:val="20"/>
          <w:szCs w:val="20"/>
          <w:lang w:val="fr-FR"/>
        </w:rPr>
        <w:t>%以上（不含</w:t>
      </w:r>
      <w:r>
        <w:rPr>
          <w:rFonts w:hint="eastAsia" w:ascii="宋体" w:hAnsi="宋体"/>
          <w:bCs/>
          <w:sz w:val="20"/>
          <w:szCs w:val="20"/>
        </w:rPr>
        <w:t>10</w:t>
      </w:r>
      <w:r>
        <w:rPr>
          <w:rFonts w:hint="eastAsia" w:ascii="宋体" w:hAnsi="宋体"/>
          <w:bCs/>
          <w:sz w:val="20"/>
          <w:szCs w:val="20"/>
          <w:lang w:val="fr-FR"/>
        </w:rPr>
        <w:t>%）</w:t>
      </w:r>
      <w:r>
        <w:rPr>
          <w:rFonts w:ascii="宋体" w:hAnsi="宋体"/>
          <w:sz w:val="20"/>
        </w:rPr>
        <w:t>或者PH＜</w:t>
      </w:r>
      <w:r>
        <w:rPr>
          <w:rFonts w:hint="eastAsia" w:ascii="宋体" w:hAnsi="宋体"/>
          <w:sz w:val="20"/>
        </w:rPr>
        <w:t>6</w:t>
      </w:r>
      <w:r>
        <w:rPr>
          <w:rFonts w:ascii="宋体" w:hAnsi="宋体"/>
          <w:sz w:val="20"/>
        </w:rPr>
        <w:t>或PH＞</w:t>
      </w:r>
      <w:r>
        <w:rPr>
          <w:rFonts w:hint="eastAsia" w:ascii="宋体" w:hAnsi="宋体"/>
          <w:sz w:val="20"/>
        </w:rPr>
        <w:t>9等情况时</w:t>
      </w:r>
      <w:r>
        <w:rPr>
          <w:rFonts w:hint="eastAsia" w:ascii="宋体" w:hAnsi="宋体"/>
          <w:bCs/>
          <w:sz w:val="20"/>
          <w:szCs w:val="20"/>
          <w:lang w:val="fr-FR"/>
        </w:rPr>
        <w:t>或</w:t>
      </w:r>
      <w:r>
        <w:rPr>
          <w:rFonts w:hint="eastAsia" w:ascii="宋体" w:hAnsi="宋体"/>
          <w:bCs/>
          <w:sz w:val="20"/>
          <w:szCs w:val="20"/>
        </w:rPr>
        <w:t>进水水质符合设计标准但难以满足可生化性指标要求（指进水BOD</w:t>
      </w:r>
      <w:r>
        <w:rPr>
          <w:rFonts w:hint="eastAsia" w:ascii="宋体" w:hAnsi="宋体"/>
          <w:bCs/>
          <w:sz w:val="20"/>
          <w:szCs w:val="20"/>
          <w:vertAlign w:val="subscript"/>
        </w:rPr>
        <w:t>5</w:t>
      </w:r>
      <w:r>
        <w:rPr>
          <w:rFonts w:hint="eastAsia" w:ascii="宋体" w:hAnsi="宋体"/>
          <w:bCs/>
          <w:sz w:val="20"/>
          <w:szCs w:val="20"/>
        </w:rPr>
        <w:t>/CODcr ≤0.3时）</w:t>
      </w:r>
      <w:r>
        <w:rPr>
          <w:rFonts w:hint="eastAsia" w:ascii="宋体" w:hAnsi="宋体"/>
          <w:bCs/>
          <w:sz w:val="20"/>
          <w:szCs w:val="20"/>
          <w:lang w:val="fr-FR"/>
        </w:rPr>
        <w:t>的，甲方将不就此向乙方收取违约金，乙方应及时向环保主管部门及甲方报告，并努力保证污水处理厂出水水质尽量接近环评批复</w:t>
      </w:r>
      <w:r>
        <w:rPr>
          <w:rFonts w:hint="eastAsia" w:ascii="宋体" w:hAnsi="宋体"/>
          <w:bCs/>
          <w:sz w:val="20"/>
          <w:szCs w:val="20"/>
        </w:rPr>
        <w:t>的</w:t>
      </w:r>
      <w:r>
        <w:rPr>
          <w:rFonts w:hint="eastAsia" w:ascii="宋体" w:hAnsi="宋体"/>
          <w:bCs/>
          <w:sz w:val="20"/>
          <w:szCs w:val="20"/>
          <w:lang w:val="fr-FR"/>
        </w:rPr>
        <w:t>排放标准，甲方将协助乙方协调超标排放事宜。</w:t>
      </w:r>
    </w:p>
    <w:p>
      <w:pPr>
        <w:pStyle w:val="239"/>
        <w:tabs>
          <w:tab w:val="left" w:pos="721"/>
        </w:tabs>
        <w:ind w:firstLine="412" w:firstLineChars="200"/>
        <w:rPr>
          <w:rFonts w:ascii="宋体" w:hAnsi="宋体"/>
          <w:bCs/>
          <w:sz w:val="20"/>
          <w:szCs w:val="20"/>
          <w:lang w:val="fr-FR"/>
        </w:rPr>
      </w:pPr>
      <w:r>
        <w:rPr>
          <w:rFonts w:hint="eastAsia" w:ascii="宋体" w:hAnsi="宋体"/>
          <w:bCs/>
          <w:sz w:val="20"/>
          <w:szCs w:val="20"/>
        </w:rPr>
        <w:t>3.</w:t>
      </w:r>
      <w:r>
        <w:rPr>
          <w:rFonts w:hint="eastAsia" w:ascii="宋体" w:hAnsi="宋体"/>
          <w:bCs/>
          <w:sz w:val="20"/>
          <w:szCs w:val="20"/>
          <w:lang w:val="fr-FR"/>
        </w:rPr>
        <w:t>乙方应就水质超标情况及时通知环保主管部门及甲方核实并提请获得相应免责处理，同时应尽最大努力使污水处理厂出水水质符合尾水出水质量标准。</w:t>
      </w:r>
    </w:p>
    <w:p>
      <w:pPr>
        <w:pStyle w:val="239"/>
        <w:tabs>
          <w:tab w:val="left" w:pos="567"/>
        </w:tabs>
        <w:spacing w:before="194" w:beforeLines="50"/>
        <w:ind w:firstLine="567"/>
        <w:rPr>
          <w:rFonts w:ascii="宋体" w:hAnsi="宋体"/>
          <w:bCs/>
          <w:sz w:val="20"/>
          <w:szCs w:val="20"/>
          <w:lang w:val="fr-FR"/>
        </w:rPr>
      </w:pPr>
      <w:r>
        <w:rPr>
          <w:rFonts w:hint="eastAsia" w:ascii="宋体" w:hAnsi="宋体"/>
          <w:bCs/>
          <w:sz w:val="20"/>
          <w:szCs w:val="20"/>
        </w:rPr>
        <w:t>4.</w:t>
      </w:r>
      <w:r>
        <w:rPr>
          <w:rFonts w:hint="eastAsia" w:ascii="宋体" w:hAnsi="宋体"/>
          <w:bCs/>
          <w:sz w:val="20"/>
          <w:szCs w:val="20"/>
          <w:lang w:val="fr-FR"/>
        </w:rPr>
        <w:t>甲方将不就此向乙方收取超标排放违约金，但导致行政处罚则由乙方承担，且甲方不再追究乙方违约责任。</w:t>
      </w:r>
    </w:p>
    <w:p>
      <w:pPr>
        <w:pStyle w:val="239"/>
        <w:tabs>
          <w:tab w:val="left" w:pos="567"/>
        </w:tabs>
        <w:spacing w:before="194" w:beforeLines="50"/>
        <w:ind w:firstLine="567"/>
        <w:rPr>
          <w:rFonts w:ascii="宋体" w:hAnsi="宋体"/>
          <w:bCs/>
          <w:sz w:val="20"/>
          <w:szCs w:val="20"/>
          <w:lang w:val="fr-FR"/>
        </w:rPr>
      </w:pPr>
      <w:r>
        <w:rPr>
          <w:rFonts w:hint="eastAsia" w:ascii="宋体" w:hAnsi="宋体"/>
          <w:bCs/>
          <w:sz w:val="20"/>
          <w:szCs w:val="20"/>
        </w:rPr>
        <w:t xml:space="preserve">5. </w:t>
      </w:r>
      <w:r>
        <w:rPr>
          <w:rFonts w:hint="eastAsia" w:ascii="宋体" w:hAnsi="宋体"/>
          <w:bCs/>
          <w:sz w:val="20"/>
          <w:szCs w:val="20"/>
          <w:lang w:val="fr-FR"/>
        </w:rPr>
        <w:t>如果进水中除pH值以外的任何一种进水主要水质指标连续三十（30）日以上超过运营服务协议第</w:t>
      </w:r>
      <w:r>
        <w:rPr>
          <w:rFonts w:hint="eastAsia" w:ascii="宋体" w:hAnsi="宋体"/>
          <w:bCs/>
          <w:sz w:val="20"/>
          <w:szCs w:val="20"/>
          <w:u w:val="single"/>
          <w:lang w:val="fr-FR"/>
        </w:rPr>
        <w:t>5.1.1</w:t>
      </w:r>
      <w:r>
        <w:rPr>
          <w:rFonts w:hint="eastAsia" w:ascii="宋体" w:hAnsi="宋体"/>
          <w:bCs/>
          <w:sz w:val="20"/>
          <w:szCs w:val="20"/>
          <w:lang w:val="fr-FR"/>
        </w:rPr>
        <w:t>条款规定的进水水质标准</w:t>
      </w:r>
      <w:r>
        <w:rPr>
          <w:rFonts w:hint="eastAsia" w:ascii="宋体" w:hAnsi="宋体"/>
          <w:bCs/>
          <w:sz w:val="20"/>
          <w:szCs w:val="20"/>
        </w:rPr>
        <w:t>10</w:t>
      </w:r>
      <w:r>
        <w:rPr>
          <w:rFonts w:hint="eastAsia" w:ascii="宋体" w:hAnsi="宋体"/>
          <w:bCs/>
          <w:sz w:val="20"/>
          <w:szCs w:val="20"/>
          <w:lang w:val="fr-FR"/>
        </w:rPr>
        <w:t>%以上（不含</w:t>
      </w:r>
      <w:r>
        <w:rPr>
          <w:rFonts w:hint="eastAsia" w:ascii="宋体" w:hAnsi="宋体"/>
          <w:bCs/>
          <w:sz w:val="20"/>
          <w:szCs w:val="20"/>
        </w:rPr>
        <w:t>10</w:t>
      </w:r>
      <w:r>
        <w:rPr>
          <w:rFonts w:hint="eastAsia" w:ascii="宋体" w:hAnsi="宋体"/>
          <w:bCs/>
          <w:sz w:val="20"/>
          <w:szCs w:val="20"/>
          <w:lang w:val="fr-FR"/>
        </w:rPr>
        <w:t>%）</w:t>
      </w:r>
      <w:r>
        <w:rPr>
          <w:rFonts w:ascii="宋体" w:hAnsi="宋体"/>
          <w:sz w:val="20"/>
        </w:rPr>
        <w:t>或者PH＜</w:t>
      </w:r>
      <w:r>
        <w:rPr>
          <w:rFonts w:hint="eastAsia" w:ascii="宋体" w:hAnsi="宋体"/>
          <w:sz w:val="20"/>
        </w:rPr>
        <w:t>6</w:t>
      </w:r>
      <w:r>
        <w:rPr>
          <w:rFonts w:ascii="宋体" w:hAnsi="宋体"/>
          <w:sz w:val="20"/>
        </w:rPr>
        <w:t>或PH＞</w:t>
      </w:r>
      <w:r>
        <w:rPr>
          <w:rFonts w:hint="eastAsia" w:ascii="宋体" w:hAnsi="宋体"/>
          <w:sz w:val="20"/>
        </w:rPr>
        <w:t>9</w:t>
      </w:r>
      <w:r>
        <w:rPr>
          <w:rFonts w:hint="eastAsia" w:ascii="宋体" w:hAnsi="宋体"/>
          <w:bCs/>
          <w:sz w:val="20"/>
          <w:szCs w:val="20"/>
          <w:lang w:val="fr-FR"/>
        </w:rPr>
        <w:t>，乙方应与甲方就设备改造及有关的费用或修改进水质量标准进行协商。如在协商期间，进水质量恢复到协议第</w:t>
      </w:r>
      <w:r>
        <w:rPr>
          <w:rFonts w:hint="eastAsia" w:ascii="宋体" w:hAnsi="宋体"/>
          <w:bCs/>
          <w:sz w:val="20"/>
          <w:szCs w:val="20"/>
          <w:u w:val="single"/>
          <w:lang w:val="fr-FR"/>
        </w:rPr>
        <w:t>5.1.1</w:t>
      </w:r>
      <w:r>
        <w:rPr>
          <w:rFonts w:hint="eastAsia" w:ascii="宋体" w:hAnsi="宋体"/>
          <w:bCs/>
          <w:sz w:val="20"/>
          <w:szCs w:val="20"/>
          <w:lang w:val="fr-FR"/>
        </w:rPr>
        <w:t>条款规定的进水水质标准，则双方按原规定执行。</w:t>
      </w:r>
    </w:p>
    <w:p>
      <w:pPr>
        <w:pStyle w:val="239"/>
        <w:tabs>
          <w:tab w:val="left" w:pos="567"/>
        </w:tabs>
        <w:spacing w:before="194" w:beforeLines="50"/>
        <w:ind w:firstLine="567"/>
        <w:rPr>
          <w:rFonts w:ascii="宋体" w:hAnsi="宋体"/>
          <w:bCs/>
          <w:sz w:val="20"/>
          <w:szCs w:val="20"/>
        </w:rPr>
      </w:pPr>
      <w:r>
        <w:rPr>
          <w:rFonts w:hint="eastAsia" w:ascii="宋体" w:hAnsi="宋体"/>
          <w:bCs/>
          <w:sz w:val="20"/>
          <w:szCs w:val="20"/>
        </w:rPr>
        <w:t>6. 在任何进水水质情况下，每日出水水质卫生标准均应达到国家一级A出水标准粪大肠菌群≤10</w:t>
      </w:r>
      <w:r>
        <w:rPr>
          <w:rFonts w:hint="eastAsia" w:ascii="宋体" w:hAnsi="宋体"/>
          <w:bCs/>
          <w:sz w:val="20"/>
          <w:szCs w:val="20"/>
          <w:vertAlign w:val="superscript"/>
        </w:rPr>
        <w:t>3</w:t>
      </w:r>
      <w:r>
        <w:rPr>
          <w:rFonts w:hint="eastAsia" w:ascii="宋体" w:hAnsi="宋体"/>
          <w:bCs/>
          <w:sz w:val="20"/>
          <w:szCs w:val="20"/>
        </w:rPr>
        <w:t>个/L的要求。</w:t>
      </w:r>
    </w:p>
    <w:p>
      <w:pPr>
        <w:pStyle w:val="239"/>
        <w:spacing w:before="194" w:beforeLines="50"/>
        <w:textAlignment w:val="baseline"/>
        <w:rPr>
          <w:rFonts w:ascii="宋体" w:hAnsi="宋体"/>
          <w:b/>
          <w:sz w:val="20"/>
          <w:szCs w:val="20"/>
        </w:rPr>
      </w:pPr>
    </w:p>
    <w:p>
      <w:pPr>
        <w:pStyle w:val="239"/>
        <w:spacing w:before="194" w:beforeLines="50"/>
        <w:ind w:firstLine="618" w:firstLineChars="300"/>
        <w:rPr>
          <w:rFonts w:ascii="宋体" w:hAnsi="宋体"/>
          <w:bCs/>
          <w:sz w:val="20"/>
          <w:szCs w:val="20"/>
        </w:rPr>
      </w:pPr>
    </w:p>
    <w:p>
      <w:pPr>
        <w:pStyle w:val="239"/>
        <w:spacing w:before="194" w:beforeLines="50"/>
        <w:rPr>
          <w:b/>
          <w:sz w:val="24"/>
          <w:szCs w:val="24"/>
        </w:rPr>
      </w:pPr>
      <w:r>
        <w:rPr>
          <w:rFonts w:hint="eastAsia"/>
          <w:b/>
          <w:sz w:val="24"/>
          <w:szCs w:val="24"/>
        </w:rPr>
        <w:t>附件</w:t>
      </w:r>
      <w:r>
        <w:rPr>
          <w:rFonts w:hint="eastAsia"/>
          <w:b/>
          <w:sz w:val="24"/>
          <w:szCs w:val="24"/>
          <w:lang w:eastAsia="zh-CN"/>
        </w:rPr>
        <w:t>二</w:t>
      </w:r>
      <w:r>
        <w:rPr>
          <w:rFonts w:hint="eastAsia"/>
          <w:b/>
          <w:sz w:val="24"/>
          <w:szCs w:val="24"/>
        </w:rPr>
        <w:t xml:space="preserve"> 履约保函格式</w:t>
      </w:r>
    </w:p>
    <w:p>
      <w:pPr>
        <w:pStyle w:val="239"/>
        <w:spacing w:before="194" w:beforeLines="50"/>
        <w:ind w:firstLine="567"/>
        <w:rPr>
          <w:rFonts w:ascii="宋体" w:hAnsi="宋体"/>
          <w:bCs/>
          <w:sz w:val="20"/>
          <w:szCs w:val="20"/>
          <w:lang w:val="fr-FR"/>
        </w:rPr>
      </w:pPr>
      <w:r>
        <w:rPr>
          <w:rFonts w:hint="eastAsia" w:ascii="宋体" w:hAnsi="宋体"/>
          <w:bCs/>
          <w:sz w:val="20"/>
          <w:szCs w:val="20"/>
          <w:lang w:val="fr-FR"/>
        </w:rPr>
        <w:t>履约保函格式按中标人实际提供的格式，但须完全满足本协议中对履约保函的相关约定。</w:t>
      </w:r>
    </w:p>
    <w:p>
      <w:pPr>
        <w:pStyle w:val="239"/>
        <w:spacing w:before="194" w:beforeLines="50"/>
        <w:ind w:firstLine="567"/>
        <w:rPr>
          <w:rFonts w:ascii="宋体" w:hAnsi="宋体"/>
          <w:bCs/>
          <w:sz w:val="20"/>
          <w:szCs w:val="20"/>
          <w:lang w:val="fr-FR"/>
        </w:rPr>
      </w:pPr>
    </w:p>
    <w:bookmarkEnd w:id="7"/>
    <w:p>
      <w:pPr>
        <w:pStyle w:val="58"/>
        <w:outlineLvl w:val="0"/>
        <w:rPr>
          <w:rFonts w:ascii="宋体" w:hAnsi="宋体" w:cs="宋体"/>
          <w:color w:val="000000"/>
          <w:lang w:eastAsia="zh-CN"/>
        </w:rPr>
      </w:pPr>
    </w:p>
    <w:p>
      <w:pPr>
        <w:rPr>
          <w:rFonts w:ascii="宋体" w:hAnsi="宋体" w:cs="宋体"/>
          <w:color w:val="000000"/>
          <w:lang w:eastAsia="zh-CN"/>
        </w:rPr>
      </w:pPr>
    </w:p>
    <w:p>
      <w:pPr>
        <w:pStyle w:val="74"/>
        <w:rPr>
          <w:rFonts w:ascii="宋体" w:hAnsi="宋体" w:cs="宋体"/>
          <w:color w:val="000000"/>
          <w:lang w:eastAsia="zh-CN"/>
        </w:rPr>
      </w:pPr>
    </w:p>
    <w:p>
      <w:pPr>
        <w:pStyle w:val="75"/>
        <w:rPr>
          <w:rFonts w:ascii="宋体" w:hAnsi="宋体" w:cs="宋体"/>
          <w:color w:val="000000"/>
          <w:lang w:eastAsia="zh-CN"/>
        </w:rPr>
      </w:pPr>
    </w:p>
    <w:p>
      <w:pPr>
        <w:rPr>
          <w:lang w:eastAsia="zh-CN"/>
        </w:rPr>
      </w:pPr>
    </w:p>
    <w:p>
      <w:pPr>
        <w:pStyle w:val="58"/>
        <w:outlineLvl w:val="0"/>
        <w:rPr>
          <w:rFonts w:hint="eastAsia" w:ascii="宋体" w:hAnsi="宋体" w:cs="宋体"/>
          <w:color w:val="000000"/>
          <w:lang w:eastAsia="zh-CN"/>
        </w:rPr>
      </w:pPr>
    </w:p>
    <w:p>
      <w:pPr>
        <w:pStyle w:val="58"/>
        <w:outlineLvl w:val="0"/>
        <w:rPr>
          <w:rFonts w:ascii="宋体" w:hAnsi="宋体" w:cs="宋体"/>
          <w:color w:val="000000"/>
          <w:lang w:eastAsia="zh-CN"/>
        </w:rPr>
      </w:pPr>
      <w:r>
        <w:rPr>
          <w:rFonts w:hint="eastAsia" w:ascii="宋体" w:hAnsi="宋体" w:cs="宋体"/>
          <w:color w:val="000000"/>
          <w:lang w:eastAsia="zh-CN"/>
        </w:rPr>
        <w:t>第五章  评标办法及标准</w:t>
      </w:r>
    </w:p>
    <w:p>
      <w:pPr>
        <w:autoSpaceDE w:val="0"/>
        <w:autoSpaceDN w:val="0"/>
        <w:adjustRightInd w:val="0"/>
        <w:spacing w:line="380" w:lineRule="exact"/>
        <w:jc w:val="center"/>
        <w:rPr>
          <w:rFonts w:ascii="宋体" w:hAnsi="宋体" w:eastAsia="宋体" w:cs="宋体"/>
          <w:bCs/>
          <w:color w:val="000000"/>
          <w:sz w:val="18"/>
          <w:szCs w:val="18"/>
          <w:lang w:val="zh-CN"/>
        </w:rPr>
      </w:pPr>
    </w:p>
    <w:p>
      <w:pPr>
        <w:spacing w:line="44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一、评标原则</w:t>
      </w:r>
    </w:p>
    <w:p>
      <w:pPr>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评标工作遵循公平、公正、科学、择优原则和诚实、信誉、效率的服务原则。本着科学、严谨的态度，认真进行评标。择优选用，推进技术进步，确保工程质量、交货按期，节约投资，最大限度的保护当事人权益。严格按照招标文件的商务、技术要求，对投标文件进行综合评定，提出优选方案，编写评标报告。对落标单位，评委会不做任何落标解释。投标人不得以任何方式干扰招投标工作的进行，一经发现其投标文件将被拒绝。</w:t>
      </w:r>
    </w:p>
    <w:p>
      <w:pPr>
        <w:spacing w:line="44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二、评标组织</w:t>
      </w:r>
    </w:p>
    <w:p>
      <w:pPr>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1.评标委员会由采购人代表2人和5人专家组成，从政采云系统中抽取。</w:t>
      </w:r>
    </w:p>
    <w:p>
      <w:pPr>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2.询标期间，投标人法人代表或其授权代表必须在线，负责解答有关事宜。如不在场，则事后不得对采购过程及结果提出异议。</w:t>
      </w:r>
    </w:p>
    <w:p>
      <w:pPr>
        <w:spacing w:line="44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三、评标程序</w:t>
      </w:r>
    </w:p>
    <w:p>
      <w:pPr>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评标委员会对各投标人的投标资格进行审查；然后对合格投标人的商务技术文件进行评审；商务技术文件评审结束后即公布投标人商务技术得分情况，之后开报价文件；对报价文件评审后，根据综合评审结果，提交评审报告。</w:t>
      </w:r>
    </w:p>
    <w:p>
      <w:pPr>
        <w:spacing w:line="44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四、评标办法</w:t>
      </w:r>
    </w:p>
    <w:p>
      <w:pPr>
        <w:pStyle w:val="34"/>
        <w:widowControl w:val="0"/>
        <w:overflowPunct/>
        <w:autoSpaceDE/>
        <w:autoSpaceDN/>
        <w:adjustRightInd/>
        <w:spacing w:line="440" w:lineRule="exact"/>
        <w:ind w:firstLine="369" w:firstLineChars="150"/>
        <w:textAlignment w:val="auto"/>
        <w:rPr>
          <w:rFonts w:hAnsi="宋体" w:cs="宋体"/>
          <w:color w:val="000000"/>
          <w:sz w:val="24"/>
          <w:szCs w:val="24"/>
        </w:rPr>
      </w:pPr>
      <w:r>
        <w:rPr>
          <w:rFonts w:hint="eastAsia" w:hAnsi="宋体" w:cs="宋体"/>
          <w:color w:val="000000"/>
          <w:sz w:val="24"/>
          <w:szCs w:val="24"/>
        </w:rPr>
        <w:t>本次招标的评标办法采用百分制综合评估法。根据本项目招标文件的要求，按照本办法规定的内容和分值设置，</w:t>
      </w:r>
      <w:r>
        <w:rPr>
          <w:rFonts w:hint="eastAsia" w:hAnsi="宋体" w:cs="宋体"/>
          <w:b/>
          <w:bCs/>
          <w:color w:val="000000" w:themeColor="text1"/>
          <w:sz w:val="24"/>
          <w:szCs w:val="24"/>
          <w:highlight w:val="none"/>
          <w14:textFill>
            <w14:solidFill>
              <w14:schemeClr w14:val="tx1"/>
            </w14:solidFill>
          </w14:textFill>
        </w:rPr>
        <w:t>商务技术分为</w:t>
      </w:r>
      <w:r>
        <w:rPr>
          <w:rFonts w:hAnsi="宋体" w:cs="宋体"/>
          <w:b/>
          <w:bCs/>
          <w:color w:val="000000" w:themeColor="text1"/>
          <w:sz w:val="24"/>
          <w:szCs w:val="24"/>
          <w:highlight w:val="none"/>
          <w14:textFill>
            <w14:solidFill>
              <w14:schemeClr w14:val="tx1"/>
            </w14:solidFill>
          </w14:textFill>
        </w:rPr>
        <w:t>85</w:t>
      </w:r>
      <w:r>
        <w:rPr>
          <w:rFonts w:hint="eastAsia" w:hAnsi="宋体" w:cs="宋体"/>
          <w:b/>
          <w:bCs/>
          <w:color w:val="000000" w:themeColor="text1"/>
          <w:sz w:val="24"/>
          <w:szCs w:val="24"/>
          <w:highlight w:val="none"/>
          <w14:textFill>
            <w14:solidFill>
              <w14:schemeClr w14:val="tx1"/>
            </w14:solidFill>
          </w14:textFill>
        </w:rPr>
        <w:t>分，报价分为1</w:t>
      </w:r>
      <w:r>
        <w:rPr>
          <w:rFonts w:hAnsi="宋体" w:cs="宋体"/>
          <w:b/>
          <w:bCs/>
          <w:color w:val="000000" w:themeColor="text1"/>
          <w:sz w:val="24"/>
          <w:szCs w:val="24"/>
          <w:highlight w:val="none"/>
          <w14:textFill>
            <w14:solidFill>
              <w14:schemeClr w14:val="tx1"/>
            </w14:solidFill>
          </w14:textFill>
        </w:rPr>
        <w:t>5</w:t>
      </w:r>
      <w:r>
        <w:rPr>
          <w:rFonts w:hint="eastAsia" w:hAnsi="宋体" w:cs="宋体"/>
          <w:b/>
          <w:bCs/>
          <w:color w:val="000000" w:themeColor="text1"/>
          <w:sz w:val="24"/>
          <w:szCs w:val="24"/>
          <w:highlight w:val="none"/>
          <w14:textFill>
            <w14:solidFill>
              <w14:schemeClr w14:val="tx1"/>
            </w14:solidFill>
          </w14:textFill>
        </w:rPr>
        <w:t>分，</w:t>
      </w:r>
      <w:r>
        <w:rPr>
          <w:rFonts w:hint="eastAsia" w:hAnsi="宋体" w:cs="宋体"/>
          <w:color w:val="000000" w:themeColor="text1"/>
          <w:sz w:val="24"/>
          <w:szCs w:val="24"/>
          <w:highlight w:val="none"/>
          <w14:textFill>
            <w14:solidFill>
              <w14:schemeClr w14:val="tx1"/>
            </w14:solidFill>
          </w14:textFill>
        </w:rPr>
        <w:t>对</w:t>
      </w:r>
      <w:r>
        <w:rPr>
          <w:rFonts w:hint="eastAsia" w:hAnsi="宋体" w:cs="宋体"/>
          <w:color w:val="000000"/>
          <w:sz w:val="24"/>
          <w:szCs w:val="24"/>
        </w:rPr>
        <w:t>投标人的投标文件中的技术、商务等内容进行评分，最终得出投标人的综合得分，综合得分从高到低排序，排序第一的推荐为第一中标候选人。注：若综合得分相同，则以商务技术得分高的优先排名，若商务技术得分也相同，则抽签确定。评审过程中如发现有异常情况，由评审专家集体讨论决定。</w:t>
      </w:r>
    </w:p>
    <w:p>
      <w:pPr>
        <w:spacing w:line="44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五、资格审查</w:t>
      </w:r>
    </w:p>
    <w:p>
      <w:pPr>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评标委员会对投标人的资格进行审查，根据招标文件要求审查资格证明文件，资格证明文件全部符合要求的，则通过资格审查，如有一项不符合要求，则资格审查不予通过。</w:t>
      </w:r>
    </w:p>
    <w:p>
      <w:pPr>
        <w:spacing w:line="46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六、评分原则</w:t>
      </w:r>
    </w:p>
    <w:p>
      <w:pPr>
        <w:spacing w:line="460" w:lineRule="exact"/>
        <w:ind w:firstLine="492" w:firstLineChars="200"/>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sz w:val="24"/>
          <w:szCs w:val="24"/>
        </w:rPr>
        <w:t>（一）商务技术评分</w:t>
      </w:r>
      <w:r>
        <w:rPr>
          <w:rFonts w:hint="eastAsia" w:ascii="宋体" w:hAnsi="宋体" w:eastAsia="宋体" w:cs="宋体"/>
          <w:b/>
          <w:color w:val="000000" w:themeColor="text1"/>
          <w:sz w:val="24"/>
          <w:szCs w:val="24"/>
          <w:highlight w:val="none"/>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85</w:t>
      </w:r>
      <w:r>
        <w:rPr>
          <w:rFonts w:hint="eastAsia" w:ascii="宋体" w:hAnsi="宋体" w:eastAsia="宋体" w:cs="宋体"/>
          <w:b/>
          <w:color w:val="000000" w:themeColor="text1"/>
          <w:sz w:val="24"/>
          <w:szCs w:val="24"/>
          <w:highlight w:val="none"/>
          <w14:textFill>
            <w14:solidFill>
              <w14:schemeClr w14:val="tx1"/>
            </w14:solidFill>
          </w14:textFill>
        </w:rPr>
        <w:t>分）</w:t>
      </w:r>
    </w:p>
    <w:p>
      <w:pPr>
        <w:spacing w:line="440" w:lineRule="exact"/>
        <w:ind w:firstLine="492" w:firstLineChars="2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本次招标商务技术文件评分的评定由各评委成员按评分细则进行评审打分，每人一张评分计算表，并记名。投标文件各项评分内容由评标委员会成员各自独立评分，如某张票的一个因素项目超过规定的分值范围，则该张票无效。各评标委员会成员对各投标人的各项评分内容评分合计的算术平均值为各投标人商务技术文件得分（小数点后按四舍五入保留2位）。  </w:t>
      </w:r>
    </w:p>
    <w:p>
      <w:pPr>
        <w:spacing w:line="440" w:lineRule="exact"/>
        <w:ind w:firstLine="492" w:firstLineChars="200"/>
        <w:jc w:val="center"/>
        <w:rPr>
          <w:rFonts w:ascii="宋体" w:hAnsi="宋体" w:eastAsia="宋体" w:cs="宋体"/>
          <w:b/>
          <w:bCs/>
          <w:color w:val="FF0000"/>
          <w:sz w:val="24"/>
          <w:szCs w:val="24"/>
          <w:highlight w:val="yellow"/>
        </w:rPr>
      </w:pPr>
      <w:r>
        <w:rPr>
          <w:rFonts w:hint="eastAsia" w:ascii="宋体" w:hAnsi="宋体" w:eastAsia="宋体" w:cs="宋体"/>
          <w:color w:val="000000"/>
          <w:sz w:val="24"/>
          <w:szCs w:val="24"/>
        </w:rPr>
        <w:t xml:space="preserve">                   </w:t>
      </w:r>
    </w:p>
    <w:tbl>
      <w:tblPr>
        <w:tblStyle w:val="61"/>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095"/>
        <w:gridCol w:w="7116"/>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1" w:type="dxa"/>
            <w:vAlign w:val="center"/>
          </w:tcPr>
          <w:p>
            <w:pPr>
              <w:spacing w:line="280" w:lineRule="exact"/>
              <w:jc w:val="center"/>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b/>
                <w:bCs/>
                <w:color w:val="000000" w:themeColor="text1"/>
                <w:sz w:val="24"/>
                <w:szCs w:val="24"/>
                <w:highlight w:val="none"/>
                <w:lang w:val="zh-CN"/>
                <w14:textFill>
                  <w14:solidFill>
                    <w14:schemeClr w14:val="tx1"/>
                  </w14:solidFill>
                </w14:textFill>
              </w:rPr>
              <w:t>序号</w:t>
            </w:r>
          </w:p>
        </w:tc>
        <w:tc>
          <w:tcPr>
            <w:tcW w:w="1095" w:type="dxa"/>
            <w:vAlign w:val="center"/>
          </w:tcPr>
          <w:p>
            <w:pPr>
              <w:spacing w:line="280" w:lineRule="exact"/>
              <w:jc w:val="center"/>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b/>
                <w:bCs/>
                <w:color w:val="000000" w:themeColor="text1"/>
                <w:sz w:val="24"/>
                <w:szCs w:val="24"/>
                <w:highlight w:val="none"/>
                <w:lang w:val="zh-CN"/>
                <w14:textFill>
                  <w14:solidFill>
                    <w14:schemeClr w14:val="tx1"/>
                  </w14:solidFill>
                </w14:textFill>
              </w:rPr>
              <w:t>内容</w:t>
            </w:r>
          </w:p>
        </w:tc>
        <w:tc>
          <w:tcPr>
            <w:tcW w:w="7116" w:type="dxa"/>
            <w:vAlign w:val="center"/>
          </w:tcPr>
          <w:p>
            <w:pPr>
              <w:spacing w:line="280" w:lineRule="exact"/>
              <w:jc w:val="center"/>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b/>
                <w:bCs/>
                <w:color w:val="000000" w:themeColor="text1"/>
                <w:sz w:val="24"/>
                <w:szCs w:val="24"/>
                <w:highlight w:val="none"/>
                <w:lang w:val="zh-CN"/>
                <w14:textFill>
                  <w14:solidFill>
                    <w14:schemeClr w14:val="tx1"/>
                  </w14:solidFill>
                </w14:textFill>
              </w:rPr>
              <w:t>评分标准</w:t>
            </w:r>
          </w:p>
        </w:tc>
        <w:tc>
          <w:tcPr>
            <w:tcW w:w="1119" w:type="dxa"/>
            <w:vAlign w:val="center"/>
          </w:tcPr>
          <w:p>
            <w:pPr>
              <w:spacing w:line="280" w:lineRule="exact"/>
              <w:jc w:val="center"/>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b/>
                <w:bCs/>
                <w:color w:val="000000" w:themeColor="text1"/>
                <w:sz w:val="24"/>
                <w:szCs w:val="24"/>
                <w:highlight w:val="none"/>
                <w:lang w:val="zh-CN"/>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451"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p>
        </w:tc>
        <w:tc>
          <w:tcPr>
            <w:tcW w:w="1095" w:type="dxa"/>
            <w:vAlign w:val="center"/>
          </w:tcPr>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企业</w:t>
            </w:r>
          </w:p>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业绩</w:t>
            </w:r>
          </w:p>
        </w:tc>
        <w:tc>
          <w:tcPr>
            <w:tcW w:w="7116" w:type="dxa"/>
            <w:vAlign w:val="center"/>
          </w:tcPr>
          <w:p>
            <w:pPr>
              <w:autoSpaceDE w:val="0"/>
              <w:autoSpaceDN w:val="0"/>
              <w:spacing w:line="380" w:lineRule="exact"/>
              <w:jc w:val="left"/>
              <w:rPr>
                <w:rFonts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投标人</w:t>
            </w:r>
            <w:r>
              <w:rPr>
                <w:rFonts w:hint="eastAsia" w:ascii="宋体" w:hAnsi="宋体" w:eastAsia="宋体" w:cs="宋体"/>
                <w:bCs/>
                <w:color w:val="000000" w:themeColor="text1"/>
                <w:sz w:val="24"/>
                <w:szCs w:val="24"/>
                <w:highlight w:val="none"/>
                <w:lang w:val="zh-CN"/>
                <w14:textFill>
                  <w14:solidFill>
                    <w14:schemeClr w14:val="tx1"/>
                  </w14:solidFill>
                </w14:textFill>
              </w:rPr>
              <w:t>提供</w:t>
            </w:r>
            <w:r>
              <w:rPr>
                <w:rFonts w:hint="eastAsia" w:ascii="宋体" w:hAnsi="宋体" w:eastAsia="宋体" w:cs="宋体"/>
                <w:bCs/>
                <w:color w:val="000000" w:themeColor="text1"/>
                <w:sz w:val="24"/>
                <w:szCs w:val="24"/>
                <w:highlight w:val="none"/>
                <w14:textFill>
                  <w14:solidFill>
                    <w14:schemeClr w14:val="tx1"/>
                  </w14:solidFill>
                </w14:textFill>
              </w:rPr>
              <w:t>相关</w:t>
            </w:r>
            <w:r>
              <w:rPr>
                <w:rFonts w:hint="eastAsia" w:ascii="宋体" w:hAnsi="宋体" w:eastAsia="宋体" w:cs="宋体"/>
                <w:bCs/>
                <w:color w:val="000000" w:themeColor="text1"/>
                <w:sz w:val="24"/>
                <w:szCs w:val="24"/>
                <w:highlight w:val="none"/>
                <w:lang w:val="zh-CN"/>
                <w14:textFill>
                  <w14:solidFill>
                    <w14:schemeClr w14:val="tx1"/>
                  </w14:solidFill>
                </w14:textFill>
              </w:rPr>
              <w:t>污水处理厂（站）托管运营业绩的，每个得</w:t>
            </w:r>
            <w:r>
              <w:rPr>
                <w:rFonts w:hint="eastAsia" w:ascii="宋体" w:hAnsi="宋体" w:eastAsia="宋体" w:cs="宋体"/>
                <w:bCs/>
                <w:color w:val="000000" w:themeColor="text1"/>
                <w:sz w:val="24"/>
                <w:szCs w:val="24"/>
                <w:highlight w:val="none"/>
                <w14:textFill>
                  <w14:solidFill>
                    <w14:schemeClr w14:val="tx1"/>
                  </w14:solidFill>
                </w14:textFill>
              </w:rPr>
              <w:t>1分，最高分1分。</w:t>
            </w:r>
          </w:p>
          <w:p>
            <w:pPr>
              <w:spacing w:line="38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证明材料：</w:t>
            </w:r>
            <w:r>
              <w:rPr>
                <w:rFonts w:hint="eastAsia" w:ascii="宋体" w:hAnsi="宋体" w:eastAsia="宋体" w:cs="宋体"/>
                <w:bCs/>
                <w:color w:val="000000" w:themeColor="text1"/>
                <w:sz w:val="24"/>
                <w:szCs w:val="24"/>
                <w:highlight w:val="none"/>
                <w:lang w:val="zh-CN"/>
                <w14:textFill>
                  <w14:solidFill>
                    <w14:schemeClr w14:val="tx1"/>
                  </w14:solidFill>
                </w14:textFill>
              </w:rPr>
              <w:t>提供合同原件扫描件（彩色）或相关证明材料，未提供不得分</w:t>
            </w:r>
            <w:r>
              <w:rPr>
                <w:rFonts w:hint="eastAsia" w:ascii="宋体" w:hAnsi="宋体" w:eastAsia="宋体" w:cs="宋体"/>
                <w:color w:val="000000" w:themeColor="text1"/>
                <w:sz w:val="24"/>
                <w:szCs w:val="24"/>
                <w:highlight w:val="none"/>
                <w14:textFill>
                  <w14:solidFill>
                    <w14:schemeClr w14:val="tx1"/>
                  </w14:solidFill>
                </w14:textFill>
              </w:rPr>
              <w:t>。</w:t>
            </w:r>
          </w:p>
        </w:tc>
        <w:tc>
          <w:tcPr>
            <w:tcW w:w="1119"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0-1</w:t>
            </w:r>
            <w:r>
              <w:rPr>
                <w:rFonts w:hint="eastAsia" w:ascii="宋体" w:hAnsi="宋体" w:eastAsia="宋体" w:cs="宋体"/>
                <w:color w:val="000000" w:themeColor="text1"/>
                <w:sz w:val="24"/>
                <w:szCs w:val="24"/>
                <w:highlight w:val="none"/>
                <w:lang w:val="en-GB"/>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451"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p>
        </w:tc>
        <w:tc>
          <w:tcPr>
            <w:tcW w:w="1095" w:type="dxa"/>
            <w:vAlign w:val="center"/>
          </w:tcPr>
          <w:p>
            <w:pPr>
              <w:spacing w:line="380" w:lineRule="exact"/>
              <w:jc w:val="center"/>
              <w:rPr>
                <w:rFonts w:ascii="宋体" w:hAnsi="宋体" w:cs="宋体"/>
                <w:color w:val="000000" w:themeColor="text1"/>
                <w:sz w:val="24"/>
                <w:szCs w:val="24"/>
                <w:highlight w:val="none"/>
                <w:lang w:val="zh-CN"/>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拟投入本项目的设备</w:t>
            </w:r>
          </w:p>
        </w:tc>
        <w:tc>
          <w:tcPr>
            <w:tcW w:w="7116" w:type="dxa"/>
            <w:vAlign w:val="center"/>
          </w:tcPr>
          <w:p>
            <w:pPr>
              <w:spacing w:line="380" w:lineRule="exact"/>
              <w:jc w:val="left"/>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投标人</w:t>
            </w:r>
            <w:r>
              <w:rPr>
                <w:rFonts w:hint="eastAsia" w:ascii="宋体" w:hAnsi="宋体" w:eastAsia="宋体" w:cs="宋体"/>
                <w:color w:val="000000" w:themeColor="text1"/>
                <w:sz w:val="24"/>
                <w:szCs w:val="24"/>
                <w:highlight w:val="none"/>
                <w:lang w:val="zh-CN"/>
                <w14:textFill>
                  <w14:solidFill>
                    <w14:schemeClr w14:val="tx1"/>
                  </w14:solidFill>
                </w14:textFill>
              </w:rPr>
              <w:t>自有轻型货车，每辆得</w:t>
            </w:r>
            <w:r>
              <w:rPr>
                <w:rFonts w:hint="eastAsia" w:ascii="宋体" w:hAnsi="宋体" w:eastAsia="宋体" w:cs="宋体"/>
                <w:color w:val="000000" w:themeColor="text1"/>
                <w:sz w:val="24"/>
                <w:szCs w:val="24"/>
                <w:highlight w:val="none"/>
                <w14:textFill>
                  <w14:solidFill>
                    <w14:schemeClr w14:val="tx1"/>
                  </w14:solidFill>
                </w14:textFill>
              </w:rPr>
              <w:t>1分，</w:t>
            </w:r>
            <w:r>
              <w:rPr>
                <w:rFonts w:hint="eastAsia" w:ascii="宋体" w:hAnsi="宋体" w:eastAsia="宋体" w:cs="宋体"/>
                <w:color w:val="000000" w:themeColor="text1"/>
                <w:sz w:val="24"/>
                <w:szCs w:val="24"/>
                <w:highlight w:val="none"/>
                <w:lang w:val="zh-CN"/>
                <w14:textFill>
                  <w14:solidFill>
                    <w14:schemeClr w14:val="tx1"/>
                  </w14:solidFill>
                </w14:textFill>
              </w:rPr>
              <w:t>最高得</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zh-CN"/>
                <w14:textFill>
                  <w14:solidFill>
                    <w14:schemeClr w14:val="tx1"/>
                  </w14:solidFill>
                </w14:textFill>
              </w:rPr>
              <w:t>分；</w:t>
            </w:r>
          </w:p>
          <w:p>
            <w:pPr>
              <w:spacing w:line="380" w:lineRule="exact"/>
              <w:jc w:val="left"/>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自有小型普通客车1辆，得</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zh-CN"/>
                <w14:textFill>
                  <w14:solidFill>
                    <w14:schemeClr w14:val="tx1"/>
                  </w14:solidFill>
                </w14:textFill>
              </w:rPr>
              <w:t>分；</w:t>
            </w:r>
          </w:p>
          <w:p>
            <w:pPr>
              <w:spacing w:line="380" w:lineRule="exact"/>
              <w:jc w:val="left"/>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自有核定载质量</w:t>
            </w:r>
            <w:r>
              <w:rPr>
                <w:rFonts w:hint="eastAsia" w:ascii="宋体" w:hAnsi="宋体" w:eastAsia="宋体" w:cs="宋体"/>
                <w:color w:val="000000" w:themeColor="text1"/>
                <w:sz w:val="24"/>
                <w:szCs w:val="24"/>
                <w:highlight w:val="none"/>
                <w14:textFill>
                  <w14:solidFill>
                    <w14:schemeClr w14:val="tx1"/>
                  </w14:solidFill>
                </w14:textFill>
              </w:rPr>
              <w:t>9000</w:t>
            </w:r>
            <w:r>
              <w:rPr>
                <w:rFonts w:hint="eastAsia" w:ascii="宋体" w:hAnsi="宋体" w:eastAsia="宋体" w:cs="宋体"/>
                <w:color w:val="000000" w:themeColor="text1"/>
                <w:sz w:val="24"/>
                <w:szCs w:val="24"/>
                <w:highlight w:val="none"/>
                <w:lang w:val="zh-CN"/>
                <w14:textFill>
                  <w14:solidFill>
                    <w14:schemeClr w14:val="tx1"/>
                  </w14:solidFill>
                </w14:textFill>
              </w:rPr>
              <w:t>kg及以上的重型特殊结构</w:t>
            </w:r>
            <w:r>
              <w:rPr>
                <w:rFonts w:hint="eastAsia" w:ascii="宋体" w:hAnsi="宋体" w:eastAsia="宋体" w:cs="宋体"/>
                <w:color w:val="000000" w:themeColor="text1"/>
                <w:sz w:val="24"/>
                <w:szCs w:val="24"/>
                <w:highlight w:val="none"/>
                <w14:textFill>
                  <w14:solidFill>
                    <w14:schemeClr w14:val="tx1"/>
                  </w14:solidFill>
                </w14:textFill>
              </w:rPr>
              <w:t>货车</w:t>
            </w:r>
            <w:r>
              <w:rPr>
                <w:rFonts w:hint="eastAsia" w:ascii="宋体" w:hAnsi="宋体" w:eastAsia="宋体" w:cs="宋体"/>
                <w:color w:val="000000" w:themeColor="text1"/>
                <w:sz w:val="24"/>
                <w:szCs w:val="24"/>
                <w:highlight w:val="none"/>
                <w:lang w:val="zh-CN"/>
                <w14:textFill>
                  <w14:solidFill>
                    <w14:schemeClr w14:val="tx1"/>
                  </w14:solidFill>
                </w14:textFill>
              </w:rPr>
              <w:t>，得</w:t>
            </w: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zh-CN"/>
                <w14:textFill>
                  <w14:solidFill>
                    <w14:schemeClr w14:val="tx1"/>
                  </w14:solidFill>
                </w14:textFill>
              </w:rPr>
              <w:t>分；</w:t>
            </w:r>
          </w:p>
          <w:p>
            <w:pPr>
              <w:spacing w:line="380" w:lineRule="exact"/>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有快速管道潜望镜的得1分；</w:t>
            </w:r>
          </w:p>
          <w:p>
            <w:pPr>
              <w:spacing w:line="380" w:lineRule="exact"/>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有四合一气体检测仪的得1分。</w:t>
            </w:r>
          </w:p>
          <w:p>
            <w:pPr>
              <w:pStyle w:val="34"/>
              <w:rPr>
                <w:rFonts w:hAnsi="宋体" w:cs="宋体"/>
                <w:color w:val="000000" w:themeColor="text1"/>
                <w:kern w:val="2"/>
                <w:sz w:val="24"/>
                <w:szCs w:val="24"/>
                <w:highlight w:val="none"/>
                <w14:textFill>
                  <w14:solidFill>
                    <w14:schemeClr w14:val="tx1"/>
                  </w14:solidFill>
                </w14:textFill>
              </w:rPr>
            </w:pPr>
            <w:r>
              <w:rPr>
                <w:rFonts w:hint="eastAsia" w:hAnsi="宋体" w:cs="宋体"/>
                <w:color w:val="000000" w:themeColor="text1"/>
                <w:kern w:val="2"/>
                <w:sz w:val="24"/>
                <w:szCs w:val="24"/>
                <w:highlight w:val="none"/>
                <w14:textFill>
                  <w14:solidFill>
                    <w14:schemeClr w14:val="tx1"/>
                  </w14:solidFill>
                </w14:textFill>
              </w:rPr>
              <w:t>累计最高分</w:t>
            </w:r>
            <w:r>
              <w:rPr>
                <w:rFonts w:hAnsi="宋体" w:cs="宋体"/>
                <w:color w:val="000000" w:themeColor="text1"/>
                <w:kern w:val="2"/>
                <w:sz w:val="24"/>
                <w:szCs w:val="24"/>
                <w:highlight w:val="none"/>
                <w14:textFill>
                  <w14:solidFill>
                    <w14:schemeClr w14:val="tx1"/>
                  </w14:solidFill>
                </w14:textFill>
              </w:rPr>
              <w:t>6</w:t>
            </w:r>
            <w:r>
              <w:rPr>
                <w:rFonts w:hint="eastAsia" w:hAnsi="宋体" w:cs="宋体"/>
                <w:color w:val="000000" w:themeColor="text1"/>
                <w:kern w:val="2"/>
                <w:sz w:val="24"/>
                <w:szCs w:val="24"/>
                <w:highlight w:val="none"/>
                <w14:textFill>
                  <w14:solidFill>
                    <w14:schemeClr w14:val="tx1"/>
                  </w14:solidFill>
                </w14:textFill>
              </w:rPr>
              <w:t>分。</w:t>
            </w:r>
          </w:p>
          <w:p>
            <w:pPr>
              <w:spacing w:line="380" w:lineRule="exact"/>
              <w:jc w:val="left"/>
              <w:rPr>
                <w:rFonts w:ascii="宋体" w:hAnsi="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证明材料：</w:t>
            </w:r>
            <w:r>
              <w:rPr>
                <w:rFonts w:hint="eastAsia" w:ascii="宋体" w:hAnsi="宋体" w:eastAsia="宋体" w:cs="宋体"/>
                <w:color w:val="000000" w:themeColor="text1"/>
                <w:sz w:val="24"/>
                <w:szCs w:val="24"/>
                <w:highlight w:val="none"/>
                <w14:textFill>
                  <w14:solidFill>
                    <w14:schemeClr w14:val="tx1"/>
                  </w14:solidFill>
                </w14:textFill>
              </w:rPr>
              <w:t>车辆</w:t>
            </w:r>
            <w:r>
              <w:rPr>
                <w:rFonts w:hint="eastAsia" w:ascii="宋体" w:hAnsi="宋体" w:eastAsia="宋体" w:cs="宋体"/>
                <w:color w:val="000000" w:themeColor="text1"/>
                <w:sz w:val="24"/>
                <w:szCs w:val="24"/>
                <w:highlight w:val="none"/>
                <w:lang w:val="zh-CN"/>
                <w14:textFill>
                  <w14:solidFill>
                    <w14:schemeClr w14:val="tx1"/>
                  </w14:solidFill>
                </w14:textFill>
              </w:rPr>
              <w:t>提供投标人企业或投标人企业法定代表人（负责人）名下的行驶证原件扫描件（彩色），</w:t>
            </w:r>
            <w:r>
              <w:rPr>
                <w:rFonts w:hint="eastAsia" w:ascii="宋体" w:hAnsi="宋体" w:eastAsia="宋体" w:cs="宋体"/>
                <w:color w:val="000000" w:themeColor="text1"/>
                <w:sz w:val="24"/>
                <w:szCs w:val="24"/>
                <w:highlight w:val="none"/>
                <w14:textFill>
                  <w14:solidFill>
                    <w14:schemeClr w14:val="tx1"/>
                  </w14:solidFill>
                </w14:textFill>
              </w:rPr>
              <w:t>设备需提供相关</w:t>
            </w:r>
            <w:r>
              <w:rPr>
                <w:rFonts w:hint="eastAsia" w:ascii="宋体" w:hAnsi="宋体" w:eastAsia="宋体" w:cs="宋体"/>
                <w:color w:val="000000" w:themeColor="text1"/>
                <w:kern w:val="0"/>
                <w:sz w:val="24"/>
                <w:szCs w:val="24"/>
                <w:highlight w:val="none"/>
                <w14:textFill>
                  <w14:solidFill>
                    <w14:schemeClr w14:val="tx1"/>
                  </w14:solidFill>
                </w14:textFill>
              </w:rPr>
              <w:t>证明材料</w:t>
            </w:r>
            <w:r>
              <w:rPr>
                <w:rFonts w:hint="eastAsia" w:ascii="宋体" w:hAnsi="宋体" w:eastAsia="宋体" w:cs="宋体"/>
                <w:color w:val="000000" w:themeColor="text1"/>
                <w:sz w:val="24"/>
                <w:szCs w:val="24"/>
                <w:highlight w:val="none"/>
                <w:lang w:val="zh-CN"/>
                <w14:textFill>
                  <w14:solidFill>
                    <w14:schemeClr w14:val="tx1"/>
                  </w14:solidFill>
                </w14:textFill>
              </w:rPr>
              <w:t>，未提供不得分。注：自有设备的须提供发票原件扫描件（彩色）；租赁设备的须提供租赁合同或协议原件扫描件（彩色）。</w:t>
            </w:r>
          </w:p>
        </w:tc>
        <w:tc>
          <w:tcPr>
            <w:tcW w:w="1119" w:type="dxa"/>
            <w:vAlign w:val="center"/>
          </w:tcPr>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w:t>
            </w:r>
            <w:r>
              <w:rPr>
                <w:rFonts w:ascii="宋体" w:hAnsi="宋体" w:eastAsia="宋体" w:cs="宋体"/>
                <w:color w:val="000000" w:themeColor="text1"/>
                <w:sz w:val="24"/>
                <w:szCs w:val="24"/>
                <w:highlight w:val="none"/>
                <w14:textFill>
                  <w14:solidFill>
                    <w14:schemeClr w14:val="tx1"/>
                  </w14:solidFill>
                </w14:textFill>
              </w:rPr>
              <w:t>6</w:t>
            </w:r>
            <w:r>
              <w:rPr>
                <w:rFonts w:hint="eastAsia" w:ascii="宋体" w:hAnsi="宋体" w:eastAsia="宋体" w:cs="宋体"/>
                <w:color w:val="000000" w:themeColor="text1"/>
                <w:sz w:val="24"/>
                <w:szCs w:val="24"/>
                <w:highlight w:val="none"/>
                <w:lang w:val="en-GB"/>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1"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p>
        </w:tc>
        <w:tc>
          <w:tcPr>
            <w:tcW w:w="1095" w:type="dxa"/>
            <w:vAlign w:val="center"/>
          </w:tcPr>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拟投入本项目的主要人员</w:t>
            </w:r>
          </w:p>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情况</w:t>
            </w:r>
          </w:p>
        </w:tc>
        <w:tc>
          <w:tcPr>
            <w:tcW w:w="7116" w:type="dxa"/>
            <w:vAlign w:val="center"/>
          </w:tcPr>
          <w:p>
            <w:pPr>
              <w:spacing w:line="380" w:lineRule="exact"/>
              <w:jc w:val="left"/>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1</w:t>
            </w:r>
            <w:r>
              <w:rPr>
                <w:rFonts w:hint="eastAsia" w:ascii="宋体" w:hAnsi="宋体" w:eastAsia="宋体" w:cs="宋体"/>
                <w:b w:val="0"/>
                <w:bCs w:val="0"/>
                <w:color w:val="000000" w:themeColor="text1"/>
                <w:sz w:val="24"/>
                <w:szCs w:val="24"/>
                <w:highlight w:val="none"/>
                <w14:textFill>
                  <w14:solidFill>
                    <w14:schemeClr w14:val="tx1"/>
                  </w14:solidFill>
                </w14:textFill>
              </w:rPr>
              <w:t>、拟派项目运营负责人（厂长）具备环保类中级工程师及以上职称的，得1分。</w:t>
            </w:r>
          </w:p>
          <w:p>
            <w:pPr>
              <w:spacing w:line="380" w:lineRule="exact"/>
              <w:jc w:val="left"/>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2、拟派项目技术负责人同时具备注册公用设备工程师（给水排水）和 给排水专业高级及以上职称的，得2分；具有其中一项的，得1分。</w:t>
            </w:r>
          </w:p>
          <w:p>
            <w:pPr>
              <w:spacing w:line="380" w:lineRule="exact"/>
              <w:jc w:val="left"/>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3、项目组主要实施人员：</w:t>
            </w:r>
          </w:p>
          <w:p>
            <w:pPr>
              <w:spacing w:line="380" w:lineRule="exact"/>
              <w:jc w:val="left"/>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3.1投标人拟派财会人员1名，具有初级及以上会计师证书；</w:t>
            </w:r>
          </w:p>
          <w:p>
            <w:pPr>
              <w:spacing w:line="380" w:lineRule="exact"/>
              <w:jc w:val="left"/>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3.2化验人员2名，具备化学检验工证书（或专业能力证书）；3.3机修人员4名，具有高压电工作业证；</w:t>
            </w:r>
          </w:p>
          <w:p>
            <w:pPr>
              <w:spacing w:line="380" w:lineRule="exact"/>
              <w:jc w:val="left"/>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3.4中控人员4名，具备污水处理工或工业废水处理工证书。</w:t>
            </w:r>
          </w:p>
          <w:p>
            <w:pPr>
              <w:spacing w:line="380" w:lineRule="exact"/>
              <w:jc w:val="left"/>
              <w:rPr>
                <w:rFonts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以上人员全部配备的得5分；缺1类的扣2分，扣完为止。</w:t>
            </w:r>
          </w:p>
          <w:p>
            <w:pPr>
              <w:spacing w:line="380" w:lineRule="exact"/>
              <w:jc w:val="left"/>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 xml:space="preserve"> </w:t>
            </w:r>
            <w:r>
              <w:rPr>
                <w:rFonts w:hint="eastAsia" w:ascii="宋体" w:hAnsi="宋体" w:eastAsia="宋体" w:cs="宋体"/>
                <w:b w:val="0"/>
                <w:bCs w:val="0"/>
                <w:color w:val="000000" w:themeColor="text1"/>
                <w:sz w:val="24"/>
                <w:szCs w:val="24"/>
                <w:highlight w:val="none"/>
                <w:lang w:val="zh-CN"/>
                <w14:textFill>
                  <w14:solidFill>
                    <w14:schemeClr w14:val="tx1"/>
                  </w14:solidFill>
                </w14:textFill>
              </w:rPr>
              <w:t>证明材料：同时按</w:t>
            </w:r>
            <w:r>
              <w:rPr>
                <w:rFonts w:hint="eastAsia" w:ascii="宋体" w:hAnsi="宋体" w:eastAsia="宋体" w:cs="宋体"/>
                <w:b w:val="0"/>
                <w:bCs w:val="0"/>
                <w:color w:val="000000" w:themeColor="text1"/>
                <w:sz w:val="24"/>
                <w:szCs w:val="24"/>
                <w:highlight w:val="none"/>
                <w14:textFill>
                  <w14:solidFill>
                    <w14:schemeClr w14:val="tx1"/>
                  </w14:solidFill>
                </w14:textFill>
              </w:rPr>
              <w:t>采购需求的相关要求提供证书（或专业能力证书）</w:t>
            </w:r>
            <w:r>
              <w:rPr>
                <w:rFonts w:hint="eastAsia" w:ascii="宋体" w:hAnsi="宋体" w:eastAsia="宋体" w:cs="宋体"/>
                <w:b w:val="0"/>
                <w:bCs w:val="0"/>
                <w:color w:val="000000" w:themeColor="text1"/>
                <w:kern w:val="0"/>
                <w:sz w:val="24"/>
                <w:szCs w:val="24"/>
                <w:highlight w:val="none"/>
                <w:lang w:val="zh-CN"/>
                <w14:textFill>
                  <w14:solidFill>
                    <w14:schemeClr w14:val="tx1"/>
                  </w14:solidFill>
                </w14:textFill>
              </w:rPr>
              <w:t>原件扫描件（彩色）</w:t>
            </w:r>
            <w:r>
              <w:rPr>
                <w:rFonts w:hint="eastAsia" w:ascii="宋体" w:hAnsi="宋体" w:eastAsia="宋体" w:cs="宋体"/>
                <w:b w:val="0"/>
                <w:bCs w:val="0"/>
                <w:color w:val="000000" w:themeColor="text1"/>
                <w:sz w:val="24"/>
                <w:szCs w:val="24"/>
                <w:highlight w:val="none"/>
                <w14:textFill>
                  <w14:solidFill>
                    <w14:schemeClr w14:val="tx1"/>
                  </w14:solidFill>
                </w14:textFill>
              </w:rPr>
              <w:t>及近三个月（近三个月的社保指2023年</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9</w:t>
            </w:r>
            <w:r>
              <w:rPr>
                <w:rFonts w:hint="eastAsia" w:ascii="宋体" w:hAnsi="宋体" w:eastAsia="宋体" w:cs="宋体"/>
                <w:b w:val="0"/>
                <w:bCs w:val="0"/>
                <w:color w:val="000000" w:themeColor="text1"/>
                <w:sz w:val="24"/>
                <w:szCs w:val="24"/>
                <w:highlight w:val="none"/>
                <w14:textFill>
                  <w14:solidFill>
                    <w14:schemeClr w14:val="tx1"/>
                  </w14:solidFill>
                </w14:textFill>
              </w:rPr>
              <w:t>月、</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10</w:t>
            </w:r>
            <w:r>
              <w:rPr>
                <w:rFonts w:hint="eastAsia" w:ascii="宋体" w:hAnsi="宋体" w:eastAsia="宋体" w:cs="宋体"/>
                <w:b w:val="0"/>
                <w:bCs w:val="0"/>
                <w:color w:val="000000" w:themeColor="text1"/>
                <w:sz w:val="24"/>
                <w:szCs w:val="24"/>
                <w:highlight w:val="none"/>
                <w14:textFill>
                  <w14:solidFill>
                    <w14:schemeClr w14:val="tx1"/>
                  </w14:solidFill>
                </w14:textFill>
              </w:rPr>
              <w:t>月、</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b w:val="0"/>
                <w:bCs w:val="0"/>
                <w:color w:val="000000" w:themeColor="text1"/>
                <w:sz w:val="24"/>
                <w:szCs w:val="24"/>
                <w:highlight w:val="none"/>
                <w14:textFill>
                  <w14:solidFill>
                    <w14:schemeClr w14:val="tx1"/>
                  </w14:solidFill>
                </w14:textFill>
              </w:rPr>
              <w:t>月）的社保证明（可以为税务或社保机构官方网站查询结果），提供不全或未提供的不得分。</w:t>
            </w:r>
            <w:r>
              <w:rPr>
                <w:rFonts w:hint="eastAsia" w:ascii="宋体" w:hAnsi="宋体" w:eastAsia="宋体" w:cs="宋体"/>
                <w:color w:val="000000" w:themeColor="text1"/>
                <w:sz w:val="24"/>
                <w:szCs w:val="24"/>
                <w:highlight w:val="none"/>
                <w14:textFill>
                  <w14:solidFill>
                    <w14:schemeClr w14:val="tx1"/>
                  </w14:solidFill>
                </w14:textFill>
              </w:rPr>
              <w:t xml:space="preserve"> </w:t>
            </w:r>
          </w:p>
        </w:tc>
        <w:tc>
          <w:tcPr>
            <w:tcW w:w="1119"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451"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095"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技术力量及响应时效</w:t>
            </w:r>
          </w:p>
        </w:tc>
        <w:tc>
          <w:tcPr>
            <w:tcW w:w="7116" w:type="dxa"/>
            <w:vAlign w:val="center"/>
          </w:tcPr>
          <w:p>
            <w:pPr>
              <w:autoSpaceDE w:val="0"/>
              <w:autoSpaceDN w:val="0"/>
              <w:spacing w:line="380" w:lineRule="exact"/>
              <w:jc w:val="left"/>
              <w:rPr>
                <w:rFonts w:ascii="宋体" w:hAnsi="宋体" w:eastAsia="宋体" w:cs="宋体"/>
                <w:color w:val="000000" w:themeColor="text1"/>
                <w:sz w:val="24"/>
                <w:szCs w:val="24"/>
                <w:highlight w:val="none"/>
                <w:lang w:val="en-GB"/>
                <w14:textFill>
                  <w14:solidFill>
                    <w14:schemeClr w14:val="tx1"/>
                  </w14:solidFill>
                </w14:textFill>
              </w:rPr>
            </w:pPr>
            <w:r>
              <w:rPr>
                <w:rFonts w:hint="eastAsia" w:ascii="宋体" w:hAnsi="宋体" w:eastAsia="宋体" w:cs="宋体"/>
                <w:bCs/>
                <w:color w:val="000000" w:themeColor="text1"/>
                <w:sz w:val="24"/>
                <w:szCs w:val="24"/>
                <w:highlight w:val="none"/>
                <w:lang w:val="zh-CN"/>
                <w14:textFill>
                  <w14:solidFill>
                    <w14:schemeClr w14:val="tx1"/>
                  </w14:solidFill>
                </w14:textFill>
              </w:rPr>
              <w:t>投标人</w:t>
            </w:r>
            <w:r>
              <w:rPr>
                <w:rFonts w:hint="eastAsia" w:ascii="宋体" w:hAnsi="宋体" w:eastAsia="宋体" w:cs="宋体"/>
                <w:color w:val="000000" w:themeColor="text1"/>
                <w:sz w:val="24"/>
                <w:szCs w:val="24"/>
                <w:highlight w:val="none"/>
                <w14:textFill>
                  <w14:solidFill>
                    <w14:schemeClr w14:val="tx1"/>
                  </w14:solidFill>
                </w14:textFill>
              </w:rPr>
              <w:t>承诺1.5</w:t>
            </w:r>
            <w:r>
              <w:rPr>
                <w:rFonts w:hint="eastAsia" w:ascii="宋体" w:hAnsi="宋体" w:eastAsia="宋体" w:cs="宋体"/>
                <w:color w:val="000000" w:themeColor="text1"/>
                <w:sz w:val="24"/>
                <w:szCs w:val="24"/>
                <w:highlight w:val="none"/>
                <w:lang w:val="en-GB"/>
                <w14:textFill>
                  <w14:solidFill>
                    <w14:schemeClr w14:val="tx1"/>
                  </w14:solidFill>
                </w14:textFill>
              </w:rPr>
              <w:t>小时内能够到达现场快速响应的得</w:t>
            </w:r>
            <w:r>
              <w:rPr>
                <w:rFonts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GB"/>
                <w14:textFill>
                  <w14:solidFill>
                    <w14:schemeClr w14:val="tx1"/>
                  </w14:solidFill>
                </w14:textFill>
              </w:rPr>
              <w:t>分；</w:t>
            </w: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GB"/>
                <w14:textFill>
                  <w14:solidFill>
                    <w14:schemeClr w14:val="tx1"/>
                  </w14:solidFill>
                </w14:textFill>
              </w:rPr>
              <w:t>小时内能够到达现场及时响应的得</w:t>
            </w:r>
            <w:r>
              <w:rPr>
                <w:rFonts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GB"/>
                <w14:textFill>
                  <w14:solidFill>
                    <w14:schemeClr w14:val="tx1"/>
                  </w14:solidFill>
                </w14:textFill>
              </w:rPr>
              <w:t>分；</w:t>
            </w:r>
            <w:r>
              <w:rPr>
                <w:rFonts w:hint="eastAsia" w:ascii="宋体" w:hAnsi="宋体" w:eastAsia="宋体" w:cs="宋体"/>
                <w:color w:val="000000" w:themeColor="text1"/>
                <w:sz w:val="24"/>
                <w:szCs w:val="24"/>
                <w:highlight w:val="none"/>
                <w14:textFill>
                  <w14:solidFill>
                    <w14:schemeClr w14:val="tx1"/>
                  </w14:solidFill>
                </w14:textFill>
              </w:rPr>
              <w:t>2.5</w:t>
            </w:r>
            <w:r>
              <w:rPr>
                <w:rFonts w:hint="eastAsia" w:ascii="宋体" w:hAnsi="宋体" w:eastAsia="宋体" w:cs="宋体"/>
                <w:color w:val="000000" w:themeColor="text1"/>
                <w:sz w:val="24"/>
                <w:szCs w:val="24"/>
                <w:highlight w:val="none"/>
                <w:lang w:val="en-GB"/>
                <w14:textFill>
                  <w14:solidFill>
                    <w14:schemeClr w14:val="tx1"/>
                  </w14:solidFill>
                </w14:textFill>
              </w:rPr>
              <w:t>小时内能够到达现场响应的得</w:t>
            </w:r>
            <w:r>
              <w:rPr>
                <w:rFonts w:ascii="宋体" w:hAnsi="宋体" w:eastAsia="宋体" w:cs="宋体"/>
                <w:color w:val="000000" w:themeColor="text1"/>
                <w:sz w:val="24"/>
                <w:szCs w:val="24"/>
                <w:highlight w:val="none"/>
                <w14:textFill>
                  <w14:solidFill>
                    <w14:schemeClr w14:val="tx1"/>
                  </w14:solidFill>
                </w14:textFill>
              </w:rPr>
              <w:t>0.5</w:t>
            </w:r>
            <w:r>
              <w:rPr>
                <w:rFonts w:hint="eastAsia" w:ascii="宋体" w:hAnsi="宋体" w:eastAsia="宋体" w:cs="宋体"/>
                <w:color w:val="000000" w:themeColor="text1"/>
                <w:sz w:val="24"/>
                <w:szCs w:val="24"/>
                <w:highlight w:val="none"/>
                <w:lang w:val="en-GB"/>
                <w14:textFill>
                  <w14:solidFill>
                    <w14:schemeClr w14:val="tx1"/>
                  </w14:solidFill>
                </w14:textFill>
              </w:rPr>
              <w:t>分。</w:t>
            </w:r>
          </w:p>
          <w:p>
            <w:pPr>
              <w:spacing w:line="380" w:lineRule="exact"/>
              <w:jc w:val="left"/>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en-GB"/>
                <w14:textFill>
                  <w14:solidFill>
                    <w14:schemeClr w14:val="tx1"/>
                  </w14:solidFill>
                </w14:textFill>
              </w:rPr>
              <w:t>提供</w:t>
            </w:r>
            <w:r>
              <w:rPr>
                <w:rFonts w:hint="eastAsia" w:ascii="宋体" w:hAnsi="宋体" w:eastAsia="宋体" w:cs="宋体"/>
                <w:bCs/>
                <w:color w:val="000000" w:themeColor="text1"/>
                <w:sz w:val="24"/>
                <w:szCs w:val="24"/>
                <w:highlight w:val="none"/>
                <w:lang w:val="zh-CN"/>
                <w14:textFill>
                  <w14:solidFill>
                    <w14:schemeClr w14:val="tx1"/>
                  </w14:solidFill>
                </w14:textFill>
              </w:rPr>
              <w:t>响应时效承诺书并加盖投标人公章（格式自拟）。</w:t>
            </w:r>
          </w:p>
        </w:tc>
        <w:tc>
          <w:tcPr>
            <w:tcW w:w="1119"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w:t>
            </w:r>
            <w:r>
              <w:rPr>
                <w:rFonts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451" w:type="dxa"/>
            <w:vMerge w:val="restart"/>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095" w:type="dxa"/>
            <w:vMerge w:val="restart"/>
            <w:vAlign w:val="center"/>
          </w:tcPr>
          <w:p>
            <w:pPr>
              <w:spacing w:line="380" w:lineRule="exact"/>
              <w:jc w:val="center"/>
              <w:rPr>
                <w:rFonts w:ascii="宋体" w:hAnsi="宋体" w:eastAsia="宋体" w:cs="宋体"/>
                <w:color w:val="000000" w:themeColor="text1"/>
                <w:sz w:val="24"/>
                <w:szCs w:val="24"/>
                <w:highlight w:val="none"/>
                <w:lang w:val="en-GB"/>
                <w14:textFill>
                  <w14:solidFill>
                    <w14:schemeClr w14:val="tx1"/>
                  </w14:solidFill>
                </w14:textFill>
              </w:rPr>
            </w:pPr>
            <w:r>
              <w:rPr>
                <w:rFonts w:hint="eastAsia" w:ascii="宋体" w:hAnsi="宋体" w:eastAsia="宋体" w:cs="宋体"/>
                <w:color w:val="000000" w:themeColor="text1"/>
                <w:sz w:val="24"/>
                <w:szCs w:val="24"/>
                <w:highlight w:val="none"/>
                <w:lang w:val="en-GB"/>
                <w14:textFill>
                  <w14:solidFill>
                    <w14:schemeClr w14:val="tx1"/>
                  </w14:solidFill>
                </w14:textFill>
              </w:rPr>
              <w:t>实施</w:t>
            </w:r>
          </w:p>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GB"/>
                <w14:textFill>
                  <w14:solidFill>
                    <w14:schemeClr w14:val="tx1"/>
                  </w14:solidFill>
                </w14:textFill>
              </w:rPr>
              <w:t>方案</w:t>
            </w:r>
          </w:p>
        </w:tc>
        <w:tc>
          <w:tcPr>
            <w:tcW w:w="7116" w:type="dxa"/>
          </w:tcPr>
          <w:p>
            <w:pPr>
              <w:spacing w:line="380" w:lineRule="exact"/>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根据各投标人针对项目具体实施拟定的运维实施方案是否详实、运维</w:t>
            </w:r>
            <w:r>
              <w:rPr>
                <w:rFonts w:hint="eastAsia" w:ascii="宋体" w:hAnsi="宋体" w:eastAsia="宋体" w:cs="宋体"/>
                <w:color w:val="000000" w:themeColor="text1"/>
                <w:sz w:val="24"/>
                <w:szCs w:val="24"/>
                <w:highlight w:val="none"/>
                <w:lang w:val="zh-CN"/>
                <w14:textFill>
                  <w14:solidFill>
                    <w14:schemeClr w14:val="tx1"/>
                  </w14:solidFill>
                </w14:textFill>
              </w:rPr>
              <w:t>保障措施是否健全，人员职责是否明确，是否有完善的质量管理体系，并能有效实施，进行评审打分：优秀的得</w:t>
            </w:r>
            <w:r>
              <w:rPr>
                <w:rFonts w:hint="eastAsia" w:ascii="宋体" w:hAnsi="宋体" w:eastAsia="宋体" w:cs="宋体"/>
                <w:color w:val="000000" w:themeColor="text1"/>
                <w:sz w:val="24"/>
                <w:szCs w:val="24"/>
                <w:highlight w:val="none"/>
                <w14:textFill>
                  <w14:solidFill>
                    <w14:schemeClr w14:val="tx1"/>
                  </w14:solidFill>
                </w14:textFill>
              </w:rPr>
              <w:t>10.1-15分；一般的得5.1-10分；差的得0-5分。</w:t>
            </w:r>
          </w:p>
        </w:tc>
        <w:tc>
          <w:tcPr>
            <w:tcW w:w="1119"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451" w:type="dxa"/>
            <w:vMerge w:val="continue"/>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p>
        </w:tc>
        <w:tc>
          <w:tcPr>
            <w:tcW w:w="1095" w:type="dxa"/>
            <w:vMerge w:val="continue"/>
            <w:vAlign w:val="center"/>
          </w:tcPr>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p>
        </w:tc>
        <w:tc>
          <w:tcPr>
            <w:tcW w:w="7116" w:type="dxa"/>
          </w:tcPr>
          <w:p>
            <w:pPr>
              <w:spacing w:line="380" w:lineRule="exact"/>
              <w:jc w:val="lef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根据各投标人是否具有完备的管理组织、项目实施规范和管理制度，进行评审打分：优秀的得</w:t>
            </w:r>
            <w:r>
              <w:rPr>
                <w:rFonts w:hint="eastAsia" w:ascii="宋体" w:hAnsi="宋体" w:eastAsia="宋体" w:cs="宋体"/>
                <w:color w:val="000000" w:themeColor="text1"/>
                <w:sz w:val="24"/>
                <w:szCs w:val="24"/>
                <w:highlight w:val="none"/>
                <w14:textFill>
                  <w14:solidFill>
                    <w14:schemeClr w14:val="tx1"/>
                  </w14:solidFill>
                </w14:textFill>
              </w:rPr>
              <w:t>3.1-5分；一般的得2.1-3分；差的得0-2分。</w:t>
            </w:r>
          </w:p>
        </w:tc>
        <w:tc>
          <w:tcPr>
            <w:tcW w:w="1119"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451"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095" w:type="dxa"/>
            <w:vAlign w:val="center"/>
          </w:tcPr>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项目技术方案</w:t>
            </w:r>
          </w:p>
        </w:tc>
        <w:tc>
          <w:tcPr>
            <w:tcW w:w="7116" w:type="dxa"/>
          </w:tcPr>
          <w:p>
            <w:pPr>
              <w:spacing w:line="380" w:lineRule="exact"/>
              <w:jc w:val="left"/>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根据各投标人投标技术方案总体设计的科学性、合理性、可行性，包括</w:t>
            </w:r>
            <w:r>
              <w:rPr>
                <w:rFonts w:hint="eastAsia" w:ascii="宋体" w:hAnsi="宋体" w:eastAsia="宋体" w:cs="宋体"/>
                <w:color w:val="000000" w:themeColor="text1"/>
                <w:sz w:val="24"/>
                <w:szCs w:val="24"/>
                <w:highlight w:val="none"/>
                <w:lang w:val="zh-CN"/>
                <w14:textFill>
                  <w14:solidFill>
                    <w14:schemeClr w14:val="tx1"/>
                  </w14:solidFill>
                </w14:textFill>
              </w:rPr>
              <w:t>技术路线正确性、完整性、项目特点和重点难点分析及应对措施等</w:t>
            </w:r>
            <w:r>
              <w:rPr>
                <w:rFonts w:hint="eastAsia" w:ascii="宋体" w:hAnsi="宋体" w:eastAsia="宋体" w:cs="宋体"/>
                <w:color w:val="000000" w:themeColor="text1"/>
                <w:sz w:val="24"/>
                <w:szCs w:val="24"/>
                <w:highlight w:val="none"/>
                <w14:textFill>
                  <w14:solidFill>
                    <w14:schemeClr w14:val="tx1"/>
                  </w14:solidFill>
                </w14:textFill>
              </w:rPr>
              <w:t>及</w:t>
            </w:r>
            <w:r>
              <w:rPr>
                <w:rFonts w:hint="eastAsia" w:ascii="宋体" w:hAnsi="宋体" w:eastAsia="宋体" w:cs="宋体"/>
                <w:color w:val="000000" w:themeColor="text1"/>
                <w:sz w:val="24"/>
                <w:szCs w:val="24"/>
                <w:highlight w:val="none"/>
                <w:lang w:val="zh-CN"/>
                <w14:textFill>
                  <w14:solidFill>
                    <w14:schemeClr w14:val="tx1"/>
                  </w14:solidFill>
                </w14:textFill>
              </w:rPr>
              <w:t>工作方案是否周密，思路清晰合理，是否有明确的工作程序、可操作性，进行评审打分：优秀的得</w:t>
            </w:r>
            <w:r>
              <w:rPr>
                <w:rFonts w:hint="eastAsia" w:ascii="宋体" w:hAnsi="宋体" w:eastAsia="宋体" w:cs="宋体"/>
                <w:color w:val="000000" w:themeColor="text1"/>
                <w:sz w:val="24"/>
                <w:szCs w:val="24"/>
                <w:highlight w:val="none"/>
                <w14:textFill>
                  <w14:solidFill>
                    <w14:schemeClr w14:val="tx1"/>
                  </w14:solidFill>
                </w14:textFill>
              </w:rPr>
              <w:t>1</w:t>
            </w:r>
            <w:r>
              <w:rPr>
                <w:rFonts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.1-</w:t>
            </w:r>
            <w:r>
              <w:rPr>
                <w:rFonts w:ascii="宋体" w:hAnsi="宋体" w:eastAsia="宋体" w:cs="宋体"/>
                <w:color w:val="000000" w:themeColor="text1"/>
                <w:sz w:val="24"/>
                <w:szCs w:val="24"/>
                <w:highlight w:val="none"/>
                <w14:textFill>
                  <w14:solidFill>
                    <w14:schemeClr w14:val="tx1"/>
                  </w14:solidFill>
                </w14:textFill>
              </w:rPr>
              <w:t>16</w:t>
            </w:r>
            <w:r>
              <w:rPr>
                <w:rFonts w:hint="eastAsia" w:ascii="宋体" w:hAnsi="宋体" w:eastAsia="宋体" w:cs="宋体"/>
                <w:color w:val="000000" w:themeColor="text1"/>
                <w:sz w:val="24"/>
                <w:szCs w:val="24"/>
                <w:highlight w:val="none"/>
                <w14:textFill>
                  <w14:solidFill>
                    <w14:schemeClr w14:val="tx1"/>
                  </w14:solidFill>
                </w14:textFill>
              </w:rPr>
              <w:t>分；一般的得</w:t>
            </w:r>
            <w:r>
              <w:rPr>
                <w:rFonts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.1-1</w:t>
            </w:r>
            <w:r>
              <w:rPr>
                <w:rFonts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分；差的得0-</w:t>
            </w:r>
            <w:r>
              <w:rPr>
                <w:rFonts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w:t>
            </w:r>
          </w:p>
        </w:tc>
        <w:tc>
          <w:tcPr>
            <w:tcW w:w="1119"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w:t>
            </w:r>
            <w:r>
              <w:rPr>
                <w:rFonts w:ascii="宋体" w:hAnsi="宋体" w:eastAsia="宋体" w:cs="宋体"/>
                <w:color w:val="000000" w:themeColor="text1"/>
                <w:sz w:val="24"/>
                <w:szCs w:val="24"/>
                <w:highlight w:val="none"/>
                <w14:textFill>
                  <w14:solidFill>
                    <w14:schemeClr w14:val="tx1"/>
                  </w14:solidFill>
                </w14:textFill>
              </w:rPr>
              <w:t>16</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451"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095" w:type="dxa"/>
            <w:vAlign w:val="center"/>
          </w:tcPr>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安全</w:t>
            </w:r>
          </w:p>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保证</w:t>
            </w:r>
          </w:p>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措施</w:t>
            </w:r>
          </w:p>
        </w:tc>
        <w:tc>
          <w:tcPr>
            <w:tcW w:w="7116" w:type="dxa"/>
          </w:tcPr>
          <w:p>
            <w:pPr>
              <w:spacing w:line="380" w:lineRule="exact"/>
              <w:jc w:val="left"/>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根据各投标人针对设施运行维护服务过程中对安全监管的措施、可靠性及管理安全的科学合理性进行评审打分：优秀的得</w:t>
            </w:r>
            <w:r>
              <w:rPr>
                <w:rFonts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.1-</w:t>
            </w:r>
            <w:r>
              <w:rPr>
                <w:rFonts w:ascii="宋体" w:hAnsi="宋体" w:eastAsia="宋体" w:cs="宋体"/>
                <w:color w:val="000000" w:themeColor="text1"/>
                <w:sz w:val="24"/>
                <w:szCs w:val="24"/>
                <w:highlight w:val="none"/>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分；一般的得2.1-</w:t>
            </w:r>
            <w:r>
              <w:rPr>
                <w:rFonts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分；差的得0-2分。</w:t>
            </w:r>
          </w:p>
        </w:tc>
        <w:tc>
          <w:tcPr>
            <w:tcW w:w="1119"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w:t>
            </w:r>
            <w:r>
              <w:rPr>
                <w:rFonts w:ascii="宋体" w:hAnsi="宋体" w:eastAsia="宋体" w:cs="宋体"/>
                <w:color w:val="000000" w:themeColor="text1"/>
                <w:sz w:val="24"/>
                <w:szCs w:val="24"/>
                <w:highlight w:val="none"/>
                <w14:textFill>
                  <w14:solidFill>
                    <w14:schemeClr w14:val="tx1"/>
                  </w14:solidFill>
                </w14:textFill>
              </w:rPr>
              <w:t>6</w:t>
            </w:r>
            <w:r>
              <w:rPr>
                <w:rFonts w:hint="eastAsia" w:ascii="宋体" w:hAnsi="宋体" w:eastAsia="宋体" w:cs="宋体"/>
                <w:color w:val="000000" w:themeColor="text1"/>
                <w:sz w:val="24"/>
                <w:szCs w:val="24"/>
                <w:highlight w:val="none"/>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451" w:type="dxa"/>
            <w:vAlign w:val="center"/>
          </w:tcPr>
          <w:p>
            <w:pPr>
              <w:spacing w:line="38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095" w:type="dxa"/>
            <w:vAlign w:val="center"/>
          </w:tcPr>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服务质量保证承诺</w:t>
            </w:r>
          </w:p>
        </w:tc>
        <w:tc>
          <w:tcPr>
            <w:tcW w:w="7116" w:type="dxa"/>
          </w:tcPr>
          <w:p>
            <w:pPr>
              <w:spacing w:line="380" w:lineRule="exact"/>
              <w:jc w:val="left"/>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根据各投标人所做的服务承诺和技术服务是否有利于招标人的服务质量保证等的保障承诺措施进行评审打分：</w:t>
            </w:r>
            <w:r>
              <w:rPr>
                <w:rFonts w:hint="eastAsia" w:ascii="宋体" w:hAnsi="宋体" w:eastAsia="宋体" w:cs="宋体"/>
                <w:color w:val="000000" w:themeColor="text1"/>
                <w:sz w:val="24"/>
                <w:szCs w:val="24"/>
                <w:highlight w:val="none"/>
                <w:lang w:val="zh-CN"/>
                <w14:textFill>
                  <w14:solidFill>
                    <w14:schemeClr w14:val="tx1"/>
                  </w14:solidFill>
                </w14:textFill>
              </w:rPr>
              <w:t>优秀的得</w:t>
            </w:r>
            <w:r>
              <w:rPr>
                <w:rFonts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.1-</w:t>
            </w:r>
            <w:r>
              <w:rPr>
                <w:rFonts w:ascii="宋体" w:hAnsi="宋体" w:eastAsia="宋体" w:cs="宋体"/>
                <w:color w:val="000000" w:themeColor="text1"/>
                <w:sz w:val="24"/>
                <w:szCs w:val="24"/>
                <w:highlight w:val="none"/>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分；一般的得2.1-</w:t>
            </w:r>
            <w:r>
              <w:rPr>
                <w:rFonts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分；差的得0-2分。</w:t>
            </w:r>
          </w:p>
        </w:tc>
        <w:tc>
          <w:tcPr>
            <w:tcW w:w="1119" w:type="dxa"/>
            <w:vAlign w:val="center"/>
          </w:tcPr>
          <w:p>
            <w:pPr>
              <w:spacing w:line="380" w:lineRule="exact"/>
              <w:jc w:val="center"/>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0-</w:t>
            </w:r>
            <w:r>
              <w:rPr>
                <w:rFonts w:ascii="宋体" w:hAnsi="宋体" w:eastAsia="宋体" w:cs="宋体"/>
                <w:color w:val="000000" w:themeColor="text1"/>
                <w:sz w:val="24"/>
                <w:szCs w:val="24"/>
                <w:highlight w:val="none"/>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451" w:type="dxa"/>
            <w:vAlign w:val="center"/>
          </w:tcPr>
          <w:p>
            <w:pPr>
              <w:spacing w:line="380" w:lineRule="exact"/>
              <w:jc w:val="center"/>
              <w:rPr>
                <w:rFonts w:ascii="宋体" w:hAnsi="宋体" w:cs="宋体"/>
                <w:b w:val="0"/>
                <w:bCs w:val="0"/>
                <w:color w:val="000000" w:themeColor="text1"/>
                <w:sz w:val="24"/>
                <w:szCs w:val="24"/>
                <w:highlight w:val="none"/>
                <w14:textFill>
                  <w14:solidFill>
                    <w14:schemeClr w14:val="tx1"/>
                  </w14:solidFill>
                </w14:textFill>
              </w:rPr>
            </w:pPr>
            <w:r>
              <w:rPr>
                <w:rFonts w:hint="eastAsia" w:ascii="宋体" w:hAnsi="宋体" w:cs="宋体"/>
                <w:b w:val="0"/>
                <w:bCs w:val="0"/>
                <w:color w:val="000000" w:themeColor="text1"/>
                <w:sz w:val="24"/>
                <w:szCs w:val="24"/>
                <w:highlight w:val="none"/>
                <w14:textFill>
                  <w14:solidFill>
                    <w14:schemeClr w14:val="tx1"/>
                  </w14:solidFill>
                </w14:textFill>
              </w:rPr>
              <w:t>9</w:t>
            </w:r>
          </w:p>
        </w:tc>
        <w:tc>
          <w:tcPr>
            <w:tcW w:w="1095" w:type="dxa"/>
            <w:vAlign w:val="center"/>
          </w:tcPr>
          <w:p>
            <w:pPr>
              <w:spacing w:before="68" w:line="380" w:lineRule="exact"/>
              <w:rPr>
                <w:rFonts w:ascii="宋体" w:hAnsi="宋体" w:eastAsia="宋体" w:cs="宋体"/>
                <w:b w:val="0"/>
                <w:bCs w:val="0"/>
                <w:color w:val="000000" w:themeColor="text1"/>
                <w:sz w:val="24"/>
                <w:szCs w:val="24"/>
                <w:highlight w:val="none"/>
                <w:lang w:val="zh-CN"/>
                <w14:textFill>
                  <w14:solidFill>
                    <w14:schemeClr w14:val="tx1"/>
                  </w14:solidFill>
                </w14:textFill>
              </w:rPr>
            </w:pPr>
            <w:r>
              <w:rPr>
                <w:rFonts w:hint="eastAsia" w:ascii="宋体" w:hAnsi="宋体" w:eastAsia="宋体" w:cs="宋体"/>
                <w:b w:val="0"/>
                <w:bCs w:val="0"/>
                <w:color w:val="000000" w:themeColor="text1"/>
                <w:spacing w:val="-2"/>
                <w:sz w:val="24"/>
                <w:szCs w:val="24"/>
                <w:highlight w:val="none"/>
                <w14:textFill>
                  <w14:solidFill>
                    <w14:schemeClr w14:val="tx1"/>
                  </w14:solidFill>
                </w14:textFill>
              </w:rPr>
              <w:t>极端情况处理能力</w:t>
            </w:r>
          </w:p>
        </w:tc>
        <w:tc>
          <w:tcPr>
            <w:tcW w:w="7116" w:type="dxa"/>
          </w:tcPr>
          <w:p>
            <w:pPr>
              <w:keepNext w:val="0"/>
              <w:keepLines w:val="0"/>
              <w:pageBreakBefore w:val="0"/>
              <w:kinsoku/>
              <w:wordWrap/>
              <w:topLinePunct w:val="0"/>
              <w:bidi w:val="0"/>
              <w:snapToGrid/>
              <w:spacing w:line="380" w:lineRule="exact"/>
              <w:rPr>
                <w:rFonts w:hAnsi="宋体" w:cs="宋体"/>
                <w:b w:val="0"/>
                <w:bCs w:val="0"/>
                <w:color w:val="000000" w:themeColor="text1"/>
                <w:spacing w:val="10"/>
                <w:sz w:val="24"/>
                <w:szCs w:val="24"/>
                <w:highlight w:val="none"/>
                <w14:textFill>
                  <w14:solidFill>
                    <w14:schemeClr w14:val="tx1"/>
                  </w14:solidFill>
                </w14:textFill>
              </w:rPr>
            </w:pPr>
            <w:r>
              <w:rPr>
                <w:rFonts w:hint="eastAsia" w:ascii="宋体" w:hAnsi="宋体" w:eastAsia="宋体" w:cs="宋体"/>
                <w:b w:val="0"/>
                <w:bCs w:val="0"/>
                <w:color w:val="000000" w:themeColor="text1"/>
                <w:spacing w:val="10"/>
                <w:sz w:val="24"/>
                <w:szCs w:val="24"/>
                <w:highlight w:val="none"/>
                <w14:textFill>
                  <w14:solidFill>
                    <w14:schemeClr w14:val="tx1"/>
                  </w14:solidFill>
                </w14:textFill>
              </w:rPr>
              <w:t>根据各</w:t>
            </w:r>
            <w:r>
              <w:rPr>
                <w:rFonts w:ascii="宋体" w:hAnsi="宋体" w:eastAsia="宋体" w:cs="宋体"/>
                <w:b w:val="0"/>
                <w:bCs w:val="0"/>
                <w:color w:val="000000" w:themeColor="text1"/>
                <w:spacing w:val="10"/>
                <w:sz w:val="24"/>
                <w:szCs w:val="24"/>
                <w:highlight w:val="none"/>
                <w14:textFill>
                  <w14:solidFill>
                    <w14:schemeClr w14:val="tx1"/>
                  </w14:solidFill>
                </w14:textFill>
              </w:rPr>
              <w:t>投标人针对本项目的突发应急事件</w:t>
            </w:r>
            <w:r>
              <w:rPr>
                <w:rFonts w:hint="eastAsia" w:ascii="宋体" w:hAnsi="宋体" w:eastAsia="宋体" w:cs="宋体"/>
                <w:b w:val="0"/>
                <w:bCs w:val="0"/>
                <w:color w:val="000000" w:themeColor="text1"/>
                <w:spacing w:val="10"/>
                <w:sz w:val="24"/>
                <w:szCs w:val="24"/>
                <w:highlight w:val="none"/>
                <w14:textFill>
                  <w14:solidFill>
                    <w14:schemeClr w14:val="tx1"/>
                  </w14:solidFill>
                </w14:textFill>
              </w:rPr>
              <w:t>，如遇再生水厂因不可抗力短期内（7天以上）无法运行，</w:t>
            </w:r>
            <w:r>
              <w:rPr>
                <w:rFonts w:hint="eastAsia" w:ascii="宋体" w:hAnsi="宋体" w:eastAsia="宋体" w:cs="宋体"/>
                <w:b w:val="0"/>
                <w:bCs w:val="0"/>
                <w:color w:val="000000" w:themeColor="text1"/>
                <w:spacing w:val="6"/>
                <w:sz w:val="24"/>
                <w:szCs w:val="24"/>
                <w:highlight w:val="none"/>
                <w14:textFill>
                  <w14:solidFill>
                    <w14:schemeClr w14:val="tx1"/>
                  </w14:solidFill>
                </w14:textFill>
              </w:rPr>
              <w:t>是否有能力在2小时内立即处理高铁新城范围内的污水且处理后的污水符合浙江省《城镇污水处理厂主要水污染物排放标准》（DB33/2169-2018）。</w:t>
            </w:r>
          </w:p>
          <w:p>
            <w:pPr>
              <w:pStyle w:val="34"/>
              <w:keepNext w:val="0"/>
              <w:keepLines w:val="0"/>
              <w:pageBreakBefore w:val="0"/>
              <w:kinsoku/>
              <w:wordWrap/>
              <w:topLinePunct w:val="0"/>
              <w:bidi w:val="0"/>
              <w:snapToGrid/>
              <w:spacing w:line="380" w:lineRule="exact"/>
              <w:rPr>
                <w:rFonts w:hAnsi="宋体" w:cs="宋体"/>
                <w:b w:val="0"/>
                <w:bCs w:val="0"/>
                <w:color w:val="000000" w:themeColor="text1"/>
                <w:spacing w:val="10"/>
                <w:sz w:val="24"/>
                <w:szCs w:val="24"/>
                <w:highlight w:val="none"/>
                <w14:textFill>
                  <w14:solidFill>
                    <w14:schemeClr w14:val="tx1"/>
                  </w14:solidFill>
                </w14:textFill>
              </w:rPr>
            </w:pPr>
            <w:r>
              <w:rPr>
                <w:rFonts w:hint="eastAsia" w:hAnsi="宋体" w:cs="宋体"/>
                <w:b w:val="0"/>
                <w:bCs w:val="0"/>
                <w:color w:val="000000" w:themeColor="text1"/>
                <w:spacing w:val="10"/>
                <w:sz w:val="24"/>
                <w:szCs w:val="24"/>
                <w:highlight w:val="none"/>
                <w14:textFill>
                  <w14:solidFill>
                    <w14:schemeClr w14:val="tx1"/>
                  </w14:solidFill>
                </w14:textFill>
              </w:rPr>
              <w:t>经济、合理、可行性高的得12.1-20分；</w:t>
            </w:r>
          </w:p>
          <w:p>
            <w:pPr>
              <w:pStyle w:val="34"/>
              <w:keepNext w:val="0"/>
              <w:keepLines w:val="0"/>
              <w:pageBreakBefore w:val="0"/>
              <w:kinsoku/>
              <w:wordWrap/>
              <w:topLinePunct w:val="0"/>
              <w:bidi w:val="0"/>
              <w:snapToGrid/>
              <w:spacing w:line="380" w:lineRule="exact"/>
              <w:rPr>
                <w:rFonts w:hAnsi="宋体" w:cs="宋体"/>
                <w:b w:val="0"/>
                <w:bCs w:val="0"/>
                <w:color w:val="000000" w:themeColor="text1"/>
                <w:spacing w:val="10"/>
                <w:sz w:val="24"/>
                <w:szCs w:val="24"/>
                <w:highlight w:val="none"/>
                <w14:textFill>
                  <w14:solidFill>
                    <w14:schemeClr w14:val="tx1"/>
                  </w14:solidFill>
                </w14:textFill>
              </w:rPr>
            </w:pPr>
            <w:r>
              <w:rPr>
                <w:rFonts w:hint="eastAsia" w:hAnsi="宋体" w:cs="宋体"/>
                <w:b w:val="0"/>
                <w:bCs w:val="0"/>
                <w:color w:val="000000" w:themeColor="text1"/>
                <w:spacing w:val="10"/>
                <w:sz w:val="24"/>
                <w:szCs w:val="24"/>
                <w:highlight w:val="none"/>
                <w14:textFill>
                  <w14:solidFill>
                    <w14:schemeClr w14:val="tx1"/>
                  </w14:solidFill>
                </w14:textFill>
              </w:rPr>
              <w:t>有一定的合理性、实际性、可行性的得5.1-12分；</w:t>
            </w:r>
          </w:p>
          <w:p>
            <w:pPr>
              <w:pStyle w:val="34"/>
              <w:keepNext w:val="0"/>
              <w:keepLines w:val="0"/>
              <w:pageBreakBefore w:val="0"/>
              <w:kinsoku/>
              <w:wordWrap/>
              <w:topLinePunct w:val="0"/>
              <w:bidi w:val="0"/>
              <w:snapToGrid/>
              <w:spacing w:line="380" w:lineRule="exact"/>
              <w:rPr>
                <w:rFonts w:hAnsi="宋体" w:cs="宋体"/>
                <w:b w:val="0"/>
                <w:bCs w:val="0"/>
                <w:color w:val="000000" w:themeColor="text1"/>
                <w:spacing w:val="10"/>
                <w:sz w:val="24"/>
                <w:szCs w:val="24"/>
                <w:highlight w:val="none"/>
                <w14:textFill>
                  <w14:solidFill>
                    <w14:schemeClr w14:val="tx1"/>
                  </w14:solidFill>
                </w14:textFill>
              </w:rPr>
            </w:pPr>
            <w:r>
              <w:rPr>
                <w:rFonts w:hint="eastAsia" w:hAnsi="宋体" w:cs="宋体"/>
                <w:b w:val="0"/>
                <w:bCs w:val="0"/>
                <w:color w:val="000000" w:themeColor="text1"/>
                <w:spacing w:val="10"/>
                <w:sz w:val="24"/>
                <w:szCs w:val="24"/>
                <w:highlight w:val="none"/>
                <w14:textFill>
                  <w14:solidFill>
                    <w14:schemeClr w14:val="tx1"/>
                  </w14:solidFill>
                </w14:textFill>
              </w:rPr>
              <w:t>处理方案合理性、实际性、经济性欠缺的得0-5分。</w:t>
            </w:r>
          </w:p>
          <w:p>
            <w:pPr>
              <w:keepNext w:val="0"/>
              <w:keepLines w:val="0"/>
              <w:pageBreakBefore w:val="0"/>
              <w:kinsoku/>
              <w:wordWrap/>
              <w:topLinePunct w:val="0"/>
              <w:bidi w:val="0"/>
              <w:snapToGrid/>
              <w:spacing w:line="380" w:lineRule="exact"/>
              <w:rPr>
                <w:rFonts w:ascii="宋体" w:hAnsi="宋体" w:eastAsia="宋体" w:cs="宋体"/>
                <w:b w:val="0"/>
                <w:bCs w:val="0"/>
                <w:color w:val="000000" w:themeColor="text1"/>
                <w:spacing w:val="10"/>
                <w:sz w:val="24"/>
                <w:szCs w:val="24"/>
                <w:highlight w:val="none"/>
                <w14:textFill>
                  <w14:solidFill>
                    <w14:schemeClr w14:val="tx1"/>
                  </w14:solidFill>
                </w14:textFill>
              </w:rPr>
            </w:pPr>
            <w:r>
              <w:rPr>
                <w:rFonts w:hint="eastAsia" w:ascii="宋体" w:hAnsi="宋体" w:eastAsia="宋体" w:cs="宋体"/>
                <w:b w:val="0"/>
                <w:bCs w:val="0"/>
                <w:color w:val="000000" w:themeColor="text1"/>
                <w:spacing w:val="10"/>
                <w:sz w:val="24"/>
                <w:szCs w:val="24"/>
                <w:highlight w:val="none"/>
                <w14:textFill>
                  <w14:solidFill>
                    <w14:schemeClr w14:val="tx1"/>
                  </w14:solidFill>
                </w14:textFill>
              </w:rPr>
              <w:t>注：须提供具体解决处理方案，接收单位接收污水承诺书等。</w:t>
            </w:r>
          </w:p>
        </w:tc>
        <w:tc>
          <w:tcPr>
            <w:tcW w:w="1119" w:type="dxa"/>
          </w:tcPr>
          <w:p>
            <w:pPr>
              <w:keepNext w:val="0"/>
              <w:keepLines w:val="0"/>
              <w:pageBreakBefore w:val="0"/>
              <w:kinsoku/>
              <w:wordWrap/>
              <w:topLinePunct w:val="0"/>
              <w:bidi w:val="0"/>
              <w:snapToGrid/>
              <w:spacing w:line="380" w:lineRule="exact"/>
              <w:rPr>
                <w:rFonts w:ascii="宋体" w:hAnsi="宋体" w:eastAsia="宋体" w:cs="宋体"/>
                <w:b w:val="0"/>
                <w:bCs w:val="0"/>
                <w:color w:val="000000" w:themeColor="text1"/>
                <w:sz w:val="24"/>
                <w:szCs w:val="24"/>
                <w:highlight w:val="none"/>
                <w14:textFill>
                  <w14:solidFill>
                    <w14:schemeClr w14:val="tx1"/>
                  </w14:solidFill>
                </w14:textFill>
              </w:rPr>
            </w:pPr>
          </w:p>
          <w:p>
            <w:pPr>
              <w:keepNext w:val="0"/>
              <w:keepLines w:val="0"/>
              <w:pageBreakBefore w:val="0"/>
              <w:kinsoku/>
              <w:wordWrap/>
              <w:topLinePunct w:val="0"/>
              <w:bidi w:val="0"/>
              <w:snapToGrid/>
              <w:spacing w:line="380" w:lineRule="exact"/>
              <w:rPr>
                <w:b w:val="0"/>
                <w:bCs w:val="0"/>
                <w:color w:val="000000" w:themeColor="text1"/>
                <w:sz w:val="24"/>
                <w:szCs w:val="24"/>
                <w:highlight w:val="none"/>
                <w14:textFill>
                  <w14:solidFill>
                    <w14:schemeClr w14:val="tx1"/>
                  </w14:solidFill>
                </w14:textFill>
              </w:rPr>
            </w:pPr>
          </w:p>
          <w:p>
            <w:pPr>
              <w:keepNext w:val="0"/>
              <w:keepLines w:val="0"/>
              <w:pageBreakBefore w:val="0"/>
              <w:kinsoku/>
              <w:wordWrap/>
              <w:topLinePunct w:val="0"/>
              <w:bidi w:val="0"/>
              <w:snapToGrid/>
              <w:spacing w:line="380" w:lineRule="exact"/>
              <w:rPr>
                <w:b w:val="0"/>
                <w:bCs w:val="0"/>
                <w:color w:val="000000" w:themeColor="text1"/>
                <w:sz w:val="24"/>
                <w:szCs w:val="24"/>
                <w:highlight w:val="none"/>
                <w14:textFill>
                  <w14:solidFill>
                    <w14:schemeClr w14:val="tx1"/>
                  </w14:solidFill>
                </w14:textFill>
              </w:rPr>
            </w:pPr>
          </w:p>
          <w:p>
            <w:pPr>
              <w:keepNext w:val="0"/>
              <w:keepLines w:val="0"/>
              <w:pageBreakBefore w:val="0"/>
              <w:kinsoku/>
              <w:wordWrap/>
              <w:topLinePunct w:val="0"/>
              <w:bidi w:val="0"/>
              <w:snapToGrid/>
              <w:spacing w:line="380" w:lineRule="exact"/>
              <w:jc w:val="left"/>
              <w:rPr>
                <w:b w:val="0"/>
                <w:bCs w:val="0"/>
                <w:color w:val="000000" w:themeColor="text1"/>
                <w:sz w:val="24"/>
                <w:szCs w:val="24"/>
                <w:highlight w:val="none"/>
                <w14:textFill>
                  <w14:solidFill>
                    <w14:schemeClr w14:val="tx1"/>
                  </w14:solidFill>
                </w14:textFill>
              </w:rPr>
            </w:pPr>
            <w:r>
              <w:rPr>
                <w:rFonts w:hint="eastAsia" w:ascii="宋体" w:hAnsi="宋体" w:cs="宋体"/>
                <w:b w:val="0"/>
                <w:bCs w:val="0"/>
                <w:color w:val="000000" w:themeColor="text1"/>
                <w:sz w:val="24"/>
                <w:szCs w:val="24"/>
                <w:highlight w:val="none"/>
                <w14:textFill>
                  <w14:solidFill>
                    <w14:schemeClr w14:val="tx1"/>
                  </w14:solidFill>
                </w14:textFill>
              </w:rPr>
              <w:t>0-20分</w:t>
            </w:r>
          </w:p>
        </w:tc>
      </w:tr>
    </w:tbl>
    <w:p>
      <w:pPr>
        <w:spacing w:line="440" w:lineRule="exact"/>
        <w:ind w:firstLine="492" w:firstLineChars="200"/>
        <w:rPr>
          <w:rFonts w:ascii="宋体" w:hAnsi="宋体" w:eastAsia="宋体" w:cs="宋体"/>
          <w:b/>
          <w:bCs/>
          <w:color w:val="000000" w:themeColor="text1"/>
          <w:sz w:val="24"/>
          <w:szCs w:val="24"/>
          <w:highlight w:val="none"/>
          <w14:textFill>
            <w14:solidFill>
              <w14:schemeClr w14:val="tx1"/>
            </w14:solidFill>
          </w14:textFill>
        </w:rPr>
      </w:pPr>
    </w:p>
    <w:p>
      <w:pPr>
        <w:autoSpaceDE w:val="0"/>
        <w:autoSpaceDN w:val="0"/>
        <w:spacing w:line="460" w:lineRule="exact"/>
        <w:ind w:firstLine="492" w:firstLineChars="200"/>
        <w:rPr>
          <w:rFonts w:hint="eastAsia" w:ascii="宋体" w:hAnsi="宋体" w:eastAsia="宋体" w:cs="宋体"/>
          <w:b/>
          <w:color w:val="000000" w:themeColor="text1"/>
          <w:sz w:val="24"/>
          <w:szCs w:val="24"/>
          <w:highlight w:val="none"/>
          <w14:textFill>
            <w14:solidFill>
              <w14:schemeClr w14:val="tx1"/>
            </w14:solidFill>
          </w14:textFill>
        </w:rPr>
      </w:pPr>
    </w:p>
    <w:p>
      <w:pPr>
        <w:autoSpaceDE w:val="0"/>
        <w:autoSpaceDN w:val="0"/>
        <w:spacing w:line="460" w:lineRule="exact"/>
        <w:ind w:firstLine="492" w:firstLineChars="200"/>
        <w:rPr>
          <w:rFonts w:hint="eastAsia" w:ascii="宋体" w:hAnsi="宋体" w:eastAsia="宋体" w:cs="宋体"/>
          <w:b/>
          <w:color w:val="000000"/>
          <w:sz w:val="24"/>
          <w:szCs w:val="24"/>
        </w:rPr>
      </w:pPr>
    </w:p>
    <w:p>
      <w:pPr>
        <w:autoSpaceDE w:val="0"/>
        <w:autoSpaceDN w:val="0"/>
        <w:spacing w:line="460" w:lineRule="exact"/>
        <w:ind w:firstLine="492" w:firstLineChars="200"/>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（二）报价评分（1</w:t>
      </w:r>
      <w:r>
        <w:rPr>
          <w:rFonts w:ascii="宋体" w:hAnsi="宋体" w:eastAsia="宋体" w:cs="宋体"/>
          <w:b/>
          <w:color w:val="000000" w:themeColor="text1"/>
          <w:sz w:val="24"/>
          <w:szCs w:val="24"/>
          <w:highlight w:val="none"/>
          <w14:textFill>
            <w14:solidFill>
              <w14:schemeClr w14:val="tx1"/>
            </w14:solidFill>
          </w14:textFill>
        </w:rPr>
        <w:t>5</w:t>
      </w:r>
      <w:r>
        <w:rPr>
          <w:rFonts w:hint="eastAsia" w:ascii="宋体" w:hAnsi="宋体" w:eastAsia="宋体" w:cs="宋体"/>
          <w:b/>
          <w:color w:val="000000" w:themeColor="text1"/>
          <w:sz w:val="24"/>
          <w:szCs w:val="24"/>
          <w:highlight w:val="none"/>
          <w14:textFill>
            <w14:solidFill>
              <w14:schemeClr w14:val="tx1"/>
            </w14:solidFill>
          </w14:textFill>
        </w:rPr>
        <w:t>分）</w:t>
      </w:r>
    </w:p>
    <w:p>
      <w:pPr>
        <w:keepNext w:val="0"/>
        <w:keepLines w:val="0"/>
        <w:pageBreakBefore w:val="0"/>
        <w:widowControl w:val="0"/>
        <w:tabs>
          <w:tab w:val="center" w:pos="4156"/>
        </w:tabs>
        <w:kinsoku/>
        <w:wordWrap/>
        <w:overflowPunct/>
        <w:topLinePunct w:val="0"/>
        <w:autoSpaceDE w:val="0"/>
        <w:autoSpaceDN w:val="0"/>
        <w:bidi w:val="0"/>
        <w:adjustRightInd w:val="0"/>
        <w:snapToGrid/>
        <w:spacing w:line="500" w:lineRule="exact"/>
        <w:ind w:firstLine="560"/>
        <w:textAlignment w:val="auto"/>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b/>
          <w:bCs/>
          <w:color w:val="000000" w:themeColor="text1"/>
          <w:sz w:val="24"/>
          <w:szCs w:val="24"/>
          <w:highlight w:val="none"/>
          <w:lang w:val="zh-CN"/>
          <w14:textFill>
            <w14:solidFill>
              <w14:schemeClr w14:val="tx1"/>
            </w14:solidFill>
          </w14:textFill>
        </w:rPr>
        <w:t>▲</w:t>
      </w:r>
      <w:r>
        <w:rPr>
          <w:rFonts w:hint="eastAsia" w:ascii="宋体" w:hAnsi="宋体" w:eastAsia="宋体" w:cs="宋体"/>
          <w:color w:val="000000" w:themeColor="text1"/>
          <w:sz w:val="24"/>
          <w:szCs w:val="24"/>
          <w:highlight w:val="none"/>
          <w:lang w:val="zh-CN"/>
          <w14:textFill>
            <w14:solidFill>
              <w14:schemeClr w14:val="tx1"/>
            </w14:solidFill>
          </w14:textFill>
        </w:rPr>
        <w:t>1.有效报价的确定：</w:t>
      </w:r>
      <w:r>
        <w:rPr>
          <w:rFonts w:hint="eastAsia" w:ascii="宋体" w:hAnsi="宋体" w:eastAsia="宋体" w:cs="宋体"/>
          <w:color w:val="000000" w:themeColor="text1"/>
          <w:sz w:val="24"/>
          <w:szCs w:val="24"/>
          <w:highlight w:val="none"/>
          <w14:textFill>
            <w14:solidFill>
              <w14:schemeClr w14:val="tx1"/>
            </w14:solidFill>
          </w14:textFill>
        </w:rPr>
        <w:t>所有通过资格审查和商务技术审查及报价符合性评审且投标总报价</w:t>
      </w:r>
      <w:r>
        <w:rPr>
          <w:rFonts w:hint="eastAsia" w:ascii="宋体" w:hAnsi="宋体" w:eastAsia="宋体" w:cs="宋体"/>
          <w:color w:val="000000" w:themeColor="text1"/>
          <w:sz w:val="24"/>
          <w:szCs w:val="24"/>
          <w:highlight w:val="none"/>
          <w:lang w:val="zh-CN"/>
          <w14:textFill>
            <w14:solidFill>
              <w14:schemeClr w14:val="tx1"/>
            </w14:solidFill>
          </w14:textFill>
        </w:rPr>
        <w:t>应在招标人给定的</w:t>
      </w:r>
      <w:r>
        <w:rPr>
          <w:rFonts w:hint="eastAsia" w:ascii="宋体" w:hAnsi="宋体" w:eastAsia="宋体" w:cs="宋体"/>
          <w:b/>
          <w:bCs/>
          <w:color w:val="000000" w:themeColor="text1"/>
          <w:sz w:val="24"/>
          <w:szCs w:val="24"/>
          <w:highlight w:val="none"/>
          <w:lang w:val="zh-CN"/>
          <w14:textFill>
            <w14:solidFill>
              <w14:schemeClr w14:val="tx1"/>
            </w14:solidFill>
          </w14:textFill>
        </w:rPr>
        <w:t>最高限价4017.9200万元以下为有效报价</w:t>
      </w:r>
      <w:r>
        <w:rPr>
          <w:rFonts w:hint="eastAsia" w:ascii="宋体" w:hAnsi="宋体" w:eastAsia="宋体" w:cs="宋体"/>
          <w:color w:val="000000" w:themeColor="text1"/>
          <w:sz w:val="24"/>
          <w:szCs w:val="24"/>
          <w:highlight w:val="none"/>
          <w:lang w:val="zh-CN"/>
          <w14:textFill>
            <w14:solidFill>
              <w14:schemeClr w14:val="tx1"/>
            </w14:solidFill>
          </w14:textFill>
        </w:rPr>
        <w:t>；</w:t>
      </w:r>
      <w:r>
        <w:rPr>
          <w:rFonts w:hint="eastAsia" w:ascii="宋体" w:hAnsi="宋体" w:eastAsia="宋体" w:cs="宋体"/>
          <w:b/>
          <w:bCs/>
          <w:color w:val="000000" w:themeColor="text1"/>
          <w:sz w:val="24"/>
          <w:szCs w:val="24"/>
          <w:highlight w:val="none"/>
          <w:lang w:val="zh-CN"/>
          <w14:textFill>
            <w14:solidFill>
              <w14:schemeClr w14:val="tx1"/>
            </w14:solidFill>
          </w14:textFill>
        </w:rPr>
        <w:t>投标人的投标</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单价及</w:t>
      </w:r>
      <w:r>
        <w:rPr>
          <w:rFonts w:hint="eastAsia" w:ascii="宋体" w:hAnsi="宋体" w:eastAsia="宋体" w:cs="宋体"/>
          <w:b/>
          <w:bCs/>
          <w:color w:val="000000" w:themeColor="text1"/>
          <w:sz w:val="24"/>
          <w:szCs w:val="24"/>
          <w:highlight w:val="none"/>
          <w:lang w:val="zh-CN"/>
          <w14:textFill>
            <w14:solidFill>
              <w14:schemeClr w14:val="tx1"/>
            </w14:solidFill>
          </w14:textFill>
        </w:rPr>
        <w:t>总价</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均</w:t>
      </w:r>
      <w:r>
        <w:rPr>
          <w:rFonts w:hint="eastAsia" w:ascii="宋体" w:hAnsi="宋体" w:eastAsia="宋体" w:cs="宋体"/>
          <w:b/>
          <w:bCs/>
          <w:color w:val="000000" w:themeColor="text1"/>
          <w:sz w:val="24"/>
          <w:szCs w:val="24"/>
          <w:highlight w:val="none"/>
          <w:lang w:val="zh-CN"/>
          <w14:textFill>
            <w14:solidFill>
              <w14:schemeClr w14:val="tx1"/>
            </w14:solidFill>
          </w14:textFill>
        </w:rPr>
        <w:t>应低于预算价，否则其投标无效。</w:t>
      </w:r>
    </w:p>
    <w:p>
      <w:pPr>
        <w:keepNext w:val="0"/>
        <w:keepLines w:val="0"/>
        <w:pageBreakBefore w:val="0"/>
        <w:widowControl w:val="0"/>
        <w:kinsoku/>
        <w:wordWrap/>
        <w:overflowPunct/>
        <w:topLinePunct w:val="0"/>
        <w:autoSpaceDE w:val="0"/>
        <w:autoSpaceDN w:val="0"/>
        <w:bidi w:val="0"/>
        <w:snapToGrid/>
        <w:spacing w:line="500" w:lineRule="exact"/>
        <w:ind w:firstLine="492" w:firstLineChars="200"/>
        <w:textAlignment w:val="auto"/>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2.评标基准价的确定：满足招标文件要求,各有效投标人的</w:t>
      </w:r>
      <w:r>
        <w:rPr>
          <w:rFonts w:hint="eastAsia" w:ascii="宋体" w:hAnsi="宋体" w:eastAsia="宋体" w:cs="宋体"/>
          <w:b/>
          <w:bCs/>
          <w:color w:val="000000" w:themeColor="text1"/>
          <w:sz w:val="24"/>
          <w:szCs w:val="24"/>
          <w:highlight w:val="none"/>
          <w:lang w:val="zh-CN"/>
          <w14:textFill>
            <w14:solidFill>
              <w14:schemeClr w14:val="tx1"/>
            </w14:solidFill>
          </w14:textFill>
        </w:rPr>
        <w:t>各档投标报价（单价）中最低报价为评标基准价；</w:t>
      </w:r>
    </w:p>
    <w:p>
      <w:pPr>
        <w:keepNext w:val="0"/>
        <w:keepLines w:val="0"/>
        <w:pageBreakBefore w:val="0"/>
        <w:widowControl w:val="0"/>
        <w:kinsoku/>
        <w:wordWrap/>
        <w:overflowPunct/>
        <w:topLinePunct w:val="0"/>
        <w:autoSpaceDE w:val="0"/>
        <w:autoSpaceDN w:val="0"/>
        <w:bidi w:val="0"/>
        <w:snapToGrid/>
        <w:spacing w:line="500" w:lineRule="exact"/>
        <w:ind w:firstLine="492" w:firstLineChars="200"/>
        <w:textAlignment w:val="auto"/>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3.投标人报价以</w:t>
      </w:r>
      <w:r>
        <w:rPr>
          <w:rFonts w:hint="eastAsia" w:ascii="宋体" w:hAnsi="宋体" w:eastAsia="宋体" w:cs="宋体"/>
          <w:b/>
          <w:bCs/>
          <w:color w:val="000000" w:themeColor="text1"/>
          <w:sz w:val="24"/>
          <w:szCs w:val="24"/>
          <w:highlight w:val="none"/>
          <w:lang w:val="zh-CN"/>
          <w14:textFill>
            <w14:solidFill>
              <w14:schemeClr w14:val="tx1"/>
            </w14:solidFill>
          </w14:textFill>
        </w:rPr>
        <w:t>分档报单价的形式</w:t>
      </w:r>
      <w:r>
        <w:rPr>
          <w:rFonts w:hint="eastAsia" w:ascii="宋体" w:hAnsi="宋体" w:eastAsia="宋体" w:cs="宋体"/>
          <w:color w:val="000000" w:themeColor="text1"/>
          <w:sz w:val="24"/>
          <w:szCs w:val="24"/>
          <w:highlight w:val="none"/>
          <w:lang w:val="zh-CN"/>
          <w14:textFill>
            <w14:solidFill>
              <w14:schemeClr w14:val="tx1"/>
            </w14:solidFill>
          </w14:textFill>
        </w:rPr>
        <w:t xml:space="preserve">，计算各档报价得分后合计报价总分，具体如下： </w:t>
      </w:r>
    </w:p>
    <w:p>
      <w:pPr>
        <w:keepNext w:val="0"/>
        <w:keepLines w:val="0"/>
        <w:pageBreakBefore w:val="0"/>
        <w:widowControl w:val="0"/>
        <w:kinsoku/>
        <w:wordWrap/>
        <w:overflowPunct/>
        <w:topLinePunct w:val="0"/>
        <w:autoSpaceDE w:val="0"/>
        <w:autoSpaceDN w:val="0"/>
        <w:bidi w:val="0"/>
        <w:snapToGrid/>
        <w:spacing w:line="500" w:lineRule="exact"/>
        <w:ind w:firstLine="492" w:firstLineChars="200"/>
        <w:textAlignment w:val="auto"/>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投标报价得分=（评标基准价/投标报价）×</w:t>
      </w:r>
      <w:r>
        <w:rPr>
          <w:rFonts w:hint="eastAsia" w:ascii="宋体" w:hAnsi="宋体" w:eastAsia="宋体" w:cs="宋体"/>
          <w:b/>
          <w:bCs/>
          <w:color w:val="000000" w:themeColor="text1"/>
          <w:sz w:val="24"/>
          <w:szCs w:val="24"/>
          <w:highlight w:val="none"/>
          <w:lang w:val="zh-CN"/>
          <w14:textFill>
            <w14:solidFill>
              <w14:schemeClr w14:val="tx1"/>
            </w14:solidFill>
          </w14:textFill>
        </w:rPr>
        <w:t>价格权值</w:t>
      </w:r>
      <w:r>
        <w:rPr>
          <w:rFonts w:hint="eastAsia" w:ascii="宋体" w:hAnsi="宋体" w:eastAsia="宋体" w:cs="宋体"/>
          <w:color w:val="000000" w:themeColor="text1"/>
          <w:sz w:val="24"/>
          <w:szCs w:val="24"/>
          <w:highlight w:val="none"/>
          <w:lang w:val="zh-CN"/>
          <w14:textFill>
            <w14:solidFill>
              <w14:schemeClr w14:val="tx1"/>
            </w14:solidFill>
          </w14:textFill>
        </w:rPr>
        <w:t>×100</w:t>
      </w:r>
      <w:r>
        <w:rPr>
          <w:rFonts w:hint="eastAsia" w:ascii="宋体" w:hAnsi="宋体" w:eastAsia="宋体" w:cs="宋体"/>
          <w:b/>
          <w:bCs/>
          <w:color w:val="000000" w:themeColor="text1"/>
          <w:sz w:val="24"/>
          <w:szCs w:val="24"/>
          <w:highlight w:val="none"/>
          <w:lang w:val="zh-CN"/>
          <w14:textFill>
            <w14:solidFill>
              <w14:schemeClr w14:val="tx1"/>
            </w14:solidFill>
          </w14:textFill>
        </w:rPr>
        <w:t>（共分</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3</w:t>
      </w:r>
      <w:r>
        <w:rPr>
          <w:rFonts w:hint="eastAsia" w:ascii="宋体" w:hAnsi="宋体" w:eastAsia="宋体" w:cs="宋体"/>
          <w:b/>
          <w:bCs/>
          <w:color w:val="000000" w:themeColor="text1"/>
          <w:sz w:val="24"/>
          <w:szCs w:val="24"/>
          <w:highlight w:val="none"/>
          <w:lang w:val="zh-CN"/>
          <w14:textFill>
            <w14:solidFill>
              <w14:schemeClr w14:val="tx1"/>
            </w14:solidFill>
          </w14:textFill>
        </w:rPr>
        <w:t>档，每档报价价格权值分别为</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20%，40%，40%</w:t>
      </w:r>
      <w:r>
        <w:rPr>
          <w:rFonts w:hint="eastAsia" w:ascii="宋体" w:hAnsi="宋体" w:eastAsia="宋体" w:cs="宋体"/>
          <w:b/>
          <w:bCs/>
          <w:color w:val="000000" w:themeColor="text1"/>
          <w:sz w:val="24"/>
          <w:szCs w:val="24"/>
          <w:highlight w:val="none"/>
          <w:lang w:val="zh-CN"/>
          <w14:textFill>
            <w14:solidFill>
              <w14:schemeClr w14:val="tx1"/>
            </w14:solidFill>
          </w14:textFill>
        </w:rPr>
        <w:t>），即分值及各档单价最高限价如下：</w:t>
      </w:r>
    </w:p>
    <w:p>
      <w:pPr>
        <w:pStyle w:val="239"/>
        <w:keepNext w:val="0"/>
        <w:keepLines w:val="0"/>
        <w:pageBreakBefore w:val="0"/>
        <w:widowControl w:val="0"/>
        <w:numPr>
          <w:ilvl w:val="-1"/>
          <w:numId w:val="0"/>
        </w:numPr>
        <w:tabs>
          <w:tab w:val="left" w:pos="945"/>
        </w:tabs>
        <w:kinsoku/>
        <w:wordWrap/>
        <w:overflowPunct/>
        <w:topLinePunct w:val="0"/>
        <w:bidi w:val="0"/>
        <w:snapToGrid/>
        <w:spacing w:line="500" w:lineRule="exact"/>
        <w:ind w:left="-560" w:leftChars="0" w:right="-1144" w:rightChars="-400" w:firstLine="355" w:firstLineChars="159"/>
        <w:textAlignment w:val="auto"/>
        <w:rPr>
          <w:rFonts w:ascii="宋体" w:hAnsi="宋体" w:cs="宋体"/>
          <w:b/>
          <w:bCs w:val="0"/>
          <w:color w:val="000000" w:themeColor="text1"/>
          <w:spacing w:val="-11"/>
          <w:sz w:val="24"/>
          <w:szCs w:val="24"/>
          <w:highlight w:val="none"/>
          <w14:textFill>
            <w14:solidFill>
              <w14:schemeClr w14:val="tx1"/>
            </w14:solidFill>
          </w14:textFill>
        </w:rPr>
      </w:pPr>
      <w:bookmarkStart w:id="8" w:name="_Hlk149573132"/>
      <w:r>
        <w:rPr>
          <w:rFonts w:hint="eastAsia" w:ascii="宋体" w:hAnsi="宋体" w:cs="宋体"/>
          <w:b/>
          <w:bCs w:val="0"/>
          <w:color w:val="000000" w:themeColor="text1"/>
          <w:spacing w:val="-11"/>
          <w:sz w:val="24"/>
          <w:szCs w:val="24"/>
          <w:highlight w:val="none"/>
          <w:lang w:eastAsia="zh-CN"/>
          <w14:textFill>
            <w14:solidFill>
              <w14:schemeClr w14:val="tx1"/>
            </w14:solidFill>
          </w14:textFill>
        </w:rPr>
        <w:t>①</w:t>
      </w:r>
      <w:r>
        <w:rPr>
          <w:rFonts w:hint="eastAsia" w:ascii="宋体" w:hAnsi="宋体" w:cs="宋体"/>
          <w:b/>
          <w:bCs w:val="0"/>
          <w:color w:val="000000" w:themeColor="text1"/>
          <w:spacing w:val="-11"/>
          <w:sz w:val="24"/>
          <w:szCs w:val="24"/>
          <w:highlight w:val="none"/>
          <w14:textFill>
            <w14:solidFill>
              <w14:schemeClr w14:val="tx1"/>
            </w14:solidFill>
          </w14:textFill>
        </w:rPr>
        <w:t>日处理污水量 3000吨（含）-</w:t>
      </w:r>
      <w:r>
        <w:rPr>
          <w:rFonts w:ascii="宋体" w:hAnsi="宋体" w:cs="宋体"/>
          <w:b/>
          <w:bCs w:val="0"/>
          <w:color w:val="000000" w:themeColor="text1"/>
          <w:spacing w:val="-11"/>
          <w:sz w:val="24"/>
          <w:szCs w:val="24"/>
          <w:highlight w:val="none"/>
          <w14:textFill>
            <w14:solidFill>
              <w14:schemeClr w14:val="tx1"/>
            </w14:solidFill>
          </w14:textFill>
        </w:rPr>
        <w:t>5</w:t>
      </w:r>
      <w:r>
        <w:rPr>
          <w:rFonts w:hint="eastAsia" w:ascii="宋体" w:hAnsi="宋体" w:cs="宋体"/>
          <w:b/>
          <w:bCs w:val="0"/>
          <w:color w:val="000000" w:themeColor="text1"/>
          <w:spacing w:val="-11"/>
          <w:sz w:val="24"/>
          <w:szCs w:val="24"/>
          <w:highlight w:val="none"/>
          <w14:textFill>
            <w14:solidFill>
              <w14:schemeClr w14:val="tx1"/>
            </w14:solidFill>
          </w14:textFill>
        </w:rPr>
        <w:t>000吨（含），全费用综合单价最高限价</w:t>
      </w:r>
      <w:r>
        <w:rPr>
          <w:rFonts w:hint="eastAsia" w:ascii="宋体" w:hAnsi="宋体" w:cs="宋体"/>
          <w:b/>
          <w:bCs w:val="0"/>
          <w:color w:val="000000" w:themeColor="text1"/>
          <w:spacing w:val="-11"/>
          <w:sz w:val="24"/>
          <w:szCs w:val="24"/>
          <w:highlight w:val="none"/>
          <w:u w:val="single"/>
          <w14:textFill>
            <w14:solidFill>
              <w14:schemeClr w14:val="tx1"/>
            </w14:solidFill>
          </w14:textFill>
        </w:rPr>
        <w:t xml:space="preserve"> </w:t>
      </w:r>
      <w:r>
        <w:rPr>
          <w:rFonts w:ascii="宋体" w:hAnsi="宋体" w:cs="宋体"/>
          <w:b/>
          <w:bCs w:val="0"/>
          <w:color w:val="000000" w:themeColor="text1"/>
          <w:spacing w:val="-11"/>
          <w:sz w:val="24"/>
          <w:szCs w:val="24"/>
          <w:highlight w:val="none"/>
          <w:u w:val="single"/>
          <w14:textFill>
            <w14:solidFill>
              <w14:schemeClr w14:val="tx1"/>
            </w14:solidFill>
          </w14:textFill>
        </w:rPr>
        <w:t>4.452</w:t>
      </w:r>
      <w:r>
        <w:rPr>
          <w:rFonts w:hint="eastAsia" w:ascii="宋体" w:hAnsi="宋体" w:cs="宋体"/>
          <w:b/>
          <w:bCs w:val="0"/>
          <w:color w:val="000000" w:themeColor="text1"/>
          <w:spacing w:val="-11"/>
          <w:sz w:val="24"/>
          <w:szCs w:val="24"/>
          <w:highlight w:val="none"/>
          <w:u w:val="single"/>
          <w14:textFill>
            <w14:solidFill>
              <w14:schemeClr w14:val="tx1"/>
            </w14:solidFill>
          </w14:textFill>
        </w:rPr>
        <w:t xml:space="preserve"> </w:t>
      </w:r>
      <w:r>
        <w:rPr>
          <w:rFonts w:hint="eastAsia" w:ascii="宋体" w:hAnsi="宋体" w:cs="宋体"/>
          <w:b/>
          <w:bCs w:val="0"/>
          <w:color w:val="000000" w:themeColor="text1"/>
          <w:spacing w:val="-11"/>
          <w:sz w:val="24"/>
          <w:szCs w:val="24"/>
          <w:highlight w:val="none"/>
          <w14:textFill>
            <w14:solidFill>
              <w14:schemeClr w14:val="tx1"/>
            </w14:solidFill>
          </w14:textFill>
        </w:rPr>
        <w:t>元/立方米；（</w:t>
      </w:r>
      <w:r>
        <w:rPr>
          <w:rFonts w:ascii="宋体" w:hAnsi="宋体" w:cs="宋体"/>
          <w:b/>
          <w:bCs w:val="0"/>
          <w:color w:val="000000" w:themeColor="text1"/>
          <w:spacing w:val="-11"/>
          <w:sz w:val="24"/>
          <w:szCs w:val="24"/>
          <w:highlight w:val="none"/>
          <w14:textFill>
            <w14:solidFill>
              <w14:schemeClr w14:val="tx1"/>
            </w14:solidFill>
          </w14:textFill>
        </w:rPr>
        <w:t>3</w:t>
      </w:r>
      <w:r>
        <w:rPr>
          <w:rFonts w:hint="eastAsia" w:ascii="宋体" w:hAnsi="宋体" w:cs="宋体"/>
          <w:b/>
          <w:bCs w:val="0"/>
          <w:color w:val="000000" w:themeColor="text1"/>
          <w:spacing w:val="-11"/>
          <w:sz w:val="24"/>
          <w:szCs w:val="24"/>
          <w:highlight w:val="none"/>
          <w14:textFill>
            <w14:solidFill>
              <w14:schemeClr w14:val="tx1"/>
            </w14:solidFill>
          </w14:textFill>
        </w:rPr>
        <w:t>分）</w:t>
      </w:r>
    </w:p>
    <w:p>
      <w:pPr>
        <w:pStyle w:val="239"/>
        <w:keepNext w:val="0"/>
        <w:keepLines w:val="0"/>
        <w:pageBreakBefore w:val="0"/>
        <w:widowControl w:val="0"/>
        <w:numPr>
          <w:ilvl w:val="-1"/>
          <w:numId w:val="0"/>
        </w:numPr>
        <w:tabs>
          <w:tab w:val="left" w:pos="945"/>
        </w:tabs>
        <w:kinsoku/>
        <w:wordWrap/>
        <w:overflowPunct/>
        <w:topLinePunct w:val="0"/>
        <w:bidi w:val="0"/>
        <w:snapToGrid/>
        <w:spacing w:line="500" w:lineRule="exact"/>
        <w:ind w:left="-560" w:leftChars="0" w:right="-1144" w:rightChars="-400" w:firstLine="355" w:firstLineChars="159"/>
        <w:textAlignment w:val="auto"/>
        <w:rPr>
          <w:rFonts w:ascii="宋体" w:hAnsi="宋体" w:cs="宋体"/>
          <w:b/>
          <w:bCs w:val="0"/>
          <w:color w:val="000000" w:themeColor="text1"/>
          <w:spacing w:val="-11"/>
          <w:sz w:val="24"/>
          <w:szCs w:val="24"/>
          <w:highlight w:val="none"/>
          <w14:textFill>
            <w14:solidFill>
              <w14:schemeClr w14:val="tx1"/>
            </w14:solidFill>
          </w14:textFill>
        </w:rPr>
      </w:pPr>
      <w:r>
        <w:rPr>
          <w:rFonts w:hint="eastAsia" w:ascii="宋体" w:hAnsi="宋体" w:cs="宋体"/>
          <w:b/>
          <w:bCs w:val="0"/>
          <w:color w:val="000000" w:themeColor="text1"/>
          <w:spacing w:val="-11"/>
          <w:sz w:val="24"/>
          <w:szCs w:val="24"/>
          <w:highlight w:val="none"/>
          <w:lang w:eastAsia="zh-CN"/>
          <w14:textFill>
            <w14:solidFill>
              <w14:schemeClr w14:val="tx1"/>
            </w14:solidFill>
          </w14:textFill>
        </w:rPr>
        <w:t>②</w:t>
      </w:r>
      <w:r>
        <w:rPr>
          <w:rFonts w:hint="eastAsia" w:ascii="宋体" w:hAnsi="宋体" w:cs="宋体"/>
          <w:b/>
          <w:bCs w:val="0"/>
          <w:color w:val="000000" w:themeColor="text1"/>
          <w:spacing w:val="-11"/>
          <w:sz w:val="24"/>
          <w:szCs w:val="24"/>
          <w:highlight w:val="none"/>
          <w14:textFill>
            <w14:solidFill>
              <w14:schemeClr w14:val="tx1"/>
            </w14:solidFill>
          </w14:textFill>
        </w:rPr>
        <w:t xml:space="preserve">日处理污水量 </w:t>
      </w:r>
      <w:r>
        <w:rPr>
          <w:rFonts w:ascii="宋体" w:hAnsi="宋体" w:cs="宋体"/>
          <w:b/>
          <w:bCs w:val="0"/>
          <w:color w:val="000000" w:themeColor="text1"/>
          <w:spacing w:val="-11"/>
          <w:sz w:val="24"/>
          <w:szCs w:val="24"/>
          <w:highlight w:val="none"/>
          <w14:textFill>
            <w14:solidFill>
              <w14:schemeClr w14:val="tx1"/>
            </w14:solidFill>
          </w14:textFill>
        </w:rPr>
        <w:t>5</w:t>
      </w:r>
      <w:r>
        <w:rPr>
          <w:rFonts w:hint="eastAsia" w:ascii="宋体" w:hAnsi="宋体" w:cs="宋体"/>
          <w:b/>
          <w:bCs w:val="0"/>
          <w:color w:val="000000" w:themeColor="text1"/>
          <w:spacing w:val="-11"/>
          <w:sz w:val="24"/>
          <w:szCs w:val="24"/>
          <w:highlight w:val="none"/>
          <w14:textFill>
            <w14:solidFill>
              <w14:schemeClr w14:val="tx1"/>
            </w14:solidFill>
          </w14:textFill>
        </w:rPr>
        <w:t>000吨（</w:t>
      </w:r>
      <w:r>
        <w:rPr>
          <w:rFonts w:hint="eastAsia" w:ascii="宋体" w:hAnsi="宋体" w:cs="宋体"/>
          <w:b/>
          <w:bCs w:val="0"/>
          <w:color w:val="000000" w:themeColor="text1"/>
          <w:spacing w:val="-11"/>
          <w:sz w:val="24"/>
          <w:szCs w:val="24"/>
          <w:highlight w:val="none"/>
          <w:lang w:val="en-US" w:eastAsia="zh-CN"/>
          <w14:textFill>
            <w14:solidFill>
              <w14:schemeClr w14:val="tx1"/>
            </w14:solidFill>
          </w14:textFill>
        </w:rPr>
        <w:t>不</w:t>
      </w:r>
      <w:r>
        <w:rPr>
          <w:rFonts w:hint="eastAsia" w:ascii="宋体" w:hAnsi="宋体" w:cs="宋体"/>
          <w:b/>
          <w:bCs w:val="0"/>
          <w:color w:val="000000" w:themeColor="text1"/>
          <w:spacing w:val="-11"/>
          <w:sz w:val="24"/>
          <w:szCs w:val="24"/>
          <w:highlight w:val="none"/>
          <w14:textFill>
            <w14:solidFill>
              <w14:schemeClr w14:val="tx1"/>
            </w14:solidFill>
          </w14:textFill>
        </w:rPr>
        <w:t>含）-</w:t>
      </w:r>
      <w:r>
        <w:rPr>
          <w:rFonts w:ascii="宋体" w:hAnsi="宋体" w:cs="宋体"/>
          <w:b/>
          <w:bCs w:val="0"/>
          <w:color w:val="000000" w:themeColor="text1"/>
          <w:spacing w:val="-11"/>
          <w:sz w:val="24"/>
          <w:szCs w:val="24"/>
          <w:highlight w:val="none"/>
          <w14:textFill>
            <w14:solidFill>
              <w14:schemeClr w14:val="tx1"/>
            </w14:solidFill>
          </w14:textFill>
        </w:rPr>
        <w:t>10</w:t>
      </w:r>
      <w:r>
        <w:rPr>
          <w:rFonts w:hint="eastAsia" w:ascii="宋体" w:hAnsi="宋体" w:cs="宋体"/>
          <w:b/>
          <w:bCs w:val="0"/>
          <w:color w:val="000000" w:themeColor="text1"/>
          <w:spacing w:val="-11"/>
          <w:sz w:val="24"/>
          <w:szCs w:val="24"/>
          <w:highlight w:val="none"/>
          <w14:textFill>
            <w14:solidFill>
              <w14:schemeClr w14:val="tx1"/>
            </w14:solidFill>
          </w14:textFill>
        </w:rPr>
        <w:t>000吨（含），全费用综合单价最高限价</w:t>
      </w:r>
      <w:r>
        <w:rPr>
          <w:rFonts w:hint="eastAsia" w:ascii="宋体" w:hAnsi="宋体" w:cs="宋体"/>
          <w:b/>
          <w:bCs w:val="0"/>
          <w:color w:val="000000" w:themeColor="text1"/>
          <w:spacing w:val="-11"/>
          <w:sz w:val="24"/>
          <w:szCs w:val="24"/>
          <w:highlight w:val="none"/>
          <w:u w:val="single"/>
          <w14:textFill>
            <w14:solidFill>
              <w14:schemeClr w14:val="tx1"/>
            </w14:solidFill>
          </w14:textFill>
        </w:rPr>
        <w:t xml:space="preserve">  </w:t>
      </w:r>
      <w:r>
        <w:rPr>
          <w:rFonts w:ascii="宋体" w:hAnsi="宋体" w:cs="宋体"/>
          <w:b/>
          <w:bCs w:val="0"/>
          <w:color w:val="000000" w:themeColor="text1"/>
          <w:spacing w:val="-11"/>
          <w:sz w:val="24"/>
          <w:szCs w:val="24"/>
          <w:highlight w:val="none"/>
          <w:u w:val="single"/>
          <w14:textFill>
            <w14:solidFill>
              <w14:schemeClr w14:val="tx1"/>
            </w14:solidFill>
          </w14:textFill>
        </w:rPr>
        <w:t>3.118</w:t>
      </w:r>
      <w:r>
        <w:rPr>
          <w:rFonts w:hint="eastAsia" w:ascii="宋体" w:hAnsi="宋体" w:cs="宋体"/>
          <w:b/>
          <w:bCs w:val="0"/>
          <w:color w:val="000000" w:themeColor="text1"/>
          <w:spacing w:val="-11"/>
          <w:sz w:val="24"/>
          <w:szCs w:val="24"/>
          <w:highlight w:val="none"/>
          <w:u w:val="single"/>
          <w14:textFill>
            <w14:solidFill>
              <w14:schemeClr w14:val="tx1"/>
            </w14:solidFill>
          </w14:textFill>
        </w:rPr>
        <w:t xml:space="preserve">   </w:t>
      </w:r>
      <w:r>
        <w:rPr>
          <w:rFonts w:hint="eastAsia" w:ascii="宋体" w:hAnsi="宋体" w:cs="宋体"/>
          <w:b/>
          <w:bCs w:val="0"/>
          <w:color w:val="000000" w:themeColor="text1"/>
          <w:spacing w:val="-11"/>
          <w:sz w:val="24"/>
          <w:szCs w:val="24"/>
          <w:highlight w:val="none"/>
          <w14:textFill>
            <w14:solidFill>
              <w14:schemeClr w14:val="tx1"/>
            </w14:solidFill>
          </w14:textFill>
        </w:rPr>
        <w:t>元/立方米；（</w:t>
      </w:r>
      <w:r>
        <w:rPr>
          <w:rFonts w:ascii="宋体" w:hAnsi="宋体" w:cs="宋体"/>
          <w:b/>
          <w:bCs w:val="0"/>
          <w:color w:val="000000" w:themeColor="text1"/>
          <w:spacing w:val="-11"/>
          <w:sz w:val="24"/>
          <w:szCs w:val="24"/>
          <w:highlight w:val="none"/>
          <w14:textFill>
            <w14:solidFill>
              <w14:schemeClr w14:val="tx1"/>
            </w14:solidFill>
          </w14:textFill>
        </w:rPr>
        <w:t>6</w:t>
      </w:r>
      <w:r>
        <w:rPr>
          <w:rFonts w:hint="eastAsia" w:ascii="宋体" w:hAnsi="宋体" w:cs="宋体"/>
          <w:b/>
          <w:bCs w:val="0"/>
          <w:color w:val="000000" w:themeColor="text1"/>
          <w:spacing w:val="-11"/>
          <w:sz w:val="24"/>
          <w:szCs w:val="24"/>
          <w:highlight w:val="none"/>
          <w14:textFill>
            <w14:solidFill>
              <w14:schemeClr w14:val="tx1"/>
            </w14:solidFill>
          </w14:textFill>
        </w:rPr>
        <w:t>分）</w:t>
      </w:r>
    </w:p>
    <w:p>
      <w:pPr>
        <w:pStyle w:val="239"/>
        <w:keepNext w:val="0"/>
        <w:keepLines w:val="0"/>
        <w:pageBreakBefore w:val="0"/>
        <w:widowControl w:val="0"/>
        <w:numPr>
          <w:ilvl w:val="-1"/>
          <w:numId w:val="0"/>
        </w:numPr>
        <w:tabs>
          <w:tab w:val="left" w:pos="945"/>
        </w:tabs>
        <w:kinsoku/>
        <w:wordWrap/>
        <w:overflowPunct/>
        <w:topLinePunct w:val="0"/>
        <w:bidi w:val="0"/>
        <w:snapToGrid/>
        <w:spacing w:line="500" w:lineRule="exact"/>
        <w:ind w:left="-560" w:leftChars="0" w:right="-1144" w:rightChars="-400" w:firstLine="355" w:firstLineChars="159"/>
        <w:textAlignment w:val="auto"/>
        <w:rPr>
          <w:rFonts w:ascii="宋体" w:hAnsi="宋体" w:cs="宋体"/>
          <w:bCs/>
          <w:color w:val="000000" w:themeColor="text1"/>
          <w:spacing w:val="-11"/>
          <w:sz w:val="24"/>
          <w:szCs w:val="24"/>
          <w:highlight w:val="none"/>
          <w14:textFill>
            <w14:solidFill>
              <w14:schemeClr w14:val="tx1"/>
            </w14:solidFill>
          </w14:textFill>
        </w:rPr>
      </w:pPr>
      <w:r>
        <w:rPr>
          <w:rFonts w:hint="eastAsia" w:ascii="宋体" w:hAnsi="宋体" w:cs="宋体"/>
          <w:b/>
          <w:bCs w:val="0"/>
          <w:color w:val="000000" w:themeColor="text1"/>
          <w:spacing w:val="-11"/>
          <w:sz w:val="24"/>
          <w:szCs w:val="24"/>
          <w:highlight w:val="none"/>
          <w:lang w:eastAsia="zh-CN"/>
          <w14:textFill>
            <w14:solidFill>
              <w14:schemeClr w14:val="tx1"/>
            </w14:solidFill>
          </w14:textFill>
        </w:rPr>
        <w:t>③</w:t>
      </w:r>
      <w:r>
        <w:rPr>
          <w:rFonts w:hint="eastAsia" w:ascii="宋体" w:hAnsi="宋体" w:cs="宋体"/>
          <w:b/>
          <w:bCs w:val="0"/>
          <w:color w:val="000000" w:themeColor="text1"/>
          <w:spacing w:val="-11"/>
          <w:sz w:val="24"/>
          <w:szCs w:val="24"/>
          <w:highlight w:val="none"/>
          <w14:textFill>
            <w14:solidFill>
              <w14:schemeClr w14:val="tx1"/>
            </w14:solidFill>
          </w14:textFill>
        </w:rPr>
        <w:t xml:space="preserve">日处理污水量 </w:t>
      </w:r>
      <w:r>
        <w:rPr>
          <w:rFonts w:ascii="宋体" w:hAnsi="宋体" w:cs="宋体"/>
          <w:b/>
          <w:bCs w:val="0"/>
          <w:color w:val="000000" w:themeColor="text1"/>
          <w:spacing w:val="-11"/>
          <w:sz w:val="24"/>
          <w:szCs w:val="24"/>
          <w:highlight w:val="none"/>
          <w14:textFill>
            <w14:solidFill>
              <w14:schemeClr w14:val="tx1"/>
            </w14:solidFill>
          </w14:textFill>
        </w:rPr>
        <w:t>10</w:t>
      </w:r>
      <w:r>
        <w:rPr>
          <w:rFonts w:hint="eastAsia" w:ascii="宋体" w:hAnsi="宋体" w:cs="宋体"/>
          <w:b/>
          <w:bCs w:val="0"/>
          <w:color w:val="000000" w:themeColor="text1"/>
          <w:spacing w:val="-11"/>
          <w:sz w:val="24"/>
          <w:szCs w:val="24"/>
          <w:highlight w:val="none"/>
          <w14:textFill>
            <w14:solidFill>
              <w14:schemeClr w14:val="tx1"/>
            </w14:solidFill>
          </w14:textFill>
        </w:rPr>
        <w:t>000吨（</w:t>
      </w:r>
      <w:r>
        <w:rPr>
          <w:rFonts w:hint="eastAsia" w:ascii="宋体" w:hAnsi="宋体" w:cs="宋体"/>
          <w:b/>
          <w:bCs w:val="0"/>
          <w:color w:val="000000" w:themeColor="text1"/>
          <w:spacing w:val="-11"/>
          <w:sz w:val="24"/>
          <w:szCs w:val="24"/>
          <w:highlight w:val="none"/>
          <w:lang w:val="en-US" w:eastAsia="zh-CN"/>
          <w14:textFill>
            <w14:solidFill>
              <w14:schemeClr w14:val="tx1"/>
            </w14:solidFill>
          </w14:textFill>
        </w:rPr>
        <w:t>不</w:t>
      </w:r>
      <w:r>
        <w:rPr>
          <w:rFonts w:hint="eastAsia" w:ascii="宋体" w:hAnsi="宋体" w:cs="宋体"/>
          <w:b/>
          <w:bCs w:val="0"/>
          <w:color w:val="000000" w:themeColor="text1"/>
          <w:spacing w:val="-11"/>
          <w:sz w:val="24"/>
          <w:szCs w:val="24"/>
          <w:highlight w:val="none"/>
          <w14:textFill>
            <w14:solidFill>
              <w14:schemeClr w14:val="tx1"/>
            </w14:solidFill>
          </w14:textFill>
        </w:rPr>
        <w:t>含）-1</w:t>
      </w:r>
      <w:r>
        <w:rPr>
          <w:rFonts w:ascii="宋体" w:hAnsi="宋体" w:cs="宋体"/>
          <w:b/>
          <w:bCs w:val="0"/>
          <w:color w:val="000000" w:themeColor="text1"/>
          <w:spacing w:val="-11"/>
          <w:sz w:val="24"/>
          <w:szCs w:val="24"/>
          <w:highlight w:val="none"/>
          <w14:textFill>
            <w14:solidFill>
              <w14:schemeClr w14:val="tx1"/>
            </w14:solidFill>
          </w14:textFill>
        </w:rPr>
        <w:t>5</w:t>
      </w:r>
      <w:r>
        <w:rPr>
          <w:rFonts w:hint="eastAsia" w:ascii="宋体" w:hAnsi="宋体" w:cs="宋体"/>
          <w:b/>
          <w:bCs w:val="0"/>
          <w:color w:val="000000" w:themeColor="text1"/>
          <w:spacing w:val="-11"/>
          <w:sz w:val="24"/>
          <w:szCs w:val="24"/>
          <w:highlight w:val="none"/>
          <w14:textFill>
            <w14:solidFill>
              <w14:schemeClr w14:val="tx1"/>
            </w14:solidFill>
          </w14:textFill>
        </w:rPr>
        <w:t>000吨（含），全费用综合单价最高限价</w:t>
      </w:r>
      <w:r>
        <w:rPr>
          <w:rFonts w:hint="eastAsia" w:ascii="宋体" w:hAnsi="宋体" w:cs="宋体"/>
          <w:b/>
          <w:bCs w:val="0"/>
          <w:color w:val="000000" w:themeColor="text1"/>
          <w:spacing w:val="-11"/>
          <w:sz w:val="24"/>
          <w:szCs w:val="24"/>
          <w:highlight w:val="none"/>
          <w:u w:val="single"/>
          <w14:textFill>
            <w14:solidFill>
              <w14:schemeClr w14:val="tx1"/>
            </w14:solidFill>
          </w14:textFill>
        </w:rPr>
        <w:t xml:space="preserve">  </w:t>
      </w:r>
      <w:r>
        <w:rPr>
          <w:rFonts w:ascii="宋体" w:hAnsi="宋体" w:cs="宋体"/>
          <w:b/>
          <w:bCs w:val="0"/>
          <w:color w:val="000000" w:themeColor="text1"/>
          <w:spacing w:val="-11"/>
          <w:sz w:val="24"/>
          <w:szCs w:val="24"/>
          <w:highlight w:val="none"/>
          <w:u w:val="single"/>
          <w14:textFill>
            <w14:solidFill>
              <w14:schemeClr w14:val="tx1"/>
            </w14:solidFill>
          </w14:textFill>
        </w:rPr>
        <w:t>2.630</w:t>
      </w:r>
      <w:r>
        <w:rPr>
          <w:rFonts w:hint="eastAsia" w:ascii="宋体" w:hAnsi="宋体" w:cs="宋体"/>
          <w:b/>
          <w:bCs w:val="0"/>
          <w:color w:val="000000" w:themeColor="text1"/>
          <w:spacing w:val="-11"/>
          <w:sz w:val="24"/>
          <w:szCs w:val="24"/>
          <w:highlight w:val="none"/>
          <w14:textFill>
            <w14:solidFill>
              <w14:schemeClr w14:val="tx1"/>
            </w14:solidFill>
          </w14:textFill>
        </w:rPr>
        <w:t>元/立方米；（</w:t>
      </w:r>
      <w:r>
        <w:rPr>
          <w:rFonts w:ascii="宋体" w:hAnsi="宋体" w:cs="宋体"/>
          <w:b/>
          <w:bCs w:val="0"/>
          <w:color w:val="000000" w:themeColor="text1"/>
          <w:spacing w:val="-11"/>
          <w:sz w:val="24"/>
          <w:szCs w:val="24"/>
          <w:highlight w:val="none"/>
          <w14:textFill>
            <w14:solidFill>
              <w14:schemeClr w14:val="tx1"/>
            </w14:solidFill>
          </w14:textFill>
        </w:rPr>
        <w:t>6</w:t>
      </w:r>
      <w:r>
        <w:rPr>
          <w:rFonts w:hint="eastAsia" w:ascii="宋体" w:hAnsi="宋体" w:cs="宋体"/>
          <w:b/>
          <w:bCs w:val="0"/>
          <w:color w:val="000000" w:themeColor="text1"/>
          <w:spacing w:val="-11"/>
          <w:sz w:val="24"/>
          <w:szCs w:val="24"/>
          <w:highlight w:val="none"/>
          <w14:textFill>
            <w14:solidFill>
              <w14:schemeClr w14:val="tx1"/>
            </w14:solidFill>
          </w14:textFill>
        </w:rPr>
        <w:t>分）</w:t>
      </w:r>
    </w:p>
    <w:bookmarkEnd w:id="8"/>
    <w:p>
      <w:pPr>
        <w:keepNext w:val="0"/>
        <w:keepLines w:val="0"/>
        <w:pageBreakBefore w:val="0"/>
        <w:widowControl w:val="0"/>
        <w:kinsoku/>
        <w:wordWrap/>
        <w:overflowPunct/>
        <w:topLinePunct w:val="0"/>
        <w:autoSpaceDE w:val="0"/>
        <w:autoSpaceDN w:val="0"/>
        <w:bidi w:val="0"/>
        <w:snapToGrid/>
        <w:spacing w:line="500" w:lineRule="exact"/>
        <w:ind w:firstLine="492" w:firstLineChars="200"/>
        <w:textAlignment w:val="auto"/>
        <w:rPr>
          <w:rFonts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计算报价得分四舍五入保留小数点后二位。</w:t>
      </w:r>
    </w:p>
    <w:p>
      <w:pPr>
        <w:keepNext w:val="0"/>
        <w:keepLines w:val="0"/>
        <w:pageBreakBefore w:val="0"/>
        <w:widowControl w:val="0"/>
        <w:kinsoku/>
        <w:wordWrap/>
        <w:overflowPunct/>
        <w:topLinePunct w:val="0"/>
        <w:autoSpaceDE w:val="0"/>
        <w:autoSpaceDN w:val="0"/>
        <w:bidi w:val="0"/>
        <w:snapToGrid/>
        <w:spacing w:line="500" w:lineRule="exact"/>
        <w:ind w:firstLine="492" w:firstLineChars="200"/>
        <w:textAlignment w:val="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评标委员会在评审时发现投标人的报价明显高于其市场报价或低于成本价的，应当要求投标人书面说明并提供相关证明材料。投标人不能当场合理说明并提供证明材料，评标委员会应当将该投标人的投标文件作无效处理，并在评审报告中说明。</w:t>
      </w:r>
    </w:p>
    <w:p>
      <w:pPr>
        <w:keepNext w:val="0"/>
        <w:keepLines w:val="0"/>
        <w:pageBreakBefore w:val="0"/>
        <w:widowControl w:val="0"/>
        <w:kinsoku/>
        <w:wordWrap/>
        <w:overflowPunct/>
        <w:topLinePunct w:val="0"/>
        <w:autoSpaceDE w:val="0"/>
        <w:autoSpaceDN w:val="0"/>
        <w:bidi w:val="0"/>
        <w:snapToGrid/>
        <w:spacing w:line="500" w:lineRule="exact"/>
        <w:ind w:firstLine="492" w:firstLineChars="200"/>
        <w:textAlignment w:val="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3.1商务技术分=（评标委员会所有成员评分合计数）/（评标委员会组成人员数）</w:t>
      </w:r>
    </w:p>
    <w:p>
      <w:pPr>
        <w:keepNext w:val="0"/>
        <w:keepLines w:val="0"/>
        <w:pageBreakBefore w:val="0"/>
        <w:widowControl w:val="0"/>
        <w:kinsoku/>
        <w:wordWrap/>
        <w:overflowPunct/>
        <w:topLinePunct w:val="0"/>
        <w:autoSpaceDE w:val="0"/>
        <w:autoSpaceDN w:val="0"/>
        <w:bidi w:val="0"/>
        <w:snapToGrid/>
        <w:spacing w:line="500" w:lineRule="exact"/>
        <w:ind w:firstLine="492" w:firstLineChars="200"/>
        <w:textAlignment w:val="auto"/>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3.2投标人评标综合得分=商务技术分+报价分</w:t>
      </w:r>
    </w:p>
    <w:p>
      <w:pPr>
        <w:keepNext w:val="0"/>
        <w:keepLines w:val="0"/>
        <w:pageBreakBefore w:val="0"/>
        <w:widowControl w:val="0"/>
        <w:kinsoku/>
        <w:wordWrap/>
        <w:overflowPunct/>
        <w:topLinePunct w:val="0"/>
        <w:bidi w:val="0"/>
        <w:snapToGrid/>
        <w:spacing w:line="500" w:lineRule="exact"/>
        <w:ind w:firstLine="492" w:firstLineChars="200"/>
        <w:textAlignment w:val="auto"/>
        <w:rPr>
          <w:rFonts w:ascii="宋体" w:hAnsi="宋体" w:eastAsia="宋体" w:cs="宋体"/>
          <w:color w:val="000000"/>
        </w:rPr>
      </w:pPr>
      <w:r>
        <w:rPr>
          <w:rFonts w:hint="eastAsia" w:ascii="宋体" w:hAnsi="宋体" w:eastAsia="宋体" w:cs="宋体"/>
          <w:color w:val="000000"/>
          <w:sz w:val="24"/>
          <w:szCs w:val="24"/>
          <w:lang w:val="zh-CN"/>
        </w:rPr>
        <w:t>3.3 报价是中标的一个重要因素，但最低报价不是中标的唯一依据。</w:t>
      </w:r>
    </w:p>
    <w:p>
      <w:pPr>
        <w:keepNext w:val="0"/>
        <w:keepLines w:val="0"/>
        <w:pageBreakBefore w:val="0"/>
        <w:widowControl w:val="0"/>
        <w:kinsoku/>
        <w:wordWrap/>
        <w:overflowPunct/>
        <w:topLinePunct w:val="0"/>
        <w:autoSpaceDE w:val="0"/>
        <w:autoSpaceDN w:val="0"/>
        <w:bidi w:val="0"/>
        <w:snapToGrid/>
        <w:spacing w:line="500" w:lineRule="exact"/>
        <w:ind w:firstLine="492" w:firstLineChars="200"/>
        <w:textAlignment w:val="auto"/>
        <w:rPr>
          <w:rFonts w:ascii="宋体" w:hAnsi="宋体" w:eastAsia="宋体" w:cs="宋体"/>
          <w:b/>
          <w:bCs/>
          <w:color w:val="000000" w:themeColor="text1"/>
          <w:sz w:val="24"/>
          <w:szCs w:val="24"/>
          <w:highlight w:val="none"/>
          <w:lang w:val="zh-CN"/>
          <w14:textFill>
            <w14:solidFill>
              <w14:schemeClr w14:val="tx1"/>
            </w14:solidFill>
          </w14:textFill>
        </w:rPr>
      </w:pPr>
      <w:r>
        <w:rPr>
          <w:rFonts w:hint="eastAsia" w:ascii="宋体" w:hAnsi="宋体" w:eastAsia="宋体" w:cs="宋体"/>
          <w:color w:val="000000"/>
          <w:sz w:val="24"/>
          <w:szCs w:val="24"/>
          <w:lang w:val="zh-CN"/>
        </w:rPr>
        <w:t>根据《政府采购促进中小企业发展管理办法》的通知”财库〔2022〕19号规定，对于经主管预算单位统筹后未预留份额专门面向中小企业采购的采购项目，以及预留份额项目中的</w:t>
      </w:r>
      <w:r>
        <w:rPr>
          <w:rFonts w:hint="eastAsia" w:ascii="宋体" w:hAnsi="宋体" w:eastAsia="宋体" w:cs="宋体"/>
          <w:color w:val="000000" w:themeColor="text1"/>
          <w:sz w:val="24"/>
          <w:szCs w:val="24"/>
          <w:highlight w:val="none"/>
          <w:lang w:val="zh-CN"/>
          <w14:textFill>
            <w14:solidFill>
              <w14:schemeClr w14:val="tx1"/>
            </w14:solidFill>
          </w14:textFill>
        </w:rPr>
        <w:t>非预留部分采购包，</w:t>
      </w:r>
      <w:r>
        <w:rPr>
          <w:rFonts w:hint="eastAsia" w:ascii="宋体" w:hAnsi="宋体" w:eastAsia="宋体" w:cs="宋体"/>
          <w:b/>
          <w:bCs/>
          <w:color w:val="000000" w:themeColor="text1"/>
          <w:sz w:val="24"/>
          <w:szCs w:val="24"/>
          <w:highlight w:val="none"/>
          <w:lang w:val="zh-CN"/>
          <w14:textFill>
            <w14:solidFill>
              <w14:schemeClr w14:val="tx1"/>
            </w14:solidFill>
          </w14:textFill>
        </w:rPr>
        <w:t>采购人、采购代理机构应当对符合本办法规定的小微企业报价给予</w:t>
      </w:r>
      <w:r>
        <w:rPr>
          <w:rFonts w:hint="eastAsia" w:ascii="宋体" w:hAnsi="宋体" w:eastAsia="宋体" w:cs="宋体"/>
          <w:b/>
          <w:bCs/>
          <w:color w:val="000000" w:themeColor="text1"/>
          <w:sz w:val="24"/>
          <w:szCs w:val="24"/>
          <w:highlight w:val="none"/>
          <w14:textFill>
            <w14:solidFill>
              <w14:schemeClr w14:val="tx1"/>
            </w14:solidFill>
          </w14:textFill>
        </w:rPr>
        <w:t>10</w:t>
      </w:r>
      <w:r>
        <w:rPr>
          <w:rFonts w:hint="eastAsia" w:ascii="宋体" w:hAnsi="宋体" w:eastAsia="宋体" w:cs="宋体"/>
          <w:b/>
          <w:bCs/>
          <w:color w:val="000000" w:themeColor="text1"/>
          <w:sz w:val="24"/>
          <w:szCs w:val="24"/>
          <w:highlight w:val="none"/>
          <w:lang w:val="zh-CN"/>
          <w14:textFill>
            <w14:solidFill>
              <w14:schemeClr w14:val="tx1"/>
            </w14:solidFill>
          </w14:textFill>
        </w:rPr>
        <w:t>%的扣除，用扣除后的价格参加评审。</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1.关于中小企业、监狱和戒毒企业和残疾人福利性单位参与政府采购活动的规定：</w:t>
      </w:r>
    </w:p>
    <w:p>
      <w:pPr>
        <w:autoSpaceDE w:val="0"/>
        <w:autoSpaceDN w:val="0"/>
        <w:spacing w:line="460" w:lineRule="exact"/>
        <w:ind w:firstLine="492" w:firstLineChars="200"/>
        <w:rPr>
          <w:rFonts w:ascii="宋体" w:hAnsi="宋体" w:eastAsia="宋体" w:cs="宋体"/>
          <w:b/>
          <w:color w:val="000000"/>
          <w:sz w:val="24"/>
          <w:szCs w:val="24"/>
          <w:lang w:val="zh-CN"/>
        </w:rPr>
      </w:pPr>
      <w:r>
        <w:rPr>
          <w:rFonts w:hint="eastAsia" w:ascii="宋体" w:hAnsi="宋体" w:eastAsia="宋体" w:cs="宋体"/>
          <w:b/>
          <w:color w:val="000000"/>
          <w:sz w:val="24"/>
          <w:szCs w:val="24"/>
          <w:lang w:val="zh-CN"/>
        </w:rPr>
        <w:t>本项目为服务采购项目，本项目采购标的对应的中小企业划分标准所属行业为“其他未列明行业”。</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投标人应按照《中小企业划型标准规定》（工信部联企业[2011]300号）和《政府采购促进中小企业发展管理办法》的通知”财库〔2022〕19号 第四条规定，提供《中小企业声明函》。</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根据《中小企业划型标准规定》（工信部联企业〔2011〕300号）、《政府采购促进中小企业发展管理办法》（财库〔2022〕19号 ）的有关规定，《政府采购促进中小企业发展管理办法》所称中小企业（含中型、小型、微型企业，下同）应当同时符合以下条件：</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（一）在货物采购项目中，货物由中小企业制造，即货物由中小企业生产且使用该中小企业商号或者注册商标；</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（二）在工程采购项目中，工程由中小企业承建，即工程施工单位为中小企业；</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（三）在服务采购项目中，服务由中小企业承接，即提供服务的人员为中小企业依照《中华人民共和国劳动合同法》订立劳动合同的从业人员。</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在货物采购项目中，供应商提供的货物既有中小企业制造货物，也有大型企业制造货物的，不享受本办法规定的中小企业扶持政策。</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以联合体形式参加政府采购活动，联合体各方均为中小企业的，联合体视同中小企业。其中，联合体各方均为小微企业的，联合体视同小微企业。</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享受扶持政策获得政府采购合同的，小微企业不得将合同分包给大中型企业，中型企业不得将合同分包给大型企业。</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符合中小企业划分标准的个体工商户，在政府采购活动中视同中小企业。</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（2）根据财政部《司法部关于政府采购支持监狱企业发展有关问题》的通知（财库〔2014〕68号）的有关规定，监狱和戒毒企业参与政府采购活动的视同小型、微型企业，享受评审中价格扣除政策。</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（3）根据财库[2017]141号的相关规定，在政府采购活动中，残疾人福利性单位视同小型、微型企业，享受评审中价格扣除政策。</w:t>
      </w:r>
    </w:p>
    <w:p>
      <w:pPr>
        <w:autoSpaceDE w:val="0"/>
        <w:autoSpaceDN w:val="0"/>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小型、微型企业参加投标时，应提供《中小企业声明函》；监狱和戒毒企业参加投标时应提供由省级以上监狱管理局、戒毒管理局（含新疆生产建设兵团）出具的属于监狱企业的证明文件；残疾人福利性单位参加投标时应提供残疾人福利性单位声明函。不提供以上材料的投标人将不享受评审中价格扣除优惠。</w:t>
      </w:r>
    </w:p>
    <w:p>
      <w:pPr>
        <w:spacing w:line="46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lang w:val="zh-CN"/>
        </w:rPr>
        <w:t>2.</w:t>
      </w:r>
      <w:r>
        <w:rPr>
          <w:rFonts w:hint="eastAsia" w:ascii="宋体" w:hAnsi="宋体" w:eastAsia="宋体" w:cs="宋体"/>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60" w:lineRule="exact"/>
        <w:ind w:firstLine="492" w:firstLineChars="200"/>
        <w:rPr>
          <w:rFonts w:hint="eastAsia" w:ascii="宋体" w:hAnsi="宋体" w:eastAsia="宋体" w:cs="宋体"/>
          <w:b/>
          <w:color w:val="000000"/>
          <w:sz w:val="24"/>
          <w:szCs w:val="24"/>
        </w:rPr>
      </w:pPr>
    </w:p>
    <w:p>
      <w:pPr>
        <w:spacing w:line="46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六、定标办法</w:t>
      </w:r>
    </w:p>
    <w:p>
      <w:pPr>
        <w:spacing w:line="46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1.本次招标由评标委员会推荐中标候选人。</w:t>
      </w:r>
    </w:p>
    <w:p>
      <w:pPr>
        <w:pStyle w:val="34"/>
        <w:widowControl w:val="0"/>
        <w:overflowPunct/>
        <w:autoSpaceDE/>
        <w:autoSpaceDN/>
        <w:adjustRightInd/>
        <w:spacing w:line="440" w:lineRule="exact"/>
        <w:ind w:left="0" w:leftChars="0" w:firstLine="523" w:firstLineChars="213"/>
        <w:textAlignment w:val="auto"/>
        <w:rPr>
          <w:rFonts w:hAnsi="宋体" w:cs="宋体"/>
          <w:color w:val="000000"/>
          <w:sz w:val="24"/>
          <w:szCs w:val="24"/>
          <w:lang w:val="zh-CN"/>
        </w:rPr>
      </w:pPr>
      <w:r>
        <w:rPr>
          <w:rFonts w:hint="eastAsia" w:hAnsi="宋体" w:cs="宋体"/>
          <w:color w:val="000000"/>
          <w:sz w:val="24"/>
          <w:szCs w:val="24"/>
        </w:rPr>
        <w:t>2.</w:t>
      </w:r>
      <w:r>
        <w:rPr>
          <w:rFonts w:hint="eastAsia" w:hAnsi="宋体" w:cs="宋体"/>
          <w:color w:val="000000"/>
          <w:sz w:val="24"/>
          <w:szCs w:val="24"/>
          <w:lang w:val="zh-CN"/>
        </w:rPr>
        <w:t>评标委员会依据法律、法规及招标文件有关规定在有效标中按投标人的最终得分（即商务技术分与报价分之和）高低进行排序，得分</w:t>
      </w:r>
      <w:r>
        <w:rPr>
          <w:rFonts w:hint="eastAsia" w:hAnsi="宋体" w:cs="宋体"/>
          <w:color w:val="000000"/>
          <w:sz w:val="24"/>
          <w:szCs w:val="24"/>
        </w:rPr>
        <w:t>第一</w:t>
      </w:r>
      <w:r>
        <w:rPr>
          <w:rFonts w:hint="eastAsia" w:hAnsi="宋体" w:cs="宋体"/>
          <w:color w:val="000000"/>
          <w:sz w:val="24"/>
          <w:szCs w:val="24"/>
          <w:lang w:val="zh-CN"/>
        </w:rPr>
        <w:t>名的投标人确定为第一中标候选人，得分</w:t>
      </w:r>
      <w:r>
        <w:rPr>
          <w:rFonts w:hint="eastAsia" w:hAnsi="宋体" w:cs="宋体"/>
          <w:color w:val="000000"/>
          <w:sz w:val="24"/>
          <w:szCs w:val="24"/>
        </w:rPr>
        <w:t>第</w:t>
      </w:r>
      <w:r>
        <w:rPr>
          <w:rFonts w:hint="eastAsia" w:hAnsi="宋体" w:cs="宋体"/>
          <w:color w:val="000000"/>
          <w:sz w:val="24"/>
          <w:szCs w:val="24"/>
          <w:lang w:eastAsia="zh-CN"/>
        </w:rPr>
        <w:t>二</w:t>
      </w:r>
      <w:r>
        <w:rPr>
          <w:rFonts w:hint="eastAsia" w:hAnsi="宋体" w:cs="宋体"/>
          <w:color w:val="000000"/>
          <w:sz w:val="24"/>
          <w:szCs w:val="24"/>
          <w:lang w:val="zh-CN"/>
        </w:rPr>
        <w:t>名的投标人确定为第二中标候选人（</w:t>
      </w:r>
      <w:r>
        <w:rPr>
          <w:rFonts w:hint="eastAsia" w:hAnsi="宋体" w:cs="宋体"/>
          <w:color w:val="000000"/>
          <w:sz w:val="24"/>
          <w:szCs w:val="24"/>
        </w:rPr>
        <w:t>注：若综合得分相同，则以商务技术得分高的优先排名，若商务技术得分也相同，则抽签确定。评审过程中如发现有异常情况，由评审专家集体讨论决定。</w:t>
      </w:r>
      <w:r>
        <w:rPr>
          <w:rFonts w:hint="eastAsia" w:hAnsi="宋体" w:cs="宋体"/>
          <w:color w:val="000000"/>
          <w:sz w:val="24"/>
          <w:szCs w:val="24"/>
          <w:lang w:val="zh-CN"/>
        </w:rPr>
        <w:t>）。</w:t>
      </w:r>
    </w:p>
    <w:p>
      <w:pPr>
        <w:spacing w:line="46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3.如排名第一的中标候选人放弃中标</w:t>
      </w:r>
      <w:r>
        <w:rPr>
          <w:rFonts w:hint="eastAsia" w:ascii="宋体" w:hAnsi="宋体" w:eastAsia="宋体" w:cs="宋体"/>
          <w:color w:val="000000"/>
          <w:sz w:val="24"/>
          <w:szCs w:val="24"/>
        </w:rPr>
        <w:t>；</w:t>
      </w:r>
      <w:r>
        <w:rPr>
          <w:rFonts w:hint="eastAsia" w:ascii="宋体" w:hAnsi="宋体" w:eastAsia="宋体" w:cs="宋体"/>
          <w:color w:val="000000"/>
          <w:sz w:val="24"/>
          <w:szCs w:val="24"/>
          <w:lang w:val="zh-CN"/>
        </w:rPr>
        <w:t>因不可抗力提出不能履行合同；或者招标文件规定应当提交履约担保而在规定的期限内未能提交的；或未能在规定时间内与采购单位签订合同的；或者经质疑，招标人审查后，确因排名第一的候选人在本次采购活动中存在违法违规行为或其他原因使质疑成立的，招标人可视具体情况确定是否由排名第二的中标候选人为中标人。</w:t>
      </w:r>
    </w:p>
    <w:p>
      <w:pPr>
        <w:spacing w:line="46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七、确定中标人</w:t>
      </w:r>
    </w:p>
    <w:p>
      <w:pPr>
        <w:spacing w:line="46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评标结束后，招标人将在浙江政府采购网公示中标结果。公示期结束后，在规定期限内无异议则招标机构将向中标人发出中标通知书。</w:t>
      </w:r>
    </w:p>
    <w:p>
      <w:pPr>
        <w:spacing w:line="460" w:lineRule="exact"/>
        <w:ind w:firstLine="492" w:firstLineChars="200"/>
        <w:rPr>
          <w:rFonts w:ascii="宋体" w:hAnsi="宋体" w:eastAsia="宋体" w:cs="宋体"/>
          <w:b/>
          <w:color w:val="000000"/>
          <w:sz w:val="24"/>
          <w:szCs w:val="24"/>
        </w:rPr>
      </w:pPr>
      <w:r>
        <w:rPr>
          <w:rFonts w:hint="eastAsia" w:ascii="宋体" w:hAnsi="宋体" w:eastAsia="宋体" w:cs="宋体"/>
          <w:b/>
          <w:color w:val="000000"/>
          <w:sz w:val="24"/>
          <w:szCs w:val="24"/>
        </w:rPr>
        <w:t>八、投标人义务</w:t>
      </w:r>
    </w:p>
    <w:p>
      <w:pPr>
        <w:spacing w:line="46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投标人应随时接受评标委员会的询标，解答包括有关的商务、技术问题等。评标结束，所有评标资料存招标机构备查。</w:t>
      </w:r>
    </w:p>
    <w:p>
      <w:pPr>
        <w:pStyle w:val="58"/>
        <w:outlineLvl w:val="0"/>
        <w:rPr>
          <w:rFonts w:ascii="宋体" w:hAnsi="宋体" w:cs="宋体"/>
          <w:color w:val="000000"/>
          <w:lang w:eastAsia="zh-CN"/>
        </w:rPr>
      </w:pPr>
      <w:r>
        <w:rPr>
          <w:rFonts w:hint="eastAsia" w:ascii="宋体" w:hAnsi="宋体" w:cs="宋体"/>
          <w:color w:val="000000"/>
          <w:sz w:val="24"/>
          <w:szCs w:val="24"/>
          <w:lang w:eastAsia="zh-CN"/>
        </w:rPr>
        <w:br w:type="page"/>
      </w:r>
      <w:bookmarkStart w:id="9" w:name="_Toc119501473"/>
      <w:r>
        <w:rPr>
          <w:rFonts w:hint="eastAsia" w:ascii="宋体" w:hAnsi="宋体" w:cs="宋体"/>
          <w:color w:val="000000"/>
          <w:lang w:eastAsia="zh-CN"/>
        </w:rPr>
        <w:t>第六章  投标文件格式</w:t>
      </w:r>
      <w:bookmarkEnd w:id="9"/>
    </w:p>
    <w:p>
      <w:pPr>
        <w:autoSpaceDE w:val="0"/>
        <w:autoSpaceDN w:val="0"/>
        <w:adjustRightInd w:val="0"/>
        <w:spacing w:line="400" w:lineRule="exact"/>
        <w:rPr>
          <w:rFonts w:ascii="宋体" w:hAnsi="宋体" w:eastAsia="宋体" w:cs="宋体"/>
          <w:bCs/>
          <w:color w:val="000000"/>
          <w:sz w:val="24"/>
          <w:szCs w:val="24"/>
          <w:lang w:val="zh-CN"/>
        </w:rPr>
      </w:pPr>
    </w:p>
    <w:p>
      <w:pPr>
        <w:snapToGrid w:val="0"/>
        <w:spacing w:before="194" w:beforeLines="50" w:after="50"/>
        <w:rPr>
          <w:rFonts w:ascii="宋体" w:hAnsi="宋体" w:eastAsia="宋体" w:cs="宋体"/>
          <w:b/>
          <w:bCs/>
          <w:sz w:val="32"/>
          <w:szCs w:val="32"/>
        </w:rPr>
      </w:pPr>
      <w:r>
        <w:rPr>
          <w:rFonts w:hint="eastAsia" w:ascii="宋体" w:hAnsi="宋体" w:eastAsia="宋体" w:cs="宋体"/>
          <w:b/>
          <w:bCs/>
          <w:sz w:val="32"/>
          <w:szCs w:val="32"/>
        </w:rPr>
        <w:t>投标文件正本或副本封面式样</w:t>
      </w:r>
    </w:p>
    <w:p>
      <w:pPr>
        <w:snapToGrid w:val="0"/>
        <w:spacing w:before="194" w:beforeLines="50" w:after="50"/>
        <w:jc w:val="center"/>
        <w:rPr>
          <w:rFonts w:ascii="宋体" w:hAnsi="宋体" w:eastAsia="宋体" w:cs="宋体"/>
          <w:b/>
          <w:sz w:val="52"/>
          <w:szCs w:val="52"/>
        </w:rPr>
      </w:pPr>
    </w:p>
    <w:p>
      <w:pPr>
        <w:snapToGrid w:val="0"/>
        <w:spacing w:before="194" w:beforeLines="50" w:after="50"/>
        <w:jc w:val="center"/>
        <w:rPr>
          <w:rFonts w:ascii="宋体" w:hAnsi="宋体" w:eastAsia="宋体" w:cs="宋体"/>
          <w:b/>
          <w:sz w:val="52"/>
          <w:szCs w:val="52"/>
        </w:rPr>
      </w:pPr>
      <w:r>
        <w:rPr>
          <w:rFonts w:hint="eastAsia" w:ascii="宋体" w:hAnsi="宋体" w:eastAsia="宋体" w:cs="宋体"/>
          <w:b/>
          <w:sz w:val="52"/>
          <w:szCs w:val="52"/>
        </w:rPr>
        <w:t>投 标 文 件</w:t>
      </w:r>
    </w:p>
    <w:p>
      <w:pPr>
        <w:snapToGrid w:val="0"/>
        <w:spacing w:before="194" w:beforeLines="50" w:after="50"/>
        <w:jc w:val="center"/>
        <w:rPr>
          <w:rFonts w:ascii="宋体" w:hAnsi="宋体" w:eastAsia="宋体" w:cs="宋体"/>
          <w:sz w:val="24"/>
          <w:szCs w:val="20"/>
        </w:rPr>
      </w:pPr>
    </w:p>
    <w:p>
      <w:pPr>
        <w:snapToGrid w:val="0"/>
        <w:spacing w:before="194" w:beforeLines="50" w:after="50"/>
        <w:jc w:val="center"/>
        <w:rPr>
          <w:rFonts w:ascii="宋体" w:hAnsi="宋体" w:eastAsia="宋体" w:cs="宋体"/>
          <w:b/>
          <w:sz w:val="32"/>
          <w:szCs w:val="32"/>
        </w:rPr>
      </w:pPr>
    </w:p>
    <w:p>
      <w:pPr>
        <w:snapToGrid w:val="0"/>
        <w:spacing w:before="194" w:beforeLines="50" w:after="50"/>
        <w:jc w:val="center"/>
        <w:rPr>
          <w:rFonts w:ascii="宋体" w:hAnsi="宋体" w:eastAsia="宋体" w:cs="宋体"/>
          <w:b/>
          <w:sz w:val="36"/>
          <w:szCs w:val="36"/>
        </w:rPr>
      </w:pPr>
      <w:r>
        <w:rPr>
          <w:rFonts w:hint="eastAsia" w:ascii="宋体" w:hAnsi="宋体" w:eastAsia="宋体" w:cs="宋体"/>
          <w:b/>
          <w:sz w:val="36"/>
          <w:szCs w:val="36"/>
        </w:rPr>
        <w:t>内容：资格证明文件（或商务技术文件、报价文件）</w:t>
      </w:r>
    </w:p>
    <w:p>
      <w:pPr>
        <w:snapToGrid w:val="0"/>
        <w:spacing w:before="194" w:beforeLines="50" w:after="50"/>
        <w:rPr>
          <w:rFonts w:ascii="宋体" w:hAnsi="宋体" w:eastAsia="宋体" w:cs="宋体"/>
          <w:b/>
          <w:sz w:val="32"/>
          <w:szCs w:val="32"/>
        </w:rPr>
      </w:pPr>
    </w:p>
    <w:p>
      <w:pPr>
        <w:adjustRightInd w:val="0"/>
        <w:snapToGrid w:val="0"/>
        <w:spacing w:line="720" w:lineRule="auto"/>
        <w:rPr>
          <w:rFonts w:ascii="宋体" w:hAnsi="宋体" w:eastAsia="宋体" w:cs="宋体"/>
          <w:sz w:val="30"/>
          <w:szCs w:val="30"/>
          <w:u w:val="single"/>
        </w:rPr>
      </w:pPr>
      <w:r>
        <w:rPr>
          <w:rFonts w:hint="eastAsia" w:ascii="宋体" w:hAnsi="宋体" w:eastAsia="宋体" w:cs="宋体"/>
          <w:sz w:val="30"/>
          <w:szCs w:val="30"/>
        </w:rPr>
        <w:t>项目名称：</w:t>
      </w:r>
      <w:r>
        <w:rPr>
          <w:rFonts w:hint="eastAsia" w:ascii="宋体" w:hAnsi="宋体" w:eastAsia="宋体" w:cs="宋体"/>
          <w:sz w:val="30"/>
          <w:szCs w:val="30"/>
          <w:u w:val="single"/>
        </w:rPr>
        <w:t xml:space="preserve">                            </w:t>
      </w:r>
    </w:p>
    <w:p>
      <w:pPr>
        <w:snapToGrid w:val="0"/>
        <w:spacing w:before="194" w:beforeLines="50" w:after="50"/>
        <w:rPr>
          <w:rFonts w:ascii="宋体" w:hAnsi="宋体" w:eastAsia="宋体" w:cs="宋体"/>
          <w:b/>
          <w:sz w:val="30"/>
          <w:szCs w:val="30"/>
        </w:rPr>
      </w:pPr>
      <w:r>
        <w:rPr>
          <w:rFonts w:hint="eastAsia" w:ascii="宋体" w:hAnsi="宋体" w:eastAsia="宋体" w:cs="宋体"/>
          <w:sz w:val="30"/>
          <w:szCs w:val="30"/>
        </w:rPr>
        <w:t>项目编号：</w:t>
      </w:r>
      <w:r>
        <w:rPr>
          <w:rFonts w:hint="eastAsia" w:ascii="宋体" w:hAnsi="宋体" w:eastAsia="宋体" w:cs="宋体"/>
          <w:sz w:val="30"/>
          <w:szCs w:val="30"/>
          <w:u w:val="single"/>
        </w:rPr>
        <w:t>                       </w:t>
      </w:r>
    </w:p>
    <w:p>
      <w:pPr>
        <w:snapToGrid w:val="0"/>
        <w:spacing w:before="194" w:beforeLines="50" w:after="50"/>
        <w:rPr>
          <w:rFonts w:ascii="宋体" w:hAnsi="宋体" w:eastAsia="宋体" w:cs="宋体"/>
          <w:b/>
          <w:sz w:val="30"/>
          <w:szCs w:val="30"/>
        </w:rPr>
      </w:pPr>
      <w:r>
        <w:rPr>
          <w:rFonts w:hint="eastAsia" w:ascii="宋体" w:hAnsi="宋体" w:eastAsia="宋体" w:cs="宋体"/>
          <w:b/>
          <w:sz w:val="30"/>
          <w:szCs w:val="30"/>
        </w:rPr>
        <w:t xml:space="preserve">                                      </w:t>
      </w:r>
    </w:p>
    <w:p>
      <w:pPr>
        <w:snapToGrid w:val="0"/>
        <w:spacing w:before="194" w:beforeLines="50" w:after="50"/>
        <w:rPr>
          <w:rFonts w:ascii="宋体" w:hAnsi="宋体" w:eastAsia="宋体" w:cs="宋体"/>
          <w:b/>
          <w:sz w:val="30"/>
          <w:szCs w:val="30"/>
        </w:rPr>
      </w:pPr>
      <w:r>
        <w:rPr>
          <w:rFonts w:hint="eastAsia" w:ascii="宋体" w:hAnsi="宋体" w:eastAsia="宋体" w:cs="宋体"/>
          <w:b/>
          <w:sz w:val="30"/>
          <w:szCs w:val="30"/>
        </w:rPr>
        <w:t>投标人名称：</w:t>
      </w:r>
      <w:r>
        <w:rPr>
          <w:rFonts w:hint="eastAsia" w:ascii="宋体" w:hAnsi="宋体" w:eastAsia="宋体" w:cs="宋体"/>
          <w:b/>
          <w:sz w:val="30"/>
          <w:szCs w:val="30"/>
          <w:u w:val="single"/>
        </w:rPr>
        <w:t xml:space="preserve">                       </w:t>
      </w:r>
      <w:r>
        <w:rPr>
          <w:rFonts w:hint="eastAsia" w:ascii="宋体" w:hAnsi="宋体" w:eastAsia="宋体" w:cs="宋体"/>
          <w:b/>
          <w:sz w:val="30"/>
          <w:szCs w:val="30"/>
        </w:rPr>
        <w:t>（加盖单位公章）</w:t>
      </w:r>
    </w:p>
    <w:p>
      <w:pPr>
        <w:snapToGrid w:val="0"/>
        <w:spacing w:before="194" w:beforeLines="50" w:after="50"/>
        <w:rPr>
          <w:rFonts w:ascii="宋体" w:hAnsi="宋体" w:eastAsia="宋体" w:cs="宋体"/>
          <w:b/>
          <w:sz w:val="30"/>
          <w:szCs w:val="30"/>
        </w:rPr>
      </w:pPr>
    </w:p>
    <w:p>
      <w:pPr>
        <w:snapToGrid w:val="0"/>
        <w:spacing w:before="194" w:beforeLines="50" w:after="50"/>
        <w:rPr>
          <w:rFonts w:ascii="宋体" w:hAnsi="宋体" w:eastAsia="宋体" w:cs="宋体"/>
          <w:b/>
          <w:sz w:val="30"/>
          <w:szCs w:val="30"/>
        </w:rPr>
      </w:pPr>
      <w:r>
        <w:rPr>
          <w:rFonts w:hint="eastAsia" w:ascii="宋体" w:hAnsi="宋体" w:eastAsia="宋体" w:cs="宋体"/>
          <w:b/>
          <w:sz w:val="30"/>
          <w:szCs w:val="30"/>
        </w:rPr>
        <w:t>投标人法定代表人或授权委托人：</w:t>
      </w:r>
      <w:r>
        <w:rPr>
          <w:rFonts w:hint="eastAsia" w:ascii="宋体" w:hAnsi="宋体" w:eastAsia="宋体" w:cs="宋体"/>
          <w:b/>
          <w:sz w:val="30"/>
          <w:szCs w:val="30"/>
          <w:u w:val="single"/>
        </w:rPr>
        <w:t xml:space="preserve">        </w:t>
      </w:r>
      <w:r>
        <w:rPr>
          <w:rFonts w:hint="eastAsia" w:ascii="宋体" w:hAnsi="宋体" w:eastAsia="宋体" w:cs="宋体"/>
          <w:b/>
          <w:sz w:val="30"/>
          <w:szCs w:val="30"/>
        </w:rPr>
        <w:t>（签字或盖章）</w:t>
      </w:r>
    </w:p>
    <w:p>
      <w:pPr>
        <w:snapToGrid w:val="0"/>
        <w:spacing w:before="194" w:beforeLines="50" w:after="50"/>
        <w:rPr>
          <w:rFonts w:ascii="宋体" w:hAnsi="宋体" w:eastAsia="宋体" w:cs="宋体"/>
          <w:b/>
          <w:sz w:val="32"/>
          <w:szCs w:val="32"/>
        </w:rPr>
      </w:pPr>
    </w:p>
    <w:p>
      <w:pPr>
        <w:snapToGrid w:val="0"/>
        <w:spacing w:before="194" w:beforeLines="50" w:after="50"/>
        <w:rPr>
          <w:rFonts w:ascii="宋体" w:hAnsi="宋体" w:eastAsia="宋体" w:cs="宋体"/>
          <w:b/>
          <w:sz w:val="32"/>
          <w:szCs w:val="32"/>
        </w:rPr>
      </w:pPr>
    </w:p>
    <w:p>
      <w:pPr>
        <w:snapToGrid w:val="0"/>
        <w:spacing w:before="194" w:beforeLines="50" w:after="50"/>
        <w:rPr>
          <w:rFonts w:ascii="宋体" w:hAnsi="宋体" w:eastAsia="宋体" w:cs="宋体"/>
          <w:b/>
          <w:sz w:val="32"/>
          <w:szCs w:val="32"/>
        </w:rPr>
      </w:pPr>
    </w:p>
    <w:p>
      <w:pPr>
        <w:snapToGrid w:val="0"/>
        <w:spacing w:before="194" w:beforeLines="50" w:after="50"/>
        <w:jc w:val="center"/>
        <w:rPr>
          <w:rFonts w:ascii="宋体" w:hAnsi="宋体" w:eastAsia="宋体" w:cs="宋体"/>
          <w:b/>
          <w:sz w:val="32"/>
          <w:szCs w:val="32"/>
        </w:rPr>
      </w:pPr>
      <w:r>
        <w:rPr>
          <w:rFonts w:hint="eastAsia" w:ascii="宋体" w:hAnsi="宋体" w:eastAsia="宋体" w:cs="宋体"/>
          <w:b/>
          <w:sz w:val="32"/>
          <w:szCs w:val="32"/>
        </w:rPr>
        <w:t>日期：     年    月     日</w:t>
      </w:r>
    </w:p>
    <w:p>
      <w:pPr>
        <w:snapToGrid w:val="0"/>
        <w:spacing w:before="194" w:beforeLines="50" w:after="50"/>
        <w:rPr>
          <w:rFonts w:ascii="宋体" w:hAnsi="宋体" w:eastAsia="宋体" w:cs="宋体"/>
          <w:sz w:val="24"/>
          <w:szCs w:val="20"/>
        </w:rPr>
      </w:pPr>
    </w:p>
    <w:p>
      <w:pPr>
        <w:snapToGrid w:val="0"/>
        <w:spacing w:before="194" w:beforeLines="50" w:after="50"/>
        <w:rPr>
          <w:rFonts w:ascii="宋体" w:hAnsi="宋体" w:eastAsia="宋体" w:cs="宋体"/>
          <w:sz w:val="24"/>
          <w:szCs w:val="20"/>
        </w:rPr>
      </w:pP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r>
        <w:rPr>
          <w:rFonts w:hint="eastAsia" w:ascii="宋体" w:hAnsi="宋体" w:eastAsia="宋体" w:cs="宋体"/>
          <w:b/>
          <w:bCs/>
          <w:color w:val="000000"/>
          <w:sz w:val="30"/>
          <w:szCs w:val="30"/>
          <w:lang w:val="zh-CN"/>
        </w:rPr>
        <w:t>资格证明文件目录</w:t>
      </w: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40" w:lineRule="exact"/>
        <w:ind w:firstLine="561"/>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1.投标资格声明书</w:t>
      </w:r>
      <w:r>
        <w:rPr>
          <w:rFonts w:hint="eastAsia" w:ascii="宋体" w:hAnsi="宋体" w:eastAsia="宋体" w:cs="宋体"/>
          <w:color w:val="000000"/>
          <w:sz w:val="24"/>
          <w:szCs w:val="24"/>
          <w:lang w:eastAsia="zh-CN"/>
        </w:rPr>
        <w:t>；</w:t>
      </w:r>
    </w:p>
    <w:p>
      <w:pPr>
        <w:autoSpaceDE w:val="0"/>
        <w:autoSpaceDN w:val="0"/>
        <w:adjustRightInd w:val="0"/>
        <w:spacing w:line="440" w:lineRule="exact"/>
        <w:ind w:firstLine="561"/>
        <w:rPr>
          <w:rFonts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sz w:val="24"/>
          <w:szCs w:val="24"/>
        </w:rPr>
        <w:t>自招标公告发布之日起至投标截止日内任意时间的“信用中国”网站（www.creditchina.gov.cn）的“信用信息”、“中国政府采购网”（www.ccgp.gov.cn）的“政府采购严重违法失信行为信息记录”查询网页截图</w:t>
      </w:r>
      <w:r>
        <w:rPr>
          <w:rFonts w:hint="eastAsia" w:ascii="宋体" w:hAnsi="宋体" w:eastAsia="宋体" w:cs="宋体"/>
          <w:color w:val="000000"/>
          <w:sz w:val="24"/>
          <w:szCs w:val="24"/>
        </w:rPr>
        <w:t>；</w:t>
      </w:r>
    </w:p>
    <w:p>
      <w:pPr>
        <w:autoSpaceDE w:val="0"/>
        <w:autoSpaceDN w:val="0"/>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3.营业执照（事业单位法人证书）；</w:t>
      </w:r>
    </w:p>
    <w:p>
      <w:pPr>
        <w:autoSpaceDE w:val="0"/>
        <w:autoSpaceDN w:val="0"/>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4.具有良好的商业信誉和健全的财务会计制度、有依法缴纳税收和社会保障资金的良好记录的声明函；</w:t>
      </w:r>
    </w:p>
    <w:p>
      <w:pPr>
        <w:autoSpaceDE w:val="0"/>
        <w:autoSpaceDN w:val="0"/>
        <w:spacing w:line="44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rPr>
        <w:t>5</w:t>
      </w:r>
      <w:r>
        <w:rPr>
          <w:rFonts w:hint="eastAsia" w:ascii="宋体" w:hAnsi="宋体" w:eastAsia="宋体" w:cs="宋体"/>
          <w:color w:val="000000"/>
          <w:sz w:val="24"/>
          <w:szCs w:val="24"/>
          <w:lang w:val="zh-CN"/>
        </w:rPr>
        <w:t>.具备履行合同所必需的设备和专业技术能力的证明材料</w:t>
      </w:r>
      <w:r>
        <w:rPr>
          <w:rFonts w:hint="eastAsia" w:ascii="宋体" w:hAnsi="宋体" w:eastAsia="宋体" w:cs="宋体"/>
          <w:color w:val="000000"/>
          <w:sz w:val="24"/>
          <w:szCs w:val="24"/>
        </w:rPr>
        <w:t>的承诺书</w:t>
      </w:r>
      <w:r>
        <w:rPr>
          <w:rFonts w:hint="eastAsia" w:ascii="宋体" w:hAnsi="宋体" w:eastAsia="宋体" w:cs="宋体"/>
          <w:color w:val="000000"/>
          <w:sz w:val="24"/>
          <w:szCs w:val="24"/>
          <w:lang w:val="zh-CN"/>
        </w:rPr>
        <w:t>；</w:t>
      </w:r>
    </w:p>
    <w:p>
      <w:pPr>
        <w:autoSpaceDE w:val="0"/>
        <w:autoSpaceDN w:val="0"/>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6.参加政府采购活动前三年内，在经营活动中没有重大违法记录的声明函；</w:t>
      </w:r>
    </w:p>
    <w:p>
      <w:pPr>
        <w:autoSpaceDE w:val="0"/>
        <w:autoSpaceDN w:val="0"/>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7.法定代表人身份证明及本人身份证扫描件（或授权委托书及委托代理人身份证扫描件），投标人为其缴纳的开标截止前近三个月社保证明扫描件；</w:t>
      </w:r>
    </w:p>
    <w:p>
      <w:pPr>
        <w:autoSpaceDE w:val="0"/>
        <w:autoSpaceDN w:val="0"/>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8.不存在单位负责人为同一人或者存在直接控股、管理关系的不同供应商参加同一合同项下的政府采购活动情形的证明材料；</w:t>
      </w:r>
    </w:p>
    <w:p>
      <w:pPr>
        <w:autoSpaceDE w:val="0"/>
        <w:autoSpaceDN w:val="0"/>
        <w:spacing w:line="44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9.投标人自认为需要提供的其他资料。</w:t>
      </w:r>
    </w:p>
    <w:p>
      <w:pPr>
        <w:autoSpaceDE w:val="0"/>
        <w:autoSpaceDN w:val="0"/>
        <w:adjustRightInd w:val="0"/>
        <w:spacing w:line="400" w:lineRule="exact"/>
        <w:jc w:val="center"/>
        <w:rPr>
          <w:rFonts w:ascii="宋体" w:hAnsi="宋体" w:eastAsia="宋体" w:cs="宋体"/>
          <w:bCs/>
          <w:color w:val="000000"/>
          <w:sz w:val="30"/>
          <w:szCs w:val="30"/>
        </w:rPr>
      </w:pPr>
    </w:p>
    <w:p>
      <w:pPr>
        <w:autoSpaceDE w:val="0"/>
        <w:autoSpaceDN w:val="0"/>
        <w:adjustRightInd w:val="0"/>
        <w:spacing w:line="400" w:lineRule="exact"/>
        <w:jc w:val="center"/>
        <w:rPr>
          <w:rFonts w:ascii="宋体" w:hAnsi="宋体" w:eastAsia="宋体" w:cs="宋体"/>
          <w:bCs/>
          <w:color w:val="000000"/>
          <w:sz w:val="30"/>
          <w:szCs w:val="30"/>
        </w:rPr>
      </w:pPr>
    </w:p>
    <w:p>
      <w:pPr>
        <w:autoSpaceDE w:val="0"/>
        <w:autoSpaceDN w:val="0"/>
        <w:adjustRightInd w:val="0"/>
        <w:spacing w:line="400" w:lineRule="exact"/>
        <w:jc w:val="center"/>
        <w:rPr>
          <w:rFonts w:ascii="宋体" w:hAnsi="宋体" w:eastAsia="宋体" w:cs="宋体"/>
          <w:bCs/>
          <w:color w:val="000000"/>
          <w:sz w:val="30"/>
          <w:szCs w:val="30"/>
        </w:rPr>
      </w:pPr>
    </w:p>
    <w:p>
      <w:pPr>
        <w:autoSpaceDE w:val="0"/>
        <w:autoSpaceDN w:val="0"/>
        <w:adjustRightInd w:val="0"/>
        <w:spacing w:line="400" w:lineRule="exact"/>
        <w:jc w:val="center"/>
        <w:rPr>
          <w:rFonts w:ascii="宋体" w:hAnsi="宋体" w:eastAsia="宋体" w:cs="宋体"/>
          <w:bCs/>
          <w:color w:val="000000"/>
          <w:sz w:val="30"/>
          <w:szCs w:val="30"/>
        </w:rPr>
      </w:pPr>
    </w:p>
    <w:p>
      <w:pPr>
        <w:autoSpaceDE w:val="0"/>
        <w:autoSpaceDN w:val="0"/>
        <w:adjustRightInd w:val="0"/>
        <w:spacing w:line="400" w:lineRule="exact"/>
        <w:jc w:val="center"/>
        <w:rPr>
          <w:rFonts w:ascii="宋体" w:hAnsi="宋体" w:eastAsia="宋体" w:cs="宋体"/>
          <w:bCs/>
          <w:color w:val="000000"/>
          <w:sz w:val="30"/>
          <w:szCs w:val="30"/>
        </w:rPr>
      </w:pPr>
    </w:p>
    <w:p>
      <w:pPr>
        <w:autoSpaceDE w:val="0"/>
        <w:autoSpaceDN w:val="0"/>
        <w:adjustRightInd w:val="0"/>
        <w:spacing w:line="400" w:lineRule="exact"/>
        <w:rPr>
          <w:rFonts w:ascii="宋体" w:hAnsi="宋体" w:eastAsia="宋体" w:cs="宋体"/>
          <w:bCs/>
          <w:color w:val="000000"/>
          <w:sz w:val="21"/>
          <w:szCs w:val="21"/>
        </w:rPr>
      </w:pPr>
      <w:r>
        <w:rPr>
          <w:rFonts w:hint="eastAsia" w:ascii="宋体" w:hAnsi="宋体" w:eastAsia="宋体" w:cs="宋体"/>
          <w:bCs/>
          <w:color w:val="000000"/>
          <w:sz w:val="21"/>
          <w:szCs w:val="21"/>
        </w:rPr>
        <w:t>注：目录内容可按投标文件组成进行调整。</w:t>
      </w:r>
    </w:p>
    <w:p>
      <w:pPr>
        <w:pStyle w:val="2"/>
        <w:rPr>
          <w:rFonts w:ascii="宋体" w:hAnsi="宋体" w:cs="宋体"/>
          <w:color w:val="000000"/>
        </w:rPr>
      </w:pPr>
    </w:p>
    <w:p>
      <w:pPr>
        <w:pStyle w:val="3"/>
        <w:rPr>
          <w:rFonts w:ascii="宋体" w:hAnsi="宋体" w:eastAsia="宋体" w:cs="宋体"/>
          <w:color w:val="000000"/>
        </w:rPr>
      </w:pPr>
    </w:p>
    <w:p>
      <w:pPr>
        <w:pStyle w:val="74"/>
        <w:rPr>
          <w:rFonts w:ascii="宋体" w:hAnsi="宋体" w:cs="宋体"/>
        </w:rPr>
      </w:pPr>
    </w:p>
    <w:p>
      <w:pPr>
        <w:spacing w:line="340" w:lineRule="exact"/>
        <w:jc w:val="center"/>
        <w:rPr>
          <w:rFonts w:ascii="宋体" w:hAnsi="宋体" w:eastAsia="宋体" w:cs="宋体"/>
          <w:b/>
          <w:color w:val="000000"/>
          <w:sz w:val="30"/>
          <w:szCs w:val="30"/>
        </w:rPr>
      </w:pPr>
    </w:p>
    <w:p>
      <w:pPr>
        <w:spacing w:line="340" w:lineRule="exact"/>
        <w:jc w:val="center"/>
        <w:rPr>
          <w:rFonts w:ascii="宋体" w:hAnsi="宋体" w:eastAsia="宋体" w:cs="宋体"/>
          <w:b/>
          <w:color w:val="000000"/>
          <w:sz w:val="30"/>
          <w:szCs w:val="30"/>
        </w:rPr>
      </w:pPr>
    </w:p>
    <w:p>
      <w:pPr>
        <w:spacing w:line="340" w:lineRule="exact"/>
        <w:jc w:val="center"/>
        <w:rPr>
          <w:rFonts w:ascii="宋体" w:hAnsi="宋体" w:eastAsia="宋体" w:cs="宋体"/>
          <w:b/>
          <w:color w:val="000000"/>
          <w:sz w:val="30"/>
          <w:szCs w:val="30"/>
        </w:rPr>
      </w:pPr>
    </w:p>
    <w:p>
      <w:pPr>
        <w:spacing w:line="340" w:lineRule="exact"/>
        <w:jc w:val="center"/>
        <w:rPr>
          <w:rFonts w:ascii="宋体" w:hAnsi="宋体" w:eastAsia="宋体" w:cs="宋体"/>
          <w:b/>
          <w:color w:val="000000"/>
          <w:sz w:val="30"/>
          <w:szCs w:val="30"/>
        </w:rPr>
      </w:pPr>
    </w:p>
    <w:p>
      <w:pPr>
        <w:spacing w:line="340" w:lineRule="exact"/>
        <w:jc w:val="center"/>
        <w:rPr>
          <w:rFonts w:ascii="宋体" w:hAnsi="宋体" w:eastAsia="宋体" w:cs="宋体"/>
          <w:b/>
          <w:color w:val="000000"/>
          <w:sz w:val="30"/>
          <w:szCs w:val="30"/>
        </w:rPr>
      </w:pPr>
    </w:p>
    <w:p>
      <w:pPr>
        <w:spacing w:line="340" w:lineRule="exact"/>
        <w:jc w:val="center"/>
        <w:rPr>
          <w:rFonts w:ascii="宋体" w:hAnsi="宋体" w:eastAsia="宋体" w:cs="宋体"/>
          <w:b/>
          <w:color w:val="000000"/>
          <w:sz w:val="30"/>
          <w:szCs w:val="30"/>
        </w:rPr>
      </w:pPr>
    </w:p>
    <w:p>
      <w:pPr>
        <w:spacing w:line="340" w:lineRule="exact"/>
        <w:jc w:val="center"/>
        <w:rPr>
          <w:rFonts w:ascii="宋体" w:hAnsi="宋体" w:eastAsia="宋体" w:cs="宋体"/>
          <w:b/>
          <w:color w:val="000000"/>
          <w:sz w:val="30"/>
          <w:szCs w:val="30"/>
        </w:rPr>
      </w:pPr>
    </w:p>
    <w:p>
      <w:pPr>
        <w:spacing w:line="340" w:lineRule="exact"/>
        <w:jc w:val="center"/>
        <w:rPr>
          <w:rFonts w:ascii="宋体" w:hAnsi="宋体" w:eastAsia="宋体" w:cs="宋体"/>
          <w:b/>
          <w:color w:val="000000"/>
          <w:sz w:val="30"/>
          <w:szCs w:val="30"/>
        </w:rPr>
      </w:pPr>
      <w:r>
        <w:rPr>
          <w:rFonts w:hint="eastAsia" w:ascii="宋体" w:hAnsi="宋体" w:eastAsia="宋体" w:cs="宋体"/>
          <w:b/>
          <w:color w:val="000000"/>
          <w:sz w:val="30"/>
          <w:szCs w:val="30"/>
        </w:rPr>
        <w:t>投标人资格声明</w:t>
      </w:r>
    </w:p>
    <w:p>
      <w:pPr>
        <w:spacing w:line="340" w:lineRule="exact"/>
        <w:jc w:val="center"/>
        <w:rPr>
          <w:rFonts w:ascii="宋体" w:hAnsi="宋体" w:eastAsia="宋体" w:cs="宋体"/>
          <w:b/>
          <w:color w:val="000000"/>
          <w:sz w:val="30"/>
          <w:szCs w:val="30"/>
        </w:rPr>
      </w:pP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1.基本情况</w:t>
      </w:r>
    </w:p>
    <w:p>
      <w:pPr>
        <w:pStyle w:val="212"/>
        <w:spacing w:line="340" w:lineRule="exact"/>
        <w:rPr>
          <w:rFonts w:ascii="宋体" w:hAnsi="宋体" w:cs="宋体"/>
          <w:color w:val="000000"/>
          <w:sz w:val="24"/>
          <w:szCs w:val="24"/>
        </w:rPr>
      </w:pPr>
      <w:r>
        <w:rPr>
          <w:rFonts w:hint="eastAsia" w:ascii="宋体" w:hAnsi="宋体" w:cs="宋体"/>
          <w:color w:val="000000"/>
          <w:sz w:val="24"/>
          <w:szCs w:val="24"/>
        </w:rPr>
        <w:t>投标人名称：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pStyle w:val="212"/>
        <w:spacing w:line="340" w:lineRule="exact"/>
        <w:rPr>
          <w:rFonts w:ascii="宋体" w:hAnsi="宋体" w:cs="宋体"/>
          <w:color w:val="000000"/>
          <w:sz w:val="24"/>
          <w:szCs w:val="24"/>
          <w:u w:val="single"/>
        </w:rPr>
      </w:pPr>
      <w:r>
        <w:rPr>
          <w:rFonts w:hint="eastAsia" w:ascii="宋体" w:hAnsi="宋体" w:cs="宋体"/>
          <w:color w:val="000000"/>
          <w:sz w:val="24"/>
          <w:szCs w:val="24"/>
        </w:rPr>
        <w:t>地   址：</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电  话：</w:t>
      </w:r>
      <w:r>
        <w:rPr>
          <w:rFonts w:hint="eastAsia" w:ascii="宋体" w:hAnsi="宋体" w:cs="宋体"/>
          <w:color w:val="000000"/>
          <w:sz w:val="24"/>
          <w:szCs w:val="24"/>
          <w:u w:val="single"/>
        </w:rPr>
        <w:t xml:space="preserve">             </w:t>
      </w:r>
    </w:p>
    <w:p>
      <w:pPr>
        <w:pStyle w:val="212"/>
        <w:spacing w:line="340" w:lineRule="exact"/>
        <w:rPr>
          <w:rFonts w:ascii="宋体" w:hAnsi="宋体" w:cs="宋体"/>
          <w:color w:val="000000"/>
          <w:sz w:val="24"/>
          <w:szCs w:val="24"/>
          <w:u w:val="single"/>
        </w:rPr>
      </w:pPr>
      <w:r>
        <w:rPr>
          <w:rFonts w:hint="eastAsia" w:ascii="宋体" w:hAnsi="宋体" w:cs="宋体"/>
          <w:color w:val="000000"/>
          <w:sz w:val="24"/>
          <w:szCs w:val="24"/>
        </w:rPr>
        <w:t xml:space="preserve">成立和注册日期: </w:t>
      </w:r>
      <w:r>
        <w:rPr>
          <w:rFonts w:hint="eastAsia" w:ascii="宋体" w:hAnsi="宋体" w:cs="宋体"/>
          <w:color w:val="000000"/>
          <w:sz w:val="24"/>
          <w:szCs w:val="24"/>
          <w:u w:val="single"/>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主管部门：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公司性质：</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主要负责人：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职工人数：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(其中:技术人员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最近公司(企业)的主要财务情况（到2022年12月31日止）</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注册资金：</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固定资产：</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原值：</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净值：</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流动资产：</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长期负债：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短期负债：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营业收入/主营业务收入：</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利润：</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2.最近二年的年度总营业额：</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年   份            总  额</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2021年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2022年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3.最近二年与其他客户签订的较大项目合同：</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地    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时    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金额(人民币元)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金额(人民币元)</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ind w:left="493" w:hanging="492" w:hangingChars="200"/>
        <w:jc w:val="left"/>
        <w:rPr>
          <w:rFonts w:ascii="宋体" w:hAnsi="宋体" w:eastAsia="宋体" w:cs="宋体"/>
          <w:color w:val="000000"/>
          <w:sz w:val="24"/>
          <w:szCs w:val="24"/>
        </w:rPr>
      </w:pPr>
      <w:r>
        <w:rPr>
          <w:rFonts w:hint="eastAsia" w:ascii="宋体" w:hAnsi="宋体" w:eastAsia="宋体" w:cs="宋体"/>
          <w:color w:val="000000"/>
          <w:sz w:val="24"/>
          <w:szCs w:val="24"/>
        </w:rPr>
        <w:t>4.投标人最近二年法律纠纷情况</w:t>
      </w:r>
    </w:p>
    <w:p>
      <w:pPr>
        <w:spacing w:line="340" w:lineRule="exact"/>
        <w:ind w:left="493" w:hanging="492" w:hangingChars="200"/>
        <w:jc w:val="left"/>
        <w:rPr>
          <w:rFonts w:ascii="宋体" w:hAnsi="宋体" w:eastAsia="宋体" w:cs="宋体"/>
          <w:color w:val="000000"/>
          <w:sz w:val="24"/>
          <w:szCs w:val="24"/>
        </w:rPr>
      </w:pPr>
      <w:r>
        <w:rPr>
          <w:rFonts w:hint="eastAsia" w:ascii="宋体" w:hAnsi="宋体" w:eastAsia="宋体" w:cs="宋体"/>
          <w:color w:val="000000"/>
          <w:sz w:val="24"/>
          <w:szCs w:val="24"/>
        </w:rPr>
        <w:t>时间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案由</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ind w:left="493" w:hanging="492" w:hangingChars="200"/>
        <w:jc w:val="left"/>
        <w:rPr>
          <w:rFonts w:ascii="宋体" w:hAnsi="宋体" w:eastAsia="宋体" w:cs="宋体"/>
          <w:color w:val="000000"/>
          <w:sz w:val="24"/>
          <w:szCs w:val="24"/>
        </w:rPr>
      </w:pPr>
      <w:r>
        <w:rPr>
          <w:rFonts w:hint="eastAsia" w:ascii="宋体" w:hAnsi="宋体" w:eastAsia="宋体" w:cs="宋体"/>
          <w:color w:val="000000"/>
          <w:sz w:val="24"/>
          <w:szCs w:val="24"/>
        </w:rPr>
        <w:t>涉及金额</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目前办理情况</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5.有关银行的名称和地址：</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6.其他情况：</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40" w:lineRule="exact"/>
        <w:ind w:firstLine="369" w:firstLineChars="150"/>
        <w:jc w:val="left"/>
        <w:rPr>
          <w:rFonts w:ascii="宋体" w:hAnsi="宋体" w:eastAsia="宋体" w:cs="宋体"/>
          <w:color w:val="000000"/>
          <w:sz w:val="24"/>
          <w:szCs w:val="24"/>
        </w:rPr>
      </w:pPr>
      <w:r>
        <w:rPr>
          <w:rFonts w:hint="eastAsia" w:ascii="宋体" w:hAnsi="宋体" w:eastAsia="宋体" w:cs="宋体"/>
          <w:color w:val="000000"/>
          <w:sz w:val="24"/>
          <w:szCs w:val="24"/>
        </w:rPr>
        <w:t>就我们所知，兹证明上述声明是真实的、正确的，并提供了全部能提供资料和数据，我们同意遵照贵方要求出示此证明文件。</w:t>
      </w:r>
    </w:p>
    <w:p>
      <w:pPr>
        <w:spacing w:line="340" w:lineRule="exact"/>
        <w:jc w:val="left"/>
        <w:rPr>
          <w:rFonts w:ascii="宋体" w:hAnsi="宋体" w:eastAsia="宋体" w:cs="宋体"/>
          <w:color w:val="000000"/>
          <w:sz w:val="24"/>
          <w:szCs w:val="24"/>
        </w:rPr>
      </w:pP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投标人全称（盖章）：</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法定代表人（盖章或签字）：</w:t>
      </w:r>
    </w:p>
    <w:p>
      <w:pPr>
        <w:spacing w:line="340" w:lineRule="exact"/>
        <w:jc w:val="left"/>
        <w:rPr>
          <w:rFonts w:ascii="宋体" w:hAnsi="宋体" w:eastAsia="宋体" w:cs="宋体"/>
          <w:color w:val="000000"/>
          <w:sz w:val="24"/>
          <w:szCs w:val="24"/>
        </w:rPr>
      </w:pPr>
      <w:r>
        <w:rPr>
          <w:rFonts w:hint="eastAsia" w:ascii="宋体" w:hAnsi="宋体" w:eastAsia="宋体" w:cs="宋体"/>
          <w:color w:val="000000"/>
          <w:sz w:val="24"/>
          <w:szCs w:val="24"/>
        </w:rPr>
        <w:t xml:space="preserve">日    期：    </w:t>
      </w:r>
    </w:p>
    <w:p>
      <w:pPr>
        <w:autoSpaceDE w:val="0"/>
        <w:autoSpaceDN w:val="0"/>
        <w:adjustRightInd w:val="0"/>
        <w:spacing w:line="700" w:lineRule="exact"/>
        <w:jc w:val="center"/>
        <w:rPr>
          <w:rFonts w:ascii="宋体" w:hAnsi="宋体" w:eastAsia="宋体" w:cs="宋体"/>
          <w:b/>
          <w:bCs/>
          <w:color w:val="000000"/>
          <w:sz w:val="32"/>
          <w:szCs w:val="32"/>
          <w:lang w:val="zh-CN"/>
        </w:rPr>
      </w:pPr>
      <w:r>
        <w:rPr>
          <w:rFonts w:hint="eastAsia" w:ascii="宋体" w:hAnsi="宋体" w:eastAsia="宋体" w:cs="宋体"/>
          <w:b/>
          <w:bCs/>
          <w:color w:val="000000"/>
          <w:sz w:val="32"/>
          <w:szCs w:val="32"/>
          <w:lang w:val="zh-CN"/>
        </w:rPr>
        <w:t>参加政府采购活动前3年内在经营活动中</w:t>
      </w:r>
    </w:p>
    <w:p>
      <w:pPr>
        <w:autoSpaceDE w:val="0"/>
        <w:autoSpaceDN w:val="0"/>
        <w:adjustRightInd w:val="0"/>
        <w:spacing w:line="700" w:lineRule="exact"/>
        <w:jc w:val="center"/>
        <w:rPr>
          <w:rFonts w:ascii="宋体" w:hAnsi="宋体" w:eastAsia="宋体" w:cs="宋体"/>
          <w:b/>
          <w:bCs/>
          <w:color w:val="000000"/>
          <w:sz w:val="32"/>
          <w:szCs w:val="32"/>
        </w:rPr>
      </w:pPr>
      <w:r>
        <w:rPr>
          <w:rFonts w:hint="eastAsia" w:ascii="宋体" w:hAnsi="宋体" w:eastAsia="宋体" w:cs="宋体"/>
          <w:b/>
          <w:bCs/>
          <w:color w:val="000000"/>
          <w:sz w:val="32"/>
          <w:szCs w:val="32"/>
          <w:lang w:val="zh-CN"/>
        </w:rPr>
        <w:t>没有重大违法记录声明</w:t>
      </w:r>
      <w:r>
        <w:rPr>
          <w:rFonts w:hint="eastAsia" w:ascii="宋体" w:hAnsi="宋体" w:eastAsia="宋体" w:cs="宋体"/>
          <w:b/>
          <w:bCs/>
          <w:color w:val="000000"/>
          <w:sz w:val="32"/>
          <w:szCs w:val="32"/>
        </w:rPr>
        <w:t>函</w:t>
      </w:r>
    </w:p>
    <w:p>
      <w:pPr>
        <w:spacing w:line="700" w:lineRule="exact"/>
        <w:rPr>
          <w:rFonts w:hint="eastAsia" w:ascii="宋体" w:hAnsi="宋体" w:eastAsia="宋体" w:cs="宋体"/>
          <w:color w:val="000000"/>
          <w:sz w:val="24"/>
          <w:szCs w:val="24"/>
        </w:rPr>
      </w:pPr>
    </w:p>
    <w:p>
      <w:pPr>
        <w:spacing w:line="700" w:lineRule="exact"/>
        <w:rPr>
          <w:rFonts w:ascii="宋体" w:hAnsi="宋体" w:eastAsia="宋体" w:cs="宋体"/>
          <w:color w:val="000000"/>
          <w:sz w:val="24"/>
          <w:szCs w:val="24"/>
        </w:rPr>
      </w:pPr>
      <w:r>
        <w:rPr>
          <w:rFonts w:hint="eastAsia" w:ascii="宋体" w:hAnsi="宋体" w:eastAsia="宋体" w:cs="宋体"/>
          <w:color w:val="000000"/>
          <w:sz w:val="24"/>
          <w:szCs w:val="24"/>
        </w:rPr>
        <w:t>致：衢州智慧新城管理委员会</w:t>
      </w: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我公司在参加本次“高铁新城再生水厂运营管理服务项目”（项目编号：ZJZH20230911）投标前的三年内，在公司经营活动中没有发生过因违法经营受到刑事处罚或者责令停产停业、吊销许可证或者执照、较大数额罚款等行政处罚。</w:t>
      </w: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我公司目前没有处于被责令停业、或财产被接管或冻结、或被暂停参加政府采购投标活动的处罚阶段。</w:t>
      </w: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在本次采购项目的招标投标过程中，如查实我公司提供的资料及上述承诺与事实不符，招标采购单位有权取消我公司的投标及中标资格，且我公司将无条件地承担由此给本次招标带来的一切后果、赔偿相关经济损失。</w:t>
      </w:r>
    </w:p>
    <w:p>
      <w:pPr>
        <w:spacing w:line="500" w:lineRule="exact"/>
        <w:ind w:firstLine="492" w:firstLineChars="200"/>
        <w:rPr>
          <w:rFonts w:ascii="宋体" w:hAnsi="宋体" w:eastAsia="宋体" w:cs="宋体"/>
          <w:color w:val="000000"/>
          <w:sz w:val="24"/>
          <w:szCs w:val="24"/>
        </w:rPr>
      </w:pP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特此承诺。</w:t>
      </w:r>
    </w:p>
    <w:p>
      <w:pPr>
        <w:spacing w:line="500" w:lineRule="exact"/>
        <w:rPr>
          <w:rFonts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500" w:lineRule="exact"/>
        <w:ind w:left="-171" w:firstLine="4182" w:firstLineChars="1700"/>
        <w:rPr>
          <w:rFonts w:ascii="宋体" w:hAnsi="宋体" w:eastAsia="宋体" w:cs="宋体"/>
          <w:color w:val="000000"/>
          <w:sz w:val="24"/>
          <w:szCs w:val="24"/>
        </w:rPr>
      </w:pPr>
      <w:r>
        <w:rPr>
          <w:rFonts w:hint="eastAsia" w:ascii="宋体" w:hAnsi="宋体" w:eastAsia="宋体" w:cs="宋体"/>
          <w:color w:val="000000"/>
          <w:sz w:val="24"/>
          <w:szCs w:val="24"/>
        </w:rPr>
        <w:t>投标人全称：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（公章）</w:t>
      </w:r>
    </w:p>
    <w:p>
      <w:pPr>
        <w:spacing w:line="500" w:lineRule="exact"/>
        <w:ind w:firstLine="5166" w:firstLineChars="2100"/>
        <w:rPr>
          <w:rFonts w:ascii="宋体" w:hAnsi="宋体" w:eastAsia="宋体" w:cs="宋体"/>
          <w:color w:val="000000"/>
          <w:sz w:val="24"/>
          <w:szCs w:val="24"/>
        </w:rPr>
      </w:pPr>
      <w:r>
        <w:rPr>
          <w:rFonts w:hint="eastAsia" w:ascii="宋体" w:hAnsi="宋体" w:eastAsia="宋体" w:cs="宋体"/>
          <w:color w:val="000000"/>
          <w:sz w:val="24"/>
          <w:szCs w:val="24"/>
        </w:rPr>
        <w:t xml:space="preserve">                                </w:t>
      </w:r>
    </w:p>
    <w:p>
      <w:pPr>
        <w:snapToGrid w:val="0"/>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 xml:space="preserve">                                 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（盖章或签字）</w:t>
      </w:r>
    </w:p>
    <w:p>
      <w:pPr>
        <w:spacing w:line="500" w:lineRule="exact"/>
        <w:ind w:left="-489" w:leftChars="-171" w:firstLine="5658" w:firstLineChars="2300"/>
        <w:rPr>
          <w:rFonts w:ascii="宋体" w:hAnsi="宋体" w:eastAsia="宋体" w:cs="宋体"/>
          <w:color w:val="000000"/>
          <w:sz w:val="24"/>
          <w:szCs w:val="24"/>
        </w:rPr>
      </w:pPr>
    </w:p>
    <w:p>
      <w:pPr>
        <w:spacing w:line="500" w:lineRule="exact"/>
        <w:ind w:left="-489" w:leftChars="-171" w:firstLine="369" w:firstLineChars="150"/>
        <w:rPr>
          <w:rFonts w:ascii="宋体" w:hAnsi="宋体" w:eastAsia="宋体" w:cs="宋体"/>
          <w:color w:val="000000"/>
          <w:sz w:val="24"/>
          <w:szCs w:val="24"/>
        </w:rPr>
      </w:pPr>
      <w:r>
        <w:rPr>
          <w:rFonts w:hint="eastAsia" w:ascii="宋体" w:hAnsi="宋体" w:eastAsia="宋体" w:cs="宋体"/>
          <w:color w:val="000000"/>
          <w:sz w:val="24"/>
          <w:szCs w:val="24"/>
        </w:rPr>
        <w:t xml:space="preserve">                                               日期：2023年  月   日</w:t>
      </w: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Cs/>
          <w:color w:val="000000"/>
          <w:sz w:val="30"/>
          <w:szCs w:val="30"/>
          <w:lang w:val="zh-CN"/>
        </w:rPr>
      </w:pPr>
    </w:p>
    <w:p>
      <w:pPr>
        <w:autoSpaceDE w:val="0"/>
        <w:autoSpaceDN w:val="0"/>
        <w:adjustRightInd w:val="0"/>
        <w:spacing w:line="400" w:lineRule="exact"/>
        <w:jc w:val="center"/>
        <w:rPr>
          <w:rFonts w:ascii="宋体" w:hAnsi="宋体" w:eastAsia="宋体" w:cs="宋体"/>
          <w:bCs/>
          <w:color w:val="000000"/>
          <w:sz w:val="30"/>
          <w:szCs w:val="30"/>
          <w:lang w:val="zh-CN"/>
        </w:rPr>
      </w:pPr>
    </w:p>
    <w:p>
      <w:pPr>
        <w:spacing w:line="460" w:lineRule="exact"/>
        <w:jc w:val="center"/>
        <w:rPr>
          <w:rFonts w:ascii="宋体" w:hAnsi="宋体" w:eastAsia="宋体" w:cs="宋体"/>
          <w:b/>
          <w:sz w:val="30"/>
        </w:rPr>
      </w:pPr>
      <w:r>
        <w:rPr>
          <w:rFonts w:hint="eastAsia" w:ascii="宋体" w:hAnsi="宋体" w:eastAsia="宋体" w:cs="宋体"/>
          <w:b/>
          <w:sz w:val="30"/>
        </w:rPr>
        <w:t>具有履行合同所必需的设备和专业技术能力的承诺函</w:t>
      </w:r>
    </w:p>
    <w:p>
      <w:pPr>
        <w:spacing w:line="460" w:lineRule="exact"/>
        <w:jc w:val="center"/>
        <w:rPr>
          <w:rFonts w:ascii="宋体" w:hAnsi="宋体" w:eastAsia="宋体" w:cs="宋体"/>
          <w:b/>
          <w:sz w:val="24"/>
          <w:szCs w:val="24"/>
        </w:rPr>
      </w:pPr>
    </w:p>
    <w:p>
      <w:pPr>
        <w:pStyle w:val="2"/>
        <w:tabs>
          <w:tab w:val="left" w:pos="3659"/>
        </w:tabs>
        <w:jc w:val="left"/>
        <w:rPr>
          <w:rFonts w:ascii="宋体" w:hAnsi="宋体" w:cs="宋体"/>
          <w:sz w:val="24"/>
          <w:szCs w:val="24"/>
        </w:rPr>
      </w:pPr>
      <w:r>
        <w:rPr>
          <w:rFonts w:hint="eastAsia" w:ascii="宋体" w:hAnsi="宋体" w:cs="宋体"/>
          <w:sz w:val="24"/>
          <w:szCs w:val="24"/>
          <w:u w:val="single"/>
        </w:rPr>
        <w:t xml:space="preserve">（采购人名称）     </w:t>
      </w:r>
      <w:r>
        <w:rPr>
          <w:rFonts w:hint="eastAsia" w:ascii="宋体" w:hAnsi="宋体" w:cs="宋体"/>
          <w:sz w:val="24"/>
          <w:szCs w:val="24"/>
        </w:rPr>
        <w:t>：</w:t>
      </w:r>
    </w:p>
    <w:p>
      <w:pPr>
        <w:pStyle w:val="244"/>
        <w:rPr>
          <w:rFonts w:ascii="宋体" w:hAnsi="宋体" w:eastAsia="宋体" w:cs="宋体"/>
          <w:sz w:val="24"/>
          <w:szCs w:val="24"/>
        </w:rPr>
      </w:pPr>
    </w:p>
    <w:p>
      <w:pPr>
        <w:spacing w:line="360" w:lineRule="auto"/>
        <w:ind w:firstLine="484" w:firstLineChars="200"/>
        <w:jc w:val="left"/>
        <w:rPr>
          <w:rFonts w:ascii="宋体" w:hAnsi="宋体" w:eastAsia="宋体" w:cs="宋体"/>
          <w:spacing w:val="-8"/>
          <w:sz w:val="24"/>
          <w:szCs w:val="24"/>
        </w:rPr>
      </w:pPr>
      <w:r>
        <w:rPr>
          <w:rFonts w:hint="eastAsia" w:ascii="宋体" w:hAnsi="宋体" w:eastAsia="宋体" w:cs="宋体"/>
          <w:spacing w:val="-2"/>
          <w:sz w:val="24"/>
          <w:szCs w:val="24"/>
        </w:rPr>
        <w:t>根据贵方</w:t>
      </w:r>
      <w:r>
        <w:rPr>
          <w:rFonts w:hint="eastAsia" w:ascii="宋体" w:hAnsi="宋体" w:eastAsia="宋体" w:cs="宋体"/>
          <w:spacing w:val="-2"/>
          <w:sz w:val="24"/>
          <w:szCs w:val="24"/>
          <w:u w:val="single"/>
        </w:rPr>
        <w:t xml:space="preserve">        </w:t>
      </w:r>
      <w:r>
        <w:rPr>
          <w:rFonts w:hint="eastAsia" w:ascii="宋体" w:hAnsi="宋体" w:eastAsia="宋体" w:cs="宋体"/>
          <w:spacing w:val="-3"/>
          <w:sz w:val="24"/>
          <w:szCs w:val="24"/>
          <w:u w:val="single"/>
        </w:rPr>
        <w:t>项目</w:t>
      </w:r>
      <w:r>
        <w:rPr>
          <w:rFonts w:hint="eastAsia" w:ascii="宋体" w:hAnsi="宋体" w:eastAsia="宋体" w:cs="宋体"/>
          <w:spacing w:val="-6"/>
          <w:sz w:val="24"/>
          <w:szCs w:val="24"/>
          <w:u w:val="single"/>
        </w:rPr>
        <w:t>（</w:t>
      </w:r>
      <w:r>
        <w:rPr>
          <w:rFonts w:hint="eastAsia" w:ascii="宋体" w:hAnsi="宋体" w:eastAsia="宋体" w:cs="宋体"/>
          <w:spacing w:val="-2"/>
          <w:sz w:val="24"/>
          <w:szCs w:val="24"/>
          <w:u w:val="single"/>
        </w:rPr>
        <w:t xml:space="preserve">项目编号：     </w:t>
      </w:r>
      <w:r>
        <w:rPr>
          <w:rFonts w:hint="eastAsia" w:ascii="宋体" w:hAnsi="宋体" w:eastAsia="宋体" w:cs="宋体"/>
          <w:spacing w:val="-3"/>
          <w:sz w:val="24"/>
          <w:szCs w:val="24"/>
          <w:u w:val="single"/>
        </w:rPr>
        <w:t>）</w:t>
      </w:r>
      <w:r>
        <w:rPr>
          <w:rFonts w:hint="eastAsia" w:ascii="宋体" w:hAnsi="宋体" w:eastAsia="宋体" w:cs="宋体"/>
          <w:spacing w:val="-3"/>
          <w:sz w:val="24"/>
          <w:szCs w:val="24"/>
        </w:rPr>
        <w:t>采购文件要求，我公司在完全理解采购文件技术要求、商务条款</w:t>
      </w:r>
      <w:r>
        <w:rPr>
          <w:rFonts w:hint="eastAsia" w:ascii="宋体" w:hAnsi="宋体" w:eastAsia="宋体" w:cs="宋体"/>
          <w:spacing w:val="-6"/>
          <w:sz w:val="24"/>
          <w:szCs w:val="24"/>
        </w:rPr>
        <w:t>及其他内容的基础上，决定参与该项目的投标活动。并承诺，我公司具有履行合同所必需的设备和专业技术能力，符合政府采购法第二十二条第三款规定的资格条件</w:t>
      </w:r>
      <w:r>
        <w:rPr>
          <w:rFonts w:hint="eastAsia" w:ascii="宋体" w:hAnsi="宋体" w:eastAsia="宋体" w:cs="宋体"/>
          <w:spacing w:val="-8"/>
          <w:sz w:val="24"/>
          <w:szCs w:val="24"/>
        </w:rPr>
        <w:t>。</w:t>
      </w:r>
    </w:p>
    <w:p>
      <w:pPr>
        <w:spacing w:line="360" w:lineRule="auto"/>
        <w:ind w:firstLine="460" w:firstLineChars="200"/>
        <w:jc w:val="left"/>
        <w:rPr>
          <w:rFonts w:ascii="宋体" w:hAnsi="宋体" w:eastAsia="宋体" w:cs="宋体"/>
          <w:spacing w:val="-3"/>
          <w:sz w:val="24"/>
          <w:szCs w:val="24"/>
        </w:rPr>
      </w:pPr>
      <w:r>
        <w:rPr>
          <w:rFonts w:hint="eastAsia" w:ascii="宋体" w:hAnsi="宋体" w:eastAsia="宋体" w:cs="宋体"/>
          <w:spacing w:val="-8"/>
          <w:sz w:val="24"/>
          <w:szCs w:val="24"/>
        </w:rPr>
        <w:t>本公司对上述承诺的真实性负责，如有虚假，我公司同意按我方提供虚假材料谋取中标</w:t>
      </w:r>
      <w:r>
        <w:rPr>
          <w:rFonts w:hint="eastAsia" w:ascii="宋体" w:hAnsi="宋体" w:eastAsia="宋体" w:cs="宋体"/>
          <w:sz w:val="24"/>
          <w:szCs w:val="24"/>
        </w:rPr>
        <w:t>（成交）</w:t>
      </w:r>
      <w:r>
        <w:rPr>
          <w:rFonts w:hint="eastAsia" w:ascii="宋体" w:hAnsi="宋体" w:eastAsia="宋体" w:cs="宋体"/>
          <w:spacing w:val="-3"/>
          <w:sz w:val="24"/>
          <w:szCs w:val="24"/>
        </w:rPr>
        <w:t>处理，并依法承担相应法律责任。</w:t>
      </w:r>
    </w:p>
    <w:p>
      <w:pPr>
        <w:spacing w:line="360" w:lineRule="auto"/>
        <w:ind w:firstLine="460" w:firstLineChars="200"/>
        <w:jc w:val="left"/>
        <w:rPr>
          <w:rFonts w:ascii="宋体" w:hAnsi="宋体" w:eastAsia="宋体" w:cs="宋体"/>
          <w:spacing w:val="-8"/>
          <w:sz w:val="24"/>
          <w:szCs w:val="24"/>
        </w:rPr>
      </w:pPr>
      <w:r>
        <w:rPr>
          <w:rFonts w:hint="eastAsia" w:ascii="宋体" w:hAnsi="宋体" w:eastAsia="宋体" w:cs="宋体"/>
          <w:spacing w:val="-8"/>
          <w:sz w:val="24"/>
          <w:szCs w:val="24"/>
        </w:rPr>
        <w:t>特此承诺。</w:t>
      </w:r>
    </w:p>
    <w:p>
      <w:pPr>
        <w:spacing w:line="440" w:lineRule="exact"/>
        <w:ind w:firstLine="4860"/>
        <w:jc w:val="left"/>
        <w:rPr>
          <w:rFonts w:ascii="宋体" w:hAnsi="宋体" w:eastAsia="宋体" w:cs="宋体"/>
          <w:b/>
          <w:bCs/>
          <w:sz w:val="24"/>
          <w:szCs w:val="24"/>
        </w:rPr>
      </w:pPr>
    </w:p>
    <w:p>
      <w:pPr>
        <w:spacing w:line="440" w:lineRule="exact"/>
        <w:ind w:firstLine="4860"/>
        <w:jc w:val="left"/>
        <w:rPr>
          <w:rFonts w:ascii="宋体" w:hAnsi="宋体" w:eastAsia="宋体" w:cs="宋体"/>
          <w:b/>
          <w:bCs/>
          <w:sz w:val="24"/>
          <w:szCs w:val="24"/>
        </w:rPr>
      </w:pPr>
    </w:p>
    <w:p>
      <w:pPr>
        <w:spacing w:line="440" w:lineRule="exact"/>
        <w:ind w:firstLine="4860"/>
        <w:jc w:val="left"/>
        <w:rPr>
          <w:rFonts w:ascii="宋体" w:hAnsi="宋体" w:eastAsia="宋体" w:cs="宋体"/>
          <w:b/>
          <w:bCs/>
          <w:sz w:val="24"/>
          <w:szCs w:val="24"/>
        </w:rPr>
      </w:pPr>
    </w:p>
    <w:p>
      <w:pPr>
        <w:spacing w:line="440" w:lineRule="exact"/>
        <w:ind w:firstLine="4860"/>
        <w:jc w:val="left"/>
        <w:rPr>
          <w:rFonts w:ascii="宋体" w:hAnsi="宋体" w:eastAsia="宋体" w:cs="宋体"/>
          <w:b/>
          <w:bCs/>
          <w:sz w:val="24"/>
          <w:szCs w:val="24"/>
        </w:rPr>
      </w:pPr>
    </w:p>
    <w:p>
      <w:pPr>
        <w:spacing w:line="440" w:lineRule="exact"/>
        <w:ind w:firstLine="4860"/>
        <w:jc w:val="left"/>
        <w:rPr>
          <w:rFonts w:ascii="宋体" w:hAnsi="宋体" w:eastAsia="宋体" w:cs="宋体"/>
          <w:b/>
          <w:bCs/>
          <w:sz w:val="24"/>
          <w:szCs w:val="24"/>
          <w:u w:val="single"/>
        </w:rPr>
      </w:pPr>
      <w:r>
        <w:rPr>
          <w:rFonts w:hint="eastAsia" w:ascii="宋体" w:hAnsi="宋体" w:eastAsia="宋体" w:cs="宋体"/>
          <w:b/>
          <w:bCs/>
          <w:sz w:val="24"/>
          <w:szCs w:val="24"/>
        </w:rPr>
        <w:t>投标人（盖章）：</w:t>
      </w:r>
      <w:r>
        <w:rPr>
          <w:rFonts w:hint="eastAsia" w:ascii="宋体" w:hAnsi="宋体" w:eastAsia="宋体" w:cs="宋体"/>
          <w:b/>
          <w:bCs/>
          <w:sz w:val="24"/>
          <w:szCs w:val="24"/>
          <w:u w:val="single"/>
        </w:rPr>
        <w:t xml:space="preserve">                          </w:t>
      </w:r>
    </w:p>
    <w:p>
      <w:pPr>
        <w:spacing w:line="440" w:lineRule="exact"/>
        <w:ind w:firstLine="4860"/>
        <w:jc w:val="left"/>
        <w:rPr>
          <w:rFonts w:ascii="宋体" w:hAnsi="宋体" w:eastAsia="宋体" w:cs="宋体"/>
          <w:b/>
          <w:bCs/>
          <w:sz w:val="24"/>
          <w:szCs w:val="24"/>
        </w:rPr>
      </w:pPr>
      <w:r>
        <w:rPr>
          <w:rFonts w:hint="eastAsia" w:ascii="宋体" w:hAnsi="宋体" w:eastAsia="宋体" w:cs="宋体"/>
          <w:b/>
          <w:bCs/>
          <w:sz w:val="24"/>
          <w:szCs w:val="24"/>
        </w:rPr>
        <w:t xml:space="preserve">     </w:t>
      </w:r>
    </w:p>
    <w:p>
      <w:pPr>
        <w:spacing w:line="440" w:lineRule="exact"/>
        <w:ind w:firstLine="4860"/>
        <w:jc w:val="left"/>
        <w:rPr>
          <w:rFonts w:ascii="宋体" w:hAnsi="宋体" w:eastAsia="宋体" w:cs="宋体"/>
          <w:b/>
          <w:bCs/>
          <w:sz w:val="24"/>
          <w:szCs w:val="24"/>
          <w:u w:val="single"/>
        </w:rPr>
      </w:pPr>
      <w:r>
        <w:rPr>
          <w:rFonts w:hint="eastAsia" w:ascii="宋体" w:hAnsi="宋体" w:eastAsia="宋体" w:cs="宋体"/>
          <w:b/>
          <w:bCs/>
          <w:sz w:val="24"/>
          <w:szCs w:val="24"/>
        </w:rPr>
        <w:t>法定代表人（签字或盖章）：</w:t>
      </w:r>
      <w:r>
        <w:rPr>
          <w:rFonts w:hint="eastAsia" w:ascii="宋体" w:hAnsi="宋体" w:eastAsia="宋体" w:cs="宋体"/>
          <w:b/>
          <w:bCs/>
          <w:sz w:val="24"/>
          <w:szCs w:val="24"/>
          <w:u w:val="single"/>
        </w:rPr>
        <w:t xml:space="preserve">                      </w:t>
      </w:r>
    </w:p>
    <w:p>
      <w:pPr>
        <w:adjustRightInd w:val="0"/>
        <w:snapToGrid w:val="0"/>
        <w:spacing w:line="360" w:lineRule="auto"/>
        <w:ind w:firstLine="4920" w:firstLineChars="2000"/>
        <w:rPr>
          <w:rFonts w:hint="eastAsia" w:ascii="宋体" w:hAnsi="宋体" w:eastAsia="宋体" w:cs="宋体"/>
          <w:b/>
          <w:bCs/>
          <w:sz w:val="24"/>
          <w:szCs w:val="24"/>
        </w:rPr>
      </w:pPr>
    </w:p>
    <w:p>
      <w:pPr>
        <w:adjustRightInd w:val="0"/>
        <w:snapToGrid w:val="0"/>
        <w:spacing w:line="360" w:lineRule="auto"/>
        <w:ind w:firstLine="4920" w:firstLineChars="2000"/>
        <w:rPr>
          <w:rFonts w:ascii="宋体" w:hAnsi="宋体" w:eastAsia="宋体" w:cs="宋体"/>
          <w:b/>
          <w:sz w:val="24"/>
          <w:szCs w:val="24"/>
        </w:rPr>
      </w:pPr>
      <w:r>
        <w:rPr>
          <w:rFonts w:hint="eastAsia" w:ascii="宋体" w:hAnsi="宋体" w:eastAsia="宋体" w:cs="宋体"/>
          <w:b/>
          <w:bCs/>
          <w:sz w:val="24"/>
          <w:szCs w:val="24"/>
        </w:rPr>
        <w:t>日   期：    年     月     日</w:t>
      </w:r>
      <w:r>
        <w:rPr>
          <w:rFonts w:hint="eastAsia" w:ascii="宋体" w:hAnsi="宋体" w:eastAsia="宋体" w:cs="宋体"/>
          <w:sz w:val="24"/>
          <w:szCs w:val="24"/>
        </w:rPr>
        <w:t xml:space="preserve">          </w:t>
      </w:r>
    </w:p>
    <w:p>
      <w:pPr>
        <w:adjustRightInd w:val="0"/>
        <w:snapToGrid w:val="0"/>
        <w:spacing w:line="360" w:lineRule="auto"/>
        <w:ind w:firstLine="2420" w:firstLineChars="984"/>
        <w:rPr>
          <w:rFonts w:ascii="宋体" w:hAnsi="宋体" w:eastAsia="宋体" w:cs="宋体"/>
          <w:b/>
          <w:sz w:val="24"/>
          <w:szCs w:val="24"/>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r>
        <w:rPr>
          <w:rFonts w:hint="eastAsia" w:ascii="宋体" w:hAnsi="宋体" w:eastAsia="宋体" w:cs="宋体"/>
          <w:b/>
          <w:bCs/>
          <w:color w:val="000000"/>
          <w:sz w:val="30"/>
          <w:szCs w:val="30"/>
          <w:lang w:val="zh-CN"/>
        </w:rPr>
        <w:t>法定代表人身份证明</w:t>
      </w:r>
    </w:p>
    <w:p>
      <w:pPr>
        <w:spacing w:line="400" w:lineRule="exact"/>
        <w:ind w:firstLine="434" w:firstLineChars="177"/>
        <w:rPr>
          <w:rFonts w:ascii="宋体" w:hAnsi="宋体" w:eastAsia="宋体" w:cs="宋体"/>
          <w:color w:val="000000"/>
          <w:sz w:val="24"/>
          <w:szCs w:val="24"/>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spacing w:line="400" w:lineRule="exact"/>
        <w:ind w:firstLine="434" w:firstLineChars="177"/>
        <w:rPr>
          <w:rFonts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spacing w:line="400" w:lineRule="exact"/>
        <w:ind w:firstLine="434" w:firstLineChars="177"/>
        <w:rPr>
          <w:rFonts w:ascii="宋体" w:hAnsi="宋体" w:eastAsia="宋体" w:cs="宋体"/>
          <w:color w:val="000000"/>
          <w:sz w:val="24"/>
          <w:szCs w:val="24"/>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u w:val="single"/>
        </w:rPr>
        <w:t xml:space="preserve">                                                        </w:t>
      </w:r>
    </w:p>
    <w:p>
      <w:pPr>
        <w:spacing w:line="400" w:lineRule="exact"/>
        <w:ind w:firstLine="434" w:firstLineChars="177"/>
        <w:rPr>
          <w:rFonts w:ascii="宋体" w:hAnsi="宋体" w:eastAsia="宋体" w:cs="宋体"/>
          <w:color w:val="000000"/>
          <w:sz w:val="24"/>
          <w:szCs w:val="24"/>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spacing w:line="400" w:lineRule="exact"/>
        <w:ind w:firstLine="434" w:firstLineChars="177"/>
        <w:rPr>
          <w:rFonts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u w:val="single"/>
        </w:rPr>
        <w:t xml:space="preserve">                                                        </w:t>
      </w:r>
    </w:p>
    <w:p>
      <w:pPr>
        <w:spacing w:line="400" w:lineRule="exact"/>
        <w:ind w:firstLine="434" w:firstLineChars="177"/>
        <w:rPr>
          <w:rFonts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u w:val="single"/>
        </w:rPr>
        <w:t xml:space="preserve">                </w:t>
      </w:r>
    </w:p>
    <w:p>
      <w:pPr>
        <w:spacing w:line="400" w:lineRule="exact"/>
        <w:ind w:firstLine="434" w:firstLineChars="177"/>
        <w:rPr>
          <w:rFonts w:ascii="宋体" w:hAnsi="宋体" w:eastAsia="宋体" w:cs="宋体"/>
          <w:color w:val="000000"/>
          <w:sz w:val="24"/>
          <w:szCs w:val="24"/>
        </w:rPr>
      </w:pPr>
      <w:r>
        <w:rPr>
          <w:rFonts w:hint="eastAsia" w:ascii="宋体" w:hAnsi="宋体" w:eastAsia="宋体" w:cs="宋体"/>
          <w:color w:val="000000"/>
          <w:sz w:val="24"/>
          <w:szCs w:val="24"/>
        </w:rPr>
        <w:t>职    务：</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（投标人名称）的法定代表人。</w:t>
      </w:r>
    </w:p>
    <w:p>
      <w:pPr>
        <w:spacing w:line="400" w:lineRule="exact"/>
        <w:ind w:firstLine="434" w:firstLineChars="177"/>
        <w:rPr>
          <w:rFonts w:ascii="宋体" w:hAnsi="宋体" w:eastAsia="宋体" w:cs="宋体"/>
          <w:color w:val="000000"/>
          <w:sz w:val="24"/>
          <w:szCs w:val="24"/>
        </w:rPr>
      </w:pPr>
      <w:r>
        <w:rPr>
          <w:rFonts w:hint="eastAsia" w:ascii="宋体" w:hAnsi="宋体" w:eastAsia="宋体" w:cs="宋体"/>
          <w:color w:val="000000"/>
          <w:sz w:val="24"/>
          <w:szCs w:val="24"/>
        </w:rPr>
        <w:t>特此证明。</w:t>
      </w:r>
    </w:p>
    <w:p>
      <w:pPr>
        <w:spacing w:line="400" w:lineRule="exact"/>
        <w:jc w:val="right"/>
        <w:rPr>
          <w:rFonts w:ascii="宋体" w:hAnsi="宋体" w:eastAsia="宋体" w:cs="宋体"/>
          <w:color w:val="000000"/>
          <w:sz w:val="24"/>
          <w:szCs w:val="24"/>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spacing w:line="400" w:lineRule="exact"/>
        <w:jc w:val="right"/>
        <w:rPr>
          <w:rFonts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日 </w:t>
      </w:r>
    </w:p>
    <w:p>
      <w:pPr>
        <w:adjustRightInd w:val="0"/>
        <w:spacing w:line="700" w:lineRule="exact"/>
        <w:ind w:firstLine="4920" w:firstLineChars="2000"/>
        <w:textAlignment w:val="baseline"/>
        <w:rPr>
          <w:rFonts w:ascii="宋体" w:hAnsi="宋体" w:eastAsia="宋体" w:cs="宋体"/>
          <w:color w:val="000000"/>
          <w:sz w:val="24"/>
          <w:szCs w:val="24"/>
        </w:rPr>
      </w:pPr>
      <w:r>
        <w:rPr>
          <w:rFonts w:hint="eastAsia" w:ascii="宋体" w:hAnsi="宋体" w:eastAsia="宋体" w:cs="宋体"/>
          <w:color w:val="000000"/>
          <w:sz w:val="24"/>
          <w:szCs w:val="24"/>
        </w:rPr>
        <w:t xml:space="preserve"> </w:t>
      </w: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p>
    <w:p>
      <w:pPr>
        <w:autoSpaceDE w:val="0"/>
        <w:autoSpaceDN w:val="0"/>
        <w:adjustRightInd w:val="0"/>
        <w:spacing w:line="400" w:lineRule="exact"/>
        <w:jc w:val="center"/>
        <w:rPr>
          <w:rFonts w:ascii="宋体" w:hAnsi="宋体" w:eastAsia="宋体" w:cs="宋体"/>
          <w:b/>
          <w:bCs/>
          <w:color w:val="000000"/>
          <w:sz w:val="30"/>
          <w:szCs w:val="30"/>
          <w:lang w:val="zh-CN"/>
        </w:rPr>
      </w:pPr>
      <w:r>
        <w:rPr>
          <w:rFonts w:hint="eastAsia" w:ascii="宋体" w:hAnsi="宋体" w:eastAsia="宋体" w:cs="宋体"/>
          <w:b/>
          <w:bCs/>
          <w:color w:val="000000"/>
          <w:sz w:val="30"/>
          <w:szCs w:val="30"/>
          <w:lang w:val="zh-CN"/>
        </w:rPr>
        <w:t>法定代表人授权委托书</w:t>
      </w:r>
    </w:p>
    <w:p>
      <w:pPr>
        <w:autoSpaceDE w:val="0"/>
        <w:autoSpaceDN w:val="0"/>
        <w:adjustRightInd w:val="0"/>
        <w:spacing w:line="40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致： </w:t>
      </w:r>
    </w:p>
    <w:p>
      <w:pPr>
        <w:autoSpaceDE w:val="0"/>
        <w:autoSpaceDN w:val="0"/>
        <w:adjustRightInd w:val="0"/>
        <w:spacing w:line="40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本授权委托书声明：我</w:t>
      </w:r>
      <w:r>
        <w:rPr>
          <w:rFonts w:hint="eastAsia" w:ascii="宋体" w:hAnsi="宋体" w:eastAsia="宋体" w:cs="宋体"/>
          <w:color w:val="000000"/>
          <w:sz w:val="24"/>
          <w:szCs w:val="24"/>
          <w:u w:val="single"/>
          <w:lang w:val="zh-CN"/>
        </w:rPr>
        <w:t>（法定代表人姓名）</w:t>
      </w:r>
      <w:r>
        <w:rPr>
          <w:rFonts w:hint="eastAsia" w:ascii="宋体" w:hAnsi="宋体" w:eastAsia="宋体" w:cs="宋体"/>
          <w:color w:val="000000"/>
          <w:sz w:val="24"/>
          <w:szCs w:val="24"/>
          <w:lang w:val="zh-CN"/>
        </w:rPr>
        <w:t>系</w:t>
      </w:r>
      <w:r>
        <w:rPr>
          <w:rFonts w:hint="eastAsia" w:ascii="宋体" w:hAnsi="宋体" w:eastAsia="宋体" w:cs="宋体"/>
          <w:color w:val="000000"/>
          <w:sz w:val="24"/>
          <w:szCs w:val="24"/>
          <w:u w:val="single"/>
          <w:lang w:val="zh-CN"/>
        </w:rPr>
        <w:t>（投标人名称）</w:t>
      </w:r>
      <w:r>
        <w:rPr>
          <w:rFonts w:hint="eastAsia" w:ascii="宋体" w:hAnsi="宋体" w:eastAsia="宋体" w:cs="宋体"/>
          <w:color w:val="000000"/>
          <w:sz w:val="24"/>
          <w:szCs w:val="24"/>
          <w:lang w:val="zh-CN"/>
        </w:rPr>
        <w:t>的法定代表人，现授权委托</w:t>
      </w:r>
      <w:r>
        <w:rPr>
          <w:rFonts w:hint="eastAsia" w:ascii="宋体" w:hAnsi="宋体" w:eastAsia="宋体" w:cs="宋体"/>
          <w:color w:val="000000"/>
          <w:sz w:val="24"/>
          <w:szCs w:val="24"/>
          <w:u w:val="single"/>
          <w:lang w:val="zh-CN"/>
        </w:rPr>
        <w:t>（单位名称）</w:t>
      </w:r>
      <w:r>
        <w:rPr>
          <w:rFonts w:hint="eastAsia" w:ascii="宋体" w:hAnsi="宋体" w:eastAsia="宋体" w:cs="宋体"/>
          <w:color w:val="000000"/>
          <w:sz w:val="24"/>
          <w:szCs w:val="24"/>
          <w:lang w:val="zh-CN"/>
        </w:rPr>
        <w:t>的</w:t>
      </w:r>
      <w:r>
        <w:rPr>
          <w:rFonts w:hint="eastAsia" w:ascii="宋体" w:hAnsi="宋体" w:eastAsia="宋体" w:cs="宋体"/>
          <w:color w:val="000000"/>
          <w:sz w:val="24"/>
          <w:szCs w:val="24"/>
          <w:u w:val="single"/>
          <w:lang w:val="zh-CN"/>
        </w:rPr>
        <w:t>（授权代表姓名）</w:t>
      </w:r>
      <w:r>
        <w:rPr>
          <w:rFonts w:hint="eastAsia" w:ascii="宋体" w:hAnsi="宋体" w:eastAsia="宋体" w:cs="宋体"/>
          <w:color w:val="000000"/>
          <w:sz w:val="24"/>
          <w:szCs w:val="24"/>
          <w:lang w:val="zh-CN"/>
        </w:rPr>
        <w:t>为我公司法定代表人授权代表，参加贵单位组织的</w:t>
      </w:r>
      <w:r>
        <w:rPr>
          <w:rFonts w:hint="eastAsia" w:ascii="宋体" w:hAnsi="宋体" w:eastAsia="宋体" w:cs="宋体"/>
          <w:color w:val="000000"/>
          <w:sz w:val="24"/>
          <w:szCs w:val="24"/>
          <w:u w:val="single"/>
          <w:lang w:val="zh-CN"/>
        </w:rPr>
        <w:t xml:space="preserve"> （采购项目名称、项目编号）</w:t>
      </w:r>
      <w:r>
        <w:rPr>
          <w:rFonts w:hint="eastAsia" w:ascii="宋体" w:hAnsi="宋体" w:eastAsia="宋体" w:cs="宋体"/>
          <w:color w:val="000000"/>
          <w:sz w:val="24"/>
          <w:szCs w:val="24"/>
          <w:lang w:val="zh-CN"/>
        </w:rPr>
        <w:t>项目采购，并代表我方全权处理本次采购活动中的一切事宜，并签署相关文件，我方对被授权人的签名事项负全部责任。</w:t>
      </w:r>
    </w:p>
    <w:p>
      <w:pPr>
        <w:autoSpaceDE w:val="0"/>
        <w:autoSpaceDN w:val="0"/>
        <w:adjustRightInd w:val="0"/>
        <w:spacing w:line="40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在撤销授权的书面通知以前，本授权书一直有效。被授权人在授权书有效期内签署的所有文件不因授权的撤销而失效。</w:t>
      </w:r>
    </w:p>
    <w:p>
      <w:pPr>
        <w:autoSpaceDE w:val="0"/>
        <w:autoSpaceDN w:val="0"/>
        <w:adjustRightInd w:val="0"/>
        <w:spacing w:line="400" w:lineRule="exact"/>
        <w:ind w:firstLine="492" w:firstLineChars="20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授权代表无转授权，特此授权。</w:t>
      </w:r>
    </w:p>
    <w:p>
      <w:pPr>
        <w:autoSpaceDE w:val="0"/>
        <w:autoSpaceDN w:val="0"/>
        <w:adjustRightInd w:val="0"/>
        <w:spacing w:line="400" w:lineRule="exact"/>
        <w:ind w:firstLine="480"/>
        <w:rPr>
          <w:rFonts w:ascii="宋体" w:hAnsi="宋体" w:eastAsia="宋体" w:cs="宋体"/>
          <w:color w:val="000000"/>
          <w:sz w:val="24"/>
          <w:szCs w:val="24"/>
          <w:lang w:val="zh-CN"/>
        </w:rPr>
      </w:pPr>
    </w:p>
    <w:p>
      <w:pPr>
        <w:autoSpaceDE w:val="0"/>
        <w:autoSpaceDN w:val="0"/>
        <w:adjustRightInd w:val="0"/>
        <w:spacing w:line="400" w:lineRule="exact"/>
        <w:ind w:firstLine="492" w:firstLineChars="200"/>
        <w:rPr>
          <w:rFonts w:ascii="宋体" w:hAnsi="宋体" w:eastAsia="宋体" w:cs="宋体"/>
          <w:color w:val="000000"/>
          <w:sz w:val="24"/>
          <w:szCs w:val="24"/>
          <w:u w:val="single"/>
          <w:lang w:val="zh-CN"/>
        </w:rPr>
      </w:pPr>
      <w:r>
        <w:rPr>
          <w:rFonts w:hint="eastAsia" w:ascii="宋体" w:hAnsi="宋体" w:eastAsia="宋体" w:cs="宋体"/>
          <w:color w:val="000000"/>
          <w:sz w:val="24"/>
          <w:szCs w:val="24"/>
          <w:lang w:val="zh-CN"/>
        </w:rPr>
        <w:t>授权代表签名：</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 xml:space="preserve">  性别：</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年龄：</w:t>
      </w:r>
      <w:r>
        <w:rPr>
          <w:rFonts w:hint="eastAsia" w:ascii="宋体" w:hAnsi="宋体" w:eastAsia="宋体" w:cs="宋体"/>
          <w:color w:val="000000"/>
          <w:sz w:val="24"/>
          <w:szCs w:val="24"/>
          <w:u w:val="single"/>
          <w:lang w:val="zh-CN"/>
        </w:rPr>
        <w:t xml:space="preserve">            </w:t>
      </w:r>
    </w:p>
    <w:p>
      <w:pPr>
        <w:autoSpaceDE w:val="0"/>
        <w:autoSpaceDN w:val="0"/>
        <w:adjustRightInd w:val="0"/>
        <w:spacing w:line="400" w:lineRule="exact"/>
        <w:ind w:firstLine="492" w:firstLineChars="200"/>
        <w:rPr>
          <w:rFonts w:ascii="宋体" w:hAnsi="宋体" w:eastAsia="宋体" w:cs="宋体"/>
          <w:color w:val="000000"/>
          <w:sz w:val="24"/>
          <w:szCs w:val="24"/>
          <w:u w:val="single"/>
          <w:lang w:val="zh-CN"/>
        </w:rPr>
      </w:pPr>
      <w:r>
        <w:rPr>
          <w:rFonts w:hint="eastAsia" w:ascii="宋体" w:hAnsi="宋体" w:eastAsia="宋体" w:cs="宋体"/>
          <w:color w:val="000000"/>
          <w:sz w:val="24"/>
          <w:szCs w:val="24"/>
          <w:lang w:val="zh-CN"/>
        </w:rPr>
        <w:t>身份证号码：</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 xml:space="preserve">  职务：</w:t>
      </w:r>
      <w:r>
        <w:rPr>
          <w:rFonts w:hint="eastAsia" w:ascii="宋体" w:hAnsi="宋体" w:eastAsia="宋体" w:cs="宋体"/>
          <w:color w:val="000000"/>
          <w:sz w:val="24"/>
          <w:szCs w:val="24"/>
          <w:u w:val="single"/>
          <w:lang w:val="zh-CN"/>
        </w:rPr>
        <w:t xml:space="preserve">                      </w:t>
      </w:r>
    </w:p>
    <w:p>
      <w:pPr>
        <w:autoSpaceDE w:val="0"/>
        <w:autoSpaceDN w:val="0"/>
        <w:adjustRightInd w:val="0"/>
        <w:spacing w:line="400" w:lineRule="exact"/>
        <w:ind w:firstLine="492" w:firstLineChars="200"/>
        <w:rPr>
          <w:rFonts w:ascii="宋体" w:hAnsi="宋体" w:eastAsia="宋体" w:cs="宋体"/>
          <w:color w:val="000000"/>
          <w:sz w:val="24"/>
          <w:szCs w:val="24"/>
          <w:u w:val="single"/>
          <w:lang w:val="zh-CN"/>
        </w:rPr>
      </w:pPr>
      <w:r>
        <w:rPr>
          <w:rFonts w:hint="eastAsia" w:ascii="宋体" w:hAnsi="宋体" w:eastAsia="宋体" w:cs="宋体"/>
          <w:color w:val="000000"/>
          <w:sz w:val="24"/>
          <w:szCs w:val="24"/>
          <w:lang w:val="zh-CN"/>
        </w:rPr>
        <w:t>详细通讯地址：</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邮政编码：</w:t>
      </w:r>
      <w:r>
        <w:rPr>
          <w:rFonts w:hint="eastAsia" w:ascii="宋体" w:hAnsi="宋体" w:eastAsia="宋体" w:cs="宋体"/>
          <w:color w:val="000000"/>
          <w:sz w:val="24"/>
          <w:szCs w:val="24"/>
          <w:u w:val="single"/>
          <w:lang w:val="zh-CN"/>
        </w:rPr>
        <w:t xml:space="preserve">       </w:t>
      </w:r>
    </w:p>
    <w:p>
      <w:pPr>
        <w:autoSpaceDE w:val="0"/>
        <w:autoSpaceDN w:val="0"/>
        <w:adjustRightInd w:val="0"/>
        <w:spacing w:line="400" w:lineRule="exact"/>
        <w:ind w:firstLine="492" w:firstLineChars="200"/>
        <w:rPr>
          <w:rFonts w:ascii="宋体" w:hAnsi="宋体" w:eastAsia="宋体" w:cs="宋体"/>
          <w:color w:val="000000"/>
          <w:sz w:val="24"/>
          <w:szCs w:val="24"/>
          <w:u w:val="single"/>
          <w:lang w:val="zh-CN"/>
        </w:rPr>
      </w:pPr>
      <w:r>
        <w:rPr>
          <w:rFonts w:hint="eastAsia" w:ascii="宋体" w:hAnsi="宋体" w:eastAsia="宋体" w:cs="宋体"/>
          <w:color w:val="000000"/>
          <w:sz w:val="24"/>
          <w:szCs w:val="24"/>
          <w:lang w:val="zh-CN"/>
        </w:rPr>
        <w:t>联系电话：</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 xml:space="preserve">  传真： </w:t>
      </w:r>
      <w:r>
        <w:rPr>
          <w:rFonts w:hint="eastAsia" w:ascii="宋体" w:hAnsi="宋体" w:eastAsia="宋体" w:cs="宋体"/>
          <w:color w:val="000000"/>
          <w:sz w:val="24"/>
          <w:szCs w:val="24"/>
          <w:u w:val="single"/>
          <w:lang w:val="zh-CN"/>
        </w:rPr>
        <w:t xml:space="preserve">                          </w:t>
      </w:r>
    </w:p>
    <w:p>
      <w:pPr>
        <w:autoSpaceDE w:val="0"/>
        <w:autoSpaceDN w:val="0"/>
        <w:adjustRightInd w:val="0"/>
        <w:spacing w:line="400" w:lineRule="exact"/>
        <w:ind w:firstLine="3379" w:firstLineChars="1374"/>
        <w:rPr>
          <w:rFonts w:ascii="宋体" w:hAnsi="宋体" w:eastAsia="宋体" w:cs="宋体"/>
          <w:color w:val="000000"/>
          <w:sz w:val="24"/>
          <w:szCs w:val="24"/>
          <w:lang w:val="zh-CN"/>
        </w:rPr>
      </w:pPr>
    </w:p>
    <w:p>
      <w:pPr>
        <w:spacing w:line="500" w:lineRule="exact"/>
        <w:ind w:firstLine="4920" w:firstLineChars="2000"/>
        <w:textAlignment w:val="baseline"/>
        <w:rPr>
          <w:rFonts w:ascii="宋体" w:hAnsi="宋体" w:eastAsia="宋体" w:cs="宋体"/>
          <w:color w:val="000000"/>
          <w:sz w:val="24"/>
        </w:rPr>
      </w:pPr>
      <w:r>
        <w:rPr>
          <w:rFonts w:hint="eastAsia" w:ascii="宋体" w:hAnsi="宋体" w:eastAsia="宋体" w:cs="宋体"/>
          <w:color w:val="000000"/>
          <w:sz w:val="24"/>
        </w:rPr>
        <w:t>投标人全称（盖章）：</w:t>
      </w:r>
    </w:p>
    <w:p>
      <w:pPr>
        <w:spacing w:line="500" w:lineRule="exact"/>
        <w:ind w:firstLine="4920" w:firstLineChars="2000"/>
        <w:textAlignment w:val="baseline"/>
        <w:rPr>
          <w:rFonts w:ascii="宋体" w:hAnsi="宋体" w:eastAsia="宋体" w:cs="宋体"/>
          <w:color w:val="000000"/>
          <w:sz w:val="24"/>
        </w:rPr>
      </w:pPr>
      <w:r>
        <w:rPr>
          <w:rFonts w:hint="eastAsia" w:ascii="宋体" w:hAnsi="宋体" w:eastAsia="宋体" w:cs="宋体"/>
          <w:color w:val="000000"/>
          <w:sz w:val="24"/>
        </w:rPr>
        <w:t>法定代表人（盖章或签字）：</w:t>
      </w:r>
    </w:p>
    <w:p>
      <w:pPr>
        <w:spacing w:line="500" w:lineRule="exact"/>
        <w:ind w:firstLine="4920" w:firstLineChars="2000"/>
        <w:textAlignment w:val="baseline"/>
        <w:rPr>
          <w:rFonts w:ascii="宋体" w:hAnsi="宋体" w:eastAsia="宋体" w:cs="宋体"/>
          <w:b/>
          <w:bCs/>
          <w:color w:val="000000"/>
          <w:sz w:val="24"/>
          <w:szCs w:val="24"/>
          <w:lang w:val="zh-CN"/>
        </w:rPr>
        <w:sectPr>
          <w:headerReference r:id="rId9" w:type="first"/>
          <w:footerReference r:id="rId11" w:type="first"/>
          <w:headerReference r:id="rId8" w:type="default"/>
          <w:footerReference r:id="rId10" w:type="default"/>
          <w:pgSz w:w="11906" w:h="16838"/>
          <w:pgMar w:top="1440" w:right="1083" w:bottom="1440" w:left="1083" w:header="851" w:footer="992" w:gutter="0"/>
          <w:cols w:space="720" w:num="1"/>
          <w:titlePg/>
          <w:docGrid w:type="linesAndChars" w:linePitch="389" w:charSpace="1325"/>
        </w:sectPr>
      </w:pPr>
      <w:r>
        <w:rPr>
          <w:rFonts w:hint="eastAsia" w:ascii="宋体" w:hAnsi="宋体" w:eastAsia="宋体" w:cs="宋体"/>
          <w:color w:val="000000"/>
          <w:sz w:val="24"/>
        </w:rPr>
        <w:t xml:space="preserve">日    期：   </w:t>
      </w:r>
    </w:p>
    <w:p>
      <w:pPr>
        <w:pStyle w:val="60"/>
        <w:tabs>
          <w:tab w:val="left" w:pos="900"/>
        </w:tabs>
        <w:spacing w:line="600" w:lineRule="exact"/>
        <w:ind w:left="0" w:leftChars="0" w:firstLine="0" w:firstLineChars="0"/>
        <w:jc w:val="center"/>
        <w:rPr>
          <w:rFonts w:ascii="宋体" w:hAnsi="宋体" w:cs="宋体"/>
          <w:sz w:val="28"/>
          <w:szCs w:val="28"/>
        </w:rPr>
      </w:pPr>
      <w:r>
        <w:rPr>
          <w:rFonts w:hint="eastAsia" w:ascii="宋体" w:hAnsi="宋体" w:cs="宋体"/>
          <w:b/>
          <w:bCs/>
          <w:sz w:val="28"/>
          <w:szCs w:val="28"/>
        </w:rPr>
        <w:t xml:space="preserve"> 具有良好的商业信誉和健全的财务会计制度声明函</w:t>
      </w:r>
    </w:p>
    <w:p>
      <w:pPr>
        <w:pStyle w:val="60"/>
        <w:tabs>
          <w:tab w:val="left" w:pos="900"/>
        </w:tabs>
        <w:spacing w:line="600" w:lineRule="exact"/>
        <w:ind w:left="0" w:leftChars="0" w:firstLine="0" w:firstLineChars="0"/>
        <w:rPr>
          <w:rFonts w:ascii="宋体" w:hAnsi="宋体" w:cs="宋体"/>
          <w:sz w:val="24"/>
        </w:rPr>
      </w:pPr>
      <w:r>
        <w:rPr>
          <w:rFonts w:hint="eastAsia" w:ascii="宋体" w:hAnsi="宋体" w:cs="宋体"/>
          <w:sz w:val="24"/>
          <w:u w:val="single"/>
        </w:rPr>
        <w:t>（采购人名称）</w:t>
      </w:r>
      <w:r>
        <w:rPr>
          <w:rFonts w:hint="eastAsia" w:ascii="宋体" w:hAnsi="宋体" w:cs="宋体"/>
          <w:sz w:val="24"/>
          <w:u w:val="single"/>
        </w:rPr>
        <w:tab/>
      </w:r>
      <w:r>
        <w:rPr>
          <w:rFonts w:hint="eastAsia" w:ascii="宋体" w:hAnsi="宋体" w:cs="宋体"/>
          <w:sz w:val="24"/>
        </w:rPr>
        <w:t>：</w:t>
      </w:r>
    </w:p>
    <w:p>
      <w:pPr>
        <w:pStyle w:val="60"/>
        <w:tabs>
          <w:tab w:val="left" w:pos="900"/>
        </w:tabs>
        <w:spacing w:line="600" w:lineRule="exact"/>
        <w:ind w:left="0" w:leftChars="0" w:firstLine="493"/>
        <w:rPr>
          <w:rFonts w:ascii="宋体" w:hAnsi="宋体" w:cs="宋体"/>
          <w:sz w:val="24"/>
        </w:rPr>
      </w:pPr>
      <w:r>
        <w:rPr>
          <w:rFonts w:hint="eastAsia" w:ascii="宋体" w:hAnsi="宋体" w:cs="宋体"/>
          <w:sz w:val="24"/>
        </w:rPr>
        <w:t>截至</w:t>
      </w:r>
      <w:r>
        <w:rPr>
          <w:rFonts w:hint="eastAsia" w:ascii="宋体" w:hAnsi="宋体" w:cs="宋体"/>
          <w:sz w:val="24"/>
          <w:u w:val="single"/>
        </w:rPr>
        <w:t xml:space="preserve">                    项目 （项目编号:           ）</w:t>
      </w:r>
      <w:r>
        <w:rPr>
          <w:rFonts w:hint="eastAsia" w:ascii="宋体" w:hAnsi="宋体" w:cs="宋体"/>
          <w:sz w:val="24"/>
        </w:rPr>
        <w:t>的投标</w:t>
      </w:r>
      <w:r>
        <w:rPr>
          <w:rFonts w:hint="eastAsia" w:ascii="宋体" w:hAnsi="宋体" w:cs="宋体"/>
          <w:bCs/>
          <w:sz w:val="24"/>
        </w:rPr>
        <w:t>截止时间</w:t>
      </w:r>
      <w:r>
        <w:rPr>
          <w:rFonts w:hint="eastAsia" w:ascii="宋体" w:hAnsi="宋体" w:cs="宋体"/>
          <w:sz w:val="24"/>
        </w:rPr>
        <w:t>，我方具有良好的商业信誉和健全的财务会计制度，我方对上述声明的真实性负责。如有虚假，招标人可取消我方任何资格（投标/中标/签订合同），我方愿意承担相应责任，对此无任何异议。</w:t>
      </w:r>
    </w:p>
    <w:p>
      <w:pPr>
        <w:pStyle w:val="60"/>
        <w:tabs>
          <w:tab w:val="left" w:pos="900"/>
        </w:tabs>
        <w:spacing w:line="600" w:lineRule="exact"/>
        <w:ind w:left="0" w:leftChars="0" w:firstLine="493"/>
        <w:rPr>
          <w:rFonts w:ascii="宋体" w:hAnsi="宋体" w:cs="宋体"/>
          <w:sz w:val="24"/>
        </w:rPr>
      </w:pPr>
      <w:r>
        <w:rPr>
          <w:rFonts w:hint="eastAsia" w:ascii="宋体" w:hAnsi="宋体" w:cs="宋体"/>
          <w:sz w:val="24"/>
        </w:rPr>
        <w:t xml:space="preserve">特此声明！ </w:t>
      </w:r>
    </w:p>
    <w:p>
      <w:pPr>
        <w:spacing w:line="600" w:lineRule="exact"/>
        <w:ind w:firstLine="492" w:firstLineChars="200"/>
        <w:rPr>
          <w:rFonts w:ascii="宋体" w:hAnsi="宋体" w:eastAsia="宋体" w:cs="宋体"/>
          <w:sz w:val="24"/>
          <w:szCs w:val="24"/>
        </w:rPr>
      </w:pP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rPr>
        <w:t>供应商名称（盖章） ：</w:t>
      </w: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rPr>
        <w:t>法定代表人或其授权代表（签字或盖章）：</w:t>
      </w:r>
    </w:p>
    <w:p>
      <w:pPr>
        <w:spacing w:line="600" w:lineRule="exact"/>
        <w:ind w:firstLine="492" w:firstLineChars="200"/>
        <w:rPr>
          <w:rFonts w:ascii="宋体" w:hAnsi="宋体" w:eastAsia="宋体" w:cs="宋体"/>
          <w:b/>
          <w:bCs/>
          <w:sz w:val="24"/>
          <w:szCs w:val="24"/>
        </w:rPr>
      </w:pPr>
      <w:r>
        <w:rPr>
          <w:rFonts w:hint="eastAsia" w:ascii="宋体" w:hAnsi="宋体" w:eastAsia="宋体" w:cs="宋体"/>
          <w:sz w:val="24"/>
          <w:szCs w:val="24"/>
        </w:rPr>
        <w:t>日期：     年  月  日</w:t>
      </w:r>
    </w:p>
    <w:p>
      <w:pPr>
        <w:pStyle w:val="60"/>
        <w:tabs>
          <w:tab w:val="left" w:pos="900"/>
        </w:tabs>
        <w:spacing w:line="600" w:lineRule="exact"/>
        <w:ind w:left="0" w:leftChars="0" w:firstLine="0" w:firstLineChars="0"/>
        <w:rPr>
          <w:rFonts w:ascii="宋体" w:hAnsi="宋体" w:cs="宋体"/>
          <w:b/>
          <w:bCs/>
          <w:sz w:val="28"/>
          <w:szCs w:val="28"/>
        </w:rPr>
      </w:pPr>
    </w:p>
    <w:p>
      <w:pPr>
        <w:pStyle w:val="60"/>
        <w:tabs>
          <w:tab w:val="left" w:pos="900"/>
        </w:tabs>
        <w:spacing w:line="600" w:lineRule="exact"/>
        <w:ind w:left="0" w:leftChars="0" w:firstLine="1716" w:firstLineChars="600"/>
        <w:rPr>
          <w:rFonts w:ascii="宋体" w:hAnsi="宋体" w:cs="宋体"/>
          <w:b/>
          <w:bCs/>
          <w:sz w:val="28"/>
          <w:szCs w:val="28"/>
        </w:rPr>
      </w:pPr>
      <w:r>
        <w:rPr>
          <w:rFonts w:hint="eastAsia" w:ascii="宋体" w:hAnsi="宋体" w:cs="宋体"/>
          <w:b/>
          <w:bCs/>
          <w:sz w:val="28"/>
          <w:szCs w:val="28"/>
        </w:rPr>
        <w:t xml:space="preserve">    依法缴纳税收和社会保障资金的承诺函</w:t>
      </w:r>
    </w:p>
    <w:p>
      <w:pPr>
        <w:pStyle w:val="60"/>
        <w:tabs>
          <w:tab w:val="left" w:pos="900"/>
        </w:tabs>
        <w:spacing w:line="600" w:lineRule="exact"/>
        <w:ind w:left="0" w:leftChars="0" w:firstLine="0" w:firstLineChars="0"/>
        <w:rPr>
          <w:rFonts w:ascii="宋体" w:hAnsi="宋体" w:cs="宋体"/>
          <w:sz w:val="24"/>
        </w:rPr>
      </w:pPr>
      <w:r>
        <w:rPr>
          <w:rFonts w:hint="eastAsia" w:ascii="宋体" w:hAnsi="宋体" w:cs="宋体"/>
          <w:sz w:val="24"/>
          <w:u w:val="single"/>
        </w:rPr>
        <w:t>（采购人名称）</w:t>
      </w:r>
      <w:r>
        <w:rPr>
          <w:rFonts w:hint="eastAsia" w:ascii="宋体" w:hAnsi="宋体" w:cs="宋体"/>
          <w:sz w:val="24"/>
          <w:u w:val="single"/>
        </w:rPr>
        <w:tab/>
      </w:r>
      <w:r>
        <w:rPr>
          <w:rFonts w:hint="eastAsia" w:ascii="宋体" w:hAnsi="宋体" w:cs="宋体"/>
          <w:sz w:val="24"/>
        </w:rPr>
        <w:t>：</w:t>
      </w: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rPr>
        <w:t>截至</w:t>
      </w:r>
      <w:r>
        <w:rPr>
          <w:rFonts w:hint="eastAsia" w:ascii="宋体" w:hAnsi="宋体" w:eastAsia="宋体" w:cs="宋体"/>
          <w:sz w:val="24"/>
          <w:szCs w:val="24"/>
          <w:u w:val="single"/>
        </w:rPr>
        <w:t xml:space="preserve">                     项目 （项目编号:              ）</w:t>
      </w:r>
      <w:r>
        <w:rPr>
          <w:rFonts w:hint="eastAsia" w:ascii="宋体" w:hAnsi="宋体" w:eastAsia="宋体" w:cs="宋体"/>
          <w:sz w:val="24"/>
          <w:szCs w:val="24"/>
        </w:rPr>
        <w:t xml:space="preserve">的投标截止时间，我方严格依法缴纳税收和社会保障资金，我方对上述声明的真实性负责。如有虚假，招标人可取消我方任何资格（投标/中标/签订合同），我方愿意承担相应责任，对此无任何异议。 </w:t>
      </w: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rPr>
        <w:t xml:space="preserve">特此声明！ </w:t>
      </w:r>
    </w:p>
    <w:p>
      <w:pPr>
        <w:spacing w:line="600" w:lineRule="exact"/>
        <w:ind w:firstLine="492" w:firstLineChars="200"/>
        <w:rPr>
          <w:rFonts w:ascii="宋体" w:hAnsi="宋体" w:eastAsia="宋体" w:cs="宋体"/>
          <w:sz w:val="24"/>
          <w:szCs w:val="24"/>
        </w:rPr>
      </w:pP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rPr>
        <w:t>供应商名称（盖章） ：</w:t>
      </w: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rPr>
        <w:t>法定代表人或其授权代表（签字或盖章）：</w:t>
      </w: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adjustRightInd w:val="0"/>
        <w:spacing w:line="380" w:lineRule="exact"/>
        <w:jc w:val="center"/>
        <w:rPr>
          <w:rFonts w:ascii="宋体" w:hAnsi="宋体" w:eastAsia="宋体" w:cs="宋体"/>
          <w:b/>
          <w:bCs/>
          <w:color w:val="000000"/>
          <w:sz w:val="32"/>
          <w:szCs w:val="32"/>
          <w:lang w:val="zh-CN"/>
        </w:rPr>
      </w:pPr>
    </w:p>
    <w:p>
      <w:pPr>
        <w:pStyle w:val="60"/>
        <w:tabs>
          <w:tab w:val="left" w:pos="900"/>
        </w:tabs>
        <w:spacing w:line="600" w:lineRule="exact"/>
        <w:ind w:left="0" w:leftChars="0" w:firstLine="858" w:firstLineChars="300"/>
        <w:rPr>
          <w:rFonts w:ascii="宋体" w:hAnsi="宋体" w:cs="宋体"/>
          <w:b/>
          <w:bCs/>
          <w:sz w:val="28"/>
          <w:szCs w:val="28"/>
        </w:rPr>
      </w:pPr>
    </w:p>
    <w:p>
      <w:pPr>
        <w:pStyle w:val="60"/>
        <w:tabs>
          <w:tab w:val="left" w:pos="900"/>
        </w:tabs>
        <w:spacing w:line="600" w:lineRule="exact"/>
        <w:ind w:left="0" w:leftChars="0" w:firstLine="858" w:firstLineChars="300"/>
        <w:rPr>
          <w:rFonts w:ascii="宋体" w:hAnsi="宋体" w:cs="宋体"/>
          <w:b/>
          <w:bCs/>
          <w:sz w:val="28"/>
          <w:szCs w:val="28"/>
        </w:rPr>
      </w:pPr>
      <w:r>
        <w:rPr>
          <w:rFonts w:hint="eastAsia" w:ascii="宋体" w:hAnsi="宋体" w:cs="宋体"/>
          <w:b/>
          <w:bCs/>
          <w:sz w:val="28"/>
          <w:szCs w:val="28"/>
        </w:rPr>
        <w:t>不存在单位负责人为同一人或者存在直接控股、管理关系的不同供应商参加同一合同项下的政府采购活动情形的证明材料：</w:t>
      </w:r>
    </w:p>
    <w:p>
      <w:pPr>
        <w:spacing w:line="600" w:lineRule="exact"/>
        <w:ind w:firstLine="572" w:firstLineChars="200"/>
        <w:jc w:val="center"/>
        <w:rPr>
          <w:rFonts w:ascii="宋体" w:hAnsi="宋体" w:eastAsia="宋体" w:cs="宋体"/>
          <w:b/>
          <w:bCs/>
        </w:rPr>
      </w:pPr>
    </w:p>
    <w:p>
      <w:pPr>
        <w:spacing w:line="600" w:lineRule="exact"/>
        <w:ind w:firstLine="572" w:firstLineChars="200"/>
        <w:jc w:val="center"/>
        <w:rPr>
          <w:rFonts w:ascii="宋体" w:hAnsi="宋体" w:eastAsia="宋体" w:cs="宋体"/>
          <w:b/>
          <w:bCs/>
        </w:rPr>
      </w:pPr>
      <w:r>
        <w:rPr>
          <w:rFonts w:hint="eastAsia" w:ascii="宋体" w:hAnsi="宋体" w:eastAsia="宋体" w:cs="宋体"/>
          <w:b/>
          <w:bCs/>
        </w:rPr>
        <w:t xml:space="preserve">与其他供应商无利害关系的声明函 </w:t>
      </w:r>
    </w:p>
    <w:p>
      <w:pPr>
        <w:pStyle w:val="60"/>
        <w:tabs>
          <w:tab w:val="left" w:pos="900"/>
        </w:tabs>
        <w:spacing w:line="600" w:lineRule="exact"/>
        <w:ind w:left="0" w:leftChars="0" w:firstLine="0" w:firstLineChars="0"/>
        <w:rPr>
          <w:rFonts w:ascii="宋体" w:hAnsi="宋体" w:cs="宋体"/>
          <w:sz w:val="24"/>
          <w:u w:val="single"/>
          <w:lang w:bidi="ar"/>
        </w:rPr>
      </w:pPr>
      <w:r>
        <w:rPr>
          <w:rFonts w:hint="eastAsia" w:ascii="宋体" w:hAnsi="宋体" w:cs="宋体"/>
          <w:sz w:val="24"/>
          <w:u w:val="single"/>
        </w:rPr>
        <w:t>（采购人名称）</w:t>
      </w:r>
      <w:r>
        <w:rPr>
          <w:rFonts w:hint="eastAsia" w:ascii="宋体" w:hAnsi="宋体" w:cs="宋体"/>
          <w:sz w:val="24"/>
          <w:u w:val="single"/>
        </w:rPr>
        <w:tab/>
      </w:r>
      <w:r>
        <w:rPr>
          <w:rFonts w:hint="eastAsia" w:ascii="宋体" w:hAnsi="宋体" w:cs="宋体"/>
          <w:sz w:val="24"/>
          <w:u w:val="single"/>
          <w:lang w:bidi="ar"/>
        </w:rPr>
        <w:t>：</w:t>
      </w:r>
    </w:p>
    <w:p>
      <w:pPr>
        <w:spacing w:line="600" w:lineRule="exact"/>
        <w:ind w:firstLine="492" w:firstLineChars="200"/>
        <w:rPr>
          <w:rFonts w:ascii="宋体" w:hAnsi="宋体" w:eastAsia="宋体" w:cs="宋体"/>
          <w:sz w:val="24"/>
          <w:szCs w:val="24"/>
          <w:lang w:bidi="ar"/>
        </w:rPr>
      </w:pPr>
      <w:r>
        <w:rPr>
          <w:rFonts w:hint="eastAsia" w:ascii="宋体" w:hAnsi="宋体" w:eastAsia="宋体" w:cs="宋体"/>
          <w:sz w:val="24"/>
          <w:szCs w:val="24"/>
          <w:lang w:bidi="ar"/>
        </w:rPr>
        <w:t>我方参加</w:t>
      </w:r>
      <w:r>
        <w:rPr>
          <w:rFonts w:hint="eastAsia" w:ascii="宋体" w:hAnsi="宋体" w:eastAsia="宋体" w:cs="宋体"/>
          <w:sz w:val="24"/>
          <w:szCs w:val="24"/>
          <w:u w:val="single"/>
          <w:lang w:bidi="ar"/>
        </w:rPr>
        <w:t xml:space="preserve">  </w:t>
      </w:r>
      <w:r>
        <w:rPr>
          <w:rFonts w:hint="eastAsia" w:ascii="宋体" w:hAnsi="宋体" w:eastAsia="宋体" w:cs="宋体"/>
          <w:sz w:val="24"/>
          <w:szCs w:val="24"/>
          <w:u w:val="single"/>
        </w:rPr>
        <w:t>（采购人名称）</w:t>
      </w:r>
      <w:r>
        <w:rPr>
          <w:rFonts w:hint="eastAsia" w:ascii="宋体" w:hAnsi="宋体" w:eastAsia="宋体" w:cs="宋体"/>
          <w:sz w:val="24"/>
          <w:szCs w:val="24"/>
          <w:u w:val="single"/>
          <w:lang w:bidi="ar"/>
        </w:rPr>
        <w:t xml:space="preserve">  </w:t>
      </w:r>
      <w:r>
        <w:rPr>
          <w:rFonts w:hint="eastAsia" w:ascii="宋体" w:hAnsi="宋体" w:eastAsia="宋体" w:cs="宋体"/>
          <w:sz w:val="24"/>
          <w:szCs w:val="24"/>
          <w:lang w:bidi="ar"/>
        </w:rPr>
        <w:t>的</w:t>
      </w:r>
      <w:r>
        <w:rPr>
          <w:rFonts w:hint="eastAsia" w:ascii="宋体" w:hAnsi="宋体" w:eastAsia="宋体" w:cs="宋体"/>
          <w:sz w:val="24"/>
          <w:szCs w:val="24"/>
          <w:u w:val="single"/>
        </w:rPr>
        <w:t xml:space="preserve">                     项目</w:t>
      </w:r>
      <w:r>
        <w:rPr>
          <w:rFonts w:hint="eastAsia" w:ascii="宋体" w:hAnsi="宋体" w:eastAsia="宋体" w:cs="宋体"/>
          <w:sz w:val="24"/>
          <w:u w:val="single"/>
        </w:rPr>
        <w:t xml:space="preserve"> </w:t>
      </w:r>
      <w:r>
        <w:rPr>
          <w:rFonts w:hint="eastAsia" w:ascii="宋体" w:hAnsi="宋体" w:eastAsia="宋体" w:cs="宋体"/>
          <w:sz w:val="24"/>
          <w:szCs w:val="24"/>
          <w:u w:val="single"/>
          <w:lang w:bidi="ar"/>
        </w:rPr>
        <w:t>（项目编号:      ）</w:t>
      </w:r>
      <w:r>
        <w:rPr>
          <w:rFonts w:hint="eastAsia" w:ascii="宋体" w:hAnsi="宋体" w:eastAsia="宋体" w:cs="宋体"/>
          <w:sz w:val="24"/>
          <w:szCs w:val="24"/>
          <w:lang w:bidi="ar"/>
        </w:rPr>
        <w:t>政府采购活动，与其他供应商不存在法定代表人为同一人或存在直接控股、管理关系。</w:t>
      </w: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lang w:bidi="ar"/>
        </w:rPr>
        <w:t xml:space="preserve">我方对上述声明的真实性负责。如有虚假，采购人可取消我方任何资格（投标/中标/签订合同），我方愿意承担相应责任，对此无任何异议。 </w:t>
      </w:r>
    </w:p>
    <w:p>
      <w:pPr>
        <w:spacing w:line="600" w:lineRule="exact"/>
        <w:ind w:firstLine="492" w:firstLineChars="200"/>
        <w:rPr>
          <w:rFonts w:ascii="宋体" w:hAnsi="宋体" w:eastAsia="宋体" w:cs="宋体"/>
          <w:sz w:val="24"/>
          <w:szCs w:val="24"/>
        </w:rPr>
      </w:pPr>
      <w:r>
        <w:rPr>
          <w:rFonts w:hint="eastAsia" w:ascii="宋体" w:hAnsi="宋体" w:eastAsia="宋体" w:cs="宋体"/>
          <w:sz w:val="24"/>
          <w:szCs w:val="24"/>
          <w:lang w:bidi="ar"/>
        </w:rPr>
        <w:t xml:space="preserve">特此声明！ </w:t>
      </w:r>
    </w:p>
    <w:p>
      <w:pPr>
        <w:spacing w:line="600" w:lineRule="exact"/>
        <w:ind w:firstLine="492" w:firstLineChars="200"/>
        <w:outlineLvl w:val="1"/>
        <w:rPr>
          <w:rFonts w:ascii="宋体" w:hAnsi="宋体" w:eastAsia="宋体" w:cs="宋体"/>
          <w:sz w:val="24"/>
          <w:szCs w:val="24"/>
        </w:rPr>
      </w:pPr>
      <w:r>
        <w:rPr>
          <w:rFonts w:hint="eastAsia" w:ascii="宋体" w:hAnsi="宋体" w:eastAsia="宋体" w:cs="宋体"/>
          <w:sz w:val="24"/>
          <w:szCs w:val="24"/>
        </w:rPr>
        <w:t>供应商名称（盖章） ：</w:t>
      </w:r>
    </w:p>
    <w:p>
      <w:pPr>
        <w:spacing w:line="600" w:lineRule="exact"/>
        <w:ind w:firstLine="492" w:firstLineChars="200"/>
        <w:outlineLvl w:val="1"/>
        <w:rPr>
          <w:rFonts w:ascii="宋体" w:hAnsi="宋体" w:eastAsia="宋体" w:cs="宋体"/>
          <w:sz w:val="24"/>
          <w:szCs w:val="24"/>
        </w:rPr>
      </w:pPr>
      <w:r>
        <w:rPr>
          <w:rFonts w:hint="eastAsia" w:ascii="宋体" w:hAnsi="宋体" w:eastAsia="宋体" w:cs="宋体"/>
          <w:sz w:val="24"/>
          <w:szCs w:val="24"/>
        </w:rPr>
        <w:t>法定代表人或其授权代表（签字或盖章）：</w:t>
      </w:r>
    </w:p>
    <w:p>
      <w:pPr>
        <w:spacing w:line="600" w:lineRule="exact"/>
        <w:ind w:firstLine="492" w:firstLineChars="200"/>
        <w:outlineLvl w:val="1"/>
        <w:rPr>
          <w:rFonts w:ascii="宋体" w:hAnsi="宋体" w:eastAsia="宋体" w:cs="宋体"/>
          <w:sz w:val="24"/>
          <w:szCs w:val="24"/>
        </w:rPr>
      </w:pPr>
      <w:r>
        <w:rPr>
          <w:rFonts w:hint="eastAsia" w:ascii="宋体" w:hAnsi="宋体" w:eastAsia="宋体" w:cs="宋体"/>
          <w:sz w:val="24"/>
          <w:szCs w:val="24"/>
        </w:rPr>
        <w:t>日期：     年  月  日</w:t>
      </w:r>
    </w:p>
    <w:p>
      <w:pPr>
        <w:autoSpaceDE w:val="0"/>
        <w:autoSpaceDN w:val="0"/>
        <w:adjustRightInd w:val="0"/>
        <w:spacing w:line="380" w:lineRule="exact"/>
        <w:jc w:val="center"/>
        <w:rPr>
          <w:rFonts w:ascii="宋体" w:hAnsi="宋体" w:eastAsia="宋体" w:cs="宋体"/>
          <w:b/>
          <w:bCs/>
          <w:color w:val="000000"/>
          <w:sz w:val="32"/>
          <w:szCs w:val="32"/>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p>
    <w:p>
      <w:pPr>
        <w:pStyle w:val="60"/>
        <w:tabs>
          <w:tab w:val="left" w:pos="900"/>
        </w:tabs>
        <w:ind w:left="573" w:firstLine="655"/>
        <w:rPr>
          <w:rFonts w:ascii="宋体" w:hAnsi="宋体" w:cs="宋体"/>
          <w:b/>
          <w:bCs/>
          <w:color w:val="000000"/>
          <w:sz w:val="32"/>
          <w:szCs w:val="32"/>
          <w:lang w:val="zh-CN"/>
        </w:rPr>
      </w:pPr>
    </w:p>
    <w:p>
      <w:pPr>
        <w:pStyle w:val="2"/>
        <w:rPr>
          <w:rFonts w:ascii="宋体" w:hAnsi="宋体" w:cs="宋体"/>
          <w:b/>
          <w:bCs/>
          <w:color w:val="000000"/>
          <w:sz w:val="32"/>
          <w:szCs w:val="32"/>
          <w:lang w:val="zh-CN"/>
        </w:rPr>
      </w:pPr>
    </w:p>
    <w:p>
      <w:pPr>
        <w:pStyle w:val="3"/>
        <w:rPr>
          <w:rFonts w:ascii="宋体" w:hAnsi="宋体" w:eastAsia="宋体" w:cs="宋体"/>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p>
    <w:p>
      <w:pPr>
        <w:pStyle w:val="34"/>
        <w:rPr>
          <w:lang w:val="zh-CN"/>
        </w:rPr>
      </w:pPr>
    </w:p>
    <w:p>
      <w:pPr>
        <w:autoSpaceDE w:val="0"/>
        <w:autoSpaceDN w:val="0"/>
        <w:adjustRightInd w:val="0"/>
        <w:spacing w:line="380" w:lineRule="exact"/>
        <w:jc w:val="center"/>
        <w:rPr>
          <w:rFonts w:ascii="宋体" w:hAnsi="宋体" w:eastAsia="宋体" w:cs="宋体"/>
          <w:b/>
          <w:bCs/>
          <w:color w:val="000000"/>
          <w:sz w:val="32"/>
          <w:szCs w:val="32"/>
          <w:lang w:val="zh-CN"/>
        </w:rPr>
      </w:pPr>
      <w:r>
        <w:rPr>
          <w:rFonts w:hint="eastAsia" w:ascii="宋体" w:hAnsi="宋体" w:eastAsia="宋体" w:cs="宋体"/>
          <w:b/>
          <w:bCs/>
          <w:color w:val="000000"/>
          <w:sz w:val="32"/>
          <w:szCs w:val="32"/>
          <w:lang w:val="zh-CN"/>
        </w:rPr>
        <w:t>供应商自评表（格式可自拟）</w:t>
      </w:r>
    </w:p>
    <w:p>
      <w:pPr>
        <w:autoSpaceDE w:val="0"/>
        <w:autoSpaceDN w:val="0"/>
        <w:adjustRightInd w:val="0"/>
        <w:spacing w:line="380" w:lineRule="exact"/>
        <w:jc w:val="center"/>
        <w:rPr>
          <w:rFonts w:ascii="宋体" w:hAnsi="宋体" w:eastAsia="宋体" w:cs="宋体"/>
          <w:b/>
          <w:bCs/>
          <w:color w:val="000000"/>
          <w:sz w:val="32"/>
          <w:szCs w:val="32"/>
          <w:lang w:val="zh-CN"/>
        </w:rPr>
      </w:pPr>
    </w:p>
    <w:p>
      <w:pPr>
        <w:autoSpaceDE w:val="0"/>
        <w:autoSpaceDN w:val="0"/>
        <w:adjustRightInd w:val="0"/>
        <w:spacing w:line="380" w:lineRule="exact"/>
        <w:jc w:val="left"/>
        <w:rPr>
          <w:rFonts w:ascii="宋体" w:hAnsi="宋体" w:eastAsia="宋体" w:cs="宋体"/>
          <w:bCs/>
          <w:color w:val="000000"/>
          <w:sz w:val="21"/>
          <w:szCs w:val="21"/>
        </w:rPr>
      </w:pPr>
    </w:p>
    <w:p>
      <w:pPr>
        <w:autoSpaceDE w:val="0"/>
        <w:autoSpaceDN w:val="0"/>
        <w:adjustRightInd w:val="0"/>
        <w:spacing w:line="380" w:lineRule="exact"/>
        <w:jc w:val="left"/>
        <w:rPr>
          <w:rFonts w:ascii="宋体" w:hAnsi="宋体" w:eastAsia="宋体" w:cs="宋体"/>
          <w:bCs/>
          <w:color w:val="000000"/>
          <w:sz w:val="21"/>
          <w:szCs w:val="21"/>
        </w:rPr>
      </w:pPr>
      <w:r>
        <w:rPr>
          <w:rFonts w:hint="eastAsia" w:ascii="宋体" w:hAnsi="宋体" w:eastAsia="宋体" w:cs="宋体"/>
          <w:bCs/>
          <w:color w:val="000000"/>
          <w:sz w:val="21"/>
          <w:szCs w:val="21"/>
        </w:rPr>
        <w:t>项目名称：</w:t>
      </w:r>
    </w:p>
    <w:p>
      <w:pPr>
        <w:pStyle w:val="34"/>
      </w:pPr>
    </w:p>
    <w:p>
      <w:pPr>
        <w:autoSpaceDE w:val="0"/>
        <w:autoSpaceDN w:val="0"/>
        <w:adjustRightInd w:val="0"/>
        <w:spacing w:line="380" w:lineRule="exact"/>
        <w:jc w:val="center"/>
        <w:rPr>
          <w:rFonts w:ascii="宋体" w:hAnsi="宋体" w:eastAsia="宋体" w:cs="宋体"/>
          <w:b/>
          <w:bCs/>
          <w:color w:val="000000"/>
          <w:sz w:val="32"/>
          <w:szCs w:val="32"/>
          <w:lang w:val="zh-CN"/>
        </w:rPr>
      </w:pPr>
    </w:p>
    <w:tbl>
      <w:tblPr>
        <w:tblStyle w:val="61"/>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132"/>
        <w:gridCol w:w="2670"/>
        <w:gridCol w:w="3630"/>
        <w:gridCol w:w="1180"/>
        <w:gridCol w:w="118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21" w:hRule="atLeast"/>
        </w:trPr>
        <w:tc>
          <w:tcPr>
            <w:tcW w:w="1132" w:type="dxa"/>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序号</w:t>
            </w:r>
          </w:p>
        </w:tc>
        <w:tc>
          <w:tcPr>
            <w:tcW w:w="2670" w:type="dxa"/>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评标要求</w:t>
            </w:r>
          </w:p>
        </w:tc>
        <w:tc>
          <w:tcPr>
            <w:tcW w:w="3630" w:type="dxa"/>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分值</w:t>
            </w:r>
          </w:p>
        </w:tc>
        <w:tc>
          <w:tcPr>
            <w:tcW w:w="1180" w:type="dxa"/>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得分</w:t>
            </w:r>
          </w:p>
        </w:tc>
        <w:tc>
          <w:tcPr>
            <w:tcW w:w="1180" w:type="dxa"/>
            <w:vAlign w:val="center"/>
          </w:tcPr>
          <w:p>
            <w:pPr>
              <w:jc w:val="center"/>
              <w:rPr>
                <w:rFonts w:ascii="宋体" w:hAnsi="宋体" w:eastAsia="宋体" w:cs="宋体"/>
                <w:b/>
                <w:color w:val="000000"/>
                <w:sz w:val="21"/>
                <w:szCs w:val="21"/>
              </w:rPr>
            </w:pPr>
            <w:r>
              <w:rPr>
                <w:rFonts w:hint="eastAsia" w:ascii="宋体" w:hAnsi="宋体" w:eastAsia="宋体" w:cs="宋体"/>
                <w:b/>
                <w:color w:val="000000"/>
                <w:sz w:val="21"/>
                <w:szCs w:val="21"/>
              </w:rPr>
              <w:t>评分对应页码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04" w:hRule="atLeast"/>
        </w:trPr>
        <w:tc>
          <w:tcPr>
            <w:tcW w:w="1132" w:type="dxa"/>
            <w:vAlign w:val="center"/>
          </w:tcPr>
          <w:p>
            <w:pPr>
              <w:spacing w:line="360" w:lineRule="exact"/>
              <w:jc w:val="center"/>
              <w:rPr>
                <w:rFonts w:ascii="宋体" w:hAnsi="宋体" w:eastAsia="宋体" w:cs="宋体"/>
                <w:color w:val="000000"/>
                <w:sz w:val="21"/>
                <w:szCs w:val="21"/>
              </w:rPr>
            </w:pPr>
          </w:p>
        </w:tc>
        <w:tc>
          <w:tcPr>
            <w:tcW w:w="2670" w:type="dxa"/>
            <w:vAlign w:val="center"/>
          </w:tcPr>
          <w:p>
            <w:pPr>
              <w:adjustRightInd w:val="0"/>
              <w:snapToGrid w:val="0"/>
              <w:spacing w:line="360" w:lineRule="exact"/>
              <w:ind w:left="216" w:hanging="216" w:hangingChars="100"/>
              <w:rPr>
                <w:rFonts w:ascii="宋体" w:hAnsi="宋体" w:eastAsia="宋体" w:cs="宋体"/>
                <w:bCs/>
                <w:color w:val="000000"/>
                <w:sz w:val="21"/>
                <w:szCs w:val="21"/>
              </w:rPr>
            </w:pPr>
          </w:p>
        </w:tc>
        <w:tc>
          <w:tcPr>
            <w:tcW w:w="3630" w:type="dxa"/>
            <w:vAlign w:val="center"/>
          </w:tcPr>
          <w:p>
            <w:pPr>
              <w:adjustRightInd w:val="0"/>
              <w:snapToGrid w:val="0"/>
              <w:jc w:val="center"/>
              <w:rPr>
                <w:rFonts w:ascii="宋体" w:hAnsi="宋体" w:eastAsia="宋体" w:cs="宋体"/>
                <w:bCs/>
                <w:color w:val="000000"/>
                <w:sz w:val="21"/>
                <w:szCs w:val="21"/>
              </w:rPr>
            </w:pPr>
          </w:p>
        </w:tc>
        <w:tc>
          <w:tcPr>
            <w:tcW w:w="1180" w:type="dxa"/>
            <w:vAlign w:val="center"/>
          </w:tcPr>
          <w:p>
            <w:pPr>
              <w:spacing w:line="360" w:lineRule="exact"/>
              <w:jc w:val="left"/>
              <w:rPr>
                <w:rFonts w:ascii="宋体" w:hAnsi="宋体" w:eastAsia="宋体" w:cs="宋体"/>
                <w:color w:val="000000"/>
                <w:sz w:val="21"/>
                <w:szCs w:val="21"/>
                <w:u w:val="double"/>
              </w:rPr>
            </w:pPr>
          </w:p>
        </w:tc>
        <w:tc>
          <w:tcPr>
            <w:tcW w:w="1180" w:type="dxa"/>
            <w:vAlign w:val="center"/>
          </w:tcPr>
          <w:p>
            <w:pPr>
              <w:spacing w:line="360" w:lineRule="exact"/>
              <w:jc w:val="left"/>
              <w:rPr>
                <w:rFonts w:ascii="宋体" w:hAnsi="宋体" w:eastAsia="宋体" w:cs="宋体"/>
                <w:color w:val="000000"/>
                <w:sz w:val="21"/>
                <w:szCs w:val="21"/>
                <w:u w:val="doub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5" w:hRule="atLeast"/>
        </w:trPr>
        <w:tc>
          <w:tcPr>
            <w:tcW w:w="1132" w:type="dxa"/>
            <w:vAlign w:val="center"/>
          </w:tcPr>
          <w:p>
            <w:pPr>
              <w:spacing w:line="360" w:lineRule="exact"/>
              <w:jc w:val="center"/>
              <w:rPr>
                <w:rFonts w:ascii="宋体" w:hAnsi="宋体" w:eastAsia="宋体" w:cs="宋体"/>
                <w:color w:val="000000"/>
                <w:sz w:val="21"/>
                <w:szCs w:val="21"/>
              </w:rPr>
            </w:pPr>
          </w:p>
        </w:tc>
        <w:tc>
          <w:tcPr>
            <w:tcW w:w="2670" w:type="dxa"/>
            <w:vAlign w:val="center"/>
          </w:tcPr>
          <w:p>
            <w:pPr>
              <w:adjustRightInd w:val="0"/>
              <w:snapToGrid w:val="0"/>
              <w:spacing w:line="360" w:lineRule="exact"/>
              <w:rPr>
                <w:rFonts w:ascii="宋体" w:hAnsi="宋体" w:eastAsia="宋体" w:cs="宋体"/>
                <w:bCs/>
                <w:color w:val="000000"/>
                <w:sz w:val="21"/>
                <w:szCs w:val="21"/>
              </w:rPr>
            </w:pPr>
          </w:p>
        </w:tc>
        <w:tc>
          <w:tcPr>
            <w:tcW w:w="3630" w:type="dxa"/>
            <w:vAlign w:val="center"/>
          </w:tcPr>
          <w:p>
            <w:pPr>
              <w:adjustRightInd w:val="0"/>
              <w:snapToGrid w:val="0"/>
              <w:jc w:val="center"/>
              <w:rPr>
                <w:rFonts w:ascii="宋体" w:hAnsi="宋体" w:eastAsia="宋体" w:cs="宋体"/>
                <w:bCs/>
                <w:color w:val="000000"/>
                <w:sz w:val="21"/>
                <w:szCs w:val="21"/>
              </w:rPr>
            </w:pPr>
          </w:p>
        </w:tc>
        <w:tc>
          <w:tcPr>
            <w:tcW w:w="1180" w:type="dxa"/>
            <w:vAlign w:val="center"/>
          </w:tcPr>
          <w:p>
            <w:pPr>
              <w:spacing w:line="360" w:lineRule="exact"/>
              <w:jc w:val="left"/>
              <w:rPr>
                <w:rFonts w:ascii="宋体" w:hAnsi="宋体" w:eastAsia="宋体" w:cs="宋体"/>
                <w:color w:val="000000"/>
                <w:sz w:val="21"/>
                <w:szCs w:val="21"/>
                <w:u w:val="double"/>
              </w:rPr>
            </w:pPr>
          </w:p>
        </w:tc>
        <w:tc>
          <w:tcPr>
            <w:tcW w:w="1180" w:type="dxa"/>
            <w:vAlign w:val="center"/>
          </w:tcPr>
          <w:p>
            <w:pPr>
              <w:spacing w:line="360" w:lineRule="exact"/>
              <w:jc w:val="left"/>
              <w:rPr>
                <w:rFonts w:ascii="宋体" w:hAnsi="宋体" w:eastAsia="宋体" w:cs="宋体"/>
                <w:color w:val="000000"/>
                <w:sz w:val="21"/>
                <w:szCs w:val="21"/>
                <w:u w:val="doubl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56" w:hRule="atLeast"/>
        </w:trPr>
        <w:tc>
          <w:tcPr>
            <w:tcW w:w="1132" w:type="dxa"/>
            <w:vAlign w:val="center"/>
          </w:tcPr>
          <w:p>
            <w:pPr>
              <w:spacing w:line="360" w:lineRule="exact"/>
              <w:rPr>
                <w:rFonts w:ascii="宋体" w:hAnsi="宋体" w:eastAsia="宋体" w:cs="宋体"/>
                <w:color w:val="000000"/>
                <w:sz w:val="21"/>
                <w:szCs w:val="21"/>
                <w:shd w:val="clear" w:color="auto" w:fill="D9D9D9"/>
              </w:rPr>
            </w:pPr>
            <w:r>
              <w:rPr>
                <w:rFonts w:hint="eastAsia" w:ascii="宋体" w:hAnsi="宋体" w:eastAsia="宋体" w:cs="宋体"/>
                <w:color w:val="000000"/>
                <w:sz w:val="21"/>
                <w:szCs w:val="21"/>
              </w:rPr>
              <w:t>……</w:t>
            </w:r>
          </w:p>
        </w:tc>
        <w:tc>
          <w:tcPr>
            <w:tcW w:w="2670" w:type="dxa"/>
            <w:vAlign w:val="center"/>
          </w:tcPr>
          <w:p>
            <w:pPr>
              <w:adjustRightInd w:val="0"/>
              <w:snapToGrid w:val="0"/>
              <w:spacing w:line="360" w:lineRule="exact"/>
              <w:textAlignment w:val="baseline"/>
              <w:rPr>
                <w:rFonts w:ascii="宋体" w:hAnsi="宋体" w:eastAsia="宋体" w:cs="宋体"/>
                <w:bCs/>
                <w:color w:val="000000"/>
                <w:sz w:val="21"/>
                <w:szCs w:val="21"/>
              </w:rPr>
            </w:pPr>
          </w:p>
        </w:tc>
        <w:tc>
          <w:tcPr>
            <w:tcW w:w="3630" w:type="dxa"/>
            <w:vAlign w:val="center"/>
          </w:tcPr>
          <w:p>
            <w:pPr>
              <w:adjustRightInd w:val="0"/>
              <w:snapToGrid w:val="0"/>
              <w:jc w:val="center"/>
              <w:textAlignment w:val="baseline"/>
              <w:rPr>
                <w:rFonts w:ascii="宋体" w:hAnsi="宋体" w:eastAsia="宋体" w:cs="宋体"/>
                <w:bCs/>
                <w:color w:val="000000"/>
                <w:sz w:val="21"/>
                <w:szCs w:val="21"/>
              </w:rPr>
            </w:pPr>
          </w:p>
        </w:tc>
        <w:tc>
          <w:tcPr>
            <w:tcW w:w="1180" w:type="dxa"/>
            <w:vAlign w:val="center"/>
          </w:tcPr>
          <w:p>
            <w:pPr>
              <w:spacing w:line="360" w:lineRule="exact"/>
              <w:jc w:val="left"/>
              <w:rPr>
                <w:rFonts w:ascii="宋体" w:hAnsi="宋体" w:eastAsia="宋体" w:cs="宋体"/>
                <w:color w:val="000000"/>
                <w:sz w:val="21"/>
                <w:szCs w:val="21"/>
              </w:rPr>
            </w:pPr>
          </w:p>
        </w:tc>
        <w:tc>
          <w:tcPr>
            <w:tcW w:w="1180" w:type="dxa"/>
            <w:vAlign w:val="center"/>
          </w:tcPr>
          <w:p>
            <w:pPr>
              <w:spacing w:line="360" w:lineRule="exact"/>
              <w:jc w:val="left"/>
              <w:rPr>
                <w:rFonts w:ascii="宋体" w:hAnsi="宋体" w:eastAsia="宋体" w:cs="宋体"/>
                <w:color w:val="000000"/>
                <w:sz w:val="21"/>
                <w:szCs w:val="21"/>
              </w:rPr>
            </w:pPr>
          </w:p>
        </w:tc>
      </w:tr>
    </w:tbl>
    <w:p>
      <w:pPr>
        <w:autoSpaceDE w:val="0"/>
        <w:autoSpaceDN w:val="0"/>
        <w:adjustRightInd w:val="0"/>
        <w:spacing w:line="380" w:lineRule="exact"/>
        <w:jc w:val="center"/>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400" w:lineRule="exact"/>
        <w:rPr>
          <w:rFonts w:ascii="宋体" w:hAnsi="宋体" w:eastAsia="宋体" w:cs="宋体"/>
          <w:color w:val="000000"/>
          <w:sz w:val="24"/>
          <w:szCs w:val="24"/>
          <w:u w:val="single"/>
        </w:rPr>
      </w:pPr>
      <w:r>
        <w:rPr>
          <w:rFonts w:hint="eastAsia" w:ascii="宋体" w:hAnsi="宋体" w:eastAsia="宋体" w:cs="宋体"/>
          <w:color w:val="000000"/>
          <w:sz w:val="24"/>
        </w:rPr>
        <w:t>投标人全称（盖章）：</w:t>
      </w:r>
    </w:p>
    <w:p>
      <w:pPr>
        <w:snapToGrid w:val="0"/>
        <w:spacing w:line="400" w:lineRule="exact"/>
        <w:rPr>
          <w:rFonts w:ascii="宋体" w:hAnsi="宋体" w:eastAsia="宋体" w:cs="宋体"/>
          <w:color w:val="000000"/>
          <w:sz w:val="24"/>
          <w:szCs w:val="24"/>
        </w:rPr>
      </w:pPr>
      <w:r>
        <w:rPr>
          <w:rFonts w:hint="eastAsia" w:ascii="宋体" w:hAnsi="宋体" w:eastAsia="宋体" w:cs="宋体"/>
          <w:color w:val="000000"/>
          <w:sz w:val="24"/>
          <w:szCs w:val="24"/>
        </w:rPr>
        <w:t>法定代表人（盖章或签字）：</w:t>
      </w:r>
    </w:p>
    <w:p>
      <w:pPr>
        <w:adjustRightInd w:val="0"/>
        <w:spacing w:line="500" w:lineRule="exact"/>
        <w:textAlignment w:val="baseline"/>
        <w:rPr>
          <w:rFonts w:ascii="宋体" w:hAnsi="宋体" w:eastAsia="宋体" w:cs="宋体"/>
          <w:color w:val="000000"/>
          <w:sz w:val="24"/>
        </w:rPr>
      </w:pPr>
      <w:r>
        <w:rPr>
          <w:rFonts w:hint="eastAsia" w:ascii="宋体" w:hAnsi="宋体" w:eastAsia="宋体" w:cs="宋体"/>
          <w:color w:val="000000"/>
          <w:sz w:val="24"/>
        </w:rPr>
        <w:t xml:space="preserve">日    期：    </w:t>
      </w: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380" w:lineRule="exact"/>
        <w:rPr>
          <w:rFonts w:ascii="宋体" w:hAnsi="宋体" w:eastAsia="宋体" w:cs="宋体"/>
          <w:b/>
          <w:bCs/>
          <w:color w:val="000000"/>
          <w:sz w:val="32"/>
          <w:szCs w:val="32"/>
        </w:rPr>
      </w:pPr>
    </w:p>
    <w:p>
      <w:pPr>
        <w:autoSpaceDE w:val="0"/>
        <w:autoSpaceDN w:val="0"/>
        <w:adjustRightInd w:val="0"/>
        <w:spacing w:line="400" w:lineRule="exact"/>
        <w:jc w:val="left"/>
        <w:rPr>
          <w:rFonts w:ascii="宋体" w:hAnsi="宋体" w:eastAsia="宋体" w:cs="宋体"/>
          <w:color w:val="000000"/>
          <w:sz w:val="24"/>
        </w:rPr>
      </w:pPr>
    </w:p>
    <w:p>
      <w:pPr>
        <w:autoSpaceDE w:val="0"/>
        <w:autoSpaceDN w:val="0"/>
        <w:adjustRightInd w:val="0"/>
        <w:spacing w:line="400" w:lineRule="exact"/>
        <w:jc w:val="center"/>
        <w:rPr>
          <w:rFonts w:ascii="宋体" w:hAnsi="宋体" w:eastAsia="宋体" w:cs="宋体"/>
          <w:b/>
          <w:color w:val="000000"/>
          <w:sz w:val="30"/>
          <w:szCs w:val="30"/>
          <w:lang w:val="zh-CN"/>
        </w:rPr>
      </w:pPr>
      <w:r>
        <w:rPr>
          <w:rFonts w:hint="eastAsia" w:ascii="宋体" w:hAnsi="宋体" w:eastAsia="宋体" w:cs="宋体"/>
          <w:b/>
          <w:color w:val="000000"/>
          <w:sz w:val="30"/>
          <w:szCs w:val="30"/>
        </w:rPr>
        <w:t xml:space="preserve">  </w:t>
      </w:r>
      <w:r>
        <w:rPr>
          <w:rFonts w:hint="eastAsia" w:ascii="宋体" w:hAnsi="宋体" w:eastAsia="宋体" w:cs="宋体"/>
          <w:b/>
          <w:color w:val="000000"/>
          <w:sz w:val="30"/>
          <w:szCs w:val="30"/>
          <w:lang w:val="zh-CN"/>
        </w:rPr>
        <w:t>项目组织管理机构情况一览表</w:t>
      </w:r>
    </w:p>
    <w:p>
      <w:pPr>
        <w:autoSpaceDE w:val="0"/>
        <w:autoSpaceDN w:val="0"/>
        <w:adjustRightInd w:val="0"/>
        <w:spacing w:line="400" w:lineRule="exact"/>
        <w:jc w:val="center"/>
        <w:rPr>
          <w:rFonts w:ascii="宋体" w:hAnsi="宋体" w:eastAsia="宋体" w:cs="宋体"/>
          <w:color w:val="000000"/>
          <w:sz w:val="30"/>
          <w:szCs w:val="30"/>
          <w:lang w:val="zh-CN"/>
        </w:rPr>
      </w:pPr>
    </w:p>
    <w:tbl>
      <w:tblPr>
        <w:tblStyle w:val="61"/>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45"/>
        <w:gridCol w:w="1636"/>
        <w:gridCol w:w="1354"/>
        <w:gridCol w:w="709"/>
        <w:gridCol w:w="873"/>
        <w:gridCol w:w="2559"/>
        <w:gridCol w:w="13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65" w:hRule="atLeast"/>
          <w:jc w:val="center"/>
        </w:trPr>
        <w:tc>
          <w:tcPr>
            <w:tcW w:w="745" w:type="dxa"/>
            <w:vAlign w:val="center"/>
          </w:tcPr>
          <w:p>
            <w:pPr>
              <w:pStyle w:val="34"/>
              <w:jc w:val="center"/>
              <w:rPr>
                <w:rFonts w:hAnsi="宋体" w:cs="宋体"/>
                <w:color w:val="000000"/>
              </w:rPr>
            </w:pPr>
            <w:r>
              <w:rPr>
                <w:rFonts w:hint="eastAsia" w:hAnsi="宋体" w:cs="宋体"/>
                <w:color w:val="000000"/>
                <w:sz w:val="24"/>
              </w:rPr>
              <w:t>序号</w:t>
            </w:r>
          </w:p>
        </w:tc>
        <w:tc>
          <w:tcPr>
            <w:tcW w:w="1636" w:type="dxa"/>
            <w:vAlign w:val="center"/>
          </w:tcPr>
          <w:p>
            <w:pPr>
              <w:pStyle w:val="34"/>
              <w:jc w:val="center"/>
              <w:rPr>
                <w:rFonts w:hAnsi="宋体" w:cs="宋体"/>
                <w:color w:val="000000"/>
              </w:rPr>
            </w:pPr>
            <w:r>
              <w:rPr>
                <w:rFonts w:hint="eastAsia" w:hAnsi="宋体" w:cs="宋体"/>
                <w:color w:val="000000"/>
                <w:sz w:val="24"/>
              </w:rPr>
              <w:t>本项目中的岗位</w:t>
            </w:r>
          </w:p>
        </w:tc>
        <w:tc>
          <w:tcPr>
            <w:tcW w:w="1354" w:type="dxa"/>
            <w:vAlign w:val="center"/>
          </w:tcPr>
          <w:p>
            <w:pPr>
              <w:pStyle w:val="34"/>
              <w:jc w:val="center"/>
              <w:rPr>
                <w:rFonts w:hAnsi="宋体" w:cs="宋体"/>
                <w:color w:val="000000"/>
              </w:rPr>
            </w:pPr>
            <w:r>
              <w:rPr>
                <w:rFonts w:hint="eastAsia" w:hAnsi="宋体" w:cs="宋体"/>
                <w:color w:val="000000"/>
                <w:sz w:val="24"/>
              </w:rPr>
              <w:t>姓  名</w:t>
            </w:r>
          </w:p>
        </w:tc>
        <w:tc>
          <w:tcPr>
            <w:tcW w:w="709" w:type="dxa"/>
            <w:vAlign w:val="center"/>
          </w:tcPr>
          <w:p>
            <w:pPr>
              <w:pStyle w:val="34"/>
              <w:jc w:val="center"/>
              <w:rPr>
                <w:rFonts w:hAnsi="宋体" w:cs="宋体"/>
                <w:color w:val="000000"/>
              </w:rPr>
            </w:pPr>
            <w:r>
              <w:rPr>
                <w:rFonts w:hint="eastAsia" w:hAnsi="宋体" w:cs="宋体"/>
                <w:color w:val="000000"/>
                <w:sz w:val="24"/>
              </w:rPr>
              <w:t>性别</w:t>
            </w:r>
          </w:p>
        </w:tc>
        <w:tc>
          <w:tcPr>
            <w:tcW w:w="873" w:type="dxa"/>
            <w:vAlign w:val="center"/>
          </w:tcPr>
          <w:p>
            <w:pPr>
              <w:pStyle w:val="34"/>
              <w:jc w:val="center"/>
              <w:rPr>
                <w:rFonts w:hAnsi="宋体" w:cs="宋体"/>
                <w:color w:val="000000"/>
              </w:rPr>
            </w:pPr>
            <w:r>
              <w:rPr>
                <w:rFonts w:hint="eastAsia" w:hAnsi="宋体" w:cs="宋体"/>
                <w:color w:val="000000"/>
                <w:sz w:val="24"/>
              </w:rPr>
              <w:t>年 龄</w:t>
            </w:r>
          </w:p>
        </w:tc>
        <w:tc>
          <w:tcPr>
            <w:tcW w:w="2559" w:type="dxa"/>
            <w:vAlign w:val="center"/>
          </w:tcPr>
          <w:p>
            <w:pPr>
              <w:pStyle w:val="34"/>
              <w:jc w:val="center"/>
              <w:rPr>
                <w:rFonts w:hAnsi="宋体" w:cs="宋体"/>
                <w:color w:val="000000"/>
              </w:rPr>
            </w:pPr>
            <w:r>
              <w:rPr>
                <w:rFonts w:hint="eastAsia" w:hAnsi="宋体" w:cs="宋体"/>
                <w:color w:val="000000"/>
                <w:sz w:val="24"/>
              </w:rPr>
              <w:t>参加本单位工作年限</w:t>
            </w:r>
          </w:p>
        </w:tc>
        <w:tc>
          <w:tcPr>
            <w:tcW w:w="1335" w:type="dxa"/>
            <w:vAlign w:val="center"/>
          </w:tcPr>
          <w:p>
            <w:pPr>
              <w:pStyle w:val="34"/>
              <w:jc w:val="center"/>
              <w:rPr>
                <w:rFonts w:hAnsi="宋体" w:cs="宋体"/>
                <w:color w:val="000000"/>
              </w:rPr>
            </w:pPr>
            <w:r>
              <w:rPr>
                <w:rFonts w:hint="eastAsia" w:hAnsi="宋体" w:cs="宋体"/>
                <w:color w:val="000000"/>
                <w:sz w:val="24"/>
              </w:rPr>
              <w:t>职称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1</w:t>
            </w:r>
          </w:p>
        </w:tc>
        <w:tc>
          <w:tcPr>
            <w:tcW w:w="1636" w:type="dxa"/>
            <w:vAlign w:val="center"/>
          </w:tcPr>
          <w:p>
            <w:pPr>
              <w:pStyle w:val="28"/>
              <w:spacing w:line="560" w:lineRule="exact"/>
              <w:jc w:val="center"/>
              <w:rPr>
                <w:rFonts w:ascii="宋体" w:hAnsi="宋体" w:eastAsia="宋体" w:cs="宋体"/>
                <w:color w:val="000000"/>
                <w:sz w:val="21"/>
                <w:szCs w:val="21"/>
                <w:lang w:val="zh-CN"/>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2</w:t>
            </w:r>
          </w:p>
        </w:tc>
        <w:tc>
          <w:tcPr>
            <w:tcW w:w="1636" w:type="dxa"/>
            <w:vAlign w:val="center"/>
          </w:tcPr>
          <w:p>
            <w:pPr>
              <w:pStyle w:val="28"/>
              <w:spacing w:line="560" w:lineRule="exact"/>
              <w:jc w:val="center"/>
              <w:rPr>
                <w:rFonts w:ascii="宋体" w:hAnsi="宋体" w:eastAsia="宋体" w:cs="宋体"/>
                <w:color w:val="000000"/>
                <w:sz w:val="21"/>
                <w:szCs w:val="21"/>
                <w:lang w:val="zh-CN"/>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3</w:t>
            </w:r>
          </w:p>
        </w:tc>
        <w:tc>
          <w:tcPr>
            <w:tcW w:w="1636" w:type="dxa"/>
            <w:vAlign w:val="center"/>
          </w:tcPr>
          <w:p>
            <w:pPr>
              <w:pStyle w:val="28"/>
              <w:spacing w:line="560" w:lineRule="exact"/>
              <w:jc w:val="center"/>
              <w:rPr>
                <w:rFonts w:ascii="宋体" w:hAnsi="宋体" w:eastAsia="宋体" w:cs="宋体"/>
                <w:color w:val="000000"/>
                <w:sz w:val="21"/>
                <w:szCs w:val="21"/>
                <w:lang w:val="zh-CN"/>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4</w:t>
            </w:r>
          </w:p>
        </w:tc>
        <w:tc>
          <w:tcPr>
            <w:tcW w:w="1636" w:type="dxa"/>
            <w:vAlign w:val="center"/>
          </w:tcPr>
          <w:p>
            <w:pPr>
              <w:pStyle w:val="28"/>
              <w:spacing w:line="560" w:lineRule="exact"/>
              <w:jc w:val="center"/>
              <w:rPr>
                <w:rFonts w:ascii="宋体" w:hAnsi="宋体" w:eastAsia="宋体" w:cs="宋体"/>
                <w:color w:val="000000"/>
                <w:sz w:val="21"/>
                <w:szCs w:val="21"/>
                <w:lang w:val="zh-CN"/>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5</w:t>
            </w:r>
          </w:p>
        </w:tc>
        <w:tc>
          <w:tcPr>
            <w:tcW w:w="1636" w:type="dxa"/>
          </w:tcPr>
          <w:p>
            <w:pPr>
              <w:pStyle w:val="34"/>
              <w:jc w:val="center"/>
              <w:rPr>
                <w:rFonts w:hAnsi="宋体" w:cs="宋体"/>
                <w:color w:val="000000"/>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6</w:t>
            </w:r>
          </w:p>
        </w:tc>
        <w:tc>
          <w:tcPr>
            <w:tcW w:w="1636" w:type="dxa"/>
          </w:tcPr>
          <w:p>
            <w:pPr>
              <w:pStyle w:val="34"/>
              <w:jc w:val="center"/>
              <w:rPr>
                <w:rFonts w:hAnsi="宋体" w:cs="宋体"/>
                <w:color w:val="000000"/>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7</w:t>
            </w:r>
          </w:p>
        </w:tc>
        <w:tc>
          <w:tcPr>
            <w:tcW w:w="1636" w:type="dxa"/>
          </w:tcPr>
          <w:p>
            <w:pPr>
              <w:pStyle w:val="34"/>
              <w:jc w:val="center"/>
              <w:rPr>
                <w:rFonts w:hAnsi="宋体" w:cs="宋体"/>
                <w:color w:val="000000"/>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8</w:t>
            </w:r>
          </w:p>
        </w:tc>
        <w:tc>
          <w:tcPr>
            <w:tcW w:w="1636" w:type="dxa"/>
          </w:tcPr>
          <w:p>
            <w:pPr>
              <w:pStyle w:val="34"/>
              <w:jc w:val="center"/>
              <w:rPr>
                <w:rFonts w:hAnsi="宋体" w:cs="宋体"/>
                <w:color w:val="000000"/>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9</w:t>
            </w:r>
          </w:p>
        </w:tc>
        <w:tc>
          <w:tcPr>
            <w:tcW w:w="1636" w:type="dxa"/>
          </w:tcPr>
          <w:p>
            <w:pPr>
              <w:pStyle w:val="34"/>
              <w:jc w:val="center"/>
              <w:rPr>
                <w:rFonts w:hAnsi="宋体" w:cs="宋体"/>
                <w:color w:val="000000"/>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10</w:t>
            </w:r>
          </w:p>
        </w:tc>
        <w:tc>
          <w:tcPr>
            <w:tcW w:w="1636" w:type="dxa"/>
          </w:tcPr>
          <w:p>
            <w:pPr>
              <w:pStyle w:val="34"/>
              <w:jc w:val="center"/>
              <w:rPr>
                <w:rFonts w:hAnsi="宋体" w:cs="宋体"/>
                <w:color w:val="000000"/>
              </w:rPr>
            </w:pPr>
          </w:p>
        </w:tc>
        <w:tc>
          <w:tcPr>
            <w:tcW w:w="1354" w:type="dxa"/>
            <w:vAlign w:val="center"/>
          </w:tcPr>
          <w:p>
            <w:pPr>
              <w:pStyle w:val="34"/>
              <w:jc w:val="center"/>
              <w:rPr>
                <w:rFonts w:hAnsi="宋体" w:cs="宋体"/>
                <w:color w:val="000000"/>
              </w:rPr>
            </w:pP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2" w:hRule="exact"/>
          <w:jc w:val="center"/>
        </w:trPr>
        <w:tc>
          <w:tcPr>
            <w:tcW w:w="745" w:type="dxa"/>
            <w:vAlign w:val="center"/>
          </w:tcPr>
          <w:p>
            <w:pPr>
              <w:pStyle w:val="34"/>
              <w:jc w:val="center"/>
              <w:rPr>
                <w:rFonts w:hAnsi="宋体" w:cs="宋体"/>
                <w:color w:val="000000"/>
              </w:rPr>
            </w:pPr>
            <w:r>
              <w:rPr>
                <w:rFonts w:hint="eastAsia" w:hAnsi="宋体" w:cs="宋体"/>
                <w:color w:val="000000"/>
              </w:rPr>
              <w:t>....</w:t>
            </w:r>
          </w:p>
        </w:tc>
        <w:tc>
          <w:tcPr>
            <w:tcW w:w="1636" w:type="dxa"/>
          </w:tcPr>
          <w:p>
            <w:pPr>
              <w:pStyle w:val="34"/>
              <w:jc w:val="center"/>
              <w:rPr>
                <w:rFonts w:hAnsi="宋体" w:cs="宋体"/>
                <w:color w:val="000000"/>
              </w:rPr>
            </w:pPr>
            <w:r>
              <w:rPr>
                <w:rFonts w:hint="eastAsia" w:hAnsi="宋体" w:cs="宋体"/>
                <w:color w:val="000000"/>
              </w:rPr>
              <w:t>.......</w:t>
            </w:r>
          </w:p>
        </w:tc>
        <w:tc>
          <w:tcPr>
            <w:tcW w:w="1354" w:type="dxa"/>
            <w:vAlign w:val="center"/>
          </w:tcPr>
          <w:p>
            <w:pPr>
              <w:pStyle w:val="34"/>
              <w:jc w:val="center"/>
              <w:rPr>
                <w:rFonts w:hAnsi="宋体" w:cs="宋体"/>
                <w:color w:val="000000"/>
              </w:rPr>
            </w:pPr>
            <w:r>
              <w:rPr>
                <w:rFonts w:hint="eastAsia" w:hAnsi="宋体" w:cs="宋体"/>
                <w:color w:val="000000"/>
              </w:rPr>
              <w:t>.....</w:t>
            </w:r>
          </w:p>
        </w:tc>
        <w:tc>
          <w:tcPr>
            <w:tcW w:w="709" w:type="dxa"/>
            <w:vAlign w:val="center"/>
          </w:tcPr>
          <w:p>
            <w:pPr>
              <w:pStyle w:val="34"/>
              <w:jc w:val="center"/>
              <w:rPr>
                <w:rFonts w:hAnsi="宋体" w:cs="宋体"/>
                <w:color w:val="000000"/>
              </w:rPr>
            </w:pPr>
          </w:p>
        </w:tc>
        <w:tc>
          <w:tcPr>
            <w:tcW w:w="873" w:type="dxa"/>
          </w:tcPr>
          <w:p>
            <w:pPr>
              <w:pStyle w:val="34"/>
              <w:jc w:val="center"/>
              <w:rPr>
                <w:rFonts w:hAnsi="宋体" w:cs="宋体"/>
                <w:color w:val="000000"/>
              </w:rPr>
            </w:pPr>
          </w:p>
        </w:tc>
        <w:tc>
          <w:tcPr>
            <w:tcW w:w="2559" w:type="dxa"/>
            <w:vAlign w:val="center"/>
          </w:tcPr>
          <w:p>
            <w:pPr>
              <w:pStyle w:val="34"/>
              <w:jc w:val="center"/>
              <w:rPr>
                <w:rFonts w:hAnsi="宋体" w:cs="宋体"/>
                <w:color w:val="000000"/>
              </w:rPr>
            </w:pPr>
          </w:p>
        </w:tc>
        <w:tc>
          <w:tcPr>
            <w:tcW w:w="1335" w:type="dxa"/>
          </w:tcPr>
          <w:p>
            <w:pPr>
              <w:pStyle w:val="34"/>
              <w:jc w:val="center"/>
              <w:rPr>
                <w:rFonts w:hAnsi="宋体" w:cs="宋体"/>
                <w:color w:val="000000"/>
              </w:rPr>
            </w:pPr>
          </w:p>
        </w:tc>
      </w:tr>
    </w:tbl>
    <w:p>
      <w:pPr>
        <w:rPr>
          <w:rFonts w:ascii="宋体" w:hAnsi="宋体" w:eastAsia="宋体" w:cs="宋体"/>
          <w:color w:val="000000"/>
          <w:sz w:val="24"/>
          <w:lang w:val="zh-CN"/>
        </w:rPr>
      </w:pPr>
    </w:p>
    <w:p>
      <w:pPr>
        <w:rPr>
          <w:rFonts w:ascii="宋体" w:hAnsi="宋体" w:eastAsia="宋体" w:cs="宋体"/>
          <w:color w:val="000000"/>
        </w:rPr>
      </w:pPr>
      <w:r>
        <w:rPr>
          <w:rFonts w:hint="eastAsia" w:ascii="宋体" w:hAnsi="宋体" w:eastAsia="宋体" w:cs="宋体"/>
          <w:color w:val="000000"/>
          <w:sz w:val="24"/>
          <w:lang w:val="zh-CN"/>
        </w:rPr>
        <w:t xml:space="preserve">    </w:t>
      </w:r>
    </w:p>
    <w:p>
      <w:pPr>
        <w:spacing w:line="500" w:lineRule="exact"/>
        <w:textAlignment w:val="baseline"/>
        <w:rPr>
          <w:rFonts w:ascii="宋体" w:hAnsi="宋体" w:eastAsia="宋体" w:cs="宋体"/>
          <w:color w:val="000000"/>
          <w:sz w:val="24"/>
        </w:rPr>
      </w:pPr>
    </w:p>
    <w:p>
      <w:pPr>
        <w:adjustRightInd w:val="0"/>
        <w:spacing w:line="500" w:lineRule="exact"/>
        <w:textAlignment w:val="baseline"/>
        <w:rPr>
          <w:rFonts w:ascii="宋体" w:hAnsi="宋体" w:eastAsia="宋体" w:cs="宋体"/>
          <w:color w:val="000000"/>
          <w:sz w:val="24"/>
        </w:rPr>
      </w:pPr>
      <w:r>
        <w:rPr>
          <w:rFonts w:hint="eastAsia" w:ascii="宋体" w:hAnsi="宋体" w:eastAsia="宋体" w:cs="宋体"/>
          <w:color w:val="000000"/>
          <w:sz w:val="24"/>
        </w:rPr>
        <w:t>投标人全称（盖章）：</w:t>
      </w:r>
    </w:p>
    <w:p>
      <w:pPr>
        <w:adjustRightInd w:val="0"/>
        <w:spacing w:line="500" w:lineRule="exact"/>
        <w:textAlignment w:val="baseline"/>
        <w:rPr>
          <w:rFonts w:ascii="宋体" w:hAnsi="宋体" w:eastAsia="宋体" w:cs="宋体"/>
          <w:color w:val="000000"/>
          <w:sz w:val="24"/>
        </w:rPr>
      </w:pPr>
      <w:r>
        <w:rPr>
          <w:rFonts w:hint="eastAsia" w:ascii="宋体" w:hAnsi="宋体" w:eastAsia="宋体" w:cs="宋体"/>
          <w:color w:val="000000"/>
          <w:sz w:val="24"/>
        </w:rPr>
        <w:t>投标人代表（盖章或签字）：</w:t>
      </w:r>
    </w:p>
    <w:p>
      <w:pPr>
        <w:adjustRightInd w:val="0"/>
        <w:spacing w:line="500" w:lineRule="exact"/>
        <w:textAlignment w:val="baseline"/>
        <w:rPr>
          <w:rFonts w:ascii="宋体" w:hAnsi="宋体" w:eastAsia="宋体" w:cs="宋体"/>
          <w:color w:val="000000"/>
          <w:sz w:val="24"/>
        </w:rPr>
      </w:pPr>
      <w:r>
        <w:rPr>
          <w:rFonts w:hint="eastAsia" w:ascii="宋体" w:hAnsi="宋体" w:eastAsia="宋体" w:cs="宋体"/>
          <w:color w:val="000000"/>
          <w:sz w:val="24"/>
        </w:rPr>
        <w:t xml:space="preserve">日    期：       </w:t>
      </w:r>
    </w:p>
    <w:p>
      <w:pPr>
        <w:adjustRightInd w:val="0"/>
        <w:spacing w:line="500" w:lineRule="exact"/>
        <w:textAlignment w:val="baseline"/>
        <w:rPr>
          <w:rFonts w:ascii="宋体" w:hAnsi="宋体" w:eastAsia="宋体" w:cs="宋体"/>
          <w:color w:val="000000"/>
          <w:sz w:val="24"/>
        </w:rPr>
      </w:pPr>
    </w:p>
    <w:p>
      <w:pPr>
        <w:adjustRightInd w:val="0"/>
        <w:spacing w:line="500" w:lineRule="exact"/>
        <w:textAlignment w:val="baseline"/>
        <w:rPr>
          <w:rFonts w:ascii="宋体" w:hAnsi="宋体" w:eastAsia="宋体" w:cs="宋体"/>
          <w:color w:val="000000"/>
          <w:sz w:val="24"/>
        </w:rPr>
      </w:pPr>
    </w:p>
    <w:p>
      <w:pPr>
        <w:autoSpaceDE w:val="0"/>
        <w:autoSpaceDN w:val="0"/>
        <w:adjustRightInd w:val="0"/>
        <w:spacing w:line="400" w:lineRule="exact"/>
        <w:jc w:val="center"/>
        <w:rPr>
          <w:rFonts w:ascii="宋体" w:hAnsi="宋体" w:eastAsia="宋体" w:cs="宋体"/>
          <w:bCs/>
          <w:color w:val="000000"/>
          <w:sz w:val="30"/>
          <w:szCs w:val="30"/>
        </w:rPr>
      </w:pPr>
    </w:p>
    <w:p>
      <w:pPr>
        <w:autoSpaceDE w:val="0"/>
        <w:autoSpaceDN w:val="0"/>
        <w:adjustRightInd w:val="0"/>
        <w:spacing w:line="400" w:lineRule="exact"/>
        <w:jc w:val="center"/>
        <w:rPr>
          <w:rFonts w:ascii="宋体" w:hAnsi="宋体" w:eastAsia="宋体" w:cs="宋体"/>
          <w:b/>
          <w:bCs/>
          <w:color w:val="000000"/>
          <w:sz w:val="30"/>
          <w:szCs w:val="30"/>
          <w:lang w:val="zh-CN"/>
        </w:rPr>
      </w:pPr>
      <w:r>
        <w:rPr>
          <w:rFonts w:hint="eastAsia" w:ascii="宋体" w:hAnsi="宋体" w:eastAsia="宋体" w:cs="宋体"/>
          <w:b/>
          <w:bCs/>
          <w:color w:val="000000"/>
          <w:sz w:val="30"/>
          <w:szCs w:val="30"/>
          <w:lang w:val="zh-CN"/>
        </w:rPr>
        <w:t>投 标 函</w:t>
      </w:r>
    </w:p>
    <w:p>
      <w:pPr>
        <w:autoSpaceDE w:val="0"/>
        <w:autoSpaceDN w:val="0"/>
        <w:adjustRightInd w:val="0"/>
        <w:spacing w:line="460" w:lineRule="exact"/>
        <w:rPr>
          <w:rFonts w:ascii="宋体" w:hAnsi="宋体" w:eastAsia="宋体" w:cs="宋体"/>
          <w:color w:val="000000"/>
          <w:sz w:val="24"/>
          <w:szCs w:val="24"/>
          <w:lang w:val="zh-CN"/>
        </w:rPr>
      </w:pPr>
    </w:p>
    <w:p>
      <w:pPr>
        <w:autoSpaceDE w:val="0"/>
        <w:autoSpaceDN w:val="0"/>
        <w:adjustRightInd w:val="0"/>
        <w:spacing w:line="460" w:lineRule="exact"/>
        <w:rPr>
          <w:rFonts w:ascii="宋体" w:hAnsi="宋体" w:eastAsia="宋体" w:cs="宋体"/>
          <w:color w:val="000000"/>
          <w:sz w:val="24"/>
          <w:szCs w:val="24"/>
          <w:lang w:val="zh-CN"/>
        </w:rPr>
      </w:pPr>
      <w:r>
        <w:rPr>
          <w:rFonts w:hint="eastAsia" w:ascii="宋体" w:hAnsi="宋体" w:eastAsia="宋体" w:cs="宋体"/>
          <w:color w:val="000000"/>
          <w:sz w:val="24"/>
          <w:szCs w:val="24"/>
          <w:lang w:val="zh-CN"/>
        </w:rPr>
        <w:t>致：</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 xml:space="preserve"> </w:t>
      </w:r>
    </w:p>
    <w:p>
      <w:pPr>
        <w:autoSpaceDE w:val="0"/>
        <w:autoSpaceDN w:val="0"/>
        <w:adjustRightInd w:val="0"/>
        <w:spacing w:line="460" w:lineRule="exact"/>
        <w:rPr>
          <w:rFonts w:ascii="宋体" w:hAnsi="宋体" w:eastAsia="宋体" w:cs="宋体"/>
          <w:color w:val="000000"/>
          <w:sz w:val="24"/>
          <w:szCs w:val="24"/>
        </w:rPr>
      </w:pPr>
    </w:p>
    <w:p>
      <w:pPr>
        <w:autoSpaceDE w:val="0"/>
        <w:autoSpaceDN w:val="0"/>
        <w:adjustRightInd w:val="0"/>
        <w:spacing w:line="460" w:lineRule="exact"/>
        <w:ind w:firstLine="48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根据贵方关于</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项目的招标公告，</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(投标人全称)授权</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（全名、职务）为全权代表，参加贵方组织的</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项目（编号为</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）招标有关活动，</w:t>
      </w:r>
      <w:r>
        <w:rPr>
          <w:rFonts w:hint="eastAsia" w:ascii="宋体" w:hAnsi="宋体" w:eastAsia="宋体" w:cs="宋体"/>
          <w:color w:val="000000"/>
          <w:sz w:val="24"/>
          <w:szCs w:val="24"/>
        </w:rPr>
        <w:t>代表本公司（单位）处理招投标活动中的一切事宜</w:t>
      </w:r>
      <w:r>
        <w:rPr>
          <w:rFonts w:hint="eastAsia" w:ascii="宋体" w:hAnsi="宋体" w:eastAsia="宋体" w:cs="宋体"/>
          <w:color w:val="000000"/>
          <w:sz w:val="24"/>
          <w:szCs w:val="24"/>
          <w:lang w:val="zh-CN"/>
        </w:rPr>
        <w:t>。</w:t>
      </w:r>
    </w:p>
    <w:p>
      <w:pPr>
        <w:autoSpaceDE w:val="0"/>
        <w:autoSpaceDN w:val="0"/>
        <w:adjustRightInd w:val="0"/>
        <w:spacing w:line="460" w:lineRule="exact"/>
        <w:ind w:firstLine="520" w:firstLineChars="212"/>
        <w:rPr>
          <w:rFonts w:ascii="宋体" w:hAnsi="宋体" w:eastAsia="宋体" w:cs="宋体"/>
          <w:color w:val="000000"/>
          <w:sz w:val="24"/>
          <w:szCs w:val="24"/>
          <w:lang w:val="zh-CN"/>
        </w:rPr>
      </w:pPr>
      <w:r>
        <w:rPr>
          <w:rFonts w:hint="eastAsia" w:ascii="宋体" w:hAnsi="宋体" w:eastAsia="宋体" w:cs="宋体"/>
          <w:color w:val="000000"/>
          <w:sz w:val="24"/>
          <w:szCs w:val="24"/>
          <w:lang w:val="zh-CN"/>
        </w:rPr>
        <w:t>在此提交的投标文件中，包括如下内容，并已分别单独密封装袋：</w:t>
      </w:r>
    </w:p>
    <w:p>
      <w:pPr>
        <w:autoSpaceDE w:val="0"/>
        <w:autoSpaceDN w:val="0"/>
        <w:adjustRightInd w:val="0"/>
        <w:spacing w:line="460" w:lineRule="exact"/>
        <w:ind w:firstLine="520" w:firstLineChars="212"/>
        <w:rPr>
          <w:rFonts w:ascii="宋体" w:hAnsi="宋体" w:eastAsia="宋体" w:cs="宋体"/>
          <w:color w:val="000000"/>
          <w:sz w:val="24"/>
          <w:szCs w:val="24"/>
          <w:lang w:val="zh-CN"/>
        </w:rPr>
      </w:pPr>
      <w:r>
        <w:rPr>
          <w:rFonts w:hint="eastAsia" w:ascii="宋体" w:hAnsi="宋体" w:eastAsia="宋体" w:cs="宋体"/>
          <w:color w:val="000000"/>
          <w:sz w:val="24"/>
          <w:szCs w:val="24"/>
          <w:lang w:val="zh-CN"/>
        </w:rPr>
        <w:t>1.提供投标须知规定的全部投标文件。</w:t>
      </w:r>
    </w:p>
    <w:p>
      <w:pPr>
        <w:autoSpaceDE w:val="0"/>
        <w:autoSpaceDN w:val="0"/>
        <w:adjustRightInd w:val="0"/>
        <w:spacing w:line="460" w:lineRule="exact"/>
        <w:ind w:firstLine="520" w:firstLineChars="212"/>
        <w:rPr>
          <w:rFonts w:ascii="宋体" w:hAnsi="宋体" w:eastAsia="宋体" w:cs="宋体"/>
          <w:color w:val="000000"/>
          <w:sz w:val="24"/>
          <w:szCs w:val="24"/>
          <w:lang w:val="zh-CN"/>
        </w:rPr>
      </w:pPr>
      <w:r>
        <w:rPr>
          <w:rFonts w:hint="eastAsia" w:ascii="宋体" w:hAnsi="宋体" w:eastAsia="宋体" w:cs="宋体"/>
          <w:color w:val="000000"/>
          <w:sz w:val="24"/>
          <w:szCs w:val="24"/>
          <w:lang w:val="zh-CN"/>
        </w:rPr>
        <w:t>2.投标文件的有效期为 90 天。如中标，有效期将延长至合同终止日为止。</w:t>
      </w:r>
    </w:p>
    <w:p>
      <w:pPr>
        <w:autoSpaceDE w:val="0"/>
        <w:autoSpaceDN w:val="0"/>
        <w:adjustRightInd w:val="0"/>
        <w:spacing w:line="460" w:lineRule="exact"/>
        <w:ind w:firstLine="520" w:firstLineChars="212"/>
        <w:rPr>
          <w:rFonts w:ascii="宋体" w:hAnsi="宋体" w:eastAsia="宋体" w:cs="宋体"/>
          <w:color w:val="000000"/>
          <w:sz w:val="24"/>
          <w:szCs w:val="24"/>
          <w:lang w:val="zh-CN"/>
        </w:rPr>
      </w:pPr>
      <w:r>
        <w:rPr>
          <w:rFonts w:hint="eastAsia" w:ascii="宋体" w:hAnsi="宋体" w:eastAsia="宋体" w:cs="宋体"/>
          <w:color w:val="000000"/>
          <w:sz w:val="24"/>
          <w:szCs w:val="24"/>
          <w:lang w:val="zh-CN"/>
        </w:rPr>
        <w:t>3.我方已详细研究了招标文件的全部内容，包括修改补充文件（如有的话）以及全部参考资料和有关附件，同意采购文件及修改补充文件的各项要求。</w:t>
      </w:r>
    </w:p>
    <w:p>
      <w:pPr>
        <w:autoSpaceDE w:val="0"/>
        <w:autoSpaceDN w:val="0"/>
        <w:adjustRightInd w:val="0"/>
        <w:spacing w:line="460" w:lineRule="exact"/>
        <w:ind w:firstLine="520" w:firstLineChars="212"/>
        <w:rPr>
          <w:rFonts w:ascii="宋体" w:hAnsi="宋体" w:eastAsia="宋体" w:cs="宋体"/>
          <w:color w:val="000000"/>
          <w:sz w:val="24"/>
          <w:szCs w:val="24"/>
          <w:lang w:val="zh-CN"/>
        </w:rPr>
      </w:pPr>
      <w:r>
        <w:rPr>
          <w:rFonts w:hint="eastAsia" w:ascii="宋体" w:hAnsi="宋体" w:eastAsia="宋体" w:cs="宋体"/>
          <w:color w:val="000000"/>
          <w:sz w:val="24"/>
          <w:szCs w:val="24"/>
          <w:lang w:val="zh-CN"/>
        </w:rPr>
        <w:t>4.如中标，本投标文件至本项目合同履行完毕止均保持有效，我方将按招标文件及政府采购法律、法规的规定履行合同责任和义务，并保质、保量、按期完成《合同书》中的全部任务。</w:t>
      </w:r>
    </w:p>
    <w:p>
      <w:pPr>
        <w:autoSpaceDE w:val="0"/>
        <w:autoSpaceDN w:val="0"/>
        <w:adjustRightInd w:val="0"/>
        <w:spacing w:line="460" w:lineRule="exact"/>
        <w:ind w:firstLine="520" w:firstLineChars="212"/>
        <w:rPr>
          <w:rFonts w:ascii="宋体" w:hAnsi="宋体" w:eastAsia="宋体" w:cs="宋体"/>
          <w:color w:val="000000"/>
          <w:sz w:val="24"/>
          <w:szCs w:val="24"/>
          <w:lang w:val="zh-CN"/>
        </w:rPr>
      </w:pPr>
      <w:r>
        <w:rPr>
          <w:rFonts w:hint="eastAsia" w:ascii="宋体" w:hAnsi="宋体" w:eastAsia="宋体" w:cs="宋体"/>
          <w:color w:val="000000"/>
          <w:sz w:val="24"/>
          <w:szCs w:val="24"/>
          <w:lang w:val="zh-CN"/>
        </w:rPr>
        <w:t>5.我方同意按照贵方要求提供与 投标有关的一切数据或资料，并保证其真实性、有效性和合法性。</w:t>
      </w:r>
    </w:p>
    <w:p>
      <w:pPr>
        <w:autoSpaceDE w:val="0"/>
        <w:autoSpaceDN w:val="0"/>
        <w:adjustRightInd w:val="0"/>
        <w:spacing w:line="460" w:lineRule="exact"/>
        <w:ind w:firstLine="520" w:firstLineChars="212"/>
        <w:rPr>
          <w:rFonts w:ascii="宋体" w:hAnsi="宋体" w:eastAsia="宋体" w:cs="宋体"/>
          <w:color w:val="000000"/>
          <w:sz w:val="24"/>
          <w:szCs w:val="24"/>
          <w:u w:val="single"/>
        </w:rPr>
      </w:pPr>
      <w:r>
        <w:rPr>
          <w:rFonts w:hint="eastAsia" w:ascii="宋体" w:hAnsi="宋体" w:eastAsia="宋体" w:cs="宋体"/>
          <w:color w:val="000000"/>
          <w:sz w:val="24"/>
          <w:szCs w:val="24"/>
          <w:lang w:val="zh-CN"/>
        </w:rPr>
        <w:t>6.我方理解贵方不一定接受最低报价。</w:t>
      </w:r>
    </w:p>
    <w:p>
      <w:pPr>
        <w:autoSpaceDE w:val="0"/>
        <w:autoSpaceDN w:val="0"/>
        <w:adjustRightInd w:val="0"/>
        <w:spacing w:line="460" w:lineRule="exact"/>
        <w:ind w:firstLine="3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    7.所有与本投标有关的函件请发往下列地址：</w:t>
      </w:r>
    </w:p>
    <w:p>
      <w:pPr>
        <w:autoSpaceDE w:val="0"/>
        <w:autoSpaceDN w:val="0"/>
        <w:adjustRightInd w:val="0"/>
        <w:spacing w:line="460" w:lineRule="exact"/>
        <w:ind w:firstLine="30"/>
        <w:rPr>
          <w:rFonts w:ascii="宋体" w:hAnsi="宋体" w:eastAsia="宋体" w:cs="宋体"/>
          <w:color w:val="000000"/>
          <w:sz w:val="24"/>
          <w:szCs w:val="24"/>
          <w:u w:val="single"/>
          <w:lang w:val="zh-CN"/>
        </w:rPr>
      </w:pPr>
      <w:r>
        <w:rPr>
          <w:rFonts w:hint="eastAsia" w:ascii="宋体" w:hAnsi="宋体" w:eastAsia="宋体" w:cs="宋体"/>
          <w:color w:val="000000"/>
          <w:sz w:val="24"/>
          <w:szCs w:val="24"/>
          <w:lang w:val="zh-CN"/>
        </w:rPr>
        <w:t xml:space="preserve">        投标人：</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地  址：</w:t>
      </w:r>
      <w:r>
        <w:rPr>
          <w:rFonts w:hint="eastAsia" w:ascii="宋体" w:hAnsi="宋体" w:eastAsia="宋体" w:cs="宋体"/>
          <w:color w:val="000000"/>
          <w:sz w:val="24"/>
          <w:szCs w:val="24"/>
          <w:u w:val="single"/>
          <w:lang w:val="zh-CN"/>
        </w:rPr>
        <w:t xml:space="preserve">                            </w:t>
      </w:r>
    </w:p>
    <w:p>
      <w:pPr>
        <w:autoSpaceDE w:val="0"/>
        <w:autoSpaceDN w:val="0"/>
        <w:adjustRightInd w:val="0"/>
        <w:spacing w:line="460" w:lineRule="exact"/>
        <w:ind w:firstLine="30"/>
        <w:rPr>
          <w:rFonts w:ascii="宋体" w:hAnsi="宋体" w:eastAsia="宋体" w:cs="宋体"/>
          <w:color w:val="000000"/>
          <w:sz w:val="24"/>
          <w:szCs w:val="24"/>
          <w:u w:val="single"/>
          <w:lang w:val="zh-CN"/>
        </w:rPr>
      </w:pPr>
      <w:r>
        <w:rPr>
          <w:rFonts w:hint="eastAsia" w:ascii="宋体" w:hAnsi="宋体" w:eastAsia="宋体" w:cs="宋体"/>
          <w:color w:val="000000"/>
          <w:sz w:val="24"/>
          <w:szCs w:val="24"/>
          <w:lang w:val="zh-CN"/>
        </w:rPr>
        <w:t xml:space="preserve">        电  话：</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传  真：</w:t>
      </w:r>
      <w:r>
        <w:rPr>
          <w:rFonts w:hint="eastAsia" w:ascii="宋体" w:hAnsi="宋体" w:eastAsia="宋体" w:cs="宋体"/>
          <w:color w:val="000000"/>
          <w:sz w:val="24"/>
          <w:szCs w:val="24"/>
          <w:u w:val="single"/>
          <w:lang w:val="zh-CN"/>
        </w:rPr>
        <w:t xml:space="preserve">                            </w:t>
      </w:r>
    </w:p>
    <w:p>
      <w:pPr>
        <w:autoSpaceDE w:val="0"/>
        <w:autoSpaceDN w:val="0"/>
        <w:adjustRightInd w:val="0"/>
        <w:spacing w:line="460" w:lineRule="exact"/>
        <w:ind w:firstLine="30"/>
        <w:rPr>
          <w:rFonts w:ascii="宋体" w:hAnsi="宋体" w:eastAsia="宋体" w:cs="宋体"/>
          <w:color w:val="000000"/>
          <w:sz w:val="24"/>
          <w:szCs w:val="24"/>
          <w:lang w:val="zh-CN"/>
        </w:rPr>
      </w:pPr>
      <w:r>
        <w:rPr>
          <w:rFonts w:hint="eastAsia" w:ascii="宋体" w:hAnsi="宋体" w:eastAsia="宋体" w:cs="宋体"/>
          <w:color w:val="000000"/>
          <w:sz w:val="24"/>
          <w:szCs w:val="24"/>
          <w:lang w:val="zh-CN"/>
        </w:rPr>
        <w:t xml:space="preserve">        电子邮件：</w:t>
      </w:r>
      <w:r>
        <w:rPr>
          <w:rFonts w:hint="eastAsia" w:ascii="宋体" w:hAnsi="宋体" w:eastAsia="宋体" w:cs="宋体"/>
          <w:color w:val="000000"/>
          <w:sz w:val="24"/>
          <w:szCs w:val="24"/>
          <w:u w:val="single"/>
          <w:lang w:val="zh-CN"/>
        </w:rPr>
        <w:t xml:space="preserve">                         </w:t>
      </w:r>
      <w:r>
        <w:rPr>
          <w:rFonts w:hint="eastAsia" w:ascii="宋体" w:hAnsi="宋体" w:eastAsia="宋体" w:cs="宋体"/>
          <w:color w:val="000000"/>
          <w:sz w:val="24"/>
          <w:szCs w:val="24"/>
          <w:lang w:val="zh-CN"/>
        </w:rPr>
        <w:t xml:space="preserve">   </w:t>
      </w:r>
    </w:p>
    <w:p>
      <w:pPr>
        <w:spacing w:line="460" w:lineRule="exact"/>
        <w:ind w:firstLine="4920" w:firstLineChars="2000"/>
        <w:textAlignment w:val="baseline"/>
        <w:rPr>
          <w:rFonts w:ascii="宋体" w:hAnsi="宋体" w:eastAsia="宋体" w:cs="宋体"/>
          <w:color w:val="000000"/>
          <w:sz w:val="24"/>
        </w:rPr>
      </w:pPr>
    </w:p>
    <w:p>
      <w:pPr>
        <w:spacing w:line="460" w:lineRule="exact"/>
        <w:ind w:firstLine="4920" w:firstLineChars="2000"/>
        <w:textAlignment w:val="baseline"/>
        <w:rPr>
          <w:rFonts w:ascii="宋体" w:hAnsi="宋体" w:eastAsia="宋体" w:cs="宋体"/>
          <w:color w:val="000000"/>
          <w:sz w:val="24"/>
        </w:rPr>
      </w:pPr>
      <w:r>
        <w:rPr>
          <w:rFonts w:hint="eastAsia" w:ascii="宋体" w:hAnsi="宋体" w:eastAsia="宋体" w:cs="宋体"/>
          <w:color w:val="000000"/>
          <w:sz w:val="24"/>
        </w:rPr>
        <w:t>投标人全称（盖章）：</w:t>
      </w:r>
    </w:p>
    <w:p>
      <w:pPr>
        <w:adjustRightInd w:val="0"/>
        <w:spacing w:line="500" w:lineRule="exact"/>
        <w:ind w:firstLine="4920" w:firstLineChars="2000"/>
        <w:textAlignment w:val="baseline"/>
        <w:rPr>
          <w:rFonts w:ascii="宋体" w:hAnsi="宋体" w:eastAsia="宋体" w:cs="宋体"/>
          <w:color w:val="000000"/>
          <w:sz w:val="24"/>
        </w:rPr>
      </w:pPr>
      <w:r>
        <w:rPr>
          <w:rFonts w:hint="eastAsia" w:ascii="宋体" w:hAnsi="宋体" w:eastAsia="宋体" w:cs="宋体"/>
          <w:color w:val="000000"/>
          <w:sz w:val="24"/>
        </w:rPr>
        <w:t>投标人代表（盖章或签字）：</w:t>
      </w:r>
    </w:p>
    <w:p>
      <w:pPr>
        <w:adjustRightInd w:val="0"/>
        <w:spacing w:line="460" w:lineRule="exact"/>
        <w:ind w:firstLine="4920" w:firstLineChars="2000"/>
        <w:textAlignment w:val="baseline"/>
        <w:rPr>
          <w:rFonts w:ascii="宋体" w:hAnsi="宋体" w:eastAsia="宋体" w:cs="宋体"/>
          <w:color w:val="000000"/>
          <w:sz w:val="24"/>
        </w:rPr>
      </w:pPr>
      <w:r>
        <w:rPr>
          <w:rFonts w:hint="eastAsia" w:ascii="宋体" w:hAnsi="宋体" w:eastAsia="宋体" w:cs="宋体"/>
          <w:color w:val="000000"/>
          <w:sz w:val="24"/>
        </w:rPr>
        <w:t xml:space="preserve">日    期：   </w:t>
      </w:r>
    </w:p>
    <w:p>
      <w:pPr>
        <w:adjustRightInd w:val="0"/>
        <w:spacing w:line="460" w:lineRule="exact"/>
        <w:ind w:firstLine="4920" w:firstLineChars="2000"/>
        <w:textAlignment w:val="baseline"/>
        <w:rPr>
          <w:rFonts w:ascii="宋体" w:hAnsi="宋体" w:eastAsia="宋体" w:cs="宋体"/>
          <w:color w:val="000000"/>
          <w:sz w:val="24"/>
        </w:rPr>
      </w:pPr>
    </w:p>
    <w:p>
      <w:pPr>
        <w:adjustRightInd w:val="0"/>
        <w:spacing w:line="460" w:lineRule="exact"/>
        <w:ind w:firstLine="4920" w:firstLineChars="2000"/>
        <w:textAlignment w:val="baseline"/>
        <w:rPr>
          <w:rFonts w:ascii="宋体" w:hAnsi="宋体" w:eastAsia="宋体" w:cs="宋体"/>
          <w:color w:val="000000"/>
          <w:sz w:val="24"/>
        </w:rPr>
      </w:pPr>
    </w:p>
    <w:p>
      <w:pPr>
        <w:spacing w:line="500" w:lineRule="exact"/>
        <w:ind w:firstLine="4920" w:firstLineChars="2000"/>
        <w:textAlignment w:val="baseline"/>
        <w:rPr>
          <w:rFonts w:ascii="宋体" w:hAnsi="宋体" w:eastAsia="宋体" w:cs="宋体"/>
          <w:b/>
          <w:bCs/>
          <w:color w:val="000000"/>
          <w:sz w:val="24"/>
          <w:szCs w:val="24"/>
          <w:lang w:val="zh-CN"/>
        </w:rPr>
        <w:sectPr>
          <w:footerReference r:id="rId12" w:type="default"/>
          <w:pgSz w:w="11906" w:h="16838"/>
          <w:pgMar w:top="1440" w:right="1083" w:bottom="1440" w:left="1083" w:header="851" w:footer="992" w:gutter="0"/>
          <w:cols w:space="720" w:num="1"/>
          <w:titlePg/>
          <w:docGrid w:type="linesAndChars" w:linePitch="389" w:charSpace="1325"/>
        </w:sectPr>
      </w:pPr>
    </w:p>
    <w:p>
      <w:pPr>
        <w:jc w:val="center"/>
        <w:rPr>
          <w:rFonts w:ascii="宋体" w:hAnsi="宋体" w:eastAsia="宋体" w:cs="宋体"/>
          <w:b/>
          <w:color w:val="000000"/>
          <w:kern w:val="0"/>
          <w:sz w:val="36"/>
          <w:szCs w:val="20"/>
        </w:rPr>
      </w:pPr>
      <w:r>
        <w:rPr>
          <w:rFonts w:hint="eastAsia" w:ascii="宋体" w:hAnsi="宋体" w:eastAsia="宋体" w:cs="宋体"/>
          <w:b/>
          <w:color w:val="000000"/>
          <w:kern w:val="0"/>
          <w:sz w:val="36"/>
          <w:szCs w:val="20"/>
        </w:rPr>
        <w:t>开标一览表</w:t>
      </w:r>
    </w:p>
    <w:p>
      <w:pPr>
        <w:pStyle w:val="34"/>
        <w:rPr>
          <w:rFonts w:hAnsi="宋体" w:cs="宋体"/>
          <w:sz w:val="24"/>
          <w:szCs w:val="24"/>
        </w:rPr>
      </w:pPr>
    </w:p>
    <w:p>
      <w:pPr>
        <w:pStyle w:val="34"/>
        <w:ind w:firstLine="246" w:firstLineChars="100"/>
        <w:rPr>
          <w:rFonts w:hint="eastAsia" w:hAnsi="宋体" w:cs="宋体"/>
          <w:sz w:val="24"/>
          <w:szCs w:val="24"/>
        </w:rPr>
      </w:pPr>
      <w:r>
        <w:rPr>
          <w:rFonts w:hint="eastAsia" w:hAnsi="宋体" w:cs="宋体"/>
          <w:sz w:val="24"/>
          <w:szCs w:val="24"/>
        </w:rPr>
        <w:t>项目编号：                                      价格单位：（人民币：元）</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3"/>
        <w:gridCol w:w="1134"/>
        <w:gridCol w:w="4950"/>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2403" w:type="dxa"/>
            <w:vAlign w:val="center"/>
          </w:tcPr>
          <w:p>
            <w:pPr>
              <w:jc w:val="center"/>
              <w:rPr>
                <w:rFonts w:hint="eastAsia" w:hAnsi="宋体" w:cs="宋体"/>
                <w:b/>
                <w:bCs/>
                <w:sz w:val="24"/>
                <w:szCs w:val="24"/>
                <w:vertAlign w:val="baseline"/>
              </w:rPr>
            </w:pPr>
            <w:r>
              <w:rPr>
                <w:rFonts w:hint="eastAsia" w:ascii="宋体" w:hAnsi="宋体" w:eastAsia="宋体" w:cs="宋体"/>
                <w:b/>
                <w:bCs/>
                <w:sz w:val="24"/>
                <w:szCs w:val="24"/>
                <w:lang w:val="en-GB"/>
              </w:rPr>
              <w:t>项目名称</w:t>
            </w:r>
          </w:p>
        </w:tc>
        <w:tc>
          <w:tcPr>
            <w:tcW w:w="1134" w:type="dxa"/>
            <w:vAlign w:val="center"/>
          </w:tcPr>
          <w:p>
            <w:pPr>
              <w:jc w:val="center"/>
              <w:rPr>
                <w:rFonts w:hint="eastAsia" w:hAnsi="宋体" w:cs="宋体"/>
                <w:b/>
                <w:bCs/>
                <w:sz w:val="24"/>
                <w:szCs w:val="24"/>
                <w:vertAlign w:val="baseline"/>
              </w:rPr>
            </w:pPr>
            <w:r>
              <w:rPr>
                <w:rFonts w:hint="eastAsia" w:ascii="宋体" w:hAnsi="宋体" w:eastAsia="宋体" w:cs="宋体"/>
                <w:b/>
                <w:bCs/>
                <w:color w:val="000000" w:themeColor="text1"/>
                <w:sz w:val="24"/>
                <w:szCs w:val="24"/>
                <w14:textFill>
                  <w14:solidFill>
                    <w14:schemeClr w14:val="tx1"/>
                  </w14:solidFill>
                </w14:textFill>
              </w:rPr>
              <w:t>服务期</w:t>
            </w:r>
          </w:p>
        </w:tc>
        <w:tc>
          <w:tcPr>
            <w:tcW w:w="4950" w:type="dxa"/>
            <w:vAlign w:val="center"/>
          </w:tcPr>
          <w:p>
            <w:pPr>
              <w:jc w:val="center"/>
              <w:rPr>
                <w:rFonts w:hint="eastAsia" w:hAnsi="宋体" w:cs="宋体"/>
                <w:b/>
                <w:bCs/>
                <w:sz w:val="24"/>
                <w:szCs w:val="24"/>
                <w:vertAlign w:val="baseline"/>
              </w:rPr>
            </w:pPr>
            <w:r>
              <w:rPr>
                <w:rFonts w:hint="eastAsia" w:ascii="宋体" w:hAnsi="宋体" w:eastAsia="宋体" w:cs="宋体"/>
                <w:b/>
                <w:bCs/>
                <w:color w:val="000000" w:themeColor="text1"/>
                <w:sz w:val="24"/>
                <w:szCs w:val="24"/>
                <w14:textFill>
                  <w14:solidFill>
                    <w14:schemeClr w14:val="tx1"/>
                  </w14:solidFill>
                </w14:textFill>
              </w:rPr>
              <w:t>全费用综合单价（元/立方米）</w:t>
            </w:r>
          </w:p>
        </w:tc>
        <w:tc>
          <w:tcPr>
            <w:tcW w:w="1468" w:type="dxa"/>
            <w:vAlign w:val="center"/>
          </w:tcPr>
          <w:p>
            <w:pPr>
              <w:jc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7" w:hRule="atLeast"/>
        </w:trPr>
        <w:tc>
          <w:tcPr>
            <w:tcW w:w="2403" w:type="dxa"/>
            <w:vAlign w:val="center"/>
          </w:tcPr>
          <w:p>
            <w:pPr>
              <w:jc w:val="center"/>
              <w:rPr>
                <w:rFonts w:hint="eastAsia" w:hAnsi="宋体" w:eastAsia="仿宋_GB2312" w:cs="宋体"/>
                <w:b/>
                <w:bCs/>
                <w:color w:val="000000" w:themeColor="text1"/>
                <w:sz w:val="24"/>
                <w:szCs w:val="24"/>
                <w:highlight w:val="none"/>
                <w:vertAlign w:val="baseline"/>
                <w:lang w:eastAsia="zh-CN"/>
                <w14:textFill>
                  <w14:solidFill>
                    <w14:schemeClr w14:val="tx1"/>
                  </w14:solidFill>
                </w14:textFill>
              </w:rPr>
            </w:pPr>
            <w:r>
              <w:rPr>
                <w:rStyle w:val="112"/>
                <w:rFonts w:hint="default" w:cs="宋体"/>
                <w:b/>
                <w:bCs/>
                <w:color w:val="000000" w:themeColor="text1"/>
                <w:sz w:val="24"/>
                <w:szCs w:val="24"/>
                <w:highlight w:val="none"/>
                <w14:textFill>
                  <w14:solidFill>
                    <w14:schemeClr w14:val="tx1"/>
                  </w14:solidFill>
                </w14:textFill>
              </w:rPr>
              <w:t>高铁新城再生水厂运营管理服务项目</w:t>
            </w:r>
          </w:p>
        </w:tc>
        <w:tc>
          <w:tcPr>
            <w:tcW w:w="1134" w:type="dxa"/>
            <w:vAlign w:val="center"/>
          </w:tcPr>
          <w:p>
            <w:pPr>
              <w:jc w:val="center"/>
              <w:rPr>
                <w:rFonts w:hint="eastAsia" w:hAnsi="宋体" w:eastAsia="仿宋_GB2312" w:cs="宋体"/>
                <w:b/>
                <w:bCs/>
                <w:color w:val="000000" w:themeColor="text1"/>
                <w:sz w:val="24"/>
                <w:szCs w:val="24"/>
                <w:highlight w:val="none"/>
                <w:vertAlign w:val="baseline"/>
                <w:lang w:eastAsia="zh-CN"/>
                <w14:textFill>
                  <w14:solidFill>
                    <w14:schemeClr w14:val="tx1"/>
                  </w14:solidFill>
                </w14:textFill>
              </w:rPr>
            </w:pPr>
            <w:r>
              <w:rPr>
                <w:rStyle w:val="112"/>
                <w:rFonts w:hint="eastAsia" w:cs="宋体"/>
                <w:b/>
                <w:bCs/>
                <w:color w:val="000000" w:themeColor="text1"/>
                <w:sz w:val="24"/>
                <w:szCs w:val="24"/>
                <w:highlight w:val="none"/>
                <w:lang w:eastAsia="zh-CN"/>
                <w14:textFill>
                  <w14:solidFill>
                    <w14:schemeClr w14:val="tx1"/>
                  </w14:solidFill>
                </w14:textFill>
              </w:rPr>
              <w:t>三年</w:t>
            </w:r>
          </w:p>
        </w:tc>
        <w:tc>
          <w:tcPr>
            <w:tcW w:w="4950" w:type="dxa"/>
          </w:tcPr>
          <w:p>
            <w:pPr>
              <w:pStyle w:val="239"/>
              <w:keepNext w:val="0"/>
              <w:keepLines w:val="0"/>
              <w:pageBreakBefore w:val="0"/>
              <w:widowControl w:val="0"/>
              <w:tabs>
                <w:tab w:val="left" w:pos="945"/>
              </w:tabs>
              <w:kinsoku/>
              <w:wordWrap/>
              <w:overflowPunct/>
              <w:topLinePunct w:val="0"/>
              <w:autoSpaceDE/>
              <w:autoSpaceDN/>
              <w:bidi w:val="0"/>
              <w:adjustRightInd/>
              <w:snapToGrid/>
              <w:spacing w:line="460" w:lineRule="exact"/>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①日处理污水量 3000吨（含）-</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val="0"/>
                <w:color w:val="000000" w:themeColor="text1"/>
                <w:sz w:val="21"/>
                <w:szCs w:val="21"/>
                <w:highlight w:val="none"/>
                <w14:textFill>
                  <w14:solidFill>
                    <w14:schemeClr w14:val="tx1"/>
                  </w14:solidFill>
                </w14:textFill>
              </w:rPr>
              <w:t>000吨（含），全费用综合单价</w:t>
            </w:r>
            <w:r>
              <w:rPr>
                <w:rFonts w:hint="eastAsia" w:ascii="宋体" w:hAnsi="宋体" w:eastAsia="宋体" w:cs="宋体"/>
                <w:b/>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bCs w:val="0"/>
                <w:color w:val="000000" w:themeColor="text1"/>
                <w:sz w:val="21"/>
                <w:szCs w:val="21"/>
                <w:highlight w:val="none"/>
                <w14:textFill>
                  <w14:solidFill>
                    <w14:schemeClr w14:val="tx1"/>
                  </w14:solidFill>
                </w14:textFill>
              </w:rPr>
              <w:t>元/立方米；</w:t>
            </w:r>
          </w:p>
          <w:p>
            <w:pPr>
              <w:pStyle w:val="239"/>
              <w:keepNext w:val="0"/>
              <w:keepLines w:val="0"/>
              <w:pageBreakBefore w:val="0"/>
              <w:widowControl w:val="0"/>
              <w:tabs>
                <w:tab w:val="left" w:pos="945"/>
              </w:tabs>
              <w:kinsoku/>
              <w:wordWrap/>
              <w:overflowPunct/>
              <w:topLinePunct w:val="0"/>
              <w:autoSpaceDE/>
              <w:autoSpaceDN/>
              <w:bidi w:val="0"/>
              <w:adjustRightInd/>
              <w:snapToGrid/>
              <w:spacing w:line="460" w:lineRule="exact"/>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 xml:space="preserve">②日处理污水量 </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val="0"/>
                <w:color w:val="000000" w:themeColor="text1"/>
                <w:sz w:val="21"/>
                <w:szCs w:val="21"/>
                <w:highlight w:val="none"/>
                <w14:textFill>
                  <w14:solidFill>
                    <w14:schemeClr w14:val="tx1"/>
                  </w14:solidFill>
                </w14:textFill>
              </w:rPr>
              <w:t>000吨（</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不</w:t>
            </w:r>
            <w:r>
              <w:rPr>
                <w:rFonts w:hint="eastAsia" w:ascii="宋体" w:hAnsi="宋体" w:eastAsia="宋体" w:cs="宋体"/>
                <w:b/>
                <w:bCs w:val="0"/>
                <w:color w:val="000000" w:themeColor="text1"/>
                <w:sz w:val="21"/>
                <w:szCs w:val="21"/>
                <w:highlight w:val="none"/>
                <w14:textFill>
                  <w14:solidFill>
                    <w14:schemeClr w14:val="tx1"/>
                  </w14:solidFill>
                </w14:textFill>
              </w:rPr>
              <w:t>含）-</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val="0"/>
                <w:color w:val="000000" w:themeColor="text1"/>
                <w:sz w:val="21"/>
                <w:szCs w:val="21"/>
                <w:highlight w:val="none"/>
                <w14:textFill>
                  <w14:solidFill>
                    <w14:schemeClr w14:val="tx1"/>
                  </w14:solidFill>
                </w14:textFill>
              </w:rPr>
              <w:t>000吨（含），全费用综合单价</w:t>
            </w:r>
            <w:r>
              <w:rPr>
                <w:rFonts w:hint="eastAsia" w:ascii="宋体" w:hAnsi="宋体" w:eastAsia="宋体" w:cs="宋体"/>
                <w:b/>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bCs w:val="0"/>
                <w:color w:val="000000" w:themeColor="text1"/>
                <w:sz w:val="21"/>
                <w:szCs w:val="21"/>
                <w:highlight w:val="none"/>
                <w14:textFill>
                  <w14:solidFill>
                    <w14:schemeClr w14:val="tx1"/>
                  </w14:solidFill>
                </w14:textFill>
              </w:rPr>
              <w:t>元/立方米；</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hAnsi="宋体" w:cs="宋体"/>
                <w:color w:val="000000" w:themeColor="text1"/>
                <w:sz w:val="24"/>
                <w:szCs w:val="24"/>
                <w:highlight w:val="none"/>
                <w:vertAlign w:val="baseline"/>
                <w14:textFill>
                  <w14:solidFill>
                    <w14:schemeClr w14:val="tx1"/>
                  </w14:solidFill>
                </w14:textFill>
              </w:rPr>
            </w:pPr>
            <w:r>
              <w:rPr>
                <w:rFonts w:hint="eastAsia" w:ascii="宋体" w:hAnsi="宋体" w:eastAsia="宋体" w:cs="宋体"/>
                <w:b/>
                <w:bCs w:val="0"/>
                <w:color w:val="000000" w:themeColor="text1"/>
                <w:sz w:val="21"/>
                <w:szCs w:val="21"/>
                <w:highlight w:val="none"/>
                <w14:textFill>
                  <w14:solidFill>
                    <w14:schemeClr w14:val="tx1"/>
                  </w14:solidFill>
                </w14:textFill>
              </w:rPr>
              <w:t>③日处理污水量</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10</w:t>
            </w:r>
            <w:r>
              <w:rPr>
                <w:rFonts w:hint="eastAsia" w:ascii="宋体" w:hAnsi="宋体" w:eastAsia="宋体" w:cs="宋体"/>
                <w:b/>
                <w:bCs w:val="0"/>
                <w:color w:val="000000" w:themeColor="text1"/>
                <w:sz w:val="21"/>
                <w:szCs w:val="21"/>
                <w:highlight w:val="none"/>
                <w14:textFill>
                  <w14:solidFill>
                    <w14:schemeClr w14:val="tx1"/>
                  </w14:solidFill>
                </w14:textFill>
              </w:rPr>
              <w:t>000吨（</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不</w:t>
            </w:r>
            <w:r>
              <w:rPr>
                <w:rFonts w:hint="eastAsia" w:ascii="宋体" w:hAnsi="宋体" w:eastAsia="宋体" w:cs="宋体"/>
                <w:b/>
                <w:bCs w:val="0"/>
                <w:color w:val="000000" w:themeColor="text1"/>
                <w:sz w:val="21"/>
                <w:szCs w:val="21"/>
                <w:highlight w:val="none"/>
                <w14:textFill>
                  <w14:solidFill>
                    <w14:schemeClr w14:val="tx1"/>
                  </w14:solidFill>
                </w14:textFill>
              </w:rPr>
              <w:t>含）-1</w:t>
            </w:r>
            <w:r>
              <w:rPr>
                <w:rFonts w:hint="eastAsia" w:ascii="宋体" w:hAnsi="宋体" w:eastAsia="宋体" w:cs="宋体"/>
                <w:b/>
                <w:bCs w:val="0"/>
                <w:color w:val="000000" w:themeColor="text1"/>
                <w:sz w:val="21"/>
                <w:szCs w:val="21"/>
                <w:highlight w:val="none"/>
                <w:lang w:val="en-US" w:eastAsia="zh-CN"/>
                <w14:textFill>
                  <w14:solidFill>
                    <w14:schemeClr w14:val="tx1"/>
                  </w14:solidFill>
                </w14:textFill>
              </w:rPr>
              <w:t>5</w:t>
            </w:r>
            <w:r>
              <w:rPr>
                <w:rFonts w:hint="eastAsia" w:ascii="宋体" w:hAnsi="宋体" w:eastAsia="宋体" w:cs="宋体"/>
                <w:b/>
                <w:bCs w:val="0"/>
                <w:color w:val="000000" w:themeColor="text1"/>
                <w:sz w:val="21"/>
                <w:szCs w:val="21"/>
                <w:highlight w:val="none"/>
                <w14:textFill>
                  <w14:solidFill>
                    <w14:schemeClr w14:val="tx1"/>
                  </w14:solidFill>
                </w14:textFill>
              </w:rPr>
              <w:t>000吨（含），全费用综合单价</w:t>
            </w:r>
            <w:r>
              <w:rPr>
                <w:rFonts w:hint="eastAsia" w:ascii="宋体" w:hAnsi="宋体" w:eastAsia="宋体" w:cs="宋体"/>
                <w:b/>
                <w:bCs w:val="0"/>
                <w:color w:val="000000" w:themeColor="text1"/>
                <w:sz w:val="21"/>
                <w:szCs w:val="21"/>
                <w:highlight w:val="none"/>
                <w:u w:val="single"/>
                <w14:textFill>
                  <w14:solidFill>
                    <w14:schemeClr w14:val="tx1"/>
                  </w14:solidFill>
                </w14:textFill>
              </w:rPr>
              <w:t xml:space="preserve">     </w:t>
            </w:r>
            <w:r>
              <w:rPr>
                <w:rFonts w:hint="eastAsia" w:ascii="宋体" w:hAnsi="宋体" w:eastAsia="宋体" w:cs="宋体"/>
                <w:b/>
                <w:bCs w:val="0"/>
                <w:color w:val="000000" w:themeColor="text1"/>
                <w:sz w:val="21"/>
                <w:szCs w:val="21"/>
                <w:highlight w:val="none"/>
                <w14:textFill>
                  <w14:solidFill>
                    <w14:schemeClr w14:val="tx1"/>
                  </w14:solidFill>
                </w14:textFill>
              </w:rPr>
              <w:t>元/立方米</w:t>
            </w:r>
            <w:r>
              <w:rPr>
                <w:rFonts w:hint="eastAsia" w:ascii="宋体" w:hAnsi="宋体" w:eastAsia="宋体" w:cs="宋体"/>
                <w:b/>
                <w:bCs w:val="0"/>
                <w:color w:val="000000" w:themeColor="text1"/>
                <w:sz w:val="21"/>
                <w:szCs w:val="21"/>
                <w:highlight w:val="none"/>
                <w:lang w:eastAsia="zh-CN"/>
                <w14:textFill>
                  <w14:solidFill>
                    <w14:schemeClr w14:val="tx1"/>
                  </w14:solidFill>
                </w14:textFill>
              </w:rPr>
              <w:t>。</w:t>
            </w:r>
          </w:p>
        </w:tc>
        <w:tc>
          <w:tcPr>
            <w:tcW w:w="1468" w:type="dxa"/>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val="0"/>
                <w:color w:val="FF0000"/>
                <w:sz w:val="21"/>
                <w:szCs w:val="21"/>
                <w:highlight w:val="yellow"/>
              </w:rPr>
            </w:pPr>
          </w:p>
        </w:tc>
      </w:tr>
    </w:tbl>
    <w:p>
      <w:pPr>
        <w:pStyle w:val="19"/>
        <w:keepNext w:val="0"/>
        <w:keepLines w:val="0"/>
        <w:pageBreakBefore w:val="0"/>
        <w:kinsoku/>
        <w:wordWrap/>
        <w:overflowPunct/>
        <w:topLinePunct w:val="0"/>
        <w:bidi w:val="0"/>
        <w:snapToGrid/>
        <w:spacing w:line="460" w:lineRule="exact"/>
        <w:ind w:firstLine="492"/>
        <w:textAlignment w:val="auto"/>
        <w:rPr>
          <w:rFonts w:hint="eastAsia" w:ascii="宋体" w:hAnsi="宋体" w:eastAsia="宋体" w:cs="宋体"/>
          <w:b/>
          <w:bCs/>
          <w:color w:val="FF0000"/>
          <w:sz w:val="21"/>
          <w:szCs w:val="21"/>
          <w:lang w:val="en-US"/>
        </w:rPr>
      </w:pPr>
      <w:r>
        <w:rPr>
          <w:rFonts w:hint="eastAsia" w:ascii="宋体" w:hAnsi="宋体" w:eastAsia="宋体" w:cs="宋体"/>
          <w:sz w:val="21"/>
          <w:szCs w:val="21"/>
        </w:rPr>
        <w:t>注: 1.</w:t>
      </w:r>
      <w:r>
        <w:rPr>
          <w:rFonts w:hint="eastAsia" w:ascii="宋体" w:hAnsi="宋体" w:eastAsia="宋体" w:cs="宋体"/>
          <w:b/>
          <w:bCs/>
          <w:sz w:val="21"/>
          <w:szCs w:val="21"/>
        </w:rPr>
        <w:t>▲投标报价（单价）应低于各档投标报价全费用综合单价最高限价，否则其投标报价无效，作无效标处理。</w:t>
      </w:r>
    </w:p>
    <w:p>
      <w:pPr>
        <w:spacing w:line="400" w:lineRule="exact"/>
        <w:ind w:left="17" w:leftChars="6" w:firstLine="446" w:firstLineChars="207"/>
        <w:rPr>
          <w:rFonts w:ascii="宋体" w:hAnsi="宋体" w:eastAsia="宋体" w:cs="宋体"/>
          <w:sz w:val="21"/>
          <w:szCs w:val="21"/>
        </w:rPr>
      </w:pPr>
      <w:r>
        <w:rPr>
          <w:rFonts w:hint="eastAsia" w:ascii="宋体" w:hAnsi="宋体" w:eastAsia="宋体" w:cs="宋体"/>
          <w:sz w:val="21"/>
          <w:szCs w:val="21"/>
        </w:rPr>
        <w:t>2.报价一经涂改，应在涂改处加盖单位公章或者由法定代表人或授权委托人签字或盖章，否则其投标作无效标处理。</w:t>
      </w:r>
    </w:p>
    <w:p>
      <w:pPr>
        <w:spacing w:line="400" w:lineRule="exact"/>
        <w:ind w:left="17" w:leftChars="6" w:firstLine="446" w:firstLineChars="207"/>
        <w:rPr>
          <w:rFonts w:ascii="宋体" w:hAnsi="宋体" w:eastAsia="宋体" w:cs="宋体"/>
          <w:sz w:val="21"/>
          <w:szCs w:val="21"/>
        </w:rPr>
      </w:pPr>
      <w:r>
        <w:rPr>
          <w:rFonts w:hint="eastAsia" w:ascii="宋体" w:hAnsi="宋体" w:eastAsia="宋体" w:cs="宋体"/>
          <w:sz w:val="21"/>
          <w:szCs w:val="21"/>
        </w:rPr>
        <w:t>3. ▲投标全费用综合单价是履行合同的最终单价价格,包括人员工资福利费用、设备运维水费、设备维修保养费用、药剂费用、化验费、水质检测费、办公经费、调试、培训、保险、保修费用、税费及其他相关费用等完成本项目所需的一切本身和不可或缺的所有工作开支、政策性文件规定及合同包含的所有风险、责任等各项全部费用。如有漏项，视同已包含在其总项目中。</w:t>
      </w:r>
    </w:p>
    <w:p>
      <w:pPr>
        <w:spacing w:line="400" w:lineRule="exact"/>
        <w:ind w:left="698" w:leftChars="175" w:hanging="198" w:hangingChars="92"/>
        <w:rPr>
          <w:rFonts w:ascii="宋体" w:hAnsi="宋体" w:eastAsia="宋体" w:cs="宋体"/>
          <w:sz w:val="21"/>
          <w:szCs w:val="21"/>
        </w:rPr>
      </w:pPr>
      <w:r>
        <w:rPr>
          <w:rFonts w:hint="eastAsia" w:ascii="宋体" w:hAnsi="宋体" w:eastAsia="宋体" w:cs="宋体"/>
          <w:sz w:val="21"/>
          <w:szCs w:val="21"/>
        </w:rPr>
        <w:t>4.不提供此表格的将视为没有实质性响应招标文件。</w:t>
      </w:r>
    </w:p>
    <w:p>
      <w:pPr>
        <w:spacing w:line="400" w:lineRule="exact"/>
        <w:ind w:right="480" w:firstLine="501" w:firstLineChars="204"/>
        <w:rPr>
          <w:rFonts w:ascii="宋体" w:hAnsi="宋体" w:eastAsia="宋体" w:cs="宋体"/>
          <w:sz w:val="24"/>
          <w:szCs w:val="24"/>
        </w:rPr>
      </w:pPr>
    </w:p>
    <w:p>
      <w:pPr>
        <w:pStyle w:val="74"/>
        <w:rPr>
          <w:rFonts w:ascii="宋体" w:hAnsi="宋体" w:eastAsia="宋体" w:cs="宋体"/>
          <w:sz w:val="24"/>
          <w:szCs w:val="24"/>
        </w:rPr>
      </w:pPr>
    </w:p>
    <w:p>
      <w:pPr>
        <w:pStyle w:val="75"/>
      </w:pPr>
    </w:p>
    <w:p>
      <w:pPr>
        <w:spacing w:line="400" w:lineRule="exact"/>
        <w:ind w:right="480" w:firstLine="501" w:firstLineChars="204"/>
        <w:rPr>
          <w:rFonts w:ascii="宋体" w:hAnsi="宋体" w:eastAsia="宋体" w:cs="宋体"/>
          <w:sz w:val="24"/>
          <w:szCs w:val="24"/>
        </w:rPr>
      </w:pPr>
      <w:r>
        <w:rPr>
          <w:rFonts w:hint="eastAsia" w:ascii="宋体" w:hAnsi="宋体" w:eastAsia="宋体" w:cs="宋体"/>
          <w:sz w:val="24"/>
          <w:szCs w:val="24"/>
        </w:rPr>
        <w:t>投标单位名称（公章）：</w:t>
      </w:r>
      <w:r>
        <w:rPr>
          <w:rFonts w:hint="eastAsia" w:ascii="宋体" w:hAnsi="宋体" w:eastAsia="宋体" w:cs="宋体"/>
          <w:sz w:val="24"/>
          <w:szCs w:val="24"/>
          <w:u w:val="single"/>
        </w:rPr>
        <w:t xml:space="preserve">                            </w:t>
      </w:r>
    </w:p>
    <w:p>
      <w:pPr>
        <w:spacing w:line="400" w:lineRule="exact"/>
        <w:ind w:right="480" w:firstLine="501" w:firstLineChars="204"/>
        <w:rPr>
          <w:rFonts w:ascii="宋体" w:hAnsi="宋体" w:eastAsia="宋体" w:cs="宋体"/>
          <w:sz w:val="24"/>
          <w:szCs w:val="24"/>
        </w:rPr>
      </w:pPr>
      <w:r>
        <w:rPr>
          <w:rFonts w:hint="eastAsia" w:ascii="宋体" w:hAnsi="宋体" w:eastAsia="宋体" w:cs="宋体"/>
          <w:sz w:val="24"/>
          <w:szCs w:val="24"/>
        </w:rPr>
        <w:t>法定代表人或授权代表（签字或盖章）：</w:t>
      </w:r>
      <w:r>
        <w:rPr>
          <w:rFonts w:hint="eastAsia" w:ascii="宋体" w:hAnsi="宋体" w:eastAsia="宋体" w:cs="宋体"/>
          <w:sz w:val="24"/>
          <w:szCs w:val="24"/>
          <w:u w:val="single"/>
        </w:rPr>
        <w:t xml:space="preserve">                     </w:t>
      </w:r>
    </w:p>
    <w:p>
      <w:pPr>
        <w:pStyle w:val="34"/>
        <w:snapToGrid w:val="0"/>
        <w:spacing w:line="400" w:lineRule="exact"/>
        <w:ind w:firstLine="492" w:firstLineChars="200"/>
        <w:rPr>
          <w:rFonts w:hAnsi="宋体" w:cs="宋体"/>
          <w:sz w:val="24"/>
          <w:szCs w:val="24"/>
        </w:rPr>
      </w:pPr>
      <w:r>
        <w:rPr>
          <w:rFonts w:hint="eastAsia" w:hAnsi="宋体" w:cs="宋体"/>
          <w:sz w:val="24"/>
          <w:szCs w:val="24"/>
        </w:rPr>
        <w:t>日期：        年  月   日</w:t>
      </w:r>
    </w:p>
    <w:p>
      <w:pPr>
        <w:autoSpaceDE w:val="0"/>
        <w:autoSpaceDN w:val="0"/>
        <w:adjustRightInd w:val="0"/>
        <w:spacing w:line="400" w:lineRule="exact"/>
        <w:jc w:val="center"/>
        <w:rPr>
          <w:rFonts w:ascii="宋体" w:hAnsi="宋体" w:eastAsia="宋体" w:cs="宋体"/>
          <w:b/>
          <w:color w:val="000000"/>
          <w:sz w:val="30"/>
          <w:szCs w:val="30"/>
          <w:lang w:val="zh-CN"/>
        </w:rPr>
      </w:pPr>
    </w:p>
    <w:p>
      <w:pPr>
        <w:spacing w:line="500" w:lineRule="exact"/>
        <w:jc w:val="center"/>
        <w:rPr>
          <w:rFonts w:ascii="宋体" w:hAnsi="宋体" w:eastAsia="宋体" w:cs="宋体"/>
          <w:color w:val="000000"/>
        </w:rPr>
      </w:pPr>
    </w:p>
    <w:p>
      <w:pPr>
        <w:spacing w:line="500" w:lineRule="exact"/>
        <w:jc w:val="center"/>
        <w:rPr>
          <w:rFonts w:hint="eastAsia" w:ascii="宋体" w:hAnsi="宋体" w:eastAsia="宋体" w:cs="宋体"/>
          <w:color w:val="000000"/>
        </w:rPr>
      </w:pPr>
    </w:p>
    <w:p>
      <w:pPr>
        <w:spacing w:line="500" w:lineRule="exact"/>
        <w:jc w:val="center"/>
        <w:rPr>
          <w:rFonts w:hint="eastAsia" w:ascii="宋体" w:hAnsi="宋体" w:eastAsia="宋体" w:cs="宋体"/>
          <w:color w:val="000000"/>
        </w:rPr>
      </w:pPr>
    </w:p>
    <w:p>
      <w:pPr>
        <w:spacing w:line="500" w:lineRule="exact"/>
        <w:jc w:val="center"/>
        <w:rPr>
          <w:rFonts w:ascii="宋体" w:hAnsi="宋体" w:eastAsia="宋体" w:cs="宋体"/>
          <w:color w:val="000000"/>
        </w:rPr>
      </w:pPr>
      <w:r>
        <w:rPr>
          <w:rFonts w:hint="eastAsia" w:ascii="宋体" w:hAnsi="宋体" w:eastAsia="宋体" w:cs="宋体"/>
          <w:color w:val="000000"/>
        </w:rPr>
        <w:t xml:space="preserve">中小企业声明函（服务） </w:t>
      </w:r>
    </w:p>
    <w:p>
      <w:pPr>
        <w:spacing w:line="500" w:lineRule="exact"/>
        <w:jc w:val="center"/>
        <w:rPr>
          <w:rFonts w:ascii="宋体" w:hAnsi="宋体" w:eastAsia="宋体" w:cs="宋体"/>
          <w:color w:val="000000"/>
        </w:rPr>
      </w:pP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本公司郑重声明，根据《政府采购促进中小企业发展管理办法》（财库﹝2020﹞46 号）的规定，本公司参加</w:t>
      </w:r>
      <w:r>
        <w:rPr>
          <w:rFonts w:hint="eastAsia" w:ascii="宋体" w:hAnsi="宋体" w:eastAsia="宋体" w:cs="宋体"/>
          <w:color w:val="000000"/>
          <w:sz w:val="24"/>
          <w:szCs w:val="24"/>
          <w:u w:val="single"/>
        </w:rPr>
        <w:t>（单位名称）</w:t>
      </w:r>
      <w:r>
        <w:rPr>
          <w:rFonts w:hint="eastAsia" w:ascii="宋体" w:hAnsi="宋体" w:eastAsia="宋体" w:cs="宋体"/>
          <w:color w:val="000000"/>
          <w:sz w:val="24"/>
          <w:szCs w:val="24"/>
        </w:rPr>
        <w:t>的</w:t>
      </w:r>
      <w:r>
        <w:rPr>
          <w:rFonts w:hint="eastAsia" w:ascii="宋体" w:hAnsi="宋体" w:eastAsia="宋体" w:cs="宋体"/>
          <w:color w:val="000000"/>
          <w:sz w:val="24"/>
          <w:szCs w:val="24"/>
          <w:u w:val="single"/>
        </w:rPr>
        <w:t>（项目名称）</w:t>
      </w:r>
      <w:r>
        <w:rPr>
          <w:rFonts w:hint="eastAsia" w:ascii="宋体" w:hAnsi="宋体" w:eastAsia="宋体" w:cs="宋体"/>
          <w:color w:val="000000"/>
          <w:sz w:val="24"/>
          <w:szCs w:val="24"/>
        </w:rPr>
        <w:t>采购活动，服务全部由符合政策要求的中小企业承接。相关企业的具体情况如下：</w:t>
      </w: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u w:val="single"/>
        </w:rPr>
        <w:t>（标的名称）</w:t>
      </w:r>
      <w:r>
        <w:rPr>
          <w:rFonts w:hint="eastAsia" w:ascii="宋体" w:hAnsi="宋体" w:eastAsia="宋体" w:cs="宋体"/>
          <w:color w:val="000000"/>
          <w:sz w:val="24"/>
          <w:szCs w:val="24"/>
        </w:rPr>
        <w:t>，属</w:t>
      </w:r>
      <w:r>
        <w:rPr>
          <w:rFonts w:hint="eastAsia" w:ascii="宋体" w:hAnsi="宋体" w:eastAsia="宋体" w:cs="宋体"/>
          <w:color w:val="000000" w:themeColor="text1"/>
          <w:sz w:val="24"/>
          <w:szCs w:val="24"/>
          <w:highlight w:val="none"/>
          <w14:textFill>
            <w14:solidFill>
              <w14:schemeClr w14:val="tx1"/>
            </w14:solidFill>
          </w14:textFill>
        </w:rPr>
        <w:t>于</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b/>
          <w:bCs/>
          <w:color w:val="000000" w:themeColor="text1"/>
          <w:sz w:val="24"/>
          <w:szCs w:val="24"/>
          <w:highlight w:val="none"/>
          <w:u w:val="single"/>
          <w:lang w:eastAsia="zh-CN"/>
          <w14:textFill>
            <w14:solidFill>
              <w14:schemeClr w14:val="tx1"/>
            </w14:solidFill>
          </w14:textFill>
        </w:rPr>
        <w:t>工业</w:t>
      </w:r>
      <w:r>
        <w:rPr>
          <w:rFonts w:hint="eastAsia" w:ascii="宋体" w:hAnsi="宋体" w:eastAsia="宋体" w:cs="宋体"/>
          <w:b/>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eastAsia="宋体" w:cs="宋体"/>
          <w:color w:val="000000"/>
          <w:sz w:val="24"/>
          <w:szCs w:val="24"/>
        </w:rPr>
        <w:t>行业；承接企业为</w:t>
      </w:r>
      <w:r>
        <w:rPr>
          <w:rFonts w:hint="eastAsia" w:ascii="宋体" w:hAnsi="宋体" w:eastAsia="宋体" w:cs="宋体"/>
          <w:color w:val="000000"/>
          <w:sz w:val="24"/>
          <w:szCs w:val="24"/>
          <w:u w:val="single"/>
        </w:rPr>
        <w:t>（企业名称）</w:t>
      </w:r>
      <w:r>
        <w:rPr>
          <w:rFonts w:hint="eastAsia" w:ascii="宋体" w:hAnsi="宋体" w:eastAsia="宋体" w:cs="宋体"/>
          <w:color w:val="000000"/>
          <w:sz w:val="24"/>
          <w:szCs w:val="24"/>
        </w:rPr>
        <w:t>，从业人员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人，营业收入为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rPr>
        <w:t>万元，资产总额为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万元，属于（□中型企业、□小型企业、□微型企业）；</w:t>
      </w: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u w:val="single"/>
        </w:rPr>
        <w:t>（标的名称）</w:t>
      </w:r>
      <w:r>
        <w:rPr>
          <w:rFonts w:hint="eastAsia" w:ascii="宋体" w:hAnsi="宋体" w:eastAsia="宋体" w:cs="宋体"/>
          <w:color w:val="000000"/>
          <w:sz w:val="24"/>
          <w:szCs w:val="24"/>
        </w:rPr>
        <w:t>，属于</w:t>
      </w:r>
      <w:r>
        <w:rPr>
          <w:rFonts w:hint="eastAsia" w:ascii="宋体" w:hAnsi="宋体" w:eastAsia="宋体" w:cs="宋体"/>
          <w:color w:val="000000"/>
          <w:sz w:val="24"/>
          <w:szCs w:val="24"/>
          <w:u w:val="single"/>
        </w:rPr>
        <w:t>（采购文件中明确的所属行业）</w:t>
      </w:r>
      <w:r>
        <w:rPr>
          <w:rFonts w:hint="eastAsia" w:ascii="宋体" w:hAnsi="宋体" w:eastAsia="宋体" w:cs="宋体"/>
          <w:color w:val="000000"/>
          <w:sz w:val="24"/>
          <w:szCs w:val="24"/>
        </w:rPr>
        <w:t>行业；承接企业为</w:t>
      </w:r>
      <w:r>
        <w:rPr>
          <w:rFonts w:hint="eastAsia" w:ascii="宋体" w:hAnsi="宋体" w:eastAsia="宋体" w:cs="宋体"/>
          <w:color w:val="000000"/>
          <w:sz w:val="24"/>
          <w:szCs w:val="24"/>
          <w:u w:val="single"/>
        </w:rPr>
        <w:t>（企业名称）</w:t>
      </w:r>
      <w:r>
        <w:rPr>
          <w:rFonts w:hint="eastAsia" w:ascii="宋体" w:hAnsi="宋体" w:eastAsia="宋体" w:cs="宋体"/>
          <w:color w:val="000000"/>
          <w:sz w:val="24"/>
          <w:szCs w:val="24"/>
        </w:rPr>
        <w:t>，从业人员</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人，营业收入为</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万元，资产总额为</w:t>
      </w:r>
      <w:r>
        <w:rPr>
          <w:rFonts w:hint="eastAsia" w:ascii="宋体" w:hAnsi="宋体" w:eastAsia="宋体" w:cs="宋体"/>
          <w:color w:val="000000"/>
          <w:sz w:val="24"/>
          <w:szCs w:val="24"/>
          <w:u w:val="single"/>
        </w:rPr>
        <w:tab/>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万元，属于（□中型企业、□小型企业、□微型企业）；</w:t>
      </w: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 xml:space="preserve">…… </w:t>
      </w: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以上企业，不属于大企业的分支机构，不存在控股股东为大企业的情形，也不存在与大企业的负责人为同一人的情形。</w:t>
      </w:r>
    </w:p>
    <w:p>
      <w:pPr>
        <w:spacing w:line="500" w:lineRule="exact"/>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本企业对上述声明内容的真实性负责。如有虚假，将依法承担相应责任。</w:t>
      </w:r>
    </w:p>
    <w:p>
      <w:pPr>
        <w:spacing w:line="500" w:lineRule="exact"/>
        <w:rPr>
          <w:rFonts w:ascii="宋体" w:hAnsi="宋体" w:eastAsia="宋体" w:cs="宋体"/>
          <w:color w:val="000000"/>
          <w:sz w:val="24"/>
          <w:szCs w:val="24"/>
        </w:rPr>
      </w:pPr>
    </w:p>
    <w:p>
      <w:pPr>
        <w:spacing w:line="500" w:lineRule="exact"/>
        <w:ind w:firstLine="3813" w:firstLineChars="1550"/>
        <w:rPr>
          <w:rFonts w:ascii="宋体" w:hAnsi="宋体" w:eastAsia="宋体" w:cs="宋体"/>
          <w:color w:val="000000"/>
          <w:sz w:val="24"/>
          <w:szCs w:val="24"/>
        </w:rPr>
      </w:pPr>
      <w:r>
        <w:rPr>
          <w:rFonts w:hint="eastAsia" w:ascii="宋体" w:hAnsi="宋体" w:eastAsia="宋体" w:cs="宋体"/>
          <w:color w:val="000000"/>
          <w:sz w:val="24"/>
          <w:szCs w:val="24"/>
        </w:rPr>
        <w:t xml:space="preserve">企业名称（盖章）： </w:t>
      </w:r>
    </w:p>
    <w:p>
      <w:pPr>
        <w:spacing w:line="500" w:lineRule="exact"/>
        <w:ind w:firstLine="3813" w:firstLineChars="1550"/>
        <w:rPr>
          <w:rFonts w:ascii="宋体" w:hAnsi="宋体" w:eastAsia="宋体" w:cs="宋体"/>
          <w:color w:val="000000"/>
          <w:sz w:val="24"/>
          <w:szCs w:val="24"/>
        </w:rPr>
      </w:pPr>
      <w:r>
        <w:rPr>
          <w:rFonts w:hint="eastAsia" w:ascii="宋体" w:hAnsi="宋体" w:eastAsia="宋体" w:cs="宋体"/>
          <w:color w:val="000000"/>
          <w:sz w:val="24"/>
          <w:szCs w:val="24"/>
        </w:rPr>
        <w:t>日 期：</w:t>
      </w:r>
    </w:p>
    <w:p>
      <w:pPr>
        <w:pStyle w:val="5"/>
        <w:rPr>
          <w:rFonts w:ascii="宋体" w:hAnsi="宋体" w:cs="宋体"/>
          <w:color w:val="000000"/>
        </w:rPr>
      </w:pPr>
    </w:p>
    <w:p>
      <w:pPr>
        <w:spacing w:line="500" w:lineRule="exact"/>
        <w:jc w:val="left"/>
        <w:rPr>
          <w:rFonts w:ascii="宋体" w:hAnsi="宋体" w:eastAsia="宋体" w:cs="宋体"/>
          <w:b/>
          <w:color w:val="000000"/>
          <w:spacing w:val="6"/>
          <w:sz w:val="24"/>
          <w:szCs w:val="24"/>
        </w:rPr>
      </w:pPr>
    </w:p>
    <w:p>
      <w:pPr>
        <w:pStyle w:val="34"/>
        <w:spacing w:line="500" w:lineRule="exact"/>
        <w:rPr>
          <w:rFonts w:hAnsi="宋体" w:cs="宋体"/>
          <w:color w:val="000000"/>
          <w:sz w:val="24"/>
          <w:szCs w:val="24"/>
        </w:rPr>
      </w:pPr>
      <w:r>
        <w:rPr>
          <w:rFonts w:hint="eastAsia" w:hAnsi="宋体" w:cs="宋体"/>
          <w:color w:val="000000"/>
          <w:spacing w:val="6"/>
          <w:sz w:val="24"/>
          <w:szCs w:val="24"/>
        </w:rPr>
        <w:t xml:space="preserve">              </w:t>
      </w:r>
    </w:p>
    <w:p>
      <w:pPr>
        <w:adjustRightInd w:val="0"/>
        <w:spacing w:line="500" w:lineRule="exact"/>
        <w:ind w:firstLine="471"/>
        <w:textAlignment w:val="baseline"/>
        <w:rPr>
          <w:rFonts w:ascii="宋体" w:hAnsi="宋体" w:eastAsia="宋体" w:cs="宋体"/>
          <w:b/>
          <w:color w:val="000000"/>
          <w:sz w:val="24"/>
        </w:rPr>
      </w:pPr>
      <w:r>
        <w:rPr>
          <w:rFonts w:hint="eastAsia" w:ascii="宋体" w:hAnsi="宋体" w:eastAsia="宋体" w:cs="宋体"/>
          <w:b/>
          <w:color w:val="000000"/>
          <w:sz w:val="24"/>
        </w:rPr>
        <w:t>注：1. 从业人员、营业收入、资产总额填报上一年度数据，无上一年度数据的新成立企业可不填报。</w:t>
      </w:r>
    </w:p>
    <w:p>
      <w:pPr>
        <w:spacing w:line="588" w:lineRule="exact"/>
        <w:jc w:val="center"/>
        <w:rPr>
          <w:rFonts w:ascii="宋体" w:hAnsi="宋体" w:eastAsia="宋体" w:cs="宋体"/>
          <w:color w:val="000000"/>
        </w:rPr>
      </w:pPr>
    </w:p>
    <w:p>
      <w:pPr>
        <w:spacing w:line="588" w:lineRule="exact"/>
        <w:jc w:val="center"/>
        <w:rPr>
          <w:rFonts w:ascii="宋体" w:hAnsi="宋体" w:eastAsia="宋体" w:cs="宋体"/>
          <w:b/>
          <w:color w:val="000000"/>
          <w:spacing w:val="6"/>
          <w:sz w:val="32"/>
          <w:szCs w:val="32"/>
        </w:rPr>
      </w:pPr>
    </w:p>
    <w:p>
      <w:pPr>
        <w:spacing w:line="588" w:lineRule="exact"/>
        <w:jc w:val="center"/>
        <w:rPr>
          <w:rFonts w:ascii="宋体" w:hAnsi="宋体" w:eastAsia="宋体" w:cs="宋体"/>
          <w:b/>
          <w:color w:val="000000"/>
          <w:spacing w:val="6"/>
          <w:sz w:val="32"/>
          <w:szCs w:val="32"/>
        </w:rPr>
      </w:pPr>
    </w:p>
    <w:p>
      <w:pPr>
        <w:spacing w:line="588" w:lineRule="exact"/>
        <w:jc w:val="center"/>
        <w:rPr>
          <w:rFonts w:hint="eastAsia" w:ascii="宋体" w:hAnsi="宋体" w:eastAsia="宋体" w:cs="宋体"/>
          <w:b/>
          <w:color w:val="000000"/>
          <w:spacing w:val="6"/>
          <w:sz w:val="32"/>
          <w:szCs w:val="32"/>
        </w:rPr>
      </w:pPr>
    </w:p>
    <w:p>
      <w:pPr>
        <w:spacing w:line="588" w:lineRule="exact"/>
        <w:jc w:val="center"/>
        <w:rPr>
          <w:rFonts w:ascii="宋体" w:hAnsi="宋体" w:eastAsia="宋体" w:cs="宋体"/>
          <w:b/>
          <w:color w:val="000000"/>
          <w:spacing w:val="6"/>
          <w:sz w:val="32"/>
          <w:szCs w:val="32"/>
        </w:rPr>
      </w:pPr>
      <w:r>
        <w:rPr>
          <w:rFonts w:hint="eastAsia" w:ascii="宋体" w:hAnsi="宋体" w:eastAsia="宋体" w:cs="宋体"/>
          <w:b/>
          <w:color w:val="000000"/>
          <w:spacing w:val="6"/>
          <w:sz w:val="32"/>
          <w:szCs w:val="32"/>
        </w:rPr>
        <w:t>监狱和戒毒企业证明材料</w:t>
      </w:r>
    </w:p>
    <w:p>
      <w:pPr>
        <w:jc w:val="center"/>
        <w:rPr>
          <w:rFonts w:ascii="宋体" w:hAnsi="宋体" w:eastAsia="宋体" w:cs="宋体"/>
          <w:b/>
          <w:color w:val="000000"/>
          <w:lang w:val="en-GB"/>
        </w:rPr>
      </w:pPr>
    </w:p>
    <w:p>
      <w:pPr>
        <w:snapToGrid w:val="0"/>
        <w:spacing w:line="540" w:lineRule="exact"/>
        <w:ind w:firstLine="572" w:firstLineChars="200"/>
        <w:rPr>
          <w:rFonts w:ascii="宋体" w:hAnsi="宋体" w:eastAsia="宋体" w:cs="宋体"/>
          <w:color w:val="000000"/>
        </w:rPr>
      </w:pPr>
      <w:r>
        <w:rPr>
          <w:rFonts w:hint="eastAsia" w:ascii="宋体" w:hAnsi="宋体" w:eastAsia="宋体" w:cs="宋体"/>
          <w:color w:val="000000"/>
        </w:rPr>
        <w:t>监狱和戒毒企业参加投标时应提供由省级以上监狱管理局、戒毒管理局（含新疆生产建设兵团）出具的属于监狱企业的证明文件。</w:t>
      </w:r>
    </w:p>
    <w:p>
      <w:pPr>
        <w:snapToGrid w:val="0"/>
        <w:spacing w:line="540" w:lineRule="exact"/>
        <w:ind w:firstLine="572" w:firstLineChars="200"/>
        <w:rPr>
          <w:rFonts w:ascii="宋体" w:hAnsi="宋体" w:eastAsia="宋体" w:cs="宋体"/>
          <w:color w:val="000000"/>
        </w:rPr>
      </w:pPr>
    </w:p>
    <w:p>
      <w:pPr>
        <w:snapToGrid w:val="0"/>
        <w:spacing w:line="540" w:lineRule="exact"/>
        <w:ind w:firstLine="3380" w:firstLineChars="1000"/>
        <w:rPr>
          <w:rFonts w:ascii="宋体" w:hAnsi="宋体" w:eastAsia="宋体" w:cs="宋体"/>
          <w:b/>
          <w:color w:val="000000"/>
          <w:spacing w:val="6"/>
          <w:sz w:val="32"/>
          <w:szCs w:val="32"/>
        </w:rPr>
      </w:pPr>
      <w:r>
        <w:rPr>
          <w:rFonts w:hint="eastAsia" w:ascii="宋体" w:hAnsi="宋体" w:eastAsia="宋体" w:cs="宋体"/>
          <w:b/>
          <w:color w:val="000000"/>
          <w:spacing w:val="6"/>
          <w:sz w:val="32"/>
          <w:szCs w:val="32"/>
        </w:rPr>
        <w:t>残疾人福利性单位声明函</w:t>
      </w:r>
    </w:p>
    <w:p>
      <w:pPr>
        <w:spacing w:line="588" w:lineRule="exact"/>
        <w:rPr>
          <w:rFonts w:ascii="宋体" w:hAnsi="宋体" w:eastAsia="宋体" w:cs="宋体"/>
          <w:b/>
          <w:color w:val="000000"/>
          <w:spacing w:val="6"/>
          <w:sz w:val="30"/>
          <w:szCs w:val="30"/>
        </w:rPr>
      </w:pPr>
    </w:p>
    <w:p>
      <w:pPr>
        <w:snapToGrid w:val="0"/>
        <w:spacing w:line="360" w:lineRule="auto"/>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单位的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92" w:firstLineChars="200"/>
        <w:rPr>
          <w:rFonts w:ascii="宋体" w:hAnsi="宋体" w:eastAsia="宋体" w:cs="宋体"/>
          <w:color w:val="000000"/>
          <w:sz w:val="24"/>
          <w:szCs w:val="24"/>
        </w:rPr>
      </w:pPr>
      <w:r>
        <w:rPr>
          <w:rFonts w:hint="eastAsia" w:ascii="宋体" w:hAnsi="宋体" w:eastAsia="宋体" w:cs="宋体"/>
          <w:color w:val="000000"/>
          <w:sz w:val="24"/>
          <w:szCs w:val="24"/>
        </w:rPr>
        <w:t>本单位对上述声明的真实性负责。如有虚假，将依法承担相应责任。</w:t>
      </w:r>
    </w:p>
    <w:p>
      <w:pPr>
        <w:snapToGrid w:val="0"/>
        <w:spacing w:line="360" w:lineRule="auto"/>
        <w:ind w:firstLine="492" w:firstLineChars="200"/>
        <w:rPr>
          <w:rFonts w:ascii="宋体" w:hAnsi="宋体" w:eastAsia="宋体" w:cs="宋体"/>
          <w:color w:val="000000"/>
          <w:sz w:val="24"/>
          <w:szCs w:val="24"/>
        </w:rPr>
      </w:pPr>
    </w:p>
    <w:p>
      <w:pPr>
        <w:spacing w:line="588" w:lineRule="exact"/>
        <w:ind w:firstLine="516" w:firstLineChars="200"/>
        <w:rPr>
          <w:rFonts w:ascii="宋体" w:hAnsi="宋体" w:eastAsia="宋体" w:cs="宋体"/>
          <w:color w:val="000000"/>
          <w:spacing w:val="6"/>
          <w:sz w:val="24"/>
          <w:szCs w:val="24"/>
        </w:rPr>
      </w:pPr>
    </w:p>
    <w:p>
      <w:pPr>
        <w:snapToGrid w:val="0"/>
        <w:spacing w:line="360" w:lineRule="auto"/>
        <w:ind w:right="960" w:firstLine="492" w:firstLineChars="200"/>
        <w:jc w:val="center"/>
        <w:rPr>
          <w:rFonts w:ascii="宋体" w:hAnsi="宋体" w:eastAsia="宋体" w:cs="宋体"/>
          <w:color w:val="000000"/>
          <w:sz w:val="24"/>
          <w:szCs w:val="24"/>
        </w:rPr>
      </w:pPr>
      <w:r>
        <w:rPr>
          <w:rFonts w:hint="eastAsia" w:ascii="宋体" w:hAnsi="宋体" w:eastAsia="宋体" w:cs="宋体"/>
          <w:color w:val="000000"/>
          <w:sz w:val="24"/>
          <w:szCs w:val="24"/>
        </w:rPr>
        <w:t xml:space="preserve">                                  单位名称（盖章）：</w:t>
      </w:r>
    </w:p>
    <w:p>
      <w:pPr>
        <w:spacing w:line="540" w:lineRule="exact"/>
        <w:jc w:val="center"/>
        <w:rPr>
          <w:rFonts w:ascii="宋体" w:hAnsi="宋体" w:eastAsia="宋体" w:cs="宋体"/>
          <w:color w:val="000000"/>
          <w:sz w:val="24"/>
          <w:szCs w:val="24"/>
        </w:rPr>
      </w:pPr>
      <w:r>
        <w:rPr>
          <w:rFonts w:hint="eastAsia" w:ascii="宋体" w:hAnsi="宋体" w:eastAsia="宋体" w:cs="宋体"/>
          <w:color w:val="000000"/>
          <w:sz w:val="24"/>
          <w:szCs w:val="24"/>
        </w:rPr>
        <w:t xml:space="preserve">                                       日  期：</w:t>
      </w:r>
    </w:p>
    <w:p>
      <w:pPr>
        <w:jc w:val="center"/>
        <w:rPr>
          <w:rFonts w:ascii="宋体" w:hAnsi="宋体" w:eastAsia="宋体" w:cs="宋体"/>
          <w:color w:val="000000"/>
          <w:sz w:val="24"/>
          <w:szCs w:val="24"/>
        </w:rPr>
      </w:pPr>
    </w:p>
    <w:p>
      <w:pPr>
        <w:jc w:val="center"/>
        <w:rPr>
          <w:rFonts w:ascii="宋体" w:hAnsi="宋体" w:eastAsia="宋体" w:cs="宋体"/>
          <w:color w:val="000000"/>
        </w:rPr>
      </w:pPr>
    </w:p>
    <w:p>
      <w:pPr>
        <w:jc w:val="center"/>
        <w:rPr>
          <w:rFonts w:ascii="宋体" w:hAnsi="宋体" w:eastAsia="宋体" w:cs="宋体"/>
          <w:color w:val="000000"/>
        </w:rPr>
      </w:pPr>
    </w:p>
    <w:p>
      <w:pPr>
        <w:jc w:val="center"/>
        <w:rPr>
          <w:rFonts w:ascii="宋体" w:hAnsi="宋体" w:eastAsia="宋体" w:cs="宋体"/>
          <w:color w:val="000000"/>
        </w:rPr>
      </w:pPr>
    </w:p>
    <w:p>
      <w:pPr>
        <w:jc w:val="center"/>
        <w:rPr>
          <w:rFonts w:ascii="宋体" w:hAnsi="宋体" w:eastAsia="宋体" w:cs="宋体"/>
          <w:color w:val="000000"/>
        </w:rPr>
      </w:pPr>
    </w:p>
    <w:p>
      <w:pPr>
        <w:jc w:val="center"/>
        <w:rPr>
          <w:rFonts w:hint="eastAsia" w:ascii="宋体" w:hAnsi="宋体" w:eastAsia="宋体" w:cs="宋体"/>
          <w:color w:val="000000"/>
          <w:lang w:eastAsia="zh-CN"/>
        </w:rPr>
      </w:pPr>
    </w:p>
    <w:p>
      <w:pPr>
        <w:jc w:val="center"/>
        <w:rPr>
          <w:rFonts w:ascii="宋体" w:hAnsi="宋体" w:eastAsia="宋体" w:cs="宋体"/>
          <w:color w:val="000000"/>
        </w:rPr>
      </w:pPr>
    </w:p>
    <w:p>
      <w:pPr>
        <w:rPr>
          <w:rFonts w:ascii="宋体" w:hAnsi="宋体" w:eastAsia="宋体" w:cs="宋体"/>
          <w:color w:val="000000"/>
        </w:rPr>
      </w:pPr>
    </w:p>
    <w:p/>
    <w:p>
      <w:pPr>
        <w:rPr>
          <w:rFonts w:ascii="宋体" w:hAnsi="宋体" w:eastAsia="宋体" w:cs="宋体"/>
          <w:color w:val="000000"/>
        </w:rPr>
      </w:pPr>
    </w:p>
    <w:sectPr>
      <w:pgSz w:w="11906" w:h="16838"/>
      <w:pgMar w:top="1440" w:right="1083" w:bottom="1440" w:left="1083" w:header="851" w:footer="992" w:gutter="0"/>
      <w:cols w:space="720" w:num="1"/>
      <w:titlePg/>
      <w:docGrid w:type="linesAndChars" w:linePitch="389" w:charSpace="1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20204"/>
    <w:charset w:val="00"/>
    <w:family w:val="swiss"/>
    <w:pitch w:val="default"/>
    <w:sig w:usb0="00000000" w:usb1="00000000" w:usb2="00000009" w:usb3="00000000" w:csb0="000001FF" w:csb1="00000000"/>
  </w:font>
  <w:font w:name="Book Antiqua">
    <w:altName w:val="Segoe Print"/>
    <w:panose1 w:val="02040602050305030304"/>
    <w:charset w:val="00"/>
    <w:family w:val="roman"/>
    <w:pitch w:val="default"/>
    <w:sig w:usb0="00000000" w:usb1="00000000" w:usb2="00000000" w:usb3="00000000" w:csb0="0000009F" w:csb1="00000000"/>
  </w:font>
  <w:font w:name="Univers">
    <w:altName w:val="Segoe Print"/>
    <w:panose1 w:val="00000000000000000000"/>
    <w:charset w:val="00"/>
    <w:family w:val="swiss"/>
    <w:pitch w:val="default"/>
    <w:sig w:usb0="00000000" w:usb1="00000000" w:usb2="00000000" w:usb3="00000000" w:csb0="0000000F" w:csb1="00000000"/>
  </w:font>
  <w:font w:name="Arial Unicode MS">
    <w:altName w:val="宋体"/>
    <w:panose1 w:val="020B0604020202020204"/>
    <w:charset w:val="86"/>
    <w:family w:val="roman"/>
    <w:pitch w:val="default"/>
    <w:sig w:usb0="00000000" w:usb1="00000000" w:usb2="0000003F" w:usb3="00000000" w:csb0="603F01FF" w:csb1="FFFF0000"/>
  </w:font>
  <w:font w:name="ヒラギノ角ゴ Pro W3">
    <w:altName w:val="MS Gothic"/>
    <w:panose1 w:val="00000000000000000000"/>
    <w:charset w:val="80"/>
    <w:family w:val="auto"/>
    <w:pitch w:val="default"/>
    <w:sig w:usb0="00000000" w:usb1="00000000" w:usb2="00000012" w:usb3="00000000" w:csb0="0002000D" w:csb1="00000000"/>
  </w:font>
  <w:font w:name="Cambria">
    <w:panose1 w:val="02040503050406030204"/>
    <w:charset w:val="00"/>
    <w:family w:val="roman"/>
    <w:pitch w:val="default"/>
    <w:sig w:usb0="E00002FF" w:usb1="400004FF" w:usb2="00000000" w:usb3="00000000" w:csb0="2000019F" w:csb1="00000000"/>
  </w:font>
  <w:font w:name="FuturaA Bk BT">
    <w:altName w:val="Arial"/>
    <w:panose1 w:val="00000000000000000000"/>
    <w:charset w:val="00"/>
    <w:family w:val="swiss"/>
    <w:pitch w:val="default"/>
    <w:sig w:usb0="00000000" w:usb1="00000000" w:usb2="00000000" w:usb3="00000000" w:csb0="0000001B" w:csb1="00000000"/>
  </w:font>
  <w:font w:name="Verdana">
    <w:panose1 w:val="020B0604030504040204"/>
    <w:charset w:val="00"/>
    <w:family w:val="swiss"/>
    <w:pitch w:val="default"/>
    <w:sig w:usb0="A10006FF" w:usb1="4000205B" w:usb2="0000001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center" w:y="1"/>
      <w:rPr>
        <w:rStyle w:val="68"/>
      </w:rPr>
    </w:pPr>
    <w:r>
      <w:fldChar w:fldCharType="begin"/>
    </w:r>
    <w:r>
      <w:rPr>
        <w:rStyle w:val="68"/>
      </w:rPr>
      <w:instrText xml:space="preserve">PAGE  </w:instrText>
    </w:r>
    <w:r>
      <w:fldChar w:fldCharType="end"/>
    </w:r>
  </w:p>
  <w:p>
    <w:pPr>
      <w:pStyle w:val="41"/>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center" w:pos="4164"/>
        <w:tab w:val="clear" w:pos="4153"/>
        <w:tab w:val="clear" w:pos="8306"/>
      </w:tabs>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1270" b="0"/>
              <wp:wrapNone/>
              <wp:docPr id="1882442438"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41"/>
                          </w:pPr>
                          <w:r>
                            <w:fldChar w:fldCharType="begin"/>
                          </w:r>
                          <w:r>
                            <w:instrText xml:space="preserve"> PAGE  \* MERGEFORMAT </w:instrText>
                          </w:r>
                          <w:r>
                            <w:fldChar w:fldCharType="separate"/>
                          </w:r>
                          <w:r>
                            <w:t>73</w:t>
                          </w:r>
                          <w:r>
                            <w:fldChar w:fldCharType="end"/>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L3UTQAAAAAgEAAA8AAAAAAAAAAQAg&#10;AAAAIgAAAGRycy9kb3ducmV2LnhtbFBLAQIUABQAAAAIAIdO4kDv5z1DFgIAABgEAAAOAAAAAAAA&#10;AAEAIAAAAB8BAABkcnMvZTJvRG9jLnhtbFBLBQYAAAAABgAGAFkBAACn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73</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wps:spPr>
                    <wps:txbx>
                      <w:txbxContent>
                        <w:p>
                          <w:pPr>
                            <w:pStyle w:val="4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l3GF10gAAAAMBAAAPAAAAAAAAAAEAIAAAACIAAABkcnMvZG93bnJldi54bWxQSwECFAAU&#10;AAAACACHTuJAdyc+LTACAABTBAAADgAAAAAAAAABACAAAAAhAQAAZHJzL2Uyb0RvYy54bWxQSwUG&#10;AAAAAAYABgBZAQAAwwUAAAAA&#10;">
              <v:fill on="f" focussize="0,0"/>
              <v:stroke on="f" weight="0.5pt"/>
              <v:imagedata o:title=""/>
              <o:lock v:ext="edit" aspectratio="f"/>
              <v:textbox inset="0mm,0mm,0mm,0mm" style="mso-fit-shape-to-text:t;">
                <w:txbxContent>
                  <w:p>
                    <w:pPr>
                      <w:pStyle w:val="41"/>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1270" b="0"/>
              <wp:wrapNone/>
              <wp:docPr id="1455710869"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41"/>
                          </w:pPr>
                          <w:r>
                            <w:fldChar w:fldCharType="begin"/>
                          </w:r>
                          <w:r>
                            <w:instrText xml:space="preserve"> PAGE  \* MERGEFORMAT </w:instrText>
                          </w:r>
                          <w:r>
                            <w:fldChar w:fldCharType="separate"/>
                          </w:r>
                          <w:r>
                            <w:t>72</w:t>
                          </w:r>
                          <w:r>
                            <w:fldChar w:fldCharType="end"/>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L3UTQAAAAAgEAAA8AAAAAAAAAAQAg&#10;AAAAIgAAAGRycy9kb3ducmV2LnhtbFBLAQIUABQAAAAIAIdO4kDFcGZdFgIAABgEAAAOAAAAAAAA&#10;AAEAIAAAAB8BAABkcnMvZTJvRG9jLnhtbFBLBQYAAAAABgAGAFkBAACnBQ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72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31445"/>
              <wp:effectExtent l="0" t="3810" r="1270" b="0"/>
              <wp:wrapNone/>
              <wp:docPr id="1329896168"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a:effectLst/>
                    </wps:spPr>
                    <wps:txbx>
                      <w:txbxContent>
                        <w:p>
                          <w:pPr>
                            <w:pStyle w:val="41"/>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0.35pt;width:13.55pt;mso-position-horizontal:center;mso-position-horizontal-relative:margin;mso-wrap-style:none;z-index:25165926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JXQ5c8AAAADAQAADwAAAAAAAAABACAA&#10;AAAiAAAAZHJzL2Rvd25yZXYueG1sUEsBAhQAFAAAAAgAh07iQFUfaokWAgAAGQQAAA4AAAAAAAAA&#10;AQAgAAAAHgEAAGRycy9lMm9Eb2MueG1sUEsFBgAAAAAGAAYAWQEAAKYFAAAAAA==&#10;">
              <v:fill on="f" focussize="0,0"/>
              <v:stroke on="f"/>
              <v:imagedata o:title=""/>
              <o:lock v:ext="edit" aspectratio="f"/>
              <v:textbox inset="0mm,0mm,0mm,0mm" style="mso-fit-shape-to-text:t;">
                <w:txbxContent>
                  <w:p>
                    <w:pPr>
                      <w:pStyle w:val="41"/>
                    </w:pPr>
                    <w:r>
                      <w:fldChar w:fldCharType="begin"/>
                    </w:r>
                    <w:r>
                      <w:instrText xml:space="preserve"> PAGE  \* MERGEFORMAT </w:instrText>
                    </w:r>
                    <w:r>
                      <w:fldChar w:fldCharType="separate"/>
                    </w:r>
                    <w:r>
                      <w:t>20</w:t>
                    </w:r>
                    <w:r>
                      <w:fldChar w:fldCharType="end"/>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ind w:firstLine="36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ind w:firstLine="0" w:firstLineChars="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23730"/>
    <w:multiLevelType w:val="multilevel"/>
    <w:tmpl w:val="06923730"/>
    <w:lvl w:ilvl="0" w:tentative="0">
      <w:start w:val="1"/>
      <w:numFmt w:val="lowerLetter"/>
      <w:pStyle w:val="233"/>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AC61012"/>
    <w:multiLevelType w:val="multilevel"/>
    <w:tmpl w:val="0AC61012"/>
    <w:lvl w:ilvl="0" w:tentative="0">
      <w:start w:val="1"/>
      <w:numFmt w:val="decimal"/>
      <w:pStyle w:val="150"/>
      <w:lvlText w:val="%1."/>
      <w:lvlJc w:val="left"/>
      <w:pPr>
        <w:tabs>
          <w:tab w:val="left" w:pos="720"/>
        </w:tabs>
        <w:ind w:left="720" w:hanging="720"/>
      </w:pPr>
      <w:rPr>
        <w:rFonts w:hint="default"/>
      </w:rPr>
    </w:lvl>
    <w:lvl w:ilvl="1" w:tentative="0">
      <w:start w:val="1"/>
      <w:numFmt w:val="decimal"/>
      <w:pStyle w:val="143"/>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2">
    <w:nsid w:val="1266D840"/>
    <w:multiLevelType w:val="singleLevel"/>
    <w:tmpl w:val="1266D840"/>
    <w:lvl w:ilvl="0" w:tentative="0">
      <w:start w:val="1"/>
      <w:numFmt w:val="decimal"/>
      <w:suff w:val="nothing"/>
      <w:lvlText w:val="（%1）"/>
      <w:lvlJc w:val="left"/>
    </w:lvl>
  </w:abstractNum>
  <w:abstractNum w:abstractNumId="3">
    <w:nsid w:val="1923140A"/>
    <w:multiLevelType w:val="multilevel"/>
    <w:tmpl w:val="1923140A"/>
    <w:lvl w:ilvl="0" w:tentative="0">
      <w:start w:val="1"/>
      <w:numFmt w:val="decimal"/>
      <w:lvlText w:val="%1"/>
      <w:lvlJc w:val="left"/>
      <w:pPr>
        <w:tabs>
          <w:tab w:val="left" w:pos="1440"/>
        </w:tabs>
        <w:ind w:left="1440" w:hanging="720"/>
      </w:pPr>
      <w:rPr>
        <w:rFonts w:hint="default"/>
      </w:rPr>
    </w:lvl>
    <w:lvl w:ilvl="1" w:tentative="0">
      <w:start w:val="1"/>
      <w:numFmt w:val="decimal"/>
      <w:pStyle w:val="149"/>
      <w:isLgl/>
      <w:lvlText w:val="%1.%2"/>
      <w:lvlJc w:val="left"/>
      <w:pPr>
        <w:tabs>
          <w:tab w:val="left" w:pos="1440"/>
        </w:tabs>
        <w:ind w:left="1440" w:hanging="720"/>
      </w:pPr>
      <w:rPr>
        <w:rFonts w:hint="default"/>
      </w:rPr>
    </w:lvl>
    <w:lvl w:ilvl="2" w:tentative="0">
      <w:start w:val="1"/>
      <w:numFmt w:val="decimal"/>
      <w:isLgl/>
      <w:lvlText w:val="%1.%2.%3"/>
      <w:lvlJc w:val="left"/>
      <w:pPr>
        <w:tabs>
          <w:tab w:val="left" w:pos="1440"/>
        </w:tabs>
        <w:ind w:left="1440" w:hanging="720"/>
      </w:pPr>
      <w:rPr>
        <w:rFonts w:hint="default" w:ascii="Arial (W1)" w:hAnsi="Arial (W1)"/>
        <w:b w:val="0"/>
        <w:i w:val="0"/>
        <w:caps/>
        <w:sz w:val="24"/>
      </w:rPr>
    </w:lvl>
    <w:lvl w:ilvl="3" w:tentative="0">
      <w:start w:val="1"/>
      <w:numFmt w:val="decimal"/>
      <w:pStyle w:val="158"/>
      <w:isLgl/>
      <w:lvlText w:val="%1.%2.%3.%4"/>
      <w:lvlJc w:val="left"/>
      <w:pPr>
        <w:tabs>
          <w:tab w:val="left" w:pos="1440"/>
        </w:tabs>
        <w:ind w:left="1440" w:hanging="720"/>
      </w:pPr>
      <w:rPr>
        <w:rFonts w:hint="default"/>
      </w:rPr>
    </w:lvl>
    <w:lvl w:ilvl="4" w:tentative="0">
      <w:start w:val="1"/>
      <w:numFmt w:val="decimal"/>
      <w:isLgl/>
      <w:lvlText w:val="%1.%2.%3.%4.%5"/>
      <w:lvlJc w:val="left"/>
      <w:pPr>
        <w:tabs>
          <w:tab w:val="left" w:pos="1440"/>
        </w:tabs>
        <w:ind w:left="1440" w:hanging="720"/>
      </w:pPr>
      <w:rPr>
        <w:rFonts w:hint="default"/>
      </w:rPr>
    </w:lvl>
    <w:lvl w:ilvl="5" w:tentative="0">
      <w:start w:val="1"/>
      <w:numFmt w:val="decimal"/>
      <w:isLgl/>
      <w:lvlText w:val="%1.%2.%3.%4.%5.%6"/>
      <w:lvlJc w:val="left"/>
      <w:pPr>
        <w:tabs>
          <w:tab w:val="left" w:pos="1800"/>
        </w:tabs>
        <w:ind w:left="1800" w:hanging="1080"/>
      </w:pPr>
      <w:rPr>
        <w:rFonts w:hint="default"/>
      </w:rPr>
    </w:lvl>
    <w:lvl w:ilvl="6" w:tentative="0">
      <w:start w:val="1"/>
      <w:numFmt w:val="decimal"/>
      <w:isLgl/>
      <w:lvlText w:val="%1.%2.%3.%4.%5.%6.%7"/>
      <w:lvlJc w:val="left"/>
      <w:pPr>
        <w:tabs>
          <w:tab w:val="left" w:pos="1800"/>
        </w:tabs>
        <w:ind w:left="1800" w:hanging="1080"/>
      </w:pPr>
      <w:rPr>
        <w:rFonts w:hint="default"/>
      </w:rPr>
    </w:lvl>
    <w:lvl w:ilvl="7" w:tentative="0">
      <w:start w:val="1"/>
      <w:numFmt w:val="decimal"/>
      <w:isLgl/>
      <w:lvlText w:val="%1.%2.%3.%4.%5.%6.%7.%8"/>
      <w:lvlJc w:val="left"/>
      <w:pPr>
        <w:tabs>
          <w:tab w:val="left" w:pos="2160"/>
        </w:tabs>
        <w:ind w:left="2160" w:hanging="1440"/>
      </w:pPr>
      <w:rPr>
        <w:rFonts w:hint="default"/>
      </w:rPr>
    </w:lvl>
    <w:lvl w:ilvl="8" w:tentative="0">
      <w:start w:val="1"/>
      <w:numFmt w:val="decimal"/>
      <w:isLgl/>
      <w:lvlText w:val="%1.%2.%3.%4.%5.%6.%7.%8.%9"/>
      <w:lvlJc w:val="left"/>
      <w:pPr>
        <w:tabs>
          <w:tab w:val="left" w:pos="2160"/>
        </w:tabs>
        <w:ind w:left="2160" w:hanging="1440"/>
      </w:pPr>
      <w:rPr>
        <w:rFonts w:hint="default"/>
      </w:rPr>
    </w:lvl>
  </w:abstractNum>
  <w:abstractNum w:abstractNumId="4">
    <w:nsid w:val="1CAB0A41"/>
    <w:multiLevelType w:val="multilevel"/>
    <w:tmpl w:val="1CAB0A41"/>
    <w:lvl w:ilvl="0" w:tentative="0">
      <w:start w:val="1"/>
      <w:numFmt w:val="lowerLetter"/>
      <w:pStyle w:val="16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1EE452E4"/>
    <w:multiLevelType w:val="multilevel"/>
    <w:tmpl w:val="1EE452E4"/>
    <w:lvl w:ilvl="0" w:tentative="0">
      <w:start w:val="1"/>
      <w:numFmt w:val="decimal"/>
      <w:pStyle w:val="231"/>
      <w:lvlText w:val="%1）"/>
      <w:lvlJc w:val="left"/>
      <w:pPr>
        <w:ind w:left="927" w:hanging="360"/>
      </w:pPr>
      <w:rPr>
        <w:rFonts w:hint="default"/>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6">
    <w:nsid w:val="2B5E3C13"/>
    <w:multiLevelType w:val="singleLevel"/>
    <w:tmpl w:val="2B5E3C13"/>
    <w:lvl w:ilvl="0" w:tentative="0">
      <w:start w:val="1"/>
      <w:numFmt w:val="decimal"/>
      <w:suff w:val="nothing"/>
      <w:lvlText w:val="%1、"/>
      <w:lvlJc w:val="left"/>
    </w:lvl>
  </w:abstractNum>
  <w:abstractNum w:abstractNumId="7">
    <w:nsid w:val="31F662CA"/>
    <w:multiLevelType w:val="multilevel"/>
    <w:tmpl w:val="31F662CA"/>
    <w:lvl w:ilvl="0" w:tentative="0">
      <w:start w:val="1"/>
      <w:numFmt w:val="decimalEnclosedCircle"/>
      <w:lvlText w:val="%1"/>
      <w:lvlJc w:val="left"/>
      <w:pPr>
        <w:ind w:left="644" w:hanging="360"/>
      </w:pPr>
      <w:rPr>
        <w:rFonts w:hint="default"/>
      </w:rPr>
    </w:lvl>
    <w:lvl w:ilvl="1" w:tentative="0">
      <w:start w:val="1"/>
      <w:numFmt w:val="lowerLetter"/>
      <w:lvlText w:val="%2)"/>
      <w:lvlJc w:val="left"/>
      <w:pPr>
        <w:ind w:left="1164" w:hanging="440"/>
      </w:pPr>
    </w:lvl>
    <w:lvl w:ilvl="2" w:tentative="0">
      <w:start w:val="1"/>
      <w:numFmt w:val="lowerRoman"/>
      <w:lvlText w:val="%3."/>
      <w:lvlJc w:val="right"/>
      <w:pPr>
        <w:ind w:left="1604" w:hanging="440"/>
      </w:pPr>
    </w:lvl>
    <w:lvl w:ilvl="3" w:tentative="0">
      <w:start w:val="1"/>
      <w:numFmt w:val="decimal"/>
      <w:lvlText w:val="%4."/>
      <w:lvlJc w:val="left"/>
      <w:pPr>
        <w:ind w:left="2044" w:hanging="440"/>
      </w:pPr>
    </w:lvl>
    <w:lvl w:ilvl="4" w:tentative="0">
      <w:start w:val="1"/>
      <w:numFmt w:val="lowerLetter"/>
      <w:lvlText w:val="%5)"/>
      <w:lvlJc w:val="left"/>
      <w:pPr>
        <w:ind w:left="2484" w:hanging="440"/>
      </w:pPr>
    </w:lvl>
    <w:lvl w:ilvl="5" w:tentative="0">
      <w:start w:val="1"/>
      <w:numFmt w:val="lowerRoman"/>
      <w:lvlText w:val="%6."/>
      <w:lvlJc w:val="right"/>
      <w:pPr>
        <w:ind w:left="2924" w:hanging="440"/>
      </w:pPr>
    </w:lvl>
    <w:lvl w:ilvl="6" w:tentative="0">
      <w:start w:val="1"/>
      <w:numFmt w:val="decimal"/>
      <w:lvlText w:val="%7."/>
      <w:lvlJc w:val="left"/>
      <w:pPr>
        <w:ind w:left="3364" w:hanging="440"/>
      </w:pPr>
    </w:lvl>
    <w:lvl w:ilvl="7" w:tentative="0">
      <w:start w:val="1"/>
      <w:numFmt w:val="lowerLetter"/>
      <w:lvlText w:val="%8)"/>
      <w:lvlJc w:val="left"/>
      <w:pPr>
        <w:ind w:left="3804" w:hanging="440"/>
      </w:pPr>
    </w:lvl>
    <w:lvl w:ilvl="8" w:tentative="0">
      <w:start w:val="1"/>
      <w:numFmt w:val="lowerRoman"/>
      <w:lvlText w:val="%9."/>
      <w:lvlJc w:val="right"/>
      <w:pPr>
        <w:ind w:left="4244" w:hanging="440"/>
      </w:pPr>
    </w:lvl>
  </w:abstractNum>
  <w:abstractNum w:abstractNumId="8">
    <w:nsid w:val="36175CAF"/>
    <w:multiLevelType w:val="multilevel"/>
    <w:tmpl w:val="36175CAF"/>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pStyle w:val="227"/>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9">
    <w:nsid w:val="4B9D13A2"/>
    <w:multiLevelType w:val="multilevel"/>
    <w:tmpl w:val="4B9D13A2"/>
    <w:lvl w:ilvl="0" w:tentative="0">
      <w:start w:val="1"/>
      <w:numFmt w:val="bullet"/>
      <w:pStyle w:val="15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4C4B2B53"/>
    <w:multiLevelType w:val="multilevel"/>
    <w:tmpl w:val="4C4B2B53"/>
    <w:lvl w:ilvl="0" w:tentative="0">
      <w:start w:val="1"/>
      <w:numFmt w:val="decimal"/>
      <w:pStyle w:val="6"/>
      <w:lvlText w:val="2.%1."/>
      <w:lvlJc w:val="left"/>
      <w:pPr>
        <w:ind w:left="420" w:hanging="42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5781F3B"/>
    <w:multiLevelType w:val="multilevel"/>
    <w:tmpl w:val="55781F3B"/>
    <w:lvl w:ilvl="0" w:tentative="0">
      <w:start w:val="1"/>
      <w:numFmt w:val="decimal"/>
      <w:pStyle w:val="7"/>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6C340C0"/>
    <w:multiLevelType w:val="multilevel"/>
    <w:tmpl w:val="56C340C0"/>
    <w:lvl w:ilvl="0" w:tentative="0">
      <w:start w:val="1"/>
      <w:numFmt w:val="none"/>
      <w:pStyle w:val="221"/>
      <w:suff w:val="nothing"/>
      <w:lvlText w:val="%1"/>
      <w:lvlJc w:val="left"/>
      <w:pPr>
        <w:ind w:left="0" w:firstLine="0"/>
      </w:pPr>
    </w:lvl>
    <w:lvl w:ilvl="1" w:tentative="0">
      <w:start w:val="1"/>
      <w:numFmt w:val="decimal"/>
      <w:pStyle w:val="194"/>
      <w:lvlText w:val="%1%2.0"/>
      <w:lvlJc w:val="left"/>
      <w:pPr>
        <w:tabs>
          <w:tab w:val="left" w:pos="576"/>
        </w:tabs>
        <w:ind w:left="576" w:hanging="576"/>
      </w:pPr>
    </w:lvl>
    <w:lvl w:ilvl="2" w:tentative="0">
      <w:start w:val="1"/>
      <w:numFmt w:val="decimal"/>
      <w:pStyle w:val="174"/>
      <w:lvlText w:val="%1%2.%3"/>
      <w:lvlJc w:val="left"/>
      <w:pPr>
        <w:tabs>
          <w:tab w:val="left" w:pos="576"/>
        </w:tabs>
        <w:ind w:left="576" w:hanging="576"/>
      </w:pPr>
    </w:lvl>
    <w:lvl w:ilvl="3" w:tentative="0">
      <w:start w:val="1"/>
      <w:numFmt w:val="lowerLetter"/>
      <w:pStyle w:val="147"/>
      <w:lvlText w:val="%1%4."/>
      <w:lvlJc w:val="left"/>
      <w:pPr>
        <w:tabs>
          <w:tab w:val="left" w:pos="720"/>
        </w:tabs>
        <w:ind w:left="360" w:hanging="360"/>
      </w:pPr>
    </w:lvl>
    <w:lvl w:ilvl="4" w:tentative="0">
      <w:start w:val="1"/>
      <w:numFmt w:val="decimal"/>
      <w:pStyle w:val="152"/>
      <w:lvlText w:val="%5."/>
      <w:lvlJc w:val="left"/>
      <w:pPr>
        <w:tabs>
          <w:tab w:val="left" w:pos="720"/>
        </w:tabs>
        <w:ind w:left="720" w:hanging="360"/>
      </w:pPr>
    </w:lvl>
    <w:lvl w:ilvl="5" w:tentative="0">
      <w:start w:val="1"/>
      <w:numFmt w:val="lowerLetter"/>
      <w:pStyle w:val="173"/>
      <w:lvlText w:val="%1(%6)"/>
      <w:lvlJc w:val="left"/>
      <w:pPr>
        <w:tabs>
          <w:tab w:val="left" w:pos="1440"/>
        </w:tabs>
        <w:ind w:left="720" w:firstLine="0"/>
      </w:pPr>
    </w:lvl>
    <w:lvl w:ilvl="6" w:tentative="0">
      <w:start w:val="1"/>
      <w:numFmt w:val="lowerRoman"/>
      <w:pStyle w:val="198"/>
      <w:lvlText w:val="(%7)"/>
      <w:lvlJc w:val="left"/>
      <w:pPr>
        <w:tabs>
          <w:tab w:val="left" w:pos="1800"/>
        </w:tabs>
        <w:ind w:left="1440" w:hanging="360"/>
      </w:pPr>
    </w:lvl>
    <w:lvl w:ilvl="7" w:tentative="0">
      <w:start w:val="1"/>
      <w:numFmt w:val="decimal"/>
      <w:pStyle w:val="216"/>
      <w:lvlText w:val="(%8)"/>
      <w:lvlJc w:val="left"/>
      <w:pPr>
        <w:tabs>
          <w:tab w:val="left" w:pos="1800"/>
        </w:tabs>
        <w:ind w:left="1800" w:hanging="360"/>
      </w:pPr>
    </w:lvl>
    <w:lvl w:ilvl="8" w:tentative="0">
      <w:start w:val="1"/>
      <w:numFmt w:val="lowerRoman"/>
      <w:pStyle w:val="184"/>
      <w:lvlText w:val="(%9)"/>
      <w:lvlJc w:val="left"/>
      <w:pPr>
        <w:tabs>
          <w:tab w:val="left" w:pos="2520"/>
        </w:tabs>
        <w:ind w:left="2160" w:hanging="360"/>
      </w:pPr>
    </w:lvl>
  </w:abstractNum>
  <w:abstractNum w:abstractNumId="13">
    <w:nsid w:val="58A46621"/>
    <w:multiLevelType w:val="multilevel"/>
    <w:tmpl w:val="58A46621"/>
    <w:lvl w:ilvl="0" w:tentative="0">
      <w:start w:val="1"/>
      <w:numFmt w:val="bullet"/>
      <w:lvlText w:val=""/>
      <w:lvlJc w:val="left"/>
      <w:pPr>
        <w:tabs>
          <w:tab w:val="left" w:pos="1440"/>
        </w:tabs>
        <w:ind w:left="14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pStyle w:val="145"/>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5B3D7757"/>
    <w:multiLevelType w:val="multilevel"/>
    <w:tmpl w:val="5B3D7757"/>
    <w:lvl w:ilvl="0" w:tentative="0">
      <w:start w:val="1"/>
      <w:numFmt w:val="bullet"/>
      <w:pStyle w:val="226"/>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5">
    <w:nsid w:val="5F27292E"/>
    <w:multiLevelType w:val="multilevel"/>
    <w:tmpl w:val="5F27292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144"/>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66B75600"/>
    <w:multiLevelType w:val="singleLevel"/>
    <w:tmpl w:val="66B75600"/>
    <w:lvl w:ilvl="0" w:tentative="0">
      <w:start w:val="1"/>
      <w:numFmt w:val="decimal"/>
      <w:pStyle w:val="207"/>
      <w:lvlText w:val="%1．"/>
      <w:lvlJc w:val="left"/>
      <w:pPr>
        <w:tabs>
          <w:tab w:val="left" w:pos="360"/>
        </w:tabs>
        <w:ind w:left="245" w:hanging="245"/>
      </w:pPr>
      <w:rPr>
        <w:rFonts w:ascii="Times New Roman" w:hAnsi="Times New Roman" w:eastAsia="Times New Roman" w:cs="Times New Roman"/>
      </w:rPr>
    </w:lvl>
  </w:abstractNum>
  <w:abstractNum w:abstractNumId="17">
    <w:nsid w:val="6CAA07F2"/>
    <w:multiLevelType w:val="multilevel"/>
    <w:tmpl w:val="6CAA07F2"/>
    <w:lvl w:ilvl="0" w:tentative="0">
      <w:start w:val="12"/>
      <w:numFmt w:val="decimal"/>
      <w:lvlText w:val="%1."/>
      <w:lvlJc w:val="left"/>
      <w:pPr>
        <w:tabs>
          <w:tab w:val="left" w:pos="720"/>
        </w:tabs>
        <w:ind w:left="720" w:hanging="720"/>
      </w:pPr>
      <w:rPr>
        <w:rFonts w:hint="default"/>
      </w:rPr>
    </w:lvl>
    <w:lvl w:ilvl="1" w:tentative="0">
      <w:start w:val="2"/>
      <w:numFmt w:val="decimal"/>
      <w:lvlText w:val="%1.%2."/>
      <w:lvlJc w:val="left"/>
      <w:pPr>
        <w:tabs>
          <w:tab w:val="left" w:pos="576"/>
        </w:tabs>
        <w:ind w:left="576" w:hanging="576"/>
      </w:pPr>
      <w:rPr>
        <w:rFonts w:hint="default"/>
      </w:rPr>
    </w:lvl>
    <w:lvl w:ilvl="2" w:tentative="0">
      <w:start w:val="1"/>
      <w:numFmt w:val="decimal"/>
      <w:pStyle w:val="188"/>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8">
    <w:nsid w:val="773B7600"/>
    <w:multiLevelType w:val="multilevel"/>
    <w:tmpl w:val="773B7600"/>
    <w:lvl w:ilvl="0" w:tentative="0">
      <w:start w:val="1"/>
      <w:numFmt w:val="decimal"/>
      <w:pStyle w:val="224"/>
      <w:lvlText w:val="%1."/>
      <w:lvlJc w:val="left"/>
      <w:pPr>
        <w:tabs>
          <w:tab w:val="left" w:pos="902"/>
        </w:tabs>
        <w:ind w:left="902" w:hanging="420"/>
      </w:pPr>
      <w:rPr>
        <w:rFonts w:hint="eastAsia"/>
      </w:rPr>
    </w:lvl>
    <w:lvl w:ilvl="1" w:tentative="0">
      <w:start w:val="1"/>
      <w:numFmt w:val="decimal"/>
      <w:lvlText w:val="%2）"/>
      <w:lvlJc w:val="left"/>
      <w:pPr>
        <w:tabs>
          <w:tab w:val="left" w:pos="1262"/>
        </w:tabs>
        <w:ind w:left="1262" w:hanging="360"/>
      </w:pPr>
      <w:rPr>
        <w:rFonts w:hint="eastAsia"/>
      </w:rPr>
    </w:lvl>
    <w:lvl w:ilvl="2" w:tentative="0">
      <w:start w:val="1"/>
      <w:numFmt w:val="japaneseCounting"/>
      <w:lvlText w:val="%3．"/>
      <w:lvlJc w:val="left"/>
      <w:pPr>
        <w:tabs>
          <w:tab w:val="left" w:pos="1742"/>
        </w:tabs>
        <w:ind w:left="1742" w:hanging="420"/>
      </w:pPr>
      <w:rPr>
        <w:rFonts w:hint="eastAsia"/>
      </w:rPr>
    </w:lvl>
    <w:lvl w:ilvl="3" w:tentative="0">
      <w:start w:val="1"/>
      <w:numFmt w:val="japaneseCounting"/>
      <w:lvlText w:val="（%4）"/>
      <w:lvlJc w:val="left"/>
      <w:pPr>
        <w:tabs>
          <w:tab w:val="left" w:pos="720"/>
        </w:tabs>
        <w:ind w:left="720" w:hanging="720"/>
      </w:pPr>
      <w:rPr>
        <w:rFonts w:hint="eastAsia"/>
        <w:lang w:val="en-US"/>
      </w:rPr>
    </w:lvl>
    <w:lvl w:ilvl="4" w:tentative="0">
      <w:start w:val="1"/>
      <w:numFmt w:val="decimal"/>
      <w:lvlText w:val="%5)"/>
      <w:lvlJc w:val="left"/>
      <w:pPr>
        <w:tabs>
          <w:tab w:val="left" w:pos="2582"/>
        </w:tabs>
        <w:ind w:left="2582" w:hanging="420"/>
      </w:pPr>
      <w:rPr>
        <w:rFonts w:hint="eastAsia"/>
      </w:rPr>
    </w:lvl>
    <w:lvl w:ilvl="5" w:tentative="0">
      <w:start w:val="1"/>
      <w:numFmt w:val="japaneseCounting"/>
      <w:lvlText w:val="%6、"/>
      <w:lvlJc w:val="left"/>
      <w:pPr>
        <w:tabs>
          <w:tab w:val="left" w:pos="3062"/>
        </w:tabs>
        <w:ind w:left="3062" w:hanging="480"/>
      </w:pPr>
      <w:rPr>
        <w:rFonts w:hint="eastAsia"/>
      </w:r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10"/>
  </w:num>
  <w:num w:numId="2">
    <w:abstractNumId w:val="11"/>
  </w:num>
  <w:num w:numId="3">
    <w:abstractNumId w:val="1"/>
  </w:num>
  <w:num w:numId="4">
    <w:abstractNumId w:val="15"/>
  </w:num>
  <w:num w:numId="5">
    <w:abstractNumId w:val="13"/>
  </w:num>
  <w:num w:numId="6">
    <w:abstractNumId w:val="12"/>
  </w:num>
  <w:num w:numId="7">
    <w:abstractNumId w:val="3"/>
  </w:num>
  <w:num w:numId="8">
    <w:abstractNumId w:val="9"/>
  </w:num>
  <w:num w:numId="9">
    <w:abstractNumId w:val="4"/>
  </w:num>
  <w:num w:numId="10">
    <w:abstractNumId w:val="17"/>
  </w:num>
  <w:num w:numId="11">
    <w:abstractNumId w:val="16"/>
  </w:num>
  <w:num w:numId="12">
    <w:abstractNumId w:val="18"/>
  </w:num>
  <w:num w:numId="13">
    <w:abstractNumId w:val="14"/>
  </w:num>
  <w:num w:numId="14">
    <w:abstractNumId w:val="8"/>
  </w:num>
  <w:num w:numId="15">
    <w:abstractNumId w:val="5"/>
  </w:num>
  <w:num w:numId="16">
    <w:abstractNumId w:val="0"/>
  </w:num>
  <w:num w:numId="17">
    <w:abstractNumId w:val="6"/>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rawingGridHorizontalSpacing w:val="143"/>
  <w:drawingGridVerticalSpacing w:val="195"/>
  <w:doNotShadeFormData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zODA5NmE4YzNkNWUxMTM4ZmMwNDFhNDgyMDMwOWMifQ=="/>
  </w:docVars>
  <w:rsids>
    <w:rsidRoot w:val="00245770"/>
    <w:rsid w:val="00000034"/>
    <w:rsid w:val="0000025A"/>
    <w:rsid w:val="00000523"/>
    <w:rsid w:val="000005E5"/>
    <w:rsid w:val="00000BB0"/>
    <w:rsid w:val="00001A71"/>
    <w:rsid w:val="00001ACF"/>
    <w:rsid w:val="00001E05"/>
    <w:rsid w:val="00002570"/>
    <w:rsid w:val="0000270A"/>
    <w:rsid w:val="0000296D"/>
    <w:rsid w:val="00002B88"/>
    <w:rsid w:val="00003217"/>
    <w:rsid w:val="00003283"/>
    <w:rsid w:val="00003379"/>
    <w:rsid w:val="000039AD"/>
    <w:rsid w:val="00003C94"/>
    <w:rsid w:val="00003CD6"/>
    <w:rsid w:val="0000432F"/>
    <w:rsid w:val="000046E4"/>
    <w:rsid w:val="000047B3"/>
    <w:rsid w:val="00004ECC"/>
    <w:rsid w:val="00004EE3"/>
    <w:rsid w:val="00004F9F"/>
    <w:rsid w:val="00005024"/>
    <w:rsid w:val="0000568B"/>
    <w:rsid w:val="00005A70"/>
    <w:rsid w:val="00006232"/>
    <w:rsid w:val="000062A8"/>
    <w:rsid w:val="000064FA"/>
    <w:rsid w:val="00006E56"/>
    <w:rsid w:val="00007AC2"/>
    <w:rsid w:val="00007E76"/>
    <w:rsid w:val="00007ECD"/>
    <w:rsid w:val="00010169"/>
    <w:rsid w:val="00010867"/>
    <w:rsid w:val="00010B32"/>
    <w:rsid w:val="00010BE4"/>
    <w:rsid w:val="00010BF8"/>
    <w:rsid w:val="00011052"/>
    <w:rsid w:val="000114B1"/>
    <w:rsid w:val="000116A4"/>
    <w:rsid w:val="0001180B"/>
    <w:rsid w:val="00011883"/>
    <w:rsid w:val="00011C3B"/>
    <w:rsid w:val="00011D86"/>
    <w:rsid w:val="00012364"/>
    <w:rsid w:val="00012487"/>
    <w:rsid w:val="00012A30"/>
    <w:rsid w:val="00012EB2"/>
    <w:rsid w:val="0001441F"/>
    <w:rsid w:val="00014E1B"/>
    <w:rsid w:val="00014EED"/>
    <w:rsid w:val="00015039"/>
    <w:rsid w:val="00015A28"/>
    <w:rsid w:val="00015C83"/>
    <w:rsid w:val="00016784"/>
    <w:rsid w:val="000169BD"/>
    <w:rsid w:val="00016AC2"/>
    <w:rsid w:val="00016BDC"/>
    <w:rsid w:val="00016C1A"/>
    <w:rsid w:val="00017276"/>
    <w:rsid w:val="00017F49"/>
    <w:rsid w:val="00020128"/>
    <w:rsid w:val="00020146"/>
    <w:rsid w:val="00020656"/>
    <w:rsid w:val="00020A69"/>
    <w:rsid w:val="0002108C"/>
    <w:rsid w:val="000210A9"/>
    <w:rsid w:val="000215A1"/>
    <w:rsid w:val="00021958"/>
    <w:rsid w:val="000226DD"/>
    <w:rsid w:val="000227AD"/>
    <w:rsid w:val="000227BF"/>
    <w:rsid w:val="00022BD8"/>
    <w:rsid w:val="00023647"/>
    <w:rsid w:val="000236B8"/>
    <w:rsid w:val="0002375A"/>
    <w:rsid w:val="00023C05"/>
    <w:rsid w:val="00023C4E"/>
    <w:rsid w:val="00023D0A"/>
    <w:rsid w:val="00024099"/>
    <w:rsid w:val="000241EF"/>
    <w:rsid w:val="0002479B"/>
    <w:rsid w:val="000247AF"/>
    <w:rsid w:val="00024C0D"/>
    <w:rsid w:val="00024CD0"/>
    <w:rsid w:val="00024E65"/>
    <w:rsid w:val="00024E80"/>
    <w:rsid w:val="000250AE"/>
    <w:rsid w:val="000250EE"/>
    <w:rsid w:val="000251A7"/>
    <w:rsid w:val="000258AD"/>
    <w:rsid w:val="00025939"/>
    <w:rsid w:val="00025954"/>
    <w:rsid w:val="00025A28"/>
    <w:rsid w:val="00025B92"/>
    <w:rsid w:val="00026302"/>
    <w:rsid w:val="0002649F"/>
    <w:rsid w:val="000266DE"/>
    <w:rsid w:val="00026AAB"/>
    <w:rsid w:val="00026AC8"/>
    <w:rsid w:val="00026B2E"/>
    <w:rsid w:val="00026D77"/>
    <w:rsid w:val="0002704A"/>
    <w:rsid w:val="000270D2"/>
    <w:rsid w:val="000272D2"/>
    <w:rsid w:val="00027346"/>
    <w:rsid w:val="0002747E"/>
    <w:rsid w:val="00027544"/>
    <w:rsid w:val="0002755A"/>
    <w:rsid w:val="0002764A"/>
    <w:rsid w:val="000277B8"/>
    <w:rsid w:val="0002799E"/>
    <w:rsid w:val="00027C83"/>
    <w:rsid w:val="00027D35"/>
    <w:rsid w:val="000303F9"/>
    <w:rsid w:val="00030417"/>
    <w:rsid w:val="00030550"/>
    <w:rsid w:val="000306C5"/>
    <w:rsid w:val="000308EA"/>
    <w:rsid w:val="0003096E"/>
    <w:rsid w:val="00030A53"/>
    <w:rsid w:val="00030FB1"/>
    <w:rsid w:val="000310BA"/>
    <w:rsid w:val="000310D1"/>
    <w:rsid w:val="0003114A"/>
    <w:rsid w:val="0003169C"/>
    <w:rsid w:val="0003186B"/>
    <w:rsid w:val="00031FF1"/>
    <w:rsid w:val="00032044"/>
    <w:rsid w:val="000320A8"/>
    <w:rsid w:val="000323E1"/>
    <w:rsid w:val="0003298E"/>
    <w:rsid w:val="000329C8"/>
    <w:rsid w:val="00032B41"/>
    <w:rsid w:val="00032E2E"/>
    <w:rsid w:val="00032E49"/>
    <w:rsid w:val="0003332E"/>
    <w:rsid w:val="000333E6"/>
    <w:rsid w:val="00033501"/>
    <w:rsid w:val="000336F5"/>
    <w:rsid w:val="00033CA5"/>
    <w:rsid w:val="00034208"/>
    <w:rsid w:val="00034E68"/>
    <w:rsid w:val="00035263"/>
    <w:rsid w:val="00035A36"/>
    <w:rsid w:val="00035B40"/>
    <w:rsid w:val="00035F7A"/>
    <w:rsid w:val="0003615D"/>
    <w:rsid w:val="000361E3"/>
    <w:rsid w:val="000364F6"/>
    <w:rsid w:val="00036EA3"/>
    <w:rsid w:val="00037B10"/>
    <w:rsid w:val="00037C52"/>
    <w:rsid w:val="00037C8F"/>
    <w:rsid w:val="00037DE2"/>
    <w:rsid w:val="000400FA"/>
    <w:rsid w:val="0004060A"/>
    <w:rsid w:val="000407FD"/>
    <w:rsid w:val="0004088E"/>
    <w:rsid w:val="00040A0A"/>
    <w:rsid w:val="00040F21"/>
    <w:rsid w:val="0004127B"/>
    <w:rsid w:val="0004142A"/>
    <w:rsid w:val="00041806"/>
    <w:rsid w:val="000419AC"/>
    <w:rsid w:val="00041CB1"/>
    <w:rsid w:val="00041D94"/>
    <w:rsid w:val="00041DFF"/>
    <w:rsid w:val="000422B7"/>
    <w:rsid w:val="00042792"/>
    <w:rsid w:val="000429A6"/>
    <w:rsid w:val="00042B1F"/>
    <w:rsid w:val="00042B44"/>
    <w:rsid w:val="0004307C"/>
    <w:rsid w:val="000434A6"/>
    <w:rsid w:val="00043565"/>
    <w:rsid w:val="0004414D"/>
    <w:rsid w:val="0004433C"/>
    <w:rsid w:val="0004442C"/>
    <w:rsid w:val="0004468F"/>
    <w:rsid w:val="000447DA"/>
    <w:rsid w:val="00044A0F"/>
    <w:rsid w:val="00044C40"/>
    <w:rsid w:val="00044DC4"/>
    <w:rsid w:val="00044DDA"/>
    <w:rsid w:val="000450EA"/>
    <w:rsid w:val="0004530B"/>
    <w:rsid w:val="0004562C"/>
    <w:rsid w:val="0004602E"/>
    <w:rsid w:val="0004622D"/>
    <w:rsid w:val="000462A0"/>
    <w:rsid w:val="000464D5"/>
    <w:rsid w:val="00046BC1"/>
    <w:rsid w:val="00046CA9"/>
    <w:rsid w:val="00046D47"/>
    <w:rsid w:val="00046DE1"/>
    <w:rsid w:val="00046ED1"/>
    <w:rsid w:val="000470B4"/>
    <w:rsid w:val="00047B33"/>
    <w:rsid w:val="00047B91"/>
    <w:rsid w:val="000501E1"/>
    <w:rsid w:val="0005026E"/>
    <w:rsid w:val="0005031B"/>
    <w:rsid w:val="000503E6"/>
    <w:rsid w:val="0005054E"/>
    <w:rsid w:val="000505DA"/>
    <w:rsid w:val="00050EBD"/>
    <w:rsid w:val="00051306"/>
    <w:rsid w:val="0005158A"/>
    <w:rsid w:val="00051AA3"/>
    <w:rsid w:val="00051FF0"/>
    <w:rsid w:val="00052029"/>
    <w:rsid w:val="00052574"/>
    <w:rsid w:val="00052829"/>
    <w:rsid w:val="00052B60"/>
    <w:rsid w:val="00052CC2"/>
    <w:rsid w:val="00052EEF"/>
    <w:rsid w:val="00052FC5"/>
    <w:rsid w:val="0005310C"/>
    <w:rsid w:val="0005333D"/>
    <w:rsid w:val="0005340C"/>
    <w:rsid w:val="000535B7"/>
    <w:rsid w:val="00053819"/>
    <w:rsid w:val="00053B5A"/>
    <w:rsid w:val="00053D60"/>
    <w:rsid w:val="000540B4"/>
    <w:rsid w:val="000542F5"/>
    <w:rsid w:val="00054548"/>
    <w:rsid w:val="0005466F"/>
    <w:rsid w:val="000548F5"/>
    <w:rsid w:val="00054B93"/>
    <w:rsid w:val="00054C50"/>
    <w:rsid w:val="00054EE0"/>
    <w:rsid w:val="0005513E"/>
    <w:rsid w:val="000553FF"/>
    <w:rsid w:val="0005540A"/>
    <w:rsid w:val="00055460"/>
    <w:rsid w:val="00055606"/>
    <w:rsid w:val="00055D57"/>
    <w:rsid w:val="00055F60"/>
    <w:rsid w:val="0005614B"/>
    <w:rsid w:val="0005626E"/>
    <w:rsid w:val="0005642E"/>
    <w:rsid w:val="000576E3"/>
    <w:rsid w:val="00057B02"/>
    <w:rsid w:val="000605CA"/>
    <w:rsid w:val="000609BF"/>
    <w:rsid w:val="00061643"/>
    <w:rsid w:val="0006178F"/>
    <w:rsid w:val="00061919"/>
    <w:rsid w:val="00061A6A"/>
    <w:rsid w:val="00061E66"/>
    <w:rsid w:val="00062584"/>
    <w:rsid w:val="0006274F"/>
    <w:rsid w:val="00062867"/>
    <w:rsid w:val="00062A4E"/>
    <w:rsid w:val="00062E97"/>
    <w:rsid w:val="0006353A"/>
    <w:rsid w:val="000636DF"/>
    <w:rsid w:val="00063C38"/>
    <w:rsid w:val="00063CC4"/>
    <w:rsid w:val="00063EC3"/>
    <w:rsid w:val="000649A0"/>
    <w:rsid w:val="00064D2D"/>
    <w:rsid w:val="0006550A"/>
    <w:rsid w:val="00065819"/>
    <w:rsid w:val="0006603F"/>
    <w:rsid w:val="00066464"/>
    <w:rsid w:val="00066756"/>
    <w:rsid w:val="00066922"/>
    <w:rsid w:val="000669C2"/>
    <w:rsid w:val="000670FE"/>
    <w:rsid w:val="0006713D"/>
    <w:rsid w:val="00067485"/>
    <w:rsid w:val="00067782"/>
    <w:rsid w:val="000677BC"/>
    <w:rsid w:val="00067867"/>
    <w:rsid w:val="000679D2"/>
    <w:rsid w:val="000700C0"/>
    <w:rsid w:val="00070183"/>
    <w:rsid w:val="000702DC"/>
    <w:rsid w:val="000707C5"/>
    <w:rsid w:val="0007098C"/>
    <w:rsid w:val="00070C39"/>
    <w:rsid w:val="0007103E"/>
    <w:rsid w:val="00071214"/>
    <w:rsid w:val="00071567"/>
    <w:rsid w:val="0007174B"/>
    <w:rsid w:val="0007174C"/>
    <w:rsid w:val="00071E62"/>
    <w:rsid w:val="00071F66"/>
    <w:rsid w:val="000721DA"/>
    <w:rsid w:val="00072492"/>
    <w:rsid w:val="000725FC"/>
    <w:rsid w:val="00072AF0"/>
    <w:rsid w:val="00072C16"/>
    <w:rsid w:val="0007300F"/>
    <w:rsid w:val="000733BF"/>
    <w:rsid w:val="00073909"/>
    <w:rsid w:val="000739EE"/>
    <w:rsid w:val="00073F3B"/>
    <w:rsid w:val="00074A34"/>
    <w:rsid w:val="00074BEE"/>
    <w:rsid w:val="00074FA2"/>
    <w:rsid w:val="00075781"/>
    <w:rsid w:val="000760F4"/>
    <w:rsid w:val="0007665D"/>
    <w:rsid w:val="000768FA"/>
    <w:rsid w:val="00076926"/>
    <w:rsid w:val="0007692F"/>
    <w:rsid w:val="00076999"/>
    <w:rsid w:val="000769CC"/>
    <w:rsid w:val="00076C78"/>
    <w:rsid w:val="00077643"/>
    <w:rsid w:val="000779DF"/>
    <w:rsid w:val="0008028B"/>
    <w:rsid w:val="00080427"/>
    <w:rsid w:val="000804CF"/>
    <w:rsid w:val="0008083F"/>
    <w:rsid w:val="00080937"/>
    <w:rsid w:val="00080A80"/>
    <w:rsid w:val="00080C54"/>
    <w:rsid w:val="00080C88"/>
    <w:rsid w:val="0008101D"/>
    <w:rsid w:val="00081ACF"/>
    <w:rsid w:val="00081D73"/>
    <w:rsid w:val="00081EBD"/>
    <w:rsid w:val="00082743"/>
    <w:rsid w:val="00082C80"/>
    <w:rsid w:val="00083038"/>
    <w:rsid w:val="0008316A"/>
    <w:rsid w:val="0008317D"/>
    <w:rsid w:val="00083940"/>
    <w:rsid w:val="00083BDF"/>
    <w:rsid w:val="00084087"/>
    <w:rsid w:val="00084B6E"/>
    <w:rsid w:val="00084F54"/>
    <w:rsid w:val="00085099"/>
    <w:rsid w:val="00085159"/>
    <w:rsid w:val="0008538B"/>
    <w:rsid w:val="000853A7"/>
    <w:rsid w:val="0008561A"/>
    <w:rsid w:val="00085680"/>
    <w:rsid w:val="00085813"/>
    <w:rsid w:val="00085AF6"/>
    <w:rsid w:val="00085BD6"/>
    <w:rsid w:val="00085F06"/>
    <w:rsid w:val="0008619D"/>
    <w:rsid w:val="000861EA"/>
    <w:rsid w:val="00086AB1"/>
    <w:rsid w:val="00087183"/>
    <w:rsid w:val="00087566"/>
    <w:rsid w:val="00087978"/>
    <w:rsid w:val="00087BBE"/>
    <w:rsid w:val="0009074E"/>
    <w:rsid w:val="000928AE"/>
    <w:rsid w:val="00093095"/>
    <w:rsid w:val="00093D93"/>
    <w:rsid w:val="00094571"/>
    <w:rsid w:val="00094A58"/>
    <w:rsid w:val="00095666"/>
    <w:rsid w:val="0009596D"/>
    <w:rsid w:val="00095A42"/>
    <w:rsid w:val="000960A9"/>
    <w:rsid w:val="0009643D"/>
    <w:rsid w:val="000964FB"/>
    <w:rsid w:val="000967BD"/>
    <w:rsid w:val="00096C69"/>
    <w:rsid w:val="000977FC"/>
    <w:rsid w:val="00097935"/>
    <w:rsid w:val="000979B1"/>
    <w:rsid w:val="00097FF7"/>
    <w:rsid w:val="000A0687"/>
    <w:rsid w:val="000A0D73"/>
    <w:rsid w:val="000A0DF0"/>
    <w:rsid w:val="000A149D"/>
    <w:rsid w:val="000A1F0A"/>
    <w:rsid w:val="000A22BA"/>
    <w:rsid w:val="000A31FB"/>
    <w:rsid w:val="000A359A"/>
    <w:rsid w:val="000A3789"/>
    <w:rsid w:val="000A3A67"/>
    <w:rsid w:val="000A3D7C"/>
    <w:rsid w:val="000A3EB5"/>
    <w:rsid w:val="000A41CB"/>
    <w:rsid w:val="000A4274"/>
    <w:rsid w:val="000A46B6"/>
    <w:rsid w:val="000A46D1"/>
    <w:rsid w:val="000A4840"/>
    <w:rsid w:val="000A4C4E"/>
    <w:rsid w:val="000A4CF9"/>
    <w:rsid w:val="000A51FE"/>
    <w:rsid w:val="000A55EC"/>
    <w:rsid w:val="000A5634"/>
    <w:rsid w:val="000A5CB8"/>
    <w:rsid w:val="000A6478"/>
    <w:rsid w:val="000A6495"/>
    <w:rsid w:val="000A674F"/>
    <w:rsid w:val="000A68DC"/>
    <w:rsid w:val="000A6AA0"/>
    <w:rsid w:val="000A6EF0"/>
    <w:rsid w:val="000A7088"/>
    <w:rsid w:val="000A717B"/>
    <w:rsid w:val="000A7AA2"/>
    <w:rsid w:val="000A7B13"/>
    <w:rsid w:val="000A7C0B"/>
    <w:rsid w:val="000A7C35"/>
    <w:rsid w:val="000B00A2"/>
    <w:rsid w:val="000B0FE6"/>
    <w:rsid w:val="000B115C"/>
    <w:rsid w:val="000B1703"/>
    <w:rsid w:val="000B1940"/>
    <w:rsid w:val="000B19F9"/>
    <w:rsid w:val="000B1D6B"/>
    <w:rsid w:val="000B2356"/>
    <w:rsid w:val="000B3652"/>
    <w:rsid w:val="000B3BD1"/>
    <w:rsid w:val="000B492B"/>
    <w:rsid w:val="000B49FA"/>
    <w:rsid w:val="000B4D71"/>
    <w:rsid w:val="000B55F6"/>
    <w:rsid w:val="000B66F5"/>
    <w:rsid w:val="000B6B8F"/>
    <w:rsid w:val="000B712F"/>
    <w:rsid w:val="000B728F"/>
    <w:rsid w:val="000B74BC"/>
    <w:rsid w:val="000B766B"/>
    <w:rsid w:val="000B7F80"/>
    <w:rsid w:val="000C002D"/>
    <w:rsid w:val="000C0104"/>
    <w:rsid w:val="000C0480"/>
    <w:rsid w:val="000C0C68"/>
    <w:rsid w:val="000C0E2B"/>
    <w:rsid w:val="000C1107"/>
    <w:rsid w:val="000C19E1"/>
    <w:rsid w:val="000C2560"/>
    <w:rsid w:val="000C2C21"/>
    <w:rsid w:val="000C2D22"/>
    <w:rsid w:val="000C2FE0"/>
    <w:rsid w:val="000C32CE"/>
    <w:rsid w:val="000C3AC4"/>
    <w:rsid w:val="000C47C5"/>
    <w:rsid w:val="000C488C"/>
    <w:rsid w:val="000C4890"/>
    <w:rsid w:val="000C4A40"/>
    <w:rsid w:val="000C4B3F"/>
    <w:rsid w:val="000C51F0"/>
    <w:rsid w:val="000C5D21"/>
    <w:rsid w:val="000C5F0B"/>
    <w:rsid w:val="000C67EC"/>
    <w:rsid w:val="000C6B6B"/>
    <w:rsid w:val="000C768A"/>
    <w:rsid w:val="000C7E43"/>
    <w:rsid w:val="000C7FE8"/>
    <w:rsid w:val="000D0ACA"/>
    <w:rsid w:val="000D0B41"/>
    <w:rsid w:val="000D0CA9"/>
    <w:rsid w:val="000D1051"/>
    <w:rsid w:val="000D1456"/>
    <w:rsid w:val="000D147F"/>
    <w:rsid w:val="000D1753"/>
    <w:rsid w:val="000D1922"/>
    <w:rsid w:val="000D2406"/>
    <w:rsid w:val="000D25AB"/>
    <w:rsid w:val="000D287D"/>
    <w:rsid w:val="000D2A36"/>
    <w:rsid w:val="000D2D33"/>
    <w:rsid w:val="000D2FED"/>
    <w:rsid w:val="000D313E"/>
    <w:rsid w:val="000D3541"/>
    <w:rsid w:val="000D39F7"/>
    <w:rsid w:val="000D3E0C"/>
    <w:rsid w:val="000D4663"/>
    <w:rsid w:val="000D474A"/>
    <w:rsid w:val="000D48E0"/>
    <w:rsid w:val="000D528B"/>
    <w:rsid w:val="000D53D3"/>
    <w:rsid w:val="000D574B"/>
    <w:rsid w:val="000D69F3"/>
    <w:rsid w:val="000D6FB4"/>
    <w:rsid w:val="000D7B41"/>
    <w:rsid w:val="000D7C86"/>
    <w:rsid w:val="000E05DA"/>
    <w:rsid w:val="000E0674"/>
    <w:rsid w:val="000E0684"/>
    <w:rsid w:val="000E08ED"/>
    <w:rsid w:val="000E0985"/>
    <w:rsid w:val="000E1141"/>
    <w:rsid w:val="000E1144"/>
    <w:rsid w:val="000E15BE"/>
    <w:rsid w:val="000E1C9E"/>
    <w:rsid w:val="000E223D"/>
    <w:rsid w:val="000E2296"/>
    <w:rsid w:val="000E23E9"/>
    <w:rsid w:val="000E2531"/>
    <w:rsid w:val="000E2705"/>
    <w:rsid w:val="000E27F8"/>
    <w:rsid w:val="000E2E55"/>
    <w:rsid w:val="000E2E67"/>
    <w:rsid w:val="000E2ECB"/>
    <w:rsid w:val="000E2FBA"/>
    <w:rsid w:val="000E3742"/>
    <w:rsid w:val="000E37E1"/>
    <w:rsid w:val="000E3B2E"/>
    <w:rsid w:val="000E3BED"/>
    <w:rsid w:val="000E3E0B"/>
    <w:rsid w:val="000E4F2E"/>
    <w:rsid w:val="000E5D17"/>
    <w:rsid w:val="000E610B"/>
    <w:rsid w:val="000E6726"/>
    <w:rsid w:val="000E68FB"/>
    <w:rsid w:val="000E6ACB"/>
    <w:rsid w:val="000E72AD"/>
    <w:rsid w:val="000E78F3"/>
    <w:rsid w:val="000E7FC9"/>
    <w:rsid w:val="000F00B9"/>
    <w:rsid w:val="000F00DE"/>
    <w:rsid w:val="000F0299"/>
    <w:rsid w:val="000F1137"/>
    <w:rsid w:val="000F1281"/>
    <w:rsid w:val="000F1BF8"/>
    <w:rsid w:val="000F2332"/>
    <w:rsid w:val="000F2E41"/>
    <w:rsid w:val="000F2EE2"/>
    <w:rsid w:val="000F3C16"/>
    <w:rsid w:val="000F3FF9"/>
    <w:rsid w:val="000F528E"/>
    <w:rsid w:val="000F5F05"/>
    <w:rsid w:val="000F64BA"/>
    <w:rsid w:val="000F682A"/>
    <w:rsid w:val="000F684B"/>
    <w:rsid w:val="000F688A"/>
    <w:rsid w:val="000F6C5A"/>
    <w:rsid w:val="000F6D9B"/>
    <w:rsid w:val="000F6DE5"/>
    <w:rsid w:val="000F6F6F"/>
    <w:rsid w:val="000F750B"/>
    <w:rsid w:val="000F755A"/>
    <w:rsid w:val="000F7BB0"/>
    <w:rsid w:val="000F7C70"/>
    <w:rsid w:val="000F7F68"/>
    <w:rsid w:val="00100AAB"/>
    <w:rsid w:val="00100B0D"/>
    <w:rsid w:val="00100C0B"/>
    <w:rsid w:val="00100E2D"/>
    <w:rsid w:val="00100FAD"/>
    <w:rsid w:val="001019AA"/>
    <w:rsid w:val="00101B28"/>
    <w:rsid w:val="001025EB"/>
    <w:rsid w:val="00102734"/>
    <w:rsid w:val="00102EC7"/>
    <w:rsid w:val="00103131"/>
    <w:rsid w:val="001032E0"/>
    <w:rsid w:val="0010354C"/>
    <w:rsid w:val="0010388F"/>
    <w:rsid w:val="0010395D"/>
    <w:rsid w:val="00103B05"/>
    <w:rsid w:val="00103B7D"/>
    <w:rsid w:val="00103BCD"/>
    <w:rsid w:val="00103E38"/>
    <w:rsid w:val="001041A8"/>
    <w:rsid w:val="0010451D"/>
    <w:rsid w:val="001045C3"/>
    <w:rsid w:val="001049CD"/>
    <w:rsid w:val="00104D96"/>
    <w:rsid w:val="00105C6B"/>
    <w:rsid w:val="00106420"/>
    <w:rsid w:val="00106502"/>
    <w:rsid w:val="00106E5E"/>
    <w:rsid w:val="00106F0D"/>
    <w:rsid w:val="00106F20"/>
    <w:rsid w:val="001071DA"/>
    <w:rsid w:val="00107559"/>
    <w:rsid w:val="00107983"/>
    <w:rsid w:val="00107D15"/>
    <w:rsid w:val="00110251"/>
    <w:rsid w:val="001102BB"/>
    <w:rsid w:val="00110ECE"/>
    <w:rsid w:val="00111509"/>
    <w:rsid w:val="001119CD"/>
    <w:rsid w:val="001120BB"/>
    <w:rsid w:val="00112672"/>
    <w:rsid w:val="001128F7"/>
    <w:rsid w:val="00112C2E"/>
    <w:rsid w:val="00112D2A"/>
    <w:rsid w:val="00113220"/>
    <w:rsid w:val="00113F9D"/>
    <w:rsid w:val="00114112"/>
    <w:rsid w:val="001142B0"/>
    <w:rsid w:val="00114344"/>
    <w:rsid w:val="00114558"/>
    <w:rsid w:val="00114587"/>
    <w:rsid w:val="00114A12"/>
    <w:rsid w:val="00114A63"/>
    <w:rsid w:val="00114DD0"/>
    <w:rsid w:val="00114E21"/>
    <w:rsid w:val="001150A6"/>
    <w:rsid w:val="00115287"/>
    <w:rsid w:val="001159E3"/>
    <w:rsid w:val="00115CB3"/>
    <w:rsid w:val="00115CE0"/>
    <w:rsid w:val="00115D13"/>
    <w:rsid w:val="00115D48"/>
    <w:rsid w:val="001162FE"/>
    <w:rsid w:val="0011728E"/>
    <w:rsid w:val="001172D4"/>
    <w:rsid w:val="001174E5"/>
    <w:rsid w:val="0011762E"/>
    <w:rsid w:val="001201C5"/>
    <w:rsid w:val="001208D7"/>
    <w:rsid w:val="00120A86"/>
    <w:rsid w:val="00120D31"/>
    <w:rsid w:val="00120F74"/>
    <w:rsid w:val="00122016"/>
    <w:rsid w:val="00122B70"/>
    <w:rsid w:val="00123A06"/>
    <w:rsid w:val="00123A0F"/>
    <w:rsid w:val="00123A27"/>
    <w:rsid w:val="0012409D"/>
    <w:rsid w:val="00124171"/>
    <w:rsid w:val="00124435"/>
    <w:rsid w:val="00124565"/>
    <w:rsid w:val="0012460D"/>
    <w:rsid w:val="00125405"/>
    <w:rsid w:val="001254B6"/>
    <w:rsid w:val="001257AF"/>
    <w:rsid w:val="001259E8"/>
    <w:rsid w:val="00125A82"/>
    <w:rsid w:val="00125D94"/>
    <w:rsid w:val="0012655B"/>
    <w:rsid w:val="001267BC"/>
    <w:rsid w:val="00126873"/>
    <w:rsid w:val="001274E1"/>
    <w:rsid w:val="001278C8"/>
    <w:rsid w:val="00127B88"/>
    <w:rsid w:val="00127BC4"/>
    <w:rsid w:val="00127D54"/>
    <w:rsid w:val="00130245"/>
    <w:rsid w:val="001303B9"/>
    <w:rsid w:val="00130996"/>
    <w:rsid w:val="00130BC2"/>
    <w:rsid w:val="00130BFF"/>
    <w:rsid w:val="00130C02"/>
    <w:rsid w:val="00130CBE"/>
    <w:rsid w:val="00130D57"/>
    <w:rsid w:val="00130F96"/>
    <w:rsid w:val="00131358"/>
    <w:rsid w:val="001318BF"/>
    <w:rsid w:val="001318C0"/>
    <w:rsid w:val="001318FE"/>
    <w:rsid w:val="00131F47"/>
    <w:rsid w:val="001320CE"/>
    <w:rsid w:val="001327E9"/>
    <w:rsid w:val="00133310"/>
    <w:rsid w:val="001334EF"/>
    <w:rsid w:val="00134B32"/>
    <w:rsid w:val="001350F8"/>
    <w:rsid w:val="001355C5"/>
    <w:rsid w:val="0013563C"/>
    <w:rsid w:val="0013586B"/>
    <w:rsid w:val="00135B5B"/>
    <w:rsid w:val="00135FF6"/>
    <w:rsid w:val="001360A2"/>
    <w:rsid w:val="00136954"/>
    <w:rsid w:val="00137362"/>
    <w:rsid w:val="00140378"/>
    <w:rsid w:val="0014042D"/>
    <w:rsid w:val="001407F4"/>
    <w:rsid w:val="00140954"/>
    <w:rsid w:val="00140CBA"/>
    <w:rsid w:val="001410B3"/>
    <w:rsid w:val="00141472"/>
    <w:rsid w:val="0014165C"/>
    <w:rsid w:val="00141AEC"/>
    <w:rsid w:val="00142416"/>
    <w:rsid w:val="0014295D"/>
    <w:rsid w:val="00142ABF"/>
    <w:rsid w:val="00143048"/>
    <w:rsid w:val="0014308E"/>
    <w:rsid w:val="001432FE"/>
    <w:rsid w:val="00143374"/>
    <w:rsid w:val="00143377"/>
    <w:rsid w:val="00143F3D"/>
    <w:rsid w:val="00144440"/>
    <w:rsid w:val="00144B93"/>
    <w:rsid w:val="00144BF0"/>
    <w:rsid w:val="00144C76"/>
    <w:rsid w:val="00144D4C"/>
    <w:rsid w:val="00144D5A"/>
    <w:rsid w:val="001453CA"/>
    <w:rsid w:val="00145758"/>
    <w:rsid w:val="00145C73"/>
    <w:rsid w:val="001463D1"/>
    <w:rsid w:val="0014654C"/>
    <w:rsid w:val="001468DB"/>
    <w:rsid w:val="00146991"/>
    <w:rsid w:val="00146ACA"/>
    <w:rsid w:val="00146B40"/>
    <w:rsid w:val="00146C00"/>
    <w:rsid w:val="0014721F"/>
    <w:rsid w:val="001472E4"/>
    <w:rsid w:val="00147CD9"/>
    <w:rsid w:val="00147FC3"/>
    <w:rsid w:val="00147FD7"/>
    <w:rsid w:val="00150632"/>
    <w:rsid w:val="00150724"/>
    <w:rsid w:val="001507D3"/>
    <w:rsid w:val="001509D1"/>
    <w:rsid w:val="00150A8C"/>
    <w:rsid w:val="00150C79"/>
    <w:rsid w:val="00150CA0"/>
    <w:rsid w:val="00150F10"/>
    <w:rsid w:val="00151090"/>
    <w:rsid w:val="001510BE"/>
    <w:rsid w:val="00151438"/>
    <w:rsid w:val="001518DD"/>
    <w:rsid w:val="00151FA4"/>
    <w:rsid w:val="00152080"/>
    <w:rsid w:val="001526A1"/>
    <w:rsid w:val="001528A5"/>
    <w:rsid w:val="00152B5C"/>
    <w:rsid w:val="00153093"/>
    <w:rsid w:val="001535DE"/>
    <w:rsid w:val="0015364E"/>
    <w:rsid w:val="00153678"/>
    <w:rsid w:val="001539AF"/>
    <w:rsid w:val="00153AED"/>
    <w:rsid w:val="00153FD2"/>
    <w:rsid w:val="0015474A"/>
    <w:rsid w:val="00154A9C"/>
    <w:rsid w:val="00154D1C"/>
    <w:rsid w:val="001559DB"/>
    <w:rsid w:val="00155B0E"/>
    <w:rsid w:val="00155F4A"/>
    <w:rsid w:val="00156229"/>
    <w:rsid w:val="001562C8"/>
    <w:rsid w:val="001563F6"/>
    <w:rsid w:val="00156659"/>
    <w:rsid w:val="001567BD"/>
    <w:rsid w:val="00156938"/>
    <w:rsid w:val="00156D84"/>
    <w:rsid w:val="00156E8C"/>
    <w:rsid w:val="00156FA1"/>
    <w:rsid w:val="0015759D"/>
    <w:rsid w:val="0015764A"/>
    <w:rsid w:val="001577E6"/>
    <w:rsid w:val="001578EB"/>
    <w:rsid w:val="00157D83"/>
    <w:rsid w:val="00160264"/>
    <w:rsid w:val="0016058F"/>
    <w:rsid w:val="0016067B"/>
    <w:rsid w:val="00160B28"/>
    <w:rsid w:val="00160E6F"/>
    <w:rsid w:val="00161026"/>
    <w:rsid w:val="00161211"/>
    <w:rsid w:val="001619BB"/>
    <w:rsid w:val="0016215F"/>
    <w:rsid w:val="001623EE"/>
    <w:rsid w:val="00162426"/>
    <w:rsid w:val="00162BDF"/>
    <w:rsid w:val="00162D6C"/>
    <w:rsid w:val="00162E37"/>
    <w:rsid w:val="00162E97"/>
    <w:rsid w:val="00162F19"/>
    <w:rsid w:val="0016320D"/>
    <w:rsid w:val="00163671"/>
    <w:rsid w:val="00163681"/>
    <w:rsid w:val="001638D7"/>
    <w:rsid w:val="00163C7B"/>
    <w:rsid w:val="00163E06"/>
    <w:rsid w:val="001646E5"/>
    <w:rsid w:val="00164CCE"/>
    <w:rsid w:val="00164EED"/>
    <w:rsid w:val="00164F82"/>
    <w:rsid w:val="00165240"/>
    <w:rsid w:val="0016569B"/>
    <w:rsid w:val="001657F2"/>
    <w:rsid w:val="0016585E"/>
    <w:rsid w:val="00165A65"/>
    <w:rsid w:val="0016661F"/>
    <w:rsid w:val="0016682A"/>
    <w:rsid w:val="00166C6E"/>
    <w:rsid w:val="00166D5D"/>
    <w:rsid w:val="00166E99"/>
    <w:rsid w:val="00166FBC"/>
    <w:rsid w:val="001673B5"/>
    <w:rsid w:val="001673F0"/>
    <w:rsid w:val="001673F3"/>
    <w:rsid w:val="00167501"/>
    <w:rsid w:val="001679DF"/>
    <w:rsid w:val="00167F1F"/>
    <w:rsid w:val="001701A4"/>
    <w:rsid w:val="001701DB"/>
    <w:rsid w:val="0017053E"/>
    <w:rsid w:val="00170587"/>
    <w:rsid w:val="00170BCA"/>
    <w:rsid w:val="00170BEB"/>
    <w:rsid w:val="00170D1C"/>
    <w:rsid w:val="0017126F"/>
    <w:rsid w:val="0017181B"/>
    <w:rsid w:val="00171DD1"/>
    <w:rsid w:val="00171DF3"/>
    <w:rsid w:val="00172822"/>
    <w:rsid w:val="00172824"/>
    <w:rsid w:val="00172F9A"/>
    <w:rsid w:val="00173CE1"/>
    <w:rsid w:val="0017404F"/>
    <w:rsid w:val="00174514"/>
    <w:rsid w:val="001746F7"/>
    <w:rsid w:val="00174D68"/>
    <w:rsid w:val="00174EC8"/>
    <w:rsid w:val="001756F9"/>
    <w:rsid w:val="00175BF5"/>
    <w:rsid w:val="00176045"/>
    <w:rsid w:val="0017608B"/>
    <w:rsid w:val="001760A8"/>
    <w:rsid w:val="001761AA"/>
    <w:rsid w:val="00176347"/>
    <w:rsid w:val="00176CFA"/>
    <w:rsid w:val="00176DED"/>
    <w:rsid w:val="0017701C"/>
    <w:rsid w:val="001776AA"/>
    <w:rsid w:val="001777FD"/>
    <w:rsid w:val="0017797F"/>
    <w:rsid w:val="00177C1D"/>
    <w:rsid w:val="00177C38"/>
    <w:rsid w:val="00180673"/>
    <w:rsid w:val="001807CF"/>
    <w:rsid w:val="0018089C"/>
    <w:rsid w:val="00180903"/>
    <w:rsid w:val="00181218"/>
    <w:rsid w:val="0018142A"/>
    <w:rsid w:val="00181642"/>
    <w:rsid w:val="00181A45"/>
    <w:rsid w:val="00182011"/>
    <w:rsid w:val="00182326"/>
    <w:rsid w:val="00182684"/>
    <w:rsid w:val="001826B7"/>
    <w:rsid w:val="00182A1B"/>
    <w:rsid w:val="00182AAA"/>
    <w:rsid w:val="00182DA9"/>
    <w:rsid w:val="00182E84"/>
    <w:rsid w:val="0018306D"/>
    <w:rsid w:val="001834C9"/>
    <w:rsid w:val="00183550"/>
    <w:rsid w:val="001835A3"/>
    <w:rsid w:val="001842C5"/>
    <w:rsid w:val="0018434E"/>
    <w:rsid w:val="0018489C"/>
    <w:rsid w:val="00184D32"/>
    <w:rsid w:val="0018523E"/>
    <w:rsid w:val="001855C2"/>
    <w:rsid w:val="00185BCE"/>
    <w:rsid w:val="00185C0C"/>
    <w:rsid w:val="00185F76"/>
    <w:rsid w:val="00186347"/>
    <w:rsid w:val="00186A11"/>
    <w:rsid w:val="00186CC3"/>
    <w:rsid w:val="0018701C"/>
    <w:rsid w:val="0018747F"/>
    <w:rsid w:val="00187B94"/>
    <w:rsid w:val="00187BE5"/>
    <w:rsid w:val="00187FAD"/>
    <w:rsid w:val="00187FAF"/>
    <w:rsid w:val="0019011F"/>
    <w:rsid w:val="001901DE"/>
    <w:rsid w:val="00190871"/>
    <w:rsid w:val="00191196"/>
    <w:rsid w:val="00191432"/>
    <w:rsid w:val="00191524"/>
    <w:rsid w:val="001915D5"/>
    <w:rsid w:val="00191B10"/>
    <w:rsid w:val="00191E5F"/>
    <w:rsid w:val="001925F0"/>
    <w:rsid w:val="0019327A"/>
    <w:rsid w:val="00193F87"/>
    <w:rsid w:val="00194248"/>
    <w:rsid w:val="001942BF"/>
    <w:rsid w:val="00194704"/>
    <w:rsid w:val="00194865"/>
    <w:rsid w:val="0019488A"/>
    <w:rsid w:val="00194903"/>
    <w:rsid w:val="00194AE9"/>
    <w:rsid w:val="00194C7D"/>
    <w:rsid w:val="00195502"/>
    <w:rsid w:val="00195A3C"/>
    <w:rsid w:val="00195B0C"/>
    <w:rsid w:val="001961EC"/>
    <w:rsid w:val="001962E3"/>
    <w:rsid w:val="0019645B"/>
    <w:rsid w:val="00197087"/>
    <w:rsid w:val="0019735E"/>
    <w:rsid w:val="00197B60"/>
    <w:rsid w:val="00197BDF"/>
    <w:rsid w:val="00197C36"/>
    <w:rsid w:val="00197E9B"/>
    <w:rsid w:val="00197F65"/>
    <w:rsid w:val="001A05F3"/>
    <w:rsid w:val="001A065F"/>
    <w:rsid w:val="001A093C"/>
    <w:rsid w:val="001A0AA8"/>
    <w:rsid w:val="001A108B"/>
    <w:rsid w:val="001A19BD"/>
    <w:rsid w:val="001A238C"/>
    <w:rsid w:val="001A243C"/>
    <w:rsid w:val="001A2884"/>
    <w:rsid w:val="001A2BF3"/>
    <w:rsid w:val="001A30AB"/>
    <w:rsid w:val="001A310F"/>
    <w:rsid w:val="001A324C"/>
    <w:rsid w:val="001A32FF"/>
    <w:rsid w:val="001A37CB"/>
    <w:rsid w:val="001A3F6D"/>
    <w:rsid w:val="001A4027"/>
    <w:rsid w:val="001A513B"/>
    <w:rsid w:val="001A58C0"/>
    <w:rsid w:val="001A59C3"/>
    <w:rsid w:val="001A630F"/>
    <w:rsid w:val="001A6330"/>
    <w:rsid w:val="001A63E9"/>
    <w:rsid w:val="001A6791"/>
    <w:rsid w:val="001A7447"/>
    <w:rsid w:val="001A744F"/>
    <w:rsid w:val="001A7595"/>
    <w:rsid w:val="001B0241"/>
    <w:rsid w:val="001B0383"/>
    <w:rsid w:val="001B0897"/>
    <w:rsid w:val="001B08D8"/>
    <w:rsid w:val="001B1258"/>
    <w:rsid w:val="001B13AF"/>
    <w:rsid w:val="001B1C1C"/>
    <w:rsid w:val="001B1ED4"/>
    <w:rsid w:val="001B2B37"/>
    <w:rsid w:val="001B2BE2"/>
    <w:rsid w:val="001B2C6B"/>
    <w:rsid w:val="001B2FEF"/>
    <w:rsid w:val="001B301D"/>
    <w:rsid w:val="001B30B4"/>
    <w:rsid w:val="001B30FF"/>
    <w:rsid w:val="001B35AF"/>
    <w:rsid w:val="001B38DA"/>
    <w:rsid w:val="001B3B75"/>
    <w:rsid w:val="001B3C03"/>
    <w:rsid w:val="001B3EEF"/>
    <w:rsid w:val="001B40CD"/>
    <w:rsid w:val="001B4148"/>
    <w:rsid w:val="001B49AF"/>
    <w:rsid w:val="001B4BB8"/>
    <w:rsid w:val="001B4FD5"/>
    <w:rsid w:val="001B5121"/>
    <w:rsid w:val="001B52E4"/>
    <w:rsid w:val="001B5461"/>
    <w:rsid w:val="001B569F"/>
    <w:rsid w:val="001B5796"/>
    <w:rsid w:val="001B57E4"/>
    <w:rsid w:val="001B664E"/>
    <w:rsid w:val="001B6B21"/>
    <w:rsid w:val="001B6C6B"/>
    <w:rsid w:val="001B6E88"/>
    <w:rsid w:val="001B73D2"/>
    <w:rsid w:val="001B7C0A"/>
    <w:rsid w:val="001B7CBA"/>
    <w:rsid w:val="001B7EA9"/>
    <w:rsid w:val="001C01D0"/>
    <w:rsid w:val="001C0342"/>
    <w:rsid w:val="001C06B8"/>
    <w:rsid w:val="001C0984"/>
    <w:rsid w:val="001C0B7B"/>
    <w:rsid w:val="001C0F57"/>
    <w:rsid w:val="001C1323"/>
    <w:rsid w:val="001C148F"/>
    <w:rsid w:val="001C14E6"/>
    <w:rsid w:val="001C1639"/>
    <w:rsid w:val="001C1929"/>
    <w:rsid w:val="001C1AF2"/>
    <w:rsid w:val="001C204F"/>
    <w:rsid w:val="001C21E7"/>
    <w:rsid w:val="001C2303"/>
    <w:rsid w:val="001C2A15"/>
    <w:rsid w:val="001C2D8A"/>
    <w:rsid w:val="001C2EE0"/>
    <w:rsid w:val="001C2F1F"/>
    <w:rsid w:val="001C3448"/>
    <w:rsid w:val="001C3E47"/>
    <w:rsid w:val="001C4335"/>
    <w:rsid w:val="001C4617"/>
    <w:rsid w:val="001C47B4"/>
    <w:rsid w:val="001C4CC8"/>
    <w:rsid w:val="001C4D43"/>
    <w:rsid w:val="001C4F34"/>
    <w:rsid w:val="001C542D"/>
    <w:rsid w:val="001C5D4C"/>
    <w:rsid w:val="001C641F"/>
    <w:rsid w:val="001C6554"/>
    <w:rsid w:val="001C65C0"/>
    <w:rsid w:val="001C67F6"/>
    <w:rsid w:val="001C691B"/>
    <w:rsid w:val="001C711F"/>
    <w:rsid w:val="001C7416"/>
    <w:rsid w:val="001C748C"/>
    <w:rsid w:val="001C76C1"/>
    <w:rsid w:val="001C78F0"/>
    <w:rsid w:val="001C7BA8"/>
    <w:rsid w:val="001D0933"/>
    <w:rsid w:val="001D0FBF"/>
    <w:rsid w:val="001D1891"/>
    <w:rsid w:val="001D1DCB"/>
    <w:rsid w:val="001D1E20"/>
    <w:rsid w:val="001D237A"/>
    <w:rsid w:val="001D2881"/>
    <w:rsid w:val="001D2C1C"/>
    <w:rsid w:val="001D2C44"/>
    <w:rsid w:val="001D2FC8"/>
    <w:rsid w:val="001D303D"/>
    <w:rsid w:val="001D3082"/>
    <w:rsid w:val="001D32EA"/>
    <w:rsid w:val="001D3993"/>
    <w:rsid w:val="001D3BC5"/>
    <w:rsid w:val="001D41EF"/>
    <w:rsid w:val="001D41FC"/>
    <w:rsid w:val="001D4A96"/>
    <w:rsid w:val="001D4C22"/>
    <w:rsid w:val="001D554D"/>
    <w:rsid w:val="001D5A8A"/>
    <w:rsid w:val="001D5BA4"/>
    <w:rsid w:val="001D5CD3"/>
    <w:rsid w:val="001D646C"/>
    <w:rsid w:val="001D65E5"/>
    <w:rsid w:val="001D6B2E"/>
    <w:rsid w:val="001D7254"/>
    <w:rsid w:val="001D7E42"/>
    <w:rsid w:val="001E002A"/>
    <w:rsid w:val="001E095E"/>
    <w:rsid w:val="001E09BB"/>
    <w:rsid w:val="001E0CB0"/>
    <w:rsid w:val="001E0F98"/>
    <w:rsid w:val="001E1197"/>
    <w:rsid w:val="001E1329"/>
    <w:rsid w:val="001E13C9"/>
    <w:rsid w:val="001E16DD"/>
    <w:rsid w:val="001E1AB6"/>
    <w:rsid w:val="001E1B47"/>
    <w:rsid w:val="001E1E2C"/>
    <w:rsid w:val="001E2994"/>
    <w:rsid w:val="001E2A9A"/>
    <w:rsid w:val="001E2D00"/>
    <w:rsid w:val="001E2E41"/>
    <w:rsid w:val="001E35B5"/>
    <w:rsid w:val="001E364C"/>
    <w:rsid w:val="001E3BD6"/>
    <w:rsid w:val="001E3FC2"/>
    <w:rsid w:val="001E4401"/>
    <w:rsid w:val="001E48A3"/>
    <w:rsid w:val="001E4C7F"/>
    <w:rsid w:val="001E4D82"/>
    <w:rsid w:val="001E4DD3"/>
    <w:rsid w:val="001E4F44"/>
    <w:rsid w:val="001E5607"/>
    <w:rsid w:val="001E5D14"/>
    <w:rsid w:val="001E6FA4"/>
    <w:rsid w:val="001E70B7"/>
    <w:rsid w:val="001E7231"/>
    <w:rsid w:val="001E74C1"/>
    <w:rsid w:val="001E7DC7"/>
    <w:rsid w:val="001E7F2E"/>
    <w:rsid w:val="001F0402"/>
    <w:rsid w:val="001F0508"/>
    <w:rsid w:val="001F1058"/>
    <w:rsid w:val="001F109B"/>
    <w:rsid w:val="001F1435"/>
    <w:rsid w:val="001F145E"/>
    <w:rsid w:val="001F17C3"/>
    <w:rsid w:val="001F1D8B"/>
    <w:rsid w:val="001F1F56"/>
    <w:rsid w:val="001F2965"/>
    <w:rsid w:val="001F2F1B"/>
    <w:rsid w:val="001F3313"/>
    <w:rsid w:val="001F33BD"/>
    <w:rsid w:val="001F3570"/>
    <w:rsid w:val="001F35A9"/>
    <w:rsid w:val="001F3889"/>
    <w:rsid w:val="001F3A91"/>
    <w:rsid w:val="001F42FC"/>
    <w:rsid w:val="001F4DC6"/>
    <w:rsid w:val="001F4EBD"/>
    <w:rsid w:val="001F5229"/>
    <w:rsid w:val="001F527F"/>
    <w:rsid w:val="001F54AE"/>
    <w:rsid w:val="001F5A78"/>
    <w:rsid w:val="001F5B5B"/>
    <w:rsid w:val="001F6F26"/>
    <w:rsid w:val="001F7538"/>
    <w:rsid w:val="001F788E"/>
    <w:rsid w:val="001F78A3"/>
    <w:rsid w:val="001F7A75"/>
    <w:rsid w:val="001F7DDE"/>
    <w:rsid w:val="001F7E93"/>
    <w:rsid w:val="001F7F2C"/>
    <w:rsid w:val="0020017E"/>
    <w:rsid w:val="00200566"/>
    <w:rsid w:val="002006B8"/>
    <w:rsid w:val="00200C23"/>
    <w:rsid w:val="00200E98"/>
    <w:rsid w:val="0020144A"/>
    <w:rsid w:val="0020172E"/>
    <w:rsid w:val="002024FE"/>
    <w:rsid w:val="00202649"/>
    <w:rsid w:val="0020292E"/>
    <w:rsid w:val="00202F80"/>
    <w:rsid w:val="00202FC9"/>
    <w:rsid w:val="0020303D"/>
    <w:rsid w:val="0020317D"/>
    <w:rsid w:val="0020325C"/>
    <w:rsid w:val="002032EC"/>
    <w:rsid w:val="00203C02"/>
    <w:rsid w:val="00203D0B"/>
    <w:rsid w:val="00203D6F"/>
    <w:rsid w:val="00203DEB"/>
    <w:rsid w:val="00203FCE"/>
    <w:rsid w:val="00204827"/>
    <w:rsid w:val="0020490E"/>
    <w:rsid w:val="00204E34"/>
    <w:rsid w:val="00205241"/>
    <w:rsid w:val="002057C4"/>
    <w:rsid w:val="00205A10"/>
    <w:rsid w:val="00205DD9"/>
    <w:rsid w:val="0020669B"/>
    <w:rsid w:val="00206722"/>
    <w:rsid w:val="00206EDF"/>
    <w:rsid w:val="0020708F"/>
    <w:rsid w:val="002070FC"/>
    <w:rsid w:val="00207A88"/>
    <w:rsid w:val="002101E5"/>
    <w:rsid w:val="0021062E"/>
    <w:rsid w:val="002110B3"/>
    <w:rsid w:val="0021144F"/>
    <w:rsid w:val="00211D13"/>
    <w:rsid w:val="00211ED6"/>
    <w:rsid w:val="002127C7"/>
    <w:rsid w:val="00212D5E"/>
    <w:rsid w:val="00212E9E"/>
    <w:rsid w:val="00212ECC"/>
    <w:rsid w:val="002136B2"/>
    <w:rsid w:val="00213938"/>
    <w:rsid w:val="00213E12"/>
    <w:rsid w:val="00213E56"/>
    <w:rsid w:val="002140CB"/>
    <w:rsid w:val="00214792"/>
    <w:rsid w:val="00214A55"/>
    <w:rsid w:val="00214D0B"/>
    <w:rsid w:val="00214F52"/>
    <w:rsid w:val="0021531E"/>
    <w:rsid w:val="00215E5B"/>
    <w:rsid w:val="00216292"/>
    <w:rsid w:val="00216918"/>
    <w:rsid w:val="002169ED"/>
    <w:rsid w:val="00216ACD"/>
    <w:rsid w:val="00216D0E"/>
    <w:rsid w:val="00216E48"/>
    <w:rsid w:val="00217316"/>
    <w:rsid w:val="0021744E"/>
    <w:rsid w:val="00217A28"/>
    <w:rsid w:val="00217FA2"/>
    <w:rsid w:val="0022053D"/>
    <w:rsid w:val="0022073E"/>
    <w:rsid w:val="002209C0"/>
    <w:rsid w:val="00220FD4"/>
    <w:rsid w:val="00220FE1"/>
    <w:rsid w:val="002211B7"/>
    <w:rsid w:val="0022152C"/>
    <w:rsid w:val="002222B5"/>
    <w:rsid w:val="002223D7"/>
    <w:rsid w:val="002229AB"/>
    <w:rsid w:val="00222EB4"/>
    <w:rsid w:val="00223067"/>
    <w:rsid w:val="002233C1"/>
    <w:rsid w:val="00223421"/>
    <w:rsid w:val="00223E0B"/>
    <w:rsid w:val="00224666"/>
    <w:rsid w:val="00225177"/>
    <w:rsid w:val="0022534A"/>
    <w:rsid w:val="002254D0"/>
    <w:rsid w:val="002260AC"/>
    <w:rsid w:val="002264E0"/>
    <w:rsid w:val="002265C5"/>
    <w:rsid w:val="00226655"/>
    <w:rsid w:val="00226B42"/>
    <w:rsid w:val="00227010"/>
    <w:rsid w:val="00227430"/>
    <w:rsid w:val="00230275"/>
    <w:rsid w:val="002313B1"/>
    <w:rsid w:val="00231484"/>
    <w:rsid w:val="00232D45"/>
    <w:rsid w:val="00232DF0"/>
    <w:rsid w:val="00233370"/>
    <w:rsid w:val="00233891"/>
    <w:rsid w:val="002338A7"/>
    <w:rsid w:val="00233C98"/>
    <w:rsid w:val="00233E9D"/>
    <w:rsid w:val="002340D0"/>
    <w:rsid w:val="00234180"/>
    <w:rsid w:val="00234271"/>
    <w:rsid w:val="002343A3"/>
    <w:rsid w:val="002343BF"/>
    <w:rsid w:val="00234FF6"/>
    <w:rsid w:val="0023547D"/>
    <w:rsid w:val="002354F1"/>
    <w:rsid w:val="0023583C"/>
    <w:rsid w:val="002359B2"/>
    <w:rsid w:val="00235ADA"/>
    <w:rsid w:val="00235B72"/>
    <w:rsid w:val="00235D7E"/>
    <w:rsid w:val="00235E3D"/>
    <w:rsid w:val="0023613B"/>
    <w:rsid w:val="00236241"/>
    <w:rsid w:val="002363C7"/>
    <w:rsid w:val="00236637"/>
    <w:rsid w:val="002368C5"/>
    <w:rsid w:val="00236AD3"/>
    <w:rsid w:val="00236E24"/>
    <w:rsid w:val="0023705E"/>
    <w:rsid w:val="002372E5"/>
    <w:rsid w:val="00237754"/>
    <w:rsid w:val="00237783"/>
    <w:rsid w:val="0023779B"/>
    <w:rsid w:val="0023783B"/>
    <w:rsid w:val="00237CA3"/>
    <w:rsid w:val="00237FE8"/>
    <w:rsid w:val="002410D7"/>
    <w:rsid w:val="00241B6D"/>
    <w:rsid w:val="00242706"/>
    <w:rsid w:val="0024276C"/>
    <w:rsid w:val="00242C95"/>
    <w:rsid w:val="00242EA4"/>
    <w:rsid w:val="0024343D"/>
    <w:rsid w:val="00243452"/>
    <w:rsid w:val="00243983"/>
    <w:rsid w:val="00243B58"/>
    <w:rsid w:val="00244083"/>
    <w:rsid w:val="002443C0"/>
    <w:rsid w:val="00244601"/>
    <w:rsid w:val="00244A2E"/>
    <w:rsid w:val="00244EBD"/>
    <w:rsid w:val="00245293"/>
    <w:rsid w:val="00245749"/>
    <w:rsid w:val="00245770"/>
    <w:rsid w:val="0024698A"/>
    <w:rsid w:val="00246CF3"/>
    <w:rsid w:val="00246D8B"/>
    <w:rsid w:val="00247048"/>
    <w:rsid w:val="002474F1"/>
    <w:rsid w:val="00247819"/>
    <w:rsid w:val="00247B2F"/>
    <w:rsid w:val="002500E1"/>
    <w:rsid w:val="0025024E"/>
    <w:rsid w:val="00250745"/>
    <w:rsid w:val="002507B3"/>
    <w:rsid w:val="00250B7C"/>
    <w:rsid w:val="00250C72"/>
    <w:rsid w:val="00250D42"/>
    <w:rsid w:val="002510C5"/>
    <w:rsid w:val="00251628"/>
    <w:rsid w:val="0025199D"/>
    <w:rsid w:val="00251B2D"/>
    <w:rsid w:val="00251CF0"/>
    <w:rsid w:val="00251CF4"/>
    <w:rsid w:val="002520B7"/>
    <w:rsid w:val="00252261"/>
    <w:rsid w:val="0025261F"/>
    <w:rsid w:val="00252725"/>
    <w:rsid w:val="00252C5F"/>
    <w:rsid w:val="00252EE0"/>
    <w:rsid w:val="00253100"/>
    <w:rsid w:val="002533D9"/>
    <w:rsid w:val="00253496"/>
    <w:rsid w:val="002534A4"/>
    <w:rsid w:val="0025407B"/>
    <w:rsid w:val="0025412C"/>
    <w:rsid w:val="0025428C"/>
    <w:rsid w:val="00254360"/>
    <w:rsid w:val="00254A98"/>
    <w:rsid w:val="00254C73"/>
    <w:rsid w:val="00254F20"/>
    <w:rsid w:val="002558CC"/>
    <w:rsid w:val="0025647F"/>
    <w:rsid w:val="0025679A"/>
    <w:rsid w:val="00256923"/>
    <w:rsid w:val="0025707A"/>
    <w:rsid w:val="00257138"/>
    <w:rsid w:val="00257BC4"/>
    <w:rsid w:val="00257FEC"/>
    <w:rsid w:val="0026032E"/>
    <w:rsid w:val="002605F5"/>
    <w:rsid w:val="00260875"/>
    <w:rsid w:val="00260A20"/>
    <w:rsid w:val="00260B19"/>
    <w:rsid w:val="002610F8"/>
    <w:rsid w:val="002616A9"/>
    <w:rsid w:val="0026187C"/>
    <w:rsid w:val="00261C19"/>
    <w:rsid w:val="002623D6"/>
    <w:rsid w:val="00262435"/>
    <w:rsid w:val="002625F0"/>
    <w:rsid w:val="00262B6F"/>
    <w:rsid w:val="00262EFB"/>
    <w:rsid w:val="00262F0E"/>
    <w:rsid w:val="00262F88"/>
    <w:rsid w:val="002634D3"/>
    <w:rsid w:val="00263503"/>
    <w:rsid w:val="002636E0"/>
    <w:rsid w:val="0026387E"/>
    <w:rsid w:val="002641BC"/>
    <w:rsid w:val="00264239"/>
    <w:rsid w:val="00264288"/>
    <w:rsid w:val="0026431F"/>
    <w:rsid w:val="002645C0"/>
    <w:rsid w:val="00264B7F"/>
    <w:rsid w:val="00264BB0"/>
    <w:rsid w:val="00264C57"/>
    <w:rsid w:val="0026509F"/>
    <w:rsid w:val="002656EF"/>
    <w:rsid w:val="00265F29"/>
    <w:rsid w:val="00266260"/>
    <w:rsid w:val="0026649B"/>
    <w:rsid w:val="002666D0"/>
    <w:rsid w:val="00266AE7"/>
    <w:rsid w:val="00266F32"/>
    <w:rsid w:val="00267013"/>
    <w:rsid w:val="0026720F"/>
    <w:rsid w:val="0026732A"/>
    <w:rsid w:val="002673DA"/>
    <w:rsid w:val="002674D6"/>
    <w:rsid w:val="002676B3"/>
    <w:rsid w:val="002679B5"/>
    <w:rsid w:val="00267E3B"/>
    <w:rsid w:val="00270970"/>
    <w:rsid w:val="00270C64"/>
    <w:rsid w:val="00270F9E"/>
    <w:rsid w:val="00271165"/>
    <w:rsid w:val="00271280"/>
    <w:rsid w:val="0027162B"/>
    <w:rsid w:val="00271ABD"/>
    <w:rsid w:val="00271E90"/>
    <w:rsid w:val="002720C0"/>
    <w:rsid w:val="0027247D"/>
    <w:rsid w:val="00272493"/>
    <w:rsid w:val="00272563"/>
    <w:rsid w:val="002726C3"/>
    <w:rsid w:val="002729C1"/>
    <w:rsid w:val="00272A18"/>
    <w:rsid w:val="00272BD9"/>
    <w:rsid w:val="00272F63"/>
    <w:rsid w:val="002735AF"/>
    <w:rsid w:val="00273616"/>
    <w:rsid w:val="0027396E"/>
    <w:rsid w:val="00273B86"/>
    <w:rsid w:val="00273CA3"/>
    <w:rsid w:val="00273D95"/>
    <w:rsid w:val="00273EAC"/>
    <w:rsid w:val="0027443E"/>
    <w:rsid w:val="00274601"/>
    <w:rsid w:val="002749C4"/>
    <w:rsid w:val="00274D36"/>
    <w:rsid w:val="00274FAB"/>
    <w:rsid w:val="0027555D"/>
    <w:rsid w:val="002755F0"/>
    <w:rsid w:val="00275CA5"/>
    <w:rsid w:val="00276217"/>
    <w:rsid w:val="00276B87"/>
    <w:rsid w:val="00276DDB"/>
    <w:rsid w:val="00277074"/>
    <w:rsid w:val="00277ABE"/>
    <w:rsid w:val="00277D21"/>
    <w:rsid w:val="00277E45"/>
    <w:rsid w:val="00280561"/>
    <w:rsid w:val="00280924"/>
    <w:rsid w:val="0028095E"/>
    <w:rsid w:val="00280FC7"/>
    <w:rsid w:val="002810C3"/>
    <w:rsid w:val="00281218"/>
    <w:rsid w:val="00281487"/>
    <w:rsid w:val="00281728"/>
    <w:rsid w:val="00281AC6"/>
    <w:rsid w:val="002822BE"/>
    <w:rsid w:val="002828F8"/>
    <w:rsid w:val="00282A26"/>
    <w:rsid w:val="00282C39"/>
    <w:rsid w:val="002830D4"/>
    <w:rsid w:val="002836A6"/>
    <w:rsid w:val="00284346"/>
    <w:rsid w:val="002846FE"/>
    <w:rsid w:val="0028494E"/>
    <w:rsid w:val="0028496B"/>
    <w:rsid w:val="00284D87"/>
    <w:rsid w:val="002851DE"/>
    <w:rsid w:val="0028530D"/>
    <w:rsid w:val="00285482"/>
    <w:rsid w:val="002854CC"/>
    <w:rsid w:val="002855CB"/>
    <w:rsid w:val="002857B4"/>
    <w:rsid w:val="00285873"/>
    <w:rsid w:val="00285874"/>
    <w:rsid w:val="00285C6F"/>
    <w:rsid w:val="00285DE1"/>
    <w:rsid w:val="00285FCC"/>
    <w:rsid w:val="002860B1"/>
    <w:rsid w:val="002861F5"/>
    <w:rsid w:val="0028645D"/>
    <w:rsid w:val="0028694F"/>
    <w:rsid w:val="00286CD5"/>
    <w:rsid w:val="00286FDF"/>
    <w:rsid w:val="00287208"/>
    <w:rsid w:val="00290015"/>
    <w:rsid w:val="00290B22"/>
    <w:rsid w:val="0029104F"/>
    <w:rsid w:val="002913BC"/>
    <w:rsid w:val="0029188C"/>
    <w:rsid w:val="002919AC"/>
    <w:rsid w:val="00291AA8"/>
    <w:rsid w:val="002921C2"/>
    <w:rsid w:val="002923D4"/>
    <w:rsid w:val="002924DF"/>
    <w:rsid w:val="002927CF"/>
    <w:rsid w:val="00292AE9"/>
    <w:rsid w:val="00292D26"/>
    <w:rsid w:val="00292D91"/>
    <w:rsid w:val="00292EEF"/>
    <w:rsid w:val="002931FB"/>
    <w:rsid w:val="0029337F"/>
    <w:rsid w:val="00293611"/>
    <w:rsid w:val="00293814"/>
    <w:rsid w:val="00293A28"/>
    <w:rsid w:val="00293A4C"/>
    <w:rsid w:val="00293C13"/>
    <w:rsid w:val="00293D33"/>
    <w:rsid w:val="00293D45"/>
    <w:rsid w:val="0029446A"/>
    <w:rsid w:val="002944D5"/>
    <w:rsid w:val="002945B9"/>
    <w:rsid w:val="00294683"/>
    <w:rsid w:val="00294BA2"/>
    <w:rsid w:val="00294CBD"/>
    <w:rsid w:val="00294F14"/>
    <w:rsid w:val="00295023"/>
    <w:rsid w:val="0029522C"/>
    <w:rsid w:val="002952B6"/>
    <w:rsid w:val="002952E2"/>
    <w:rsid w:val="00295F39"/>
    <w:rsid w:val="002960CE"/>
    <w:rsid w:val="00296738"/>
    <w:rsid w:val="002968E2"/>
    <w:rsid w:val="00296A3A"/>
    <w:rsid w:val="00296C23"/>
    <w:rsid w:val="00296D01"/>
    <w:rsid w:val="00297C76"/>
    <w:rsid w:val="00297DC1"/>
    <w:rsid w:val="00297E64"/>
    <w:rsid w:val="00297ED6"/>
    <w:rsid w:val="002A02DC"/>
    <w:rsid w:val="002A0810"/>
    <w:rsid w:val="002A0960"/>
    <w:rsid w:val="002A1447"/>
    <w:rsid w:val="002A1A9A"/>
    <w:rsid w:val="002A1EEE"/>
    <w:rsid w:val="002A21B4"/>
    <w:rsid w:val="002A3161"/>
    <w:rsid w:val="002A32BA"/>
    <w:rsid w:val="002A34C9"/>
    <w:rsid w:val="002A393F"/>
    <w:rsid w:val="002A3A64"/>
    <w:rsid w:val="002A4745"/>
    <w:rsid w:val="002A4E30"/>
    <w:rsid w:val="002A4F36"/>
    <w:rsid w:val="002A5488"/>
    <w:rsid w:val="002A565D"/>
    <w:rsid w:val="002A580C"/>
    <w:rsid w:val="002A5C95"/>
    <w:rsid w:val="002A6D40"/>
    <w:rsid w:val="002A6EDC"/>
    <w:rsid w:val="002A7528"/>
    <w:rsid w:val="002A79C6"/>
    <w:rsid w:val="002A7A2D"/>
    <w:rsid w:val="002B03FB"/>
    <w:rsid w:val="002B04B4"/>
    <w:rsid w:val="002B05F2"/>
    <w:rsid w:val="002B092B"/>
    <w:rsid w:val="002B0C12"/>
    <w:rsid w:val="002B13FC"/>
    <w:rsid w:val="002B1607"/>
    <w:rsid w:val="002B1774"/>
    <w:rsid w:val="002B1D6E"/>
    <w:rsid w:val="002B20D3"/>
    <w:rsid w:val="002B28EE"/>
    <w:rsid w:val="002B2B57"/>
    <w:rsid w:val="002B3165"/>
    <w:rsid w:val="002B376D"/>
    <w:rsid w:val="002B3D34"/>
    <w:rsid w:val="002B4330"/>
    <w:rsid w:val="002B4396"/>
    <w:rsid w:val="002B49D9"/>
    <w:rsid w:val="002B5FFA"/>
    <w:rsid w:val="002B610B"/>
    <w:rsid w:val="002B694F"/>
    <w:rsid w:val="002B69FB"/>
    <w:rsid w:val="002B6C7B"/>
    <w:rsid w:val="002B6CCE"/>
    <w:rsid w:val="002B6F20"/>
    <w:rsid w:val="002B704B"/>
    <w:rsid w:val="002B705E"/>
    <w:rsid w:val="002C0EBF"/>
    <w:rsid w:val="002C113D"/>
    <w:rsid w:val="002C16C6"/>
    <w:rsid w:val="002C18B9"/>
    <w:rsid w:val="002C1AA3"/>
    <w:rsid w:val="002C1DC3"/>
    <w:rsid w:val="002C1EDE"/>
    <w:rsid w:val="002C1FE7"/>
    <w:rsid w:val="002C2282"/>
    <w:rsid w:val="002C23EC"/>
    <w:rsid w:val="002C27B2"/>
    <w:rsid w:val="002C2A55"/>
    <w:rsid w:val="002C2D36"/>
    <w:rsid w:val="002C3129"/>
    <w:rsid w:val="002C33CC"/>
    <w:rsid w:val="002C39EF"/>
    <w:rsid w:val="002C413B"/>
    <w:rsid w:val="002C48A1"/>
    <w:rsid w:val="002C4C41"/>
    <w:rsid w:val="002C5392"/>
    <w:rsid w:val="002C64D3"/>
    <w:rsid w:val="002C65FD"/>
    <w:rsid w:val="002C67AB"/>
    <w:rsid w:val="002C7347"/>
    <w:rsid w:val="002C74AA"/>
    <w:rsid w:val="002C75CE"/>
    <w:rsid w:val="002C7781"/>
    <w:rsid w:val="002D0214"/>
    <w:rsid w:val="002D07CE"/>
    <w:rsid w:val="002D08EC"/>
    <w:rsid w:val="002D0C85"/>
    <w:rsid w:val="002D1236"/>
    <w:rsid w:val="002D16E0"/>
    <w:rsid w:val="002D19A2"/>
    <w:rsid w:val="002D1F47"/>
    <w:rsid w:val="002D257C"/>
    <w:rsid w:val="002D26BC"/>
    <w:rsid w:val="002D274C"/>
    <w:rsid w:val="002D2923"/>
    <w:rsid w:val="002D2AF9"/>
    <w:rsid w:val="002D2DB5"/>
    <w:rsid w:val="002D3905"/>
    <w:rsid w:val="002D402D"/>
    <w:rsid w:val="002D416E"/>
    <w:rsid w:val="002D51FB"/>
    <w:rsid w:val="002D5862"/>
    <w:rsid w:val="002D5EFB"/>
    <w:rsid w:val="002D6143"/>
    <w:rsid w:val="002D6329"/>
    <w:rsid w:val="002D70DC"/>
    <w:rsid w:val="002D733E"/>
    <w:rsid w:val="002D7665"/>
    <w:rsid w:val="002D7724"/>
    <w:rsid w:val="002D7A8F"/>
    <w:rsid w:val="002D7F09"/>
    <w:rsid w:val="002E0249"/>
    <w:rsid w:val="002E02DD"/>
    <w:rsid w:val="002E0654"/>
    <w:rsid w:val="002E08F5"/>
    <w:rsid w:val="002E0C68"/>
    <w:rsid w:val="002E0F84"/>
    <w:rsid w:val="002E10C6"/>
    <w:rsid w:val="002E1698"/>
    <w:rsid w:val="002E1D4F"/>
    <w:rsid w:val="002E1DCE"/>
    <w:rsid w:val="002E21B6"/>
    <w:rsid w:val="002E24D1"/>
    <w:rsid w:val="002E2688"/>
    <w:rsid w:val="002E32ED"/>
    <w:rsid w:val="002E3314"/>
    <w:rsid w:val="002E3568"/>
    <w:rsid w:val="002E3709"/>
    <w:rsid w:val="002E3A10"/>
    <w:rsid w:val="002E3BB6"/>
    <w:rsid w:val="002E3EDD"/>
    <w:rsid w:val="002E4627"/>
    <w:rsid w:val="002E46E8"/>
    <w:rsid w:val="002E4A75"/>
    <w:rsid w:val="002E4D21"/>
    <w:rsid w:val="002E5299"/>
    <w:rsid w:val="002E541A"/>
    <w:rsid w:val="002E54DA"/>
    <w:rsid w:val="002E5680"/>
    <w:rsid w:val="002E57E3"/>
    <w:rsid w:val="002E5EAF"/>
    <w:rsid w:val="002E63D1"/>
    <w:rsid w:val="002E65CD"/>
    <w:rsid w:val="002E6794"/>
    <w:rsid w:val="002E6979"/>
    <w:rsid w:val="002E7987"/>
    <w:rsid w:val="002E7D29"/>
    <w:rsid w:val="002E7E17"/>
    <w:rsid w:val="002F06B8"/>
    <w:rsid w:val="002F0BD5"/>
    <w:rsid w:val="002F0C89"/>
    <w:rsid w:val="002F1117"/>
    <w:rsid w:val="002F16BF"/>
    <w:rsid w:val="002F1893"/>
    <w:rsid w:val="002F1BD7"/>
    <w:rsid w:val="002F1E0C"/>
    <w:rsid w:val="002F1E24"/>
    <w:rsid w:val="002F2006"/>
    <w:rsid w:val="002F21CD"/>
    <w:rsid w:val="002F2559"/>
    <w:rsid w:val="002F2700"/>
    <w:rsid w:val="002F2ACA"/>
    <w:rsid w:val="002F2BCC"/>
    <w:rsid w:val="002F2E3D"/>
    <w:rsid w:val="002F321E"/>
    <w:rsid w:val="002F35C4"/>
    <w:rsid w:val="002F3741"/>
    <w:rsid w:val="002F3DC6"/>
    <w:rsid w:val="002F3FBE"/>
    <w:rsid w:val="002F41AF"/>
    <w:rsid w:val="002F41F0"/>
    <w:rsid w:val="002F44F0"/>
    <w:rsid w:val="002F5E36"/>
    <w:rsid w:val="002F62C3"/>
    <w:rsid w:val="002F6843"/>
    <w:rsid w:val="002F70D4"/>
    <w:rsid w:val="002F7B28"/>
    <w:rsid w:val="002F7EF4"/>
    <w:rsid w:val="002F7FCF"/>
    <w:rsid w:val="003000F0"/>
    <w:rsid w:val="00300A17"/>
    <w:rsid w:val="0030169C"/>
    <w:rsid w:val="00301BDA"/>
    <w:rsid w:val="00301CC4"/>
    <w:rsid w:val="00301E86"/>
    <w:rsid w:val="00302148"/>
    <w:rsid w:val="003022DE"/>
    <w:rsid w:val="00302646"/>
    <w:rsid w:val="0030362C"/>
    <w:rsid w:val="00303863"/>
    <w:rsid w:val="00303C5F"/>
    <w:rsid w:val="00303E6B"/>
    <w:rsid w:val="003042F1"/>
    <w:rsid w:val="00304849"/>
    <w:rsid w:val="00304A0A"/>
    <w:rsid w:val="00304E3B"/>
    <w:rsid w:val="0030584B"/>
    <w:rsid w:val="0030591C"/>
    <w:rsid w:val="00305CFE"/>
    <w:rsid w:val="003067C6"/>
    <w:rsid w:val="00306D21"/>
    <w:rsid w:val="00306D86"/>
    <w:rsid w:val="00307028"/>
    <w:rsid w:val="00307132"/>
    <w:rsid w:val="003071DC"/>
    <w:rsid w:val="0030742C"/>
    <w:rsid w:val="003078D5"/>
    <w:rsid w:val="00307BF2"/>
    <w:rsid w:val="00310086"/>
    <w:rsid w:val="00310175"/>
    <w:rsid w:val="003104CB"/>
    <w:rsid w:val="003105DE"/>
    <w:rsid w:val="003107DA"/>
    <w:rsid w:val="00310F4D"/>
    <w:rsid w:val="003116D0"/>
    <w:rsid w:val="00312333"/>
    <w:rsid w:val="00312416"/>
    <w:rsid w:val="003125FF"/>
    <w:rsid w:val="003126AB"/>
    <w:rsid w:val="0031297F"/>
    <w:rsid w:val="00312D59"/>
    <w:rsid w:val="003135DD"/>
    <w:rsid w:val="00313A68"/>
    <w:rsid w:val="00313B52"/>
    <w:rsid w:val="00313F40"/>
    <w:rsid w:val="00313FEC"/>
    <w:rsid w:val="003142E6"/>
    <w:rsid w:val="00314A43"/>
    <w:rsid w:val="0031545E"/>
    <w:rsid w:val="003158EE"/>
    <w:rsid w:val="00315F0E"/>
    <w:rsid w:val="00316464"/>
    <w:rsid w:val="00316BF3"/>
    <w:rsid w:val="00316EFC"/>
    <w:rsid w:val="00317126"/>
    <w:rsid w:val="00317170"/>
    <w:rsid w:val="003171B9"/>
    <w:rsid w:val="00317348"/>
    <w:rsid w:val="00317507"/>
    <w:rsid w:val="0031753D"/>
    <w:rsid w:val="0031764A"/>
    <w:rsid w:val="00317B5B"/>
    <w:rsid w:val="00317EFE"/>
    <w:rsid w:val="00320062"/>
    <w:rsid w:val="003201A2"/>
    <w:rsid w:val="003208F8"/>
    <w:rsid w:val="00320F3F"/>
    <w:rsid w:val="00320FB5"/>
    <w:rsid w:val="0032119F"/>
    <w:rsid w:val="00321242"/>
    <w:rsid w:val="003213C4"/>
    <w:rsid w:val="0032171F"/>
    <w:rsid w:val="003217B4"/>
    <w:rsid w:val="003219A7"/>
    <w:rsid w:val="00321A23"/>
    <w:rsid w:val="00321B52"/>
    <w:rsid w:val="00322873"/>
    <w:rsid w:val="003229D2"/>
    <w:rsid w:val="00322AC2"/>
    <w:rsid w:val="00322BC0"/>
    <w:rsid w:val="00322C10"/>
    <w:rsid w:val="00323115"/>
    <w:rsid w:val="003231D3"/>
    <w:rsid w:val="0032361C"/>
    <w:rsid w:val="003237B5"/>
    <w:rsid w:val="0032382D"/>
    <w:rsid w:val="003239A1"/>
    <w:rsid w:val="003239AB"/>
    <w:rsid w:val="00323CDD"/>
    <w:rsid w:val="00323FC3"/>
    <w:rsid w:val="00324285"/>
    <w:rsid w:val="003242B7"/>
    <w:rsid w:val="00324300"/>
    <w:rsid w:val="00324476"/>
    <w:rsid w:val="00324836"/>
    <w:rsid w:val="003248F2"/>
    <w:rsid w:val="00324A27"/>
    <w:rsid w:val="0032537C"/>
    <w:rsid w:val="00325DC0"/>
    <w:rsid w:val="00325E26"/>
    <w:rsid w:val="00325F38"/>
    <w:rsid w:val="00326054"/>
    <w:rsid w:val="003260F3"/>
    <w:rsid w:val="00326112"/>
    <w:rsid w:val="0032628E"/>
    <w:rsid w:val="00326606"/>
    <w:rsid w:val="0032673A"/>
    <w:rsid w:val="00326CEC"/>
    <w:rsid w:val="00326CFC"/>
    <w:rsid w:val="00326F6F"/>
    <w:rsid w:val="003272E0"/>
    <w:rsid w:val="003273DD"/>
    <w:rsid w:val="003276FF"/>
    <w:rsid w:val="0032790E"/>
    <w:rsid w:val="00327972"/>
    <w:rsid w:val="00327EA6"/>
    <w:rsid w:val="003302B3"/>
    <w:rsid w:val="00330D56"/>
    <w:rsid w:val="00330D65"/>
    <w:rsid w:val="00330F83"/>
    <w:rsid w:val="00331B28"/>
    <w:rsid w:val="00331BE8"/>
    <w:rsid w:val="00331E8F"/>
    <w:rsid w:val="003324C5"/>
    <w:rsid w:val="00332786"/>
    <w:rsid w:val="003328C4"/>
    <w:rsid w:val="00332B52"/>
    <w:rsid w:val="00332D1D"/>
    <w:rsid w:val="0033353C"/>
    <w:rsid w:val="003335E8"/>
    <w:rsid w:val="003336EA"/>
    <w:rsid w:val="003337A8"/>
    <w:rsid w:val="00333AB9"/>
    <w:rsid w:val="00333F69"/>
    <w:rsid w:val="0033423A"/>
    <w:rsid w:val="00334694"/>
    <w:rsid w:val="00334801"/>
    <w:rsid w:val="0033489D"/>
    <w:rsid w:val="00334A45"/>
    <w:rsid w:val="00334D43"/>
    <w:rsid w:val="00334FE4"/>
    <w:rsid w:val="003353A4"/>
    <w:rsid w:val="0033573C"/>
    <w:rsid w:val="00335C82"/>
    <w:rsid w:val="00335D52"/>
    <w:rsid w:val="00335F84"/>
    <w:rsid w:val="0033604C"/>
    <w:rsid w:val="0033641B"/>
    <w:rsid w:val="00336776"/>
    <w:rsid w:val="00336FF6"/>
    <w:rsid w:val="0033707F"/>
    <w:rsid w:val="003372B3"/>
    <w:rsid w:val="003374FE"/>
    <w:rsid w:val="00337D4A"/>
    <w:rsid w:val="003402DA"/>
    <w:rsid w:val="0034163F"/>
    <w:rsid w:val="00341796"/>
    <w:rsid w:val="003418F1"/>
    <w:rsid w:val="003420D4"/>
    <w:rsid w:val="00342130"/>
    <w:rsid w:val="003428BE"/>
    <w:rsid w:val="00342F82"/>
    <w:rsid w:val="0034321C"/>
    <w:rsid w:val="003433CA"/>
    <w:rsid w:val="003437AA"/>
    <w:rsid w:val="003437F1"/>
    <w:rsid w:val="00343A91"/>
    <w:rsid w:val="00343E47"/>
    <w:rsid w:val="003443F9"/>
    <w:rsid w:val="003444D4"/>
    <w:rsid w:val="00344C96"/>
    <w:rsid w:val="00344FC7"/>
    <w:rsid w:val="003457AE"/>
    <w:rsid w:val="00345D38"/>
    <w:rsid w:val="00345DE3"/>
    <w:rsid w:val="003468BC"/>
    <w:rsid w:val="00346C64"/>
    <w:rsid w:val="00347796"/>
    <w:rsid w:val="00347915"/>
    <w:rsid w:val="00347A0F"/>
    <w:rsid w:val="00347E7A"/>
    <w:rsid w:val="00350082"/>
    <w:rsid w:val="00350229"/>
    <w:rsid w:val="003508DB"/>
    <w:rsid w:val="00350CF1"/>
    <w:rsid w:val="00351197"/>
    <w:rsid w:val="0035138C"/>
    <w:rsid w:val="00351691"/>
    <w:rsid w:val="00351A62"/>
    <w:rsid w:val="0035222D"/>
    <w:rsid w:val="0035230C"/>
    <w:rsid w:val="003528CD"/>
    <w:rsid w:val="00352AE8"/>
    <w:rsid w:val="00352B15"/>
    <w:rsid w:val="0035369D"/>
    <w:rsid w:val="00353E44"/>
    <w:rsid w:val="00354440"/>
    <w:rsid w:val="00354723"/>
    <w:rsid w:val="00354974"/>
    <w:rsid w:val="00354C8B"/>
    <w:rsid w:val="0035591F"/>
    <w:rsid w:val="00355A82"/>
    <w:rsid w:val="00355CBB"/>
    <w:rsid w:val="0035614F"/>
    <w:rsid w:val="00356A8F"/>
    <w:rsid w:val="00357431"/>
    <w:rsid w:val="0035771D"/>
    <w:rsid w:val="003578AE"/>
    <w:rsid w:val="00357A59"/>
    <w:rsid w:val="003607D2"/>
    <w:rsid w:val="003608B7"/>
    <w:rsid w:val="00360A80"/>
    <w:rsid w:val="00360C4D"/>
    <w:rsid w:val="00360CBB"/>
    <w:rsid w:val="00360F50"/>
    <w:rsid w:val="0036133C"/>
    <w:rsid w:val="00361B98"/>
    <w:rsid w:val="00361C25"/>
    <w:rsid w:val="00361C72"/>
    <w:rsid w:val="00361F64"/>
    <w:rsid w:val="0036242D"/>
    <w:rsid w:val="0036252B"/>
    <w:rsid w:val="003626C5"/>
    <w:rsid w:val="00362944"/>
    <w:rsid w:val="00362A44"/>
    <w:rsid w:val="00362DD1"/>
    <w:rsid w:val="00362E67"/>
    <w:rsid w:val="00363270"/>
    <w:rsid w:val="00363B30"/>
    <w:rsid w:val="00364161"/>
    <w:rsid w:val="003645FF"/>
    <w:rsid w:val="0036484D"/>
    <w:rsid w:val="003649F4"/>
    <w:rsid w:val="00364BCE"/>
    <w:rsid w:val="003651AE"/>
    <w:rsid w:val="00365291"/>
    <w:rsid w:val="00365584"/>
    <w:rsid w:val="00365A2B"/>
    <w:rsid w:val="00365BE5"/>
    <w:rsid w:val="00365E02"/>
    <w:rsid w:val="00366E2F"/>
    <w:rsid w:val="00367053"/>
    <w:rsid w:val="00367725"/>
    <w:rsid w:val="00367EFA"/>
    <w:rsid w:val="00367FE4"/>
    <w:rsid w:val="0037061F"/>
    <w:rsid w:val="00370ACA"/>
    <w:rsid w:val="00370BF4"/>
    <w:rsid w:val="00371558"/>
    <w:rsid w:val="00371583"/>
    <w:rsid w:val="003715CC"/>
    <w:rsid w:val="00371705"/>
    <w:rsid w:val="00371F87"/>
    <w:rsid w:val="00372620"/>
    <w:rsid w:val="00372713"/>
    <w:rsid w:val="00372F22"/>
    <w:rsid w:val="00373817"/>
    <w:rsid w:val="00373A4C"/>
    <w:rsid w:val="00373ABA"/>
    <w:rsid w:val="00373FD7"/>
    <w:rsid w:val="00373FFA"/>
    <w:rsid w:val="003740F6"/>
    <w:rsid w:val="00374499"/>
    <w:rsid w:val="003744DF"/>
    <w:rsid w:val="00374563"/>
    <w:rsid w:val="00374EF9"/>
    <w:rsid w:val="003750DE"/>
    <w:rsid w:val="003752FF"/>
    <w:rsid w:val="00376428"/>
    <w:rsid w:val="0037693C"/>
    <w:rsid w:val="00376B94"/>
    <w:rsid w:val="00376E28"/>
    <w:rsid w:val="00376FB0"/>
    <w:rsid w:val="00376FB1"/>
    <w:rsid w:val="00377076"/>
    <w:rsid w:val="003773B1"/>
    <w:rsid w:val="003778A4"/>
    <w:rsid w:val="00377BDB"/>
    <w:rsid w:val="00377CA6"/>
    <w:rsid w:val="0038038E"/>
    <w:rsid w:val="003803B8"/>
    <w:rsid w:val="00380A81"/>
    <w:rsid w:val="00380B55"/>
    <w:rsid w:val="00380CA7"/>
    <w:rsid w:val="00380D59"/>
    <w:rsid w:val="003812EB"/>
    <w:rsid w:val="00381574"/>
    <w:rsid w:val="003815BA"/>
    <w:rsid w:val="00381B1C"/>
    <w:rsid w:val="00381F85"/>
    <w:rsid w:val="0038204A"/>
    <w:rsid w:val="003821BB"/>
    <w:rsid w:val="003821FD"/>
    <w:rsid w:val="00382BAD"/>
    <w:rsid w:val="003832DD"/>
    <w:rsid w:val="003832E6"/>
    <w:rsid w:val="00383374"/>
    <w:rsid w:val="00383384"/>
    <w:rsid w:val="00383628"/>
    <w:rsid w:val="003838B1"/>
    <w:rsid w:val="00383B11"/>
    <w:rsid w:val="00383BF5"/>
    <w:rsid w:val="00383D21"/>
    <w:rsid w:val="003842FD"/>
    <w:rsid w:val="0038439F"/>
    <w:rsid w:val="003843E5"/>
    <w:rsid w:val="003845E2"/>
    <w:rsid w:val="00384AA1"/>
    <w:rsid w:val="0038521A"/>
    <w:rsid w:val="0038540D"/>
    <w:rsid w:val="00385443"/>
    <w:rsid w:val="0038562D"/>
    <w:rsid w:val="0038578F"/>
    <w:rsid w:val="0038591C"/>
    <w:rsid w:val="00385A8A"/>
    <w:rsid w:val="00385AA4"/>
    <w:rsid w:val="00385E76"/>
    <w:rsid w:val="00386687"/>
    <w:rsid w:val="00386AB9"/>
    <w:rsid w:val="00386B2E"/>
    <w:rsid w:val="00386C0D"/>
    <w:rsid w:val="00386C44"/>
    <w:rsid w:val="00386EB9"/>
    <w:rsid w:val="00387172"/>
    <w:rsid w:val="0038742E"/>
    <w:rsid w:val="003877EE"/>
    <w:rsid w:val="003877F8"/>
    <w:rsid w:val="00387A1F"/>
    <w:rsid w:val="00387A7C"/>
    <w:rsid w:val="00387C70"/>
    <w:rsid w:val="003903DA"/>
    <w:rsid w:val="00390B02"/>
    <w:rsid w:val="00390C3B"/>
    <w:rsid w:val="00391105"/>
    <w:rsid w:val="003913A9"/>
    <w:rsid w:val="00391592"/>
    <w:rsid w:val="003915C1"/>
    <w:rsid w:val="00391662"/>
    <w:rsid w:val="00391685"/>
    <w:rsid w:val="00391A5D"/>
    <w:rsid w:val="0039231C"/>
    <w:rsid w:val="00392901"/>
    <w:rsid w:val="0039291B"/>
    <w:rsid w:val="00392A35"/>
    <w:rsid w:val="00392FBC"/>
    <w:rsid w:val="00393B0F"/>
    <w:rsid w:val="0039434C"/>
    <w:rsid w:val="003944E9"/>
    <w:rsid w:val="00394651"/>
    <w:rsid w:val="003950EB"/>
    <w:rsid w:val="003956FE"/>
    <w:rsid w:val="00395B15"/>
    <w:rsid w:val="00395B22"/>
    <w:rsid w:val="00395F96"/>
    <w:rsid w:val="0039600B"/>
    <w:rsid w:val="003963D3"/>
    <w:rsid w:val="0039656F"/>
    <w:rsid w:val="00396C8A"/>
    <w:rsid w:val="00396CA1"/>
    <w:rsid w:val="0039720D"/>
    <w:rsid w:val="0039785A"/>
    <w:rsid w:val="00397ABD"/>
    <w:rsid w:val="00397DCA"/>
    <w:rsid w:val="00397E32"/>
    <w:rsid w:val="003A0269"/>
    <w:rsid w:val="003A039A"/>
    <w:rsid w:val="003A068A"/>
    <w:rsid w:val="003A07D6"/>
    <w:rsid w:val="003A0AC1"/>
    <w:rsid w:val="003A0C29"/>
    <w:rsid w:val="003A114A"/>
    <w:rsid w:val="003A17C6"/>
    <w:rsid w:val="003A1D73"/>
    <w:rsid w:val="003A1ED3"/>
    <w:rsid w:val="003A2404"/>
    <w:rsid w:val="003A2579"/>
    <w:rsid w:val="003A3785"/>
    <w:rsid w:val="003A3C7C"/>
    <w:rsid w:val="003A3DAD"/>
    <w:rsid w:val="003A4551"/>
    <w:rsid w:val="003A4605"/>
    <w:rsid w:val="003A4774"/>
    <w:rsid w:val="003A48C9"/>
    <w:rsid w:val="003A49AC"/>
    <w:rsid w:val="003A4A4C"/>
    <w:rsid w:val="003A4BB0"/>
    <w:rsid w:val="003A5A60"/>
    <w:rsid w:val="003A5B2F"/>
    <w:rsid w:val="003A5EC0"/>
    <w:rsid w:val="003A6471"/>
    <w:rsid w:val="003A6689"/>
    <w:rsid w:val="003A67C4"/>
    <w:rsid w:val="003A692A"/>
    <w:rsid w:val="003A6C3A"/>
    <w:rsid w:val="003A6C68"/>
    <w:rsid w:val="003A78CA"/>
    <w:rsid w:val="003A7B8D"/>
    <w:rsid w:val="003B0497"/>
    <w:rsid w:val="003B0837"/>
    <w:rsid w:val="003B0C4C"/>
    <w:rsid w:val="003B10F9"/>
    <w:rsid w:val="003B1200"/>
    <w:rsid w:val="003B135D"/>
    <w:rsid w:val="003B1457"/>
    <w:rsid w:val="003B1550"/>
    <w:rsid w:val="003B1909"/>
    <w:rsid w:val="003B190A"/>
    <w:rsid w:val="003B1D5C"/>
    <w:rsid w:val="003B1F26"/>
    <w:rsid w:val="003B2112"/>
    <w:rsid w:val="003B22B3"/>
    <w:rsid w:val="003B2478"/>
    <w:rsid w:val="003B24D9"/>
    <w:rsid w:val="003B257F"/>
    <w:rsid w:val="003B276E"/>
    <w:rsid w:val="003B3670"/>
    <w:rsid w:val="003B399D"/>
    <w:rsid w:val="003B3AE7"/>
    <w:rsid w:val="003B3B75"/>
    <w:rsid w:val="003B427D"/>
    <w:rsid w:val="003B4830"/>
    <w:rsid w:val="003B5517"/>
    <w:rsid w:val="003B55C0"/>
    <w:rsid w:val="003B588F"/>
    <w:rsid w:val="003B5C31"/>
    <w:rsid w:val="003B5C34"/>
    <w:rsid w:val="003B5DF8"/>
    <w:rsid w:val="003B633F"/>
    <w:rsid w:val="003B63A7"/>
    <w:rsid w:val="003B6B11"/>
    <w:rsid w:val="003B6E24"/>
    <w:rsid w:val="003B6FB5"/>
    <w:rsid w:val="003B7011"/>
    <w:rsid w:val="003B7B9C"/>
    <w:rsid w:val="003C02EB"/>
    <w:rsid w:val="003C03AC"/>
    <w:rsid w:val="003C13E0"/>
    <w:rsid w:val="003C172F"/>
    <w:rsid w:val="003C1D33"/>
    <w:rsid w:val="003C1E17"/>
    <w:rsid w:val="003C1E71"/>
    <w:rsid w:val="003C1E9B"/>
    <w:rsid w:val="003C1FFA"/>
    <w:rsid w:val="003C21C6"/>
    <w:rsid w:val="003C28E8"/>
    <w:rsid w:val="003C2AFC"/>
    <w:rsid w:val="003C2E48"/>
    <w:rsid w:val="003C3939"/>
    <w:rsid w:val="003C3ADE"/>
    <w:rsid w:val="003C3C93"/>
    <w:rsid w:val="003C4038"/>
    <w:rsid w:val="003C4363"/>
    <w:rsid w:val="003C4527"/>
    <w:rsid w:val="003C454D"/>
    <w:rsid w:val="003C4D67"/>
    <w:rsid w:val="003C5007"/>
    <w:rsid w:val="003C5031"/>
    <w:rsid w:val="003C51C7"/>
    <w:rsid w:val="003C51EC"/>
    <w:rsid w:val="003C5213"/>
    <w:rsid w:val="003C58F5"/>
    <w:rsid w:val="003C5B9D"/>
    <w:rsid w:val="003C619F"/>
    <w:rsid w:val="003C63E1"/>
    <w:rsid w:val="003C6936"/>
    <w:rsid w:val="003C6942"/>
    <w:rsid w:val="003C6C3D"/>
    <w:rsid w:val="003C6E79"/>
    <w:rsid w:val="003C6EE2"/>
    <w:rsid w:val="003C72B4"/>
    <w:rsid w:val="003C75D1"/>
    <w:rsid w:val="003C7BA1"/>
    <w:rsid w:val="003C7C3F"/>
    <w:rsid w:val="003D009C"/>
    <w:rsid w:val="003D011A"/>
    <w:rsid w:val="003D016A"/>
    <w:rsid w:val="003D04AC"/>
    <w:rsid w:val="003D0720"/>
    <w:rsid w:val="003D0888"/>
    <w:rsid w:val="003D0A98"/>
    <w:rsid w:val="003D0B1D"/>
    <w:rsid w:val="003D0B48"/>
    <w:rsid w:val="003D0F98"/>
    <w:rsid w:val="003D15CD"/>
    <w:rsid w:val="003D1B13"/>
    <w:rsid w:val="003D1E52"/>
    <w:rsid w:val="003D1EC7"/>
    <w:rsid w:val="003D2458"/>
    <w:rsid w:val="003D2D2D"/>
    <w:rsid w:val="003D3193"/>
    <w:rsid w:val="003D3840"/>
    <w:rsid w:val="003D3FDD"/>
    <w:rsid w:val="003D4195"/>
    <w:rsid w:val="003D4654"/>
    <w:rsid w:val="003D46D6"/>
    <w:rsid w:val="003D46F8"/>
    <w:rsid w:val="003D4D31"/>
    <w:rsid w:val="003D4D48"/>
    <w:rsid w:val="003D4E4C"/>
    <w:rsid w:val="003D5010"/>
    <w:rsid w:val="003D58EF"/>
    <w:rsid w:val="003D59A8"/>
    <w:rsid w:val="003D5D0A"/>
    <w:rsid w:val="003D6AB9"/>
    <w:rsid w:val="003D6B97"/>
    <w:rsid w:val="003D731A"/>
    <w:rsid w:val="003D7DFB"/>
    <w:rsid w:val="003D7E4C"/>
    <w:rsid w:val="003E01B5"/>
    <w:rsid w:val="003E01F6"/>
    <w:rsid w:val="003E020A"/>
    <w:rsid w:val="003E0993"/>
    <w:rsid w:val="003E14BD"/>
    <w:rsid w:val="003E1974"/>
    <w:rsid w:val="003E1B72"/>
    <w:rsid w:val="003E1B7A"/>
    <w:rsid w:val="003E2044"/>
    <w:rsid w:val="003E27BD"/>
    <w:rsid w:val="003E281D"/>
    <w:rsid w:val="003E2A59"/>
    <w:rsid w:val="003E2AEC"/>
    <w:rsid w:val="003E2CAB"/>
    <w:rsid w:val="003E32CC"/>
    <w:rsid w:val="003E36D6"/>
    <w:rsid w:val="003E3704"/>
    <w:rsid w:val="003E37DD"/>
    <w:rsid w:val="003E398D"/>
    <w:rsid w:val="003E3A02"/>
    <w:rsid w:val="003E3D63"/>
    <w:rsid w:val="003E3D99"/>
    <w:rsid w:val="003E4045"/>
    <w:rsid w:val="003E4570"/>
    <w:rsid w:val="003E464E"/>
    <w:rsid w:val="003E4917"/>
    <w:rsid w:val="003E518B"/>
    <w:rsid w:val="003E52D7"/>
    <w:rsid w:val="003E5695"/>
    <w:rsid w:val="003E582E"/>
    <w:rsid w:val="003E59E7"/>
    <w:rsid w:val="003E5AC6"/>
    <w:rsid w:val="003E5BCC"/>
    <w:rsid w:val="003E5D76"/>
    <w:rsid w:val="003E5F55"/>
    <w:rsid w:val="003E68B6"/>
    <w:rsid w:val="003E68E1"/>
    <w:rsid w:val="003E6C12"/>
    <w:rsid w:val="003E6CEB"/>
    <w:rsid w:val="003E78B4"/>
    <w:rsid w:val="003E7CF5"/>
    <w:rsid w:val="003E7D5A"/>
    <w:rsid w:val="003E7E16"/>
    <w:rsid w:val="003F0534"/>
    <w:rsid w:val="003F0685"/>
    <w:rsid w:val="003F1110"/>
    <w:rsid w:val="003F15F0"/>
    <w:rsid w:val="003F18E0"/>
    <w:rsid w:val="003F1E69"/>
    <w:rsid w:val="003F1E6E"/>
    <w:rsid w:val="003F1EFC"/>
    <w:rsid w:val="003F3754"/>
    <w:rsid w:val="003F425B"/>
    <w:rsid w:val="003F428B"/>
    <w:rsid w:val="003F4878"/>
    <w:rsid w:val="003F4DB7"/>
    <w:rsid w:val="003F5202"/>
    <w:rsid w:val="003F57C5"/>
    <w:rsid w:val="003F5916"/>
    <w:rsid w:val="003F5DCD"/>
    <w:rsid w:val="003F5F15"/>
    <w:rsid w:val="003F6636"/>
    <w:rsid w:val="003F669B"/>
    <w:rsid w:val="003F6A49"/>
    <w:rsid w:val="003F70BB"/>
    <w:rsid w:val="003F72BF"/>
    <w:rsid w:val="003F731C"/>
    <w:rsid w:val="003F7417"/>
    <w:rsid w:val="003F7859"/>
    <w:rsid w:val="003F7C0E"/>
    <w:rsid w:val="003F7DD2"/>
    <w:rsid w:val="00400B40"/>
    <w:rsid w:val="00401108"/>
    <w:rsid w:val="00401546"/>
    <w:rsid w:val="00401DE0"/>
    <w:rsid w:val="00401E4A"/>
    <w:rsid w:val="004022DC"/>
    <w:rsid w:val="004023B5"/>
    <w:rsid w:val="00403059"/>
    <w:rsid w:val="00403060"/>
    <w:rsid w:val="004032EE"/>
    <w:rsid w:val="00403A11"/>
    <w:rsid w:val="00403C3B"/>
    <w:rsid w:val="00403CC1"/>
    <w:rsid w:val="00403E7E"/>
    <w:rsid w:val="00404405"/>
    <w:rsid w:val="00404857"/>
    <w:rsid w:val="004048B9"/>
    <w:rsid w:val="00404941"/>
    <w:rsid w:val="00404C6B"/>
    <w:rsid w:val="00404D66"/>
    <w:rsid w:val="0040590E"/>
    <w:rsid w:val="0040598D"/>
    <w:rsid w:val="00405DBF"/>
    <w:rsid w:val="00405EA9"/>
    <w:rsid w:val="00405FB1"/>
    <w:rsid w:val="00406133"/>
    <w:rsid w:val="00406361"/>
    <w:rsid w:val="004065D4"/>
    <w:rsid w:val="00406820"/>
    <w:rsid w:val="00406CBC"/>
    <w:rsid w:val="00406CCC"/>
    <w:rsid w:val="00406FBB"/>
    <w:rsid w:val="0040746A"/>
    <w:rsid w:val="004074E7"/>
    <w:rsid w:val="00407948"/>
    <w:rsid w:val="00407B9A"/>
    <w:rsid w:val="00407F6B"/>
    <w:rsid w:val="004106A9"/>
    <w:rsid w:val="004108EA"/>
    <w:rsid w:val="00410FA9"/>
    <w:rsid w:val="00411120"/>
    <w:rsid w:val="00411438"/>
    <w:rsid w:val="0041149E"/>
    <w:rsid w:val="00411FD9"/>
    <w:rsid w:val="00412217"/>
    <w:rsid w:val="00412323"/>
    <w:rsid w:val="0041260A"/>
    <w:rsid w:val="00412665"/>
    <w:rsid w:val="004129CA"/>
    <w:rsid w:val="00412CF3"/>
    <w:rsid w:val="00412D53"/>
    <w:rsid w:val="004139D7"/>
    <w:rsid w:val="00413E13"/>
    <w:rsid w:val="00413E74"/>
    <w:rsid w:val="00414194"/>
    <w:rsid w:val="0041433D"/>
    <w:rsid w:val="0041441A"/>
    <w:rsid w:val="00414892"/>
    <w:rsid w:val="00414BC5"/>
    <w:rsid w:val="00414FFA"/>
    <w:rsid w:val="00415059"/>
    <w:rsid w:val="00415114"/>
    <w:rsid w:val="00415404"/>
    <w:rsid w:val="00415482"/>
    <w:rsid w:val="004154A7"/>
    <w:rsid w:val="004155A4"/>
    <w:rsid w:val="00415869"/>
    <w:rsid w:val="0041720A"/>
    <w:rsid w:val="0041743C"/>
    <w:rsid w:val="00417A5D"/>
    <w:rsid w:val="0042003D"/>
    <w:rsid w:val="00420045"/>
    <w:rsid w:val="00420521"/>
    <w:rsid w:val="004207CC"/>
    <w:rsid w:val="00420AE9"/>
    <w:rsid w:val="00420CD8"/>
    <w:rsid w:val="00421472"/>
    <w:rsid w:val="00421856"/>
    <w:rsid w:val="0042279A"/>
    <w:rsid w:val="00422D4B"/>
    <w:rsid w:val="00423144"/>
    <w:rsid w:val="004234A9"/>
    <w:rsid w:val="004237EC"/>
    <w:rsid w:val="00423E38"/>
    <w:rsid w:val="00423F6A"/>
    <w:rsid w:val="004241BF"/>
    <w:rsid w:val="004243AA"/>
    <w:rsid w:val="00424DB5"/>
    <w:rsid w:val="00424DE3"/>
    <w:rsid w:val="0042571E"/>
    <w:rsid w:val="00425A9A"/>
    <w:rsid w:val="00425CDB"/>
    <w:rsid w:val="004267D9"/>
    <w:rsid w:val="00426927"/>
    <w:rsid w:val="00426A56"/>
    <w:rsid w:val="00426B2B"/>
    <w:rsid w:val="00426B9F"/>
    <w:rsid w:val="00426D1A"/>
    <w:rsid w:val="00426F4E"/>
    <w:rsid w:val="00427042"/>
    <w:rsid w:val="004271E1"/>
    <w:rsid w:val="00427255"/>
    <w:rsid w:val="004272F0"/>
    <w:rsid w:val="00427399"/>
    <w:rsid w:val="004279BB"/>
    <w:rsid w:val="00427BBE"/>
    <w:rsid w:val="00430008"/>
    <w:rsid w:val="004302F7"/>
    <w:rsid w:val="00430B70"/>
    <w:rsid w:val="00430CE0"/>
    <w:rsid w:val="00430DB7"/>
    <w:rsid w:val="004311AB"/>
    <w:rsid w:val="00431285"/>
    <w:rsid w:val="00431438"/>
    <w:rsid w:val="00431AC6"/>
    <w:rsid w:val="004320B7"/>
    <w:rsid w:val="004324F4"/>
    <w:rsid w:val="00432772"/>
    <w:rsid w:val="00433258"/>
    <w:rsid w:val="00433314"/>
    <w:rsid w:val="00433A79"/>
    <w:rsid w:val="00433B0B"/>
    <w:rsid w:val="00433DDE"/>
    <w:rsid w:val="00433E48"/>
    <w:rsid w:val="004341D6"/>
    <w:rsid w:val="004342FA"/>
    <w:rsid w:val="004354C0"/>
    <w:rsid w:val="004355AD"/>
    <w:rsid w:val="0043595F"/>
    <w:rsid w:val="00436B05"/>
    <w:rsid w:val="00436FAF"/>
    <w:rsid w:val="0043702C"/>
    <w:rsid w:val="0043784A"/>
    <w:rsid w:val="00437CDE"/>
    <w:rsid w:val="00437E13"/>
    <w:rsid w:val="00437EA3"/>
    <w:rsid w:val="00437ED5"/>
    <w:rsid w:val="0044065F"/>
    <w:rsid w:val="00440766"/>
    <w:rsid w:val="00440AEE"/>
    <w:rsid w:val="00441237"/>
    <w:rsid w:val="00441260"/>
    <w:rsid w:val="004419B7"/>
    <w:rsid w:val="00441F18"/>
    <w:rsid w:val="0044289D"/>
    <w:rsid w:val="004429E3"/>
    <w:rsid w:val="00442A08"/>
    <w:rsid w:val="00442A29"/>
    <w:rsid w:val="00442D3D"/>
    <w:rsid w:val="00443056"/>
    <w:rsid w:val="00443094"/>
    <w:rsid w:val="004431E8"/>
    <w:rsid w:val="00443A63"/>
    <w:rsid w:val="00443B81"/>
    <w:rsid w:val="0044415F"/>
    <w:rsid w:val="004442F2"/>
    <w:rsid w:val="004443A4"/>
    <w:rsid w:val="004445AC"/>
    <w:rsid w:val="00444BAA"/>
    <w:rsid w:val="0044503E"/>
    <w:rsid w:val="00445276"/>
    <w:rsid w:val="0044549F"/>
    <w:rsid w:val="00445617"/>
    <w:rsid w:val="0044587D"/>
    <w:rsid w:val="00445C9E"/>
    <w:rsid w:val="00445D6D"/>
    <w:rsid w:val="00446832"/>
    <w:rsid w:val="0044690A"/>
    <w:rsid w:val="00446C10"/>
    <w:rsid w:val="0044736E"/>
    <w:rsid w:val="00447C6C"/>
    <w:rsid w:val="004501CB"/>
    <w:rsid w:val="00450246"/>
    <w:rsid w:val="004505F4"/>
    <w:rsid w:val="0045067C"/>
    <w:rsid w:val="00450D8D"/>
    <w:rsid w:val="004510AF"/>
    <w:rsid w:val="00451400"/>
    <w:rsid w:val="00451434"/>
    <w:rsid w:val="00451E86"/>
    <w:rsid w:val="00451F5D"/>
    <w:rsid w:val="00451F65"/>
    <w:rsid w:val="00452531"/>
    <w:rsid w:val="00452943"/>
    <w:rsid w:val="00452956"/>
    <w:rsid w:val="00452CCA"/>
    <w:rsid w:val="00452E60"/>
    <w:rsid w:val="00453090"/>
    <w:rsid w:val="004539B2"/>
    <w:rsid w:val="00453AC6"/>
    <w:rsid w:val="00453E18"/>
    <w:rsid w:val="00453E2E"/>
    <w:rsid w:val="00453F48"/>
    <w:rsid w:val="004542FC"/>
    <w:rsid w:val="0045453C"/>
    <w:rsid w:val="004545BE"/>
    <w:rsid w:val="00454DDA"/>
    <w:rsid w:val="004559DB"/>
    <w:rsid w:val="00456019"/>
    <w:rsid w:val="0045641D"/>
    <w:rsid w:val="00456656"/>
    <w:rsid w:val="00456CE8"/>
    <w:rsid w:val="00456D5F"/>
    <w:rsid w:val="004578AB"/>
    <w:rsid w:val="00457F39"/>
    <w:rsid w:val="0046013E"/>
    <w:rsid w:val="004601B4"/>
    <w:rsid w:val="00460793"/>
    <w:rsid w:val="00460A26"/>
    <w:rsid w:val="00460FF7"/>
    <w:rsid w:val="004617E2"/>
    <w:rsid w:val="004618A0"/>
    <w:rsid w:val="004619DD"/>
    <w:rsid w:val="004622A5"/>
    <w:rsid w:val="0046231F"/>
    <w:rsid w:val="00462457"/>
    <w:rsid w:val="004625DB"/>
    <w:rsid w:val="004626F8"/>
    <w:rsid w:val="00462DFD"/>
    <w:rsid w:val="00462F1F"/>
    <w:rsid w:val="00462F33"/>
    <w:rsid w:val="00463163"/>
    <w:rsid w:val="00463470"/>
    <w:rsid w:val="00463ABA"/>
    <w:rsid w:val="00463C36"/>
    <w:rsid w:val="00463E6D"/>
    <w:rsid w:val="00463EA6"/>
    <w:rsid w:val="00464917"/>
    <w:rsid w:val="0046499B"/>
    <w:rsid w:val="004649BC"/>
    <w:rsid w:val="00464B84"/>
    <w:rsid w:val="0046566B"/>
    <w:rsid w:val="004658BA"/>
    <w:rsid w:val="00466292"/>
    <w:rsid w:val="004663A2"/>
    <w:rsid w:val="0046646B"/>
    <w:rsid w:val="00466620"/>
    <w:rsid w:val="004666BA"/>
    <w:rsid w:val="004671ED"/>
    <w:rsid w:val="00467615"/>
    <w:rsid w:val="00467B5F"/>
    <w:rsid w:val="00470103"/>
    <w:rsid w:val="004705D8"/>
    <w:rsid w:val="00470861"/>
    <w:rsid w:val="00470881"/>
    <w:rsid w:val="004715AC"/>
    <w:rsid w:val="004715D2"/>
    <w:rsid w:val="004716E6"/>
    <w:rsid w:val="004717C3"/>
    <w:rsid w:val="004723AC"/>
    <w:rsid w:val="00472522"/>
    <w:rsid w:val="00472EB0"/>
    <w:rsid w:val="00472ED0"/>
    <w:rsid w:val="00473379"/>
    <w:rsid w:val="004733DF"/>
    <w:rsid w:val="00473786"/>
    <w:rsid w:val="004739D0"/>
    <w:rsid w:val="00473BF7"/>
    <w:rsid w:val="00473DD7"/>
    <w:rsid w:val="00473E2E"/>
    <w:rsid w:val="004747B4"/>
    <w:rsid w:val="004747BB"/>
    <w:rsid w:val="00474DE2"/>
    <w:rsid w:val="00474F00"/>
    <w:rsid w:val="004751E7"/>
    <w:rsid w:val="00475766"/>
    <w:rsid w:val="004758D9"/>
    <w:rsid w:val="004759D9"/>
    <w:rsid w:val="00475A1A"/>
    <w:rsid w:val="00475D64"/>
    <w:rsid w:val="00475E51"/>
    <w:rsid w:val="0047627B"/>
    <w:rsid w:val="004765B2"/>
    <w:rsid w:val="004766E9"/>
    <w:rsid w:val="00476908"/>
    <w:rsid w:val="00476981"/>
    <w:rsid w:val="00476D11"/>
    <w:rsid w:val="00476D2B"/>
    <w:rsid w:val="0047724F"/>
    <w:rsid w:val="004772D0"/>
    <w:rsid w:val="004772D7"/>
    <w:rsid w:val="0047759A"/>
    <w:rsid w:val="00477B89"/>
    <w:rsid w:val="00477E03"/>
    <w:rsid w:val="00477EDC"/>
    <w:rsid w:val="0048007B"/>
    <w:rsid w:val="00480315"/>
    <w:rsid w:val="0048070A"/>
    <w:rsid w:val="00480992"/>
    <w:rsid w:val="00480E8C"/>
    <w:rsid w:val="004814DE"/>
    <w:rsid w:val="00481648"/>
    <w:rsid w:val="0048171D"/>
    <w:rsid w:val="00481912"/>
    <w:rsid w:val="00481A87"/>
    <w:rsid w:val="00481A90"/>
    <w:rsid w:val="00481CE6"/>
    <w:rsid w:val="00481D94"/>
    <w:rsid w:val="00481E1F"/>
    <w:rsid w:val="00481FC2"/>
    <w:rsid w:val="004822E0"/>
    <w:rsid w:val="004824F9"/>
    <w:rsid w:val="00482752"/>
    <w:rsid w:val="00482B4F"/>
    <w:rsid w:val="00482CC8"/>
    <w:rsid w:val="004831E4"/>
    <w:rsid w:val="00483BDE"/>
    <w:rsid w:val="00484ADC"/>
    <w:rsid w:val="00484C6E"/>
    <w:rsid w:val="00484FF5"/>
    <w:rsid w:val="0048505E"/>
    <w:rsid w:val="00485732"/>
    <w:rsid w:val="00485BAD"/>
    <w:rsid w:val="00485CF9"/>
    <w:rsid w:val="00485F61"/>
    <w:rsid w:val="004861F6"/>
    <w:rsid w:val="004864C6"/>
    <w:rsid w:val="00486739"/>
    <w:rsid w:val="00486880"/>
    <w:rsid w:val="00486893"/>
    <w:rsid w:val="00486A22"/>
    <w:rsid w:val="0048701E"/>
    <w:rsid w:val="00487964"/>
    <w:rsid w:val="00487C5A"/>
    <w:rsid w:val="00487D3A"/>
    <w:rsid w:val="00487D97"/>
    <w:rsid w:val="00490024"/>
    <w:rsid w:val="004902F1"/>
    <w:rsid w:val="004908BD"/>
    <w:rsid w:val="00490A58"/>
    <w:rsid w:val="00490CC5"/>
    <w:rsid w:val="0049129D"/>
    <w:rsid w:val="00491AAE"/>
    <w:rsid w:val="00491BB0"/>
    <w:rsid w:val="004925C5"/>
    <w:rsid w:val="004925D3"/>
    <w:rsid w:val="00492D4E"/>
    <w:rsid w:val="00493B51"/>
    <w:rsid w:val="00494004"/>
    <w:rsid w:val="00494116"/>
    <w:rsid w:val="00494430"/>
    <w:rsid w:val="00494523"/>
    <w:rsid w:val="0049525E"/>
    <w:rsid w:val="00495DF2"/>
    <w:rsid w:val="004961F5"/>
    <w:rsid w:val="004966BC"/>
    <w:rsid w:val="00496B85"/>
    <w:rsid w:val="00496EE5"/>
    <w:rsid w:val="00496F84"/>
    <w:rsid w:val="00497229"/>
    <w:rsid w:val="00497557"/>
    <w:rsid w:val="00497D44"/>
    <w:rsid w:val="00497DB5"/>
    <w:rsid w:val="004A0185"/>
    <w:rsid w:val="004A05CB"/>
    <w:rsid w:val="004A07F9"/>
    <w:rsid w:val="004A0824"/>
    <w:rsid w:val="004A0C01"/>
    <w:rsid w:val="004A0D25"/>
    <w:rsid w:val="004A100F"/>
    <w:rsid w:val="004A10C1"/>
    <w:rsid w:val="004A146A"/>
    <w:rsid w:val="004A1CE1"/>
    <w:rsid w:val="004A1EB6"/>
    <w:rsid w:val="004A1F86"/>
    <w:rsid w:val="004A2834"/>
    <w:rsid w:val="004A2B40"/>
    <w:rsid w:val="004A334C"/>
    <w:rsid w:val="004A379C"/>
    <w:rsid w:val="004A3E31"/>
    <w:rsid w:val="004A4800"/>
    <w:rsid w:val="004A4899"/>
    <w:rsid w:val="004A49C6"/>
    <w:rsid w:val="004A4B60"/>
    <w:rsid w:val="004A4C3C"/>
    <w:rsid w:val="004A4FC0"/>
    <w:rsid w:val="004A5256"/>
    <w:rsid w:val="004A58B6"/>
    <w:rsid w:val="004A5919"/>
    <w:rsid w:val="004A5F55"/>
    <w:rsid w:val="004A6075"/>
    <w:rsid w:val="004A6320"/>
    <w:rsid w:val="004A6DFE"/>
    <w:rsid w:val="004A7539"/>
    <w:rsid w:val="004A77E0"/>
    <w:rsid w:val="004A7955"/>
    <w:rsid w:val="004A7C99"/>
    <w:rsid w:val="004B01DD"/>
    <w:rsid w:val="004B09B6"/>
    <w:rsid w:val="004B14BB"/>
    <w:rsid w:val="004B17C2"/>
    <w:rsid w:val="004B1BDF"/>
    <w:rsid w:val="004B1D20"/>
    <w:rsid w:val="004B229E"/>
    <w:rsid w:val="004B2691"/>
    <w:rsid w:val="004B2844"/>
    <w:rsid w:val="004B28FE"/>
    <w:rsid w:val="004B2D08"/>
    <w:rsid w:val="004B2DAE"/>
    <w:rsid w:val="004B3198"/>
    <w:rsid w:val="004B32AD"/>
    <w:rsid w:val="004B357C"/>
    <w:rsid w:val="004B3A99"/>
    <w:rsid w:val="004B4717"/>
    <w:rsid w:val="004B4746"/>
    <w:rsid w:val="004B4A70"/>
    <w:rsid w:val="004B4BCE"/>
    <w:rsid w:val="004B4F60"/>
    <w:rsid w:val="004B5072"/>
    <w:rsid w:val="004B53B6"/>
    <w:rsid w:val="004B546A"/>
    <w:rsid w:val="004B54A3"/>
    <w:rsid w:val="004B55C0"/>
    <w:rsid w:val="004B55E9"/>
    <w:rsid w:val="004B60D6"/>
    <w:rsid w:val="004B639B"/>
    <w:rsid w:val="004B63E0"/>
    <w:rsid w:val="004B64E8"/>
    <w:rsid w:val="004B6BF6"/>
    <w:rsid w:val="004B73D6"/>
    <w:rsid w:val="004B778A"/>
    <w:rsid w:val="004B784D"/>
    <w:rsid w:val="004B7CCB"/>
    <w:rsid w:val="004C00C5"/>
    <w:rsid w:val="004C0204"/>
    <w:rsid w:val="004C026E"/>
    <w:rsid w:val="004C07FA"/>
    <w:rsid w:val="004C0A30"/>
    <w:rsid w:val="004C0F48"/>
    <w:rsid w:val="004C12E3"/>
    <w:rsid w:val="004C1342"/>
    <w:rsid w:val="004C15B2"/>
    <w:rsid w:val="004C1745"/>
    <w:rsid w:val="004C1A3E"/>
    <w:rsid w:val="004C1D46"/>
    <w:rsid w:val="004C1FA9"/>
    <w:rsid w:val="004C2209"/>
    <w:rsid w:val="004C2273"/>
    <w:rsid w:val="004C2509"/>
    <w:rsid w:val="004C2DA8"/>
    <w:rsid w:val="004C2E92"/>
    <w:rsid w:val="004C2EE3"/>
    <w:rsid w:val="004C3197"/>
    <w:rsid w:val="004C32FF"/>
    <w:rsid w:val="004C3651"/>
    <w:rsid w:val="004C38EB"/>
    <w:rsid w:val="004C40EC"/>
    <w:rsid w:val="004C46C9"/>
    <w:rsid w:val="004C52C5"/>
    <w:rsid w:val="004C57C6"/>
    <w:rsid w:val="004C57CF"/>
    <w:rsid w:val="004C57D9"/>
    <w:rsid w:val="004C601F"/>
    <w:rsid w:val="004C6595"/>
    <w:rsid w:val="004C65AB"/>
    <w:rsid w:val="004C6719"/>
    <w:rsid w:val="004C6C9F"/>
    <w:rsid w:val="004C7309"/>
    <w:rsid w:val="004C7368"/>
    <w:rsid w:val="004C7561"/>
    <w:rsid w:val="004C76D5"/>
    <w:rsid w:val="004C7BFC"/>
    <w:rsid w:val="004C7E2F"/>
    <w:rsid w:val="004D0034"/>
    <w:rsid w:val="004D01C8"/>
    <w:rsid w:val="004D0B56"/>
    <w:rsid w:val="004D0BA7"/>
    <w:rsid w:val="004D0BF8"/>
    <w:rsid w:val="004D1477"/>
    <w:rsid w:val="004D148C"/>
    <w:rsid w:val="004D1CA4"/>
    <w:rsid w:val="004D1D1F"/>
    <w:rsid w:val="004D1EF9"/>
    <w:rsid w:val="004D2100"/>
    <w:rsid w:val="004D227C"/>
    <w:rsid w:val="004D2395"/>
    <w:rsid w:val="004D242B"/>
    <w:rsid w:val="004D2B19"/>
    <w:rsid w:val="004D309F"/>
    <w:rsid w:val="004D3A23"/>
    <w:rsid w:val="004D3E36"/>
    <w:rsid w:val="004D42F9"/>
    <w:rsid w:val="004D4413"/>
    <w:rsid w:val="004D45CC"/>
    <w:rsid w:val="004D4711"/>
    <w:rsid w:val="004D49CA"/>
    <w:rsid w:val="004D4CAD"/>
    <w:rsid w:val="004D5316"/>
    <w:rsid w:val="004D612D"/>
    <w:rsid w:val="004D6793"/>
    <w:rsid w:val="004D7130"/>
    <w:rsid w:val="004D7696"/>
    <w:rsid w:val="004D78D1"/>
    <w:rsid w:val="004D7AEE"/>
    <w:rsid w:val="004D7B57"/>
    <w:rsid w:val="004D7D92"/>
    <w:rsid w:val="004E07E6"/>
    <w:rsid w:val="004E08F4"/>
    <w:rsid w:val="004E0C36"/>
    <w:rsid w:val="004E0F08"/>
    <w:rsid w:val="004E103B"/>
    <w:rsid w:val="004E13A3"/>
    <w:rsid w:val="004E150E"/>
    <w:rsid w:val="004E16B0"/>
    <w:rsid w:val="004E16F0"/>
    <w:rsid w:val="004E17DD"/>
    <w:rsid w:val="004E19B8"/>
    <w:rsid w:val="004E1A78"/>
    <w:rsid w:val="004E1E81"/>
    <w:rsid w:val="004E1EFE"/>
    <w:rsid w:val="004E1FC2"/>
    <w:rsid w:val="004E2253"/>
    <w:rsid w:val="004E2643"/>
    <w:rsid w:val="004E27CA"/>
    <w:rsid w:val="004E2EE4"/>
    <w:rsid w:val="004E30C1"/>
    <w:rsid w:val="004E39D8"/>
    <w:rsid w:val="004E411A"/>
    <w:rsid w:val="004E4520"/>
    <w:rsid w:val="004E45F7"/>
    <w:rsid w:val="004E46C3"/>
    <w:rsid w:val="004E481F"/>
    <w:rsid w:val="004E4849"/>
    <w:rsid w:val="004E4B60"/>
    <w:rsid w:val="004E4BCE"/>
    <w:rsid w:val="004E4C3F"/>
    <w:rsid w:val="004E4CDA"/>
    <w:rsid w:val="004E4D23"/>
    <w:rsid w:val="004E51A4"/>
    <w:rsid w:val="004E5231"/>
    <w:rsid w:val="004E54E8"/>
    <w:rsid w:val="004E5745"/>
    <w:rsid w:val="004E5930"/>
    <w:rsid w:val="004E5B01"/>
    <w:rsid w:val="004E5B34"/>
    <w:rsid w:val="004E5B70"/>
    <w:rsid w:val="004E6261"/>
    <w:rsid w:val="004E7053"/>
    <w:rsid w:val="004E72CB"/>
    <w:rsid w:val="004E744A"/>
    <w:rsid w:val="004E7751"/>
    <w:rsid w:val="004F04C4"/>
    <w:rsid w:val="004F0564"/>
    <w:rsid w:val="004F0639"/>
    <w:rsid w:val="004F06EE"/>
    <w:rsid w:val="004F0839"/>
    <w:rsid w:val="004F08CB"/>
    <w:rsid w:val="004F0997"/>
    <w:rsid w:val="004F12AF"/>
    <w:rsid w:val="004F13AE"/>
    <w:rsid w:val="004F1762"/>
    <w:rsid w:val="004F18EA"/>
    <w:rsid w:val="004F1E99"/>
    <w:rsid w:val="004F2139"/>
    <w:rsid w:val="004F233E"/>
    <w:rsid w:val="004F270C"/>
    <w:rsid w:val="004F28D1"/>
    <w:rsid w:val="004F2E6E"/>
    <w:rsid w:val="004F327E"/>
    <w:rsid w:val="004F3469"/>
    <w:rsid w:val="004F3DBA"/>
    <w:rsid w:val="004F45EC"/>
    <w:rsid w:val="004F49A0"/>
    <w:rsid w:val="004F5098"/>
    <w:rsid w:val="004F5336"/>
    <w:rsid w:val="004F5917"/>
    <w:rsid w:val="004F6A98"/>
    <w:rsid w:val="004F6AF7"/>
    <w:rsid w:val="004F6C3B"/>
    <w:rsid w:val="004F6E81"/>
    <w:rsid w:val="004F72A7"/>
    <w:rsid w:val="004F76EE"/>
    <w:rsid w:val="004F7900"/>
    <w:rsid w:val="00500659"/>
    <w:rsid w:val="00500A4B"/>
    <w:rsid w:val="00500A84"/>
    <w:rsid w:val="00501807"/>
    <w:rsid w:val="00501AC2"/>
    <w:rsid w:val="00501B21"/>
    <w:rsid w:val="00501D31"/>
    <w:rsid w:val="00501D77"/>
    <w:rsid w:val="00501FE0"/>
    <w:rsid w:val="0050210A"/>
    <w:rsid w:val="00502137"/>
    <w:rsid w:val="0050257E"/>
    <w:rsid w:val="00502D2C"/>
    <w:rsid w:val="00502F7C"/>
    <w:rsid w:val="005033A7"/>
    <w:rsid w:val="00503FE7"/>
    <w:rsid w:val="00504036"/>
    <w:rsid w:val="0050419C"/>
    <w:rsid w:val="005045B5"/>
    <w:rsid w:val="00504DF3"/>
    <w:rsid w:val="00505537"/>
    <w:rsid w:val="0050572A"/>
    <w:rsid w:val="00505BF5"/>
    <w:rsid w:val="00505CE5"/>
    <w:rsid w:val="00505D97"/>
    <w:rsid w:val="00505FD1"/>
    <w:rsid w:val="005062CB"/>
    <w:rsid w:val="0050635E"/>
    <w:rsid w:val="00506F38"/>
    <w:rsid w:val="0050762D"/>
    <w:rsid w:val="00507803"/>
    <w:rsid w:val="00507859"/>
    <w:rsid w:val="00507980"/>
    <w:rsid w:val="00507B52"/>
    <w:rsid w:val="0051009E"/>
    <w:rsid w:val="00510306"/>
    <w:rsid w:val="0051077A"/>
    <w:rsid w:val="0051080F"/>
    <w:rsid w:val="00510BC3"/>
    <w:rsid w:val="005111A6"/>
    <w:rsid w:val="00511241"/>
    <w:rsid w:val="005117B4"/>
    <w:rsid w:val="005120F2"/>
    <w:rsid w:val="005124D9"/>
    <w:rsid w:val="005126EE"/>
    <w:rsid w:val="00512993"/>
    <w:rsid w:val="00512A0D"/>
    <w:rsid w:val="005130C5"/>
    <w:rsid w:val="00513864"/>
    <w:rsid w:val="00513AA8"/>
    <w:rsid w:val="0051484C"/>
    <w:rsid w:val="005149CF"/>
    <w:rsid w:val="00514D75"/>
    <w:rsid w:val="00514F8E"/>
    <w:rsid w:val="00514FAB"/>
    <w:rsid w:val="00515212"/>
    <w:rsid w:val="00515409"/>
    <w:rsid w:val="00515A77"/>
    <w:rsid w:val="00515DF6"/>
    <w:rsid w:val="0051613A"/>
    <w:rsid w:val="0051661D"/>
    <w:rsid w:val="00516B81"/>
    <w:rsid w:val="00516DCA"/>
    <w:rsid w:val="00516E73"/>
    <w:rsid w:val="005175A9"/>
    <w:rsid w:val="00517754"/>
    <w:rsid w:val="00517BA6"/>
    <w:rsid w:val="00520719"/>
    <w:rsid w:val="00520828"/>
    <w:rsid w:val="0052096B"/>
    <w:rsid w:val="00520A88"/>
    <w:rsid w:val="00520C6D"/>
    <w:rsid w:val="00520D0A"/>
    <w:rsid w:val="00520FC2"/>
    <w:rsid w:val="00521795"/>
    <w:rsid w:val="0052179E"/>
    <w:rsid w:val="00521851"/>
    <w:rsid w:val="00521889"/>
    <w:rsid w:val="005218EC"/>
    <w:rsid w:val="005219D2"/>
    <w:rsid w:val="005224EE"/>
    <w:rsid w:val="00522599"/>
    <w:rsid w:val="0052263C"/>
    <w:rsid w:val="00522751"/>
    <w:rsid w:val="00522FDE"/>
    <w:rsid w:val="005230CB"/>
    <w:rsid w:val="0052310E"/>
    <w:rsid w:val="005235A6"/>
    <w:rsid w:val="00523661"/>
    <w:rsid w:val="0052418F"/>
    <w:rsid w:val="0052431E"/>
    <w:rsid w:val="005243AA"/>
    <w:rsid w:val="00524B48"/>
    <w:rsid w:val="00524F70"/>
    <w:rsid w:val="00525950"/>
    <w:rsid w:val="00525C38"/>
    <w:rsid w:val="00525FA4"/>
    <w:rsid w:val="005260F6"/>
    <w:rsid w:val="005264C7"/>
    <w:rsid w:val="00526F17"/>
    <w:rsid w:val="00526F64"/>
    <w:rsid w:val="0052781E"/>
    <w:rsid w:val="00527B13"/>
    <w:rsid w:val="005301FE"/>
    <w:rsid w:val="0053094B"/>
    <w:rsid w:val="00530B0F"/>
    <w:rsid w:val="00530B6B"/>
    <w:rsid w:val="00530CA1"/>
    <w:rsid w:val="00530CFF"/>
    <w:rsid w:val="00530D22"/>
    <w:rsid w:val="00530FAE"/>
    <w:rsid w:val="00531029"/>
    <w:rsid w:val="005310FA"/>
    <w:rsid w:val="00531189"/>
    <w:rsid w:val="00531BFE"/>
    <w:rsid w:val="00531EDA"/>
    <w:rsid w:val="0053213E"/>
    <w:rsid w:val="005322F1"/>
    <w:rsid w:val="005323A1"/>
    <w:rsid w:val="005329FB"/>
    <w:rsid w:val="005331E2"/>
    <w:rsid w:val="0053322E"/>
    <w:rsid w:val="005333CC"/>
    <w:rsid w:val="005336D0"/>
    <w:rsid w:val="005338B6"/>
    <w:rsid w:val="005339B5"/>
    <w:rsid w:val="00533B69"/>
    <w:rsid w:val="00533DBA"/>
    <w:rsid w:val="00533EB0"/>
    <w:rsid w:val="00533FB8"/>
    <w:rsid w:val="00534007"/>
    <w:rsid w:val="00534994"/>
    <w:rsid w:val="00535091"/>
    <w:rsid w:val="00535226"/>
    <w:rsid w:val="00535272"/>
    <w:rsid w:val="0053552F"/>
    <w:rsid w:val="00535A4F"/>
    <w:rsid w:val="00535EF1"/>
    <w:rsid w:val="005361BF"/>
    <w:rsid w:val="00536864"/>
    <w:rsid w:val="00537696"/>
    <w:rsid w:val="005378C2"/>
    <w:rsid w:val="00537ADC"/>
    <w:rsid w:val="0054072D"/>
    <w:rsid w:val="005409EF"/>
    <w:rsid w:val="00540C17"/>
    <w:rsid w:val="00540C6C"/>
    <w:rsid w:val="00540CB9"/>
    <w:rsid w:val="00540F3E"/>
    <w:rsid w:val="00540FFF"/>
    <w:rsid w:val="0054109D"/>
    <w:rsid w:val="0054110D"/>
    <w:rsid w:val="00541350"/>
    <w:rsid w:val="005417C4"/>
    <w:rsid w:val="00541A7A"/>
    <w:rsid w:val="00541A8F"/>
    <w:rsid w:val="00541DA3"/>
    <w:rsid w:val="00541E10"/>
    <w:rsid w:val="00542764"/>
    <w:rsid w:val="00542AD8"/>
    <w:rsid w:val="00542EF9"/>
    <w:rsid w:val="00543247"/>
    <w:rsid w:val="005433D4"/>
    <w:rsid w:val="0054444D"/>
    <w:rsid w:val="0054490F"/>
    <w:rsid w:val="00544C71"/>
    <w:rsid w:val="00544EAA"/>
    <w:rsid w:val="00544FED"/>
    <w:rsid w:val="00545848"/>
    <w:rsid w:val="00546505"/>
    <w:rsid w:val="005465CE"/>
    <w:rsid w:val="00546B16"/>
    <w:rsid w:val="00546BA2"/>
    <w:rsid w:val="00546EB6"/>
    <w:rsid w:val="005471CA"/>
    <w:rsid w:val="005479E0"/>
    <w:rsid w:val="00547E59"/>
    <w:rsid w:val="00547F31"/>
    <w:rsid w:val="00550980"/>
    <w:rsid w:val="00550C45"/>
    <w:rsid w:val="00550EB7"/>
    <w:rsid w:val="00551014"/>
    <w:rsid w:val="0055166E"/>
    <w:rsid w:val="00551A83"/>
    <w:rsid w:val="005523A3"/>
    <w:rsid w:val="00552743"/>
    <w:rsid w:val="00553161"/>
    <w:rsid w:val="005533A3"/>
    <w:rsid w:val="005533FC"/>
    <w:rsid w:val="0055349B"/>
    <w:rsid w:val="00553693"/>
    <w:rsid w:val="00553DE2"/>
    <w:rsid w:val="00553E9A"/>
    <w:rsid w:val="0055426F"/>
    <w:rsid w:val="00554A2D"/>
    <w:rsid w:val="00554D1F"/>
    <w:rsid w:val="0055533B"/>
    <w:rsid w:val="005553B9"/>
    <w:rsid w:val="005556CD"/>
    <w:rsid w:val="005564B4"/>
    <w:rsid w:val="005565BD"/>
    <w:rsid w:val="005567DC"/>
    <w:rsid w:val="00556BCE"/>
    <w:rsid w:val="00556D10"/>
    <w:rsid w:val="00556DD0"/>
    <w:rsid w:val="005570E2"/>
    <w:rsid w:val="00557287"/>
    <w:rsid w:val="00557327"/>
    <w:rsid w:val="00557344"/>
    <w:rsid w:val="00557A42"/>
    <w:rsid w:val="005605FD"/>
    <w:rsid w:val="005606C2"/>
    <w:rsid w:val="00560EB1"/>
    <w:rsid w:val="005610CD"/>
    <w:rsid w:val="00561B5B"/>
    <w:rsid w:val="00561E87"/>
    <w:rsid w:val="00561FB7"/>
    <w:rsid w:val="00562313"/>
    <w:rsid w:val="005625C6"/>
    <w:rsid w:val="005628AF"/>
    <w:rsid w:val="00562975"/>
    <w:rsid w:val="00562E04"/>
    <w:rsid w:val="0056328D"/>
    <w:rsid w:val="005634C2"/>
    <w:rsid w:val="00563611"/>
    <w:rsid w:val="0056365F"/>
    <w:rsid w:val="0056372B"/>
    <w:rsid w:val="0056409B"/>
    <w:rsid w:val="00564273"/>
    <w:rsid w:val="005643E9"/>
    <w:rsid w:val="0056446B"/>
    <w:rsid w:val="00564635"/>
    <w:rsid w:val="00564709"/>
    <w:rsid w:val="00564811"/>
    <w:rsid w:val="0056498A"/>
    <w:rsid w:val="005652BB"/>
    <w:rsid w:val="005656D8"/>
    <w:rsid w:val="00565FD8"/>
    <w:rsid w:val="005661BC"/>
    <w:rsid w:val="00566304"/>
    <w:rsid w:val="005667A5"/>
    <w:rsid w:val="00566AA2"/>
    <w:rsid w:val="005670ED"/>
    <w:rsid w:val="00567355"/>
    <w:rsid w:val="00567380"/>
    <w:rsid w:val="0056747F"/>
    <w:rsid w:val="00570005"/>
    <w:rsid w:val="00570636"/>
    <w:rsid w:val="0057086B"/>
    <w:rsid w:val="00570DED"/>
    <w:rsid w:val="00571193"/>
    <w:rsid w:val="00571243"/>
    <w:rsid w:val="00571340"/>
    <w:rsid w:val="00571416"/>
    <w:rsid w:val="005717F6"/>
    <w:rsid w:val="00571C14"/>
    <w:rsid w:val="00571EFA"/>
    <w:rsid w:val="005725DE"/>
    <w:rsid w:val="0057268E"/>
    <w:rsid w:val="005727F6"/>
    <w:rsid w:val="005734CF"/>
    <w:rsid w:val="00574A6F"/>
    <w:rsid w:val="00574E5A"/>
    <w:rsid w:val="00574EF7"/>
    <w:rsid w:val="00575295"/>
    <w:rsid w:val="005755A6"/>
    <w:rsid w:val="00575800"/>
    <w:rsid w:val="00575931"/>
    <w:rsid w:val="005759AC"/>
    <w:rsid w:val="00575BAD"/>
    <w:rsid w:val="00575C1A"/>
    <w:rsid w:val="00575E4B"/>
    <w:rsid w:val="005761F7"/>
    <w:rsid w:val="005762A5"/>
    <w:rsid w:val="005764B9"/>
    <w:rsid w:val="005765EC"/>
    <w:rsid w:val="00576952"/>
    <w:rsid w:val="00576B6A"/>
    <w:rsid w:val="00576B94"/>
    <w:rsid w:val="00576E39"/>
    <w:rsid w:val="00577240"/>
    <w:rsid w:val="005774BA"/>
    <w:rsid w:val="00577728"/>
    <w:rsid w:val="005778A1"/>
    <w:rsid w:val="00577A28"/>
    <w:rsid w:val="00577BC9"/>
    <w:rsid w:val="00577C8D"/>
    <w:rsid w:val="0058000D"/>
    <w:rsid w:val="005800EC"/>
    <w:rsid w:val="00580875"/>
    <w:rsid w:val="00580961"/>
    <w:rsid w:val="005811FC"/>
    <w:rsid w:val="005817AA"/>
    <w:rsid w:val="00581ED1"/>
    <w:rsid w:val="005820F4"/>
    <w:rsid w:val="00582113"/>
    <w:rsid w:val="005824BB"/>
    <w:rsid w:val="00582629"/>
    <w:rsid w:val="005827B8"/>
    <w:rsid w:val="00582967"/>
    <w:rsid w:val="00582A8E"/>
    <w:rsid w:val="00582BC6"/>
    <w:rsid w:val="00582CE9"/>
    <w:rsid w:val="00582E51"/>
    <w:rsid w:val="0058314F"/>
    <w:rsid w:val="005832FF"/>
    <w:rsid w:val="00583329"/>
    <w:rsid w:val="00583AE4"/>
    <w:rsid w:val="00584307"/>
    <w:rsid w:val="00584B9A"/>
    <w:rsid w:val="0058567F"/>
    <w:rsid w:val="0058569A"/>
    <w:rsid w:val="00585A55"/>
    <w:rsid w:val="00585CF1"/>
    <w:rsid w:val="00585DA9"/>
    <w:rsid w:val="00585ECA"/>
    <w:rsid w:val="00586087"/>
    <w:rsid w:val="0058620F"/>
    <w:rsid w:val="00586563"/>
    <w:rsid w:val="005874E7"/>
    <w:rsid w:val="00587B48"/>
    <w:rsid w:val="00587F0D"/>
    <w:rsid w:val="00587F10"/>
    <w:rsid w:val="00590483"/>
    <w:rsid w:val="005905A7"/>
    <w:rsid w:val="00590A8C"/>
    <w:rsid w:val="00590DDE"/>
    <w:rsid w:val="00591027"/>
    <w:rsid w:val="00591045"/>
    <w:rsid w:val="005913A5"/>
    <w:rsid w:val="00591819"/>
    <w:rsid w:val="005927C5"/>
    <w:rsid w:val="00592B45"/>
    <w:rsid w:val="00592F98"/>
    <w:rsid w:val="005930FA"/>
    <w:rsid w:val="00593100"/>
    <w:rsid w:val="00593718"/>
    <w:rsid w:val="00593B79"/>
    <w:rsid w:val="005942FE"/>
    <w:rsid w:val="00594D55"/>
    <w:rsid w:val="00595300"/>
    <w:rsid w:val="0059599F"/>
    <w:rsid w:val="00595A4B"/>
    <w:rsid w:val="00595F3F"/>
    <w:rsid w:val="00596231"/>
    <w:rsid w:val="005962E4"/>
    <w:rsid w:val="00596446"/>
    <w:rsid w:val="0059649B"/>
    <w:rsid w:val="00596677"/>
    <w:rsid w:val="0059671F"/>
    <w:rsid w:val="00597A46"/>
    <w:rsid w:val="00597BE0"/>
    <w:rsid w:val="00597C6F"/>
    <w:rsid w:val="00597FDC"/>
    <w:rsid w:val="005A01FA"/>
    <w:rsid w:val="005A0305"/>
    <w:rsid w:val="005A098D"/>
    <w:rsid w:val="005A0FA3"/>
    <w:rsid w:val="005A139C"/>
    <w:rsid w:val="005A159D"/>
    <w:rsid w:val="005A170B"/>
    <w:rsid w:val="005A207B"/>
    <w:rsid w:val="005A2969"/>
    <w:rsid w:val="005A2CAD"/>
    <w:rsid w:val="005A2FFE"/>
    <w:rsid w:val="005A30C9"/>
    <w:rsid w:val="005A3505"/>
    <w:rsid w:val="005A3780"/>
    <w:rsid w:val="005A3941"/>
    <w:rsid w:val="005A434D"/>
    <w:rsid w:val="005A4627"/>
    <w:rsid w:val="005A4BB1"/>
    <w:rsid w:val="005A4D4C"/>
    <w:rsid w:val="005A4D94"/>
    <w:rsid w:val="005A4D97"/>
    <w:rsid w:val="005A4F0D"/>
    <w:rsid w:val="005A5888"/>
    <w:rsid w:val="005A5D23"/>
    <w:rsid w:val="005A5FD4"/>
    <w:rsid w:val="005A6228"/>
    <w:rsid w:val="005A6444"/>
    <w:rsid w:val="005A6762"/>
    <w:rsid w:val="005A69F0"/>
    <w:rsid w:val="005A72DF"/>
    <w:rsid w:val="005A7374"/>
    <w:rsid w:val="005A7A56"/>
    <w:rsid w:val="005A7D84"/>
    <w:rsid w:val="005A7D91"/>
    <w:rsid w:val="005B0571"/>
    <w:rsid w:val="005B0D4F"/>
    <w:rsid w:val="005B1078"/>
    <w:rsid w:val="005B18F9"/>
    <w:rsid w:val="005B1CAE"/>
    <w:rsid w:val="005B1E57"/>
    <w:rsid w:val="005B1EDC"/>
    <w:rsid w:val="005B269D"/>
    <w:rsid w:val="005B291A"/>
    <w:rsid w:val="005B2CF9"/>
    <w:rsid w:val="005B2D89"/>
    <w:rsid w:val="005B36B9"/>
    <w:rsid w:val="005B3705"/>
    <w:rsid w:val="005B37D2"/>
    <w:rsid w:val="005B3F15"/>
    <w:rsid w:val="005B4428"/>
    <w:rsid w:val="005B4793"/>
    <w:rsid w:val="005B49E8"/>
    <w:rsid w:val="005B4A15"/>
    <w:rsid w:val="005B518D"/>
    <w:rsid w:val="005B5310"/>
    <w:rsid w:val="005B567D"/>
    <w:rsid w:val="005B579E"/>
    <w:rsid w:val="005B57F4"/>
    <w:rsid w:val="005B5AAA"/>
    <w:rsid w:val="005B5B3F"/>
    <w:rsid w:val="005B7450"/>
    <w:rsid w:val="005B79D0"/>
    <w:rsid w:val="005C07BB"/>
    <w:rsid w:val="005C0906"/>
    <w:rsid w:val="005C0949"/>
    <w:rsid w:val="005C19CC"/>
    <w:rsid w:val="005C1A83"/>
    <w:rsid w:val="005C1AD4"/>
    <w:rsid w:val="005C1D09"/>
    <w:rsid w:val="005C27E6"/>
    <w:rsid w:val="005C2872"/>
    <w:rsid w:val="005C2A3A"/>
    <w:rsid w:val="005C2BED"/>
    <w:rsid w:val="005C2D6A"/>
    <w:rsid w:val="005C2DD5"/>
    <w:rsid w:val="005C301A"/>
    <w:rsid w:val="005C31D0"/>
    <w:rsid w:val="005C36F6"/>
    <w:rsid w:val="005C38E6"/>
    <w:rsid w:val="005C3964"/>
    <w:rsid w:val="005C3A10"/>
    <w:rsid w:val="005C3EE2"/>
    <w:rsid w:val="005C409F"/>
    <w:rsid w:val="005C4648"/>
    <w:rsid w:val="005C4A1F"/>
    <w:rsid w:val="005C4E93"/>
    <w:rsid w:val="005C4EE9"/>
    <w:rsid w:val="005C541E"/>
    <w:rsid w:val="005C544F"/>
    <w:rsid w:val="005C5B82"/>
    <w:rsid w:val="005C5C37"/>
    <w:rsid w:val="005C5DC9"/>
    <w:rsid w:val="005C5E36"/>
    <w:rsid w:val="005C63AC"/>
    <w:rsid w:val="005C6482"/>
    <w:rsid w:val="005C65E5"/>
    <w:rsid w:val="005C753F"/>
    <w:rsid w:val="005C75EB"/>
    <w:rsid w:val="005D031F"/>
    <w:rsid w:val="005D03FC"/>
    <w:rsid w:val="005D05C2"/>
    <w:rsid w:val="005D075A"/>
    <w:rsid w:val="005D0799"/>
    <w:rsid w:val="005D09E0"/>
    <w:rsid w:val="005D0A15"/>
    <w:rsid w:val="005D0C8E"/>
    <w:rsid w:val="005D0E92"/>
    <w:rsid w:val="005D1404"/>
    <w:rsid w:val="005D1FF3"/>
    <w:rsid w:val="005D20A3"/>
    <w:rsid w:val="005D2325"/>
    <w:rsid w:val="005D28DB"/>
    <w:rsid w:val="005D2B3E"/>
    <w:rsid w:val="005D356E"/>
    <w:rsid w:val="005D38D3"/>
    <w:rsid w:val="005D39AA"/>
    <w:rsid w:val="005D3F2A"/>
    <w:rsid w:val="005D461D"/>
    <w:rsid w:val="005D4ABB"/>
    <w:rsid w:val="005D4D63"/>
    <w:rsid w:val="005D5189"/>
    <w:rsid w:val="005D5795"/>
    <w:rsid w:val="005D6423"/>
    <w:rsid w:val="005D6572"/>
    <w:rsid w:val="005D6611"/>
    <w:rsid w:val="005D6A7F"/>
    <w:rsid w:val="005D6AF1"/>
    <w:rsid w:val="005D6CE5"/>
    <w:rsid w:val="005D6FD7"/>
    <w:rsid w:val="005D717A"/>
    <w:rsid w:val="005D72F4"/>
    <w:rsid w:val="005D7627"/>
    <w:rsid w:val="005D7980"/>
    <w:rsid w:val="005D79D8"/>
    <w:rsid w:val="005D7A88"/>
    <w:rsid w:val="005D7B90"/>
    <w:rsid w:val="005D7F07"/>
    <w:rsid w:val="005E04AE"/>
    <w:rsid w:val="005E063F"/>
    <w:rsid w:val="005E11F2"/>
    <w:rsid w:val="005E17D7"/>
    <w:rsid w:val="005E1E26"/>
    <w:rsid w:val="005E2A9E"/>
    <w:rsid w:val="005E354B"/>
    <w:rsid w:val="005E356B"/>
    <w:rsid w:val="005E371F"/>
    <w:rsid w:val="005E3BB5"/>
    <w:rsid w:val="005E3E82"/>
    <w:rsid w:val="005E3E96"/>
    <w:rsid w:val="005E4087"/>
    <w:rsid w:val="005E4A9A"/>
    <w:rsid w:val="005E4E17"/>
    <w:rsid w:val="005E53AF"/>
    <w:rsid w:val="005E54BA"/>
    <w:rsid w:val="005E55B1"/>
    <w:rsid w:val="005E57B3"/>
    <w:rsid w:val="005E5A44"/>
    <w:rsid w:val="005E5AF5"/>
    <w:rsid w:val="005E5CB8"/>
    <w:rsid w:val="005E5DE5"/>
    <w:rsid w:val="005E6385"/>
    <w:rsid w:val="005E6A6B"/>
    <w:rsid w:val="005E701A"/>
    <w:rsid w:val="005E7253"/>
    <w:rsid w:val="005E73FE"/>
    <w:rsid w:val="005E74A5"/>
    <w:rsid w:val="005E7855"/>
    <w:rsid w:val="005E792A"/>
    <w:rsid w:val="005E7D41"/>
    <w:rsid w:val="005E7D68"/>
    <w:rsid w:val="005F00E8"/>
    <w:rsid w:val="005F0A33"/>
    <w:rsid w:val="005F0C90"/>
    <w:rsid w:val="005F0D48"/>
    <w:rsid w:val="005F0F5B"/>
    <w:rsid w:val="005F182D"/>
    <w:rsid w:val="005F1A44"/>
    <w:rsid w:val="005F20CE"/>
    <w:rsid w:val="005F289E"/>
    <w:rsid w:val="005F2A1C"/>
    <w:rsid w:val="005F2FC0"/>
    <w:rsid w:val="005F335C"/>
    <w:rsid w:val="005F34E8"/>
    <w:rsid w:val="005F3C43"/>
    <w:rsid w:val="005F3DC1"/>
    <w:rsid w:val="005F440E"/>
    <w:rsid w:val="005F4D12"/>
    <w:rsid w:val="005F5039"/>
    <w:rsid w:val="005F573A"/>
    <w:rsid w:val="005F5A02"/>
    <w:rsid w:val="005F5C04"/>
    <w:rsid w:val="005F5E5D"/>
    <w:rsid w:val="005F6295"/>
    <w:rsid w:val="005F64A3"/>
    <w:rsid w:val="005F6AF1"/>
    <w:rsid w:val="005F6F86"/>
    <w:rsid w:val="005F714C"/>
    <w:rsid w:val="005F767A"/>
    <w:rsid w:val="005F7C10"/>
    <w:rsid w:val="005F7CAB"/>
    <w:rsid w:val="005F7D37"/>
    <w:rsid w:val="005F7DC4"/>
    <w:rsid w:val="005F7EA2"/>
    <w:rsid w:val="006004E2"/>
    <w:rsid w:val="00600588"/>
    <w:rsid w:val="0060113B"/>
    <w:rsid w:val="006014D5"/>
    <w:rsid w:val="00601584"/>
    <w:rsid w:val="0060177C"/>
    <w:rsid w:val="006018C8"/>
    <w:rsid w:val="00601FCB"/>
    <w:rsid w:val="006020FA"/>
    <w:rsid w:val="00602236"/>
    <w:rsid w:val="0060227D"/>
    <w:rsid w:val="006023E6"/>
    <w:rsid w:val="00602869"/>
    <w:rsid w:val="00602980"/>
    <w:rsid w:val="00602DE7"/>
    <w:rsid w:val="00602F75"/>
    <w:rsid w:val="0060307E"/>
    <w:rsid w:val="00603270"/>
    <w:rsid w:val="0060329A"/>
    <w:rsid w:val="006032BE"/>
    <w:rsid w:val="00603831"/>
    <w:rsid w:val="00604580"/>
    <w:rsid w:val="00604750"/>
    <w:rsid w:val="00604DA5"/>
    <w:rsid w:val="00604E44"/>
    <w:rsid w:val="006056DD"/>
    <w:rsid w:val="00605D76"/>
    <w:rsid w:val="00605DBA"/>
    <w:rsid w:val="00605F92"/>
    <w:rsid w:val="00605FE7"/>
    <w:rsid w:val="006061D4"/>
    <w:rsid w:val="006061EB"/>
    <w:rsid w:val="00606533"/>
    <w:rsid w:val="0060661C"/>
    <w:rsid w:val="00606973"/>
    <w:rsid w:val="00607033"/>
    <w:rsid w:val="0060725F"/>
    <w:rsid w:val="0060738C"/>
    <w:rsid w:val="00607649"/>
    <w:rsid w:val="00607741"/>
    <w:rsid w:val="00607B48"/>
    <w:rsid w:val="00607F02"/>
    <w:rsid w:val="006109A8"/>
    <w:rsid w:val="00611302"/>
    <w:rsid w:val="0061136B"/>
    <w:rsid w:val="006115D6"/>
    <w:rsid w:val="00611840"/>
    <w:rsid w:val="00611DC2"/>
    <w:rsid w:val="00611DF4"/>
    <w:rsid w:val="00611F53"/>
    <w:rsid w:val="0061210B"/>
    <w:rsid w:val="006122A1"/>
    <w:rsid w:val="0061235A"/>
    <w:rsid w:val="00612380"/>
    <w:rsid w:val="00612B15"/>
    <w:rsid w:val="00612E8D"/>
    <w:rsid w:val="0061300C"/>
    <w:rsid w:val="0061333E"/>
    <w:rsid w:val="00613555"/>
    <w:rsid w:val="006135D4"/>
    <w:rsid w:val="0061366C"/>
    <w:rsid w:val="006138EA"/>
    <w:rsid w:val="00613B7A"/>
    <w:rsid w:val="00613DDB"/>
    <w:rsid w:val="006140A5"/>
    <w:rsid w:val="006146E3"/>
    <w:rsid w:val="00614868"/>
    <w:rsid w:val="00614AEF"/>
    <w:rsid w:val="006152DC"/>
    <w:rsid w:val="00615410"/>
    <w:rsid w:val="00615623"/>
    <w:rsid w:val="0061567A"/>
    <w:rsid w:val="00615735"/>
    <w:rsid w:val="0061587E"/>
    <w:rsid w:val="00616392"/>
    <w:rsid w:val="00616449"/>
    <w:rsid w:val="006165F8"/>
    <w:rsid w:val="0061666A"/>
    <w:rsid w:val="006169C1"/>
    <w:rsid w:val="00616BBF"/>
    <w:rsid w:val="00617FDD"/>
    <w:rsid w:val="006200F0"/>
    <w:rsid w:val="00620172"/>
    <w:rsid w:val="006203C3"/>
    <w:rsid w:val="00620807"/>
    <w:rsid w:val="00620FD9"/>
    <w:rsid w:val="00621242"/>
    <w:rsid w:val="006217E6"/>
    <w:rsid w:val="00621844"/>
    <w:rsid w:val="00622161"/>
    <w:rsid w:val="006222A9"/>
    <w:rsid w:val="00622521"/>
    <w:rsid w:val="0062287D"/>
    <w:rsid w:val="00622BEE"/>
    <w:rsid w:val="00622C85"/>
    <w:rsid w:val="00622CDC"/>
    <w:rsid w:val="006233EB"/>
    <w:rsid w:val="00623513"/>
    <w:rsid w:val="006236F5"/>
    <w:rsid w:val="00623871"/>
    <w:rsid w:val="00623B10"/>
    <w:rsid w:val="00623E7B"/>
    <w:rsid w:val="0062428A"/>
    <w:rsid w:val="0062474D"/>
    <w:rsid w:val="00624B1C"/>
    <w:rsid w:val="00624C1F"/>
    <w:rsid w:val="00624D19"/>
    <w:rsid w:val="0062509E"/>
    <w:rsid w:val="00625207"/>
    <w:rsid w:val="00625A01"/>
    <w:rsid w:val="00625B07"/>
    <w:rsid w:val="00625B3B"/>
    <w:rsid w:val="006261E5"/>
    <w:rsid w:val="00626329"/>
    <w:rsid w:val="00626393"/>
    <w:rsid w:val="00627046"/>
    <w:rsid w:val="006277F1"/>
    <w:rsid w:val="006278A5"/>
    <w:rsid w:val="00627B53"/>
    <w:rsid w:val="00627DD0"/>
    <w:rsid w:val="006302BA"/>
    <w:rsid w:val="0063034B"/>
    <w:rsid w:val="006312FC"/>
    <w:rsid w:val="006314D7"/>
    <w:rsid w:val="00631B49"/>
    <w:rsid w:val="0063226F"/>
    <w:rsid w:val="006323CB"/>
    <w:rsid w:val="0063241E"/>
    <w:rsid w:val="006327E5"/>
    <w:rsid w:val="006330B2"/>
    <w:rsid w:val="006330EE"/>
    <w:rsid w:val="00633608"/>
    <w:rsid w:val="006337CA"/>
    <w:rsid w:val="0063396F"/>
    <w:rsid w:val="00634028"/>
    <w:rsid w:val="00634130"/>
    <w:rsid w:val="00634229"/>
    <w:rsid w:val="00634A8D"/>
    <w:rsid w:val="00634E80"/>
    <w:rsid w:val="00635083"/>
    <w:rsid w:val="00635133"/>
    <w:rsid w:val="006352F1"/>
    <w:rsid w:val="00635358"/>
    <w:rsid w:val="00635C9A"/>
    <w:rsid w:val="00635E93"/>
    <w:rsid w:val="00635FE3"/>
    <w:rsid w:val="0063601D"/>
    <w:rsid w:val="0063616A"/>
    <w:rsid w:val="006362DA"/>
    <w:rsid w:val="006362FB"/>
    <w:rsid w:val="00636720"/>
    <w:rsid w:val="006368AE"/>
    <w:rsid w:val="006370EF"/>
    <w:rsid w:val="006374FB"/>
    <w:rsid w:val="00637529"/>
    <w:rsid w:val="00637834"/>
    <w:rsid w:val="00637D4E"/>
    <w:rsid w:val="00637F3C"/>
    <w:rsid w:val="0064010C"/>
    <w:rsid w:val="00640D35"/>
    <w:rsid w:val="00641041"/>
    <w:rsid w:val="00641141"/>
    <w:rsid w:val="00641AB8"/>
    <w:rsid w:val="00641B45"/>
    <w:rsid w:val="00641CFE"/>
    <w:rsid w:val="00641E28"/>
    <w:rsid w:val="006421AE"/>
    <w:rsid w:val="006422D9"/>
    <w:rsid w:val="00642437"/>
    <w:rsid w:val="00642B84"/>
    <w:rsid w:val="00642F42"/>
    <w:rsid w:val="0064341F"/>
    <w:rsid w:val="0064372B"/>
    <w:rsid w:val="00643770"/>
    <w:rsid w:val="00643A60"/>
    <w:rsid w:val="006440D9"/>
    <w:rsid w:val="00644281"/>
    <w:rsid w:val="00644CE9"/>
    <w:rsid w:val="00644F15"/>
    <w:rsid w:val="00645072"/>
    <w:rsid w:val="006450DE"/>
    <w:rsid w:val="006462AE"/>
    <w:rsid w:val="00646733"/>
    <w:rsid w:val="00646CD3"/>
    <w:rsid w:val="00646F10"/>
    <w:rsid w:val="00646F22"/>
    <w:rsid w:val="00646F65"/>
    <w:rsid w:val="0064739B"/>
    <w:rsid w:val="0064767C"/>
    <w:rsid w:val="0064773B"/>
    <w:rsid w:val="00647764"/>
    <w:rsid w:val="0064776C"/>
    <w:rsid w:val="00647D23"/>
    <w:rsid w:val="006500CE"/>
    <w:rsid w:val="00650307"/>
    <w:rsid w:val="006506CD"/>
    <w:rsid w:val="006506EA"/>
    <w:rsid w:val="0065079D"/>
    <w:rsid w:val="00650F1B"/>
    <w:rsid w:val="00651878"/>
    <w:rsid w:val="0065195F"/>
    <w:rsid w:val="0065244E"/>
    <w:rsid w:val="00652647"/>
    <w:rsid w:val="006527EA"/>
    <w:rsid w:val="00652E37"/>
    <w:rsid w:val="006531F3"/>
    <w:rsid w:val="0065325C"/>
    <w:rsid w:val="006534A9"/>
    <w:rsid w:val="00653761"/>
    <w:rsid w:val="0065377A"/>
    <w:rsid w:val="00653845"/>
    <w:rsid w:val="00653918"/>
    <w:rsid w:val="00653980"/>
    <w:rsid w:val="006539D3"/>
    <w:rsid w:val="00653AC4"/>
    <w:rsid w:val="00653BD1"/>
    <w:rsid w:val="0065436A"/>
    <w:rsid w:val="0065456B"/>
    <w:rsid w:val="00654D12"/>
    <w:rsid w:val="00654EFE"/>
    <w:rsid w:val="00655108"/>
    <w:rsid w:val="006551E3"/>
    <w:rsid w:val="00655428"/>
    <w:rsid w:val="006555FB"/>
    <w:rsid w:val="006559E5"/>
    <w:rsid w:val="006564BA"/>
    <w:rsid w:val="006565C3"/>
    <w:rsid w:val="00656909"/>
    <w:rsid w:val="00656C2A"/>
    <w:rsid w:val="00656F04"/>
    <w:rsid w:val="006570F0"/>
    <w:rsid w:val="0065722D"/>
    <w:rsid w:val="0065726B"/>
    <w:rsid w:val="006572C5"/>
    <w:rsid w:val="006573FF"/>
    <w:rsid w:val="00657462"/>
    <w:rsid w:val="00657A06"/>
    <w:rsid w:val="00657B78"/>
    <w:rsid w:val="00660574"/>
    <w:rsid w:val="0066060D"/>
    <w:rsid w:val="00660A41"/>
    <w:rsid w:val="00660AD8"/>
    <w:rsid w:val="00660E9F"/>
    <w:rsid w:val="00661095"/>
    <w:rsid w:val="00661256"/>
    <w:rsid w:val="006613EE"/>
    <w:rsid w:val="0066149E"/>
    <w:rsid w:val="00661849"/>
    <w:rsid w:val="006618FF"/>
    <w:rsid w:val="00661C97"/>
    <w:rsid w:val="0066213C"/>
    <w:rsid w:val="006626A3"/>
    <w:rsid w:val="006627D9"/>
    <w:rsid w:val="006627ED"/>
    <w:rsid w:val="00662A02"/>
    <w:rsid w:val="0066338C"/>
    <w:rsid w:val="00663902"/>
    <w:rsid w:val="00663AF5"/>
    <w:rsid w:val="00663B58"/>
    <w:rsid w:val="00663CF5"/>
    <w:rsid w:val="00663EC8"/>
    <w:rsid w:val="006644C2"/>
    <w:rsid w:val="006646F3"/>
    <w:rsid w:val="006647F2"/>
    <w:rsid w:val="0066489E"/>
    <w:rsid w:val="006649B6"/>
    <w:rsid w:val="00664A2F"/>
    <w:rsid w:val="00664A49"/>
    <w:rsid w:val="00664CFD"/>
    <w:rsid w:val="00664DA9"/>
    <w:rsid w:val="00664EE6"/>
    <w:rsid w:val="0066561C"/>
    <w:rsid w:val="006657ED"/>
    <w:rsid w:val="006657F2"/>
    <w:rsid w:val="00665816"/>
    <w:rsid w:val="00665CEC"/>
    <w:rsid w:val="0066668D"/>
    <w:rsid w:val="00666928"/>
    <w:rsid w:val="00666D12"/>
    <w:rsid w:val="00666DC3"/>
    <w:rsid w:val="006673FE"/>
    <w:rsid w:val="006679A6"/>
    <w:rsid w:val="00667BB8"/>
    <w:rsid w:val="00667E30"/>
    <w:rsid w:val="006700A0"/>
    <w:rsid w:val="006703AB"/>
    <w:rsid w:val="006708F4"/>
    <w:rsid w:val="00670B2F"/>
    <w:rsid w:val="00670C78"/>
    <w:rsid w:val="00670F82"/>
    <w:rsid w:val="006718CE"/>
    <w:rsid w:val="00671A4C"/>
    <w:rsid w:val="00671E4E"/>
    <w:rsid w:val="00672253"/>
    <w:rsid w:val="0067255A"/>
    <w:rsid w:val="006727C8"/>
    <w:rsid w:val="006729D0"/>
    <w:rsid w:val="00672CB2"/>
    <w:rsid w:val="00672E37"/>
    <w:rsid w:val="00672FBB"/>
    <w:rsid w:val="00673091"/>
    <w:rsid w:val="00673268"/>
    <w:rsid w:val="00673764"/>
    <w:rsid w:val="00673CC5"/>
    <w:rsid w:val="00674421"/>
    <w:rsid w:val="0067474B"/>
    <w:rsid w:val="00674A7F"/>
    <w:rsid w:val="0067520C"/>
    <w:rsid w:val="00675284"/>
    <w:rsid w:val="00675291"/>
    <w:rsid w:val="0067538F"/>
    <w:rsid w:val="0067580C"/>
    <w:rsid w:val="006759CD"/>
    <w:rsid w:val="00675CC9"/>
    <w:rsid w:val="00675E59"/>
    <w:rsid w:val="00676183"/>
    <w:rsid w:val="00676194"/>
    <w:rsid w:val="006761F5"/>
    <w:rsid w:val="00676577"/>
    <w:rsid w:val="00676D2A"/>
    <w:rsid w:val="00677311"/>
    <w:rsid w:val="0067762C"/>
    <w:rsid w:val="00677BDA"/>
    <w:rsid w:val="00677DAD"/>
    <w:rsid w:val="00677EDF"/>
    <w:rsid w:val="006800B3"/>
    <w:rsid w:val="00680359"/>
    <w:rsid w:val="0068087B"/>
    <w:rsid w:val="0068091D"/>
    <w:rsid w:val="00680C53"/>
    <w:rsid w:val="00680DA6"/>
    <w:rsid w:val="00680E5A"/>
    <w:rsid w:val="00680F23"/>
    <w:rsid w:val="00681074"/>
    <w:rsid w:val="00681238"/>
    <w:rsid w:val="006817DC"/>
    <w:rsid w:val="00681B09"/>
    <w:rsid w:val="00682CA8"/>
    <w:rsid w:val="00682F38"/>
    <w:rsid w:val="006833FD"/>
    <w:rsid w:val="00683AB0"/>
    <w:rsid w:val="00684006"/>
    <w:rsid w:val="006844B2"/>
    <w:rsid w:val="006848DC"/>
    <w:rsid w:val="00684AF3"/>
    <w:rsid w:val="00685251"/>
    <w:rsid w:val="006856E0"/>
    <w:rsid w:val="00685A3A"/>
    <w:rsid w:val="00685E47"/>
    <w:rsid w:val="00686827"/>
    <w:rsid w:val="00687308"/>
    <w:rsid w:val="00687944"/>
    <w:rsid w:val="006904B6"/>
    <w:rsid w:val="00690807"/>
    <w:rsid w:val="00690A14"/>
    <w:rsid w:val="00690CFF"/>
    <w:rsid w:val="00691016"/>
    <w:rsid w:val="006913F4"/>
    <w:rsid w:val="006918B2"/>
    <w:rsid w:val="00691D00"/>
    <w:rsid w:val="00692000"/>
    <w:rsid w:val="00692009"/>
    <w:rsid w:val="006920B8"/>
    <w:rsid w:val="006923C8"/>
    <w:rsid w:val="00692A5D"/>
    <w:rsid w:val="00692E0F"/>
    <w:rsid w:val="00692EA8"/>
    <w:rsid w:val="00693315"/>
    <w:rsid w:val="0069339B"/>
    <w:rsid w:val="0069347F"/>
    <w:rsid w:val="006934FE"/>
    <w:rsid w:val="006935F9"/>
    <w:rsid w:val="006936C5"/>
    <w:rsid w:val="00693F30"/>
    <w:rsid w:val="00694135"/>
    <w:rsid w:val="0069425B"/>
    <w:rsid w:val="006945AA"/>
    <w:rsid w:val="006945E9"/>
    <w:rsid w:val="00694AFD"/>
    <w:rsid w:val="00694D72"/>
    <w:rsid w:val="00694E73"/>
    <w:rsid w:val="006953ED"/>
    <w:rsid w:val="00695528"/>
    <w:rsid w:val="006959EA"/>
    <w:rsid w:val="00695E60"/>
    <w:rsid w:val="00695F64"/>
    <w:rsid w:val="00695FDC"/>
    <w:rsid w:val="006960FC"/>
    <w:rsid w:val="006963A8"/>
    <w:rsid w:val="006963DF"/>
    <w:rsid w:val="00696615"/>
    <w:rsid w:val="00696826"/>
    <w:rsid w:val="00696929"/>
    <w:rsid w:val="00696C82"/>
    <w:rsid w:val="00696F2C"/>
    <w:rsid w:val="00697741"/>
    <w:rsid w:val="00697873"/>
    <w:rsid w:val="00697F5E"/>
    <w:rsid w:val="006A02EF"/>
    <w:rsid w:val="006A0458"/>
    <w:rsid w:val="006A05E1"/>
    <w:rsid w:val="006A09A0"/>
    <w:rsid w:val="006A0CDF"/>
    <w:rsid w:val="006A0D7F"/>
    <w:rsid w:val="006A0DCD"/>
    <w:rsid w:val="006A0F1C"/>
    <w:rsid w:val="006A13A9"/>
    <w:rsid w:val="006A14EE"/>
    <w:rsid w:val="006A1524"/>
    <w:rsid w:val="006A1814"/>
    <w:rsid w:val="006A19A7"/>
    <w:rsid w:val="006A1AF8"/>
    <w:rsid w:val="006A1EDD"/>
    <w:rsid w:val="006A211A"/>
    <w:rsid w:val="006A23E4"/>
    <w:rsid w:val="006A24F3"/>
    <w:rsid w:val="006A254A"/>
    <w:rsid w:val="006A2CDB"/>
    <w:rsid w:val="006A2F1A"/>
    <w:rsid w:val="006A360C"/>
    <w:rsid w:val="006A3884"/>
    <w:rsid w:val="006A40FA"/>
    <w:rsid w:val="006A4201"/>
    <w:rsid w:val="006A428B"/>
    <w:rsid w:val="006A4697"/>
    <w:rsid w:val="006A4A96"/>
    <w:rsid w:val="006A5372"/>
    <w:rsid w:val="006A5831"/>
    <w:rsid w:val="006A583F"/>
    <w:rsid w:val="006A64AB"/>
    <w:rsid w:val="006A6BA0"/>
    <w:rsid w:val="006A6C2E"/>
    <w:rsid w:val="006A6E32"/>
    <w:rsid w:val="006A6F71"/>
    <w:rsid w:val="006A705B"/>
    <w:rsid w:val="006A76B7"/>
    <w:rsid w:val="006A7FAE"/>
    <w:rsid w:val="006B015E"/>
    <w:rsid w:val="006B04D0"/>
    <w:rsid w:val="006B04F7"/>
    <w:rsid w:val="006B058F"/>
    <w:rsid w:val="006B075A"/>
    <w:rsid w:val="006B0A9A"/>
    <w:rsid w:val="006B0D0C"/>
    <w:rsid w:val="006B0D24"/>
    <w:rsid w:val="006B0D85"/>
    <w:rsid w:val="006B0FDB"/>
    <w:rsid w:val="006B14AA"/>
    <w:rsid w:val="006B14CF"/>
    <w:rsid w:val="006B1982"/>
    <w:rsid w:val="006B1DBF"/>
    <w:rsid w:val="006B2082"/>
    <w:rsid w:val="006B209D"/>
    <w:rsid w:val="006B23C7"/>
    <w:rsid w:val="006B27A5"/>
    <w:rsid w:val="006B2992"/>
    <w:rsid w:val="006B2AE6"/>
    <w:rsid w:val="006B30DE"/>
    <w:rsid w:val="006B34D4"/>
    <w:rsid w:val="006B392E"/>
    <w:rsid w:val="006B3DDB"/>
    <w:rsid w:val="006B3E05"/>
    <w:rsid w:val="006B3F31"/>
    <w:rsid w:val="006B46EE"/>
    <w:rsid w:val="006B48BB"/>
    <w:rsid w:val="006B4C20"/>
    <w:rsid w:val="006B4CD0"/>
    <w:rsid w:val="006B4D50"/>
    <w:rsid w:val="006B4F93"/>
    <w:rsid w:val="006B5B70"/>
    <w:rsid w:val="006B5D13"/>
    <w:rsid w:val="006B5DD3"/>
    <w:rsid w:val="006B5F69"/>
    <w:rsid w:val="006B6092"/>
    <w:rsid w:val="006B613D"/>
    <w:rsid w:val="006B63BC"/>
    <w:rsid w:val="006B64CF"/>
    <w:rsid w:val="006B64F8"/>
    <w:rsid w:val="006B6FF2"/>
    <w:rsid w:val="006B71AC"/>
    <w:rsid w:val="006B740F"/>
    <w:rsid w:val="006B741D"/>
    <w:rsid w:val="006B74CA"/>
    <w:rsid w:val="006B7B8F"/>
    <w:rsid w:val="006B7C86"/>
    <w:rsid w:val="006B7CD1"/>
    <w:rsid w:val="006B7FF9"/>
    <w:rsid w:val="006C0050"/>
    <w:rsid w:val="006C0110"/>
    <w:rsid w:val="006C0195"/>
    <w:rsid w:val="006C07FA"/>
    <w:rsid w:val="006C09B3"/>
    <w:rsid w:val="006C0C11"/>
    <w:rsid w:val="006C0CEA"/>
    <w:rsid w:val="006C1B2F"/>
    <w:rsid w:val="006C1F4D"/>
    <w:rsid w:val="006C2066"/>
    <w:rsid w:val="006C268A"/>
    <w:rsid w:val="006C2C3C"/>
    <w:rsid w:val="006C2D5D"/>
    <w:rsid w:val="006C333B"/>
    <w:rsid w:val="006C3387"/>
    <w:rsid w:val="006C34A9"/>
    <w:rsid w:val="006C3683"/>
    <w:rsid w:val="006C3F0E"/>
    <w:rsid w:val="006C45D7"/>
    <w:rsid w:val="006C46FC"/>
    <w:rsid w:val="006C4C17"/>
    <w:rsid w:val="006C4DA8"/>
    <w:rsid w:val="006C511C"/>
    <w:rsid w:val="006C516D"/>
    <w:rsid w:val="006C57D5"/>
    <w:rsid w:val="006C587A"/>
    <w:rsid w:val="006C5A1D"/>
    <w:rsid w:val="006C5B86"/>
    <w:rsid w:val="006C5B8C"/>
    <w:rsid w:val="006C5F5B"/>
    <w:rsid w:val="006C67FE"/>
    <w:rsid w:val="006C69DC"/>
    <w:rsid w:val="006C6FFC"/>
    <w:rsid w:val="006C7297"/>
    <w:rsid w:val="006C767F"/>
    <w:rsid w:val="006C7C62"/>
    <w:rsid w:val="006D018A"/>
    <w:rsid w:val="006D0870"/>
    <w:rsid w:val="006D0900"/>
    <w:rsid w:val="006D0BAF"/>
    <w:rsid w:val="006D130B"/>
    <w:rsid w:val="006D1AC2"/>
    <w:rsid w:val="006D1D0C"/>
    <w:rsid w:val="006D1EFB"/>
    <w:rsid w:val="006D2064"/>
    <w:rsid w:val="006D2CB8"/>
    <w:rsid w:val="006D3602"/>
    <w:rsid w:val="006D375B"/>
    <w:rsid w:val="006D3A6D"/>
    <w:rsid w:val="006D3BA1"/>
    <w:rsid w:val="006D4009"/>
    <w:rsid w:val="006D4027"/>
    <w:rsid w:val="006D45A6"/>
    <w:rsid w:val="006D468F"/>
    <w:rsid w:val="006D4C52"/>
    <w:rsid w:val="006D51AB"/>
    <w:rsid w:val="006D565D"/>
    <w:rsid w:val="006D5CF9"/>
    <w:rsid w:val="006D5D3A"/>
    <w:rsid w:val="006D66AF"/>
    <w:rsid w:val="006D673C"/>
    <w:rsid w:val="006D6806"/>
    <w:rsid w:val="006D6B95"/>
    <w:rsid w:val="006D6ECB"/>
    <w:rsid w:val="006D753E"/>
    <w:rsid w:val="006D779F"/>
    <w:rsid w:val="006E013E"/>
    <w:rsid w:val="006E03F3"/>
    <w:rsid w:val="006E089A"/>
    <w:rsid w:val="006E0A23"/>
    <w:rsid w:val="006E0B2D"/>
    <w:rsid w:val="006E0CFC"/>
    <w:rsid w:val="006E0E23"/>
    <w:rsid w:val="006E0F41"/>
    <w:rsid w:val="006E1065"/>
    <w:rsid w:val="006E123A"/>
    <w:rsid w:val="006E15E0"/>
    <w:rsid w:val="006E210A"/>
    <w:rsid w:val="006E2179"/>
    <w:rsid w:val="006E2767"/>
    <w:rsid w:val="006E296C"/>
    <w:rsid w:val="006E2AED"/>
    <w:rsid w:val="006E2BDF"/>
    <w:rsid w:val="006E2E3A"/>
    <w:rsid w:val="006E31F0"/>
    <w:rsid w:val="006E3B0E"/>
    <w:rsid w:val="006E3B54"/>
    <w:rsid w:val="006E3D8B"/>
    <w:rsid w:val="006E40DA"/>
    <w:rsid w:val="006E468B"/>
    <w:rsid w:val="006E489F"/>
    <w:rsid w:val="006E4BA5"/>
    <w:rsid w:val="006E4F79"/>
    <w:rsid w:val="006E508F"/>
    <w:rsid w:val="006E5258"/>
    <w:rsid w:val="006E52A7"/>
    <w:rsid w:val="006E5AE6"/>
    <w:rsid w:val="006E5F05"/>
    <w:rsid w:val="006E6341"/>
    <w:rsid w:val="006E6BA5"/>
    <w:rsid w:val="006E6E22"/>
    <w:rsid w:val="006E72D3"/>
    <w:rsid w:val="006E748A"/>
    <w:rsid w:val="006E7D1D"/>
    <w:rsid w:val="006F039D"/>
    <w:rsid w:val="006F0492"/>
    <w:rsid w:val="006F0610"/>
    <w:rsid w:val="006F06AD"/>
    <w:rsid w:val="006F06B7"/>
    <w:rsid w:val="006F0FE8"/>
    <w:rsid w:val="006F18A6"/>
    <w:rsid w:val="006F1A48"/>
    <w:rsid w:val="006F2094"/>
    <w:rsid w:val="006F2438"/>
    <w:rsid w:val="006F26A7"/>
    <w:rsid w:val="006F2A3C"/>
    <w:rsid w:val="006F30C5"/>
    <w:rsid w:val="006F313D"/>
    <w:rsid w:val="006F3DE0"/>
    <w:rsid w:val="006F414A"/>
    <w:rsid w:val="006F4175"/>
    <w:rsid w:val="006F4392"/>
    <w:rsid w:val="006F46ED"/>
    <w:rsid w:val="006F47A5"/>
    <w:rsid w:val="006F4A96"/>
    <w:rsid w:val="006F4BAB"/>
    <w:rsid w:val="006F5153"/>
    <w:rsid w:val="006F5846"/>
    <w:rsid w:val="006F5C98"/>
    <w:rsid w:val="006F6780"/>
    <w:rsid w:val="006F7576"/>
    <w:rsid w:val="006F77F9"/>
    <w:rsid w:val="006F7F81"/>
    <w:rsid w:val="007000E4"/>
    <w:rsid w:val="00700822"/>
    <w:rsid w:val="0070088D"/>
    <w:rsid w:val="00700EE6"/>
    <w:rsid w:val="00700F62"/>
    <w:rsid w:val="0070149B"/>
    <w:rsid w:val="00701574"/>
    <w:rsid w:val="007015BF"/>
    <w:rsid w:val="00701692"/>
    <w:rsid w:val="00701862"/>
    <w:rsid w:val="00701B56"/>
    <w:rsid w:val="00701B58"/>
    <w:rsid w:val="00702182"/>
    <w:rsid w:val="00702441"/>
    <w:rsid w:val="00702660"/>
    <w:rsid w:val="00702738"/>
    <w:rsid w:val="0070295B"/>
    <w:rsid w:val="00702B65"/>
    <w:rsid w:val="00702CDF"/>
    <w:rsid w:val="00702EFE"/>
    <w:rsid w:val="007033A0"/>
    <w:rsid w:val="00703733"/>
    <w:rsid w:val="00703964"/>
    <w:rsid w:val="00703E83"/>
    <w:rsid w:val="0070402F"/>
    <w:rsid w:val="0070427A"/>
    <w:rsid w:val="007046D1"/>
    <w:rsid w:val="00704953"/>
    <w:rsid w:val="00704A25"/>
    <w:rsid w:val="00704F23"/>
    <w:rsid w:val="007056FA"/>
    <w:rsid w:val="0070591D"/>
    <w:rsid w:val="0070614A"/>
    <w:rsid w:val="00706977"/>
    <w:rsid w:val="00706A54"/>
    <w:rsid w:val="007073AC"/>
    <w:rsid w:val="00707C33"/>
    <w:rsid w:val="00707CE2"/>
    <w:rsid w:val="007102EA"/>
    <w:rsid w:val="00710408"/>
    <w:rsid w:val="00710533"/>
    <w:rsid w:val="007108EE"/>
    <w:rsid w:val="00710AFF"/>
    <w:rsid w:val="00710F2B"/>
    <w:rsid w:val="00711734"/>
    <w:rsid w:val="00711820"/>
    <w:rsid w:val="00711B16"/>
    <w:rsid w:val="00711E40"/>
    <w:rsid w:val="0071217A"/>
    <w:rsid w:val="00712577"/>
    <w:rsid w:val="007127E0"/>
    <w:rsid w:val="00712D6A"/>
    <w:rsid w:val="00713DAB"/>
    <w:rsid w:val="007141E7"/>
    <w:rsid w:val="007149D0"/>
    <w:rsid w:val="00714A54"/>
    <w:rsid w:val="00714E0F"/>
    <w:rsid w:val="00714E67"/>
    <w:rsid w:val="007154B0"/>
    <w:rsid w:val="00715576"/>
    <w:rsid w:val="007158B9"/>
    <w:rsid w:val="00715C40"/>
    <w:rsid w:val="0071673A"/>
    <w:rsid w:val="00716DC8"/>
    <w:rsid w:val="00716E1A"/>
    <w:rsid w:val="00716F10"/>
    <w:rsid w:val="00717276"/>
    <w:rsid w:val="00717395"/>
    <w:rsid w:val="007175E8"/>
    <w:rsid w:val="00717C9E"/>
    <w:rsid w:val="00717E44"/>
    <w:rsid w:val="00720158"/>
    <w:rsid w:val="00720270"/>
    <w:rsid w:val="00720636"/>
    <w:rsid w:val="00720A60"/>
    <w:rsid w:val="00720C91"/>
    <w:rsid w:val="007210D0"/>
    <w:rsid w:val="0072117C"/>
    <w:rsid w:val="007216CD"/>
    <w:rsid w:val="00721B51"/>
    <w:rsid w:val="00721E4B"/>
    <w:rsid w:val="00721FC3"/>
    <w:rsid w:val="007221FD"/>
    <w:rsid w:val="00722727"/>
    <w:rsid w:val="00722C7F"/>
    <w:rsid w:val="007230AB"/>
    <w:rsid w:val="007234DC"/>
    <w:rsid w:val="007234FD"/>
    <w:rsid w:val="00723500"/>
    <w:rsid w:val="00723599"/>
    <w:rsid w:val="0072361F"/>
    <w:rsid w:val="00723AB7"/>
    <w:rsid w:val="00723B06"/>
    <w:rsid w:val="00723B7D"/>
    <w:rsid w:val="00724474"/>
    <w:rsid w:val="00724CA4"/>
    <w:rsid w:val="00724F62"/>
    <w:rsid w:val="00724F97"/>
    <w:rsid w:val="007250E8"/>
    <w:rsid w:val="007252BA"/>
    <w:rsid w:val="00725770"/>
    <w:rsid w:val="007259B2"/>
    <w:rsid w:val="00725FCD"/>
    <w:rsid w:val="007262FF"/>
    <w:rsid w:val="0072666B"/>
    <w:rsid w:val="00726728"/>
    <w:rsid w:val="00726B04"/>
    <w:rsid w:val="00726E9C"/>
    <w:rsid w:val="0072702D"/>
    <w:rsid w:val="007271DE"/>
    <w:rsid w:val="0072720D"/>
    <w:rsid w:val="0072744E"/>
    <w:rsid w:val="00727803"/>
    <w:rsid w:val="0072780E"/>
    <w:rsid w:val="007278E6"/>
    <w:rsid w:val="007278FE"/>
    <w:rsid w:val="00727AF9"/>
    <w:rsid w:val="007300D5"/>
    <w:rsid w:val="00730613"/>
    <w:rsid w:val="00730785"/>
    <w:rsid w:val="007307A7"/>
    <w:rsid w:val="00730818"/>
    <w:rsid w:val="00730954"/>
    <w:rsid w:val="00730989"/>
    <w:rsid w:val="00730A7C"/>
    <w:rsid w:val="00730E55"/>
    <w:rsid w:val="00730EA6"/>
    <w:rsid w:val="00731498"/>
    <w:rsid w:val="00731633"/>
    <w:rsid w:val="007319AC"/>
    <w:rsid w:val="00731A60"/>
    <w:rsid w:val="0073270D"/>
    <w:rsid w:val="00732971"/>
    <w:rsid w:val="00732B90"/>
    <w:rsid w:val="007334D0"/>
    <w:rsid w:val="00733693"/>
    <w:rsid w:val="00733B3E"/>
    <w:rsid w:val="00733F9D"/>
    <w:rsid w:val="007344D3"/>
    <w:rsid w:val="0073457A"/>
    <w:rsid w:val="0073547F"/>
    <w:rsid w:val="007354BC"/>
    <w:rsid w:val="0073554B"/>
    <w:rsid w:val="007355D7"/>
    <w:rsid w:val="007357E8"/>
    <w:rsid w:val="0073627C"/>
    <w:rsid w:val="007366C9"/>
    <w:rsid w:val="007373FF"/>
    <w:rsid w:val="0073742B"/>
    <w:rsid w:val="00737B2B"/>
    <w:rsid w:val="00737D5B"/>
    <w:rsid w:val="007405CB"/>
    <w:rsid w:val="00740657"/>
    <w:rsid w:val="00741294"/>
    <w:rsid w:val="007415CC"/>
    <w:rsid w:val="00741608"/>
    <w:rsid w:val="007417A5"/>
    <w:rsid w:val="0074188F"/>
    <w:rsid w:val="00741BC3"/>
    <w:rsid w:val="007421DA"/>
    <w:rsid w:val="007424C1"/>
    <w:rsid w:val="007427DB"/>
    <w:rsid w:val="00742D25"/>
    <w:rsid w:val="00742D60"/>
    <w:rsid w:val="00742E97"/>
    <w:rsid w:val="007430BA"/>
    <w:rsid w:val="007433DF"/>
    <w:rsid w:val="007435F2"/>
    <w:rsid w:val="007436E8"/>
    <w:rsid w:val="00743CF9"/>
    <w:rsid w:val="00743D75"/>
    <w:rsid w:val="00744BDD"/>
    <w:rsid w:val="0074516F"/>
    <w:rsid w:val="00745505"/>
    <w:rsid w:val="00745670"/>
    <w:rsid w:val="00745A67"/>
    <w:rsid w:val="00745C6D"/>
    <w:rsid w:val="00745D74"/>
    <w:rsid w:val="00745DD1"/>
    <w:rsid w:val="00746537"/>
    <w:rsid w:val="00746597"/>
    <w:rsid w:val="00746992"/>
    <w:rsid w:val="00746D1A"/>
    <w:rsid w:val="00746E00"/>
    <w:rsid w:val="00746E9E"/>
    <w:rsid w:val="00747450"/>
    <w:rsid w:val="0074746C"/>
    <w:rsid w:val="00747EAC"/>
    <w:rsid w:val="00750059"/>
    <w:rsid w:val="00750A05"/>
    <w:rsid w:val="00750C1D"/>
    <w:rsid w:val="00750E86"/>
    <w:rsid w:val="0075113E"/>
    <w:rsid w:val="0075145D"/>
    <w:rsid w:val="0075177B"/>
    <w:rsid w:val="00752075"/>
    <w:rsid w:val="0075267B"/>
    <w:rsid w:val="00752822"/>
    <w:rsid w:val="007533E7"/>
    <w:rsid w:val="007535F1"/>
    <w:rsid w:val="00753A0D"/>
    <w:rsid w:val="00753B2A"/>
    <w:rsid w:val="00753B57"/>
    <w:rsid w:val="00753C48"/>
    <w:rsid w:val="00753CFC"/>
    <w:rsid w:val="00753E36"/>
    <w:rsid w:val="007544B4"/>
    <w:rsid w:val="00754656"/>
    <w:rsid w:val="00754688"/>
    <w:rsid w:val="00754D70"/>
    <w:rsid w:val="00754DE4"/>
    <w:rsid w:val="00754DEA"/>
    <w:rsid w:val="0075540F"/>
    <w:rsid w:val="00755DF5"/>
    <w:rsid w:val="00755E6F"/>
    <w:rsid w:val="00756346"/>
    <w:rsid w:val="007568B9"/>
    <w:rsid w:val="00756E50"/>
    <w:rsid w:val="00757036"/>
    <w:rsid w:val="007572FA"/>
    <w:rsid w:val="007575EE"/>
    <w:rsid w:val="0075794C"/>
    <w:rsid w:val="00757C47"/>
    <w:rsid w:val="007603D8"/>
    <w:rsid w:val="007605D5"/>
    <w:rsid w:val="00760664"/>
    <w:rsid w:val="0076098C"/>
    <w:rsid w:val="007609FC"/>
    <w:rsid w:val="00760F6E"/>
    <w:rsid w:val="0076106C"/>
    <w:rsid w:val="007612A8"/>
    <w:rsid w:val="00761528"/>
    <w:rsid w:val="0076192C"/>
    <w:rsid w:val="00761E81"/>
    <w:rsid w:val="007625A4"/>
    <w:rsid w:val="00762A33"/>
    <w:rsid w:val="00762C1C"/>
    <w:rsid w:val="00763368"/>
    <w:rsid w:val="00763CB4"/>
    <w:rsid w:val="00763E60"/>
    <w:rsid w:val="007640FF"/>
    <w:rsid w:val="0076419A"/>
    <w:rsid w:val="007642FE"/>
    <w:rsid w:val="007643B3"/>
    <w:rsid w:val="00764502"/>
    <w:rsid w:val="00764568"/>
    <w:rsid w:val="00764762"/>
    <w:rsid w:val="00764ADA"/>
    <w:rsid w:val="00764D19"/>
    <w:rsid w:val="00764F2E"/>
    <w:rsid w:val="007650EF"/>
    <w:rsid w:val="007657E5"/>
    <w:rsid w:val="007664C1"/>
    <w:rsid w:val="007664E3"/>
    <w:rsid w:val="00767956"/>
    <w:rsid w:val="00767DA1"/>
    <w:rsid w:val="00771228"/>
    <w:rsid w:val="007713F9"/>
    <w:rsid w:val="0077151F"/>
    <w:rsid w:val="00771DBF"/>
    <w:rsid w:val="00771FE8"/>
    <w:rsid w:val="007723DF"/>
    <w:rsid w:val="0077248A"/>
    <w:rsid w:val="00772807"/>
    <w:rsid w:val="00772B4C"/>
    <w:rsid w:val="00772F18"/>
    <w:rsid w:val="007732BE"/>
    <w:rsid w:val="0077351C"/>
    <w:rsid w:val="0077366B"/>
    <w:rsid w:val="00773DB0"/>
    <w:rsid w:val="00773DBA"/>
    <w:rsid w:val="00773F2C"/>
    <w:rsid w:val="0077406A"/>
    <w:rsid w:val="007743BD"/>
    <w:rsid w:val="007745E0"/>
    <w:rsid w:val="00774D16"/>
    <w:rsid w:val="007761E0"/>
    <w:rsid w:val="00776400"/>
    <w:rsid w:val="007767D7"/>
    <w:rsid w:val="0077685F"/>
    <w:rsid w:val="00776C7D"/>
    <w:rsid w:val="007771C8"/>
    <w:rsid w:val="007773E7"/>
    <w:rsid w:val="0077760F"/>
    <w:rsid w:val="00777626"/>
    <w:rsid w:val="00780226"/>
    <w:rsid w:val="0078035C"/>
    <w:rsid w:val="007806CE"/>
    <w:rsid w:val="007809AD"/>
    <w:rsid w:val="00781935"/>
    <w:rsid w:val="00781C2F"/>
    <w:rsid w:val="00782289"/>
    <w:rsid w:val="0078264F"/>
    <w:rsid w:val="0078323F"/>
    <w:rsid w:val="007835B3"/>
    <w:rsid w:val="007835C4"/>
    <w:rsid w:val="00783DA5"/>
    <w:rsid w:val="00783F6D"/>
    <w:rsid w:val="00783FD1"/>
    <w:rsid w:val="0078422D"/>
    <w:rsid w:val="0078479F"/>
    <w:rsid w:val="007847B8"/>
    <w:rsid w:val="00784B0B"/>
    <w:rsid w:val="007850D5"/>
    <w:rsid w:val="0078516E"/>
    <w:rsid w:val="007851A4"/>
    <w:rsid w:val="007852BB"/>
    <w:rsid w:val="00785ACD"/>
    <w:rsid w:val="00785DFC"/>
    <w:rsid w:val="00785F1E"/>
    <w:rsid w:val="00786D3E"/>
    <w:rsid w:val="00786E94"/>
    <w:rsid w:val="00787100"/>
    <w:rsid w:val="007871F5"/>
    <w:rsid w:val="00787531"/>
    <w:rsid w:val="00787A19"/>
    <w:rsid w:val="00787AFD"/>
    <w:rsid w:val="00787BAC"/>
    <w:rsid w:val="00787C99"/>
    <w:rsid w:val="0079043C"/>
    <w:rsid w:val="0079081F"/>
    <w:rsid w:val="00790BC5"/>
    <w:rsid w:val="007910B1"/>
    <w:rsid w:val="00791152"/>
    <w:rsid w:val="0079150C"/>
    <w:rsid w:val="00791514"/>
    <w:rsid w:val="0079158E"/>
    <w:rsid w:val="00791BC4"/>
    <w:rsid w:val="0079205D"/>
    <w:rsid w:val="0079218A"/>
    <w:rsid w:val="0079222D"/>
    <w:rsid w:val="00792379"/>
    <w:rsid w:val="00792692"/>
    <w:rsid w:val="007929FE"/>
    <w:rsid w:val="00792A35"/>
    <w:rsid w:val="00792AFB"/>
    <w:rsid w:val="00793096"/>
    <w:rsid w:val="007932EC"/>
    <w:rsid w:val="00793D78"/>
    <w:rsid w:val="0079402C"/>
    <w:rsid w:val="007941EE"/>
    <w:rsid w:val="00795008"/>
    <w:rsid w:val="0079501C"/>
    <w:rsid w:val="0079501E"/>
    <w:rsid w:val="0079588D"/>
    <w:rsid w:val="00796414"/>
    <w:rsid w:val="00796A4E"/>
    <w:rsid w:val="00796C25"/>
    <w:rsid w:val="00796DA5"/>
    <w:rsid w:val="00796E3B"/>
    <w:rsid w:val="00797656"/>
    <w:rsid w:val="007977F2"/>
    <w:rsid w:val="00797816"/>
    <w:rsid w:val="007978F8"/>
    <w:rsid w:val="00797C11"/>
    <w:rsid w:val="007A022F"/>
    <w:rsid w:val="007A051E"/>
    <w:rsid w:val="007A06FB"/>
    <w:rsid w:val="007A084E"/>
    <w:rsid w:val="007A0B61"/>
    <w:rsid w:val="007A0E12"/>
    <w:rsid w:val="007A0F2A"/>
    <w:rsid w:val="007A106E"/>
    <w:rsid w:val="007A1547"/>
    <w:rsid w:val="007A1A79"/>
    <w:rsid w:val="007A1C76"/>
    <w:rsid w:val="007A2639"/>
    <w:rsid w:val="007A2706"/>
    <w:rsid w:val="007A2F41"/>
    <w:rsid w:val="007A3320"/>
    <w:rsid w:val="007A3437"/>
    <w:rsid w:val="007A3535"/>
    <w:rsid w:val="007A3721"/>
    <w:rsid w:val="007A3733"/>
    <w:rsid w:val="007A3B5F"/>
    <w:rsid w:val="007A527B"/>
    <w:rsid w:val="007A52EC"/>
    <w:rsid w:val="007A54C8"/>
    <w:rsid w:val="007A588F"/>
    <w:rsid w:val="007A59DE"/>
    <w:rsid w:val="007A5BBF"/>
    <w:rsid w:val="007A649B"/>
    <w:rsid w:val="007A6878"/>
    <w:rsid w:val="007A7941"/>
    <w:rsid w:val="007A7975"/>
    <w:rsid w:val="007A7AD5"/>
    <w:rsid w:val="007B0319"/>
    <w:rsid w:val="007B04DD"/>
    <w:rsid w:val="007B05B5"/>
    <w:rsid w:val="007B113F"/>
    <w:rsid w:val="007B15E0"/>
    <w:rsid w:val="007B23BF"/>
    <w:rsid w:val="007B268E"/>
    <w:rsid w:val="007B2D1B"/>
    <w:rsid w:val="007B3241"/>
    <w:rsid w:val="007B3BEE"/>
    <w:rsid w:val="007B3DD3"/>
    <w:rsid w:val="007B4195"/>
    <w:rsid w:val="007B438B"/>
    <w:rsid w:val="007B4517"/>
    <w:rsid w:val="007B45FB"/>
    <w:rsid w:val="007B4BBD"/>
    <w:rsid w:val="007B4C2F"/>
    <w:rsid w:val="007B4F47"/>
    <w:rsid w:val="007B5344"/>
    <w:rsid w:val="007B5693"/>
    <w:rsid w:val="007B5803"/>
    <w:rsid w:val="007B637D"/>
    <w:rsid w:val="007B670E"/>
    <w:rsid w:val="007B6AC4"/>
    <w:rsid w:val="007B6D32"/>
    <w:rsid w:val="007B7197"/>
    <w:rsid w:val="007B7A6B"/>
    <w:rsid w:val="007C00E9"/>
    <w:rsid w:val="007C018A"/>
    <w:rsid w:val="007C04E7"/>
    <w:rsid w:val="007C0B6C"/>
    <w:rsid w:val="007C0C27"/>
    <w:rsid w:val="007C0C2B"/>
    <w:rsid w:val="007C0E06"/>
    <w:rsid w:val="007C0E92"/>
    <w:rsid w:val="007C118A"/>
    <w:rsid w:val="007C12A6"/>
    <w:rsid w:val="007C12FE"/>
    <w:rsid w:val="007C170B"/>
    <w:rsid w:val="007C17C2"/>
    <w:rsid w:val="007C19FA"/>
    <w:rsid w:val="007C1A76"/>
    <w:rsid w:val="007C1D58"/>
    <w:rsid w:val="007C21D1"/>
    <w:rsid w:val="007C23B2"/>
    <w:rsid w:val="007C2B78"/>
    <w:rsid w:val="007C326A"/>
    <w:rsid w:val="007C3724"/>
    <w:rsid w:val="007C41F7"/>
    <w:rsid w:val="007C44C2"/>
    <w:rsid w:val="007C4981"/>
    <w:rsid w:val="007C561D"/>
    <w:rsid w:val="007C5773"/>
    <w:rsid w:val="007C5CB2"/>
    <w:rsid w:val="007C5D32"/>
    <w:rsid w:val="007C5F1C"/>
    <w:rsid w:val="007C69AC"/>
    <w:rsid w:val="007C6C23"/>
    <w:rsid w:val="007C74E9"/>
    <w:rsid w:val="007C75E9"/>
    <w:rsid w:val="007C7628"/>
    <w:rsid w:val="007D05D0"/>
    <w:rsid w:val="007D14D0"/>
    <w:rsid w:val="007D1720"/>
    <w:rsid w:val="007D1875"/>
    <w:rsid w:val="007D1CC4"/>
    <w:rsid w:val="007D2126"/>
    <w:rsid w:val="007D26A9"/>
    <w:rsid w:val="007D273D"/>
    <w:rsid w:val="007D2812"/>
    <w:rsid w:val="007D2897"/>
    <w:rsid w:val="007D2AAB"/>
    <w:rsid w:val="007D3052"/>
    <w:rsid w:val="007D375C"/>
    <w:rsid w:val="007D3944"/>
    <w:rsid w:val="007D43A0"/>
    <w:rsid w:val="007D484E"/>
    <w:rsid w:val="007D48A0"/>
    <w:rsid w:val="007D4F81"/>
    <w:rsid w:val="007D4F99"/>
    <w:rsid w:val="007D5226"/>
    <w:rsid w:val="007D5AFE"/>
    <w:rsid w:val="007D5E1C"/>
    <w:rsid w:val="007D60B7"/>
    <w:rsid w:val="007D61A9"/>
    <w:rsid w:val="007D629F"/>
    <w:rsid w:val="007D6951"/>
    <w:rsid w:val="007D6C61"/>
    <w:rsid w:val="007D6E23"/>
    <w:rsid w:val="007D7DE0"/>
    <w:rsid w:val="007E0037"/>
    <w:rsid w:val="007E01DC"/>
    <w:rsid w:val="007E057B"/>
    <w:rsid w:val="007E0654"/>
    <w:rsid w:val="007E070C"/>
    <w:rsid w:val="007E0AB9"/>
    <w:rsid w:val="007E117E"/>
    <w:rsid w:val="007E1813"/>
    <w:rsid w:val="007E1A9A"/>
    <w:rsid w:val="007E1D05"/>
    <w:rsid w:val="007E1F5F"/>
    <w:rsid w:val="007E2763"/>
    <w:rsid w:val="007E3644"/>
    <w:rsid w:val="007E3702"/>
    <w:rsid w:val="007E3783"/>
    <w:rsid w:val="007E3896"/>
    <w:rsid w:val="007E4F80"/>
    <w:rsid w:val="007E5197"/>
    <w:rsid w:val="007E5454"/>
    <w:rsid w:val="007E56F9"/>
    <w:rsid w:val="007E5C6C"/>
    <w:rsid w:val="007E5E2B"/>
    <w:rsid w:val="007E5FD9"/>
    <w:rsid w:val="007E6062"/>
    <w:rsid w:val="007E6510"/>
    <w:rsid w:val="007E6512"/>
    <w:rsid w:val="007E67C9"/>
    <w:rsid w:val="007E6E1B"/>
    <w:rsid w:val="007E7220"/>
    <w:rsid w:val="007E72DA"/>
    <w:rsid w:val="007E72FF"/>
    <w:rsid w:val="007E7321"/>
    <w:rsid w:val="007E74B4"/>
    <w:rsid w:val="007E7608"/>
    <w:rsid w:val="007E7AD3"/>
    <w:rsid w:val="007E7C4D"/>
    <w:rsid w:val="007E7EDE"/>
    <w:rsid w:val="007E7FC2"/>
    <w:rsid w:val="007F008D"/>
    <w:rsid w:val="007F0175"/>
    <w:rsid w:val="007F083A"/>
    <w:rsid w:val="007F0E2F"/>
    <w:rsid w:val="007F0E8C"/>
    <w:rsid w:val="007F102E"/>
    <w:rsid w:val="007F11C1"/>
    <w:rsid w:val="007F126F"/>
    <w:rsid w:val="007F1524"/>
    <w:rsid w:val="007F22D5"/>
    <w:rsid w:val="007F2936"/>
    <w:rsid w:val="007F2B6F"/>
    <w:rsid w:val="007F2CD8"/>
    <w:rsid w:val="007F2E96"/>
    <w:rsid w:val="007F2F0E"/>
    <w:rsid w:val="007F2F92"/>
    <w:rsid w:val="007F31CB"/>
    <w:rsid w:val="007F35D7"/>
    <w:rsid w:val="007F36C5"/>
    <w:rsid w:val="007F3D66"/>
    <w:rsid w:val="007F4108"/>
    <w:rsid w:val="007F4360"/>
    <w:rsid w:val="007F47A6"/>
    <w:rsid w:val="007F48D4"/>
    <w:rsid w:val="007F4950"/>
    <w:rsid w:val="007F4AA0"/>
    <w:rsid w:val="007F4E97"/>
    <w:rsid w:val="007F4FA1"/>
    <w:rsid w:val="007F50C7"/>
    <w:rsid w:val="007F52CC"/>
    <w:rsid w:val="007F547A"/>
    <w:rsid w:val="007F58BD"/>
    <w:rsid w:val="007F597E"/>
    <w:rsid w:val="007F5A96"/>
    <w:rsid w:val="007F5D5F"/>
    <w:rsid w:val="007F5E9E"/>
    <w:rsid w:val="007F6507"/>
    <w:rsid w:val="007F68AE"/>
    <w:rsid w:val="007F6FEE"/>
    <w:rsid w:val="007F742D"/>
    <w:rsid w:val="007F7823"/>
    <w:rsid w:val="007F7AF7"/>
    <w:rsid w:val="007F7D17"/>
    <w:rsid w:val="008000C0"/>
    <w:rsid w:val="00800D45"/>
    <w:rsid w:val="00800EA3"/>
    <w:rsid w:val="0080101C"/>
    <w:rsid w:val="008010A6"/>
    <w:rsid w:val="008010B8"/>
    <w:rsid w:val="008010F0"/>
    <w:rsid w:val="008016B4"/>
    <w:rsid w:val="00801E8B"/>
    <w:rsid w:val="0080207F"/>
    <w:rsid w:val="0080213D"/>
    <w:rsid w:val="00802C83"/>
    <w:rsid w:val="0080372D"/>
    <w:rsid w:val="008037AF"/>
    <w:rsid w:val="00803B13"/>
    <w:rsid w:val="00803B5B"/>
    <w:rsid w:val="00803D11"/>
    <w:rsid w:val="008048E1"/>
    <w:rsid w:val="00805132"/>
    <w:rsid w:val="0080537F"/>
    <w:rsid w:val="0080544E"/>
    <w:rsid w:val="00805594"/>
    <w:rsid w:val="008057DD"/>
    <w:rsid w:val="00805D0E"/>
    <w:rsid w:val="00806042"/>
    <w:rsid w:val="00806120"/>
    <w:rsid w:val="00806906"/>
    <w:rsid w:val="00806D98"/>
    <w:rsid w:val="0080790A"/>
    <w:rsid w:val="00807D5E"/>
    <w:rsid w:val="00807D9D"/>
    <w:rsid w:val="00810131"/>
    <w:rsid w:val="008109FA"/>
    <w:rsid w:val="0081113D"/>
    <w:rsid w:val="008114FC"/>
    <w:rsid w:val="0081195A"/>
    <w:rsid w:val="00811AFF"/>
    <w:rsid w:val="008120CB"/>
    <w:rsid w:val="00812284"/>
    <w:rsid w:val="00812602"/>
    <w:rsid w:val="00812CC3"/>
    <w:rsid w:val="008134A6"/>
    <w:rsid w:val="00813621"/>
    <w:rsid w:val="008138C8"/>
    <w:rsid w:val="00813B1D"/>
    <w:rsid w:val="00813FE5"/>
    <w:rsid w:val="008144C4"/>
    <w:rsid w:val="00814F2D"/>
    <w:rsid w:val="00815423"/>
    <w:rsid w:val="008154F6"/>
    <w:rsid w:val="0081559A"/>
    <w:rsid w:val="00815BAE"/>
    <w:rsid w:val="008167E0"/>
    <w:rsid w:val="00816951"/>
    <w:rsid w:val="00816A9E"/>
    <w:rsid w:val="00817CC0"/>
    <w:rsid w:val="00817DD5"/>
    <w:rsid w:val="00817E8D"/>
    <w:rsid w:val="00817F9D"/>
    <w:rsid w:val="008206F9"/>
    <w:rsid w:val="00820A8E"/>
    <w:rsid w:val="00820C5D"/>
    <w:rsid w:val="0082100A"/>
    <w:rsid w:val="008212B8"/>
    <w:rsid w:val="008215BF"/>
    <w:rsid w:val="0082173D"/>
    <w:rsid w:val="00821871"/>
    <w:rsid w:val="00821D82"/>
    <w:rsid w:val="00821F87"/>
    <w:rsid w:val="008220DF"/>
    <w:rsid w:val="00822508"/>
    <w:rsid w:val="0082250E"/>
    <w:rsid w:val="00822510"/>
    <w:rsid w:val="0082264A"/>
    <w:rsid w:val="008230A8"/>
    <w:rsid w:val="0082323A"/>
    <w:rsid w:val="00823A83"/>
    <w:rsid w:val="00823D25"/>
    <w:rsid w:val="00823F27"/>
    <w:rsid w:val="00823F79"/>
    <w:rsid w:val="00824673"/>
    <w:rsid w:val="008247C1"/>
    <w:rsid w:val="00824D32"/>
    <w:rsid w:val="00824FAA"/>
    <w:rsid w:val="008251A7"/>
    <w:rsid w:val="00825245"/>
    <w:rsid w:val="0082590A"/>
    <w:rsid w:val="008259A6"/>
    <w:rsid w:val="00825CE9"/>
    <w:rsid w:val="00826034"/>
    <w:rsid w:val="008265DC"/>
    <w:rsid w:val="008269D4"/>
    <w:rsid w:val="00826B2C"/>
    <w:rsid w:val="00827145"/>
    <w:rsid w:val="0082771F"/>
    <w:rsid w:val="00827B31"/>
    <w:rsid w:val="00827BBD"/>
    <w:rsid w:val="00827C1B"/>
    <w:rsid w:val="00827D32"/>
    <w:rsid w:val="00827EBF"/>
    <w:rsid w:val="0083003F"/>
    <w:rsid w:val="0083015A"/>
    <w:rsid w:val="00830DA7"/>
    <w:rsid w:val="008314DC"/>
    <w:rsid w:val="00831636"/>
    <w:rsid w:val="00831A5A"/>
    <w:rsid w:val="0083201B"/>
    <w:rsid w:val="00832332"/>
    <w:rsid w:val="008324C3"/>
    <w:rsid w:val="008330F0"/>
    <w:rsid w:val="008332B2"/>
    <w:rsid w:val="008332C3"/>
    <w:rsid w:val="00834210"/>
    <w:rsid w:val="00834493"/>
    <w:rsid w:val="008347EC"/>
    <w:rsid w:val="00834A77"/>
    <w:rsid w:val="00834C1F"/>
    <w:rsid w:val="00834CA7"/>
    <w:rsid w:val="00835503"/>
    <w:rsid w:val="00835A28"/>
    <w:rsid w:val="00835E6C"/>
    <w:rsid w:val="0083614B"/>
    <w:rsid w:val="00836331"/>
    <w:rsid w:val="008364D7"/>
    <w:rsid w:val="0083671A"/>
    <w:rsid w:val="0083671D"/>
    <w:rsid w:val="0083687E"/>
    <w:rsid w:val="00836E89"/>
    <w:rsid w:val="00836F20"/>
    <w:rsid w:val="00836FE8"/>
    <w:rsid w:val="00837167"/>
    <w:rsid w:val="008379CA"/>
    <w:rsid w:val="00837ADD"/>
    <w:rsid w:val="00837EF9"/>
    <w:rsid w:val="00837F72"/>
    <w:rsid w:val="008403B5"/>
    <w:rsid w:val="00840401"/>
    <w:rsid w:val="008404D9"/>
    <w:rsid w:val="008404EF"/>
    <w:rsid w:val="00840988"/>
    <w:rsid w:val="00840A11"/>
    <w:rsid w:val="0084183E"/>
    <w:rsid w:val="00841A09"/>
    <w:rsid w:val="00841B58"/>
    <w:rsid w:val="00841F89"/>
    <w:rsid w:val="008421EF"/>
    <w:rsid w:val="00842845"/>
    <w:rsid w:val="00842DEB"/>
    <w:rsid w:val="008436BF"/>
    <w:rsid w:val="00843941"/>
    <w:rsid w:val="008439C1"/>
    <w:rsid w:val="00843B0F"/>
    <w:rsid w:val="00843E8E"/>
    <w:rsid w:val="008441D7"/>
    <w:rsid w:val="0084430A"/>
    <w:rsid w:val="00844DE0"/>
    <w:rsid w:val="00844E5E"/>
    <w:rsid w:val="00844E9A"/>
    <w:rsid w:val="008457CB"/>
    <w:rsid w:val="00845FBC"/>
    <w:rsid w:val="008460FB"/>
    <w:rsid w:val="0084621F"/>
    <w:rsid w:val="008462E9"/>
    <w:rsid w:val="00846949"/>
    <w:rsid w:val="00847263"/>
    <w:rsid w:val="008473B9"/>
    <w:rsid w:val="00847F04"/>
    <w:rsid w:val="00850235"/>
    <w:rsid w:val="00850519"/>
    <w:rsid w:val="00850575"/>
    <w:rsid w:val="00850BBE"/>
    <w:rsid w:val="00850E5A"/>
    <w:rsid w:val="00850EB9"/>
    <w:rsid w:val="00851302"/>
    <w:rsid w:val="00851547"/>
    <w:rsid w:val="0085155A"/>
    <w:rsid w:val="00851685"/>
    <w:rsid w:val="00851BF7"/>
    <w:rsid w:val="00851D9D"/>
    <w:rsid w:val="00851DED"/>
    <w:rsid w:val="0085248C"/>
    <w:rsid w:val="008524FE"/>
    <w:rsid w:val="00853039"/>
    <w:rsid w:val="008530E8"/>
    <w:rsid w:val="0085324E"/>
    <w:rsid w:val="008532B8"/>
    <w:rsid w:val="00853459"/>
    <w:rsid w:val="00853B5E"/>
    <w:rsid w:val="00853FF7"/>
    <w:rsid w:val="0085429D"/>
    <w:rsid w:val="008548D8"/>
    <w:rsid w:val="00854C83"/>
    <w:rsid w:val="00854E05"/>
    <w:rsid w:val="00854E74"/>
    <w:rsid w:val="00854E7F"/>
    <w:rsid w:val="00855035"/>
    <w:rsid w:val="008551BD"/>
    <w:rsid w:val="008559F4"/>
    <w:rsid w:val="00855A1B"/>
    <w:rsid w:val="00855B67"/>
    <w:rsid w:val="00855B87"/>
    <w:rsid w:val="00855BE7"/>
    <w:rsid w:val="00856315"/>
    <w:rsid w:val="0085678E"/>
    <w:rsid w:val="00857029"/>
    <w:rsid w:val="00857160"/>
    <w:rsid w:val="0085776C"/>
    <w:rsid w:val="008606AF"/>
    <w:rsid w:val="008606F9"/>
    <w:rsid w:val="00860869"/>
    <w:rsid w:val="00860B96"/>
    <w:rsid w:val="00860BE4"/>
    <w:rsid w:val="00860E4D"/>
    <w:rsid w:val="00861251"/>
    <w:rsid w:val="008613BB"/>
    <w:rsid w:val="008621AB"/>
    <w:rsid w:val="00862503"/>
    <w:rsid w:val="00862868"/>
    <w:rsid w:val="0086297E"/>
    <w:rsid w:val="00862B86"/>
    <w:rsid w:val="00862C0B"/>
    <w:rsid w:val="0086316A"/>
    <w:rsid w:val="00863A75"/>
    <w:rsid w:val="00863AA9"/>
    <w:rsid w:val="00863E68"/>
    <w:rsid w:val="0086437D"/>
    <w:rsid w:val="00864475"/>
    <w:rsid w:val="00864868"/>
    <w:rsid w:val="00864984"/>
    <w:rsid w:val="008651AE"/>
    <w:rsid w:val="00865AFA"/>
    <w:rsid w:val="00865DC0"/>
    <w:rsid w:val="00865FF1"/>
    <w:rsid w:val="00866656"/>
    <w:rsid w:val="00866D14"/>
    <w:rsid w:val="00867204"/>
    <w:rsid w:val="00867410"/>
    <w:rsid w:val="00867F2B"/>
    <w:rsid w:val="00867FA4"/>
    <w:rsid w:val="008703AD"/>
    <w:rsid w:val="00870607"/>
    <w:rsid w:val="00870FCA"/>
    <w:rsid w:val="0087103E"/>
    <w:rsid w:val="00871091"/>
    <w:rsid w:val="00871ACD"/>
    <w:rsid w:val="00871BAA"/>
    <w:rsid w:val="00871CC0"/>
    <w:rsid w:val="00871E5D"/>
    <w:rsid w:val="00872790"/>
    <w:rsid w:val="00872933"/>
    <w:rsid w:val="00872AF2"/>
    <w:rsid w:val="00872C94"/>
    <w:rsid w:val="00872FC9"/>
    <w:rsid w:val="00873096"/>
    <w:rsid w:val="00873244"/>
    <w:rsid w:val="00873C27"/>
    <w:rsid w:val="00873D79"/>
    <w:rsid w:val="00873DDB"/>
    <w:rsid w:val="0087413B"/>
    <w:rsid w:val="008742A6"/>
    <w:rsid w:val="008743D5"/>
    <w:rsid w:val="008747BA"/>
    <w:rsid w:val="008748FA"/>
    <w:rsid w:val="008749EB"/>
    <w:rsid w:val="00874B44"/>
    <w:rsid w:val="00874CA6"/>
    <w:rsid w:val="00874E7C"/>
    <w:rsid w:val="00874F56"/>
    <w:rsid w:val="008750A8"/>
    <w:rsid w:val="0087560B"/>
    <w:rsid w:val="00875644"/>
    <w:rsid w:val="00875ADD"/>
    <w:rsid w:val="008761EA"/>
    <w:rsid w:val="008761F7"/>
    <w:rsid w:val="008764C0"/>
    <w:rsid w:val="008764F1"/>
    <w:rsid w:val="0087692B"/>
    <w:rsid w:val="008772A9"/>
    <w:rsid w:val="00877599"/>
    <w:rsid w:val="00877814"/>
    <w:rsid w:val="00877844"/>
    <w:rsid w:val="00877CAD"/>
    <w:rsid w:val="00877E05"/>
    <w:rsid w:val="00880035"/>
    <w:rsid w:val="0088036A"/>
    <w:rsid w:val="0088062B"/>
    <w:rsid w:val="008806BF"/>
    <w:rsid w:val="0088099F"/>
    <w:rsid w:val="00880BE4"/>
    <w:rsid w:val="00880DE7"/>
    <w:rsid w:val="0088118B"/>
    <w:rsid w:val="0088132B"/>
    <w:rsid w:val="00881698"/>
    <w:rsid w:val="00881F45"/>
    <w:rsid w:val="00882103"/>
    <w:rsid w:val="0088249F"/>
    <w:rsid w:val="0088274C"/>
    <w:rsid w:val="00882ABC"/>
    <w:rsid w:val="0088322C"/>
    <w:rsid w:val="00883340"/>
    <w:rsid w:val="00883405"/>
    <w:rsid w:val="00883732"/>
    <w:rsid w:val="00883A4B"/>
    <w:rsid w:val="0088456A"/>
    <w:rsid w:val="0088477D"/>
    <w:rsid w:val="008849EF"/>
    <w:rsid w:val="00884ABB"/>
    <w:rsid w:val="00885910"/>
    <w:rsid w:val="00885BF9"/>
    <w:rsid w:val="00885E3B"/>
    <w:rsid w:val="008860CF"/>
    <w:rsid w:val="00886458"/>
    <w:rsid w:val="008865BA"/>
    <w:rsid w:val="00886BA0"/>
    <w:rsid w:val="00886C7D"/>
    <w:rsid w:val="00886DA4"/>
    <w:rsid w:val="00887652"/>
    <w:rsid w:val="00887A72"/>
    <w:rsid w:val="00887D26"/>
    <w:rsid w:val="00887F80"/>
    <w:rsid w:val="00890517"/>
    <w:rsid w:val="00890DF8"/>
    <w:rsid w:val="00890E02"/>
    <w:rsid w:val="00891039"/>
    <w:rsid w:val="008910D3"/>
    <w:rsid w:val="00891853"/>
    <w:rsid w:val="00891D1E"/>
    <w:rsid w:val="00891F38"/>
    <w:rsid w:val="00892041"/>
    <w:rsid w:val="0089302E"/>
    <w:rsid w:val="0089309A"/>
    <w:rsid w:val="008931A6"/>
    <w:rsid w:val="00893A69"/>
    <w:rsid w:val="00893B7F"/>
    <w:rsid w:val="00893DBF"/>
    <w:rsid w:val="00893F45"/>
    <w:rsid w:val="00894B8A"/>
    <w:rsid w:val="0089560A"/>
    <w:rsid w:val="008956CD"/>
    <w:rsid w:val="00895AE5"/>
    <w:rsid w:val="00896076"/>
    <w:rsid w:val="008960E4"/>
    <w:rsid w:val="0089652B"/>
    <w:rsid w:val="008965FB"/>
    <w:rsid w:val="008967A2"/>
    <w:rsid w:val="00896A30"/>
    <w:rsid w:val="00896CB6"/>
    <w:rsid w:val="00896D5C"/>
    <w:rsid w:val="008971D2"/>
    <w:rsid w:val="008A09CA"/>
    <w:rsid w:val="008A0B23"/>
    <w:rsid w:val="008A0D4F"/>
    <w:rsid w:val="008A1543"/>
    <w:rsid w:val="008A1987"/>
    <w:rsid w:val="008A1B5D"/>
    <w:rsid w:val="008A202A"/>
    <w:rsid w:val="008A2D5A"/>
    <w:rsid w:val="008A2FF2"/>
    <w:rsid w:val="008A31C9"/>
    <w:rsid w:val="008A32A8"/>
    <w:rsid w:val="008A36F0"/>
    <w:rsid w:val="008A3728"/>
    <w:rsid w:val="008A3852"/>
    <w:rsid w:val="008A392B"/>
    <w:rsid w:val="008A3937"/>
    <w:rsid w:val="008A3C9F"/>
    <w:rsid w:val="008A3DF7"/>
    <w:rsid w:val="008A44E5"/>
    <w:rsid w:val="008A574A"/>
    <w:rsid w:val="008A5853"/>
    <w:rsid w:val="008A5976"/>
    <w:rsid w:val="008A59A7"/>
    <w:rsid w:val="008A5DE8"/>
    <w:rsid w:val="008A5E15"/>
    <w:rsid w:val="008A6054"/>
    <w:rsid w:val="008A6399"/>
    <w:rsid w:val="008A647E"/>
    <w:rsid w:val="008A6BCA"/>
    <w:rsid w:val="008A7011"/>
    <w:rsid w:val="008A76B1"/>
    <w:rsid w:val="008A77B0"/>
    <w:rsid w:val="008A7E0C"/>
    <w:rsid w:val="008A7E70"/>
    <w:rsid w:val="008A7F74"/>
    <w:rsid w:val="008B0045"/>
    <w:rsid w:val="008B010F"/>
    <w:rsid w:val="008B017A"/>
    <w:rsid w:val="008B029B"/>
    <w:rsid w:val="008B03C9"/>
    <w:rsid w:val="008B04EA"/>
    <w:rsid w:val="008B172A"/>
    <w:rsid w:val="008B1752"/>
    <w:rsid w:val="008B1987"/>
    <w:rsid w:val="008B19DA"/>
    <w:rsid w:val="008B1E83"/>
    <w:rsid w:val="008B23CD"/>
    <w:rsid w:val="008B23ED"/>
    <w:rsid w:val="008B23F4"/>
    <w:rsid w:val="008B24E2"/>
    <w:rsid w:val="008B273C"/>
    <w:rsid w:val="008B35D1"/>
    <w:rsid w:val="008B38AC"/>
    <w:rsid w:val="008B3A96"/>
    <w:rsid w:val="008B45D1"/>
    <w:rsid w:val="008B46DD"/>
    <w:rsid w:val="008B4995"/>
    <w:rsid w:val="008B4A1B"/>
    <w:rsid w:val="008B4B79"/>
    <w:rsid w:val="008B5015"/>
    <w:rsid w:val="008B53AA"/>
    <w:rsid w:val="008B5522"/>
    <w:rsid w:val="008B554D"/>
    <w:rsid w:val="008B576A"/>
    <w:rsid w:val="008B5AA9"/>
    <w:rsid w:val="008B6F07"/>
    <w:rsid w:val="008B6F50"/>
    <w:rsid w:val="008B7494"/>
    <w:rsid w:val="008B7529"/>
    <w:rsid w:val="008B780C"/>
    <w:rsid w:val="008B7D8B"/>
    <w:rsid w:val="008C0180"/>
    <w:rsid w:val="008C05BB"/>
    <w:rsid w:val="008C05E4"/>
    <w:rsid w:val="008C0AC4"/>
    <w:rsid w:val="008C0F87"/>
    <w:rsid w:val="008C1486"/>
    <w:rsid w:val="008C1686"/>
    <w:rsid w:val="008C1B95"/>
    <w:rsid w:val="008C2053"/>
    <w:rsid w:val="008C220F"/>
    <w:rsid w:val="008C23BA"/>
    <w:rsid w:val="008C2EFC"/>
    <w:rsid w:val="008C2F5F"/>
    <w:rsid w:val="008C306B"/>
    <w:rsid w:val="008C338A"/>
    <w:rsid w:val="008C3E6B"/>
    <w:rsid w:val="008C452A"/>
    <w:rsid w:val="008C4915"/>
    <w:rsid w:val="008C493B"/>
    <w:rsid w:val="008C5034"/>
    <w:rsid w:val="008C5253"/>
    <w:rsid w:val="008C5340"/>
    <w:rsid w:val="008C551F"/>
    <w:rsid w:val="008C59F5"/>
    <w:rsid w:val="008C5D8A"/>
    <w:rsid w:val="008C5E89"/>
    <w:rsid w:val="008C6B82"/>
    <w:rsid w:val="008C6C0D"/>
    <w:rsid w:val="008C6C93"/>
    <w:rsid w:val="008C6E20"/>
    <w:rsid w:val="008C74F4"/>
    <w:rsid w:val="008C7556"/>
    <w:rsid w:val="008C79E1"/>
    <w:rsid w:val="008D0BBA"/>
    <w:rsid w:val="008D0C7B"/>
    <w:rsid w:val="008D1198"/>
    <w:rsid w:val="008D1460"/>
    <w:rsid w:val="008D1633"/>
    <w:rsid w:val="008D1AA6"/>
    <w:rsid w:val="008D1E16"/>
    <w:rsid w:val="008D20E9"/>
    <w:rsid w:val="008D2835"/>
    <w:rsid w:val="008D28D0"/>
    <w:rsid w:val="008D2E13"/>
    <w:rsid w:val="008D33CE"/>
    <w:rsid w:val="008D36DD"/>
    <w:rsid w:val="008D3A2A"/>
    <w:rsid w:val="008D3AD3"/>
    <w:rsid w:val="008D3FD8"/>
    <w:rsid w:val="008D43CE"/>
    <w:rsid w:val="008D4657"/>
    <w:rsid w:val="008D4AC4"/>
    <w:rsid w:val="008D4CA1"/>
    <w:rsid w:val="008D55B7"/>
    <w:rsid w:val="008D5A19"/>
    <w:rsid w:val="008D5E14"/>
    <w:rsid w:val="008D5FA2"/>
    <w:rsid w:val="008D64DB"/>
    <w:rsid w:val="008D694A"/>
    <w:rsid w:val="008D6FA6"/>
    <w:rsid w:val="008D6FEB"/>
    <w:rsid w:val="008D752E"/>
    <w:rsid w:val="008D7795"/>
    <w:rsid w:val="008E00D6"/>
    <w:rsid w:val="008E048D"/>
    <w:rsid w:val="008E0C0F"/>
    <w:rsid w:val="008E10EB"/>
    <w:rsid w:val="008E1587"/>
    <w:rsid w:val="008E166F"/>
    <w:rsid w:val="008E1AE0"/>
    <w:rsid w:val="008E1F64"/>
    <w:rsid w:val="008E1FCB"/>
    <w:rsid w:val="008E2427"/>
    <w:rsid w:val="008E26EE"/>
    <w:rsid w:val="008E28B9"/>
    <w:rsid w:val="008E2A84"/>
    <w:rsid w:val="008E2AAF"/>
    <w:rsid w:val="008E2BCA"/>
    <w:rsid w:val="008E2FE8"/>
    <w:rsid w:val="008E33A3"/>
    <w:rsid w:val="008E33BE"/>
    <w:rsid w:val="008E3B7E"/>
    <w:rsid w:val="008E3F3D"/>
    <w:rsid w:val="008E44D0"/>
    <w:rsid w:val="008E456D"/>
    <w:rsid w:val="008E4683"/>
    <w:rsid w:val="008E488B"/>
    <w:rsid w:val="008E49CB"/>
    <w:rsid w:val="008E4EEB"/>
    <w:rsid w:val="008E5B75"/>
    <w:rsid w:val="008E6137"/>
    <w:rsid w:val="008E61D4"/>
    <w:rsid w:val="008E66F8"/>
    <w:rsid w:val="008E6745"/>
    <w:rsid w:val="008E675D"/>
    <w:rsid w:val="008E6AE9"/>
    <w:rsid w:val="008E6B41"/>
    <w:rsid w:val="008E6E9F"/>
    <w:rsid w:val="008E710A"/>
    <w:rsid w:val="008E737E"/>
    <w:rsid w:val="008E7511"/>
    <w:rsid w:val="008E7B88"/>
    <w:rsid w:val="008E7FB8"/>
    <w:rsid w:val="008F0035"/>
    <w:rsid w:val="008F012C"/>
    <w:rsid w:val="008F08B8"/>
    <w:rsid w:val="008F1303"/>
    <w:rsid w:val="008F193A"/>
    <w:rsid w:val="008F2086"/>
    <w:rsid w:val="008F2244"/>
    <w:rsid w:val="008F2526"/>
    <w:rsid w:val="008F288B"/>
    <w:rsid w:val="008F2C3F"/>
    <w:rsid w:val="008F2F5C"/>
    <w:rsid w:val="008F3DC1"/>
    <w:rsid w:val="008F3F23"/>
    <w:rsid w:val="008F40DE"/>
    <w:rsid w:val="008F433A"/>
    <w:rsid w:val="008F4849"/>
    <w:rsid w:val="008F4E18"/>
    <w:rsid w:val="008F4EAC"/>
    <w:rsid w:val="008F4EAD"/>
    <w:rsid w:val="008F53DF"/>
    <w:rsid w:val="008F569F"/>
    <w:rsid w:val="008F57DA"/>
    <w:rsid w:val="008F5A53"/>
    <w:rsid w:val="008F5ED7"/>
    <w:rsid w:val="008F60B3"/>
    <w:rsid w:val="008F623F"/>
    <w:rsid w:val="008F6288"/>
    <w:rsid w:val="008F68F0"/>
    <w:rsid w:val="008F69B3"/>
    <w:rsid w:val="008F6F90"/>
    <w:rsid w:val="008F704D"/>
    <w:rsid w:val="008F71BB"/>
    <w:rsid w:val="008F729D"/>
    <w:rsid w:val="008F77BE"/>
    <w:rsid w:val="008F7D17"/>
    <w:rsid w:val="008F7EE2"/>
    <w:rsid w:val="0090070A"/>
    <w:rsid w:val="00900729"/>
    <w:rsid w:val="0090089E"/>
    <w:rsid w:val="00900C82"/>
    <w:rsid w:val="00901292"/>
    <w:rsid w:val="00901C95"/>
    <w:rsid w:val="00902D8F"/>
    <w:rsid w:val="00902D9E"/>
    <w:rsid w:val="0090347A"/>
    <w:rsid w:val="0090394B"/>
    <w:rsid w:val="00903B57"/>
    <w:rsid w:val="00903B70"/>
    <w:rsid w:val="00903BA1"/>
    <w:rsid w:val="00903E49"/>
    <w:rsid w:val="00903E65"/>
    <w:rsid w:val="009044DA"/>
    <w:rsid w:val="00904576"/>
    <w:rsid w:val="00904879"/>
    <w:rsid w:val="00904B9F"/>
    <w:rsid w:val="00904C0C"/>
    <w:rsid w:val="00904F3B"/>
    <w:rsid w:val="0090537B"/>
    <w:rsid w:val="009057B3"/>
    <w:rsid w:val="00905D35"/>
    <w:rsid w:val="0090635A"/>
    <w:rsid w:val="0090636E"/>
    <w:rsid w:val="00906722"/>
    <w:rsid w:val="00906F29"/>
    <w:rsid w:val="00907172"/>
    <w:rsid w:val="00907619"/>
    <w:rsid w:val="00907785"/>
    <w:rsid w:val="00907A57"/>
    <w:rsid w:val="00907E54"/>
    <w:rsid w:val="00907E77"/>
    <w:rsid w:val="009100E9"/>
    <w:rsid w:val="009102AF"/>
    <w:rsid w:val="009103C9"/>
    <w:rsid w:val="00910620"/>
    <w:rsid w:val="00910894"/>
    <w:rsid w:val="00910ADB"/>
    <w:rsid w:val="009111AA"/>
    <w:rsid w:val="00911433"/>
    <w:rsid w:val="009114C7"/>
    <w:rsid w:val="009114E6"/>
    <w:rsid w:val="0091192A"/>
    <w:rsid w:val="00911E56"/>
    <w:rsid w:val="00911EB2"/>
    <w:rsid w:val="00911EE8"/>
    <w:rsid w:val="00911F22"/>
    <w:rsid w:val="009120B2"/>
    <w:rsid w:val="0091231C"/>
    <w:rsid w:val="009123C8"/>
    <w:rsid w:val="0091305F"/>
    <w:rsid w:val="009130CD"/>
    <w:rsid w:val="00913650"/>
    <w:rsid w:val="00913B41"/>
    <w:rsid w:val="00913C9B"/>
    <w:rsid w:val="00913CEE"/>
    <w:rsid w:val="00913EE4"/>
    <w:rsid w:val="0091405F"/>
    <w:rsid w:val="00914169"/>
    <w:rsid w:val="009142CB"/>
    <w:rsid w:val="00914421"/>
    <w:rsid w:val="009145FE"/>
    <w:rsid w:val="00914764"/>
    <w:rsid w:val="00914D25"/>
    <w:rsid w:val="009153EF"/>
    <w:rsid w:val="009155D3"/>
    <w:rsid w:val="00915770"/>
    <w:rsid w:val="0091577F"/>
    <w:rsid w:val="00915A80"/>
    <w:rsid w:val="00915D02"/>
    <w:rsid w:val="00915E6B"/>
    <w:rsid w:val="0091603E"/>
    <w:rsid w:val="009161D3"/>
    <w:rsid w:val="00916914"/>
    <w:rsid w:val="00916AE0"/>
    <w:rsid w:val="00916B76"/>
    <w:rsid w:val="00917015"/>
    <w:rsid w:val="00917BFC"/>
    <w:rsid w:val="00920038"/>
    <w:rsid w:val="00920070"/>
    <w:rsid w:val="00920678"/>
    <w:rsid w:val="00920A17"/>
    <w:rsid w:val="00920BC5"/>
    <w:rsid w:val="00920CF4"/>
    <w:rsid w:val="009211AB"/>
    <w:rsid w:val="0092123B"/>
    <w:rsid w:val="00921406"/>
    <w:rsid w:val="00921451"/>
    <w:rsid w:val="009216F8"/>
    <w:rsid w:val="009217AD"/>
    <w:rsid w:val="0092263F"/>
    <w:rsid w:val="00922D36"/>
    <w:rsid w:val="00923184"/>
    <w:rsid w:val="0092393C"/>
    <w:rsid w:val="00923A55"/>
    <w:rsid w:val="009242E8"/>
    <w:rsid w:val="00925343"/>
    <w:rsid w:val="0092545F"/>
    <w:rsid w:val="00925765"/>
    <w:rsid w:val="00925E85"/>
    <w:rsid w:val="00925F1A"/>
    <w:rsid w:val="009268B0"/>
    <w:rsid w:val="00926BEC"/>
    <w:rsid w:val="0092712C"/>
    <w:rsid w:val="009276F5"/>
    <w:rsid w:val="009278B6"/>
    <w:rsid w:val="00927AFB"/>
    <w:rsid w:val="00927B31"/>
    <w:rsid w:val="00927DEA"/>
    <w:rsid w:val="00930156"/>
    <w:rsid w:val="0093055E"/>
    <w:rsid w:val="009310CA"/>
    <w:rsid w:val="009316BE"/>
    <w:rsid w:val="00931AD2"/>
    <w:rsid w:val="00931E31"/>
    <w:rsid w:val="00932271"/>
    <w:rsid w:val="0093276E"/>
    <w:rsid w:val="00932855"/>
    <w:rsid w:val="00932A24"/>
    <w:rsid w:val="00932AA6"/>
    <w:rsid w:val="00932B0A"/>
    <w:rsid w:val="00932B4B"/>
    <w:rsid w:val="009333DB"/>
    <w:rsid w:val="00933707"/>
    <w:rsid w:val="00933DF4"/>
    <w:rsid w:val="009340E8"/>
    <w:rsid w:val="009347E4"/>
    <w:rsid w:val="0093483B"/>
    <w:rsid w:val="0093490F"/>
    <w:rsid w:val="0093499E"/>
    <w:rsid w:val="009349E0"/>
    <w:rsid w:val="00934A4B"/>
    <w:rsid w:val="00934B05"/>
    <w:rsid w:val="00934DA0"/>
    <w:rsid w:val="00935774"/>
    <w:rsid w:val="00935987"/>
    <w:rsid w:val="00935FD1"/>
    <w:rsid w:val="00936062"/>
    <w:rsid w:val="0093658A"/>
    <w:rsid w:val="009367C2"/>
    <w:rsid w:val="00936BF3"/>
    <w:rsid w:val="00936CF7"/>
    <w:rsid w:val="00936D72"/>
    <w:rsid w:val="009371F2"/>
    <w:rsid w:val="00937407"/>
    <w:rsid w:val="00937CD3"/>
    <w:rsid w:val="00937FB7"/>
    <w:rsid w:val="0094022C"/>
    <w:rsid w:val="0094083C"/>
    <w:rsid w:val="00940B13"/>
    <w:rsid w:val="009410D2"/>
    <w:rsid w:val="009411B6"/>
    <w:rsid w:val="0094124A"/>
    <w:rsid w:val="009412A2"/>
    <w:rsid w:val="0094139A"/>
    <w:rsid w:val="009415AC"/>
    <w:rsid w:val="00941708"/>
    <w:rsid w:val="009417E7"/>
    <w:rsid w:val="009419CB"/>
    <w:rsid w:val="00941D08"/>
    <w:rsid w:val="00942211"/>
    <w:rsid w:val="009424D0"/>
    <w:rsid w:val="00942556"/>
    <w:rsid w:val="00942646"/>
    <w:rsid w:val="00942813"/>
    <w:rsid w:val="00942C38"/>
    <w:rsid w:val="00942C69"/>
    <w:rsid w:val="00942DE3"/>
    <w:rsid w:val="00942FB1"/>
    <w:rsid w:val="00942FB7"/>
    <w:rsid w:val="0094348B"/>
    <w:rsid w:val="009436AA"/>
    <w:rsid w:val="0094395B"/>
    <w:rsid w:val="00943B29"/>
    <w:rsid w:val="0094435B"/>
    <w:rsid w:val="009449D9"/>
    <w:rsid w:val="00944E45"/>
    <w:rsid w:val="00945028"/>
    <w:rsid w:val="00945454"/>
    <w:rsid w:val="00945D1C"/>
    <w:rsid w:val="00946440"/>
    <w:rsid w:val="009477B3"/>
    <w:rsid w:val="009477C3"/>
    <w:rsid w:val="00947EC9"/>
    <w:rsid w:val="00947F35"/>
    <w:rsid w:val="009506A6"/>
    <w:rsid w:val="009506EB"/>
    <w:rsid w:val="00950838"/>
    <w:rsid w:val="00950883"/>
    <w:rsid w:val="009509E1"/>
    <w:rsid w:val="00950C0F"/>
    <w:rsid w:val="00950CC7"/>
    <w:rsid w:val="009510E5"/>
    <w:rsid w:val="009511FE"/>
    <w:rsid w:val="0095154C"/>
    <w:rsid w:val="00951EE2"/>
    <w:rsid w:val="00952487"/>
    <w:rsid w:val="009529E2"/>
    <w:rsid w:val="00952A55"/>
    <w:rsid w:val="00952ADD"/>
    <w:rsid w:val="00952E73"/>
    <w:rsid w:val="00952FA7"/>
    <w:rsid w:val="00953269"/>
    <w:rsid w:val="0095329E"/>
    <w:rsid w:val="00953B6B"/>
    <w:rsid w:val="00953BE4"/>
    <w:rsid w:val="009540D8"/>
    <w:rsid w:val="00954358"/>
    <w:rsid w:val="009547BB"/>
    <w:rsid w:val="00954C1C"/>
    <w:rsid w:val="0095559C"/>
    <w:rsid w:val="00955A01"/>
    <w:rsid w:val="00955AB2"/>
    <w:rsid w:val="00955C34"/>
    <w:rsid w:val="0095622F"/>
    <w:rsid w:val="009564A7"/>
    <w:rsid w:val="0095658A"/>
    <w:rsid w:val="00956733"/>
    <w:rsid w:val="00956BB9"/>
    <w:rsid w:val="00956FD7"/>
    <w:rsid w:val="009570A0"/>
    <w:rsid w:val="009571F2"/>
    <w:rsid w:val="00960798"/>
    <w:rsid w:val="00960994"/>
    <w:rsid w:val="00960B90"/>
    <w:rsid w:val="00960DE0"/>
    <w:rsid w:val="00961588"/>
    <w:rsid w:val="0096183A"/>
    <w:rsid w:val="00961AAF"/>
    <w:rsid w:val="009623DD"/>
    <w:rsid w:val="00962553"/>
    <w:rsid w:val="00962684"/>
    <w:rsid w:val="00962865"/>
    <w:rsid w:val="00962F49"/>
    <w:rsid w:val="00962FA0"/>
    <w:rsid w:val="009632C5"/>
    <w:rsid w:val="00963335"/>
    <w:rsid w:val="0096341C"/>
    <w:rsid w:val="0096359B"/>
    <w:rsid w:val="0096377B"/>
    <w:rsid w:val="00963AE7"/>
    <w:rsid w:val="00963E97"/>
    <w:rsid w:val="00964CBD"/>
    <w:rsid w:val="00964E25"/>
    <w:rsid w:val="00964E2A"/>
    <w:rsid w:val="00964E4E"/>
    <w:rsid w:val="00964E50"/>
    <w:rsid w:val="0096542C"/>
    <w:rsid w:val="009655B5"/>
    <w:rsid w:val="009656B4"/>
    <w:rsid w:val="009668F7"/>
    <w:rsid w:val="00966914"/>
    <w:rsid w:val="0096696D"/>
    <w:rsid w:val="00966FE1"/>
    <w:rsid w:val="00967272"/>
    <w:rsid w:val="00967398"/>
    <w:rsid w:val="009674AE"/>
    <w:rsid w:val="009674C2"/>
    <w:rsid w:val="00967572"/>
    <w:rsid w:val="0096764F"/>
    <w:rsid w:val="00967BF7"/>
    <w:rsid w:val="00967E53"/>
    <w:rsid w:val="00967F0C"/>
    <w:rsid w:val="00967F6B"/>
    <w:rsid w:val="00971A52"/>
    <w:rsid w:val="00972125"/>
    <w:rsid w:val="009721CF"/>
    <w:rsid w:val="00972592"/>
    <w:rsid w:val="009725B9"/>
    <w:rsid w:val="009725F9"/>
    <w:rsid w:val="0097284E"/>
    <w:rsid w:val="00972C66"/>
    <w:rsid w:val="00974399"/>
    <w:rsid w:val="00974655"/>
    <w:rsid w:val="00974764"/>
    <w:rsid w:val="009749A3"/>
    <w:rsid w:val="00974AD1"/>
    <w:rsid w:val="0097548A"/>
    <w:rsid w:val="00975590"/>
    <w:rsid w:val="009755AA"/>
    <w:rsid w:val="00975D12"/>
    <w:rsid w:val="00975DA6"/>
    <w:rsid w:val="0097646A"/>
    <w:rsid w:val="00976572"/>
    <w:rsid w:val="0097677B"/>
    <w:rsid w:val="00976E67"/>
    <w:rsid w:val="00976F1D"/>
    <w:rsid w:val="00976F1F"/>
    <w:rsid w:val="0097721D"/>
    <w:rsid w:val="009775FA"/>
    <w:rsid w:val="00977814"/>
    <w:rsid w:val="00977A71"/>
    <w:rsid w:val="00977EB0"/>
    <w:rsid w:val="009801D2"/>
    <w:rsid w:val="00980350"/>
    <w:rsid w:val="009809B6"/>
    <w:rsid w:val="00980EBF"/>
    <w:rsid w:val="00980FD5"/>
    <w:rsid w:val="00981301"/>
    <w:rsid w:val="009815C1"/>
    <w:rsid w:val="00982034"/>
    <w:rsid w:val="00982391"/>
    <w:rsid w:val="009823DF"/>
    <w:rsid w:val="00982669"/>
    <w:rsid w:val="009826DD"/>
    <w:rsid w:val="00982852"/>
    <w:rsid w:val="009829C0"/>
    <w:rsid w:val="00982E52"/>
    <w:rsid w:val="0098364A"/>
    <w:rsid w:val="00983784"/>
    <w:rsid w:val="009837DA"/>
    <w:rsid w:val="00983B6D"/>
    <w:rsid w:val="00983E9C"/>
    <w:rsid w:val="00984022"/>
    <w:rsid w:val="009849C5"/>
    <w:rsid w:val="00984B9F"/>
    <w:rsid w:val="00984C31"/>
    <w:rsid w:val="00984FA5"/>
    <w:rsid w:val="0098567D"/>
    <w:rsid w:val="009856A5"/>
    <w:rsid w:val="009859B7"/>
    <w:rsid w:val="00985EC4"/>
    <w:rsid w:val="009864E8"/>
    <w:rsid w:val="0098690B"/>
    <w:rsid w:val="00986C75"/>
    <w:rsid w:val="00986D37"/>
    <w:rsid w:val="00986E86"/>
    <w:rsid w:val="00987991"/>
    <w:rsid w:val="009879B7"/>
    <w:rsid w:val="009909F4"/>
    <w:rsid w:val="009913B5"/>
    <w:rsid w:val="009917A5"/>
    <w:rsid w:val="0099192F"/>
    <w:rsid w:val="00991E6F"/>
    <w:rsid w:val="00991F5F"/>
    <w:rsid w:val="00992072"/>
    <w:rsid w:val="00992AB1"/>
    <w:rsid w:val="00992B38"/>
    <w:rsid w:val="00993AD7"/>
    <w:rsid w:val="00993EEF"/>
    <w:rsid w:val="009941AA"/>
    <w:rsid w:val="00994433"/>
    <w:rsid w:val="00994814"/>
    <w:rsid w:val="009949C8"/>
    <w:rsid w:val="00994BBD"/>
    <w:rsid w:val="00994E29"/>
    <w:rsid w:val="00994EA6"/>
    <w:rsid w:val="0099517D"/>
    <w:rsid w:val="00995475"/>
    <w:rsid w:val="0099597C"/>
    <w:rsid w:val="00995E45"/>
    <w:rsid w:val="009962B2"/>
    <w:rsid w:val="00996769"/>
    <w:rsid w:val="00996F5A"/>
    <w:rsid w:val="0099706A"/>
    <w:rsid w:val="00997311"/>
    <w:rsid w:val="009973F1"/>
    <w:rsid w:val="009A0042"/>
    <w:rsid w:val="009A0599"/>
    <w:rsid w:val="009A0640"/>
    <w:rsid w:val="009A0A1B"/>
    <w:rsid w:val="009A0F73"/>
    <w:rsid w:val="009A1160"/>
    <w:rsid w:val="009A20FB"/>
    <w:rsid w:val="009A2198"/>
    <w:rsid w:val="009A24F0"/>
    <w:rsid w:val="009A2829"/>
    <w:rsid w:val="009A28D6"/>
    <w:rsid w:val="009A2AFD"/>
    <w:rsid w:val="009A33C3"/>
    <w:rsid w:val="009A38B1"/>
    <w:rsid w:val="009A392D"/>
    <w:rsid w:val="009A41F0"/>
    <w:rsid w:val="009A432B"/>
    <w:rsid w:val="009A47A0"/>
    <w:rsid w:val="009A48A4"/>
    <w:rsid w:val="009A4B49"/>
    <w:rsid w:val="009A54CD"/>
    <w:rsid w:val="009A5670"/>
    <w:rsid w:val="009A56FC"/>
    <w:rsid w:val="009A5736"/>
    <w:rsid w:val="009A5B3F"/>
    <w:rsid w:val="009A5C2D"/>
    <w:rsid w:val="009A5E4E"/>
    <w:rsid w:val="009A63BD"/>
    <w:rsid w:val="009A69AE"/>
    <w:rsid w:val="009A6BB2"/>
    <w:rsid w:val="009A7089"/>
    <w:rsid w:val="009A73CA"/>
    <w:rsid w:val="009A756E"/>
    <w:rsid w:val="009A7B8F"/>
    <w:rsid w:val="009A7EBF"/>
    <w:rsid w:val="009A7F7B"/>
    <w:rsid w:val="009B039A"/>
    <w:rsid w:val="009B0781"/>
    <w:rsid w:val="009B084E"/>
    <w:rsid w:val="009B0873"/>
    <w:rsid w:val="009B1781"/>
    <w:rsid w:val="009B2BB7"/>
    <w:rsid w:val="009B2C3A"/>
    <w:rsid w:val="009B33B7"/>
    <w:rsid w:val="009B33F6"/>
    <w:rsid w:val="009B3537"/>
    <w:rsid w:val="009B3BB5"/>
    <w:rsid w:val="009B3BEF"/>
    <w:rsid w:val="009B3EFD"/>
    <w:rsid w:val="009B3F97"/>
    <w:rsid w:val="009B40DE"/>
    <w:rsid w:val="009B4285"/>
    <w:rsid w:val="009B462E"/>
    <w:rsid w:val="009B4814"/>
    <w:rsid w:val="009B4CB7"/>
    <w:rsid w:val="009B4D63"/>
    <w:rsid w:val="009B537F"/>
    <w:rsid w:val="009B5584"/>
    <w:rsid w:val="009B56ED"/>
    <w:rsid w:val="009B61CF"/>
    <w:rsid w:val="009B62FE"/>
    <w:rsid w:val="009B6375"/>
    <w:rsid w:val="009B68DB"/>
    <w:rsid w:val="009B6E7C"/>
    <w:rsid w:val="009B7135"/>
    <w:rsid w:val="009B7346"/>
    <w:rsid w:val="009B7959"/>
    <w:rsid w:val="009B7B68"/>
    <w:rsid w:val="009C04A9"/>
    <w:rsid w:val="009C04C7"/>
    <w:rsid w:val="009C056F"/>
    <w:rsid w:val="009C058B"/>
    <w:rsid w:val="009C0862"/>
    <w:rsid w:val="009C0A96"/>
    <w:rsid w:val="009C0CEF"/>
    <w:rsid w:val="009C104B"/>
    <w:rsid w:val="009C14C2"/>
    <w:rsid w:val="009C16FC"/>
    <w:rsid w:val="009C185B"/>
    <w:rsid w:val="009C1A5B"/>
    <w:rsid w:val="009C2A2F"/>
    <w:rsid w:val="009C2D81"/>
    <w:rsid w:val="009C2DF0"/>
    <w:rsid w:val="009C3256"/>
    <w:rsid w:val="009C3703"/>
    <w:rsid w:val="009C394D"/>
    <w:rsid w:val="009C3DFD"/>
    <w:rsid w:val="009C3E65"/>
    <w:rsid w:val="009C44C5"/>
    <w:rsid w:val="009C450B"/>
    <w:rsid w:val="009C4913"/>
    <w:rsid w:val="009C4C27"/>
    <w:rsid w:val="009C4DF9"/>
    <w:rsid w:val="009C4F50"/>
    <w:rsid w:val="009C5139"/>
    <w:rsid w:val="009C5248"/>
    <w:rsid w:val="009C58CC"/>
    <w:rsid w:val="009C5AB0"/>
    <w:rsid w:val="009C5AEE"/>
    <w:rsid w:val="009C5EAF"/>
    <w:rsid w:val="009C60CB"/>
    <w:rsid w:val="009C64E4"/>
    <w:rsid w:val="009C659E"/>
    <w:rsid w:val="009C65F3"/>
    <w:rsid w:val="009C66E0"/>
    <w:rsid w:val="009C672C"/>
    <w:rsid w:val="009C6AF2"/>
    <w:rsid w:val="009C6F65"/>
    <w:rsid w:val="009C75CD"/>
    <w:rsid w:val="009C7912"/>
    <w:rsid w:val="009C7A62"/>
    <w:rsid w:val="009D0003"/>
    <w:rsid w:val="009D0194"/>
    <w:rsid w:val="009D01E0"/>
    <w:rsid w:val="009D0DF8"/>
    <w:rsid w:val="009D0E23"/>
    <w:rsid w:val="009D12DA"/>
    <w:rsid w:val="009D168B"/>
    <w:rsid w:val="009D1F21"/>
    <w:rsid w:val="009D2094"/>
    <w:rsid w:val="009D2157"/>
    <w:rsid w:val="009D21CD"/>
    <w:rsid w:val="009D2377"/>
    <w:rsid w:val="009D2410"/>
    <w:rsid w:val="009D271E"/>
    <w:rsid w:val="009D294B"/>
    <w:rsid w:val="009D3370"/>
    <w:rsid w:val="009D3D22"/>
    <w:rsid w:val="009D402C"/>
    <w:rsid w:val="009D40A2"/>
    <w:rsid w:val="009D4238"/>
    <w:rsid w:val="009D42BD"/>
    <w:rsid w:val="009D53C1"/>
    <w:rsid w:val="009D5795"/>
    <w:rsid w:val="009D5A9B"/>
    <w:rsid w:val="009D5DD0"/>
    <w:rsid w:val="009D5DEE"/>
    <w:rsid w:val="009D6225"/>
    <w:rsid w:val="009D62AA"/>
    <w:rsid w:val="009D66BF"/>
    <w:rsid w:val="009D684E"/>
    <w:rsid w:val="009D690A"/>
    <w:rsid w:val="009D6E3C"/>
    <w:rsid w:val="009D7081"/>
    <w:rsid w:val="009D7153"/>
    <w:rsid w:val="009D7221"/>
    <w:rsid w:val="009D72F0"/>
    <w:rsid w:val="009D7601"/>
    <w:rsid w:val="009D776C"/>
    <w:rsid w:val="009D7ED7"/>
    <w:rsid w:val="009E05D6"/>
    <w:rsid w:val="009E05F8"/>
    <w:rsid w:val="009E0845"/>
    <w:rsid w:val="009E0C11"/>
    <w:rsid w:val="009E0CCA"/>
    <w:rsid w:val="009E0DEB"/>
    <w:rsid w:val="009E1083"/>
    <w:rsid w:val="009E1649"/>
    <w:rsid w:val="009E186B"/>
    <w:rsid w:val="009E2BC7"/>
    <w:rsid w:val="009E2DCF"/>
    <w:rsid w:val="009E2F62"/>
    <w:rsid w:val="009E4039"/>
    <w:rsid w:val="009E4340"/>
    <w:rsid w:val="009E43F3"/>
    <w:rsid w:val="009E48E4"/>
    <w:rsid w:val="009E4A30"/>
    <w:rsid w:val="009E4B0A"/>
    <w:rsid w:val="009E4B84"/>
    <w:rsid w:val="009E4D89"/>
    <w:rsid w:val="009E521E"/>
    <w:rsid w:val="009E5612"/>
    <w:rsid w:val="009E5791"/>
    <w:rsid w:val="009E64E8"/>
    <w:rsid w:val="009E6D62"/>
    <w:rsid w:val="009E74F0"/>
    <w:rsid w:val="009E7839"/>
    <w:rsid w:val="009E7D0A"/>
    <w:rsid w:val="009E7D38"/>
    <w:rsid w:val="009E7D57"/>
    <w:rsid w:val="009F01AD"/>
    <w:rsid w:val="009F0792"/>
    <w:rsid w:val="009F0A63"/>
    <w:rsid w:val="009F0AF1"/>
    <w:rsid w:val="009F0AF7"/>
    <w:rsid w:val="009F0CFC"/>
    <w:rsid w:val="009F0EF4"/>
    <w:rsid w:val="009F0F94"/>
    <w:rsid w:val="009F1A6E"/>
    <w:rsid w:val="009F1BEA"/>
    <w:rsid w:val="009F1C6D"/>
    <w:rsid w:val="009F296E"/>
    <w:rsid w:val="009F29D9"/>
    <w:rsid w:val="009F2A29"/>
    <w:rsid w:val="009F30D4"/>
    <w:rsid w:val="009F324D"/>
    <w:rsid w:val="009F377F"/>
    <w:rsid w:val="009F3A66"/>
    <w:rsid w:val="009F3BDD"/>
    <w:rsid w:val="009F3C9D"/>
    <w:rsid w:val="009F3DC3"/>
    <w:rsid w:val="009F3FD0"/>
    <w:rsid w:val="009F43AA"/>
    <w:rsid w:val="009F4552"/>
    <w:rsid w:val="009F5507"/>
    <w:rsid w:val="009F5921"/>
    <w:rsid w:val="009F5B82"/>
    <w:rsid w:val="009F64B5"/>
    <w:rsid w:val="009F6A3D"/>
    <w:rsid w:val="009F6DEA"/>
    <w:rsid w:val="009F6F9B"/>
    <w:rsid w:val="009F70FA"/>
    <w:rsid w:val="009F7133"/>
    <w:rsid w:val="009F7727"/>
    <w:rsid w:val="009F79B6"/>
    <w:rsid w:val="009F7AE4"/>
    <w:rsid w:val="00A00240"/>
    <w:rsid w:val="00A00844"/>
    <w:rsid w:val="00A00A41"/>
    <w:rsid w:val="00A00B0F"/>
    <w:rsid w:val="00A00F19"/>
    <w:rsid w:val="00A00F32"/>
    <w:rsid w:val="00A01293"/>
    <w:rsid w:val="00A015E6"/>
    <w:rsid w:val="00A01EB0"/>
    <w:rsid w:val="00A023AA"/>
    <w:rsid w:val="00A0335E"/>
    <w:rsid w:val="00A03893"/>
    <w:rsid w:val="00A03C2D"/>
    <w:rsid w:val="00A040BA"/>
    <w:rsid w:val="00A04247"/>
    <w:rsid w:val="00A043B9"/>
    <w:rsid w:val="00A04419"/>
    <w:rsid w:val="00A0495E"/>
    <w:rsid w:val="00A04B31"/>
    <w:rsid w:val="00A04C99"/>
    <w:rsid w:val="00A04D0C"/>
    <w:rsid w:val="00A050A4"/>
    <w:rsid w:val="00A05828"/>
    <w:rsid w:val="00A059CD"/>
    <w:rsid w:val="00A05EFF"/>
    <w:rsid w:val="00A06678"/>
    <w:rsid w:val="00A066BA"/>
    <w:rsid w:val="00A06CE1"/>
    <w:rsid w:val="00A072DE"/>
    <w:rsid w:val="00A074CD"/>
    <w:rsid w:val="00A075B1"/>
    <w:rsid w:val="00A075B5"/>
    <w:rsid w:val="00A076FB"/>
    <w:rsid w:val="00A07BC2"/>
    <w:rsid w:val="00A07E8F"/>
    <w:rsid w:val="00A07F41"/>
    <w:rsid w:val="00A10141"/>
    <w:rsid w:val="00A101AD"/>
    <w:rsid w:val="00A10484"/>
    <w:rsid w:val="00A106EA"/>
    <w:rsid w:val="00A10851"/>
    <w:rsid w:val="00A10AAA"/>
    <w:rsid w:val="00A10D01"/>
    <w:rsid w:val="00A10D40"/>
    <w:rsid w:val="00A11032"/>
    <w:rsid w:val="00A1143E"/>
    <w:rsid w:val="00A1161E"/>
    <w:rsid w:val="00A117EC"/>
    <w:rsid w:val="00A11A1D"/>
    <w:rsid w:val="00A1238A"/>
    <w:rsid w:val="00A12649"/>
    <w:rsid w:val="00A12B82"/>
    <w:rsid w:val="00A1328A"/>
    <w:rsid w:val="00A141F9"/>
    <w:rsid w:val="00A15AFC"/>
    <w:rsid w:val="00A166C1"/>
    <w:rsid w:val="00A1671B"/>
    <w:rsid w:val="00A16A01"/>
    <w:rsid w:val="00A16A22"/>
    <w:rsid w:val="00A1714D"/>
    <w:rsid w:val="00A173CF"/>
    <w:rsid w:val="00A17545"/>
    <w:rsid w:val="00A17690"/>
    <w:rsid w:val="00A1797D"/>
    <w:rsid w:val="00A17F7B"/>
    <w:rsid w:val="00A17F7C"/>
    <w:rsid w:val="00A200E8"/>
    <w:rsid w:val="00A2014F"/>
    <w:rsid w:val="00A20185"/>
    <w:rsid w:val="00A207C2"/>
    <w:rsid w:val="00A20B81"/>
    <w:rsid w:val="00A2111E"/>
    <w:rsid w:val="00A21266"/>
    <w:rsid w:val="00A21906"/>
    <w:rsid w:val="00A220B0"/>
    <w:rsid w:val="00A22155"/>
    <w:rsid w:val="00A223DF"/>
    <w:rsid w:val="00A22BC3"/>
    <w:rsid w:val="00A23164"/>
    <w:rsid w:val="00A239E8"/>
    <w:rsid w:val="00A23DF9"/>
    <w:rsid w:val="00A23FB0"/>
    <w:rsid w:val="00A2404C"/>
    <w:rsid w:val="00A24CB7"/>
    <w:rsid w:val="00A24E9D"/>
    <w:rsid w:val="00A252BF"/>
    <w:rsid w:val="00A254EB"/>
    <w:rsid w:val="00A25567"/>
    <w:rsid w:val="00A25925"/>
    <w:rsid w:val="00A25B28"/>
    <w:rsid w:val="00A261B5"/>
    <w:rsid w:val="00A261DF"/>
    <w:rsid w:val="00A263C5"/>
    <w:rsid w:val="00A2694F"/>
    <w:rsid w:val="00A26A6F"/>
    <w:rsid w:val="00A271AB"/>
    <w:rsid w:val="00A27712"/>
    <w:rsid w:val="00A27766"/>
    <w:rsid w:val="00A27FCF"/>
    <w:rsid w:val="00A3013B"/>
    <w:rsid w:val="00A30489"/>
    <w:rsid w:val="00A305AE"/>
    <w:rsid w:val="00A3063B"/>
    <w:rsid w:val="00A30D71"/>
    <w:rsid w:val="00A30F66"/>
    <w:rsid w:val="00A3121C"/>
    <w:rsid w:val="00A315C8"/>
    <w:rsid w:val="00A31645"/>
    <w:rsid w:val="00A31820"/>
    <w:rsid w:val="00A31985"/>
    <w:rsid w:val="00A31D8D"/>
    <w:rsid w:val="00A3243B"/>
    <w:rsid w:val="00A324A2"/>
    <w:rsid w:val="00A326CB"/>
    <w:rsid w:val="00A327EF"/>
    <w:rsid w:val="00A329B6"/>
    <w:rsid w:val="00A32A85"/>
    <w:rsid w:val="00A3306D"/>
    <w:rsid w:val="00A34747"/>
    <w:rsid w:val="00A3496C"/>
    <w:rsid w:val="00A350F5"/>
    <w:rsid w:val="00A35C9B"/>
    <w:rsid w:val="00A35EFA"/>
    <w:rsid w:val="00A35F45"/>
    <w:rsid w:val="00A36D6B"/>
    <w:rsid w:val="00A36D70"/>
    <w:rsid w:val="00A36F4F"/>
    <w:rsid w:val="00A3738A"/>
    <w:rsid w:val="00A37498"/>
    <w:rsid w:val="00A3777B"/>
    <w:rsid w:val="00A378A5"/>
    <w:rsid w:val="00A37A07"/>
    <w:rsid w:val="00A37ACA"/>
    <w:rsid w:val="00A37C90"/>
    <w:rsid w:val="00A37CEE"/>
    <w:rsid w:val="00A403D2"/>
    <w:rsid w:val="00A404BA"/>
    <w:rsid w:val="00A40688"/>
    <w:rsid w:val="00A40DC4"/>
    <w:rsid w:val="00A40E51"/>
    <w:rsid w:val="00A40E52"/>
    <w:rsid w:val="00A40F57"/>
    <w:rsid w:val="00A4105C"/>
    <w:rsid w:val="00A415BE"/>
    <w:rsid w:val="00A41673"/>
    <w:rsid w:val="00A4234C"/>
    <w:rsid w:val="00A42EC6"/>
    <w:rsid w:val="00A4324C"/>
    <w:rsid w:val="00A43291"/>
    <w:rsid w:val="00A432DB"/>
    <w:rsid w:val="00A435F2"/>
    <w:rsid w:val="00A4383F"/>
    <w:rsid w:val="00A43859"/>
    <w:rsid w:val="00A43A59"/>
    <w:rsid w:val="00A44FF4"/>
    <w:rsid w:val="00A45D28"/>
    <w:rsid w:val="00A4647D"/>
    <w:rsid w:val="00A465EB"/>
    <w:rsid w:val="00A466BC"/>
    <w:rsid w:val="00A46705"/>
    <w:rsid w:val="00A469EB"/>
    <w:rsid w:val="00A46C49"/>
    <w:rsid w:val="00A47948"/>
    <w:rsid w:val="00A47DAB"/>
    <w:rsid w:val="00A47F05"/>
    <w:rsid w:val="00A50063"/>
    <w:rsid w:val="00A505D2"/>
    <w:rsid w:val="00A50B95"/>
    <w:rsid w:val="00A511D1"/>
    <w:rsid w:val="00A51339"/>
    <w:rsid w:val="00A51F77"/>
    <w:rsid w:val="00A51F9E"/>
    <w:rsid w:val="00A52D5E"/>
    <w:rsid w:val="00A5306F"/>
    <w:rsid w:val="00A534FA"/>
    <w:rsid w:val="00A536A1"/>
    <w:rsid w:val="00A53C47"/>
    <w:rsid w:val="00A53CB7"/>
    <w:rsid w:val="00A5412D"/>
    <w:rsid w:val="00A54A2C"/>
    <w:rsid w:val="00A551E9"/>
    <w:rsid w:val="00A55D4D"/>
    <w:rsid w:val="00A5606B"/>
    <w:rsid w:val="00A56230"/>
    <w:rsid w:val="00A56825"/>
    <w:rsid w:val="00A56C32"/>
    <w:rsid w:val="00A56FF8"/>
    <w:rsid w:val="00A5772D"/>
    <w:rsid w:val="00A5777B"/>
    <w:rsid w:val="00A60A0F"/>
    <w:rsid w:val="00A60A5A"/>
    <w:rsid w:val="00A60B7A"/>
    <w:rsid w:val="00A60FC7"/>
    <w:rsid w:val="00A6130F"/>
    <w:rsid w:val="00A61FEE"/>
    <w:rsid w:val="00A6277C"/>
    <w:rsid w:val="00A63AEE"/>
    <w:rsid w:val="00A63DAC"/>
    <w:rsid w:val="00A64489"/>
    <w:rsid w:val="00A6461B"/>
    <w:rsid w:val="00A64C4C"/>
    <w:rsid w:val="00A65003"/>
    <w:rsid w:val="00A65BE4"/>
    <w:rsid w:val="00A6638B"/>
    <w:rsid w:val="00A666E6"/>
    <w:rsid w:val="00A67992"/>
    <w:rsid w:val="00A67A9E"/>
    <w:rsid w:val="00A67D65"/>
    <w:rsid w:val="00A70421"/>
    <w:rsid w:val="00A70549"/>
    <w:rsid w:val="00A708B4"/>
    <w:rsid w:val="00A714A4"/>
    <w:rsid w:val="00A7165B"/>
    <w:rsid w:val="00A71FC5"/>
    <w:rsid w:val="00A720F1"/>
    <w:rsid w:val="00A72201"/>
    <w:rsid w:val="00A72997"/>
    <w:rsid w:val="00A72ADE"/>
    <w:rsid w:val="00A72CCD"/>
    <w:rsid w:val="00A72D93"/>
    <w:rsid w:val="00A72E58"/>
    <w:rsid w:val="00A72EA8"/>
    <w:rsid w:val="00A7378C"/>
    <w:rsid w:val="00A73A30"/>
    <w:rsid w:val="00A7420B"/>
    <w:rsid w:val="00A746D0"/>
    <w:rsid w:val="00A74E4D"/>
    <w:rsid w:val="00A74E6D"/>
    <w:rsid w:val="00A75DCE"/>
    <w:rsid w:val="00A76160"/>
    <w:rsid w:val="00A762B8"/>
    <w:rsid w:val="00A7664A"/>
    <w:rsid w:val="00A7677B"/>
    <w:rsid w:val="00A767C1"/>
    <w:rsid w:val="00A768A8"/>
    <w:rsid w:val="00A76D86"/>
    <w:rsid w:val="00A76DAA"/>
    <w:rsid w:val="00A76ED7"/>
    <w:rsid w:val="00A77193"/>
    <w:rsid w:val="00A7780D"/>
    <w:rsid w:val="00A77AF8"/>
    <w:rsid w:val="00A77B82"/>
    <w:rsid w:val="00A77DAF"/>
    <w:rsid w:val="00A801AE"/>
    <w:rsid w:val="00A80CB0"/>
    <w:rsid w:val="00A81291"/>
    <w:rsid w:val="00A813DC"/>
    <w:rsid w:val="00A81D69"/>
    <w:rsid w:val="00A82677"/>
    <w:rsid w:val="00A826D7"/>
    <w:rsid w:val="00A827D7"/>
    <w:rsid w:val="00A82960"/>
    <w:rsid w:val="00A82B0A"/>
    <w:rsid w:val="00A83173"/>
    <w:rsid w:val="00A83950"/>
    <w:rsid w:val="00A84181"/>
    <w:rsid w:val="00A845CC"/>
    <w:rsid w:val="00A847DC"/>
    <w:rsid w:val="00A84B17"/>
    <w:rsid w:val="00A85E28"/>
    <w:rsid w:val="00A861C7"/>
    <w:rsid w:val="00A866BE"/>
    <w:rsid w:val="00A86A50"/>
    <w:rsid w:val="00A86D9B"/>
    <w:rsid w:val="00A86DC8"/>
    <w:rsid w:val="00A86E59"/>
    <w:rsid w:val="00A875CD"/>
    <w:rsid w:val="00A876F6"/>
    <w:rsid w:val="00A87C9A"/>
    <w:rsid w:val="00A87F1F"/>
    <w:rsid w:val="00A905A3"/>
    <w:rsid w:val="00A9078F"/>
    <w:rsid w:val="00A90927"/>
    <w:rsid w:val="00A90D2F"/>
    <w:rsid w:val="00A91127"/>
    <w:rsid w:val="00A913FD"/>
    <w:rsid w:val="00A91F06"/>
    <w:rsid w:val="00A923DA"/>
    <w:rsid w:val="00A92439"/>
    <w:rsid w:val="00A9248A"/>
    <w:rsid w:val="00A9249E"/>
    <w:rsid w:val="00A9258D"/>
    <w:rsid w:val="00A926EF"/>
    <w:rsid w:val="00A9343C"/>
    <w:rsid w:val="00A9355F"/>
    <w:rsid w:val="00A9384D"/>
    <w:rsid w:val="00A941DD"/>
    <w:rsid w:val="00A9438C"/>
    <w:rsid w:val="00A94498"/>
    <w:rsid w:val="00A948E1"/>
    <w:rsid w:val="00A94CB0"/>
    <w:rsid w:val="00A94D4E"/>
    <w:rsid w:val="00A94D83"/>
    <w:rsid w:val="00A95049"/>
    <w:rsid w:val="00A952B2"/>
    <w:rsid w:val="00A956B6"/>
    <w:rsid w:val="00A957D2"/>
    <w:rsid w:val="00A957DA"/>
    <w:rsid w:val="00A96D3F"/>
    <w:rsid w:val="00A96FA2"/>
    <w:rsid w:val="00A97274"/>
    <w:rsid w:val="00AA012B"/>
    <w:rsid w:val="00AA029C"/>
    <w:rsid w:val="00AA03EE"/>
    <w:rsid w:val="00AA04AF"/>
    <w:rsid w:val="00AA09C8"/>
    <w:rsid w:val="00AA13CD"/>
    <w:rsid w:val="00AA1B19"/>
    <w:rsid w:val="00AA1D15"/>
    <w:rsid w:val="00AA2148"/>
    <w:rsid w:val="00AA220C"/>
    <w:rsid w:val="00AA246F"/>
    <w:rsid w:val="00AA259A"/>
    <w:rsid w:val="00AA2925"/>
    <w:rsid w:val="00AA30C6"/>
    <w:rsid w:val="00AA40D2"/>
    <w:rsid w:val="00AA46C2"/>
    <w:rsid w:val="00AA4910"/>
    <w:rsid w:val="00AA4A14"/>
    <w:rsid w:val="00AA4B15"/>
    <w:rsid w:val="00AA4B1B"/>
    <w:rsid w:val="00AA4E5E"/>
    <w:rsid w:val="00AA50EC"/>
    <w:rsid w:val="00AA521C"/>
    <w:rsid w:val="00AA53FF"/>
    <w:rsid w:val="00AA5631"/>
    <w:rsid w:val="00AA6366"/>
    <w:rsid w:val="00AA6607"/>
    <w:rsid w:val="00AA66FD"/>
    <w:rsid w:val="00AA67A1"/>
    <w:rsid w:val="00AA68B2"/>
    <w:rsid w:val="00AA6AE1"/>
    <w:rsid w:val="00AA6D01"/>
    <w:rsid w:val="00AA6FD6"/>
    <w:rsid w:val="00AA7091"/>
    <w:rsid w:val="00AA714E"/>
    <w:rsid w:val="00AA7554"/>
    <w:rsid w:val="00AA7CF9"/>
    <w:rsid w:val="00AA7E73"/>
    <w:rsid w:val="00AB0031"/>
    <w:rsid w:val="00AB01B5"/>
    <w:rsid w:val="00AB0A45"/>
    <w:rsid w:val="00AB0BE2"/>
    <w:rsid w:val="00AB0E43"/>
    <w:rsid w:val="00AB111C"/>
    <w:rsid w:val="00AB1239"/>
    <w:rsid w:val="00AB1251"/>
    <w:rsid w:val="00AB1B60"/>
    <w:rsid w:val="00AB1C35"/>
    <w:rsid w:val="00AB1F8C"/>
    <w:rsid w:val="00AB230A"/>
    <w:rsid w:val="00AB2366"/>
    <w:rsid w:val="00AB26A2"/>
    <w:rsid w:val="00AB2E7B"/>
    <w:rsid w:val="00AB3108"/>
    <w:rsid w:val="00AB317D"/>
    <w:rsid w:val="00AB32C1"/>
    <w:rsid w:val="00AB3661"/>
    <w:rsid w:val="00AB376B"/>
    <w:rsid w:val="00AB391D"/>
    <w:rsid w:val="00AB3EA2"/>
    <w:rsid w:val="00AB439E"/>
    <w:rsid w:val="00AB441C"/>
    <w:rsid w:val="00AB4CF6"/>
    <w:rsid w:val="00AB5017"/>
    <w:rsid w:val="00AB5484"/>
    <w:rsid w:val="00AB563D"/>
    <w:rsid w:val="00AB5A0D"/>
    <w:rsid w:val="00AB629F"/>
    <w:rsid w:val="00AB64F8"/>
    <w:rsid w:val="00AB6A7F"/>
    <w:rsid w:val="00AB6B2E"/>
    <w:rsid w:val="00AB6B88"/>
    <w:rsid w:val="00AB74F1"/>
    <w:rsid w:val="00AB78AF"/>
    <w:rsid w:val="00AB7C49"/>
    <w:rsid w:val="00AB7C8C"/>
    <w:rsid w:val="00AB7DEC"/>
    <w:rsid w:val="00AC012C"/>
    <w:rsid w:val="00AC0494"/>
    <w:rsid w:val="00AC0A43"/>
    <w:rsid w:val="00AC0C59"/>
    <w:rsid w:val="00AC0CBB"/>
    <w:rsid w:val="00AC0F76"/>
    <w:rsid w:val="00AC1402"/>
    <w:rsid w:val="00AC18BB"/>
    <w:rsid w:val="00AC19F9"/>
    <w:rsid w:val="00AC1B80"/>
    <w:rsid w:val="00AC1BD2"/>
    <w:rsid w:val="00AC21E8"/>
    <w:rsid w:val="00AC2284"/>
    <w:rsid w:val="00AC2462"/>
    <w:rsid w:val="00AC28CE"/>
    <w:rsid w:val="00AC28DA"/>
    <w:rsid w:val="00AC2CF2"/>
    <w:rsid w:val="00AC32E7"/>
    <w:rsid w:val="00AC3417"/>
    <w:rsid w:val="00AC3862"/>
    <w:rsid w:val="00AC3CB1"/>
    <w:rsid w:val="00AC4122"/>
    <w:rsid w:val="00AC43AD"/>
    <w:rsid w:val="00AC45EF"/>
    <w:rsid w:val="00AC4684"/>
    <w:rsid w:val="00AC4AD5"/>
    <w:rsid w:val="00AC5001"/>
    <w:rsid w:val="00AC5B56"/>
    <w:rsid w:val="00AC5F43"/>
    <w:rsid w:val="00AC5F7F"/>
    <w:rsid w:val="00AC6226"/>
    <w:rsid w:val="00AC640B"/>
    <w:rsid w:val="00AC64B4"/>
    <w:rsid w:val="00AC6D0B"/>
    <w:rsid w:val="00AC6DB7"/>
    <w:rsid w:val="00AC6DC7"/>
    <w:rsid w:val="00AC6E3A"/>
    <w:rsid w:val="00AC727E"/>
    <w:rsid w:val="00AC795C"/>
    <w:rsid w:val="00AD06FC"/>
    <w:rsid w:val="00AD072B"/>
    <w:rsid w:val="00AD1071"/>
    <w:rsid w:val="00AD122B"/>
    <w:rsid w:val="00AD196B"/>
    <w:rsid w:val="00AD1B02"/>
    <w:rsid w:val="00AD1BE5"/>
    <w:rsid w:val="00AD205E"/>
    <w:rsid w:val="00AD212C"/>
    <w:rsid w:val="00AD2DF7"/>
    <w:rsid w:val="00AD3244"/>
    <w:rsid w:val="00AD3725"/>
    <w:rsid w:val="00AD38A8"/>
    <w:rsid w:val="00AD3C74"/>
    <w:rsid w:val="00AD4660"/>
    <w:rsid w:val="00AD46AF"/>
    <w:rsid w:val="00AD4901"/>
    <w:rsid w:val="00AD4DE1"/>
    <w:rsid w:val="00AD5030"/>
    <w:rsid w:val="00AD5120"/>
    <w:rsid w:val="00AD53DC"/>
    <w:rsid w:val="00AD5741"/>
    <w:rsid w:val="00AD5A18"/>
    <w:rsid w:val="00AD5CD8"/>
    <w:rsid w:val="00AD6191"/>
    <w:rsid w:val="00AD7311"/>
    <w:rsid w:val="00AD7533"/>
    <w:rsid w:val="00AD787D"/>
    <w:rsid w:val="00AD7B3E"/>
    <w:rsid w:val="00AD7CB7"/>
    <w:rsid w:val="00AD7D39"/>
    <w:rsid w:val="00AD7F62"/>
    <w:rsid w:val="00AE11A9"/>
    <w:rsid w:val="00AE1A8C"/>
    <w:rsid w:val="00AE1D86"/>
    <w:rsid w:val="00AE1F08"/>
    <w:rsid w:val="00AE233F"/>
    <w:rsid w:val="00AE2358"/>
    <w:rsid w:val="00AE25CA"/>
    <w:rsid w:val="00AE2666"/>
    <w:rsid w:val="00AE2F6B"/>
    <w:rsid w:val="00AE3237"/>
    <w:rsid w:val="00AE33EA"/>
    <w:rsid w:val="00AE34C3"/>
    <w:rsid w:val="00AE3F91"/>
    <w:rsid w:val="00AE40DE"/>
    <w:rsid w:val="00AE4162"/>
    <w:rsid w:val="00AE47C9"/>
    <w:rsid w:val="00AE47CA"/>
    <w:rsid w:val="00AE4C99"/>
    <w:rsid w:val="00AE4DB6"/>
    <w:rsid w:val="00AE58AF"/>
    <w:rsid w:val="00AE5AF0"/>
    <w:rsid w:val="00AE5CF8"/>
    <w:rsid w:val="00AE609D"/>
    <w:rsid w:val="00AE6649"/>
    <w:rsid w:val="00AE6789"/>
    <w:rsid w:val="00AE6AE3"/>
    <w:rsid w:val="00AE6BB5"/>
    <w:rsid w:val="00AE6BFE"/>
    <w:rsid w:val="00AE6CA1"/>
    <w:rsid w:val="00AE6E9D"/>
    <w:rsid w:val="00AE712C"/>
    <w:rsid w:val="00AE7277"/>
    <w:rsid w:val="00AE737A"/>
    <w:rsid w:val="00AE740F"/>
    <w:rsid w:val="00AE759A"/>
    <w:rsid w:val="00AF019E"/>
    <w:rsid w:val="00AF0666"/>
    <w:rsid w:val="00AF12A4"/>
    <w:rsid w:val="00AF1352"/>
    <w:rsid w:val="00AF1F25"/>
    <w:rsid w:val="00AF1F26"/>
    <w:rsid w:val="00AF1FC8"/>
    <w:rsid w:val="00AF2834"/>
    <w:rsid w:val="00AF2AE9"/>
    <w:rsid w:val="00AF2B82"/>
    <w:rsid w:val="00AF2D11"/>
    <w:rsid w:val="00AF2E6A"/>
    <w:rsid w:val="00AF2F76"/>
    <w:rsid w:val="00AF3580"/>
    <w:rsid w:val="00AF36A7"/>
    <w:rsid w:val="00AF382E"/>
    <w:rsid w:val="00AF3D5E"/>
    <w:rsid w:val="00AF423F"/>
    <w:rsid w:val="00AF4709"/>
    <w:rsid w:val="00AF49C8"/>
    <w:rsid w:val="00AF4F42"/>
    <w:rsid w:val="00AF4F54"/>
    <w:rsid w:val="00AF52B7"/>
    <w:rsid w:val="00AF5679"/>
    <w:rsid w:val="00AF57C1"/>
    <w:rsid w:val="00AF5E20"/>
    <w:rsid w:val="00AF61F7"/>
    <w:rsid w:val="00AF6306"/>
    <w:rsid w:val="00AF6F44"/>
    <w:rsid w:val="00AF7004"/>
    <w:rsid w:val="00AF71E8"/>
    <w:rsid w:val="00AF721F"/>
    <w:rsid w:val="00B002C9"/>
    <w:rsid w:val="00B00353"/>
    <w:rsid w:val="00B00434"/>
    <w:rsid w:val="00B00702"/>
    <w:rsid w:val="00B00760"/>
    <w:rsid w:val="00B009F6"/>
    <w:rsid w:val="00B00AE2"/>
    <w:rsid w:val="00B00BD8"/>
    <w:rsid w:val="00B00C99"/>
    <w:rsid w:val="00B00EF9"/>
    <w:rsid w:val="00B00F10"/>
    <w:rsid w:val="00B017F0"/>
    <w:rsid w:val="00B01A53"/>
    <w:rsid w:val="00B01B7C"/>
    <w:rsid w:val="00B01BDC"/>
    <w:rsid w:val="00B02B66"/>
    <w:rsid w:val="00B02C90"/>
    <w:rsid w:val="00B02F02"/>
    <w:rsid w:val="00B03518"/>
    <w:rsid w:val="00B03C55"/>
    <w:rsid w:val="00B03E40"/>
    <w:rsid w:val="00B04045"/>
    <w:rsid w:val="00B0424D"/>
    <w:rsid w:val="00B046C7"/>
    <w:rsid w:val="00B04EA7"/>
    <w:rsid w:val="00B04F3D"/>
    <w:rsid w:val="00B05569"/>
    <w:rsid w:val="00B05737"/>
    <w:rsid w:val="00B05B99"/>
    <w:rsid w:val="00B05BB6"/>
    <w:rsid w:val="00B05C75"/>
    <w:rsid w:val="00B05C76"/>
    <w:rsid w:val="00B05FE0"/>
    <w:rsid w:val="00B067CE"/>
    <w:rsid w:val="00B067F0"/>
    <w:rsid w:val="00B0685F"/>
    <w:rsid w:val="00B06973"/>
    <w:rsid w:val="00B06AAB"/>
    <w:rsid w:val="00B07351"/>
    <w:rsid w:val="00B07487"/>
    <w:rsid w:val="00B075BD"/>
    <w:rsid w:val="00B076E4"/>
    <w:rsid w:val="00B0785E"/>
    <w:rsid w:val="00B07942"/>
    <w:rsid w:val="00B07DC9"/>
    <w:rsid w:val="00B107E9"/>
    <w:rsid w:val="00B108C8"/>
    <w:rsid w:val="00B1094C"/>
    <w:rsid w:val="00B1099B"/>
    <w:rsid w:val="00B10A90"/>
    <w:rsid w:val="00B10B16"/>
    <w:rsid w:val="00B10BC7"/>
    <w:rsid w:val="00B11480"/>
    <w:rsid w:val="00B11772"/>
    <w:rsid w:val="00B119CB"/>
    <w:rsid w:val="00B119CC"/>
    <w:rsid w:val="00B11A64"/>
    <w:rsid w:val="00B11B33"/>
    <w:rsid w:val="00B11D41"/>
    <w:rsid w:val="00B12111"/>
    <w:rsid w:val="00B1274A"/>
    <w:rsid w:val="00B128CC"/>
    <w:rsid w:val="00B1318D"/>
    <w:rsid w:val="00B1362E"/>
    <w:rsid w:val="00B13B1D"/>
    <w:rsid w:val="00B14A9A"/>
    <w:rsid w:val="00B151B1"/>
    <w:rsid w:val="00B15305"/>
    <w:rsid w:val="00B1532D"/>
    <w:rsid w:val="00B15559"/>
    <w:rsid w:val="00B16445"/>
    <w:rsid w:val="00B16CC4"/>
    <w:rsid w:val="00B17181"/>
    <w:rsid w:val="00B175A7"/>
    <w:rsid w:val="00B175EA"/>
    <w:rsid w:val="00B179C1"/>
    <w:rsid w:val="00B17AD1"/>
    <w:rsid w:val="00B17DBA"/>
    <w:rsid w:val="00B200E9"/>
    <w:rsid w:val="00B202B3"/>
    <w:rsid w:val="00B202CA"/>
    <w:rsid w:val="00B20EB9"/>
    <w:rsid w:val="00B215B8"/>
    <w:rsid w:val="00B21760"/>
    <w:rsid w:val="00B2193C"/>
    <w:rsid w:val="00B219A4"/>
    <w:rsid w:val="00B21CFB"/>
    <w:rsid w:val="00B21F9C"/>
    <w:rsid w:val="00B22170"/>
    <w:rsid w:val="00B22423"/>
    <w:rsid w:val="00B22896"/>
    <w:rsid w:val="00B229B0"/>
    <w:rsid w:val="00B22FC6"/>
    <w:rsid w:val="00B2322C"/>
    <w:rsid w:val="00B234DD"/>
    <w:rsid w:val="00B23819"/>
    <w:rsid w:val="00B238BC"/>
    <w:rsid w:val="00B23E96"/>
    <w:rsid w:val="00B23FB2"/>
    <w:rsid w:val="00B24429"/>
    <w:rsid w:val="00B24563"/>
    <w:rsid w:val="00B2469F"/>
    <w:rsid w:val="00B24B30"/>
    <w:rsid w:val="00B251D1"/>
    <w:rsid w:val="00B25441"/>
    <w:rsid w:val="00B25C88"/>
    <w:rsid w:val="00B26820"/>
    <w:rsid w:val="00B26A89"/>
    <w:rsid w:val="00B2709F"/>
    <w:rsid w:val="00B27384"/>
    <w:rsid w:val="00B2783C"/>
    <w:rsid w:val="00B27B84"/>
    <w:rsid w:val="00B27CD4"/>
    <w:rsid w:val="00B27D96"/>
    <w:rsid w:val="00B30534"/>
    <w:rsid w:val="00B309E3"/>
    <w:rsid w:val="00B30A70"/>
    <w:rsid w:val="00B30E6B"/>
    <w:rsid w:val="00B31154"/>
    <w:rsid w:val="00B312FB"/>
    <w:rsid w:val="00B31BD6"/>
    <w:rsid w:val="00B31C2D"/>
    <w:rsid w:val="00B31D36"/>
    <w:rsid w:val="00B31EEB"/>
    <w:rsid w:val="00B3215F"/>
    <w:rsid w:val="00B3283F"/>
    <w:rsid w:val="00B32BD1"/>
    <w:rsid w:val="00B33B76"/>
    <w:rsid w:val="00B33C1A"/>
    <w:rsid w:val="00B340A7"/>
    <w:rsid w:val="00B34178"/>
    <w:rsid w:val="00B34E2B"/>
    <w:rsid w:val="00B35378"/>
    <w:rsid w:val="00B35827"/>
    <w:rsid w:val="00B3599B"/>
    <w:rsid w:val="00B35A46"/>
    <w:rsid w:val="00B35A57"/>
    <w:rsid w:val="00B35C92"/>
    <w:rsid w:val="00B35F85"/>
    <w:rsid w:val="00B36373"/>
    <w:rsid w:val="00B3699D"/>
    <w:rsid w:val="00B369E7"/>
    <w:rsid w:val="00B36A9A"/>
    <w:rsid w:val="00B36D42"/>
    <w:rsid w:val="00B36F6D"/>
    <w:rsid w:val="00B40301"/>
    <w:rsid w:val="00B40461"/>
    <w:rsid w:val="00B40781"/>
    <w:rsid w:val="00B407E1"/>
    <w:rsid w:val="00B409AC"/>
    <w:rsid w:val="00B413E4"/>
    <w:rsid w:val="00B416D6"/>
    <w:rsid w:val="00B419CF"/>
    <w:rsid w:val="00B41AF8"/>
    <w:rsid w:val="00B41C25"/>
    <w:rsid w:val="00B42897"/>
    <w:rsid w:val="00B428CB"/>
    <w:rsid w:val="00B42C8F"/>
    <w:rsid w:val="00B4323D"/>
    <w:rsid w:val="00B433E9"/>
    <w:rsid w:val="00B435D0"/>
    <w:rsid w:val="00B436FA"/>
    <w:rsid w:val="00B438D3"/>
    <w:rsid w:val="00B43D82"/>
    <w:rsid w:val="00B43EA2"/>
    <w:rsid w:val="00B43EFF"/>
    <w:rsid w:val="00B4401F"/>
    <w:rsid w:val="00B4420E"/>
    <w:rsid w:val="00B442A8"/>
    <w:rsid w:val="00B443CD"/>
    <w:rsid w:val="00B45633"/>
    <w:rsid w:val="00B4630E"/>
    <w:rsid w:val="00B46B81"/>
    <w:rsid w:val="00B46BDD"/>
    <w:rsid w:val="00B46D2A"/>
    <w:rsid w:val="00B46D78"/>
    <w:rsid w:val="00B470AB"/>
    <w:rsid w:val="00B4718D"/>
    <w:rsid w:val="00B5011C"/>
    <w:rsid w:val="00B50160"/>
    <w:rsid w:val="00B506B8"/>
    <w:rsid w:val="00B506E0"/>
    <w:rsid w:val="00B5086F"/>
    <w:rsid w:val="00B50A3A"/>
    <w:rsid w:val="00B51460"/>
    <w:rsid w:val="00B517B7"/>
    <w:rsid w:val="00B51D27"/>
    <w:rsid w:val="00B5229F"/>
    <w:rsid w:val="00B529B9"/>
    <w:rsid w:val="00B52DBF"/>
    <w:rsid w:val="00B53081"/>
    <w:rsid w:val="00B531D9"/>
    <w:rsid w:val="00B534C9"/>
    <w:rsid w:val="00B53A11"/>
    <w:rsid w:val="00B53A15"/>
    <w:rsid w:val="00B53A94"/>
    <w:rsid w:val="00B54521"/>
    <w:rsid w:val="00B54DE5"/>
    <w:rsid w:val="00B54E27"/>
    <w:rsid w:val="00B54EAD"/>
    <w:rsid w:val="00B551BD"/>
    <w:rsid w:val="00B55246"/>
    <w:rsid w:val="00B55385"/>
    <w:rsid w:val="00B5556D"/>
    <w:rsid w:val="00B55AE3"/>
    <w:rsid w:val="00B55C95"/>
    <w:rsid w:val="00B55C97"/>
    <w:rsid w:val="00B55E89"/>
    <w:rsid w:val="00B55F57"/>
    <w:rsid w:val="00B5691E"/>
    <w:rsid w:val="00B572DC"/>
    <w:rsid w:val="00B57494"/>
    <w:rsid w:val="00B57CAE"/>
    <w:rsid w:val="00B6044D"/>
    <w:rsid w:val="00B6080B"/>
    <w:rsid w:val="00B609FD"/>
    <w:rsid w:val="00B60BA3"/>
    <w:rsid w:val="00B60FC3"/>
    <w:rsid w:val="00B610EB"/>
    <w:rsid w:val="00B61279"/>
    <w:rsid w:val="00B61311"/>
    <w:rsid w:val="00B61875"/>
    <w:rsid w:val="00B6197D"/>
    <w:rsid w:val="00B61EAF"/>
    <w:rsid w:val="00B61F82"/>
    <w:rsid w:val="00B6208D"/>
    <w:rsid w:val="00B62C0E"/>
    <w:rsid w:val="00B62C29"/>
    <w:rsid w:val="00B62F36"/>
    <w:rsid w:val="00B6314D"/>
    <w:rsid w:val="00B63C76"/>
    <w:rsid w:val="00B63D52"/>
    <w:rsid w:val="00B6410E"/>
    <w:rsid w:val="00B641FF"/>
    <w:rsid w:val="00B64673"/>
    <w:rsid w:val="00B646EB"/>
    <w:rsid w:val="00B64841"/>
    <w:rsid w:val="00B64B9D"/>
    <w:rsid w:val="00B64D19"/>
    <w:rsid w:val="00B6513C"/>
    <w:rsid w:val="00B65311"/>
    <w:rsid w:val="00B65728"/>
    <w:rsid w:val="00B65E81"/>
    <w:rsid w:val="00B6605F"/>
    <w:rsid w:val="00B6607A"/>
    <w:rsid w:val="00B66556"/>
    <w:rsid w:val="00B66705"/>
    <w:rsid w:val="00B66AA4"/>
    <w:rsid w:val="00B6703D"/>
    <w:rsid w:val="00B677AB"/>
    <w:rsid w:val="00B6783F"/>
    <w:rsid w:val="00B67ACE"/>
    <w:rsid w:val="00B67BE4"/>
    <w:rsid w:val="00B70132"/>
    <w:rsid w:val="00B70875"/>
    <w:rsid w:val="00B719B0"/>
    <w:rsid w:val="00B71B4C"/>
    <w:rsid w:val="00B71C34"/>
    <w:rsid w:val="00B7209A"/>
    <w:rsid w:val="00B72153"/>
    <w:rsid w:val="00B72247"/>
    <w:rsid w:val="00B722F4"/>
    <w:rsid w:val="00B72614"/>
    <w:rsid w:val="00B72639"/>
    <w:rsid w:val="00B7305A"/>
    <w:rsid w:val="00B7309C"/>
    <w:rsid w:val="00B73365"/>
    <w:rsid w:val="00B73ECF"/>
    <w:rsid w:val="00B745FC"/>
    <w:rsid w:val="00B74A88"/>
    <w:rsid w:val="00B74C56"/>
    <w:rsid w:val="00B74C5F"/>
    <w:rsid w:val="00B74FF6"/>
    <w:rsid w:val="00B751C1"/>
    <w:rsid w:val="00B753B9"/>
    <w:rsid w:val="00B75432"/>
    <w:rsid w:val="00B75551"/>
    <w:rsid w:val="00B7588F"/>
    <w:rsid w:val="00B75D86"/>
    <w:rsid w:val="00B75ED4"/>
    <w:rsid w:val="00B75FE6"/>
    <w:rsid w:val="00B7600F"/>
    <w:rsid w:val="00B76022"/>
    <w:rsid w:val="00B76A52"/>
    <w:rsid w:val="00B76CC8"/>
    <w:rsid w:val="00B76DF9"/>
    <w:rsid w:val="00B76EC5"/>
    <w:rsid w:val="00B77132"/>
    <w:rsid w:val="00B77344"/>
    <w:rsid w:val="00B773E9"/>
    <w:rsid w:val="00B77482"/>
    <w:rsid w:val="00B777D3"/>
    <w:rsid w:val="00B77A59"/>
    <w:rsid w:val="00B77BFB"/>
    <w:rsid w:val="00B801C0"/>
    <w:rsid w:val="00B803C5"/>
    <w:rsid w:val="00B80524"/>
    <w:rsid w:val="00B80757"/>
    <w:rsid w:val="00B80BE4"/>
    <w:rsid w:val="00B8128F"/>
    <w:rsid w:val="00B81840"/>
    <w:rsid w:val="00B81ECF"/>
    <w:rsid w:val="00B826E9"/>
    <w:rsid w:val="00B827A4"/>
    <w:rsid w:val="00B82C36"/>
    <w:rsid w:val="00B82F20"/>
    <w:rsid w:val="00B82FBD"/>
    <w:rsid w:val="00B83073"/>
    <w:rsid w:val="00B833F5"/>
    <w:rsid w:val="00B83869"/>
    <w:rsid w:val="00B8406E"/>
    <w:rsid w:val="00B84690"/>
    <w:rsid w:val="00B8498E"/>
    <w:rsid w:val="00B85374"/>
    <w:rsid w:val="00B853CC"/>
    <w:rsid w:val="00B85564"/>
    <w:rsid w:val="00B855F5"/>
    <w:rsid w:val="00B85BE9"/>
    <w:rsid w:val="00B85E94"/>
    <w:rsid w:val="00B85F28"/>
    <w:rsid w:val="00B85FD9"/>
    <w:rsid w:val="00B86055"/>
    <w:rsid w:val="00B862EC"/>
    <w:rsid w:val="00B8632C"/>
    <w:rsid w:val="00B8654B"/>
    <w:rsid w:val="00B869B7"/>
    <w:rsid w:val="00B86D68"/>
    <w:rsid w:val="00B86E2A"/>
    <w:rsid w:val="00B874A4"/>
    <w:rsid w:val="00B87890"/>
    <w:rsid w:val="00B879EA"/>
    <w:rsid w:val="00B87C87"/>
    <w:rsid w:val="00B87F80"/>
    <w:rsid w:val="00B87FA2"/>
    <w:rsid w:val="00B90195"/>
    <w:rsid w:val="00B90418"/>
    <w:rsid w:val="00B90490"/>
    <w:rsid w:val="00B907A5"/>
    <w:rsid w:val="00B91013"/>
    <w:rsid w:val="00B91948"/>
    <w:rsid w:val="00B91C7D"/>
    <w:rsid w:val="00B91CF2"/>
    <w:rsid w:val="00B922A3"/>
    <w:rsid w:val="00B9246A"/>
    <w:rsid w:val="00B92614"/>
    <w:rsid w:val="00B92656"/>
    <w:rsid w:val="00B92828"/>
    <w:rsid w:val="00B93065"/>
    <w:rsid w:val="00B930BF"/>
    <w:rsid w:val="00B9408C"/>
    <w:rsid w:val="00B94AEA"/>
    <w:rsid w:val="00B95027"/>
    <w:rsid w:val="00B9581C"/>
    <w:rsid w:val="00B9597E"/>
    <w:rsid w:val="00B95A8D"/>
    <w:rsid w:val="00B96253"/>
    <w:rsid w:val="00B96273"/>
    <w:rsid w:val="00B967F7"/>
    <w:rsid w:val="00B968C2"/>
    <w:rsid w:val="00B96D71"/>
    <w:rsid w:val="00B97167"/>
    <w:rsid w:val="00B97898"/>
    <w:rsid w:val="00BA001F"/>
    <w:rsid w:val="00BA0045"/>
    <w:rsid w:val="00BA0518"/>
    <w:rsid w:val="00BA0C34"/>
    <w:rsid w:val="00BA1701"/>
    <w:rsid w:val="00BA194C"/>
    <w:rsid w:val="00BA1C8F"/>
    <w:rsid w:val="00BA1D58"/>
    <w:rsid w:val="00BA1FBF"/>
    <w:rsid w:val="00BA2AB5"/>
    <w:rsid w:val="00BA3064"/>
    <w:rsid w:val="00BA3605"/>
    <w:rsid w:val="00BA3635"/>
    <w:rsid w:val="00BA3C04"/>
    <w:rsid w:val="00BA4016"/>
    <w:rsid w:val="00BA4520"/>
    <w:rsid w:val="00BA4D66"/>
    <w:rsid w:val="00BA502D"/>
    <w:rsid w:val="00BA5054"/>
    <w:rsid w:val="00BA5211"/>
    <w:rsid w:val="00BA527B"/>
    <w:rsid w:val="00BA52E1"/>
    <w:rsid w:val="00BA5773"/>
    <w:rsid w:val="00BA5B7A"/>
    <w:rsid w:val="00BA608E"/>
    <w:rsid w:val="00BA6DC2"/>
    <w:rsid w:val="00BA7C84"/>
    <w:rsid w:val="00BA7FF8"/>
    <w:rsid w:val="00BB00A9"/>
    <w:rsid w:val="00BB074E"/>
    <w:rsid w:val="00BB08FB"/>
    <w:rsid w:val="00BB0AEC"/>
    <w:rsid w:val="00BB0B17"/>
    <w:rsid w:val="00BB132C"/>
    <w:rsid w:val="00BB175F"/>
    <w:rsid w:val="00BB242F"/>
    <w:rsid w:val="00BB2F4A"/>
    <w:rsid w:val="00BB2FCE"/>
    <w:rsid w:val="00BB3C06"/>
    <w:rsid w:val="00BB3C22"/>
    <w:rsid w:val="00BB4898"/>
    <w:rsid w:val="00BB4908"/>
    <w:rsid w:val="00BB4AA3"/>
    <w:rsid w:val="00BB4AB1"/>
    <w:rsid w:val="00BB4BE8"/>
    <w:rsid w:val="00BB5827"/>
    <w:rsid w:val="00BB5994"/>
    <w:rsid w:val="00BB5D08"/>
    <w:rsid w:val="00BB5E26"/>
    <w:rsid w:val="00BB5F06"/>
    <w:rsid w:val="00BB6FBF"/>
    <w:rsid w:val="00BB77E5"/>
    <w:rsid w:val="00BB7AB8"/>
    <w:rsid w:val="00BB7B1A"/>
    <w:rsid w:val="00BB7CE6"/>
    <w:rsid w:val="00BC0371"/>
    <w:rsid w:val="00BC08A3"/>
    <w:rsid w:val="00BC100E"/>
    <w:rsid w:val="00BC1151"/>
    <w:rsid w:val="00BC1492"/>
    <w:rsid w:val="00BC19A8"/>
    <w:rsid w:val="00BC1A6B"/>
    <w:rsid w:val="00BC1B5D"/>
    <w:rsid w:val="00BC2313"/>
    <w:rsid w:val="00BC2A66"/>
    <w:rsid w:val="00BC2D66"/>
    <w:rsid w:val="00BC2DA7"/>
    <w:rsid w:val="00BC3071"/>
    <w:rsid w:val="00BC349D"/>
    <w:rsid w:val="00BC362E"/>
    <w:rsid w:val="00BC38AF"/>
    <w:rsid w:val="00BC393F"/>
    <w:rsid w:val="00BC3BAE"/>
    <w:rsid w:val="00BC4090"/>
    <w:rsid w:val="00BC41C4"/>
    <w:rsid w:val="00BC44F7"/>
    <w:rsid w:val="00BC47CC"/>
    <w:rsid w:val="00BC4917"/>
    <w:rsid w:val="00BC5211"/>
    <w:rsid w:val="00BC5467"/>
    <w:rsid w:val="00BC54AF"/>
    <w:rsid w:val="00BC5AC4"/>
    <w:rsid w:val="00BC5ED1"/>
    <w:rsid w:val="00BC631A"/>
    <w:rsid w:val="00BC635F"/>
    <w:rsid w:val="00BC69F5"/>
    <w:rsid w:val="00BC70A5"/>
    <w:rsid w:val="00BC7606"/>
    <w:rsid w:val="00BC781F"/>
    <w:rsid w:val="00BC7D21"/>
    <w:rsid w:val="00BC7E43"/>
    <w:rsid w:val="00BD01B7"/>
    <w:rsid w:val="00BD0806"/>
    <w:rsid w:val="00BD0A96"/>
    <w:rsid w:val="00BD0AD8"/>
    <w:rsid w:val="00BD12FD"/>
    <w:rsid w:val="00BD1551"/>
    <w:rsid w:val="00BD1AC5"/>
    <w:rsid w:val="00BD1E6C"/>
    <w:rsid w:val="00BD1E7F"/>
    <w:rsid w:val="00BD2743"/>
    <w:rsid w:val="00BD2797"/>
    <w:rsid w:val="00BD280D"/>
    <w:rsid w:val="00BD2C7A"/>
    <w:rsid w:val="00BD36D7"/>
    <w:rsid w:val="00BD392A"/>
    <w:rsid w:val="00BD3FFE"/>
    <w:rsid w:val="00BD4098"/>
    <w:rsid w:val="00BD4855"/>
    <w:rsid w:val="00BD4B64"/>
    <w:rsid w:val="00BD4BBC"/>
    <w:rsid w:val="00BD4D79"/>
    <w:rsid w:val="00BD52E3"/>
    <w:rsid w:val="00BD57BA"/>
    <w:rsid w:val="00BD5800"/>
    <w:rsid w:val="00BD5B6A"/>
    <w:rsid w:val="00BD5D89"/>
    <w:rsid w:val="00BD5DBB"/>
    <w:rsid w:val="00BD61DF"/>
    <w:rsid w:val="00BD6306"/>
    <w:rsid w:val="00BD693F"/>
    <w:rsid w:val="00BD7407"/>
    <w:rsid w:val="00BD74B3"/>
    <w:rsid w:val="00BD77E0"/>
    <w:rsid w:val="00BD7A20"/>
    <w:rsid w:val="00BD7B61"/>
    <w:rsid w:val="00BD7D79"/>
    <w:rsid w:val="00BD7EB5"/>
    <w:rsid w:val="00BE0020"/>
    <w:rsid w:val="00BE0034"/>
    <w:rsid w:val="00BE03FE"/>
    <w:rsid w:val="00BE04DF"/>
    <w:rsid w:val="00BE0D0C"/>
    <w:rsid w:val="00BE0DF6"/>
    <w:rsid w:val="00BE11A3"/>
    <w:rsid w:val="00BE13BD"/>
    <w:rsid w:val="00BE188A"/>
    <w:rsid w:val="00BE1A3A"/>
    <w:rsid w:val="00BE1F53"/>
    <w:rsid w:val="00BE2227"/>
    <w:rsid w:val="00BE2403"/>
    <w:rsid w:val="00BE24EF"/>
    <w:rsid w:val="00BE252B"/>
    <w:rsid w:val="00BE2584"/>
    <w:rsid w:val="00BE3020"/>
    <w:rsid w:val="00BE3202"/>
    <w:rsid w:val="00BE34D5"/>
    <w:rsid w:val="00BE3969"/>
    <w:rsid w:val="00BE3AE6"/>
    <w:rsid w:val="00BE3AF1"/>
    <w:rsid w:val="00BE3E9D"/>
    <w:rsid w:val="00BE404D"/>
    <w:rsid w:val="00BE413E"/>
    <w:rsid w:val="00BE45F4"/>
    <w:rsid w:val="00BE48E3"/>
    <w:rsid w:val="00BE5DA4"/>
    <w:rsid w:val="00BE5DC6"/>
    <w:rsid w:val="00BE6001"/>
    <w:rsid w:val="00BE61CB"/>
    <w:rsid w:val="00BE6640"/>
    <w:rsid w:val="00BE69E8"/>
    <w:rsid w:val="00BE6A86"/>
    <w:rsid w:val="00BE6CE8"/>
    <w:rsid w:val="00BE6DCB"/>
    <w:rsid w:val="00BE7090"/>
    <w:rsid w:val="00BE745E"/>
    <w:rsid w:val="00BE7ADE"/>
    <w:rsid w:val="00BF0348"/>
    <w:rsid w:val="00BF04C7"/>
    <w:rsid w:val="00BF0774"/>
    <w:rsid w:val="00BF08BB"/>
    <w:rsid w:val="00BF0AB1"/>
    <w:rsid w:val="00BF0AE2"/>
    <w:rsid w:val="00BF117C"/>
    <w:rsid w:val="00BF11A7"/>
    <w:rsid w:val="00BF13A9"/>
    <w:rsid w:val="00BF1D03"/>
    <w:rsid w:val="00BF1DA1"/>
    <w:rsid w:val="00BF1F3C"/>
    <w:rsid w:val="00BF240B"/>
    <w:rsid w:val="00BF25B7"/>
    <w:rsid w:val="00BF28E9"/>
    <w:rsid w:val="00BF2DF9"/>
    <w:rsid w:val="00BF3517"/>
    <w:rsid w:val="00BF35D2"/>
    <w:rsid w:val="00BF360D"/>
    <w:rsid w:val="00BF3AA1"/>
    <w:rsid w:val="00BF3B40"/>
    <w:rsid w:val="00BF3EAF"/>
    <w:rsid w:val="00BF4231"/>
    <w:rsid w:val="00BF4935"/>
    <w:rsid w:val="00BF4E10"/>
    <w:rsid w:val="00BF4ED7"/>
    <w:rsid w:val="00BF50C0"/>
    <w:rsid w:val="00BF537B"/>
    <w:rsid w:val="00BF5381"/>
    <w:rsid w:val="00BF55E4"/>
    <w:rsid w:val="00BF572B"/>
    <w:rsid w:val="00BF5936"/>
    <w:rsid w:val="00BF5C3C"/>
    <w:rsid w:val="00BF5D87"/>
    <w:rsid w:val="00BF5FBA"/>
    <w:rsid w:val="00BF6571"/>
    <w:rsid w:val="00BF6633"/>
    <w:rsid w:val="00BF6671"/>
    <w:rsid w:val="00BF6C65"/>
    <w:rsid w:val="00BF6D82"/>
    <w:rsid w:val="00BF74B0"/>
    <w:rsid w:val="00BF7753"/>
    <w:rsid w:val="00BF7EF7"/>
    <w:rsid w:val="00C00084"/>
    <w:rsid w:val="00C0022A"/>
    <w:rsid w:val="00C005A1"/>
    <w:rsid w:val="00C00650"/>
    <w:rsid w:val="00C00770"/>
    <w:rsid w:val="00C00892"/>
    <w:rsid w:val="00C008A4"/>
    <w:rsid w:val="00C009BF"/>
    <w:rsid w:val="00C00F27"/>
    <w:rsid w:val="00C012EA"/>
    <w:rsid w:val="00C01B0F"/>
    <w:rsid w:val="00C02061"/>
    <w:rsid w:val="00C02177"/>
    <w:rsid w:val="00C021A4"/>
    <w:rsid w:val="00C02AA5"/>
    <w:rsid w:val="00C02BC7"/>
    <w:rsid w:val="00C02D8F"/>
    <w:rsid w:val="00C02F80"/>
    <w:rsid w:val="00C0362D"/>
    <w:rsid w:val="00C037DD"/>
    <w:rsid w:val="00C03F6F"/>
    <w:rsid w:val="00C042FD"/>
    <w:rsid w:val="00C043AE"/>
    <w:rsid w:val="00C04479"/>
    <w:rsid w:val="00C04C52"/>
    <w:rsid w:val="00C0525C"/>
    <w:rsid w:val="00C058BF"/>
    <w:rsid w:val="00C05EE7"/>
    <w:rsid w:val="00C06D44"/>
    <w:rsid w:val="00C06E18"/>
    <w:rsid w:val="00C06E6B"/>
    <w:rsid w:val="00C07239"/>
    <w:rsid w:val="00C0751F"/>
    <w:rsid w:val="00C07917"/>
    <w:rsid w:val="00C10484"/>
    <w:rsid w:val="00C104CC"/>
    <w:rsid w:val="00C10C17"/>
    <w:rsid w:val="00C11717"/>
    <w:rsid w:val="00C11D2C"/>
    <w:rsid w:val="00C11DB6"/>
    <w:rsid w:val="00C12637"/>
    <w:rsid w:val="00C127D0"/>
    <w:rsid w:val="00C1281E"/>
    <w:rsid w:val="00C1342F"/>
    <w:rsid w:val="00C137A9"/>
    <w:rsid w:val="00C13C69"/>
    <w:rsid w:val="00C1414E"/>
    <w:rsid w:val="00C141B5"/>
    <w:rsid w:val="00C14562"/>
    <w:rsid w:val="00C14C16"/>
    <w:rsid w:val="00C14C38"/>
    <w:rsid w:val="00C150BD"/>
    <w:rsid w:val="00C153D4"/>
    <w:rsid w:val="00C1551E"/>
    <w:rsid w:val="00C15970"/>
    <w:rsid w:val="00C15D4F"/>
    <w:rsid w:val="00C16092"/>
    <w:rsid w:val="00C1678B"/>
    <w:rsid w:val="00C169A5"/>
    <w:rsid w:val="00C171EA"/>
    <w:rsid w:val="00C173EE"/>
    <w:rsid w:val="00C17731"/>
    <w:rsid w:val="00C17921"/>
    <w:rsid w:val="00C17944"/>
    <w:rsid w:val="00C20157"/>
    <w:rsid w:val="00C20703"/>
    <w:rsid w:val="00C207F8"/>
    <w:rsid w:val="00C20E55"/>
    <w:rsid w:val="00C21188"/>
    <w:rsid w:val="00C211B5"/>
    <w:rsid w:val="00C2130F"/>
    <w:rsid w:val="00C215EF"/>
    <w:rsid w:val="00C21995"/>
    <w:rsid w:val="00C21DAC"/>
    <w:rsid w:val="00C22344"/>
    <w:rsid w:val="00C22EBF"/>
    <w:rsid w:val="00C22F57"/>
    <w:rsid w:val="00C2300A"/>
    <w:rsid w:val="00C23216"/>
    <w:rsid w:val="00C23375"/>
    <w:rsid w:val="00C235C8"/>
    <w:rsid w:val="00C23E59"/>
    <w:rsid w:val="00C242C2"/>
    <w:rsid w:val="00C24305"/>
    <w:rsid w:val="00C24319"/>
    <w:rsid w:val="00C2460D"/>
    <w:rsid w:val="00C24770"/>
    <w:rsid w:val="00C247B2"/>
    <w:rsid w:val="00C25142"/>
    <w:rsid w:val="00C2559E"/>
    <w:rsid w:val="00C25948"/>
    <w:rsid w:val="00C25B8A"/>
    <w:rsid w:val="00C25BBC"/>
    <w:rsid w:val="00C25BFE"/>
    <w:rsid w:val="00C25FC9"/>
    <w:rsid w:val="00C260F9"/>
    <w:rsid w:val="00C26157"/>
    <w:rsid w:val="00C2619E"/>
    <w:rsid w:val="00C265AA"/>
    <w:rsid w:val="00C266D2"/>
    <w:rsid w:val="00C26B62"/>
    <w:rsid w:val="00C26C1B"/>
    <w:rsid w:val="00C26CB8"/>
    <w:rsid w:val="00C26EFE"/>
    <w:rsid w:val="00C274DD"/>
    <w:rsid w:val="00C27676"/>
    <w:rsid w:val="00C27D59"/>
    <w:rsid w:val="00C300F2"/>
    <w:rsid w:val="00C3057E"/>
    <w:rsid w:val="00C30604"/>
    <w:rsid w:val="00C308DD"/>
    <w:rsid w:val="00C30F3D"/>
    <w:rsid w:val="00C31B35"/>
    <w:rsid w:val="00C31EB0"/>
    <w:rsid w:val="00C32126"/>
    <w:rsid w:val="00C32CA1"/>
    <w:rsid w:val="00C32FE3"/>
    <w:rsid w:val="00C33130"/>
    <w:rsid w:val="00C33169"/>
    <w:rsid w:val="00C332AF"/>
    <w:rsid w:val="00C33581"/>
    <w:rsid w:val="00C3372A"/>
    <w:rsid w:val="00C34267"/>
    <w:rsid w:val="00C342E5"/>
    <w:rsid w:val="00C34674"/>
    <w:rsid w:val="00C34951"/>
    <w:rsid w:val="00C34CA2"/>
    <w:rsid w:val="00C35060"/>
    <w:rsid w:val="00C359C6"/>
    <w:rsid w:val="00C35A25"/>
    <w:rsid w:val="00C35C0B"/>
    <w:rsid w:val="00C35F16"/>
    <w:rsid w:val="00C35FCA"/>
    <w:rsid w:val="00C36085"/>
    <w:rsid w:val="00C361E8"/>
    <w:rsid w:val="00C362F7"/>
    <w:rsid w:val="00C3636A"/>
    <w:rsid w:val="00C36899"/>
    <w:rsid w:val="00C368F1"/>
    <w:rsid w:val="00C36B5C"/>
    <w:rsid w:val="00C36D05"/>
    <w:rsid w:val="00C374A0"/>
    <w:rsid w:val="00C374A5"/>
    <w:rsid w:val="00C3789F"/>
    <w:rsid w:val="00C37AC8"/>
    <w:rsid w:val="00C37DF6"/>
    <w:rsid w:val="00C37E91"/>
    <w:rsid w:val="00C40204"/>
    <w:rsid w:val="00C40298"/>
    <w:rsid w:val="00C40E3D"/>
    <w:rsid w:val="00C40ED6"/>
    <w:rsid w:val="00C413F9"/>
    <w:rsid w:val="00C4149B"/>
    <w:rsid w:val="00C41505"/>
    <w:rsid w:val="00C416A4"/>
    <w:rsid w:val="00C4175E"/>
    <w:rsid w:val="00C41E03"/>
    <w:rsid w:val="00C42166"/>
    <w:rsid w:val="00C42696"/>
    <w:rsid w:val="00C430CF"/>
    <w:rsid w:val="00C43792"/>
    <w:rsid w:val="00C4393E"/>
    <w:rsid w:val="00C43F8F"/>
    <w:rsid w:val="00C4420E"/>
    <w:rsid w:val="00C44261"/>
    <w:rsid w:val="00C442A5"/>
    <w:rsid w:val="00C4472C"/>
    <w:rsid w:val="00C45065"/>
    <w:rsid w:val="00C45282"/>
    <w:rsid w:val="00C458D8"/>
    <w:rsid w:val="00C45BB6"/>
    <w:rsid w:val="00C45F54"/>
    <w:rsid w:val="00C4677E"/>
    <w:rsid w:val="00C46C1E"/>
    <w:rsid w:val="00C46D0B"/>
    <w:rsid w:val="00C46E35"/>
    <w:rsid w:val="00C50313"/>
    <w:rsid w:val="00C50EBC"/>
    <w:rsid w:val="00C5154E"/>
    <w:rsid w:val="00C5179E"/>
    <w:rsid w:val="00C52065"/>
    <w:rsid w:val="00C5301A"/>
    <w:rsid w:val="00C5309A"/>
    <w:rsid w:val="00C532CC"/>
    <w:rsid w:val="00C53539"/>
    <w:rsid w:val="00C53566"/>
    <w:rsid w:val="00C538F1"/>
    <w:rsid w:val="00C539E4"/>
    <w:rsid w:val="00C53F25"/>
    <w:rsid w:val="00C5429C"/>
    <w:rsid w:val="00C54667"/>
    <w:rsid w:val="00C54901"/>
    <w:rsid w:val="00C54988"/>
    <w:rsid w:val="00C54C15"/>
    <w:rsid w:val="00C54E03"/>
    <w:rsid w:val="00C5544E"/>
    <w:rsid w:val="00C555F9"/>
    <w:rsid w:val="00C55893"/>
    <w:rsid w:val="00C55A83"/>
    <w:rsid w:val="00C55ACE"/>
    <w:rsid w:val="00C55B88"/>
    <w:rsid w:val="00C55CD3"/>
    <w:rsid w:val="00C55FA7"/>
    <w:rsid w:val="00C56092"/>
    <w:rsid w:val="00C564F2"/>
    <w:rsid w:val="00C56586"/>
    <w:rsid w:val="00C565C5"/>
    <w:rsid w:val="00C56A6E"/>
    <w:rsid w:val="00C56B07"/>
    <w:rsid w:val="00C56CCF"/>
    <w:rsid w:val="00C56D0D"/>
    <w:rsid w:val="00C56DA6"/>
    <w:rsid w:val="00C57690"/>
    <w:rsid w:val="00C57800"/>
    <w:rsid w:val="00C578AE"/>
    <w:rsid w:val="00C5792B"/>
    <w:rsid w:val="00C57BA3"/>
    <w:rsid w:val="00C6067B"/>
    <w:rsid w:val="00C61064"/>
    <w:rsid w:val="00C6170B"/>
    <w:rsid w:val="00C61FC3"/>
    <w:rsid w:val="00C62052"/>
    <w:rsid w:val="00C62C9A"/>
    <w:rsid w:val="00C62EE9"/>
    <w:rsid w:val="00C62FEC"/>
    <w:rsid w:val="00C63A40"/>
    <w:rsid w:val="00C63D76"/>
    <w:rsid w:val="00C63E65"/>
    <w:rsid w:val="00C63F2D"/>
    <w:rsid w:val="00C64072"/>
    <w:rsid w:val="00C64435"/>
    <w:rsid w:val="00C6469A"/>
    <w:rsid w:val="00C6474E"/>
    <w:rsid w:val="00C6525D"/>
    <w:rsid w:val="00C65708"/>
    <w:rsid w:val="00C6585C"/>
    <w:rsid w:val="00C65916"/>
    <w:rsid w:val="00C65AF9"/>
    <w:rsid w:val="00C65D5A"/>
    <w:rsid w:val="00C66CC4"/>
    <w:rsid w:val="00C66D9A"/>
    <w:rsid w:val="00C670CA"/>
    <w:rsid w:val="00C67111"/>
    <w:rsid w:val="00C67137"/>
    <w:rsid w:val="00C67409"/>
    <w:rsid w:val="00C677D5"/>
    <w:rsid w:val="00C67A69"/>
    <w:rsid w:val="00C67DF1"/>
    <w:rsid w:val="00C702AD"/>
    <w:rsid w:val="00C71E3F"/>
    <w:rsid w:val="00C723B2"/>
    <w:rsid w:val="00C7257B"/>
    <w:rsid w:val="00C72A3E"/>
    <w:rsid w:val="00C72AD4"/>
    <w:rsid w:val="00C72B48"/>
    <w:rsid w:val="00C73843"/>
    <w:rsid w:val="00C73B92"/>
    <w:rsid w:val="00C73D20"/>
    <w:rsid w:val="00C740BF"/>
    <w:rsid w:val="00C7439A"/>
    <w:rsid w:val="00C74405"/>
    <w:rsid w:val="00C74650"/>
    <w:rsid w:val="00C74793"/>
    <w:rsid w:val="00C74E58"/>
    <w:rsid w:val="00C75052"/>
    <w:rsid w:val="00C7509A"/>
    <w:rsid w:val="00C75396"/>
    <w:rsid w:val="00C754DE"/>
    <w:rsid w:val="00C75696"/>
    <w:rsid w:val="00C75945"/>
    <w:rsid w:val="00C7598C"/>
    <w:rsid w:val="00C75C71"/>
    <w:rsid w:val="00C75F3E"/>
    <w:rsid w:val="00C76222"/>
    <w:rsid w:val="00C76462"/>
    <w:rsid w:val="00C76798"/>
    <w:rsid w:val="00C767C2"/>
    <w:rsid w:val="00C76967"/>
    <w:rsid w:val="00C769BC"/>
    <w:rsid w:val="00C76D0B"/>
    <w:rsid w:val="00C7738A"/>
    <w:rsid w:val="00C77DF0"/>
    <w:rsid w:val="00C81318"/>
    <w:rsid w:val="00C8176D"/>
    <w:rsid w:val="00C81774"/>
    <w:rsid w:val="00C81A8A"/>
    <w:rsid w:val="00C81CCC"/>
    <w:rsid w:val="00C81D62"/>
    <w:rsid w:val="00C82261"/>
    <w:rsid w:val="00C823A8"/>
    <w:rsid w:val="00C8255C"/>
    <w:rsid w:val="00C828AE"/>
    <w:rsid w:val="00C83DB6"/>
    <w:rsid w:val="00C84465"/>
    <w:rsid w:val="00C848E2"/>
    <w:rsid w:val="00C84D52"/>
    <w:rsid w:val="00C85961"/>
    <w:rsid w:val="00C85B93"/>
    <w:rsid w:val="00C86071"/>
    <w:rsid w:val="00C8679E"/>
    <w:rsid w:val="00C8689F"/>
    <w:rsid w:val="00C86E2A"/>
    <w:rsid w:val="00C86E99"/>
    <w:rsid w:val="00C874C4"/>
    <w:rsid w:val="00C87A5E"/>
    <w:rsid w:val="00C87B9A"/>
    <w:rsid w:val="00C87C10"/>
    <w:rsid w:val="00C87F70"/>
    <w:rsid w:val="00C87FAB"/>
    <w:rsid w:val="00C90057"/>
    <w:rsid w:val="00C901C7"/>
    <w:rsid w:val="00C90468"/>
    <w:rsid w:val="00C906D2"/>
    <w:rsid w:val="00C90717"/>
    <w:rsid w:val="00C907C6"/>
    <w:rsid w:val="00C909E2"/>
    <w:rsid w:val="00C90E81"/>
    <w:rsid w:val="00C91048"/>
    <w:rsid w:val="00C91244"/>
    <w:rsid w:val="00C9124D"/>
    <w:rsid w:val="00C9169A"/>
    <w:rsid w:val="00C918F0"/>
    <w:rsid w:val="00C91CF1"/>
    <w:rsid w:val="00C925B7"/>
    <w:rsid w:val="00C92612"/>
    <w:rsid w:val="00C9273B"/>
    <w:rsid w:val="00C929B3"/>
    <w:rsid w:val="00C92B24"/>
    <w:rsid w:val="00C92DCB"/>
    <w:rsid w:val="00C92E58"/>
    <w:rsid w:val="00C932D0"/>
    <w:rsid w:val="00C93651"/>
    <w:rsid w:val="00C9374D"/>
    <w:rsid w:val="00C93E96"/>
    <w:rsid w:val="00C93F8E"/>
    <w:rsid w:val="00C94091"/>
    <w:rsid w:val="00C94302"/>
    <w:rsid w:val="00C94361"/>
    <w:rsid w:val="00C9463A"/>
    <w:rsid w:val="00C94A91"/>
    <w:rsid w:val="00C94BB7"/>
    <w:rsid w:val="00C94EC6"/>
    <w:rsid w:val="00C952A0"/>
    <w:rsid w:val="00C95344"/>
    <w:rsid w:val="00C957D8"/>
    <w:rsid w:val="00C95EF4"/>
    <w:rsid w:val="00C96161"/>
    <w:rsid w:val="00C964A0"/>
    <w:rsid w:val="00C96CAD"/>
    <w:rsid w:val="00C9732C"/>
    <w:rsid w:val="00C97880"/>
    <w:rsid w:val="00C97B55"/>
    <w:rsid w:val="00C97D9A"/>
    <w:rsid w:val="00CA0489"/>
    <w:rsid w:val="00CA066B"/>
    <w:rsid w:val="00CA0D19"/>
    <w:rsid w:val="00CA0F01"/>
    <w:rsid w:val="00CA0F7F"/>
    <w:rsid w:val="00CA13FD"/>
    <w:rsid w:val="00CA14EE"/>
    <w:rsid w:val="00CA1722"/>
    <w:rsid w:val="00CA179C"/>
    <w:rsid w:val="00CA1899"/>
    <w:rsid w:val="00CA18C4"/>
    <w:rsid w:val="00CA227D"/>
    <w:rsid w:val="00CA3264"/>
    <w:rsid w:val="00CA41C8"/>
    <w:rsid w:val="00CA42F9"/>
    <w:rsid w:val="00CA4314"/>
    <w:rsid w:val="00CA4504"/>
    <w:rsid w:val="00CA471E"/>
    <w:rsid w:val="00CA48C4"/>
    <w:rsid w:val="00CA4DF9"/>
    <w:rsid w:val="00CA50E5"/>
    <w:rsid w:val="00CA5FAE"/>
    <w:rsid w:val="00CA6022"/>
    <w:rsid w:val="00CA6830"/>
    <w:rsid w:val="00CA6886"/>
    <w:rsid w:val="00CA69F2"/>
    <w:rsid w:val="00CA6AA8"/>
    <w:rsid w:val="00CA6EEB"/>
    <w:rsid w:val="00CA728D"/>
    <w:rsid w:val="00CA7507"/>
    <w:rsid w:val="00CA76F7"/>
    <w:rsid w:val="00CA79AD"/>
    <w:rsid w:val="00CA7B38"/>
    <w:rsid w:val="00CA7C5C"/>
    <w:rsid w:val="00CA7F9F"/>
    <w:rsid w:val="00CB04AE"/>
    <w:rsid w:val="00CB04BB"/>
    <w:rsid w:val="00CB08C8"/>
    <w:rsid w:val="00CB09A7"/>
    <w:rsid w:val="00CB0F9A"/>
    <w:rsid w:val="00CB1160"/>
    <w:rsid w:val="00CB11B4"/>
    <w:rsid w:val="00CB1572"/>
    <w:rsid w:val="00CB1847"/>
    <w:rsid w:val="00CB1963"/>
    <w:rsid w:val="00CB1EE2"/>
    <w:rsid w:val="00CB29C6"/>
    <w:rsid w:val="00CB3E4E"/>
    <w:rsid w:val="00CB3FBD"/>
    <w:rsid w:val="00CB4087"/>
    <w:rsid w:val="00CB4211"/>
    <w:rsid w:val="00CB4285"/>
    <w:rsid w:val="00CB474A"/>
    <w:rsid w:val="00CB488C"/>
    <w:rsid w:val="00CB48AE"/>
    <w:rsid w:val="00CB493B"/>
    <w:rsid w:val="00CB4EFB"/>
    <w:rsid w:val="00CB5012"/>
    <w:rsid w:val="00CB5B5E"/>
    <w:rsid w:val="00CB5BAC"/>
    <w:rsid w:val="00CB5D24"/>
    <w:rsid w:val="00CB6318"/>
    <w:rsid w:val="00CB680F"/>
    <w:rsid w:val="00CB6B63"/>
    <w:rsid w:val="00CB6C96"/>
    <w:rsid w:val="00CB6F80"/>
    <w:rsid w:val="00CB7158"/>
    <w:rsid w:val="00CB71DD"/>
    <w:rsid w:val="00CB73D1"/>
    <w:rsid w:val="00CB7432"/>
    <w:rsid w:val="00CB7649"/>
    <w:rsid w:val="00CB7C31"/>
    <w:rsid w:val="00CC012C"/>
    <w:rsid w:val="00CC0E86"/>
    <w:rsid w:val="00CC2217"/>
    <w:rsid w:val="00CC2248"/>
    <w:rsid w:val="00CC22FD"/>
    <w:rsid w:val="00CC2780"/>
    <w:rsid w:val="00CC2D95"/>
    <w:rsid w:val="00CC39E2"/>
    <w:rsid w:val="00CC3E86"/>
    <w:rsid w:val="00CC3F45"/>
    <w:rsid w:val="00CC4177"/>
    <w:rsid w:val="00CC4676"/>
    <w:rsid w:val="00CC4ABA"/>
    <w:rsid w:val="00CC4E5C"/>
    <w:rsid w:val="00CC5448"/>
    <w:rsid w:val="00CC55C9"/>
    <w:rsid w:val="00CC571C"/>
    <w:rsid w:val="00CC611B"/>
    <w:rsid w:val="00CC670B"/>
    <w:rsid w:val="00CC7164"/>
    <w:rsid w:val="00CC7CAA"/>
    <w:rsid w:val="00CD0068"/>
    <w:rsid w:val="00CD0238"/>
    <w:rsid w:val="00CD0277"/>
    <w:rsid w:val="00CD0858"/>
    <w:rsid w:val="00CD086A"/>
    <w:rsid w:val="00CD0E11"/>
    <w:rsid w:val="00CD298B"/>
    <w:rsid w:val="00CD2AAC"/>
    <w:rsid w:val="00CD2C4C"/>
    <w:rsid w:val="00CD2D0B"/>
    <w:rsid w:val="00CD31D0"/>
    <w:rsid w:val="00CD3263"/>
    <w:rsid w:val="00CD32C2"/>
    <w:rsid w:val="00CD335A"/>
    <w:rsid w:val="00CD3706"/>
    <w:rsid w:val="00CD37C7"/>
    <w:rsid w:val="00CD3812"/>
    <w:rsid w:val="00CD38FC"/>
    <w:rsid w:val="00CD3C2F"/>
    <w:rsid w:val="00CD3EBF"/>
    <w:rsid w:val="00CD4002"/>
    <w:rsid w:val="00CD4393"/>
    <w:rsid w:val="00CD4397"/>
    <w:rsid w:val="00CD4657"/>
    <w:rsid w:val="00CD4690"/>
    <w:rsid w:val="00CD48EE"/>
    <w:rsid w:val="00CD5370"/>
    <w:rsid w:val="00CD57E1"/>
    <w:rsid w:val="00CD5B46"/>
    <w:rsid w:val="00CD5BC4"/>
    <w:rsid w:val="00CD5DA9"/>
    <w:rsid w:val="00CD67B9"/>
    <w:rsid w:val="00CD6ABC"/>
    <w:rsid w:val="00CD6BFD"/>
    <w:rsid w:val="00CD6E9D"/>
    <w:rsid w:val="00CD70E8"/>
    <w:rsid w:val="00CE04F0"/>
    <w:rsid w:val="00CE0609"/>
    <w:rsid w:val="00CE0636"/>
    <w:rsid w:val="00CE0816"/>
    <w:rsid w:val="00CE0CE1"/>
    <w:rsid w:val="00CE0F08"/>
    <w:rsid w:val="00CE13AE"/>
    <w:rsid w:val="00CE184E"/>
    <w:rsid w:val="00CE18BE"/>
    <w:rsid w:val="00CE1DC1"/>
    <w:rsid w:val="00CE1F1D"/>
    <w:rsid w:val="00CE217D"/>
    <w:rsid w:val="00CE24B3"/>
    <w:rsid w:val="00CE24BB"/>
    <w:rsid w:val="00CE24E5"/>
    <w:rsid w:val="00CE2A3B"/>
    <w:rsid w:val="00CE2AF4"/>
    <w:rsid w:val="00CE2F07"/>
    <w:rsid w:val="00CE35BC"/>
    <w:rsid w:val="00CE3898"/>
    <w:rsid w:val="00CE3A4D"/>
    <w:rsid w:val="00CE3E4A"/>
    <w:rsid w:val="00CE3F35"/>
    <w:rsid w:val="00CE432D"/>
    <w:rsid w:val="00CE4525"/>
    <w:rsid w:val="00CE647E"/>
    <w:rsid w:val="00CE6750"/>
    <w:rsid w:val="00CE67D1"/>
    <w:rsid w:val="00CE6BF1"/>
    <w:rsid w:val="00CE6C79"/>
    <w:rsid w:val="00CE6D29"/>
    <w:rsid w:val="00CE7011"/>
    <w:rsid w:val="00CE71D2"/>
    <w:rsid w:val="00CE7801"/>
    <w:rsid w:val="00CE7EB2"/>
    <w:rsid w:val="00CF00F3"/>
    <w:rsid w:val="00CF057A"/>
    <w:rsid w:val="00CF0BE0"/>
    <w:rsid w:val="00CF0C75"/>
    <w:rsid w:val="00CF0FAA"/>
    <w:rsid w:val="00CF1037"/>
    <w:rsid w:val="00CF1422"/>
    <w:rsid w:val="00CF1C0F"/>
    <w:rsid w:val="00CF1CE9"/>
    <w:rsid w:val="00CF1D4B"/>
    <w:rsid w:val="00CF23F4"/>
    <w:rsid w:val="00CF2493"/>
    <w:rsid w:val="00CF26BD"/>
    <w:rsid w:val="00CF29FE"/>
    <w:rsid w:val="00CF2A9D"/>
    <w:rsid w:val="00CF2C07"/>
    <w:rsid w:val="00CF2E3A"/>
    <w:rsid w:val="00CF2FC0"/>
    <w:rsid w:val="00CF2FE5"/>
    <w:rsid w:val="00CF3823"/>
    <w:rsid w:val="00CF3D3A"/>
    <w:rsid w:val="00CF4041"/>
    <w:rsid w:val="00CF42FF"/>
    <w:rsid w:val="00CF4CED"/>
    <w:rsid w:val="00CF4DD2"/>
    <w:rsid w:val="00CF4F5F"/>
    <w:rsid w:val="00CF5137"/>
    <w:rsid w:val="00CF53F8"/>
    <w:rsid w:val="00CF54F3"/>
    <w:rsid w:val="00CF5601"/>
    <w:rsid w:val="00CF56A2"/>
    <w:rsid w:val="00CF57B8"/>
    <w:rsid w:val="00CF67DC"/>
    <w:rsid w:val="00CF6AE0"/>
    <w:rsid w:val="00CF6AEF"/>
    <w:rsid w:val="00CF6B2A"/>
    <w:rsid w:val="00CF7473"/>
    <w:rsid w:val="00CF7542"/>
    <w:rsid w:val="00CF75AC"/>
    <w:rsid w:val="00CF788E"/>
    <w:rsid w:val="00CF7F08"/>
    <w:rsid w:val="00CF7F75"/>
    <w:rsid w:val="00D0017A"/>
    <w:rsid w:val="00D004FD"/>
    <w:rsid w:val="00D007EA"/>
    <w:rsid w:val="00D00C01"/>
    <w:rsid w:val="00D00F93"/>
    <w:rsid w:val="00D014B1"/>
    <w:rsid w:val="00D01836"/>
    <w:rsid w:val="00D019F3"/>
    <w:rsid w:val="00D01DC5"/>
    <w:rsid w:val="00D01F32"/>
    <w:rsid w:val="00D028FE"/>
    <w:rsid w:val="00D0300D"/>
    <w:rsid w:val="00D03480"/>
    <w:rsid w:val="00D037AB"/>
    <w:rsid w:val="00D03B25"/>
    <w:rsid w:val="00D03B4D"/>
    <w:rsid w:val="00D03BB0"/>
    <w:rsid w:val="00D03E0B"/>
    <w:rsid w:val="00D03E17"/>
    <w:rsid w:val="00D04336"/>
    <w:rsid w:val="00D04AA9"/>
    <w:rsid w:val="00D05192"/>
    <w:rsid w:val="00D05428"/>
    <w:rsid w:val="00D05633"/>
    <w:rsid w:val="00D05B0B"/>
    <w:rsid w:val="00D05B5D"/>
    <w:rsid w:val="00D05C50"/>
    <w:rsid w:val="00D05CA3"/>
    <w:rsid w:val="00D061BE"/>
    <w:rsid w:val="00D0646D"/>
    <w:rsid w:val="00D06606"/>
    <w:rsid w:val="00D06A63"/>
    <w:rsid w:val="00D06AD5"/>
    <w:rsid w:val="00D06CCC"/>
    <w:rsid w:val="00D06D29"/>
    <w:rsid w:val="00D072EE"/>
    <w:rsid w:val="00D07528"/>
    <w:rsid w:val="00D07553"/>
    <w:rsid w:val="00D07768"/>
    <w:rsid w:val="00D079FB"/>
    <w:rsid w:val="00D07D22"/>
    <w:rsid w:val="00D07F7C"/>
    <w:rsid w:val="00D105C4"/>
    <w:rsid w:val="00D112D4"/>
    <w:rsid w:val="00D11471"/>
    <w:rsid w:val="00D11642"/>
    <w:rsid w:val="00D117D3"/>
    <w:rsid w:val="00D1196E"/>
    <w:rsid w:val="00D120E6"/>
    <w:rsid w:val="00D121C7"/>
    <w:rsid w:val="00D124F0"/>
    <w:rsid w:val="00D1336F"/>
    <w:rsid w:val="00D13479"/>
    <w:rsid w:val="00D135C3"/>
    <w:rsid w:val="00D1394C"/>
    <w:rsid w:val="00D13965"/>
    <w:rsid w:val="00D13CC4"/>
    <w:rsid w:val="00D13E13"/>
    <w:rsid w:val="00D140D9"/>
    <w:rsid w:val="00D14276"/>
    <w:rsid w:val="00D14556"/>
    <w:rsid w:val="00D14DEB"/>
    <w:rsid w:val="00D159DB"/>
    <w:rsid w:val="00D15A26"/>
    <w:rsid w:val="00D15D39"/>
    <w:rsid w:val="00D160AD"/>
    <w:rsid w:val="00D16FCC"/>
    <w:rsid w:val="00D173EC"/>
    <w:rsid w:val="00D173EF"/>
    <w:rsid w:val="00D1740A"/>
    <w:rsid w:val="00D17569"/>
    <w:rsid w:val="00D17582"/>
    <w:rsid w:val="00D176DC"/>
    <w:rsid w:val="00D1774B"/>
    <w:rsid w:val="00D17F65"/>
    <w:rsid w:val="00D2006D"/>
    <w:rsid w:val="00D20223"/>
    <w:rsid w:val="00D21384"/>
    <w:rsid w:val="00D21835"/>
    <w:rsid w:val="00D21B3F"/>
    <w:rsid w:val="00D22672"/>
    <w:rsid w:val="00D228CA"/>
    <w:rsid w:val="00D229EC"/>
    <w:rsid w:val="00D2308C"/>
    <w:rsid w:val="00D239CD"/>
    <w:rsid w:val="00D239D2"/>
    <w:rsid w:val="00D23DF2"/>
    <w:rsid w:val="00D23E44"/>
    <w:rsid w:val="00D23FEE"/>
    <w:rsid w:val="00D24B93"/>
    <w:rsid w:val="00D24F82"/>
    <w:rsid w:val="00D24FA1"/>
    <w:rsid w:val="00D25029"/>
    <w:rsid w:val="00D25607"/>
    <w:rsid w:val="00D260B2"/>
    <w:rsid w:val="00D262FE"/>
    <w:rsid w:val="00D264A7"/>
    <w:rsid w:val="00D26565"/>
    <w:rsid w:val="00D265A7"/>
    <w:rsid w:val="00D26706"/>
    <w:rsid w:val="00D268D4"/>
    <w:rsid w:val="00D26BFA"/>
    <w:rsid w:val="00D26F46"/>
    <w:rsid w:val="00D2781D"/>
    <w:rsid w:val="00D2790B"/>
    <w:rsid w:val="00D27CD6"/>
    <w:rsid w:val="00D27F7A"/>
    <w:rsid w:val="00D30959"/>
    <w:rsid w:val="00D30AEA"/>
    <w:rsid w:val="00D3117F"/>
    <w:rsid w:val="00D31601"/>
    <w:rsid w:val="00D3174A"/>
    <w:rsid w:val="00D319E3"/>
    <w:rsid w:val="00D31B47"/>
    <w:rsid w:val="00D31CE0"/>
    <w:rsid w:val="00D320E9"/>
    <w:rsid w:val="00D32302"/>
    <w:rsid w:val="00D32404"/>
    <w:rsid w:val="00D327E4"/>
    <w:rsid w:val="00D32BDB"/>
    <w:rsid w:val="00D332A1"/>
    <w:rsid w:val="00D3370C"/>
    <w:rsid w:val="00D3390A"/>
    <w:rsid w:val="00D33ADC"/>
    <w:rsid w:val="00D33F2D"/>
    <w:rsid w:val="00D3418F"/>
    <w:rsid w:val="00D34476"/>
    <w:rsid w:val="00D3483B"/>
    <w:rsid w:val="00D34DF0"/>
    <w:rsid w:val="00D3508E"/>
    <w:rsid w:val="00D3538B"/>
    <w:rsid w:val="00D35737"/>
    <w:rsid w:val="00D359DF"/>
    <w:rsid w:val="00D35C72"/>
    <w:rsid w:val="00D35E4B"/>
    <w:rsid w:val="00D35F1F"/>
    <w:rsid w:val="00D36251"/>
    <w:rsid w:val="00D36552"/>
    <w:rsid w:val="00D36C03"/>
    <w:rsid w:val="00D36C49"/>
    <w:rsid w:val="00D370F4"/>
    <w:rsid w:val="00D37111"/>
    <w:rsid w:val="00D37303"/>
    <w:rsid w:val="00D373A4"/>
    <w:rsid w:val="00D37799"/>
    <w:rsid w:val="00D379D8"/>
    <w:rsid w:val="00D37E72"/>
    <w:rsid w:val="00D40830"/>
    <w:rsid w:val="00D410D5"/>
    <w:rsid w:val="00D41152"/>
    <w:rsid w:val="00D4154C"/>
    <w:rsid w:val="00D418E0"/>
    <w:rsid w:val="00D41AE9"/>
    <w:rsid w:val="00D41D5A"/>
    <w:rsid w:val="00D42411"/>
    <w:rsid w:val="00D424E6"/>
    <w:rsid w:val="00D425CC"/>
    <w:rsid w:val="00D425D9"/>
    <w:rsid w:val="00D426C8"/>
    <w:rsid w:val="00D42A4C"/>
    <w:rsid w:val="00D434A1"/>
    <w:rsid w:val="00D439A3"/>
    <w:rsid w:val="00D4403B"/>
    <w:rsid w:val="00D442E2"/>
    <w:rsid w:val="00D44B44"/>
    <w:rsid w:val="00D44CE5"/>
    <w:rsid w:val="00D4550B"/>
    <w:rsid w:val="00D455D7"/>
    <w:rsid w:val="00D456DC"/>
    <w:rsid w:val="00D46118"/>
    <w:rsid w:val="00D46670"/>
    <w:rsid w:val="00D46B35"/>
    <w:rsid w:val="00D46B9A"/>
    <w:rsid w:val="00D471F3"/>
    <w:rsid w:val="00D47294"/>
    <w:rsid w:val="00D4769B"/>
    <w:rsid w:val="00D477CA"/>
    <w:rsid w:val="00D4796C"/>
    <w:rsid w:val="00D47992"/>
    <w:rsid w:val="00D47ACB"/>
    <w:rsid w:val="00D500D9"/>
    <w:rsid w:val="00D5012B"/>
    <w:rsid w:val="00D50767"/>
    <w:rsid w:val="00D50798"/>
    <w:rsid w:val="00D509EA"/>
    <w:rsid w:val="00D50F14"/>
    <w:rsid w:val="00D5121F"/>
    <w:rsid w:val="00D51672"/>
    <w:rsid w:val="00D51A28"/>
    <w:rsid w:val="00D51D7E"/>
    <w:rsid w:val="00D51F44"/>
    <w:rsid w:val="00D520C5"/>
    <w:rsid w:val="00D53747"/>
    <w:rsid w:val="00D5377F"/>
    <w:rsid w:val="00D5381D"/>
    <w:rsid w:val="00D5435C"/>
    <w:rsid w:val="00D54A5F"/>
    <w:rsid w:val="00D54AE1"/>
    <w:rsid w:val="00D5522A"/>
    <w:rsid w:val="00D553C9"/>
    <w:rsid w:val="00D558CC"/>
    <w:rsid w:val="00D5609C"/>
    <w:rsid w:val="00D561C6"/>
    <w:rsid w:val="00D56396"/>
    <w:rsid w:val="00D56703"/>
    <w:rsid w:val="00D567BE"/>
    <w:rsid w:val="00D577DC"/>
    <w:rsid w:val="00D57819"/>
    <w:rsid w:val="00D5781F"/>
    <w:rsid w:val="00D57C8A"/>
    <w:rsid w:val="00D57FD6"/>
    <w:rsid w:val="00D60008"/>
    <w:rsid w:val="00D6025D"/>
    <w:rsid w:val="00D604E9"/>
    <w:rsid w:val="00D60670"/>
    <w:rsid w:val="00D608BF"/>
    <w:rsid w:val="00D60903"/>
    <w:rsid w:val="00D60ADF"/>
    <w:rsid w:val="00D61642"/>
    <w:rsid w:val="00D61BB8"/>
    <w:rsid w:val="00D61C63"/>
    <w:rsid w:val="00D625B6"/>
    <w:rsid w:val="00D62791"/>
    <w:rsid w:val="00D62ADB"/>
    <w:rsid w:val="00D631BB"/>
    <w:rsid w:val="00D63273"/>
    <w:rsid w:val="00D63BDE"/>
    <w:rsid w:val="00D63EEE"/>
    <w:rsid w:val="00D648D7"/>
    <w:rsid w:val="00D64C20"/>
    <w:rsid w:val="00D64D68"/>
    <w:rsid w:val="00D651C1"/>
    <w:rsid w:val="00D654EC"/>
    <w:rsid w:val="00D655C0"/>
    <w:rsid w:val="00D655FC"/>
    <w:rsid w:val="00D66113"/>
    <w:rsid w:val="00D6612F"/>
    <w:rsid w:val="00D66448"/>
    <w:rsid w:val="00D66695"/>
    <w:rsid w:val="00D66D6F"/>
    <w:rsid w:val="00D66F3E"/>
    <w:rsid w:val="00D67989"/>
    <w:rsid w:val="00D67DB2"/>
    <w:rsid w:val="00D67EC8"/>
    <w:rsid w:val="00D67F8E"/>
    <w:rsid w:val="00D70000"/>
    <w:rsid w:val="00D7005F"/>
    <w:rsid w:val="00D70352"/>
    <w:rsid w:val="00D70593"/>
    <w:rsid w:val="00D70EF8"/>
    <w:rsid w:val="00D70EFB"/>
    <w:rsid w:val="00D7105F"/>
    <w:rsid w:val="00D710BD"/>
    <w:rsid w:val="00D71249"/>
    <w:rsid w:val="00D7158D"/>
    <w:rsid w:val="00D718FE"/>
    <w:rsid w:val="00D71A64"/>
    <w:rsid w:val="00D71AF6"/>
    <w:rsid w:val="00D71B43"/>
    <w:rsid w:val="00D71BC5"/>
    <w:rsid w:val="00D71DD0"/>
    <w:rsid w:val="00D71FED"/>
    <w:rsid w:val="00D71FFC"/>
    <w:rsid w:val="00D7206F"/>
    <w:rsid w:val="00D7229E"/>
    <w:rsid w:val="00D7263F"/>
    <w:rsid w:val="00D72760"/>
    <w:rsid w:val="00D72951"/>
    <w:rsid w:val="00D72D77"/>
    <w:rsid w:val="00D7327A"/>
    <w:rsid w:val="00D7345B"/>
    <w:rsid w:val="00D7371B"/>
    <w:rsid w:val="00D73E46"/>
    <w:rsid w:val="00D73F5E"/>
    <w:rsid w:val="00D74349"/>
    <w:rsid w:val="00D74440"/>
    <w:rsid w:val="00D7471E"/>
    <w:rsid w:val="00D74B03"/>
    <w:rsid w:val="00D74CA4"/>
    <w:rsid w:val="00D74E85"/>
    <w:rsid w:val="00D74F64"/>
    <w:rsid w:val="00D75314"/>
    <w:rsid w:val="00D7564F"/>
    <w:rsid w:val="00D75855"/>
    <w:rsid w:val="00D75FFF"/>
    <w:rsid w:val="00D76466"/>
    <w:rsid w:val="00D766F8"/>
    <w:rsid w:val="00D768B6"/>
    <w:rsid w:val="00D76BF1"/>
    <w:rsid w:val="00D773B5"/>
    <w:rsid w:val="00D776EF"/>
    <w:rsid w:val="00D778C5"/>
    <w:rsid w:val="00D77923"/>
    <w:rsid w:val="00D801D6"/>
    <w:rsid w:val="00D801EC"/>
    <w:rsid w:val="00D8029F"/>
    <w:rsid w:val="00D8073F"/>
    <w:rsid w:val="00D81158"/>
    <w:rsid w:val="00D81E6F"/>
    <w:rsid w:val="00D8231B"/>
    <w:rsid w:val="00D82519"/>
    <w:rsid w:val="00D82C43"/>
    <w:rsid w:val="00D82FE0"/>
    <w:rsid w:val="00D8343B"/>
    <w:rsid w:val="00D83754"/>
    <w:rsid w:val="00D839FB"/>
    <w:rsid w:val="00D83C3B"/>
    <w:rsid w:val="00D83E49"/>
    <w:rsid w:val="00D84323"/>
    <w:rsid w:val="00D84C4A"/>
    <w:rsid w:val="00D84C66"/>
    <w:rsid w:val="00D852EC"/>
    <w:rsid w:val="00D86474"/>
    <w:rsid w:val="00D86751"/>
    <w:rsid w:val="00D86CFA"/>
    <w:rsid w:val="00D86F9A"/>
    <w:rsid w:val="00D87118"/>
    <w:rsid w:val="00D8728C"/>
    <w:rsid w:val="00D87318"/>
    <w:rsid w:val="00D875F5"/>
    <w:rsid w:val="00D87AC8"/>
    <w:rsid w:val="00D87EB1"/>
    <w:rsid w:val="00D9020A"/>
    <w:rsid w:val="00D9069B"/>
    <w:rsid w:val="00D9076A"/>
    <w:rsid w:val="00D90822"/>
    <w:rsid w:val="00D91033"/>
    <w:rsid w:val="00D9110C"/>
    <w:rsid w:val="00D91450"/>
    <w:rsid w:val="00D92096"/>
    <w:rsid w:val="00D92199"/>
    <w:rsid w:val="00D92559"/>
    <w:rsid w:val="00D92583"/>
    <w:rsid w:val="00D92736"/>
    <w:rsid w:val="00D92A32"/>
    <w:rsid w:val="00D93115"/>
    <w:rsid w:val="00D93265"/>
    <w:rsid w:val="00D93A3D"/>
    <w:rsid w:val="00D93A8D"/>
    <w:rsid w:val="00D93B31"/>
    <w:rsid w:val="00D94327"/>
    <w:rsid w:val="00D9463E"/>
    <w:rsid w:val="00D95BCA"/>
    <w:rsid w:val="00D9612C"/>
    <w:rsid w:val="00D961A3"/>
    <w:rsid w:val="00D962AA"/>
    <w:rsid w:val="00D966E0"/>
    <w:rsid w:val="00D96BDF"/>
    <w:rsid w:val="00D9707D"/>
    <w:rsid w:val="00D97162"/>
    <w:rsid w:val="00D97604"/>
    <w:rsid w:val="00D977D4"/>
    <w:rsid w:val="00D97822"/>
    <w:rsid w:val="00D97B04"/>
    <w:rsid w:val="00D97FFB"/>
    <w:rsid w:val="00DA007D"/>
    <w:rsid w:val="00DA02F2"/>
    <w:rsid w:val="00DA04AC"/>
    <w:rsid w:val="00DA0941"/>
    <w:rsid w:val="00DA0A02"/>
    <w:rsid w:val="00DA0CD5"/>
    <w:rsid w:val="00DA0E63"/>
    <w:rsid w:val="00DA0FA6"/>
    <w:rsid w:val="00DA1CF7"/>
    <w:rsid w:val="00DA299C"/>
    <w:rsid w:val="00DA2A7B"/>
    <w:rsid w:val="00DA309A"/>
    <w:rsid w:val="00DA3150"/>
    <w:rsid w:val="00DA37CE"/>
    <w:rsid w:val="00DA3819"/>
    <w:rsid w:val="00DA3917"/>
    <w:rsid w:val="00DA3B16"/>
    <w:rsid w:val="00DA3CEB"/>
    <w:rsid w:val="00DA41EF"/>
    <w:rsid w:val="00DA42D7"/>
    <w:rsid w:val="00DA581A"/>
    <w:rsid w:val="00DA58CA"/>
    <w:rsid w:val="00DA5C46"/>
    <w:rsid w:val="00DA5CA1"/>
    <w:rsid w:val="00DA5CA4"/>
    <w:rsid w:val="00DA6257"/>
    <w:rsid w:val="00DA625D"/>
    <w:rsid w:val="00DA6614"/>
    <w:rsid w:val="00DA6F0A"/>
    <w:rsid w:val="00DA7483"/>
    <w:rsid w:val="00DA7677"/>
    <w:rsid w:val="00DA771A"/>
    <w:rsid w:val="00DA7B49"/>
    <w:rsid w:val="00DA7C06"/>
    <w:rsid w:val="00DA7EF3"/>
    <w:rsid w:val="00DB044A"/>
    <w:rsid w:val="00DB04F9"/>
    <w:rsid w:val="00DB0745"/>
    <w:rsid w:val="00DB0AA0"/>
    <w:rsid w:val="00DB0C82"/>
    <w:rsid w:val="00DB0E0E"/>
    <w:rsid w:val="00DB0E17"/>
    <w:rsid w:val="00DB0E91"/>
    <w:rsid w:val="00DB118B"/>
    <w:rsid w:val="00DB13B1"/>
    <w:rsid w:val="00DB1640"/>
    <w:rsid w:val="00DB1648"/>
    <w:rsid w:val="00DB1869"/>
    <w:rsid w:val="00DB1EED"/>
    <w:rsid w:val="00DB296C"/>
    <w:rsid w:val="00DB2DB5"/>
    <w:rsid w:val="00DB31C7"/>
    <w:rsid w:val="00DB3A9C"/>
    <w:rsid w:val="00DB3C6B"/>
    <w:rsid w:val="00DB4273"/>
    <w:rsid w:val="00DB46D6"/>
    <w:rsid w:val="00DB4B4C"/>
    <w:rsid w:val="00DB4D68"/>
    <w:rsid w:val="00DB5019"/>
    <w:rsid w:val="00DB5374"/>
    <w:rsid w:val="00DB5D7B"/>
    <w:rsid w:val="00DB5DB3"/>
    <w:rsid w:val="00DB6534"/>
    <w:rsid w:val="00DB6711"/>
    <w:rsid w:val="00DB68BE"/>
    <w:rsid w:val="00DB6BB0"/>
    <w:rsid w:val="00DB6D85"/>
    <w:rsid w:val="00DB7122"/>
    <w:rsid w:val="00DB75BF"/>
    <w:rsid w:val="00DB7AE3"/>
    <w:rsid w:val="00DB7F05"/>
    <w:rsid w:val="00DC0C32"/>
    <w:rsid w:val="00DC0F56"/>
    <w:rsid w:val="00DC0FC8"/>
    <w:rsid w:val="00DC1063"/>
    <w:rsid w:val="00DC1411"/>
    <w:rsid w:val="00DC143C"/>
    <w:rsid w:val="00DC1595"/>
    <w:rsid w:val="00DC1909"/>
    <w:rsid w:val="00DC1A07"/>
    <w:rsid w:val="00DC1A1B"/>
    <w:rsid w:val="00DC236D"/>
    <w:rsid w:val="00DC2562"/>
    <w:rsid w:val="00DC268E"/>
    <w:rsid w:val="00DC2BF4"/>
    <w:rsid w:val="00DC2CE8"/>
    <w:rsid w:val="00DC2E35"/>
    <w:rsid w:val="00DC2EE3"/>
    <w:rsid w:val="00DC31D5"/>
    <w:rsid w:val="00DC35AE"/>
    <w:rsid w:val="00DC3CBD"/>
    <w:rsid w:val="00DC3D7E"/>
    <w:rsid w:val="00DC454E"/>
    <w:rsid w:val="00DC4683"/>
    <w:rsid w:val="00DC493E"/>
    <w:rsid w:val="00DC4DEE"/>
    <w:rsid w:val="00DC5D18"/>
    <w:rsid w:val="00DC609A"/>
    <w:rsid w:val="00DC60E6"/>
    <w:rsid w:val="00DC6DEA"/>
    <w:rsid w:val="00DC6FC2"/>
    <w:rsid w:val="00DC701A"/>
    <w:rsid w:val="00DC7259"/>
    <w:rsid w:val="00DD05EC"/>
    <w:rsid w:val="00DD0B09"/>
    <w:rsid w:val="00DD0B82"/>
    <w:rsid w:val="00DD12F0"/>
    <w:rsid w:val="00DD1452"/>
    <w:rsid w:val="00DD14B4"/>
    <w:rsid w:val="00DD19E1"/>
    <w:rsid w:val="00DD1A7F"/>
    <w:rsid w:val="00DD1DD9"/>
    <w:rsid w:val="00DD1E88"/>
    <w:rsid w:val="00DD1F47"/>
    <w:rsid w:val="00DD2024"/>
    <w:rsid w:val="00DD217D"/>
    <w:rsid w:val="00DD224D"/>
    <w:rsid w:val="00DD23C3"/>
    <w:rsid w:val="00DD2ACE"/>
    <w:rsid w:val="00DD2CFA"/>
    <w:rsid w:val="00DD2EF1"/>
    <w:rsid w:val="00DD3DCA"/>
    <w:rsid w:val="00DD4A57"/>
    <w:rsid w:val="00DD5322"/>
    <w:rsid w:val="00DD5618"/>
    <w:rsid w:val="00DD5A15"/>
    <w:rsid w:val="00DD5A40"/>
    <w:rsid w:val="00DD6037"/>
    <w:rsid w:val="00DD6163"/>
    <w:rsid w:val="00DD63F4"/>
    <w:rsid w:val="00DD64DC"/>
    <w:rsid w:val="00DD67FB"/>
    <w:rsid w:val="00DD6978"/>
    <w:rsid w:val="00DD6A4A"/>
    <w:rsid w:val="00DD6B04"/>
    <w:rsid w:val="00DD7C34"/>
    <w:rsid w:val="00DE06B0"/>
    <w:rsid w:val="00DE07C7"/>
    <w:rsid w:val="00DE109E"/>
    <w:rsid w:val="00DE13B6"/>
    <w:rsid w:val="00DE160A"/>
    <w:rsid w:val="00DE1DC8"/>
    <w:rsid w:val="00DE1DDB"/>
    <w:rsid w:val="00DE21B1"/>
    <w:rsid w:val="00DE24D5"/>
    <w:rsid w:val="00DE25DF"/>
    <w:rsid w:val="00DE2D96"/>
    <w:rsid w:val="00DE35F0"/>
    <w:rsid w:val="00DE3F9C"/>
    <w:rsid w:val="00DE49E6"/>
    <w:rsid w:val="00DE538B"/>
    <w:rsid w:val="00DE549B"/>
    <w:rsid w:val="00DE5678"/>
    <w:rsid w:val="00DE591F"/>
    <w:rsid w:val="00DE6374"/>
    <w:rsid w:val="00DE68CC"/>
    <w:rsid w:val="00DE6B0F"/>
    <w:rsid w:val="00DE6C5A"/>
    <w:rsid w:val="00DE6CA1"/>
    <w:rsid w:val="00DE72D2"/>
    <w:rsid w:val="00DE72F9"/>
    <w:rsid w:val="00DE7512"/>
    <w:rsid w:val="00DE7C84"/>
    <w:rsid w:val="00DE7FA0"/>
    <w:rsid w:val="00DF0048"/>
    <w:rsid w:val="00DF039E"/>
    <w:rsid w:val="00DF04FC"/>
    <w:rsid w:val="00DF0787"/>
    <w:rsid w:val="00DF0C06"/>
    <w:rsid w:val="00DF0C3A"/>
    <w:rsid w:val="00DF167B"/>
    <w:rsid w:val="00DF176B"/>
    <w:rsid w:val="00DF195D"/>
    <w:rsid w:val="00DF25C2"/>
    <w:rsid w:val="00DF26AF"/>
    <w:rsid w:val="00DF28C1"/>
    <w:rsid w:val="00DF2DE3"/>
    <w:rsid w:val="00DF3003"/>
    <w:rsid w:val="00DF3A4A"/>
    <w:rsid w:val="00DF3E1B"/>
    <w:rsid w:val="00DF4061"/>
    <w:rsid w:val="00DF448B"/>
    <w:rsid w:val="00DF4581"/>
    <w:rsid w:val="00DF4728"/>
    <w:rsid w:val="00DF55B9"/>
    <w:rsid w:val="00DF57BD"/>
    <w:rsid w:val="00DF5D9E"/>
    <w:rsid w:val="00DF65CC"/>
    <w:rsid w:val="00DF6A3A"/>
    <w:rsid w:val="00DF6A56"/>
    <w:rsid w:val="00DF6B7F"/>
    <w:rsid w:val="00DF7237"/>
    <w:rsid w:val="00DF74D2"/>
    <w:rsid w:val="00DF7626"/>
    <w:rsid w:val="00DF7E00"/>
    <w:rsid w:val="00E00017"/>
    <w:rsid w:val="00E00057"/>
    <w:rsid w:val="00E001EF"/>
    <w:rsid w:val="00E009D9"/>
    <w:rsid w:val="00E00DAC"/>
    <w:rsid w:val="00E00E0C"/>
    <w:rsid w:val="00E01030"/>
    <w:rsid w:val="00E01768"/>
    <w:rsid w:val="00E017B1"/>
    <w:rsid w:val="00E01C38"/>
    <w:rsid w:val="00E02033"/>
    <w:rsid w:val="00E02219"/>
    <w:rsid w:val="00E02472"/>
    <w:rsid w:val="00E025E1"/>
    <w:rsid w:val="00E02673"/>
    <w:rsid w:val="00E0275E"/>
    <w:rsid w:val="00E02793"/>
    <w:rsid w:val="00E027EE"/>
    <w:rsid w:val="00E02A35"/>
    <w:rsid w:val="00E03025"/>
    <w:rsid w:val="00E037FB"/>
    <w:rsid w:val="00E04925"/>
    <w:rsid w:val="00E04BCB"/>
    <w:rsid w:val="00E04C7C"/>
    <w:rsid w:val="00E04CFA"/>
    <w:rsid w:val="00E04E6F"/>
    <w:rsid w:val="00E0584C"/>
    <w:rsid w:val="00E05901"/>
    <w:rsid w:val="00E05C57"/>
    <w:rsid w:val="00E05FF0"/>
    <w:rsid w:val="00E061BC"/>
    <w:rsid w:val="00E0649D"/>
    <w:rsid w:val="00E06579"/>
    <w:rsid w:val="00E0698B"/>
    <w:rsid w:val="00E07674"/>
    <w:rsid w:val="00E076B8"/>
    <w:rsid w:val="00E07B86"/>
    <w:rsid w:val="00E07B95"/>
    <w:rsid w:val="00E10156"/>
    <w:rsid w:val="00E1032C"/>
    <w:rsid w:val="00E10DF0"/>
    <w:rsid w:val="00E10E9C"/>
    <w:rsid w:val="00E110BD"/>
    <w:rsid w:val="00E1155D"/>
    <w:rsid w:val="00E1158D"/>
    <w:rsid w:val="00E11862"/>
    <w:rsid w:val="00E11953"/>
    <w:rsid w:val="00E12111"/>
    <w:rsid w:val="00E128AC"/>
    <w:rsid w:val="00E129D1"/>
    <w:rsid w:val="00E12C95"/>
    <w:rsid w:val="00E13043"/>
    <w:rsid w:val="00E13660"/>
    <w:rsid w:val="00E13AEF"/>
    <w:rsid w:val="00E13EAB"/>
    <w:rsid w:val="00E1407C"/>
    <w:rsid w:val="00E142A6"/>
    <w:rsid w:val="00E14683"/>
    <w:rsid w:val="00E14C8C"/>
    <w:rsid w:val="00E14C8E"/>
    <w:rsid w:val="00E14F1F"/>
    <w:rsid w:val="00E1538E"/>
    <w:rsid w:val="00E15740"/>
    <w:rsid w:val="00E15C13"/>
    <w:rsid w:val="00E15E0E"/>
    <w:rsid w:val="00E15E74"/>
    <w:rsid w:val="00E15EF3"/>
    <w:rsid w:val="00E16B43"/>
    <w:rsid w:val="00E171B3"/>
    <w:rsid w:val="00E174DA"/>
    <w:rsid w:val="00E178BB"/>
    <w:rsid w:val="00E2016D"/>
    <w:rsid w:val="00E20199"/>
    <w:rsid w:val="00E2044B"/>
    <w:rsid w:val="00E20AB0"/>
    <w:rsid w:val="00E20CFA"/>
    <w:rsid w:val="00E216CF"/>
    <w:rsid w:val="00E21AE5"/>
    <w:rsid w:val="00E21B34"/>
    <w:rsid w:val="00E22257"/>
    <w:rsid w:val="00E222DB"/>
    <w:rsid w:val="00E22771"/>
    <w:rsid w:val="00E22E3E"/>
    <w:rsid w:val="00E22E5B"/>
    <w:rsid w:val="00E22EA3"/>
    <w:rsid w:val="00E23842"/>
    <w:rsid w:val="00E2384D"/>
    <w:rsid w:val="00E23B33"/>
    <w:rsid w:val="00E23C8A"/>
    <w:rsid w:val="00E23FE2"/>
    <w:rsid w:val="00E2478E"/>
    <w:rsid w:val="00E2511A"/>
    <w:rsid w:val="00E251D1"/>
    <w:rsid w:val="00E2542B"/>
    <w:rsid w:val="00E25ECB"/>
    <w:rsid w:val="00E2694E"/>
    <w:rsid w:val="00E26EC5"/>
    <w:rsid w:val="00E2709A"/>
    <w:rsid w:val="00E27216"/>
    <w:rsid w:val="00E27518"/>
    <w:rsid w:val="00E275B1"/>
    <w:rsid w:val="00E27ADA"/>
    <w:rsid w:val="00E27B14"/>
    <w:rsid w:val="00E301BD"/>
    <w:rsid w:val="00E3032E"/>
    <w:rsid w:val="00E3058E"/>
    <w:rsid w:val="00E308EC"/>
    <w:rsid w:val="00E315CC"/>
    <w:rsid w:val="00E319FA"/>
    <w:rsid w:val="00E32587"/>
    <w:rsid w:val="00E32A5E"/>
    <w:rsid w:val="00E32AB2"/>
    <w:rsid w:val="00E32C25"/>
    <w:rsid w:val="00E32C2A"/>
    <w:rsid w:val="00E32E73"/>
    <w:rsid w:val="00E33303"/>
    <w:rsid w:val="00E33485"/>
    <w:rsid w:val="00E33D13"/>
    <w:rsid w:val="00E33D3F"/>
    <w:rsid w:val="00E3446E"/>
    <w:rsid w:val="00E3457A"/>
    <w:rsid w:val="00E346AA"/>
    <w:rsid w:val="00E34B0E"/>
    <w:rsid w:val="00E34DB4"/>
    <w:rsid w:val="00E34DC7"/>
    <w:rsid w:val="00E34F68"/>
    <w:rsid w:val="00E35430"/>
    <w:rsid w:val="00E35B44"/>
    <w:rsid w:val="00E35C38"/>
    <w:rsid w:val="00E35EA3"/>
    <w:rsid w:val="00E362DC"/>
    <w:rsid w:val="00E362E1"/>
    <w:rsid w:val="00E3648B"/>
    <w:rsid w:val="00E36CD3"/>
    <w:rsid w:val="00E36EC2"/>
    <w:rsid w:val="00E36F4F"/>
    <w:rsid w:val="00E3706B"/>
    <w:rsid w:val="00E37095"/>
    <w:rsid w:val="00E374B0"/>
    <w:rsid w:val="00E37765"/>
    <w:rsid w:val="00E4037C"/>
    <w:rsid w:val="00E40538"/>
    <w:rsid w:val="00E40619"/>
    <w:rsid w:val="00E40A41"/>
    <w:rsid w:val="00E41024"/>
    <w:rsid w:val="00E4157E"/>
    <w:rsid w:val="00E41BB5"/>
    <w:rsid w:val="00E422CF"/>
    <w:rsid w:val="00E4243C"/>
    <w:rsid w:val="00E42577"/>
    <w:rsid w:val="00E433EF"/>
    <w:rsid w:val="00E43456"/>
    <w:rsid w:val="00E43ABC"/>
    <w:rsid w:val="00E43EB4"/>
    <w:rsid w:val="00E43EBA"/>
    <w:rsid w:val="00E44188"/>
    <w:rsid w:val="00E4442F"/>
    <w:rsid w:val="00E44508"/>
    <w:rsid w:val="00E446C6"/>
    <w:rsid w:val="00E44716"/>
    <w:rsid w:val="00E44A60"/>
    <w:rsid w:val="00E44AE5"/>
    <w:rsid w:val="00E4511A"/>
    <w:rsid w:val="00E453C7"/>
    <w:rsid w:val="00E453CF"/>
    <w:rsid w:val="00E458D6"/>
    <w:rsid w:val="00E45DAE"/>
    <w:rsid w:val="00E461EF"/>
    <w:rsid w:val="00E46825"/>
    <w:rsid w:val="00E46DB9"/>
    <w:rsid w:val="00E47408"/>
    <w:rsid w:val="00E478DF"/>
    <w:rsid w:val="00E47C09"/>
    <w:rsid w:val="00E47FCA"/>
    <w:rsid w:val="00E501AA"/>
    <w:rsid w:val="00E5030B"/>
    <w:rsid w:val="00E507B0"/>
    <w:rsid w:val="00E509A8"/>
    <w:rsid w:val="00E51001"/>
    <w:rsid w:val="00E5115D"/>
    <w:rsid w:val="00E5180F"/>
    <w:rsid w:val="00E51A2D"/>
    <w:rsid w:val="00E5236A"/>
    <w:rsid w:val="00E5283F"/>
    <w:rsid w:val="00E528D8"/>
    <w:rsid w:val="00E52F51"/>
    <w:rsid w:val="00E5320F"/>
    <w:rsid w:val="00E53524"/>
    <w:rsid w:val="00E5424D"/>
    <w:rsid w:val="00E54483"/>
    <w:rsid w:val="00E54484"/>
    <w:rsid w:val="00E5468C"/>
    <w:rsid w:val="00E54868"/>
    <w:rsid w:val="00E54939"/>
    <w:rsid w:val="00E54A66"/>
    <w:rsid w:val="00E54A7E"/>
    <w:rsid w:val="00E55077"/>
    <w:rsid w:val="00E55382"/>
    <w:rsid w:val="00E55A3B"/>
    <w:rsid w:val="00E561D2"/>
    <w:rsid w:val="00E56393"/>
    <w:rsid w:val="00E563CF"/>
    <w:rsid w:val="00E5654C"/>
    <w:rsid w:val="00E570DD"/>
    <w:rsid w:val="00E57139"/>
    <w:rsid w:val="00E57417"/>
    <w:rsid w:val="00E574B6"/>
    <w:rsid w:val="00E575BC"/>
    <w:rsid w:val="00E579A1"/>
    <w:rsid w:val="00E57B33"/>
    <w:rsid w:val="00E57D06"/>
    <w:rsid w:val="00E61016"/>
    <w:rsid w:val="00E61A1B"/>
    <w:rsid w:val="00E61F5E"/>
    <w:rsid w:val="00E61FA0"/>
    <w:rsid w:val="00E621A0"/>
    <w:rsid w:val="00E623E3"/>
    <w:rsid w:val="00E62758"/>
    <w:rsid w:val="00E62C09"/>
    <w:rsid w:val="00E62CE6"/>
    <w:rsid w:val="00E62DD1"/>
    <w:rsid w:val="00E63779"/>
    <w:rsid w:val="00E63826"/>
    <w:rsid w:val="00E63A1B"/>
    <w:rsid w:val="00E63B4E"/>
    <w:rsid w:val="00E64289"/>
    <w:rsid w:val="00E64627"/>
    <w:rsid w:val="00E64FAD"/>
    <w:rsid w:val="00E655A5"/>
    <w:rsid w:val="00E66180"/>
    <w:rsid w:val="00E661BE"/>
    <w:rsid w:val="00E663BD"/>
    <w:rsid w:val="00E66474"/>
    <w:rsid w:val="00E669DC"/>
    <w:rsid w:val="00E673AC"/>
    <w:rsid w:val="00E673B8"/>
    <w:rsid w:val="00E67EF8"/>
    <w:rsid w:val="00E7025F"/>
    <w:rsid w:val="00E7044B"/>
    <w:rsid w:val="00E70687"/>
    <w:rsid w:val="00E707DC"/>
    <w:rsid w:val="00E70BE2"/>
    <w:rsid w:val="00E712D3"/>
    <w:rsid w:val="00E71E33"/>
    <w:rsid w:val="00E7237C"/>
    <w:rsid w:val="00E725FD"/>
    <w:rsid w:val="00E726A0"/>
    <w:rsid w:val="00E727D3"/>
    <w:rsid w:val="00E72B20"/>
    <w:rsid w:val="00E7322E"/>
    <w:rsid w:val="00E73308"/>
    <w:rsid w:val="00E73356"/>
    <w:rsid w:val="00E7369D"/>
    <w:rsid w:val="00E7415B"/>
    <w:rsid w:val="00E743AF"/>
    <w:rsid w:val="00E744C0"/>
    <w:rsid w:val="00E745B7"/>
    <w:rsid w:val="00E755DE"/>
    <w:rsid w:val="00E756D0"/>
    <w:rsid w:val="00E75905"/>
    <w:rsid w:val="00E75B5F"/>
    <w:rsid w:val="00E76CCC"/>
    <w:rsid w:val="00E801CE"/>
    <w:rsid w:val="00E801E7"/>
    <w:rsid w:val="00E80559"/>
    <w:rsid w:val="00E805C2"/>
    <w:rsid w:val="00E80FF1"/>
    <w:rsid w:val="00E810ED"/>
    <w:rsid w:val="00E8117B"/>
    <w:rsid w:val="00E815AB"/>
    <w:rsid w:val="00E816EA"/>
    <w:rsid w:val="00E8180E"/>
    <w:rsid w:val="00E81F96"/>
    <w:rsid w:val="00E82654"/>
    <w:rsid w:val="00E82735"/>
    <w:rsid w:val="00E8273C"/>
    <w:rsid w:val="00E8299B"/>
    <w:rsid w:val="00E82AA3"/>
    <w:rsid w:val="00E82E3A"/>
    <w:rsid w:val="00E8308D"/>
    <w:rsid w:val="00E8317C"/>
    <w:rsid w:val="00E831DA"/>
    <w:rsid w:val="00E835B3"/>
    <w:rsid w:val="00E83651"/>
    <w:rsid w:val="00E83789"/>
    <w:rsid w:val="00E838D7"/>
    <w:rsid w:val="00E8478F"/>
    <w:rsid w:val="00E857D0"/>
    <w:rsid w:val="00E8597E"/>
    <w:rsid w:val="00E859D1"/>
    <w:rsid w:val="00E85B0E"/>
    <w:rsid w:val="00E85E47"/>
    <w:rsid w:val="00E85E80"/>
    <w:rsid w:val="00E85EFA"/>
    <w:rsid w:val="00E85FF4"/>
    <w:rsid w:val="00E8645D"/>
    <w:rsid w:val="00E86833"/>
    <w:rsid w:val="00E86DF8"/>
    <w:rsid w:val="00E870B1"/>
    <w:rsid w:val="00E873CD"/>
    <w:rsid w:val="00E878F4"/>
    <w:rsid w:val="00E87A15"/>
    <w:rsid w:val="00E87C6E"/>
    <w:rsid w:val="00E87E48"/>
    <w:rsid w:val="00E903EA"/>
    <w:rsid w:val="00E905B0"/>
    <w:rsid w:val="00E907B0"/>
    <w:rsid w:val="00E90CA1"/>
    <w:rsid w:val="00E910DD"/>
    <w:rsid w:val="00E911CA"/>
    <w:rsid w:val="00E91255"/>
    <w:rsid w:val="00E916BB"/>
    <w:rsid w:val="00E917F2"/>
    <w:rsid w:val="00E91B08"/>
    <w:rsid w:val="00E91D5B"/>
    <w:rsid w:val="00E91E10"/>
    <w:rsid w:val="00E920C9"/>
    <w:rsid w:val="00E924BB"/>
    <w:rsid w:val="00E9282E"/>
    <w:rsid w:val="00E92EA7"/>
    <w:rsid w:val="00E9360F"/>
    <w:rsid w:val="00E93928"/>
    <w:rsid w:val="00E93B8F"/>
    <w:rsid w:val="00E94143"/>
    <w:rsid w:val="00E946A8"/>
    <w:rsid w:val="00E94ADB"/>
    <w:rsid w:val="00E94FE0"/>
    <w:rsid w:val="00E9592E"/>
    <w:rsid w:val="00E95BE9"/>
    <w:rsid w:val="00E95E3F"/>
    <w:rsid w:val="00E969B5"/>
    <w:rsid w:val="00E9717E"/>
    <w:rsid w:val="00E9740D"/>
    <w:rsid w:val="00E976DD"/>
    <w:rsid w:val="00E979B8"/>
    <w:rsid w:val="00E97E75"/>
    <w:rsid w:val="00EA0C4A"/>
    <w:rsid w:val="00EA0CED"/>
    <w:rsid w:val="00EA1021"/>
    <w:rsid w:val="00EA1955"/>
    <w:rsid w:val="00EA19F0"/>
    <w:rsid w:val="00EA1EC5"/>
    <w:rsid w:val="00EA20C7"/>
    <w:rsid w:val="00EA20FB"/>
    <w:rsid w:val="00EA2294"/>
    <w:rsid w:val="00EA2335"/>
    <w:rsid w:val="00EA245B"/>
    <w:rsid w:val="00EA2908"/>
    <w:rsid w:val="00EA29D9"/>
    <w:rsid w:val="00EA2BE6"/>
    <w:rsid w:val="00EA30B5"/>
    <w:rsid w:val="00EA3177"/>
    <w:rsid w:val="00EA3314"/>
    <w:rsid w:val="00EA39FE"/>
    <w:rsid w:val="00EA3E4B"/>
    <w:rsid w:val="00EA41BC"/>
    <w:rsid w:val="00EA42CF"/>
    <w:rsid w:val="00EA44AE"/>
    <w:rsid w:val="00EA464D"/>
    <w:rsid w:val="00EA4891"/>
    <w:rsid w:val="00EA4D71"/>
    <w:rsid w:val="00EA4FB5"/>
    <w:rsid w:val="00EA54C6"/>
    <w:rsid w:val="00EA5D35"/>
    <w:rsid w:val="00EA5F25"/>
    <w:rsid w:val="00EA60E2"/>
    <w:rsid w:val="00EA6D58"/>
    <w:rsid w:val="00EA6E2A"/>
    <w:rsid w:val="00EA715C"/>
    <w:rsid w:val="00EA78ED"/>
    <w:rsid w:val="00EA7A38"/>
    <w:rsid w:val="00EA7A4B"/>
    <w:rsid w:val="00EB01B7"/>
    <w:rsid w:val="00EB01F0"/>
    <w:rsid w:val="00EB02B3"/>
    <w:rsid w:val="00EB041B"/>
    <w:rsid w:val="00EB07DF"/>
    <w:rsid w:val="00EB0A25"/>
    <w:rsid w:val="00EB0C32"/>
    <w:rsid w:val="00EB17E7"/>
    <w:rsid w:val="00EB18FD"/>
    <w:rsid w:val="00EB19CE"/>
    <w:rsid w:val="00EB1A22"/>
    <w:rsid w:val="00EB1CE3"/>
    <w:rsid w:val="00EB1D83"/>
    <w:rsid w:val="00EB2713"/>
    <w:rsid w:val="00EB3003"/>
    <w:rsid w:val="00EB30F4"/>
    <w:rsid w:val="00EB31AD"/>
    <w:rsid w:val="00EB34E5"/>
    <w:rsid w:val="00EB412E"/>
    <w:rsid w:val="00EB4212"/>
    <w:rsid w:val="00EB456A"/>
    <w:rsid w:val="00EB52D1"/>
    <w:rsid w:val="00EB5316"/>
    <w:rsid w:val="00EB56ED"/>
    <w:rsid w:val="00EB5B7F"/>
    <w:rsid w:val="00EB5FB1"/>
    <w:rsid w:val="00EB6493"/>
    <w:rsid w:val="00EB6794"/>
    <w:rsid w:val="00EB6BBB"/>
    <w:rsid w:val="00EB6E73"/>
    <w:rsid w:val="00EB6EDC"/>
    <w:rsid w:val="00EB6F3E"/>
    <w:rsid w:val="00EB7333"/>
    <w:rsid w:val="00EB73B2"/>
    <w:rsid w:val="00EB772A"/>
    <w:rsid w:val="00EB79E5"/>
    <w:rsid w:val="00EB7AAF"/>
    <w:rsid w:val="00EC0261"/>
    <w:rsid w:val="00EC06F4"/>
    <w:rsid w:val="00EC07E2"/>
    <w:rsid w:val="00EC088F"/>
    <w:rsid w:val="00EC1140"/>
    <w:rsid w:val="00EC11B5"/>
    <w:rsid w:val="00EC1C6E"/>
    <w:rsid w:val="00EC241E"/>
    <w:rsid w:val="00EC27EA"/>
    <w:rsid w:val="00EC2ABD"/>
    <w:rsid w:val="00EC2CB6"/>
    <w:rsid w:val="00EC386D"/>
    <w:rsid w:val="00EC3D6F"/>
    <w:rsid w:val="00EC3E00"/>
    <w:rsid w:val="00EC42E7"/>
    <w:rsid w:val="00EC4500"/>
    <w:rsid w:val="00EC4BF8"/>
    <w:rsid w:val="00EC4C80"/>
    <w:rsid w:val="00EC4F53"/>
    <w:rsid w:val="00EC532A"/>
    <w:rsid w:val="00EC67E6"/>
    <w:rsid w:val="00EC6B48"/>
    <w:rsid w:val="00EC6C58"/>
    <w:rsid w:val="00EC6C85"/>
    <w:rsid w:val="00EC6EC7"/>
    <w:rsid w:val="00EC6EE5"/>
    <w:rsid w:val="00EC6EF8"/>
    <w:rsid w:val="00EC723B"/>
    <w:rsid w:val="00ED0086"/>
    <w:rsid w:val="00ED0293"/>
    <w:rsid w:val="00ED1272"/>
    <w:rsid w:val="00ED1590"/>
    <w:rsid w:val="00ED17CB"/>
    <w:rsid w:val="00ED19C5"/>
    <w:rsid w:val="00ED1DB6"/>
    <w:rsid w:val="00ED20CD"/>
    <w:rsid w:val="00ED2400"/>
    <w:rsid w:val="00ED2823"/>
    <w:rsid w:val="00ED2915"/>
    <w:rsid w:val="00ED2B28"/>
    <w:rsid w:val="00ED2CD2"/>
    <w:rsid w:val="00ED2F32"/>
    <w:rsid w:val="00ED30BA"/>
    <w:rsid w:val="00ED30FD"/>
    <w:rsid w:val="00ED34AF"/>
    <w:rsid w:val="00ED34E9"/>
    <w:rsid w:val="00ED43A8"/>
    <w:rsid w:val="00ED4477"/>
    <w:rsid w:val="00ED4BD2"/>
    <w:rsid w:val="00ED4FEC"/>
    <w:rsid w:val="00ED5446"/>
    <w:rsid w:val="00ED58BC"/>
    <w:rsid w:val="00ED603A"/>
    <w:rsid w:val="00ED6070"/>
    <w:rsid w:val="00ED60FE"/>
    <w:rsid w:val="00ED6359"/>
    <w:rsid w:val="00ED6778"/>
    <w:rsid w:val="00ED6941"/>
    <w:rsid w:val="00ED6FE2"/>
    <w:rsid w:val="00ED7876"/>
    <w:rsid w:val="00ED7B79"/>
    <w:rsid w:val="00ED7C25"/>
    <w:rsid w:val="00ED7F66"/>
    <w:rsid w:val="00EE021C"/>
    <w:rsid w:val="00EE0286"/>
    <w:rsid w:val="00EE02D9"/>
    <w:rsid w:val="00EE0370"/>
    <w:rsid w:val="00EE054C"/>
    <w:rsid w:val="00EE070E"/>
    <w:rsid w:val="00EE080E"/>
    <w:rsid w:val="00EE0C4B"/>
    <w:rsid w:val="00EE0CFC"/>
    <w:rsid w:val="00EE0F90"/>
    <w:rsid w:val="00EE19F3"/>
    <w:rsid w:val="00EE1E0C"/>
    <w:rsid w:val="00EE1FD4"/>
    <w:rsid w:val="00EE232A"/>
    <w:rsid w:val="00EE2355"/>
    <w:rsid w:val="00EE25D7"/>
    <w:rsid w:val="00EE28AB"/>
    <w:rsid w:val="00EE28BE"/>
    <w:rsid w:val="00EE2C21"/>
    <w:rsid w:val="00EE3017"/>
    <w:rsid w:val="00EE3244"/>
    <w:rsid w:val="00EE35E2"/>
    <w:rsid w:val="00EE3826"/>
    <w:rsid w:val="00EE4BFA"/>
    <w:rsid w:val="00EE5002"/>
    <w:rsid w:val="00EE51FC"/>
    <w:rsid w:val="00EE527E"/>
    <w:rsid w:val="00EE578D"/>
    <w:rsid w:val="00EE5A89"/>
    <w:rsid w:val="00EE5B8C"/>
    <w:rsid w:val="00EE5CCF"/>
    <w:rsid w:val="00EE5F89"/>
    <w:rsid w:val="00EE6363"/>
    <w:rsid w:val="00EE63B5"/>
    <w:rsid w:val="00EE67C5"/>
    <w:rsid w:val="00EE6E4D"/>
    <w:rsid w:val="00EE70C2"/>
    <w:rsid w:val="00EE77DD"/>
    <w:rsid w:val="00EE7832"/>
    <w:rsid w:val="00EE790E"/>
    <w:rsid w:val="00EF085B"/>
    <w:rsid w:val="00EF0E2A"/>
    <w:rsid w:val="00EF11D1"/>
    <w:rsid w:val="00EF1486"/>
    <w:rsid w:val="00EF17D4"/>
    <w:rsid w:val="00EF17E0"/>
    <w:rsid w:val="00EF19B8"/>
    <w:rsid w:val="00EF1D23"/>
    <w:rsid w:val="00EF1F6F"/>
    <w:rsid w:val="00EF2269"/>
    <w:rsid w:val="00EF2458"/>
    <w:rsid w:val="00EF24F6"/>
    <w:rsid w:val="00EF2506"/>
    <w:rsid w:val="00EF2792"/>
    <w:rsid w:val="00EF27AA"/>
    <w:rsid w:val="00EF27C2"/>
    <w:rsid w:val="00EF2819"/>
    <w:rsid w:val="00EF29B4"/>
    <w:rsid w:val="00EF36B9"/>
    <w:rsid w:val="00EF384C"/>
    <w:rsid w:val="00EF3875"/>
    <w:rsid w:val="00EF39C5"/>
    <w:rsid w:val="00EF3A3B"/>
    <w:rsid w:val="00EF3DDE"/>
    <w:rsid w:val="00EF3FA7"/>
    <w:rsid w:val="00EF415D"/>
    <w:rsid w:val="00EF4398"/>
    <w:rsid w:val="00EF4617"/>
    <w:rsid w:val="00EF492A"/>
    <w:rsid w:val="00EF4964"/>
    <w:rsid w:val="00EF4CF2"/>
    <w:rsid w:val="00EF525E"/>
    <w:rsid w:val="00EF5425"/>
    <w:rsid w:val="00EF561A"/>
    <w:rsid w:val="00EF5EE5"/>
    <w:rsid w:val="00EF651F"/>
    <w:rsid w:val="00EF679A"/>
    <w:rsid w:val="00EF6840"/>
    <w:rsid w:val="00EF6899"/>
    <w:rsid w:val="00EF68F5"/>
    <w:rsid w:val="00EF6DC0"/>
    <w:rsid w:val="00EF750D"/>
    <w:rsid w:val="00EF7A6E"/>
    <w:rsid w:val="00EF7A7C"/>
    <w:rsid w:val="00EF7E8B"/>
    <w:rsid w:val="00EF7F69"/>
    <w:rsid w:val="00EF7FD5"/>
    <w:rsid w:val="00F00227"/>
    <w:rsid w:val="00F0027F"/>
    <w:rsid w:val="00F003F1"/>
    <w:rsid w:val="00F01611"/>
    <w:rsid w:val="00F016FC"/>
    <w:rsid w:val="00F01C5C"/>
    <w:rsid w:val="00F01C7D"/>
    <w:rsid w:val="00F01E81"/>
    <w:rsid w:val="00F020A1"/>
    <w:rsid w:val="00F02181"/>
    <w:rsid w:val="00F023A1"/>
    <w:rsid w:val="00F027B9"/>
    <w:rsid w:val="00F02898"/>
    <w:rsid w:val="00F0296A"/>
    <w:rsid w:val="00F02E72"/>
    <w:rsid w:val="00F0310B"/>
    <w:rsid w:val="00F03446"/>
    <w:rsid w:val="00F0365C"/>
    <w:rsid w:val="00F0394C"/>
    <w:rsid w:val="00F04494"/>
    <w:rsid w:val="00F0459A"/>
    <w:rsid w:val="00F0472A"/>
    <w:rsid w:val="00F04DD0"/>
    <w:rsid w:val="00F04FA8"/>
    <w:rsid w:val="00F051CC"/>
    <w:rsid w:val="00F05372"/>
    <w:rsid w:val="00F05636"/>
    <w:rsid w:val="00F05853"/>
    <w:rsid w:val="00F05B99"/>
    <w:rsid w:val="00F05C6C"/>
    <w:rsid w:val="00F067E8"/>
    <w:rsid w:val="00F068FB"/>
    <w:rsid w:val="00F06BE1"/>
    <w:rsid w:val="00F06D19"/>
    <w:rsid w:val="00F07017"/>
    <w:rsid w:val="00F071EA"/>
    <w:rsid w:val="00F0733A"/>
    <w:rsid w:val="00F073D4"/>
    <w:rsid w:val="00F074BF"/>
    <w:rsid w:val="00F074DD"/>
    <w:rsid w:val="00F078C3"/>
    <w:rsid w:val="00F07D83"/>
    <w:rsid w:val="00F07FDC"/>
    <w:rsid w:val="00F10237"/>
    <w:rsid w:val="00F103BA"/>
    <w:rsid w:val="00F103F7"/>
    <w:rsid w:val="00F10450"/>
    <w:rsid w:val="00F104E3"/>
    <w:rsid w:val="00F108E6"/>
    <w:rsid w:val="00F10B3B"/>
    <w:rsid w:val="00F10BB0"/>
    <w:rsid w:val="00F10D67"/>
    <w:rsid w:val="00F1135F"/>
    <w:rsid w:val="00F113D9"/>
    <w:rsid w:val="00F11532"/>
    <w:rsid w:val="00F11683"/>
    <w:rsid w:val="00F11770"/>
    <w:rsid w:val="00F11959"/>
    <w:rsid w:val="00F11A04"/>
    <w:rsid w:val="00F11F58"/>
    <w:rsid w:val="00F1231F"/>
    <w:rsid w:val="00F12C20"/>
    <w:rsid w:val="00F12FBA"/>
    <w:rsid w:val="00F1355F"/>
    <w:rsid w:val="00F13577"/>
    <w:rsid w:val="00F136F1"/>
    <w:rsid w:val="00F1370D"/>
    <w:rsid w:val="00F138A3"/>
    <w:rsid w:val="00F13A8E"/>
    <w:rsid w:val="00F13CF2"/>
    <w:rsid w:val="00F13E52"/>
    <w:rsid w:val="00F13FA0"/>
    <w:rsid w:val="00F14B08"/>
    <w:rsid w:val="00F14CD4"/>
    <w:rsid w:val="00F156BD"/>
    <w:rsid w:val="00F15A0C"/>
    <w:rsid w:val="00F15D38"/>
    <w:rsid w:val="00F1625A"/>
    <w:rsid w:val="00F16266"/>
    <w:rsid w:val="00F16548"/>
    <w:rsid w:val="00F16596"/>
    <w:rsid w:val="00F1665D"/>
    <w:rsid w:val="00F1694E"/>
    <w:rsid w:val="00F169EE"/>
    <w:rsid w:val="00F16AF4"/>
    <w:rsid w:val="00F16E26"/>
    <w:rsid w:val="00F171E1"/>
    <w:rsid w:val="00F174F0"/>
    <w:rsid w:val="00F17E90"/>
    <w:rsid w:val="00F2000F"/>
    <w:rsid w:val="00F202B6"/>
    <w:rsid w:val="00F20ABE"/>
    <w:rsid w:val="00F2145A"/>
    <w:rsid w:val="00F21811"/>
    <w:rsid w:val="00F21BB2"/>
    <w:rsid w:val="00F221B4"/>
    <w:rsid w:val="00F22503"/>
    <w:rsid w:val="00F22AC6"/>
    <w:rsid w:val="00F22CFE"/>
    <w:rsid w:val="00F22F42"/>
    <w:rsid w:val="00F23039"/>
    <w:rsid w:val="00F23181"/>
    <w:rsid w:val="00F233B3"/>
    <w:rsid w:val="00F23C1E"/>
    <w:rsid w:val="00F24691"/>
    <w:rsid w:val="00F24764"/>
    <w:rsid w:val="00F2499C"/>
    <w:rsid w:val="00F24ED3"/>
    <w:rsid w:val="00F25104"/>
    <w:rsid w:val="00F256A4"/>
    <w:rsid w:val="00F260BA"/>
    <w:rsid w:val="00F26A96"/>
    <w:rsid w:val="00F26C09"/>
    <w:rsid w:val="00F26E97"/>
    <w:rsid w:val="00F270A2"/>
    <w:rsid w:val="00F27DDA"/>
    <w:rsid w:val="00F30109"/>
    <w:rsid w:val="00F308DC"/>
    <w:rsid w:val="00F30909"/>
    <w:rsid w:val="00F30FC0"/>
    <w:rsid w:val="00F30FCD"/>
    <w:rsid w:val="00F310F6"/>
    <w:rsid w:val="00F31A62"/>
    <w:rsid w:val="00F32113"/>
    <w:rsid w:val="00F321C8"/>
    <w:rsid w:val="00F3274A"/>
    <w:rsid w:val="00F32761"/>
    <w:rsid w:val="00F32B5F"/>
    <w:rsid w:val="00F330EB"/>
    <w:rsid w:val="00F335AA"/>
    <w:rsid w:val="00F33850"/>
    <w:rsid w:val="00F341E0"/>
    <w:rsid w:val="00F34426"/>
    <w:rsid w:val="00F344C2"/>
    <w:rsid w:val="00F34665"/>
    <w:rsid w:val="00F349F2"/>
    <w:rsid w:val="00F351F5"/>
    <w:rsid w:val="00F35262"/>
    <w:rsid w:val="00F352BA"/>
    <w:rsid w:val="00F359D6"/>
    <w:rsid w:val="00F35CC8"/>
    <w:rsid w:val="00F35D27"/>
    <w:rsid w:val="00F36760"/>
    <w:rsid w:val="00F374D7"/>
    <w:rsid w:val="00F37803"/>
    <w:rsid w:val="00F3788E"/>
    <w:rsid w:val="00F379D8"/>
    <w:rsid w:val="00F37D1B"/>
    <w:rsid w:val="00F37E49"/>
    <w:rsid w:val="00F402D6"/>
    <w:rsid w:val="00F41192"/>
    <w:rsid w:val="00F413B2"/>
    <w:rsid w:val="00F42264"/>
    <w:rsid w:val="00F42439"/>
    <w:rsid w:val="00F425ED"/>
    <w:rsid w:val="00F42CAA"/>
    <w:rsid w:val="00F42DAB"/>
    <w:rsid w:val="00F43028"/>
    <w:rsid w:val="00F430D7"/>
    <w:rsid w:val="00F430F0"/>
    <w:rsid w:val="00F43A2A"/>
    <w:rsid w:val="00F43E94"/>
    <w:rsid w:val="00F43F0E"/>
    <w:rsid w:val="00F4413A"/>
    <w:rsid w:val="00F444CB"/>
    <w:rsid w:val="00F445DC"/>
    <w:rsid w:val="00F446B2"/>
    <w:rsid w:val="00F44D6B"/>
    <w:rsid w:val="00F44F09"/>
    <w:rsid w:val="00F45A95"/>
    <w:rsid w:val="00F45B99"/>
    <w:rsid w:val="00F45D86"/>
    <w:rsid w:val="00F4607D"/>
    <w:rsid w:val="00F4609B"/>
    <w:rsid w:val="00F461C8"/>
    <w:rsid w:val="00F4650C"/>
    <w:rsid w:val="00F46745"/>
    <w:rsid w:val="00F46CE4"/>
    <w:rsid w:val="00F46E8D"/>
    <w:rsid w:val="00F4713C"/>
    <w:rsid w:val="00F472FF"/>
    <w:rsid w:val="00F4763A"/>
    <w:rsid w:val="00F476A0"/>
    <w:rsid w:val="00F478CD"/>
    <w:rsid w:val="00F47C10"/>
    <w:rsid w:val="00F500B0"/>
    <w:rsid w:val="00F50379"/>
    <w:rsid w:val="00F503E5"/>
    <w:rsid w:val="00F50496"/>
    <w:rsid w:val="00F50E05"/>
    <w:rsid w:val="00F50E24"/>
    <w:rsid w:val="00F50EAF"/>
    <w:rsid w:val="00F5158A"/>
    <w:rsid w:val="00F51BE7"/>
    <w:rsid w:val="00F52519"/>
    <w:rsid w:val="00F526FC"/>
    <w:rsid w:val="00F52BA2"/>
    <w:rsid w:val="00F52C51"/>
    <w:rsid w:val="00F536B6"/>
    <w:rsid w:val="00F536C3"/>
    <w:rsid w:val="00F53C59"/>
    <w:rsid w:val="00F53CD1"/>
    <w:rsid w:val="00F53E77"/>
    <w:rsid w:val="00F540E6"/>
    <w:rsid w:val="00F542C7"/>
    <w:rsid w:val="00F54396"/>
    <w:rsid w:val="00F54498"/>
    <w:rsid w:val="00F545E7"/>
    <w:rsid w:val="00F546D9"/>
    <w:rsid w:val="00F548BF"/>
    <w:rsid w:val="00F549E5"/>
    <w:rsid w:val="00F54E01"/>
    <w:rsid w:val="00F54F33"/>
    <w:rsid w:val="00F54F96"/>
    <w:rsid w:val="00F55145"/>
    <w:rsid w:val="00F55819"/>
    <w:rsid w:val="00F559EF"/>
    <w:rsid w:val="00F55AFA"/>
    <w:rsid w:val="00F55D95"/>
    <w:rsid w:val="00F55E47"/>
    <w:rsid w:val="00F55EAF"/>
    <w:rsid w:val="00F56069"/>
    <w:rsid w:val="00F56904"/>
    <w:rsid w:val="00F56B26"/>
    <w:rsid w:val="00F56E64"/>
    <w:rsid w:val="00F56FCB"/>
    <w:rsid w:val="00F572BB"/>
    <w:rsid w:val="00F5737B"/>
    <w:rsid w:val="00F57FF7"/>
    <w:rsid w:val="00F601B5"/>
    <w:rsid w:val="00F6072D"/>
    <w:rsid w:val="00F607C9"/>
    <w:rsid w:val="00F60934"/>
    <w:rsid w:val="00F60CC1"/>
    <w:rsid w:val="00F60E8E"/>
    <w:rsid w:val="00F616B3"/>
    <w:rsid w:val="00F616CD"/>
    <w:rsid w:val="00F61749"/>
    <w:rsid w:val="00F62423"/>
    <w:rsid w:val="00F6279D"/>
    <w:rsid w:val="00F627EE"/>
    <w:rsid w:val="00F628C5"/>
    <w:rsid w:val="00F62A2F"/>
    <w:rsid w:val="00F62B30"/>
    <w:rsid w:val="00F6327E"/>
    <w:rsid w:val="00F635DB"/>
    <w:rsid w:val="00F640CB"/>
    <w:rsid w:val="00F642D8"/>
    <w:rsid w:val="00F64901"/>
    <w:rsid w:val="00F64977"/>
    <w:rsid w:val="00F64C44"/>
    <w:rsid w:val="00F64E15"/>
    <w:rsid w:val="00F656C5"/>
    <w:rsid w:val="00F657A2"/>
    <w:rsid w:val="00F6597D"/>
    <w:rsid w:val="00F65DF9"/>
    <w:rsid w:val="00F66374"/>
    <w:rsid w:val="00F6662F"/>
    <w:rsid w:val="00F666C4"/>
    <w:rsid w:val="00F66B82"/>
    <w:rsid w:val="00F66BB0"/>
    <w:rsid w:val="00F66C73"/>
    <w:rsid w:val="00F66E5C"/>
    <w:rsid w:val="00F66E62"/>
    <w:rsid w:val="00F67126"/>
    <w:rsid w:val="00F67531"/>
    <w:rsid w:val="00F6765C"/>
    <w:rsid w:val="00F678C7"/>
    <w:rsid w:val="00F708D8"/>
    <w:rsid w:val="00F71061"/>
    <w:rsid w:val="00F71163"/>
    <w:rsid w:val="00F713FA"/>
    <w:rsid w:val="00F71766"/>
    <w:rsid w:val="00F71A0C"/>
    <w:rsid w:val="00F71F8C"/>
    <w:rsid w:val="00F72358"/>
    <w:rsid w:val="00F7255D"/>
    <w:rsid w:val="00F727B2"/>
    <w:rsid w:val="00F72866"/>
    <w:rsid w:val="00F728E2"/>
    <w:rsid w:val="00F72A04"/>
    <w:rsid w:val="00F73389"/>
    <w:rsid w:val="00F7398C"/>
    <w:rsid w:val="00F73A16"/>
    <w:rsid w:val="00F73ECD"/>
    <w:rsid w:val="00F73F46"/>
    <w:rsid w:val="00F740A9"/>
    <w:rsid w:val="00F74542"/>
    <w:rsid w:val="00F7479C"/>
    <w:rsid w:val="00F74887"/>
    <w:rsid w:val="00F74DD6"/>
    <w:rsid w:val="00F74F15"/>
    <w:rsid w:val="00F7505F"/>
    <w:rsid w:val="00F7525C"/>
    <w:rsid w:val="00F75353"/>
    <w:rsid w:val="00F755C0"/>
    <w:rsid w:val="00F75A95"/>
    <w:rsid w:val="00F761D8"/>
    <w:rsid w:val="00F76750"/>
    <w:rsid w:val="00F76864"/>
    <w:rsid w:val="00F76920"/>
    <w:rsid w:val="00F76C5C"/>
    <w:rsid w:val="00F76D7B"/>
    <w:rsid w:val="00F76FC3"/>
    <w:rsid w:val="00F7711C"/>
    <w:rsid w:val="00F771C8"/>
    <w:rsid w:val="00F774D8"/>
    <w:rsid w:val="00F805BE"/>
    <w:rsid w:val="00F81384"/>
    <w:rsid w:val="00F81570"/>
    <w:rsid w:val="00F81609"/>
    <w:rsid w:val="00F818B4"/>
    <w:rsid w:val="00F81ADF"/>
    <w:rsid w:val="00F81E98"/>
    <w:rsid w:val="00F81FB4"/>
    <w:rsid w:val="00F823A9"/>
    <w:rsid w:val="00F825FD"/>
    <w:rsid w:val="00F82631"/>
    <w:rsid w:val="00F8284A"/>
    <w:rsid w:val="00F82EAE"/>
    <w:rsid w:val="00F83AD4"/>
    <w:rsid w:val="00F83C2E"/>
    <w:rsid w:val="00F83F0C"/>
    <w:rsid w:val="00F83F46"/>
    <w:rsid w:val="00F83FE1"/>
    <w:rsid w:val="00F845B2"/>
    <w:rsid w:val="00F8481A"/>
    <w:rsid w:val="00F84A85"/>
    <w:rsid w:val="00F84B67"/>
    <w:rsid w:val="00F84F0F"/>
    <w:rsid w:val="00F85636"/>
    <w:rsid w:val="00F858D1"/>
    <w:rsid w:val="00F863E3"/>
    <w:rsid w:val="00F868F2"/>
    <w:rsid w:val="00F86AB9"/>
    <w:rsid w:val="00F86CC9"/>
    <w:rsid w:val="00F870DD"/>
    <w:rsid w:val="00F8729F"/>
    <w:rsid w:val="00F902B9"/>
    <w:rsid w:val="00F903CB"/>
    <w:rsid w:val="00F908F4"/>
    <w:rsid w:val="00F90F19"/>
    <w:rsid w:val="00F911DF"/>
    <w:rsid w:val="00F9135B"/>
    <w:rsid w:val="00F9156F"/>
    <w:rsid w:val="00F916F7"/>
    <w:rsid w:val="00F919A1"/>
    <w:rsid w:val="00F91A47"/>
    <w:rsid w:val="00F9200D"/>
    <w:rsid w:val="00F92513"/>
    <w:rsid w:val="00F925FF"/>
    <w:rsid w:val="00F92DEA"/>
    <w:rsid w:val="00F92F12"/>
    <w:rsid w:val="00F9303D"/>
    <w:rsid w:val="00F937BA"/>
    <w:rsid w:val="00F95156"/>
    <w:rsid w:val="00F95645"/>
    <w:rsid w:val="00F957B7"/>
    <w:rsid w:val="00F95BD2"/>
    <w:rsid w:val="00F95C38"/>
    <w:rsid w:val="00F96142"/>
    <w:rsid w:val="00F962F4"/>
    <w:rsid w:val="00F96AB0"/>
    <w:rsid w:val="00F96C54"/>
    <w:rsid w:val="00F96E0B"/>
    <w:rsid w:val="00F96F17"/>
    <w:rsid w:val="00F96FE5"/>
    <w:rsid w:val="00F9705C"/>
    <w:rsid w:val="00F9764F"/>
    <w:rsid w:val="00F97708"/>
    <w:rsid w:val="00FA000E"/>
    <w:rsid w:val="00FA07AA"/>
    <w:rsid w:val="00FA0932"/>
    <w:rsid w:val="00FA0FBE"/>
    <w:rsid w:val="00FA10CD"/>
    <w:rsid w:val="00FA1228"/>
    <w:rsid w:val="00FA13F8"/>
    <w:rsid w:val="00FA1643"/>
    <w:rsid w:val="00FA175D"/>
    <w:rsid w:val="00FA1C7D"/>
    <w:rsid w:val="00FA23C5"/>
    <w:rsid w:val="00FA29A7"/>
    <w:rsid w:val="00FA2F1A"/>
    <w:rsid w:val="00FA3024"/>
    <w:rsid w:val="00FA304F"/>
    <w:rsid w:val="00FA3782"/>
    <w:rsid w:val="00FA3C33"/>
    <w:rsid w:val="00FA4357"/>
    <w:rsid w:val="00FA445D"/>
    <w:rsid w:val="00FA466A"/>
    <w:rsid w:val="00FA46AA"/>
    <w:rsid w:val="00FA4866"/>
    <w:rsid w:val="00FA4B44"/>
    <w:rsid w:val="00FA4EC6"/>
    <w:rsid w:val="00FA4F92"/>
    <w:rsid w:val="00FA5037"/>
    <w:rsid w:val="00FA54DD"/>
    <w:rsid w:val="00FA58AB"/>
    <w:rsid w:val="00FA5BB9"/>
    <w:rsid w:val="00FA5C27"/>
    <w:rsid w:val="00FA5F59"/>
    <w:rsid w:val="00FA5F96"/>
    <w:rsid w:val="00FA70BE"/>
    <w:rsid w:val="00FA726B"/>
    <w:rsid w:val="00FA7C30"/>
    <w:rsid w:val="00FA7DBC"/>
    <w:rsid w:val="00FB0B17"/>
    <w:rsid w:val="00FB11BD"/>
    <w:rsid w:val="00FB1603"/>
    <w:rsid w:val="00FB1E89"/>
    <w:rsid w:val="00FB2264"/>
    <w:rsid w:val="00FB28DC"/>
    <w:rsid w:val="00FB3054"/>
    <w:rsid w:val="00FB3659"/>
    <w:rsid w:val="00FB3794"/>
    <w:rsid w:val="00FB388C"/>
    <w:rsid w:val="00FB3981"/>
    <w:rsid w:val="00FB3C11"/>
    <w:rsid w:val="00FB413E"/>
    <w:rsid w:val="00FB44C5"/>
    <w:rsid w:val="00FB4A30"/>
    <w:rsid w:val="00FB4E4E"/>
    <w:rsid w:val="00FB5121"/>
    <w:rsid w:val="00FB5194"/>
    <w:rsid w:val="00FB52D4"/>
    <w:rsid w:val="00FB54BA"/>
    <w:rsid w:val="00FB572C"/>
    <w:rsid w:val="00FB587E"/>
    <w:rsid w:val="00FB60B0"/>
    <w:rsid w:val="00FB6504"/>
    <w:rsid w:val="00FB651E"/>
    <w:rsid w:val="00FB661F"/>
    <w:rsid w:val="00FB6A6C"/>
    <w:rsid w:val="00FB702B"/>
    <w:rsid w:val="00FB703E"/>
    <w:rsid w:val="00FB74DF"/>
    <w:rsid w:val="00FB7C1C"/>
    <w:rsid w:val="00FB7F18"/>
    <w:rsid w:val="00FC0499"/>
    <w:rsid w:val="00FC0E5E"/>
    <w:rsid w:val="00FC171D"/>
    <w:rsid w:val="00FC19A5"/>
    <w:rsid w:val="00FC1C0E"/>
    <w:rsid w:val="00FC2293"/>
    <w:rsid w:val="00FC2338"/>
    <w:rsid w:val="00FC29BE"/>
    <w:rsid w:val="00FC2C0F"/>
    <w:rsid w:val="00FC2F4C"/>
    <w:rsid w:val="00FC2F79"/>
    <w:rsid w:val="00FC3514"/>
    <w:rsid w:val="00FC3662"/>
    <w:rsid w:val="00FC36B5"/>
    <w:rsid w:val="00FC41B6"/>
    <w:rsid w:val="00FC4328"/>
    <w:rsid w:val="00FC4CCC"/>
    <w:rsid w:val="00FC4D06"/>
    <w:rsid w:val="00FC5078"/>
    <w:rsid w:val="00FC5283"/>
    <w:rsid w:val="00FC52F2"/>
    <w:rsid w:val="00FC55D4"/>
    <w:rsid w:val="00FC5E55"/>
    <w:rsid w:val="00FC63F2"/>
    <w:rsid w:val="00FC6510"/>
    <w:rsid w:val="00FC673D"/>
    <w:rsid w:val="00FC6DAA"/>
    <w:rsid w:val="00FC6F3F"/>
    <w:rsid w:val="00FD00E5"/>
    <w:rsid w:val="00FD02D5"/>
    <w:rsid w:val="00FD038B"/>
    <w:rsid w:val="00FD08B8"/>
    <w:rsid w:val="00FD08CC"/>
    <w:rsid w:val="00FD0A7F"/>
    <w:rsid w:val="00FD0EC0"/>
    <w:rsid w:val="00FD0F0D"/>
    <w:rsid w:val="00FD1741"/>
    <w:rsid w:val="00FD1895"/>
    <w:rsid w:val="00FD1DBF"/>
    <w:rsid w:val="00FD1DC5"/>
    <w:rsid w:val="00FD22AF"/>
    <w:rsid w:val="00FD239B"/>
    <w:rsid w:val="00FD2686"/>
    <w:rsid w:val="00FD2A12"/>
    <w:rsid w:val="00FD3A00"/>
    <w:rsid w:val="00FD3F84"/>
    <w:rsid w:val="00FD43A9"/>
    <w:rsid w:val="00FD43AE"/>
    <w:rsid w:val="00FD44FC"/>
    <w:rsid w:val="00FD496E"/>
    <w:rsid w:val="00FD5971"/>
    <w:rsid w:val="00FD5C6C"/>
    <w:rsid w:val="00FD65E8"/>
    <w:rsid w:val="00FD67E1"/>
    <w:rsid w:val="00FD6A68"/>
    <w:rsid w:val="00FD6A8C"/>
    <w:rsid w:val="00FD6BCD"/>
    <w:rsid w:val="00FD6FB8"/>
    <w:rsid w:val="00FD7220"/>
    <w:rsid w:val="00FD766F"/>
    <w:rsid w:val="00FD7A11"/>
    <w:rsid w:val="00FE05C3"/>
    <w:rsid w:val="00FE09B1"/>
    <w:rsid w:val="00FE0A28"/>
    <w:rsid w:val="00FE0FCE"/>
    <w:rsid w:val="00FE1281"/>
    <w:rsid w:val="00FE12CB"/>
    <w:rsid w:val="00FE1390"/>
    <w:rsid w:val="00FE16AC"/>
    <w:rsid w:val="00FE1FC9"/>
    <w:rsid w:val="00FE28B3"/>
    <w:rsid w:val="00FE2F47"/>
    <w:rsid w:val="00FE32E0"/>
    <w:rsid w:val="00FE38EB"/>
    <w:rsid w:val="00FE3A42"/>
    <w:rsid w:val="00FE4687"/>
    <w:rsid w:val="00FE46AA"/>
    <w:rsid w:val="00FE494A"/>
    <w:rsid w:val="00FE4F94"/>
    <w:rsid w:val="00FE5216"/>
    <w:rsid w:val="00FE54FF"/>
    <w:rsid w:val="00FE582D"/>
    <w:rsid w:val="00FE5968"/>
    <w:rsid w:val="00FE5B2D"/>
    <w:rsid w:val="00FE760A"/>
    <w:rsid w:val="00FE7629"/>
    <w:rsid w:val="00FE76B4"/>
    <w:rsid w:val="00FE7A3A"/>
    <w:rsid w:val="00FE7BA9"/>
    <w:rsid w:val="00FF023C"/>
    <w:rsid w:val="00FF0763"/>
    <w:rsid w:val="00FF0CF7"/>
    <w:rsid w:val="00FF10F3"/>
    <w:rsid w:val="00FF1CB1"/>
    <w:rsid w:val="00FF2901"/>
    <w:rsid w:val="00FF2B1D"/>
    <w:rsid w:val="00FF3595"/>
    <w:rsid w:val="00FF3651"/>
    <w:rsid w:val="00FF388C"/>
    <w:rsid w:val="00FF3D5C"/>
    <w:rsid w:val="00FF3E24"/>
    <w:rsid w:val="00FF408B"/>
    <w:rsid w:val="00FF45DF"/>
    <w:rsid w:val="00FF48E4"/>
    <w:rsid w:val="00FF507E"/>
    <w:rsid w:val="00FF50C2"/>
    <w:rsid w:val="00FF56A9"/>
    <w:rsid w:val="00FF5D7E"/>
    <w:rsid w:val="00FF6731"/>
    <w:rsid w:val="00FF6874"/>
    <w:rsid w:val="00FF68A9"/>
    <w:rsid w:val="00FF6997"/>
    <w:rsid w:val="00FF6E10"/>
    <w:rsid w:val="00FF7265"/>
    <w:rsid w:val="00FF7409"/>
    <w:rsid w:val="00FF74E2"/>
    <w:rsid w:val="00FF790E"/>
    <w:rsid w:val="00FF7DE4"/>
    <w:rsid w:val="010D44FB"/>
    <w:rsid w:val="011F0ED7"/>
    <w:rsid w:val="02243AE2"/>
    <w:rsid w:val="0229375C"/>
    <w:rsid w:val="023E1A57"/>
    <w:rsid w:val="027C3132"/>
    <w:rsid w:val="02864A26"/>
    <w:rsid w:val="029167E5"/>
    <w:rsid w:val="029B5C03"/>
    <w:rsid w:val="0301742D"/>
    <w:rsid w:val="030671D3"/>
    <w:rsid w:val="03167274"/>
    <w:rsid w:val="03342629"/>
    <w:rsid w:val="033E7756"/>
    <w:rsid w:val="034D0978"/>
    <w:rsid w:val="03A85E9C"/>
    <w:rsid w:val="04223B99"/>
    <w:rsid w:val="04294BF7"/>
    <w:rsid w:val="043514CB"/>
    <w:rsid w:val="04402B37"/>
    <w:rsid w:val="046E73C4"/>
    <w:rsid w:val="048213B3"/>
    <w:rsid w:val="04851260"/>
    <w:rsid w:val="04BD63C8"/>
    <w:rsid w:val="04BF3FAD"/>
    <w:rsid w:val="0535512E"/>
    <w:rsid w:val="053933F3"/>
    <w:rsid w:val="05572AE6"/>
    <w:rsid w:val="05EB36FD"/>
    <w:rsid w:val="05EC0669"/>
    <w:rsid w:val="061830D5"/>
    <w:rsid w:val="062D0413"/>
    <w:rsid w:val="06354324"/>
    <w:rsid w:val="064B40A1"/>
    <w:rsid w:val="06DC5C63"/>
    <w:rsid w:val="071F5D07"/>
    <w:rsid w:val="07372051"/>
    <w:rsid w:val="074D0EFD"/>
    <w:rsid w:val="076064E4"/>
    <w:rsid w:val="079B2223"/>
    <w:rsid w:val="084A7F56"/>
    <w:rsid w:val="08B14371"/>
    <w:rsid w:val="08B65E5D"/>
    <w:rsid w:val="08C16922"/>
    <w:rsid w:val="08E17A7E"/>
    <w:rsid w:val="08FD2202"/>
    <w:rsid w:val="08FE7A2B"/>
    <w:rsid w:val="09931095"/>
    <w:rsid w:val="09AA52B4"/>
    <w:rsid w:val="09EB0ED1"/>
    <w:rsid w:val="09EF29FC"/>
    <w:rsid w:val="0A6C56EF"/>
    <w:rsid w:val="0B107941"/>
    <w:rsid w:val="0B1D4E92"/>
    <w:rsid w:val="0B3C0136"/>
    <w:rsid w:val="0B601499"/>
    <w:rsid w:val="0B9451AC"/>
    <w:rsid w:val="0B99787F"/>
    <w:rsid w:val="0BB4570B"/>
    <w:rsid w:val="0C3B7B6C"/>
    <w:rsid w:val="0CAA49AA"/>
    <w:rsid w:val="0D0816E2"/>
    <w:rsid w:val="0D39751F"/>
    <w:rsid w:val="0DDE5246"/>
    <w:rsid w:val="0EDB2C21"/>
    <w:rsid w:val="0EEF3211"/>
    <w:rsid w:val="0F964F10"/>
    <w:rsid w:val="107953CF"/>
    <w:rsid w:val="10AD7843"/>
    <w:rsid w:val="10D60A11"/>
    <w:rsid w:val="10DA1A6E"/>
    <w:rsid w:val="111B6540"/>
    <w:rsid w:val="112249F1"/>
    <w:rsid w:val="118666A8"/>
    <w:rsid w:val="11AC1D8E"/>
    <w:rsid w:val="121C4AC9"/>
    <w:rsid w:val="12670C44"/>
    <w:rsid w:val="12C25321"/>
    <w:rsid w:val="12D60970"/>
    <w:rsid w:val="13164DE3"/>
    <w:rsid w:val="13675A6C"/>
    <w:rsid w:val="13A8529F"/>
    <w:rsid w:val="13D54A41"/>
    <w:rsid w:val="143E7F18"/>
    <w:rsid w:val="1465423F"/>
    <w:rsid w:val="149F28DA"/>
    <w:rsid w:val="14AF0804"/>
    <w:rsid w:val="14D94BA6"/>
    <w:rsid w:val="14ED1C0B"/>
    <w:rsid w:val="15C75674"/>
    <w:rsid w:val="15F1161D"/>
    <w:rsid w:val="1635555F"/>
    <w:rsid w:val="163F51EF"/>
    <w:rsid w:val="164B4461"/>
    <w:rsid w:val="16573B76"/>
    <w:rsid w:val="166B57F0"/>
    <w:rsid w:val="17054EFB"/>
    <w:rsid w:val="17F356E3"/>
    <w:rsid w:val="1803381E"/>
    <w:rsid w:val="1843200F"/>
    <w:rsid w:val="18943E2D"/>
    <w:rsid w:val="18A8690B"/>
    <w:rsid w:val="190A082E"/>
    <w:rsid w:val="195E0283"/>
    <w:rsid w:val="1A287CB0"/>
    <w:rsid w:val="1A5012DF"/>
    <w:rsid w:val="1A8D0F2F"/>
    <w:rsid w:val="1A9D7FC6"/>
    <w:rsid w:val="1AA7791D"/>
    <w:rsid w:val="1AB85B69"/>
    <w:rsid w:val="1AE17EB2"/>
    <w:rsid w:val="1B3F7776"/>
    <w:rsid w:val="1B545E3B"/>
    <w:rsid w:val="1B702266"/>
    <w:rsid w:val="1B952AF7"/>
    <w:rsid w:val="1C164B1B"/>
    <w:rsid w:val="1CE26164"/>
    <w:rsid w:val="1D1C0259"/>
    <w:rsid w:val="1D486CCB"/>
    <w:rsid w:val="1D627C51"/>
    <w:rsid w:val="1DE008F5"/>
    <w:rsid w:val="1E1D56A5"/>
    <w:rsid w:val="1E1E141D"/>
    <w:rsid w:val="1E311151"/>
    <w:rsid w:val="1E5947E9"/>
    <w:rsid w:val="1E636C9A"/>
    <w:rsid w:val="1E693FBE"/>
    <w:rsid w:val="1E6949D2"/>
    <w:rsid w:val="1E8309E4"/>
    <w:rsid w:val="1E9708A1"/>
    <w:rsid w:val="1E9E0739"/>
    <w:rsid w:val="1EB738F4"/>
    <w:rsid w:val="1F1D76B0"/>
    <w:rsid w:val="1F4A76A4"/>
    <w:rsid w:val="1FAA11BB"/>
    <w:rsid w:val="1FC34008"/>
    <w:rsid w:val="1FC87893"/>
    <w:rsid w:val="1FE40391"/>
    <w:rsid w:val="1FF168A6"/>
    <w:rsid w:val="2045222D"/>
    <w:rsid w:val="206116F2"/>
    <w:rsid w:val="20BF7606"/>
    <w:rsid w:val="213D6E46"/>
    <w:rsid w:val="217575A6"/>
    <w:rsid w:val="218F10E5"/>
    <w:rsid w:val="218F5D5D"/>
    <w:rsid w:val="22151646"/>
    <w:rsid w:val="227428AB"/>
    <w:rsid w:val="227952B7"/>
    <w:rsid w:val="22C02C76"/>
    <w:rsid w:val="23057E82"/>
    <w:rsid w:val="23560696"/>
    <w:rsid w:val="23BA2D24"/>
    <w:rsid w:val="23D75050"/>
    <w:rsid w:val="23FC1F35"/>
    <w:rsid w:val="2418616B"/>
    <w:rsid w:val="24783629"/>
    <w:rsid w:val="247D31E6"/>
    <w:rsid w:val="24A94F54"/>
    <w:rsid w:val="24B02379"/>
    <w:rsid w:val="24EC5DD1"/>
    <w:rsid w:val="251F17B8"/>
    <w:rsid w:val="254010A3"/>
    <w:rsid w:val="25461726"/>
    <w:rsid w:val="25521C4E"/>
    <w:rsid w:val="2555030B"/>
    <w:rsid w:val="25904A56"/>
    <w:rsid w:val="25C805EC"/>
    <w:rsid w:val="25D24FC7"/>
    <w:rsid w:val="25D73AE5"/>
    <w:rsid w:val="26265313"/>
    <w:rsid w:val="26267741"/>
    <w:rsid w:val="26281A9E"/>
    <w:rsid w:val="26AB75C6"/>
    <w:rsid w:val="26B9601C"/>
    <w:rsid w:val="26CC1D3D"/>
    <w:rsid w:val="2714027D"/>
    <w:rsid w:val="273677D8"/>
    <w:rsid w:val="27682A8D"/>
    <w:rsid w:val="277C1218"/>
    <w:rsid w:val="27C17DE2"/>
    <w:rsid w:val="27CE1F2F"/>
    <w:rsid w:val="29093828"/>
    <w:rsid w:val="29294B49"/>
    <w:rsid w:val="293A218E"/>
    <w:rsid w:val="29680082"/>
    <w:rsid w:val="297810A1"/>
    <w:rsid w:val="29B637AA"/>
    <w:rsid w:val="2A150B32"/>
    <w:rsid w:val="2A48402E"/>
    <w:rsid w:val="2A53485B"/>
    <w:rsid w:val="2ACC2360"/>
    <w:rsid w:val="2B0A0D5F"/>
    <w:rsid w:val="2B681F2A"/>
    <w:rsid w:val="2B8C3856"/>
    <w:rsid w:val="2BA63E40"/>
    <w:rsid w:val="2BE66E1E"/>
    <w:rsid w:val="2BF74C58"/>
    <w:rsid w:val="2C063624"/>
    <w:rsid w:val="2C423024"/>
    <w:rsid w:val="2C504E98"/>
    <w:rsid w:val="2CBF3DCB"/>
    <w:rsid w:val="2D016192"/>
    <w:rsid w:val="2D216834"/>
    <w:rsid w:val="2D60110A"/>
    <w:rsid w:val="2D620E31"/>
    <w:rsid w:val="2D64634B"/>
    <w:rsid w:val="2DAB2F4F"/>
    <w:rsid w:val="2E187C37"/>
    <w:rsid w:val="2E323699"/>
    <w:rsid w:val="2E7B1614"/>
    <w:rsid w:val="2EE43B26"/>
    <w:rsid w:val="2F2F348A"/>
    <w:rsid w:val="2FBC722D"/>
    <w:rsid w:val="2FF85DE4"/>
    <w:rsid w:val="30022069"/>
    <w:rsid w:val="30175CEB"/>
    <w:rsid w:val="30240153"/>
    <w:rsid w:val="3062163D"/>
    <w:rsid w:val="306578EE"/>
    <w:rsid w:val="306C54F8"/>
    <w:rsid w:val="30754378"/>
    <w:rsid w:val="30900930"/>
    <w:rsid w:val="30983205"/>
    <w:rsid w:val="30C04A8F"/>
    <w:rsid w:val="30F009F7"/>
    <w:rsid w:val="31022FC6"/>
    <w:rsid w:val="315471D8"/>
    <w:rsid w:val="317258B0"/>
    <w:rsid w:val="31815D31"/>
    <w:rsid w:val="318209DA"/>
    <w:rsid w:val="31AF79D7"/>
    <w:rsid w:val="31C353D7"/>
    <w:rsid w:val="32235582"/>
    <w:rsid w:val="323524D5"/>
    <w:rsid w:val="32473DC9"/>
    <w:rsid w:val="32601B4F"/>
    <w:rsid w:val="326A3786"/>
    <w:rsid w:val="328716F8"/>
    <w:rsid w:val="328867A7"/>
    <w:rsid w:val="32B342AD"/>
    <w:rsid w:val="33172AFC"/>
    <w:rsid w:val="33597D1B"/>
    <w:rsid w:val="338C3013"/>
    <w:rsid w:val="339F74D8"/>
    <w:rsid w:val="33BF189F"/>
    <w:rsid w:val="33C5697B"/>
    <w:rsid w:val="341B3FDD"/>
    <w:rsid w:val="34325474"/>
    <w:rsid w:val="345D3B4A"/>
    <w:rsid w:val="354D2428"/>
    <w:rsid w:val="35854E22"/>
    <w:rsid w:val="35AA386B"/>
    <w:rsid w:val="35F30E64"/>
    <w:rsid w:val="35F82179"/>
    <w:rsid w:val="3634694C"/>
    <w:rsid w:val="36655565"/>
    <w:rsid w:val="36704409"/>
    <w:rsid w:val="36781BD1"/>
    <w:rsid w:val="36A84CAB"/>
    <w:rsid w:val="37071CD9"/>
    <w:rsid w:val="372A4C99"/>
    <w:rsid w:val="376E399A"/>
    <w:rsid w:val="377F3884"/>
    <w:rsid w:val="37A21778"/>
    <w:rsid w:val="37B1553E"/>
    <w:rsid w:val="37E82428"/>
    <w:rsid w:val="38524CD4"/>
    <w:rsid w:val="38C96E8A"/>
    <w:rsid w:val="38CC006C"/>
    <w:rsid w:val="38F126BA"/>
    <w:rsid w:val="392B640F"/>
    <w:rsid w:val="39663F4D"/>
    <w:rsid w:val="39AA5EAE"/>
    <w:rsid w:val="3A1A6AE5"/>
    <w:rsid w:val="3A1D3948"/>
    <w:rsid w:val="3A30455A"/>
    <w:rsid w:val="3A37681D"/>
    <w:rsid w:val="3A3A7F3B"/>
    <w:rsid w:val="3A7437CA"/>
    <w:rsid w:val="3A7F7B8B"/>
    <w:rsid w:val="3A89415F"/>
    <w:rsid w:val="3AD029F1"/>
    <w:rsid w:val="3AD84A09"/>
    <w:rsid w:val="3B9126FA"/>
    <w:rsid w:val="3B977E01"/>
    <w:rsid w:val="3BB64FAE"/>
    <w:rsid w:val="3BFB679D"/>
    <w:rsid w:val="3C2523E4"/>
    <w:rsid w:val="3C4572FD"/>
    <w:rsid w:val="3C4847C3"/>
    <w:rsid w:val="3C707B35"/>
    <w:rsid w:val="3C870971"/>
    <w:rsid w:val="3CD01DEC"/>
    <w:rsid w:val="3D011CDE"/>
    <w:rsid w:val="3D202B21"/>
    <w:rsid w:val="3D211745"/>
    <w:rsid w:val="3D2A2363"/>
    <w:rsid w:val="3D7F55DD"/>
    <w:rsid w:val="3DCF3967"/>
    <w:rsid w:val="3DD301E7"/>
    <w:rsid w:val="3E1F291C"/>
    <w:rsid w:val="3E213827"/>
    <w:rsid w:val="3E3E16B7"/>
    <w:rsid w:val="3E5951AD"/>
    <w:rsid w:val="3E5B2027"/>
    <w:rsid w:val="3E5F4892"/>
    <w:rsid w:val="3E7E7D79"/>
    <w:rsid w:val="3E8A208A"/>
    <w:rsid w:val="3E8D2073"/>
    <w:rsid w:val="3E965E40"/>
    <w:rsid w:val="3ED40680"/>
    <w:rsid w:val="3EDC7A6D"/>
    <w:rsid w:val="3F131CAA"/>
    <w:rsid w:val="3FCF311D"/>
    <w:rsid w:val="3FD1336C"/>
    <w:rsid w:val="3FD83FF3"/>
    <w:rsid w:val="408F538B"/>
    <w:rsid w:val="40996DEB"/>
    <w:rsid w:val="40BE1793"/>
    <w:rsid w:val="40D74128"/>
    <w:rsid w:val="40E652B8"/>
    <w:rsid w:val="418C651A"/>
    <w:rsid w:val="41997E51"/>
    <w:rsid w:val="41BD360F"/>
    <w:rsid w:val="41FF217D"/>
    <w:rsid w:val="42051230"/>
    <w:rsid w:val="425D1C65"/>
    <w:rsid w:val="426F38E9"/>
    <w:rsid w:val="429F0622"/>
    <w:rsid w:val="42B02CFE"/>
    <w:rsid w:val="42D04241"/>
    <w:rsid w:val="43947392"/>
    <w:rsid w:val="43B47959"/>
    <w:rsid w:val="44001442"/>
    <w:rsid w:val="441448D9"/>
    <w:rsid w:val="443B36B7"/>
    <w:rsid w:val="44C034B9"/>
    <w:rsid w:val="44C03602"/>
    <w:rsid w:val="450D2553"/>
    <w:rsid w:val="455A06E4"/>
    <w:rsid w:val="459E7788"/>
    <w:rsid w:val="460B4184"/>
    <w:rsid w:val="46322B6C"/>
    <w:rsid w:val="46506FEA"/>
    <w:rsid w:val="46580D2C"/>
    <w:rsid w:val="46933C70"/>
    <w:rsid w:val="469E0A00"/>
    <w:rsid w:val="46EC7DA0"/>
    <w:rsid w:val="4762246A"/>
    <w:rsid w:val="47DA24FB"/>
    <w:rsid w:val="47EE725E"/>
    <w:rsid w:val="48234642"/>
    <w:rsid w:val="483E7E42"/>
    <w:rsid w:val="483F74A9"/>
    <w:rsid w:val="48617250"/>
    <w:rsid w:val="48C20A48"/>
    <w:rsid w:val="48E34812"/>
    <w:rsid w:val="49477CE9"/>
    <w:rsid w:val="4972162C"/>
    <w:rsid w:val="49877DB3"/>
    <w:rsid w:val="4A16118F"/>
    <w:rsid w:val="4A340F58"/>
    <w:rsid w:val="4A60789B"/>
    <w:rsid w:val="4A6E02C8"/>
    <w:rsid w:val="4A890D0F"/>
    <w:rsid w:val="4A954EE5"/>
    <w:rsid w:val="4AAA5E16"/>
    <w:rsid w:val="4AC17BF9"/>
    <w:rsid w:val="4AFE27AD"/>
    <w:rsid w:val="4B920212"/>
    <w:rsid w:val="4BC357BD"/>
    <w:rsid w:val="4BF9111C"/>
    <w:rsid w:val="4C0E061A"/>
    <w:rsid w:val="4C194E4E"/>
    <w:rsid w:val="4C351638"/>
    <w:rsid w:val="4C3834E5"/>
    <w:rsid w:val="4C544132"/>
    <w:rsid w:val="4C5B7215"/>
    <w:rsid w:val="4C600A26"/>
    <w:rsid w:val="4CBD7ED0"/>
    <w:rsid w:val="4D8B0778"/>
    <w:rsid w:val="4DAB43B6"/>
    <w:rsid w:val="4E0A30FC"/>
    <w:rsid w:val="4E64676E"/>
    <w:rsid w:val="4E7D339E"/>
    <w:rsid w:val="4E8C1BF5"/>
    <w:rsid w:val="4EB533AB"/>
    <w:rsid w:val="4ED62702"/>
    <w:rsid w:val="4F277882"/>
    <w:rsid w:val="4F841703"/>
    <w:rsid w:val="4F9F38BD"/>
    <w:rsid w:val="4FA72771"/>
    <w:rsid w:val="502408F8"/>
    <w:rsid w:val="50261D32"/>
    <w:rsid w:val="50723EB7"/>
    <w:rsid w:val="50AD2901"/>
    <w:rsid w:val="5197659E"/>
    <w:rsid w:val="51D47416"/>
    <w:rsid w:val="51EC090F"/>
    <w:rsid w:val="51F62A6F"/>
    <w:rsid w:val="51FE4A06"/>
    <w:rsid w:val="52342432"/>
    <w:rsid w:val="523E4987"/>
    <w:rsid w:val="5253098E"/>
    <w:rsid w:val="529458EA"/>
    <w:rsid w:val="52B64823"/>
    <w:rsid w:val="52C919B8"/>
    <w:rsid w:val="52CB1CD3"/>
    <w:rsid w:val="52EA12F3"/>
    <w:rsid w:val="52F426DB"/>
    <w:rsid w:val="53407060"/>
    <w:rsid w:val="53723E44"/>
    <w:rsid w:val="53F266B1"/>
    <w:rsid w:val="540867C0"/>
    <w:rsid w:val="5419738F"/>
    <w:rsid w:val="546C593F"/>
    <w:rsid w:val="55133225"/>
    <w:rsid w:val="55767EF4"/>
    <w:rsid w:val="55C20281"/>
    <w:rsid w:val="55DD6EED"/>
    <w:rsid w:val="55F57C74"/>
    <w:rsid w:val="560C77D2"/>
    <w:rsid w:val="564470F2"/>
    <w:rsid w:val="564E5D95"/>
    <w:rsid w:val="5660364C"/>
    <w:rsid w:val="56B2269B"/>
    <w:rsid w:val="56D4209E"/>
    <w:rsid w:val="56E04FFA"/>
    <w:rsid w:val="57B611B9"/>
    <w:rsid w:val="57D074F3"/>
    <w:rsid w:val="57E238EE"/>
    <w:rsid w:val="583F6FE8"/>
    <w:rsid w:val="586D3122"/>
    <w:rsid w:val="58947949"/>
    <w:rsid w:val="589C57D2"/>
    <w:rsid w:val="58BF6BA9"/>
    <w:rsid w:val="59193617"/>
    <w:rsid w:val="591A3FB4"/>
    <w:rsid w:val="5926229A"/>
    <w:rsid w:val="594C0226"/>
    <w:rsid w:val="597766E8"/>
    <w:rsid w:val="59DE180D"/>
    <w:rsid w:val="59E17276"/>
    <w:rsid w:val="59E7033A"/>
    <w:rsid w:val="5A851901"/>
    <w:rsid w:val="5AC71F19"/>
    <w:rsid w:val="5AE91E32"/>
    <w:rsid w:val="5B0A0784"/>
    <w:rsid w:val="5B485B35"/>
    <w:rsid w:val="5B6360E6"/>
    <w:rsid w:val="5B6B6D49"/>
    <w:rsid w:val="5B6D5082"/>
    <w:rsid w:val="5B7D1933"/>
    <w:rsid w:val="5BE7646E"/>
    <w:rsid w:val="5C287FC0"/>
    <w:rsid w:val="5C2A13BA"/>
    <w:rsid w:val="5C3318F5"/>
    <w:rsid w:val="5C5407C0"/>
    <w:rsid w:val="5C583530"/>
    <w:rsid w:val="5C5D59B8"/>
    <w:rsid w:val="5C6A6F54"/>
    <w:rsid w:val="5C917225"/>
    <w:rsid w:val="5CF50FC0"/>
    <w:rsid w:val="5D111237"/>
    <w:rsid w:val="5D170A6A"/>
    <w:rsid w:val="5D9702C9"/>
    <w:rsid w:val="5E692E74"/>
    <w:rsid w:val="5E8F0FD5"/>
    <w:rsid w:val="5EB1498F"/>
    <w:rsid w:val="5EC503F4"/>
    <w:rsid w:val="5ED74E21"/>
    <w:rsid w:val="5F136399"/>
    <w:rsid w:val="5F1646A0"/>
    <w:rsid w:val="5F6A20FE"/>
    <w:rsid w:val="5FA4532B"/>
    <w:rsid w:val="5FC04C82"/>
    <w:rsid w:val="5FF90F0D"/>
    <w:rsid w:val="60537FF8"/>
    <w:rsid w:val="6069522D"/>
    <w:rsid w:val="6084696D"/>
    <w:rsid w:val="608F1CF9"/>
    <w:rsid w:val="609D6486"/>
    <w:rsid w:val="60B647AC"/>
    <w:rsid w:val="60C92CC1"/>
    <w:rsid w:val="60CE4470"/>
    <w:rsid w:val="60F270DC"/>
    <w:rsid w:val="611A1D26"/>
    <w:rsid w:val="61216E71"/>
    <w:rsid w:val="612F6863"/>
    <w:rsid w:val="61526D4B"/>
    <w:rsid w:val="619A4273"/>
    <w:rsid w:val="61A60ADB"/>
    <w:rsid w:val="61BA3387"/>
    <w:rsid w:val="61C64CD9"/>
    <w:rsid w:val="61FC00A7"/>
    <w:rsid w:val="6200694C"/>
    <w:rsid w:val="62092E18"/>
    <w:rsid w:val="620A501F"/>
    <w:rsid w:val="62546789"/>
    <w:rsid w:val="62916E86"/>
    <w:rsid w:val="62A52B40"/>
    <w:rsid w:val="62BF635D"/>
    <w:rsid w:val="63412621"/>
    <w:rsid w:val="636E38C7"/>
    <w:rsid w:val="63730E90"/>
    <w:rsid w:val="63807510"/>
    <w:rsid w:val="63B62EE9"/>
    <w:rsid w:val="640351A7"/>
    <w:rsid w:val="641A1685"/>
    <w:rsid w:val="64222E09"/>
    <w:rsid w:val="6459352C"/>
    <w:rsid w:val="6482330C"/>
    <w:rsid w:val="64A062AF"/>
    <w:rsid w:val="64CC5DFE"/>
    <w:rsid w:val="64D2670F"/>
    <w:rsid w:val="64F26478"/>
    <w:rsid w:val="650D17D7"/>
    <w:rsid w:val="65395355"/>
    <w:rsid w:val="65B87187"/>
    <w:rsid w:val="65C74C3B"/>
    <w:rsid w:val="65D5198E"/>
    <w:rsid w:val="65D91E48"/>
    <w:rsid w:val="66465F1F"/>
    <w:rsid w:val="666F78DF"/>
    <w:rsid w:val="66C0619B"/>
    <w:rsid w:val="66F145D1"/>
    <w:rsid w:val="679B3DE2"/>
    <w:rsid w:val="67C05C4A"/>
    <w:rsid w:val="67C07067"/>
    <w:rsid w:val="67F645CB"/>
    <w:rsid w:val="681B1883"/>
    <w:rsid w:val="684947A2"/>
    <w:rsid w:val="685D41DA"/>
    <w:rsid w:val="68815DFE"/>
    <w:rsid w:val="68A32E9D"/>
    <w:rsid w:val="68AF0344"/>
    <w:rsid w:val="68D4769A"/>
    <w:rsid w:val="68DA5D79"/>
    <w:rsid w:val="6925007D"/>
    <w:rsid w:val="693B02D6"/>
    <w:rsid w:val="694C5277"/>
    <w:rsid w:val="694F4E9C"/>
    <w:rsid w:val="69601EB7"/>
    <w:rsid w:val="696A0640"/>
    <w:rsid w:val="69A576EC"/>
    <w:rsid w:val="69BC5D71"/>
    <w:rsid w:val="69F024EB"/>
    <w:rsid w:val="6A350C4E"/>
    <w:rsid w:val="6AFC2BAA"/>
    <w:rsid w:val="6B7B0832"/>
    <w:rsid w:val="6BD11A5F"/>
    <w:rsid w:val="6C4B6506"/>
    <w:rsid w:val="6C707C1B"/>
    <w:rsid w:val="6C726867"/>
    <w:rsid w:val="6CA16A6E"/>
    <w:rsid w:val="6CF345AC"/>
    <w:rsid w:val="6D0A6505"/>
    <w:rsid w:val="6D392803"/>
    <w:rsid w:val="6D5238BB"/>
    <w:rsid w:val="6D6E1FDA"/>
    <w:rsid w:val="6DBB00E7"/>
    <w:rsid w:val="6DC710C7"/>
    <w:rsid w:val="6E164B39"/>
    <w:rsid w:val="6E3D5E70"/>
    <w:rsid w:val="6ED23842"/>
    <w:rsid w:val="6F053675"/>
    <w:rsid w:val="6F34314E"/>
    <w:rsid w:val="6F3645FC"/>
    <w:rsid w:val="6F75732E"/>
    <w:rsid w:val="6F767350"/>
    <w:rsid w:val="6F94545C"/>
    <w:rsid w:val="70BD6C78"/>
    <w:rsid w:val="70CD3927"/>
    <w:rsid w:val="70F81474"/>
    <w:rsid w:val="710B44B6"/>
    <w:rsid w:val="713E7B0A"/>
    <w:rsid w:val="7148395C"/>
    <w:rsid w:val="71A135B0"/>
    <w:rsid w:val="71A72045"/>
    <w:rsid w:val="71FA6BD3"/>
    <w:rsid w:val="71FE0B3A"/>
    <w:rsid w:val="72042971"/>
    <w:rsid w:val="72056DC5"/>
    <w:rsid w:val="72070B3D"/>
    <w:rsid w:val="72297F99"/>
    <w:rsid w:val="726500FF"/>
    <w:rsid w:val="72A24770"/>
    <w:rsid w:val="72BC37E2"/>
    <w:rsid w:val="72D33E42"/>
    <w:rsid w:val="7333750B"/>
    <w:rsid w:val="7340479A"/>
    <w:rsid w:val="73493046"/>
    <w:rsid w:val="737C4FE0"/>
    <w:rsid w:val="742373E5"/>
    <w:rsid w:val="7436174E"/>
    <w:rsid w:val="74A43FCD"/>
    <w:rsid w:val="74AA683E"/>
    <w:rsid w:val="752E76EA"/>
    <w:rsid w:val="756E0208"/>
    <w:rsid w:val="75807EA5"/>
    <w:rsid w:val="7587609A"/>
    <w:rsid w:val="76273920"/>
    <w:rsid w:val="762B104A"/>
    <w:rsid w:val="765514C8"/>
    <w:rsid w:val="766F3739"/>
    <w:rsid w:val="76711A9C"/>
    <w:rsid w:val="76BF646F"/>
    <w:rsid w:val="76EC6E48"/>
    <w:rsid w:val="77752853"/>
    <w:rsid w:val="77DE46D3"/>
    <w:rsid w:val="77E25649"/>
    <w:rsid w:val="78220CC9"/>
    <w:rsid w:val="782831AF"/>
    <w:rsid w:val="782F5F3A"/>
    <w:rsid w:val="7842670F"/>
    <w:rsid w:val="78A0407E"/>
    <w:rsid w:val="78A84E70"/>
    <w:rsid w:val="78BA4D53"/>
    <w:rsid w:val="791A0774"/>
    <w:rsid w:val="79922961"/>
    <w:rsid w:val="7A276B9B"/>
    <w:rsid w:val="7A794E98"/>
    <w:rsid w:val="7A9429BD"/>
    <w:rsid w:val="7AA9287C"/>
    <w:rsid w:val="7AB06AAE"/>
    <w:rsid w:val="7AB62BBE"/>
    <w:rsid w:val="7ABA788A"/>
    <w:rsid w:val="7ADB1C21"/>
    <w:rsid w:val="7ADB5068"/>
    <w:rsid w:val="7AEC5D56"/>
    <w:rsid w:val="7B1448AF"/>
    <w:rsid w:val="7B1A173D"/>
    <w:rsid w:val="7B3F6114"/>
    <w:rsid w:val="7B5A1BAF"/>
    <w:rsid w:val="7B7F0AC0"/>
    <w:rsid w:val="7BC41E31"/>
    <w:rsid w:val="7C04050A"/>
    <w:rsid w:val="7C8C2AAF"/>
    <w:rsid w:val="7C975798"/>
    <w:rsid w:val="7CB36285"/>
    <w:rsid w:val="7CC90F03"/>
    <w:rsid w:val="7D4D60AC"/>
    <w:rsid w:val="7DC377E8"/>
    <w:rsid w:val="7DDC7FDD"/>
    <w:rsid w:val="7E70110E"/>
    <w:rsid w:val="7E983648"/>
    <w:rsid w:val="7EB3562D"/>
    <w:rsid w:val="7EB5453C"/>
    <w:rsid w:val="7EC65859"/>
    <w:rsid w:val="7EFA5C90"/>
    <w:rsid w:val="7FB72F81"/>
    <w:rsid w:val="7FEF4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qFormat="1"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28"/>
      <w:szCs w:val="28"/>
      <w:lang w:val="en-US" w:eastAsia="zh-CN" w:bidi="ar-SA"/>
    </w:rPr>
  </w:style>
  <w:style w:type="paragraph" w:styleId="5">
    <w:name w:val="heading 1"/>
    <w:basedOn w:val="1"/>
    <w:next w:val="1"/>
    <w:link w:val="77"/>
    <w:autoRedefine/>
    <w:qFormat/>
    <w:uiPriority w:val="0"/>
    <w:pPr>
      <w:keepNext/>
      <w:widowControl/>
      <w:overflowPunct w:val="0"/>
      <w:autoSpaceDE w:val="0"/>
      <w:autoSpaceDN w:val="0"/>
      <w:adjustRightInd w:val="0"/>
      <w:spacing w:before="240" w:after="60"/>
      <w:jc w:val="left"/>
      <w:textAlignment w:val="baseline"/>
      <w:outlineLvl w:val="0"/>
    </w:pPr>
    <w:rPr>
      <w:rFonts w:ascii="Arial" w:hAnsi="Arial" w:eastAsia="宋体"/>
      <w:b/>
      <w:kern w:val="28"/>
      <w:szCs w:val="20"/>
    </w:rPr>
  </w:style>
  <w:style w:type="paragraph" w:styleId="6">
    <w:name w:val="heading 2"/>
    <w:basedOn w:val="1"/>
    <w:next w:val="1"/>
    <w:link w:val="78"/>
    <w:autoRedefine/>
    <w:qFormat/>
    <w:uiPriority w:val="0"/>
    <w:pPr>
      <w:keepNext/>
      <w:keepLines/>
      <w:numPr>
        <w:ilvl w:val="0"/>
        <w:numId w:val="1"/>
      </w:numPr>
      <w:spacing w:before="260" w:after="260" w:line="416" w:lineRule="auto"/>
      <w:outlineLvl w:val="1"/>
    </w:pPr>
    <w:rPr>
      <w:rFonts w:ascii="宋体" w:hAnsi="宋体"/>
      <w:b/>
      <w:kern w:val="0"/>
      <w:sz w:val="24"/>
      <w:szCs w:val="20"/>
    </w:rPr>
  </w:style>
  <w:style w:type="paragraph" w:styleId="7">
    <w:name w:val="heading 3"/>
    <w:basedOn w:val="1"/>
    <w:next w:val="1"/>
    <w:link w:val="79"/>
    <w:autoRedefine/>
    <w:qFormat/>
    <w:uiPriority w:val="99"/>
    <w:pPr>
      <w:keepNext/>
      <w:widowControl/>
      <w:numPr>
        <w:ilvl w:val="0"/>
        <w:numId w:val="2"/>
      </w:numPr>
      <w:overflowPunct w:val="0"/>
      <w:autoSpaceDE w:val="0"/>
      <w:autoSpaceDN w:val="0"/>
      <w:adjustRightInd w:val="0"/>
      <w:spacing w:before="240" w:after="60"/>
      <w:jc w:val="left"/>
      <w:textAlignment w:val="baseline"/>
      <w:outlineLvl w:val="2"/>
    </w:pPr>
    <w:rPr>
      <w:kern w:val="0"/>
      <w:sz w:val="24"/>
      <w:szCs w:val="20"/>
    </w:rPr>
  </w:style>
  <w:style w:type="paragraph" w:styleId="8">
    <w:name w:val="heading 4"/>
    <w:basedOn w:val="1"/>
    <w:next w:val="1"/>
    <w:link w:val="80"/>
    <w:autoRedefine/>
    <w:qFormat/>
    <w:uiPriority w:val="0"/>
    <w:pPr>
      <w:keepNext/>
      <w:widowControl/>
      <w:overflowPunct w:val="0"/>
      <w:autoSpaceDE w:val="0"/>
      <w:autoSpaceDN w:val="0"/>
      <w:adjustRightInd w:val="0"/>
      <w:spacing w:before="240" w:after="60"/>
      <w:jc w:val="left"/>
      <w:textAlignment w:val="baseline"/>
      <w:outlineLvl w:val="3"/>
    </w:pPr>
    <w:rPr>
      <w:rFonts w:ascii="Times New Roman" w:eastAsia="宋体"/>
      <w:b/>
      <w:i/>
      <w:kern w:val="0"/>
      <w:sz w:val="24"/>
      <w:szCs w:val="20"/>
    </w:rPr>
  </w:style>
  <w:style w:type="paragraph" w:styleId="9">
    <w:name w:val="heading 5"/>
    <w:basedOn w:val="1"/>
    <w:next w:val="1"/>
    <w:link w:val="81"/>
    <w:autoRedefine/>
    <w:qFormat/>
    <w:uiPriority w:val="0"/>
    <w:pPr>
      <w:widowControl/>
      <w:overflowPunct w:val="0"/>
      <w:autoSpaceDE w:val="0"/>
      <w:autoSpaceDN w:val="0"/>
      <w:adjustRightInd w:val="0"/>
      <w:spacing w:before="240" w:after="60"/>
      <w:jc w:val="left"/>
      <w:textAlignment w:val="baseline"/>
      <w:outlineLvl w:val="4"/>
    </w:pPr>
    <w:rPr>
      <w:rFonts w:ascii="Arial" w:hAnsi="Arial" w:eastAsia="宋体"/>
      <w:kern w:val="0"/>
      <w:sz w:val="22"/>
      <w:szCs w:val="20"/>
    </w:rPr>
  </w:style>
  <w:style w:type="paragraph" w:styleId="10">
    <w:name w:val="heading 6"/>
    <w:basedOn w:val="1"/>
    <w:next w:val="1"/>
    <w:link w:val="82"/>
    <w:autoRedefine/>
    <w:qFormat/>
    <w:uiPriority w:val="0"/>
    <w:pPr>
      <w:widowControl/>
      <w:overflowPunct w:val="0"/>
      <w:autoSpaceDE w:val="0"/>
      <w:autoSpaceDN w:val="0"/>
      <w:adjustRightInd w:val="0"/>
      <w:spacing w:before="240" w:after="60"/>
      <w:jc w:val="left"/>
      <w:textAlignment w:val="baseline"/>
      <w:outlineLvl w:val="5"/>
    </w:pPr>
    <w:rPr>
      <w:rFonts w:ascii="Arial" w:hAnsi="Arial" w:eastAsia="宋体"/>
      <w:i/>
      <w:kern w:val="0"/>
      <w:sz w:val="22"/>
      <w:szCs w:val="20"/>
    </w:rPr>
  </w:style>
  <w:style w:type="paragraph" w:styleId="11">
    <w:name w:val="heading 7"/>
    <w:basedOn w:val="1"/>
    <w:next w:val="1"/>
    <w:link w:val="83"/>
    <w:autoRedefine/>
    <w:qFormat/>
    <w:uiPriority w:val="0"/>
    <w:pPr>
      <w:widowControl/>
      <w:overflowPunct w:val="0"/>
      <w:autoSpaceDE w:val="0"/>
      <w:autoSpaceDN w:val="0"/>
      <w:adjustRightInd w:val="0"/>
      <w:spacing w:before="240" w:after="60"/>
      <w:jc w:val="left"/>
      <w:textAlignment w:val="baseline"/>
      <w:outlineLvl w:val="6"/>
    </w:pPr>
    <w:rPr>
      <w:rFonts w:ascii="Arial" w:hAnsi="Arial" w:eastAsia="宋体"/>
      <w:kern w:val="0"/>
      <w:sz w:val="20"/>
      <w:szCs w:val="20"/>
    </w:rPr>
  </w:style>
  <w:style w:type="paragraph" w:styleId="12">
    <w:name w:val="heading 8"/>
    <w:basedOn w:val="1"/>
    <w:next w:val="1"/>
    <w:link w:val="84"/>
    <w:autoRedefine/>
    <w:qFormat/>
    <w:uiPriority w:val="0"/>
    <w:pPr>
      <w:widowControl/>
      <w:overflowPunct w:val="0"/>
      <w:autoSpaceDE w:val="0"/>
      <w:autoSpaceDN w:val="0"/>
      <w:adjustRightInd w:val="0"/>
      <w:spacing w:before="240" w:after="60"/>
      <w:jc w:val="left"/>
      <w:textAlignment w:val="baseline"/>
      <w:outlineLvl w:val="7"/>
    </w:pPr>
    <w:rPr>
      <w:rFonts w:ascii="Arial" w:hAnsi="Arial" w:eastAsia="宋体"/>
      <w:i/>
      <w:kern w:val="0"/>
      <w:sz w:val="20"/>
      <w:szCs w:val="20"/>
    </w:rPr>
  </w:style>
  <w:style w:type="paragraph" w:styleId="13">
    <w:name w:val="heading 9"/>
    <w:basedOn w:val="1"/>
    <w:next w:val="1"/>
    <w:link w:val="85"/>
    <w:autoRedefine/>
    <w:qFormat/>
    <w:uiPriority w:val="0"/>
    <w:pPr>
      <w:widowControl/>
      <w:overflowPunct w:val="0"/>
      <w:autoSpaceDE w:val="0"/>
      <w:autoSpaceDN w:val="0"/>
      <w:adjustRightInd w:val="0"/>
      <w:spacing w:before="240" w:after="60"/>
      <w:jc w:val="left"/>
      <w:textAlignment w:val="baseline"/>
      <w:outlineLvl w:val="8"/>
    </w:pPr>
    <w:rPr>
      <w:rFonts w:ascii="Arial" w:hAnsi="Arial" w:eastAsia="宋体"/>
      <w:i/>
      <w:kern w:val="0"/>
      <w:sz w:val="18"/>
      <w:szCs w:val="20"/>
    </w:rPr>
  </w:style>
  <w:style w:type="character" w:default="1" w:styleId="65">
    <w:name w:val="Default Paragraph Font"/>
    <w:autoRedefine/>
    <w:semiHidden/>
    <w:unhideWhenUsed/>
    <w:qFormat/>
    <w:uiPriority w:val="1"/>
  </w:style>
  <w:style w:type="table" w:default="1" w:styleId="6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91"/>
    <w:autoRedefine/>
    <w:unhideWhenUsed/>
    <w:qFormat/>
    <w:uiPriority w:val="0"/>
    <w:pPr>
      <w:spacing w:after="120"/>
    </w:pPr>
    <w:rPr>
      <w:rFonts w:ascii="Calibri" w:hAnsi="Calibri" w:eastAsia="宋体"/>
      <w:sz w:val="21"/>
      <w:szCs w:val="22"/>
    </w:rPr>
  </w:style>
  <w:style w:type="paragraph" w:styleId="3">
    <w:name w:val="Body Text First Indent"/>
    <w:basedOn w:val="2"/>
    <w:next w:val="4"/>
    <w:link w:val="92"/>
    <w:autoRedefine/>
    <w:qFormat/>
    <w:uiPriority w:val="0"/>
    <w:pPr>
      <w:adjustRightInd w:val="0"/>
      <w:spacing w:line="360" w:lineRule="auto"/>
      <w:ind w:firstLine="420"/>
      <w:textAlignment w:val="baseline"/>
    </w:pPr>
    <w:rPr>
      <w:rFonts w:eastAsia="楷体_GB2312"/>
      <w:sz w:val="24"/>
    </w:rPr>
  </w:style>
  <w:style w:type="paragraph" w:styleId="4">
    <w:name w:val="toc 6"/>
    <w:basedOn w:val="1"/>
    <w:next w:val="1"/>
    <w:autoRedefine/>
    <w:semiHidden/>
    <w:qFormat/>
    <w:uiPriority w:val="0"/>
    <w:pPr>
      <w:ind w:left="1050"/>
      <w:jc w:val="left"/>
    </w:pPr>
    <w:rPr>
      <w:sz w:val="18"/>
      <w:szCs w:val="18"/>
    </w:rPr>
  </w:style>
  <w:style w:type="paragraph" w:styleId="14">
    <w:name w:val="List 3"/>
    <w:basedOn w:val="1"/>
    <w:autoRedefine/>
    <w:qFormat/>
    <w:uiPriority w:val="0"/>
    <w:pPr>
      <w:widowControl/>
      <w:ind w:left="1080" w:hanging="360"/>
      <w:jc w:val="left"/>
    </w:pPr>
    <w:rPr>
      <w:kern w:val="0"/>
      <w:sz w:val="24"/>
    </w:rPr>
  </w:style>
  <w:style w:type="paragraph" w:styleId="15">
    <w:name w:val="toc 7"/>
    <w:basedOn w:val="1"/>
    <w:next w:val="1"/>
    <w:autoRedefine/>
    <w:semiHidden/>
    <w:qFormat/>
    <w:uiPriority w:val="0"/>
    <w:pPr>
      <w:ind w:left="1260"/>
      <w:jc w:val="left"/>
    </w:pPr>
    <w:rPr>
      <w:sz w:val="18"/>
      <w:szCs w:val="18"/>
    </w:rPr>
  </w:style>
  <w:style w:type="paragraph" w:styleId="16">
    <w:name w:val="table of authorities"/>
    <w:basedOn w:val="1"/>
    <w:next w:val="1"/>
    <w:autoRedefine/>
    <w:unhideWhenUsed/>
    <w:qFormat/>
    <w:uiPriority w:val="99"/>
    <w:pPr>
      <w:ind w:left="420" w:leftChars="200"/>
    </w:pPr>
  </w:style>
  <w:style w:type="paragraph" w:styleId="17">
    <w:name w:val="index 8"/>
    <w:basedOn w:val="1"/>
    <w:next w:val="1"/>
    <w:autoRedefine/>
    <w:semiHidden/>
    <w:qFormat/>
    <w:uiPriority w:val="0"/>
    <w:pPr>
      <w:widowControl/>
      <w:ind w:left="1920" w:hanging="240"/>
      <w:jc w:val="left"/>
    </w:pPr>
    <w:rPr>
      <w:kern w:val="0"/>
      <w:sz w:val="24"/>
    </w:rPr>
  </w:style>
  <w:style w:type="paragraph" w:styleId="18">
    <w:name w:val="Normal Indent"/>
    <w:basedOn w:val="1"/>
    <w:next w:val="19"/>
    <w:link w:val="86"/>
    <w:autoRedefine/>
    <w:qFormat/>
    <w:uiPriority w:val="0"/>
    <w:pPr>
      <w:ind w:firstLine="420"/>
    </w:pPr>
    <w:rPr>
      <w:szCs w:val="20"/>
    </w:rPr>
  </w:style>
  <w:style w:type="paragraph" w:styleId="19">
    <w:name w:val="Body Text Indent"/>
    <w:basedOn w:val="1"/>
    <w:next w:val="1"/>
    <w:link w:val="87"/>
    <w:autoRedefine/>
    <w:qFormat/>
    <w:uiPriority w:val="0"/>
    <w:pPr>
      <w:tabs>
        <w:tab w:val="left" w:pos="900"/>
      </w:tabs>
      <w:autoSpaceDE w:val="0"/>
      <w:autoSpaceDN w:val="0"/>
      <w:adjustRightInd w:val="0"/>
      <w:spacing w:line="540" w:lineRule="exact"/>
      <w:ind w:firstLine="561"/>
    </w:pPr>
    <w:rPr>
      <w:lang w:val="zh-CN"/>
    </w:rPr>
  </w:style>
  <w:style w:type="paragraph" w:styleId="20">
    <w:name w:val="index 5"/>
    <w:basedOn w:val="1"/>
    <w:next w:val="1"/>
    <w:autoRedefine/>
    <w:semiHidden/>
    <w:qFormat/>
    <w:uiPriority w:val="0"/>
    <w:pPr>
      <w:widowControl/>
      <w:ind w:left="1200" w:hanging="240"/>
      <w:jc w:val="left"/>
    </w:pPr>
    <w:rPr>
      <w:kern w:val="0"/>
      <w:sz w:val="24"/>
    </w:rPr>
  </w:style>
  <w:style w:type="paragraph" w:styleId="21">
    <w:name w:val="List Bullet"/>
    <w:basedOn w:val="22"/>
    <w:autoRedefine/>
    <w:qFormat/>
    <w:uiPriority w:val="0"/>
    <w:pPr>
      <w:widowControl/>
      <w:tabs>
        <w:tab w:val="left" w:pos="840"/>
      </w:tabs>
      <w:spacing w:line="360" w:lineRule="auto"/>
      <w:ind w:left="840" w:right="720" w:hanging="420" w:firstLineChars="0"/>
      <w:jc w:val="left"/>
    </w:pPr>
    <w:rPr>
      <w:kern w:val="0"/>
      <w:sz w:val="24"/>
      <w:szCs w:val="20"/>
    </w:rPr>
  </w:style>
  <w:style w:type="paragraph" w:styleId="22">
    <w:name w:val="List"/>
    <w:basedOn w:val="1"/>
    <w:autoRedefine/>
    <w:qFormat/>
    <w:uiPriority w:val="0"/>
    <w:pPr>
      <w:ind w:left="200" w:hanging="200" w:hangingChars="200"/>
    </w:pPr>
  </w:style>
  <w:style w:type="paragraph" w:styleId="23">
    <w:name w:val="Document Map"/>
    <w:basedOn w:val="1"/>
    <w:link w:val="88"/>
    <w:autoRedefine/>
    <w:semiHidden/>
    <w:qFormat/>
    <w:uiPriority w:val="0"/>
    <w:pPr>
      <w:shd w:val="clear" w:color="auto" w:fill="000080"/>
    </w:pPr>
    <w:rPr>
      <w:rFonts w:ascii="Times New Roman" w:eastAsia="宋体"/>
      <w:sz w:val="21"/>
      <w:szCs w:val="24"/>
    </w:rPr>
  </w:style>
  <w:style w:type="paragraph" w:styleId="24">
    <w:name w:val="toa heading"/>
    <w:basedOn w:val="1"/>
    <w:next w:val="1"/>
    <w:autoRedefine/>
    <w:qFormat/>
    <w:uiPriority w:val="0"/>
    <w:pPr>
      <w:spacing w:before="120"/>
    </w:pPr>
    <w:rPr>
      <w:rFonts w:ascii="Arial" w:hAnsi="Arial"/>
      <w:sz w:val="24"/>
    </w:rPr>
  </w:style>
  <w:style w:type="paragraph" w:styleId="25">
    <w:name w:val="annotation text"/>
    <w:basedOn w:val="1"/>
    <w:link w:val="89"/>
    <w:autoRedefine/>
    <w:qFormat/>
    <w:uiPriority w:val="0"/>
    <w:pPr>
      <w:jc w:val="left"/>
    </w:pPr>
    <w:rPr>
      <w:rFonts w:ascii="Times New Roman" w:eastAsia="宋体"/>
      <w:sz w:val="21"/>
      <w:szCs w:val="24"/>
    </w:rPr>
  </w:style>
  <w:style w:type="paragraph" w:styleId="26">
    <w:name w:val="index 6"/>
    <w:basedOn w:val="1"/>
    <w:next w:val="1"/>
    <w:autoRedefine/>
    <w:semiHidden/>
    <w:qFormat/>
    <w:uiPriority w:val="0"/>
    <w:pPr>
      <w:widowControl/>
      <w:ind w:left="1440" w:hanging="240"/>
      <w:jc w:val="left"/>
    </w:pPr>
    <w:rPr>
      <w:kern w:val="0"/>
      <w:sz w:val="24"/>
    </w:rPr>
  </w:style>
  <w:style w:type="paragraph" w:styleId="27">
    <w:name w:val="Body Text 3"/>
    <w:basedOn w:val="1"/>
    <w:link w:val="90"/>
    <w:autoRedefine/>
    <w:qFormat/>
    <w:uiPriority w:val="0"/>
    <w:pPr>
      <w:widowControl/>
    </w:pPr>
    <w:rPr>
      <w:rFonts w:ascii="宋体" w:hAnsi="Courier New" w:eastAsia="宋体"/>
      <w:kern w:val="0"/>
      <w:sz w:val="21"/>
      <w:szCs w:val="20"/>
    </w:rPr>
  </w:style>
  <w:style w:type="paragraph" w:styleId="28">
    <w:name w:val="List 2"/>
    <w:basedOn w:val="1"/>
    <w:autoRedefine/>
    <w:qFormat/>
    <w:uiPriority w:val="0"/>
    <w:pPr>
      <w:spacing w:after="120" w:line="400" w:lineRule="exact"/>
    </w:pPr>
    <w:rPr>
      <w:sz w:val="24"/>
      <w:szCs w:val="20"/>
    </w:rPr>
  </w:style>
  <w:style w:type="paragraph" w:styleId="29">
    <w:name w:val="Block Text"/>
    <w:basedOn w:val="1"/>
    <w:autoRedefine/>
    <w:qFormat/>
    <w:uiPriority w:val="0"/>
    <w:pPr>
      <w:spacing w:line="480" w:lineRule="exact"/>
      <w:ind w:left="113" w:right="113" w:firstLine="585"/>
    </w:pPr>
    <w:rPr>
      <w:rFonts w:ascii="楷体_GB2312" w:eastAsia="楷体_GB2312"/>
      <w:spacing w:val="4"/>
      <w:szCs w:val="20"/>
    </w:rPr>
  </w:style>
  <w:style w:type="paragraph" w:styleId="30">
    <w:name w:val="List Bullet 2"/>
    <w:basedOn w:val="1"/>
    <w:autoRedefine/>
    <w:qFormat/>
    <w:uiPriority w:val="0"/>
    <w:pPr>
      <w:widowControl/>
      <w:tabs>
        <w:tab w:val="left" w:pos="1440"/>
      </w:tabs>
      <w:ind w:left="1440" w:hanging="720"/>
      <w:jc w:val="left"/>
    </w:pPr>
    <w:rPr>
      <w:rFonts w:ascii="Tahoma" w:hAnsi="Tahoma" w:cs="Tahoma"/>
      <w:kern w:val="0"/>
      <w:sz w:val="24"/>
      <w:lang w:eastAsia="en-US"/>
    </w:rPr>
  </w:style>
  <w:style w:type="paragraph" w:styleId="31">
    <w:name w:val="index 4"/>
    <w:basedOn w:val="1"/>
    <w:next w:val="1"/>
    <w:autoRedefine/>
    <w:semiHidden/>
    <w:qFormat/>
    <w:uiPriority w:val="0"/>
    <w:pPr>
      <w:widowControl/>
      <w:ind w:left="960" w:hanging="240"/>
      <w:jc w:val="left"/>
    </w:pPr>
    <w:rPr>
      <w:kern w:val="0"/>
      <w:sz w:val="24"/>
    </w:rPr>
  </w:style>
  <w:style w:type="paragraph" w:styleId="32">
    <w:name w:val="toc 5"/>
    <w:basedOn w:val="1"/>
    <w:next w:val="1"/>
    <w:autoRedefine/>
    <w:semiHidden/>
    <w:qFormat/>
    <w:uiPriority w:val="0"/>
    <w:pPr>
      <w:ind w:left="840"/>
      <w:jc w:val="left"/>
    </w:pPr>
    <w:rPr>
      <w:sz w:val="18"/>
      <w:szCs w:val="18"/>
    </w:rPr>
  </w:style>
  <w:style w:type="paragraph" w:styleId="33">
    <w:name w:val="toc 3"/>
    <w:basedOn w:val="1"/>
    <w:next w:val="1"/>
    <w:autoRedefine/>
    <w:qFormat/>
    <w:uiPriority w:val="0"/>
    <w:pPr>
      <w:ind w:left="420"/>
      <w:jc w:val="left"/>
    </w:pPr>
    <w:rPr>
      <w:i/>
      <w:iCs/>
      <w:sz w:val="20"/>
      <w:szCs w:val="20"/>
    </w:rPr>
  </w:style>
  <w:style w:type="paragraph" w:styleId="34">
    <w:name w:val="Plain Text"/>
    <w:basedOn w:val="1"/>
    <w:next w:val="1"/>
    <w:link w:val="76"/>
    <w:autoRedefine/>
    <w:qFormat/>
    <w:uiPriority w:val="0"/>
    <w:pPr>
      <w:widowControl/>
      <w:overflowPunct w:val="0"/>
      <w:autoSpaceDE w:val="0"/>
      <w:autoSpaceDN w:val="0"/>
      <w:adjustRightInd w:val="0"/>
      <w:jc w:val="left"/>
      <w:textAlignment w:val="baseline"/>
    </w:pPr>
    <w:rPr>
      <w:rFonts w:ascii="宋体" w:hAnsi="Courier New" w:eastAsia="宋体"/>
      <w:kern w:val="0"/>
      <w:sz w:val="21"/>
      <w:szCs w:val="20"/>
    </w:rPr>
  </w:style>
  <w:style w:type="paragraph" w:styleId="35">
    <w:name w:val="toc 8"/>
    <w:basedOn w:val="1"/>
    <w:next w:val="1"/>
    <w:autoRedefine/>
    <w:semiHidden/>
    <w:qFormat/>
    <w:uiPriority w:val="0"/>
    <w:pPr>
      <w:ind w:left="1470"/>
      <w:jc w:val="left"/>
    </w:pPr>
    <w:rPr>
      <w:sz w:val="18"/>
      <w:szCs w:val="18"/>
    </w:rPr>
  </w:style>
  <w:style w:type="paragraph" w:styleId="36">
    <w:name w:val="index 3"/>
    <w:basedOn w:val="1"/>
    <w:next w:val="1"/>
    <w:autoRedefine/>
    <w:semiHidden/>
    <w:qFormat/>
    <w:uiPriority w:val="0"/>
    <w:pPr>
      <w:widowControl/>
      <w:ind w:left="720" w:hanging="240"/>
      <w:jc w:val="left"/>
    </w:pPr>
    <w:rPr>
      <w:kern w:val="0"/>
      <w:sz w:val="24"/>
    </w:rPr>
  </w:style>
  <w:style w:type="paragraph" w:styleId="37">
    <w:name w:val="Date"/>
    <w:basedOn w:val="1"/>
    <w:next w:val="1"/>
    <w:link w:val="93"/>
    <w:autoRedefine/>
    <w:qFormat/>
    <w:uiPriority w:val="0"/>
    <w:rPr>
      <w:rFonts w:ascii="Times New Roman" w:eastAsia="宋体"/>
      <w:sz w:val="44"/>
      <w:szCs w:val="20"/>
    </w:rPr>
  </w:style>
  <w:style w:type="paragraph" w:styleId="38">
    <w:name w:val="Body Text Indent 2"/>
    <w:basedOn w:val="1"/>
    <w:link w:val="94"/>
    <w:autoRedefine/>
    <w:qFormat/>
    <w:uiPriority w:val="0"/>
    <w:pPr>
      <w:autoSpaceDE w:val="0"/>
      <w:autoSpaceDN w:val="0"/>
      <w:adjustRightInd w:val="0"/>
      <w:spacing w:line="520" w:lineRule="exact"/>
      <w:ind w:left="181" w:firstLine="239"/>
    </w:pPr>
    <w:rPr>
      <w:lang w:val="zh-CN"/>
    </w:rPr>
  </w:style>
  <w:style w:type="paragraph" w:styleId="39">
    <w:name w:val="endnote text"/>
    <w:basedOn w:val="1"/>
    <w:autoRedefine/>
    <w:qFormat/>
    <w:uiPriority w:val="0"/>
    <w:pPr>
      <w:snapToGrid w:val="0"/>
      <w:jc w:val="left"/>
    </w:pPr>
  </w:style>
  <w:style w:type="paragraph" w:styleId="40">
    <w:name w:val="Balloon Text"/>
    <w:basedOn w:val="1"/>
    <w:link w:val="95"/>
    <w:autoRedefine/>
    <w:qFormat/>
    <w:uiPriority w:val="0"/>
    <w:rPr>
      <w:rFonts w:ascii="Times New Roman" w:eastAsia="宋体"/>
      <w:sz w:val="18"/>
      <w:szCs w:val="18"/>
    </w:rPr>
  </w:style>
  <w:style w:type="paragraph" w:styleId="41">
    <w:name w:val="footer"/>
    <w:basedOn w:val="1"/>
    <w:link w:val="96"/>
    <w:autoRedefine/>
    <w:qFormat/>
    <w:uiPriority w:val="99"/>
    <w:pPr>
      <w:tabs>
        <w:tab w:val="center" w:pos="4153"/>
        <w:tab w:val="right" w:pos="8306"/>
      </w:tabs>
      <w:snapToGrid w:val="0"/>
      <w:jc w:val="left"/>
    </w:pPr>
    <w:rPr>
      <w:rFonts w:ascii="Times New Roman" w:eastAsia="宋体"/>
      <w:sz w:val="18"/>
      <w:szCs w:val="18"/>
    </w:rPr>
  </w:style>
  <w:style w:type="paragraph" w:styleId="42">
    <w:name w:val="header"/>
    <w:basedOn w:val="1"/>
    <w:link w:val="97"/>
    <w:autoRedefine/>
    <w:qFormat/>
    <w:uiPriority w:val="0"/>
    <w:pPr>
      <w:pBdr>
        <w:bottom w:val="single" w:color="auto" w:sz="6" w:space="1"/>
      </w:pBdr>
      <w:tabs>
        <w:tab w:val="center" w:pos="4153"/>
        <w:tab w:val="right" w:pos="8306"/>
      </w:tabs>
      <w:snapToGrid w:val="0"/>
      <w:spacing w:line="360" w:lineRule="auto"/>
      <w:ind w:firstLine="200" w:firstLineChars="200"/>
      <w:jc w:val="center"/>
    </w:pPr>
    <w:rPr>
      <w:rFonts w:ascii="Times New Roman" w:eastAsia="宋体"/>
      <w:sz w:val="18"/>
      <w:szCs w:val="18"/>
    </w:rPr>
  </w:style>
  <w:style w:type="paragraph" w:styleId="43">
    <w:name w:val="toc 1"/>
    <w:basedOn w:val="1"/>
    <w:next w:val="1"/>
    <w:autoRedefine/>
    <w:qFormat/>
    <w:uiPriority w:val="39"/>
    <w:pPr>
      <w:spacing w:before="120" w:after="120"/>
      <w:jc w:val="left"/>
    </w:pPr>
    <w:rPr>
      <w:b/>
      <w:bCs/>
      <w:caps/>
      <w:sz w:val="20"/>
      <w:szCs w:val="20"/>
    </w:rPr>
  </w:style>
  <w:style w:type="paragraph" w:styleId="44">
    <w:name w:val="toc 4"/>
    <w:basedOn w:val="1"/>
    <w:next w:val="1"/>
    <w:autoRedefine/>
    <w:semiHidden/>
    <w:qFormat/>
    <w:uiPriority w:val="0"/>
    <w:pPr>
      <w:ind w:left="630"/>
      <w:jc w:val="left"/>
    </w:pPr>
    <w:rPr>
      <w:sz w:val="18"/>
      <w:szCs w:val="18"/>
    </w:rPr>
  </w:style>
  <w:style w:type="paragraph" w:styleId="45">
    <w:name w:val="index heading"/>
    <w:basedOn w:val="1"/>
    <w:next w:val="46"/>
    <w:autoRedefine/>
    <w:semiHidden/>
    <w:qFormat/>
    <w:uiPriority w:val="0"/>
    <w:pPr>
      <w:widowControl/>
      <w:jc w:val="left"/>
    </w:pPr>
    <w:rPr>
      <w:kern w:val="0"/>
      <w:sz w:val="24"/>
    </w:rPr>
  </w:style>
  <w:style w:type="paragraph" w:styleId="46">
    <w:name w:val="index 1"/>
    <w:basedOn w:val="1"/>
    <w:next w:val="1"/>
    <w:autoRedefine/>
    <w:semiHidden/>
    <w:qFormat/>
    <w:uiPriority w:val="0"/>
    <w:pPr>
      <w:widowControl/>
      <w:spacing w:line="360" w:lineRule="auto"/>
      <w:ind w:left="240" w:hanging="240"/>
      <w:jc w:val="left"/>
    </w:pPr>
    <w:rPr>
      <w:rFonts w:ascii="Arial" w:hAnsi="Arial" w:cs="Arial"/>
      <w:kern w:val="0"/>
      <w:szCs w:val="21"/>
    </w:rPr>
  </w:style>
  <w:style w:type="paragraph" w:styleId="47">
    <w:name w:val="footnote text"/>
    <w:basedOn w:val="1"/>
    <w:autoRedefine/>
    <w:qFormat/>
    <w:uiPriority w:val="0"/>
    <w:pPr>
      <w:snapToGrid w:val="0"/>
      <w:jc w:val="left"/>
    </w:pPr>
    <w:rPr>
      <w:sz w:val="18"/>
      <w:szCs w:val="18"/>
    </w:rPr>
  </w:style>
  <w:style w:type="paragraph" w:styleId="48">
    <w:name w:val="Body Text Indent 3"/>
    <w:basedOn w:val="1"/>
    <w:link w:val="98"/>
    <w:autoRedefine/>
    <w:qFormat/>
    <w:uiPriority w:val="0"/>
    <w:pPr>
      <w:autoSpaceDE w:val="0"/>
      <w:autoSpaceDN w:val="0"/>
      <w:adjustRightInd w:val="0"/>
      <w:spacing w:line="540" w:lineRule="exact"/>
      <w:ind w:firstLine="538" w:firstLineChars="192"/>
      <w:jc w:val="left"/>
    </w:pPr>
    <w:rPr>
      <w:lang w:val="zh-CN"/>
    </w:rPr>
  </w:style>
  <w:style w:type="paragraph" w:styleId="49">
    <w:name w:val="index 7"/>
    <w:basedOn w:val="1"/>
    <w:next w:val="1"/>
    <w:autoRedefine/>
    <w:semiHidden/>
    <w:qFormat/>
    <w:uiPriority w:val="0"/>
    <w:pPr>
      <w:widowControl/>
      <w:ind w:left="1680" w:hanging="240"/>
      <w:jc w:val="left"/>
    </w:pPr>
    <w:rPr>
      <w:kern w:val="0"/>
      <w:sz w:val="24"/>
    </w:rPr>
  </w:style>
  <w:style w:type="paragraph" w:styleId="50">
    <w:name w:val="index 9"/>
    <w:basedOn w:val="1"/>
    <w:next w:val="1"/>
    <w:autoRedefine/>
    <w:semiHidden/>
    <w:qFormat/>
    <w:uiPriority w:val="0"/>
    <w:pPr>
      <w:widowControl/>
      <w:ind w:left="2160" w:hanging="240"/>
      <w:jc w:val="left"/>
    </w:pPr>
    <w:rPr>
      <w:kern w:val="0"/>
      <w:sz w:val="24"/>
    </w:rPr>
  </w:style>
  <w:style w:type="paragraph" w:styleId="51">
    <w:name w:val="table of figures"/>
    <w:basedOn w:val="1"/>
    <w:next w:val="1"/>
    <w:autoRedefine/>
    <w:semiHidden/>
    <w:qFormat/>
    <w:uiPriority w:val="0"/>
    <w:pPr>
      <w:widowControl/>
      <w:ind w:left="480" w:hanging="480"/>
      <w:jc w:val="left"/>
    </w:pPr>
    <w:rPr>
      <w:kern w:val="0"/>
      <w:sz w:val="24"/>
    </w:rPr>
  </w:style>
  <w:style w:type="paragraph" w:styleId="52">
    <w:name w:val="toc 2"/>
    <w:basedOn w:val="1"/>
    <w:next w:val="1"/>
    <w:autoRedefine/>
    <w:qFormat/>
    <w:uiPriority w:val="0"/>
    <w:pPr>
      <w:ind w:left="210"/>
      <w:jc w:val="left"/>
    </w:pPr>
    <w:rPr>
      <w:smallCaps/>
      <w:sz w:val="20"/>
      <w:szCs w:val="20"/>
    </w:rPr>
  </w:style>
  <w:style w:type="paragraph" w:styleId="53">
    <w:name w:val="toc 9"/>
    <w:basedOn w:val="1"/>
    <w:next w:val="1"/>
    <w:autoRedefine/>
    <w:semiHidden/>
    <w:qFormat/>
    <w:uiPriority w:val="0"/>
    <w:pPr>
      <w:ind w:left="1680"/>
      <w:jc w:val="left"/>
    </w:pPr>
    <w:rPr>
      <w:sz w:val="18"/>
      <w:szCs w:val="18"/>
    </w:rPr>
  </w:style>
  <w:style w:type="paragraph" w:styleId="54">
    <w:name w:val="Body Text 2"/>
    <w:basedOn w:val="1"/>
    <w:link w:val="99"/>
    <w:autoRedefine/>
    <w:qFormat/>
    <w:uiPriority w:val="0"/>
    <w:pPr>
      <w:spacing w:after="120" w:line="480" w:lineRule="auto"/>
    </w:pPr>
    <w:rPr>
      <w:rFonts w:ascii="Times New Roman" w:eastAsia="宋体"/>
      <w:sz w:val="21"/>
      <w:szCs w:val="24"/>
    </w:rPr>
  </w:style>
  <w:style w:type="paragraph" w:styleId="55">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5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7">
    <w:name w:val="index 2"/>
    <w:basedOn w:val="1"/>
    <w:next w:val="1"/>
    <w:autoRedefine/>
    <w:semiHidden/>
    <w:qFormat/>
    <w:uiPriority w:val="0"/>
    <w:pPr>
      <w:widowControl/>
      <w:ind w:left="480" w:hanging="240"/>
      <w:jc w:val="left"/>
    </w:pPr>
    <w:rPr>
      <w:kern w:val="0"/>
      <w:sz w:val="24"/>
    </w:rPr>
  </w:style>
  <w:style w:type="paragraph" w:styleId="58">
    <w:name w:val="Title"/>
    <w:basedOn w:val="1"/>
    <w:next w:val="1"/>
    <w:link w:val="100"/>
    <w:autoRedefine/>
    <w:qFormat/>
    <w:uiPriority w:val="0"/>
    <w:pPr>
      <w:jc w:val="center"/>
    </w:pPr>
    <w:rPr>
      <w:rFonts w:ascii="Arial" w:hAnsi="Arial" w:eastAsia="宋体"/>
      <w:b/>
      <w:kern w:val="0"/>
      <w:sz w:val="36"/>
      <w:szCs w:val="20"/>
      <w:lang w:eastAsia="en-US"/>
    </w:rPr>
  </w:style>
  <w:style w:type="paragraph" w:styleId="59">
    <w:name w:val="annotation subject"/>
    <w:basedOn w:val="25"/>
    <w:next w:val="25"/>
    <w:link w:val="101"/>
    <w:autoRedefine/>
    <w:qFormat/>
    <w:uiPriority w:val="0"/>
    <w:rPr>
      <w:b/>
      <w:bCs/>
    </w:rPr>
  </w:style>
  <w:style w:type="paragraph" w:styleId="60">
    <w:name w:val="Body Text First Indent 2"/>
    <w:basedOn w:val="19"/>
    <w:next w:val="2"/>
    <w:autoRedefine/>
    <w:qFormat/>
    <w:uiPriority w:val="0"/>
    <w:pPr>
      <w:tabs>
        <w:tab w:val="clear" w:pos="900"/>
      </w:tabs>
      <w:autoSpaceDE/>
      <w:autoSpaceDN/>
      <w:adjustRightInd/>
      <w:spacing w:after="120" w:line="240" w:lineRule="auto"/>
      <w:ind w:left="420" w:leftChars="200" w:firstLine="420" w:firstLineChars="200"/>
    </w:pPr>
    <w:rPr>
      <w:rFonts w:ascii="Times New Roman" w:eastAsia="宋体"/>
      <w:sz w:val="21"/>
      <w:szCs w:val="24"/>
      <w:lang w:val="en-US"/>
    </w:rPr>
  </w:style>
  <w:style w:type="table" w:styleId="62">
    <w:name w:val="Table Grid"/>
    <w:basedOn w:val="61"/>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3">
    <w:name w:val="Table Elegant"/>
    <w:basedOn w:val="61"/>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4">
    <w:name w:val="Table Classic 1"/>
    <w:basedOn w:val="61"/>
    <w:autoRedefine/>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66">
    <w:name w:val="Strong"/>
    <w:autoRedefine/>
    <w:qFormat/>
    <w:uiPriority w:val="0"/>
    <w:rPr>
      <w:b/>
      <w:bCs/>
    </w:rPr>
  </w:style>
  <w:style w:type="character" w:styleId="67">
    <w:name w:val="endnote reference"/>
    <w:autoRedefine/>
    <w:qFormat/>
    <w:uiPriority w:val="0"/>
    <w:rPr>
      <w:vertAlign w:val="superscript"/>
    </w:rPr>
  </w:style>
  <w:style w:type="character" w:styleId="68">
    <w:name w:val="page number"/>
    <w:autoRedefine/>
    <w:qFormat/>
    <w:uiPriority w:val="0"/>
  </w:style>
  <w:style w:type="character" w:styleId="69">
    <w:name w:val="FollowedHyperlink"/>
    <w:autoRedefine/>
    <w:qFormat/>
    <w:uiPriority w:val="0"/>
    <w:rPr>
      <w:color w:val="800080"/>
      <w:u w:val="single"/>
    </w:rPr>
  </w:style>
  <w:style w:type="character" w:styleId="70">
    <w:name w:val="Hyperlink"/>
    <w:autoRedefine/>
    <w:qFormat/>
    <w:uiPriority w:val="99"/>
    <w:rPr>
      <w:color w:val="0000FF"/>
      <w:u w:val="single"/>
    </w:rPr>
  </w:style>
  <w:style w:type="character" w:styleId="71">
    <w:name w:val="annotation reference"/>
    <w:autoRedefine/>
    <w:qFormat/>
    <w:uiPriority w:val="0"/>
    <w:rPr>
      <w:sz w:val="21"/>
      <w:szCs w:val="21"/>
    </w:rPr>
  </w:style>
  <w:style w:type="character" w:styleId="72">
    <w:name w:val="footnote reference"/>
    <w:autoRedefine/>
    <w:qFormat/>
    <w:uiPriority w:val="0"/>
    <w:rPr>
      <w:vertAlign w:val="superscript"/>
    </w:rPr>
  </w:style>
  <w:style w:type="paragraph" w:customStyle="1" w:styleId="73">
    <w:name w:val="_Style 3"/>
    <w:basedOn w:val="1"/>
    <w:autoRedefine/>
    <w:qFormat/>
    <w:uiPriority w:val="0"/>
    <w:rPr>
      <w:rFonts w:ascii="Times New Roman" w:hAnsi="Times New Roman"/>
      <w:szCs w:val="20"/>
    </w:rPr>
  </w:style>
  <w:style w:type="paragraph" w:customStyle="1" w:styleId="74">
    <w:name w:val="Default"/>
    <w:next w:val="75"/>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5">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6">
    <w:name w:val="纯文本 字符"/>
    <w:link w:val="34"/>
    <w:autoRedefine/>
    <w:qFormat/>
    <w:uiPriority w:val="0"/>
    <w:rPr>
      <w:rFonts w:ascii="宋体" w:hAnsi="Courier New" w:eastAsia="宋体"/>
      <w:sz w:val="21"/>
      <w:lang w:val="en-US" w:eastAsia="zh-CN" w:bidi="ar-SA"/>
    </w:rPr>
  </w:style>
  <w:style w:type="character" w:customStyle="1" w:styleId="77">
    <w:name w:val="标题 1 字符"/>
    <w:link w:val="5"/>
    <w:autoRedefine/>
    <w:qFormat/>
    <w:uiPriority w:val="0"/>
    <w:rPr>
      <w:rFonts w:ascii="Arial" w:hAnsi="Arial" w:eastAsia="宋体"/>
      <w:b/>
      <w:kern w:val="28"/>
      <w:sz w:val="28"/>
      <w:lang w:val="en-US" w:eastAsia="zh-CN" w:bidi="ar-SA"/>
    </w:rPr>
  </w:style>
  <w:style w:type="character" w:customStyle="1" w:styleId="78">
    <w:name w:val="标题 2 字符"/>
    <w:link w:val="6"/>
    <w:autoRedefine/>
    <w:qFormat/>
    <w:uiPriority w:val="0"/>
    <w:rPr>
      <w:rFonts w:ascii="宋体" w:hAnsi="宋体" w:eastAsia="仿宋_GB2312"/>
      <w:b/>
      <w:sz w:val="24"/>
      <w:lang w:bidi="ar-SA"/>
    </w:rPr>
  </w:style>
  <w:style w:type="character" w:customStyle="1" w:styleId="79">
    <w:name w:val="标题 3 字符"/>
    <w:link w:val="7"/>
    <w:autoRedefine/>
    <w:qFormat/>
    <w:uiPriority w:val="99"/>
    <w:rPr>
      <w:rFonts w:ascii="仿宋_GB2312" w:eastAsia="仿宋_GB2312"/>
      <w:sz w:val="24"/>
      <w:lang w:val="en-US" w:eastAsia="zh-CN" w:bidi="ar-SA"/>
    </w:rPr>
  </w:style>
  <w:style w:type="character" w:customStyle="1" w:styleId="80">
    <w:name w:val="标题 4 字符"/>
    <w:link w:val="8"/>
    <w:autoRedefine/>
    <w:qFormat/>
    <w:uiPriority w:val="0"/>
    <w:rPr>
      <w:rFonts w:eastAsia="宋体"/>
      <w:b/>
      <w:i/>
      <w:sz w:val="24"/>
      <w:lang w:val="en-US" w:eastAsia="zh-CN" w:bidi="ar-SA"/>
    </w:rPr>
  </w:style>
  <w:style w:type="character" w:customStyle="1" w:styleId="81">
    <w:name w:val="标题 5 字符"/>
    <w:link w:val="9"/>
    <w:autoRedefine/>
    <w:qFormat/>
    <w:uiPriority w:val="0"/>
    <w:rPr>
      <w:rFonts w:ascii="Arial" w:hAnsi="Arial" w:eastAsia="宋体"/>
      <w:sz w:val="22"/>
      <w:lang w:val="en-US" w:eastAsia="zh-CN" w:bidi="ar-SA"/>
    </w:rPr>
  </w:style>
  <w:style w:type="character" w:customStyle="1" w:styleId="82">
    <w:name w:val="标题 6 字符"/>
    <w:link w:val="10"/>
    <w:autoRedefine/>
    <w:qFormat/>
    <w:uiPriority w:val="0"/>
    <w:rPr>
      <w:rFonts w:ascii="Arial" w:hAnsi="Arial" w:eastAsia="宋体"/>
      <w:i/>
      <w:sz w:val="22"/>
      <w:lang w:val="en-US" w:eastAsia="zh-CN" w:bidi="ar-SA"/>
    </w:rPr>
  </w:style>
  <w:style w:type="character" w:customStyle="1" w:styleId="83">
    <w:name w:val="标题 7 字符"/>
    <w:link w:val="11"/>
    <w:autoRedefine/>
    <w:qFormat/>
    <w:uiPriority w:val="0"/>
    <w:rPr>
      <w:rFonts w:ascii="Arial" w:hAnsi="Arial" w:eastAsia="宋体"/>
      <w:lang w:val="en-US" w:eastAsia="zh-CN" w:bidi="ar-SA"/>
    </w:rPr>
  </w:style>
  <w:style w:type="character" w:customStyle="1" w:styleId="84">
    <w:name w:val="标题 8 字符"/>
    <w:link w:val="12"/>
    <w:autoRedefine/>
    <w:qFormat/>
    <w:uiPriority w:val="0"/>
    <w:rPr>
      <w:rFonts w:ascii="Arial" w:hAnsi="Arial" w:eastAsia="宋体"/>
      <w:i/>
      <w:lang w:val="en-US" w:eastAsia="zh-CN" w:bidi="ar-SA"/>
    </w:rPr>
  </w:style>
  <w:style w:type="character" w:customStyle="1" w:styleId="85">
    <w:name w:val="标题 9 字符"/>
    <w:link w:val="13"/>
    <w:autoRedefine/>
    <w:qFormat/>
    <w:uiPriority w:val="0"/>
    <w:rPr>
      <w:rFonts w:ascii="Arial" w:hAnsi="Arial" w:eastAsia="宋体"/>
      <w:i/>
      <w:sz w:val="18"/>
      <w:lang w:val="en-US" w:eastAsia="zh-CN" w:bidi="ar-SA"/>
    </w:rPr>
  </w:style>
  <w:style w:type="character" w:customStyle="1" w:styleId="86">
    <w:name w:val="正文缩进 字符"/>
    <w:link w:val="18"/>
    <w:autoRedefine/>
    <w:qFormat/>
    <w:uiPriority w:val="0"/>
    <w:rPr>
      <w:rFonts w:ascii="仿宋_GB2312" w:eastAsia="仿宋_GB2312"/>
      <w:kern w:val="2"/>
      <w:sz w:val="28"/>
      <w:lang w:val="en-US" w:eastAsia="zh-CN" w:bidi="ar-SA"/>
    </w:rPr>
  </w:style>
  <w:style w:type="character" w:customStyle="1" w:styleId="87">
    <w:name w:val="正文文本缩进 字符"/>
    <w:link w:val="19"/>
    <w:autoRedefine/>
    <w:qFormat/>
    <w:uiPriority w:val="0"/>
    <w:rPr>
      <w:rFonts w:ascii="仿宋_GB2312" w:eastAsia="仿宋_GB2312"/>
      <w:kern w:val="2"/>
      <w:sz w:val="28"/>
      <w:szCs w:val="28"/>
      <w:lang w:val="zh-CN" w:eastAsia="zh-CN" w:bidi="ar-SA"/>
    </w:rPr>
  </w:style>
  <w:style w:type="character" w:customStyle="1" w:styleId="88">
    <w:name w:val="文档结构图 字符"/>
    <w:link w:val="23"/>
    <w:autoRedefine/>
    <w:semiHidden/>
    <w:qFormat/>
    <w:uiPriority w:val="0"/>
    <w:rPr>
      <w:rFonts w:eastAsia="宋体"/>
      <w:kern w:val="2"/>
      <w:sz w:val="21"/>
      <w:szCs w:val="24"/>
      <w:lang w:val="en-US" w:eastAsia="zh-CN" w:bidi="ar-SA"/>
    </w:rPr>
  </w:style>
  <w:style w:type="character" w:customStyle="1" w:styleId="89">
    <w:name w:val="批注文字 字符"/>
    <w:link w:val="25"/>
    <w:autoRedefine/>
    <w:qFormat/>
    <w:uiPriority w:val="0"/>
    <w:rPr>
      <w:rFonts w:eastAsia="宋体"/>
      <w:kern w:val="2"/>
      <w:sz w:val="21"/>
      <w:szCs w:val="24"/>
      <w:lang w:val="en-US" w:eastAsia="zh-CN" w:bidi="ar-SA"/>
    </w:rPr>
  </w:style>
  <w:style w:type="character" w:customStyle="1" w:styleId="90">
    <w:name w:val="正文文本 3 字符"/>
    <w:link w:val="27"/>
    <w:autoRedefine/>
    <w:qFormat/>
    <w:uiPriority w:val="0"/>
    <w:rPr>
      <w:rFonts w:ascii="宋体" w:hAnsi="Courier New" w:eastAsia="宋体"/>
      <w:sz w:val="21"/>
      <w:lang w:val="en-US" w:eastAsia="zh-CN" w:bidi="ar-SA"/>
    </w:rPr>
  </w:style>
  <w:style w:type="character" w:customStyle="1" w:styleId="91">
    <w:name w:val="正文文本 字符"/>
    <w:link w:val="2"/>
    <w:autoRedefine/>
    <w:semiHidden/>
    <w:qFormat/>
    <w:uiPriority w:val="0"/>
    <w:rPr>
      <w:rFonts w:ascii="Calibri" w:hAnsi="Calibri" w:eastAsia="宋体"/>
      <w:kern w:val="2"/>
      <w:sz w:val="21"/>
      <w:szCs w:val="22"/>
      <w:lang w:val="en-US" w:eastAsia="zh-CN" w:bidi="ar-SA"/>
    </w:rPr>
  </w:style>
  <w:style w:type="character" w:customStyle="1" w:styleId="92">
    <w:name w:val="正文文本首行缩进 字符"/>
    <w:link w:val="3"/>
    <w:autoRedefine/>
    <w:qFormat/>
    <w:uiPriority w:val="0"/>
    <w:rPr>
      <w:rFonts w:ascii="Calibri" w:hAnsi="Calibri" w:eastAsia="楷体_GB2312"/>
      <w:kern w:val="2"/>
      <w:sz w:val="24"/>
      <w:szCs w:val="22"/>
      <w:lang w:val="en-US" w:eastAsia="zh-CN" w:bidi="ar-SA"/>
    </w:rPr>
  </w:style>
  <w:style w:type="character" w:customStyle="1" w:styleId="93">
    <w:name w:val="日期 字符"/>
    <w:link w:val="37"/>
    <w:autoRedefine/>
    <w:qFormat/>
    <w:uiPriority w:val="0"/>
    <w:rPr>
      <w:rFonts w:eastAsia="宋体"/>
      <w:kern w:val="2"/>
      <w:sz w:val="44"/>
      <w:lang w:val="en-US" w:eastAsia="zh-CN" w:bidi="ar-SA"/>
    </w:rPr>
  </w:style>
  <w:style w:type="character" w:customStyle="1" w:styleId="94">
    <w:name w:val="正文文本缩进 2 字符"/>
    <w:link w:val="38"/>
    <w:autoRedefine/>
    <w:qFormat/>
    <w:uiPriority w:val="0"/>
    <w:rPr>
      <w:rFonts w:ascii="仿宋_GB2312" w:eastAsia="仿宋_GB2312"/>
      <w:kern w:val="2"/>
      <w:sz w:val="28"/>
      <w:szCs w:val="28"/>
      <w:lang w:val="zh-CN" w:eastAsia="zh-CN" w:bidi="ar-SA"/>
    </w:rPr>
  </w:style>
  <w:style w:type="character" w:customStyle="1" w:styleId="95">
    <w:name w:val="批注框文本 字符"/>
    <w:link w:val="40"/>
    <w:autoRedefine/>
    <w:qFormat/>
    <w:uiPriority w:val="0"/>
    <w:rPr>
      <w:rFonts w:eastAsia="宋体"/>
      <w:kern w:val="2"/>
      <w:sz w:val="18"/>
      <w:szCs w:val="18"/>
      <w:lang w:val="en-US" w:eastAsia="zh-CN" w:bidi="ar-SA"/>
    </w:rPr>
  </w:style>
  <w:style w:type="character" w:customStyle="1" w:styleId="96">
    <w:name w:val="页脚 字符"/>
    <w:link w:val="41"/>
    <w:autoRedefine/>
    <w:qFormat/>
    <w:uiPriority w:val="99"/>
    <w:rPr>
      <w:rFonts w:eastAsia="宋体"/>
      <w:kern w:val="2"/>
      <w:sz w:val="18"/>
      <w:szCs w:val="18"/>
      <w:lang w:val="en-US" w:eastAsia="zh-CN" w:bidi="ar-SA"/>
    </w:rPr>
  </w:style>
  <w:style w:type="character" w:customStyle="1" w:styleId="97">
    <w:name w:val="页眉 字符"/>
    <w:link w:val="42"/>
    <w:autoRedefine/>
    <w:qFormat/>
    <w:uiPriority w:val="0"/>
    <w:rPr>
      <w:kern w:val="2"/>
      <w:sz w:val="18"/>
      <w:szCs w:val="18"/>
    </w:rPr>
  </w:style>
  <w:style w:type="character" w:customStyle="1" w:styleId="98">
    <w:name w:val="正文文本缩进 3 字符"/>
    <w:link w:val="48"/>
    <w:autoRedefine/>
    <w:qFormat/>
    <w:uiPriority w:val="0"/>
    <w:rPr>
      <w:rFonts w:ascii="仿宋_GB2312" w:eastAsia="仿宋_GB2312"/>
      <w:kern w:val="2"/>
      <w:sz w:val="28"/>
      <w:szCs w:val="28"/>
      <w:lang w:val="zh-CN" w:eastAsia="zh-CN" w:bidi="ar-SA"/>
    </w:rPr>
  </w:style>
  <w:style w:type="character" w:customStyle="1" w:styleId="99">
    <w:name w:val="正文文本 2 字符"/>
    <w:link w:val="54"/>
    <w:autoRedefine/>
    <w:qFormat/>
    <w:uiPriority w:val="0"/>
    <w:rPr>
      <w:rFonts w:eastAsia="宋体"/>
      <w:kern w:val="2"/>
      <w:sz w:val="21"/>
      <w:szCs w:val="24"/>
      <w:lang w:val="en-US" w:eastAsia="zh-CN" w:bidi="ar-SA"/>
    </w:rPr>
  </w:style>
  <w:style w:type="character" w:customStyle="1" w:styleId="100">
    <w:name w:val="标题 字符"/>
    <w:link w:val="58"/>
    <w:autoRedefine/>
    <w:qFormat/>
    <w:uiPriority w:val="0"/>
    <w:rPr>
      <w:rFonts w:ascii="Arial" w:hAnsi="Arial" w:eastAsia="宋体"/>
      <w:b/>
      <w:sz w:val="36"/>
      <w:lang w:val="en-US" w:eastAsia="en-US" w:bidi="ar-SA"/>
    </w:rPr>
  </w:style>
  <w:style w:type="character" w:customStyle="1" w:styleId="101">
    <w:name w:val="批注主题 字符"/>
    <w:link w:val="59"/>
    <w:autoRedefine/>
    <w:qFormat/>
    <w:uiPriority w:val="0"/>
    <w:rPr>
      <w:rFonts w:eastAsia="宋体"/>
      <w:b/>
      <w:bCs/>
      <w:kern w:val="2"/>
      <w:sz w:val="21"/>
      <w:szCs w:val="24"/>
      <w:lang w:val="en-US" w:eastAsia="zh-CN" w:bidi="ar-SA"/>
    </w:rPr>
  </w:style>
  <w:style w:type="character" w:customStyle="1" w:styleId="102">
    <w:name w:val="unnamed11"/>
    <w:autoRedefine/>
    <w:qFormat/>
    <w:uiPriority w:val="0"/>
    <w:rPr>
      <w:sz w:val="18"/>
      <w:szCs w:val="18"/>
    </w:rPr>
  </w:style>
  <w:style w:type="character" w:customStyle="1" w:styleId="103">
    <w:name w:val="文字 Char"/>
    <w:link w:val="104"/>
    <w:autoRedefine/>
    <w:qFormat/>
    <w:locked/>
    <w:uiPriority w:val="0"/>
    <w:rPr>
      <w:rFonts w:ascii="宋体" w:hAnsi="宋体" w:eastAsia="宋体"/>
      <w:kern w:val="2"/>
      <w:sz w:val="28"/>
      <w:lang w:val="en-US" w:eastAsia="zh-CN" w:bidi="ar-SA"/>
    </w:rPr>
  </w:style>
  <w:style w:type="paragraph" w:customStyle="1" w:styleId="104">
    <w:name w:val="文字"/>
    <w:basedOn w:val="1"/>
    <w:link w:val="103"/>
    <w:autoRedefine/>
    <w:qFormat/>
    <w:uiPriority w:val="0"/>
    <w:pPr>
      <w:tabs>
        <w:tab w:val="left" w:pos="8520"/>
      </w:tabs>
      <w:spacing w:line="312" w:lineRule="auto"/>
      <w:ind w:right="-210" w:firstLine="556"/>
    </w:pPr>
    <w:rPr>
      <w:rFonts w:ascii="宋体" w:hAnsi="宋体" w:eastAsia="宋体"/>
      <w:szCs w:val="20"/>
    </w:rPr>
  </w:style>
  <w:style w:type="character" w:customStyle="1" w:styleId="105">
    <w:name w:val="PI Char1"/>
    <w:autoRedefine/>
    <w:qFormat/>
    <w:uiPriority w:val="0"/>
    <w:rPr>
      <w:rFonts w:ascii="仿宋_GB2312" w:eastAsia="仿宋_GB2312"/>
      <w:kern w:val="2"/>
      <w:sz w:val="28"/>
      <w:szCs w:val="28"/>
      <w:lang w:val="zh-CN" w:eastAsia="zh-CN" w:bidi="ar-SA"/>
    </w:rPr>
  </w:style>
  <w:style w:type="character" w:customStyle="1" w:styleId="106">
    <w:name w:val="text1"/>
    <w:autoRedefine/>
    <w:qFormat/>
    <w:uiPriority w:val="0"/>
    <w:rPr>
      <w:rFonts w:hint="eastAsia" w:ascii="宋体" w:hAnsi="宋体" w:eastAsia="宋体"/>
      <w:color w:val="000099"/>
      <w:sz w:val="18"/>
      <w:szCs w:val="18"/>
    </w:rPr>
  </w:style>
  <w:style w:type="character" w:customStyle="1" w:styleId="107">
    <w:name w:val="普通文字 Char Char4"/>
    <w:autoRedefine/>
    <w:qFormat/>
    <w:uiPriority w:val="0"/>
    <w:rPr>
      <w:rFonts w:ascii="宋体" w:hAnsi="Courier New" w:eastAsia="宋体"/>
      <w:sz w:val="21"/>
      <w:lang w:val="en-US" w:eastAsia="zh-CN" w:bidi="ar-SA"/>
    </w:rPr>
  </w:style>
  <w:style w:type="character" w:customStyle="1" w:styleId="108">
    <w:name w:val="表格 Char Char"/>
    <w:link w:val="109"/>
    <w:autoRedefine/>
    <w:qFormat/>
    <w:uiPriority w:val="0"/>
    <w:rPr>
      <w:rFonts w:ascii="宋体" w:hAnsi="宋体"/>
      <w:lang w:bidi="ar-SA"/>
    </w:rPr>
  </w:style>
  <w:style w:type="paragraph" w:customStyle="1" w:styleId="109">
    <w:name w:val="表格"/>
    <w:basedOn w:val="1"/>
    <w:link w:val="108"/>
    <w:autoRedefine/>
    <w:qFormat/>
    <w:uiPriority w:val="0"/>
    <w:pPr>
      <w:snapToGrid w:val="0"/>
      <w:ind w:firstLine="42" w:firstLineChars="21"/>
    </w:pPr>
    <w:rPr>
      <w:rFonts w:ascii="宋体" w:hAnsi="宋体" w:eastAsia="宋体"/>
      <w:kern w:val="0"/>
      <w:sz w:val="20"/>
      <w:szCs w:val="20"/>
    </w:rPr>
  </w:style>
  <w:style w:type="character" w:customStyle="1" w:styleId="110">
    <w:name w:val="Char Char16"/>
    <w:autoRedefine/>
    <w:qFormat/>
    <w:uiPriority w:val="0"/>
    <w:rPr>
      <w:rFonts w:ascii="Calibri" w:hAnsi="Calibri" w:eastAsia="宋体"/>
      <w:kern w:val="2"/>
      <w:sz w:val="21"/>
      <w:szCs w:val="22"/>
      <w:lang w:val="en-US" w:eastAsia="zh-CN" w:bidi="ar-SA"/>
    </w:rPr>
  </w:style>
  <w:style w:type="character" w:customStyle="1" w:styleId="111">
    <w:name w:val="Char Char4"/>
    <w:autoRedefine/>
    <w:qFormat/>
    <w:locked/>
    <w:uiPriority w:val="0"/>
    <w:rPr>
      <w:rFonts w:ascii="仿宋_GB2312" w:eastAsia="仿宋_GB2312"/>
      <w:kern w:val="2"/>
      <w:sz w:val="28"/>
      <w:szCs w:val="28"/>
      <w:lang w:val="zh-CN" w:eastAsia="zh-CN" w:bidi="ar-SA"/>
    </w:rPr>
  </w:style>
  <w:style w:type="character" w:customStyle="1" w:styleId="112">
    <w:name w:val="large1"/>
    <w:autoRedefine/>
    <w:qFormat/>
    <w:uiPriority w:val="0"/>
    <w:rPr>
      <w:rFonts w:hint="eastAsia" w:ascii="宋体" w:hAnsi="宋体" w:eastAsia="宋体"/>
      <w:sz w:val="21"/>
      <w:szCs w:val="21"/>
    </w:rPr>
  </w:style>
  <w:style w:type="character" w:customStyle="1" w:styleId="113">
    <w:name w:val="EHPT Char"/>
    <w:autoRedefine/>
    <w:semiHidden/>
    <w:qFormat/>
    <w:uiPriority w:val="0"/>
    <w:rPr>
      <w:rFonts w:ascii="Calibri" w:hAnsi="Calibri" w:eastAsia="宋体"/>
      <w:kern w:val="2"/>
      <w:sz w:val="21"/>
      <w:szCs w:val="22"/>
      <w:lang w:val="en-US" w:eastAsia="zh-CN" w:bidi="ar-SA"/>
    </w:rPr>
  </w:style>
  <w:style w:type="character" w:customStyle="1" w:styleId="114">
    <w:name w:val="font11"/>
    <w:autoRedefine/>
    <w:qFormat/>
    <w:uiPriority w:val="0"/>
    <w:rPr>
      <w:rFonts w:hint="eastAsia" w:ascii="仿宋" w:hAnsi="仿宋" w:eastAsia="仿宋" w:cs="仿宋"/>
      <w:color w:val="000000"/>
      <w:sz w:val="21"/>
      <w:szCs w:val="21"/>
      <w:u w:val="none"/>
    </w:rPr>
  </w:style>
  <w:style w:type="character" w:customStyle="1" w:styleId="115">
    <w:name w:val="PI Char"/>
    <w:autoRedefine/>
    <w:qFormat/>
    <w:uiPriority w:val="0"/>
    <w:rPr>
      <w:rFonts w:ascii="仿宋_GB2312" w:eastAsia="仿宋_GB2312"/>
      <w:kern w:val="2"/>
      <w:sz w:val="28"/>
      <w:szCs w:val="28"/>
      <w:lang w:val="zh-CN" w:eastAsia="zh-CN" w:bidi="ar-SA"/>
    </w:rPr>
  </w:style>
  <w:style w:type="character" w:customStyle="1" w:styleId="116">
    <w:name w:val="bulletintext1"/>
    <w:autoRedefine/>
    <w:qFormat/>
    <w:uiPriority w:val="0"/>
    <w:rPr>
      <w:color w:val="000000"/>
      <w:sz w:val="18"/>
      <w:szCs w:val="18"/>
    </w:rPr>
  </w:style>
  <w:style w:type="character" w:customStyle="1" w:styleId="117">
    <w:name w:val="style321"/>
    <w:autoRedefine/>
    <w:qFormat/>
    <w:uiPriority w:val="0"/>
    <w:rPr>
      <w:b/>
      <w:bCs/>
      <w:color w:val="FF9900"/>
      <w:sz w:val="23"/>
      <w:szCs w:val="23"/>
    </w:rPr>
  </w:style>
  <w:style w:type="character" w:customStyle="1" w:styleId="118">
    <w:name w:val="番茄花园"/>
    <w:autoRedefine/>
    <w:semiHidden/>
    <w:qFormat/>
    <w:uiPriority w:val="0"/>
    <w:rPr>
      <w:rFonts w:ascii="Arial" w:hAnsi="Arial" w:eastAsia="宋体" w:cs="Arial"/>
      <w:color w:val="000080"/>
      <w:sz w:val="18"/>
      <w:szCs w:val="20"/>
    </w:rPr>
  </w:style>
  <w:style w:type="character" w:customStyle="1" w:styleId="119">
    <w:name w:val="PI Char2"/>
    <w:autoRedefine/>
    <w:qFormat/>
    <w:uiPriority w:val="0"/>
    <w:rPr>
      <w:rFonts w:ascii="仿宋_GB2312" w:eastAsia="仿宋_GB2312"/>
      <w:kern w:val="2"/>
      <w:sz w:val="28"/>
      <w:szCs w:val="28"/>
      <w:lang w:val="zh-CN" w:eastAsia="zh-CN" w:bidi="ar-SA"/>
    </w:rPr>
  </w:style>
  <w:style w:type="character" w:customStyle="1" w:styleId="120">
    <w:name w:val="www序号1) Char"/>
    <w:link w:val="121"/>
    <w:autoRedefine/>
    <w:qFormat/>
    <w:uiPriority w:val="0"/>
    <w:rPr>
      <w:rFonts w:eastAsia="宋体"/>
      <w:kern w:val="2"/>
      <w:sz w:val="24"/>
      <w:szCs w:val="24"/>
      <w:lang w:val="en-US" w:eastAsia="zh-CN" w:bidi="ar-SA"/>
    </w:rPr>
  </w:style>
  <w:style w:type="paragraph" w:customStyle="1" w:styleId="121">
    <w:name w:val="www序号1)"/>
    <w:basedOn w:val="1"/>
    <w:link w:val="120"/>
    <w:autoRedefine/>
    <w:qFormat/>
    <w:uiPriority w:val="0"/>
    <w:pPr>
      <w:tabs>
        <w:tab w:val="left" w:pos="2160"/>
      </w:tabs>
      <w:ind w:left="2160" w:hanging="420"/>
    </w:pPr>
    <w:rPr>
      <w:rFonts w:ascii="Times New Roman" w:eastAsia="宋体"/>
      <w:sz w:val="24"/>
      <w:szCs w:val="24"/>
    </w:rPr>
  </w:style>
  <w:style w:type="character" w:customStyle="1" w:styleId="122">
    <w:name w:val="font"/>
    <w:autoRedefine/>
    <w:qFormat/>
    <w:uiPriority w:val="0"/>
  </w:style>
  <w:style w:type="character" w:customStyle="1" w:styleId="123">
    <w:name w:val="text"/>
    <w:autoRedefine/>
    <w:qFormat/>
    <w:uiPriority w:val="0"/>
  </w:style>
  <w:style w:type="character" w:customStyle="1" w:styleId="124">
    <w:name w:val="EHPT Char1"/>
    <w:autoRedefine/>
    <w:semiHidden/>
    <w:qFormat/>
    <w:uiPriority w:val="0"/>
    <w:rPr>
      <w:rFonts w:ascii="Calibri" w:hAnsi="Calibri" w:eastAsia="宋体"/>
      <w:kern w:val="2"/>
      <w:sz w:val="21"/>
      <w:szCs w:val="22"/>
      <w:lang w:val="en-US" w:eastAsia="zh-CN" w:bidi="ar-SA"/>
    </w:rPr>
  </w:style>
  <w:style w:type="character" w:customStyle="1" w:styleId="125">
    <w:name w:val="正文首行缩进2字符 Char"/>
    <w:link w:val="126"/>
    <w:autoRedefine/>
    <w:qFormat/>
    <w:uiPriority w:val="0"/>
    <w:rPr>
      <w:rFonts w:eastAsia="宋体"/>
      <w:kern w:val="2"/>
      <w:sz w:val="24"/>
      <w:lang w:val="en-US" w:eastAsia="zh-CN" w:bidi="ar-SA"/>
    </w:rPr>
  </w:style>
  <w:style w:type="paragraph" w:customStyle="1" w:styleId="126">
    <w:name w:val="正文首行缩进2字符"/>
    <w:basedOn w:val="1"/>
    <w:link w:val="125"/>
    <w:autoRedefine/>
    <w:qFormat/>
    <w:uiPriority w:val="0"/>
    <w:pPr>
      <w:spacing w:line="360" w:lineRule="auto"/>
      <w:ind w:firstLine="200" w:firstLineChars="200"/>
    </w:pPr>
    <w:rPr>
      <w:rFonts w:ascii="Times New Roman" w:eastAsia="宋体"/>
      <w:sz w:val="24"/>
      <w:szCs w:val="20"/>
    </w:rPr>
  </w:style>
  <w:style w:type="character" w:customStyle="1" w:styleId="127">
    <w:name w:val="14normal1"/>
    <w:autoRedefine/>
    <w:qFormat/>
    <w:uiPriority w:val="0"/>
    <w:rPr>
      <w:rFonts w:hint="default" w:ascii="ˎ̥" w:hAnsi="ˎ̥"/>
      <w:color w:val="000000"/>
      <w:sz w:val="21"/>
      <w:szCs w:val="21"/>
    </w:rPr>
  </w:style>
  <w:style w:type="character" w:customStyle="1" w:styleId="128">
    <w:name w:val="普通文字 Char Char1"/>
    <w:autoRedefine/>
    <w:qFormat/>
    <w:uiPriority w:val="0"/>
    <w:rPr>
      <w:rFonts w:ascii="宋体" w:hAnsi="Courier New" w:eastAsia="宋体"/>
      <w:sz w:val="21"/>
      <w:lang w:val="en-US" w:eastAsia="zh-CN" w:bidi="ar-SA"/>
    </w:rPr>
  </w:style>
  <w:style w:type="character" w:customStyle="1" w:styleId="129">
    <w:name w:val="批注文字 Char1"/>
    <w:autoRedefine/>
    <w:semiHidden/>
    <w:qFormat/>
    <w:locked/>
    <w:uiPriority w:val="0"/>
    <w:rPr>
      <w:rFonts w:eastAsia="宋体"/>
      <w:kern w:val="2"/>
      <w:sz w:val="21"/>
      <w:szCs w:val="24"/>
      <w:lang w:val="en-US" w:eastAsia="zh-CN" w:bidi="ar-SA"/>
    </w:rPr>
  </w:style>
  <w:style w:type="character" w:customStyle="1" w:styleId="130">
    <w:name w:val="普通文字 Char Char2"/>
    <w:autoRedefine/>
    <w:qFormat/>
    <w:uiPriority w:val="0"/>
    <w:rPr>
      <w:rFonts w:ascii="宋体" w:hAnsi="Courier New" w:eastAsia="宋体"/>
      <w:sz w:val="21"/>
      <w:lang w:val="en-US" w:eastAsia="zh-CN" w:bidi="ar-SA"/>
    </w:rPr>
  </w:style>
  <w:style w:type="character" w:customStyle="1" w:styleId="131">
    <w:name w:val="bei2"/>
    <w:autoRedefine/>
    <w:qFormat/>
    <w:uiPriority w:val="0"/>
  </w:style>
  <w:style w:type="character" w:customStyle="1" w:styleId="132">
    <w:name w:val="纯文本 Char2"/>
    <w:autoRedefine/>
    <w:qFormat/>
    <w:uiPriority w:val="0"/>
    <w:rPr>
      <w:rFonts w:ascii="宋体" w:hAnsi="Courier New" w:eastAsia="宋体"/>
      <w:sz w:val="21"/>
      <w:lang w:val="en-US" w:eastAsia="zh-CN" w:bidi="ar-SA"/>
    </w:rPr>
  </w:style>
  <w:style w:type="character" w:customStyle="1" w:styleId="133">
    <w:name w:val="font1"/>
    <w:autoRedefine/>
    <w:qFormat/>
    <w:uiPriority w:val="0"/>
    <w:rPr>
      <w:color w:val="333333"/>
      <w:sz w:val="18"/>
      <w:szCs w:val="18"/>
      <w:u w:val="none"/>
    </w:rPr>
  </w:style>
  <w:style w:type="character" w:customStyle="1" w:styleId="134">
    <w:name w:val="标题 3 Char Char"/>
    <w:autoRedefine/>
    <w:qFormat/>
    <w:uiPriority w:val="0"/>
    <w:rPr>
      <w:rFonts w:ascii="宋体" w:hAnsi="宋体" w:eastAsia="宋体"/>
      <w:color w:val="666666"/>
      <w:kern w:val="2"/>
      <w:sz w:val="28"/>
      <w:szCs w:val="28"/>
      <w:lang w:val="en-US" w:eastAsia="zh-CN" w:bidi="ar-SA"/>
    </w:rPr>
  </w:style>
  <w:style w:type="paragraph" w:customStyle="1" w:styleId="135">
    <w:name w:val="规范正文"/>
    <w:basedOn w:val="1"/>
    <w:autoRedefine/>
    <w:qFormat/>
    <w:uiPriority w:val="0"/>
    <w:pPr>
      <w:adjustRightInd w:val="0"/>
      <w:spacing w:line="360" w:lineRule="auto"/>
      <w:ind w:left="480"/>
      <w:textAlignment w:val="baseline"/>
    </w:pPr>
    <w:rPr>
      <w:kern w:val="0"/>
      <w:sz w:val="24"/>
      <w:szCs w:val="20"/>
    </w:rPr>
  </w:style>
  <w:style w:type="paragraph" w:customStyle="1" w:styleId="136">
    <w:name w:val="正文缩进6格"/>
    <w:basedOn w:val="137"/>
    <w:autoRedefine/>
    <w:qFormat/>
    <w:uiPriority w:val="0"/>
    <w:pPr>
      <w:ind w:left="1758" w:leftChars="854"/>
    </w:pPr>
  </w:style>
  <w:style w:type="paragraph" w:customStyle="1" w:styleId="137">
    <w:name w:val="正文缩进4格"/>
    <w:basedOn w:val="138"/>
    <w:autoRedefine/>
    <w:qFormat/>
    <w:uiPriority w:val="0"/>
    <w:pPr>
      <w:ind w:left="651" w:leftChars="310" w:firstLine="608" w:firstLineChars="196"/>
    </w:pPr>
    <w:rPr>
      <w:color w:val="000000"/>
    </w:rPr>
  </w:style>
  <w:style w:type="paragraph" w:customStyle="1" w:styleId="138">
    <w:name w:val="正文缩进2格"/>
    <w:basedOn w:val="1"/>
    <w:autoRedefine/>
    <w:qFormat/>
    <w:uiPriority w:val="0"/>
    <w:pPr>
      <w:spacing w:line="600" w:lineRule="exact"/>
      <w:ind w:firstLine="639" w:firstLineChars="206"/>
    </w:pPr>
    <w:rPr>
      <w:rFonts w:hAnsi="宋体"/>
      <w:sz w:val="31"/>
    </w:rPr>
  </w:style>
  <w:style w:type="paragraph" w:customStyle="1" w:styleId="139">
    <w:name w:val="项目符号2"/>
    <w:basedOn w:val="1"/>
    <w:autoRedefine/>
    <w:qFormat/>
    <w:uiPriority w:val="0"/>
    <w:pPr>
      <w:tabs>
        <w:tab w:val="left" w:pos="2591"/>
      </w:tabs>
      <w:snapToGrid w:val="0"/>
      <w:spacing w:line="300" w:lineRule="auto"/>
      <w:ind w:left="2155" w:hanging="284"/>
    </w:pPr>
    <w:rPr>
      <w:rFonts w:ascii="宋体"/>
      <w:sz w:val="24"/>
      <w:szCs w:val="20"/>
    </w:rPr>
  </w:style>
  <w:style w:type="paragraph" w:customStyle="1" w:styleId="140">
    <w:name w:val="批注框文本1"/>
    <w:basedOn w:val="1"/>
    <w:autoRedefine/>
    <w:semiHidden/>
    <w:qFormat/>
    <w:uiPriority w:val="0"/>
    <w:pPr>
      <w:widowControl/>
      <w:spacing w:before="120" w:line="360" w:lineRule="auto"/>
      <w:jc w:val="left"/>
    </w:pPr>
    <w:rPr>
      <w:rFonts w:ascii="Tahoma" w:hAnsi="Tahoma" w:cs="Tahoma"/>
      <w:kern w:val="0"/>
      <w:sz w:val="16"/>
      <w:szCs w:val="16"/>
      <w:lang w:val="en-GB" w:eastAsia="en-US"/>
    </w:rPr>
  </w:style>
  <w:style w:type="paragraph" w:customStyle="1" w:styleId="141">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42">
    <w:name w:val="Normal_8"/>
    <w:autoRedefine/>
    <w:qFormat/>
    <w:uiPriority w:val="0"/>
    <w:rPr>
      <w:rFonts w:ascii="Times New Roman" w:hAnsi="Times New Roman" w:eastAsia="Times New Roman" w:cs="Times New Roman"/>
      <w:sz w:val="24"/>
      <w:szCs w:val="24"/>
      <w:lang w:val="en-US" w:eastAsia="zh-CN" w:bidi="ar-SA"/>
    </w:rPr>
  </w:style>
  <w:style w:type="paragraph" w:customStyle="1" w:styleId="143">
    <w:name w:val="RFI Heading 2nd Level"/>
    <w:basedOn w:val="1"/>
    <w:autoRedefine/>
    <w:qFormat/>
    <w:uiPriority w:val="0"/>
    <w:pPr>
      <w:widowControl/>
      <w:numPr>
        <w:ilvl w:val="1"/>
        <w:numId w:val="3"/>
      </w:numPr>
      <w:jc w:val="left"/>
    </w:pPr>
    <w:rPr>
      <w:rFonts w:ascii="Arial (W1)" w:hAnsi="Arial (W1)"/>
      <w:b/>
      <w:bCs/>
      <w:color w:val="0000FF"/>
      <w:kern w:val="0"/>
      <w:lang w:val="en-GB" w:eastAsia="en-US"/>
    </w:rPr>
  </w:style>
  <w:style w:type="paragraph" w:customStyle="1" w:styleId="144">
    <w:name w:val="项目1"/>
    <w:basedOn w:val="18"/>
    <w:next w:val="18"/>
    <w:autoRedefine/>
    <w:qFormat/>
    <w:uiPriority w:val="0"/>
    <w:pPr>
      <w:numPr>
        <w:ilvl w:val="3"/>
        <w:numId w:val="4"/>
      </w:numPr>
      <w:tabs>
        <w:tab w:val="clear" w:pos="1680"/>
      </w:tabs>
      <w:spacing w:beforeLines="50" w:afterLines="50" w:line="360" w:lineRule="auto"/>
      <w:ind w:left="-4" w:leftChars="-2" w:firstLine="468" w:firstLineChars="195"/>
      <w:jc w:val="left"/>
    </w:pPr>
    <w:rPr>
      <w:rFonts w:ascii="宋体" w:hAnsi="宋体"/>
      <w:bCs/>
      <w:sz w:val="24"/>
      <w:szCs w:val="24"/>
    </w:rPr>
  </w:style>
  <w:style w:type="paragraph" w:customStyle="1" w:styleId="145">
    <w:name w:val="1.1.1.1Heading3"/>
    <w:basedOn w:val="7"/>
    <w:autoRedefine/>
    <w:qFormat/>
    <w:uiPriority w:val="0"/>
    <w:pPr>
      <w:numPr>
        <w:ilvl w:val="2"/>
        <w:numId w:val="5"/>
      </w:numPr>
      <w:tabs>
        <w:tab w:val="left" w:pos="2292"/>
        <w:tab w:val="clear" w:pos="2160"/>
      </w:tabs>
      <w:overflowPunct/>
      <w:autoSpaceDE/>
      <w:autoSpaceDN/>
      <w:adjustRightInd/>
      <w:spacing w:before="120" w:after="120"/>
      <w:ind w:left="2292" w:leftChars="236" w:right="-156" w:hanging="420"/>
      <w:textAlignment w:val="auto"/>
    </w:pPr>
    <w:rPr>
      <w:rFonts w:ascii="Arial" w:hAnsi="Arial" w:eastAsia="黑体" w:cs="Arial"/>
      <w:bCs/>
      <w:szCs w:val="16"/>
    </w:rPr>
  </w:style>
  <w:style w:type="paragraph" w:customStyle="1" w:styleId="146">
    <w:name w:val="Normal_0_1"/>
    <w:autoRedefine/>
    <w:qFormat/>
    <w:uiPriority w:val="0"/>
    <w:rPr>
      <w:rFonts w:ascii="Times New Roman" w:hAnsi="Times New Roman" w:eastAsia="Times New Roman" w:cs="Times New Roman"/>
      <w:sz w:val="24"/>
      <w:szCs w:val="24"/>
      <w:lang w:val="en-US" w:eastAsia="zh-CN" w:bidi="ar-SA"/>
    </w:rPr>
  </w:style>
  <w:style w:type="paragraph" w:customStyle="1" w:styleId="147">
    <w:name w:val="Level 1: a."/>
    <w:autoRedefine/>
    <w:qFormat/>
    <w:uiPriority w:val="0"/>
    <w:pPr>
      <w:numPr>
        <w:ilvl w:val="3"/>
        <w:numId w:val="6"/>
      </w:numPr>
      <w:tabs>
        <w:tab w:val="left" w:pos="360"/>
        <w:tab w:val="clear" w:pos="720"/>
      </w:tabs>
      <w:spacing w:before="72" w:after="72"/>
      <w:jc w:val="both"/>
      <w:outlineLvl w:val="3"/>
    </w:pPr>
    <w:rPr>
      <w:rFonts w:ascii="Arial" w:hAnsi="Arial" w:eastAsia="宋体" w:cs="Times New Roman"/>
      <w:lang w:val="en-US" w:eastAsia="en-US" w:bidi="ar-SA"/>
    </w:rPr>
  </w:style>
  <w:style w:type="paragraph" w:customStyle="1" w:styleId="148">
    <w:name w:val="RFI text from 3rd Level"/>
    <w:basedOn w:val="149"/>
    <w:autoRedefine/>
    <w:qFormat/>
    <w:uiPriority w:val="0"/>
    <w:pPr>
      <w:numPr>
        <w:ilvl w:val="0"/>
        <w:numId w:val="0"/>
      </w:numPr>
      <w:tabs>
        <w:tab w:val="left" w:pos="360"/>
        <w:tab w:val="left" w:pos="720"/>
        <w:tab w:val="left" w:pos="1080"/>
      </w:tabs>
    </w:pPr>
    <w:rPr>
      <w:b w:val="0"/>
      <w:lang w:eastAsia="zh-CN"/>
    </w:rPr>
  </w:style>
  <w:style w:type="paragraph" w:customStyle="1" w:styleId="149">
    <w:name w:val="RFI text from 2nd Level"/>
    <w:basedOn w:val="150"/>
    <w:autoRedefine/>
    <w:qFormat/>
    <w:uiPriority w:val="0"/>
    <w:pPr>
      <w:numPr>
        <w:ilvl w:val="1"/>
        <w:numId w:val="7"/>
      </w:numPr>
      <w:tabs>
        <w:tab w:val="left" w:pos="360"/>
        <w:tab w:val="left" w:pos="720"/>
        <w:tab w:val="clear" w:pos="1440"/>
      </w:tabs>
      <w:ind w:left="720"/>
    </w:pPr>
    <w:rPr>
      <w:b/>
      <w:bCs/>
      <w:color w:val="auto"/>
    </w:rPr>
  </w:style>
  <w:style w:type="paragraph" w:customStyle="1" w:styleId="150">
    <w:name w:val="RFI Heading 3rd Level"/>
    <w:basedOn w:val="1"/>
    <w:autoRedefine/>
    <w:qFormat/>
    <w:uiPriority w:val="0"/>
    <w:pPr>
      <w:widowControl/>
      <w:numPr>
        <w:ilvl w:val="0"/>
        <w:numId w:val="3"/>
      </w:numPr>
      <w:jc w:val="left"/>
    </w:pPr>
    <w:rPr>
      <w:rFonts w:ascii="Arial (W1)" w:hAnsi="Arial (W1)"/>
      <w:color w:val="000000"/>
      <w:kern w:val="0"/>
      <w:sz w:val="24"/>
      <w:lang w:val="en-GB" w:eastAsia="en-US"/>
    </w:rPr>
  </w:style>
  <w:style w:type="paragraph" w:customStyle="1" w:styleId="151">
    <w:name w:val="Char Char17"/>
    <w:basedOn w:val="1"/>
    <w:autoRedefine/>
    <w:qFormat/>
    <w:uiPriority w:val="0"/>
  </w:style>
  <w:style w:type="paragraph" w:customStyle="1" w:styleId="152">
    <w:name w:val="Level 2: 1."/>
    <w:autoRedefine/>
    <w:qFormat/>
    <w:uiPriority w:val="0"/>
    <w:pPr>
      <w:numPr>
        <w:ilvl w:val="4"/>
        <w:numId w:val="6"/>
      </w:numPr>
      <w:spacing w:before="72" w:after="72"/>
      <w:jc w:val="both"/>
      <w:outlineLvl w:val="4"/>
    </w:pPr>
    <w:rPr>
      <w:rFonts w:ascii="Arial" w:hAnsi="Arial" w:eastAsia="宋体" w:cs="Times New Roman"/>
      <w:lang w:val="en-US" w:eastAsia="en-US" w:bidi="ar-SA"/>
    </w:rPr>
  </w:style>
  <w:style w:type="paragraph" w:customStyle="1" w:styleId="153">
    <w:name w:val="Bullet 1"/>
    <w:basedOn w:val="1"/>
    <w:autoRedefine/>
    <w:qFormat/>
    <w:uiPriority w:val="0"/>
    <w:pPr>
      <w:widowControl/>
      <w:jc w:val="left"/>
    </w:pPr>
    <w:rPr>
      <w:rFonts w:ascii="Tahoma" w:hAnsi="Tahoma" w:cs="Tahoma"/>
      <w:kern w:val="0"/>
      <w:sz w:val="24"/>
      <w:lang w:eastAsia="en-US"/>
    </w:rPr>
  </w:style>
  <w:style w:type="paragraph" w:customStyle="1" w:styleId="154">
    <w:name w:val="Default Text:1"/>
    <w:basedOn w:val="1"/>
    <w:autoRedefine/>
    <w:qFormat/>
    <w:uiPriority w:val="0"/>
    <w:pPr>
      <w:widowControl/>
      <w:jc w:val="left"/>
    </w:pPr>
    <w:rPr>
      <w:rFonts w:ascii="Tahoma" w:hAnsi="Tahoma" w:cs="Tahoma"/>
      <w:kern w:val="0"/>
      <w:sz w:val="24"/>
      <w:lang w:eastAsia="en-US"/>
    </w:rPr>
  </w:style>
  <w:style w:type="paragraph" w:customStyle="1" w:styleId="155">
    <w:name w:val="www正文"/>
    <w:basedOn w:val="1"/>
    <w:autoRedefine/>
    <w:qFormat/>
    <w:uiPriority w:val="0"/>
    <w:pPr>
      <w:ind w:firstLine="480" w:firstLineChars="200"/>
    </w:pPr>
    <w:rPr>
      <w:sz w:val="24"/>
    </w:rPr>
  </w:style>
  <w:style w:type="paragraph" w:customStyle="1" w:styleId="156">
    <w:name w:val="Default Text"/>
    <w:basedOn w:val="1"/>
    <w:autoRedefine/>
    <w:qFormat/>
    <w:uiPriority w:val="0"/>
    <w:pPr>
      <w:widowControl/>
      <w:jc w:val="left"/>
    </w:pPr>
    <w:rPr>
      <w:rFonts w:ascii="Tahoma" w:hAnsi="Tahoma" w:cs="Tahoma"/>
      <w:kern w:val="0"/>
      <w:sz w:val="24"/>
      <w:lang w:eastAsia="en-US"/>
    </w:rPr>
  </w:style>
  <w:style w:type="paragraph" w:customStyle="1" w:styleId="157">
    <w:name w:val="列表内容"/>
    <w:basedOn w:val="1"/>
    <w:next w:val="1"/>
    <w:autoRedefine/>
    <w:qFormat/>
    <w:uiPriority w:val="0"/>
    <w:pPr>
      <w:widowControl/>
      <w:numPr>
        <w:ilvl w:val="0"/>
        <w:numId w:val="8"/>
      </w:numPr>
      <w:jc w:val="left"/>
    </w:pPr>
    <w:rPr>
      <w:kern w:val="0"/>
      <w:sz w:val="18"/>
    </w:rPr>
  </w:style>
  <w:style w:type="paragraph" w:customStyle="1" w:styleId="158">
    <w:name w:val="RFI Heading 4th Level"/>
    <w:basedOn w:val="150"/>
    <w:autoRedefine/>
    <w:qFormat/>
    <w:uiPriority w:val="0"/>
    <w:pPr>
      <w:numPr>
        <w:ilvl w:val="3"/>
        <w:numId w:val="7"/>
      </w:numPr>
      <w:tabs>
        <w:tab w:val="left" w:pos="1152"/>
        <w:tab w:val="clear" w:pos="1440"/>
      </w:tabs>
      <w:spacing w:before="240" w:after="160"/>
      <w:ind w:left="1152" w:hanging="1152"/>
      <w:jc w:val="both"/>
      <w:outlineLvl w:val="2"/>
    </w:pPr>
    <w:rPr>
      <w:rFonts w:eastAsia="Times New Roman"/>
      <w:bCs/>
      <w:color w:val="auto"/>
    </w:rPr>
  </w:style>
  <w:style w:type="paragraph" w:customStyle="1" w:styleId="159">
    <w:name w:val="xl26"/>
    <w:basedOn w:val="1"/>
    <w:autoRedefine/>
    <w:qFormat/>
    <w:uiPriority w:val="0"/>
    <w:pPr>
      <w:widowControl/>
      <w:spacing w:before="100" w:beforeAutospacing="1" w:after="100" w:afterAutospacing="1"/>
      <w:jc w:val="center"/>
    </w:pPr>
    <w:rPr>
      <w:rFonts w:hint="eastAsia" w:hAnsi="宋体"/>
      <w:kern w:val="0"/>
      <w:sz w:val="24"/>
    </w:rPr>
  </w:style>
  <w:style w:type="paragraph" w:styleId="160">
    <w:name w:val="List Paragraph"/>
    <w:basedOn w:val="1"/>
    <w:autoRedefine/>
    <w:qFormat/>
    <w:uiPriority w:val="99"/>
    <w:pPr>
      <w:ind w:firstLine="420" w:firstLineChars="200"/>
    </w:pPr>
    <w:rPr>
      <w:rFonts w:ascii="Calibri" w:hAnsi="Calibri"/>
      <w:szCs w:val="22"/>
    </w:rPr>
  </w:style>
  <w:style w:type="paragraph" w:customStyle="1" w:styleId="161">
    <w:name w:val="简单回函地址"/>
    <w:basedOn w:val="1"/>
    <w:autoRedefine/>
    <w:qFormat/>
    <w:uiPriority w:val="0"/>
    <w:rPr>
      <w:rFonts w:ascii="宋体" w:hAnsi="宋体"/>
      <w:color w:val="000000"/>
      <w:szCs w:val="21"/>
    </w:rPr>
  </w:style>
  <w:style w:type="paragraph" w:customStyle="1" w:styleId="162">
    <w:name w:val="默认段落字体 Para Char Char Char Char"/>
    <w:basedOn w:val="1"/>
    <w:autoRedefine/>
    <w:qFormat/>
    <w:uiPriority w:val="0"/>
    <w:rPr>
      <w:rFonts w:ascii="宋体" w:hAnsi="宋体" w:eastAsia="宋体"/>
      <w:sz w:val="24"/>
      <w:szCs w:val="24"/>
    </w:rPr>
  </w:style>
  <w:style w:type="paragraph" w:customStyle="1" w:styleId="163">
    <w:name w:val="章正文"/>
    <w:basedOn w:val="1"/>
    <w:autoRedefine/>
    <w:qFormat/>
    <w:uiPriority w:val="0"/>
    <w:pPr>
      <w:spacing w:before="156" w:beforeLines="50" w:after="120" w:line="300" w:lineRule="auto"/>
      <w:ind w:firstLine="480"/>
    </w:pPr>
    <w:rPr>
      <w:rFonts w:ascii="Helvetica" w:hAnsi="Helvetica" w:eastAsia="宋体"/>
      <w:kern w:val="0"/>
      <w:sz w:val="24"/>
      <w:szCs w:val="24"/>
    </w:rPr>
  </w:style>
  <w:style w:type="paragraph" w:customStyle="1" w:styleId="164">
    <w:name w:val="1.1 Header2"/>
    <w:basedOn w:val="1"/>
    <w:autoRedefine/>
    <w:qFormat/>
    <w:uiPriority w:val="0"/>
    <w:pPr>
      <w:widowControl/>
      <w:jc w:val="left"/>
    </w:pPr>
    <w:rPr>
      <w:rFonts w:ascii="宋体" w:hAnsi="宋体"/>
      <w:color w:val="000000"/>
      <w:kern w:val="0"/>
      <w:sz w:val="24"/>
      <w:szCs w:val="21"/>
    </w:rPr>
  </w:style>
  <w:style w:type="paragraph" w:customStyle="1" w:styleId="165">
    <w:name w:val="水印"/>
    <w:basedOn w:val="1"/>
    <w:autoRedefine/>
    <w:qFormat/>
    <w:uiPriority w:val="0"/>
    <w:pPr>
      <w:adjustRightInd w:val="0"/>
      <w:spacing w:line="240" w:lineRule="atLeast"/>
      <w:textAlignment w:val="baseline"/>
    </w:pPr>
    <w:rPr>
      <w:kern w:val="0"/>
      <w:szCs w:val="20"/>
    </w:rPr>
  </w:style>
  <w:style w:type="paragraph" w:customStyle="1" w:styleId="166">
    <w:name w:val="RFI abc 1st Level"/>
    <w:basedOn w:val="1"/>
    <w:autoRedefine/>
    <w:qFormat/>
    <w:uiPriority w:val="0"/>
    <w:pPr>
      <w:widowControl/>
      <w:numPr>
        <w:ilvl w:val="0"/>
        <w:numId w:val="9"/>
      </w:numPr>
      <w:tabs>
        <w:tab w:val="left" w:pos="1440"/>
        <w:tab w:val="clear" w:pos="720"/>
      </w:tabs>
      <w:ind w:left="1440"/>
    </w:pPr>
    <w:rPr>
      <w:rFonts w:ascii="Arial (W1)" w:hAnsi="Arial (W1)"/>
      <w:kern w:val="0"/>
      <w:sz w:val="24"/>
      <w:lang w:val="en-GB" w:eastAsia="en-US"/>
    </w:rPr>
  </w:style>
  <w:style w:type="paragraph" w:customStyle="1" w:styleId="167">
    <w:name w:val="Content Bullet"/>
    <w:basedOn w:val="1"/>
    <w:autoRedefine/>
    <w:qFormat/>
    <w:uiPriority w:val="0"/>
    <w:pPr>
      <w:widowControl/>
      <w:tabs>
        <w:tab w:val="left" w:pos="420"/>
        <w:tab w:val="left" w:pos="696"/>
        <w:tab w:val="left" w:pos="3060"/>
        <w:tab w:val="left" w:pos="3600"/>
      </w:tabs>
      <w:spacing w:after="120"/>
      <w:ind w:left="720" w:hanging="720"/>
      <w:jc w:val="left"/>
    </w:pPr>
    <w:rPr>
      <w:rFonts w:ascii="Book Antiqua" w:hAnsi="Book Antiqua"/>
      <w:kern w:val="0"/>
      <w:sz w:val="22"/>
      <w:szCs w:val="20"/>
      <w:lang w:val="en-GB" w:eastAsia="en-US"/>
    </w:rPr>
  </w:style>
  <w:style w:type="paragraph" w:customStyle="1" w:styleId="168">
    <w:name w:val="reader-word-layer reader-word-s3-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9">
    <w:name w:val="正文1"/>
    <w:basedOn w:val="1"/>
    <w:autoRedefine/>
    <w:qFormat/>
    <w:uiPriority w:val="0"/>
    <w:pPr>
      <w:ind w:firstLine="600" w:firstLineChars="200"/>
      <w:jc w:val="left"/>
    </w:pPr>
    <w:rPr>
      <w:rFonts w:ascii="Times New Roman"/>
      <w:sz w:val="30"/>
      <w:szCs w:val="30"/>
    </w:rPr>
  </w:style>
  <w:style w:type="paragraph" w:customStyle="1" w:styleId="170">
    <w:name w:val="标题 3.5"/>
    <w:basedOn w:val="7"/>
    <w:autoRedefine/>
    <w:qFormat/>
    <w:uiPriority w:val="0"/>
    <w:pPr>
      <w:keepNext w:val="0"/>
      <w:widowControl w:val="0"/>
      <w:numPr>
        <w:numId w:val="0"/>
      </w:numPr>
      <w:overflowPunct/>
      <w:autoSpaceDE/>
      <w:autoSpaceDN/>
      <w:adjustRightInd/>
      <w:spacing w:before="0" w:after="0" w:line="600" w:lineRule="exact"/>
      <w:jc w:val="both"/>
      <w:textAlignment w:val="auto"/>
      <w:outlineLvl w:val="9"/>
    </w:pPr>
    <w:rPr>
      <w:kern w:val="2"/>
      <w:sz w:val="31"/>
      <w:szCs w:val="24"/>
    </w:rPr>
  </w:style>
  <w:style w:type="paragraph" w:customStyle="1" w:styleId="171">
    <w:name w:val="样式 仿宋_GB2312 首行缩进:  0.74 厘米 行距: 固定值 26 磅"/>
    <w:basedOn w:val="1"/>
    <w:autoRedefine/>
    <w:qFormat/>
    <w:uiPriority w:val="0"/>
    <w:pPr>
      <w:tabs>
        <w:tab w:val="left" w:pos="840"/>
      </w:tabs>
      <w:spacing w:line="520" w:lineRule="exact"/>
      <w:ind w:left="207" w:leftChars="74" w:firstLine="420"/>
      <w:jc w:val="left"/>
    </w:pPr>
    <w:rPr>
      <w:rFonts w:ascii="宋体" w:hAnsi="宋体" w:eastAsia="宋体" w:cs="宋体"/>
      <w:sz w:val="24"/>
      <w:szCs w:val="20"/>
    </w:rPr>
  </w:style>
  <w:style w:type="paragraph" w:customStyle="1" w:styleId="172">
    <w:name w:val="Table Paragraph"/>
    <w:basedOn w:val="1"/>
    <w:autoRedefine/>
    <w:qFormat/>
    <w:uiPriority w:val="1"/>
    <w:rPr>
      <w:rFonts w:ascii="宋体" w:hAnsi="宋体" w:eastAsia="宋体" w:cs="宋体"/>
    </w:rPr>
  </w:style>
  <w:style w:type="paragraph" w:customStyle="1" w:styleId="173">
    <w:name w:val="Level 3: (a)"/>
    <w:basedOn w:val="1"/>
    <w:autoRedefine/>
    <w:qFormat/>
    <w:uiPriority w:val="0"/>
    <w:pPr>
      <w:widowControl/>
      <w:numPr>
        <w:ilvl w:val="5"/>
        <w:numId w:val="6"/>
      </w:numPr>
      <w:tabs>
        <w:tab w:val="left" w:pos="1080"/>
        <w:tab w:val="clear" w:pos="1440"/>
      </w:tabs>
      <w:spacing w:before="72" w:after="72"/>
      <w:outlineLvl w:val="5"/>
    </w:pPr>
    <w:rPr>
      <w:rFonts w:ascii="Arial" w:hAnsi="Arial"/>
      <w:kern w:val="0"/>
      <w:sz w:val="20"/>
      <w:szCs w:val="20"/>
      <w:lang w:eastAsia="en-US"/>
    </w:rPr>
  </w:style>
  <w:style w:type="paragraph" w:customStyle="1" w:styleId="174">
    <w:name w:val="Head2"/>
    <w:autoRedefine/>
    <w:qFormat/>
    <w:uiPriority w:val="0"/>
    <w:pPr>
      <w:numPr>
        <w:ilvl w:val="2"/>
        <w:numId w:val="6"/>
      </w:numPr>
      <w:spacing w:before="28" w:after="28"/>
      <w:outlineLvl w:val="2"/>
    </w:pPr>
    <w:rPr>
      <w:rFonts w:ascii="Arial" w:hAnsi="Arial" w:eastAsia="宋体" w:cs="Times New Roman"/>
      <w:b/>
      <w:lang w:val="en-US" w:eastAsia="en-US" w:bidi="ar-SA"/>
    </w:rPr>
  </w:style>
  <w:style w:type="paragraph" w:customStyle="1" w:styleId="175">
    <w:name w:val="Char1 Char Char Char"/>
    <w:basedOn w:val="1"/>
    <w:autoRedefine/>
    <w:qFormat/>
    <w:uiPriority w:val="0"/>
    <w:pPr>
      <w:ind w:left="420" w:hanging="420"/>
    </w:pPr>
    <w:rPr>
      <w:sz w:val="24"/>
    </w:rPr>
  </w:style>
  <w:style w:type="paragraph" w:customStyle="1" w:styleId="176">
    <w:name w:val="Char Char18"/>
    <w:basedOn w:val="1"/>
    <w:autoRedefine/>
    <w:qFormat/>
    <w:uiPriority w:val="0"/>
  </w:style>
  <w:style w:type="paragraph" w:customStyle="1" w:styleId="177">
    <w:name w:val="默认段落字体 Para Char"/>
    <w:basedOn w:val="1"/>
    <w:autoRedefine/>
    <w:qFormat/>
    <w:uiPriority w:val="0"/>
    <w:pPr>
      <w:spacing w:line="360" w:lineRule="auto"/>
      <w:ind w:firstLine="200" w:firstLineChars="200"/>
    </w:pPr>
    <w:rPr>
      <w:rFonts w:ascii="宋体" w:hAnsi="宋体" w:cs="宋体"/>
      <w:sz w:val="24"/>
    </w:rPr>
  </w:style>
  <w:style w:type="paragraph" w:customStyle="1" w:styleId="178">
    <w:name w:val="Body"/>
    <w:autoRedefine/>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179">
    <w:name w:val="表内文字"/>
    <w:basedOn w:val="1"/>
    <w:autoRedefine/>
    <w:qFormat/>
    <w:uiPriority w:val="0"/>
    <w:pPr>
      <w:tabs>
        <w:tab w:val="left" w:pos="1418"/>
      </w:tabs>
      <w:spacing w:line="360" w:lineRule="auto"/>
      <w:jc w:val="center"/>
    </w:pPr>
    <w:rPr>
      <w:spacing w:val="-20"/>
      <w:kern w:val="0"/>
      <w:sz w:val="24"/>
      <w:szCs w:val="20"/>
    </w:rPr>
  </w:style>
  <w:style w:type="paragraph" w:customStyle="1" w:styleId="180">
    <w:name w:val="Char"/>
    <w:basedOn w:val="1"/>
    <w:autoRedefine/>
    <w:qFormat/>
    <w:uiPriority w:val="0"/>
  </w:style>
  <w:style w:type="paragraph" w:customStyle="1" w:styleId="181">
    <w:name w:val="默认段落字体 Para Char Char Char Char Char Char Char Char Char1 Char Char Char Char"/>
    <w:basedOn w:val="1"/>
    <w:autoRedefine/>
    <w:qFormat/>
    <w:uiPriority w:val="0"/>
    <w:pPr>
      <w:spacing w:beforeLines="50"/>
    </w:pPr>
    <w:rPr>
      <w:rFonts w:ascii="Calibri" w:hAnsi="Calibri" w:eastAsia="宋体"/>
      <w:sz w:val="24"/>
      <w:szCs w:val="20"/>
    </w:rPr>
  </w:style>
  <w:style w:type="paragraph" w:customStyle="1" w:styleId="182">
    <w:name w:val="xl48"/>
    <w:basedOn w:val="1"/>
    <w:autoRedefine/>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83">
    <w:name w:val="Normal 0.51"/>
    <w:basedOn w:val="1"/>
    <w:autoRedefine/>
    <w:qFormat/>
    <w:uiPriority w:val="0"/>
    <w:pPr>
      <w:keepNext/>
      <w:keepLines/>
      <w:widowControl/>
      <w:spacing w:before="180" w:after="120"/>
      <w:ind w:left="720"/>
    </w:pPr>
    <w:rPr>
      <w:kern w:val="0"/>
      <w:sz w:val="24"/>
      <w:szCs w:val="20"/>
      <w:lang w:val="en-GB" w:eastAsia="en-US"/>
    </w:rPr>
  </w:style>
  <w:style w:type="paragraph" w:customStyle="1" w:styleId="184">
    <w:name w:val="Level 6: (i)"/>
    <w:basedOn w:val="1"/>
    <w:autoRedefine/>
    <w:qFormat/>
    <w:uiPriority w:val="0"/>
    <w:pPr>
      <w:widowControl/>
      <w:numPr>
        <w:ilvl w:val="8"/>
        <w:numId w:val="6"/>
      </w:numPr>
      <w:tabs>
        <w:tab w:val="left" w:pos="2160"/>
        <w:tab w:val="clear" w:pos="2520"/>
      </w:tabs>
      <w:spacing w:before="72" w:after="72"/>
      <w:outlineLvl w:val="8"/>
    </w:pPr>
    <w:rPr>
      <w:rFonts w:ascii="Arial" w:hAnsi="Arial"/>
      <w:kern w:val="0"/>
      <w:sz w:val="20"/>
      <w:szCs w:val="20"/>
      <w:lang w:eastAsia="en-US"/>
    </w:rPr>
  </w:style>
  <w:style w:type="paragraph" w:customStyle="1" w:styleId="185">
    <w:name w:val="小条目 Char Char"/>
    <w:basedOn w:val="1"/>
    <w:autoRedefine/>
    <w:qFormat/>
    <w:uiPriority w:val="0"/>
    <w:pPr>
      <w:tabs>
        <w:tab w:val="left" w:pos="360"/>
        <w:tab w:val="left" w:pos="2160"/>
      </w:tabs>
      <w:spacing w:line="360" w:lineRule="auto"/>
      <w:ind w:left="6" w:firstLine="420"/>
    </w:pPr>
    <w:rPr>
      <w:rFonts w:ascii="宋体" w:hAnsi="Arial" w:cs="Arial"/>
      <w:b/>
      <w:bCs/>
      <w:caps/>
      <w:kern w:val="44"/>
      <w:sz w:val="24"/>
      <w:szCs w:val="44"/>
    </w:rPr>
  </w:style>
  <w:style w:type="paragraph" w:customStyle="1" w:styleId="186">
    <w:name w:val="RFI List 1"/>
    <w:basedOn w:val="150"/>
    <w:autoRedefine/>
    <w:qFormat/>
    <w:uiPriority w:val="0"/>
    <w:pPr>
      <w:numPr>
        <w:numId w:val="0"/>
      </w:numPr>
      <w:tabs>
        <w:tab w:val="left" w:pos="360"/>
        <w:tab w:val="left" w:pos="1800"/>
      </w:tabs>
      <w:spacing w:before="240" w:after="160"/>
      <w:ind w:left="720" w:hanging="720"/>
      <w:outlineLvl w:val="0"/>
    </w:pPr>
    <w:rPr>
      <w:b/>
      <w:color w:val="auto"/>
    </w:rPr>
  </w:style>
  <w:style w:type="paragraph" w:customStyle="1" w:styleId="187">
    <w:name w:val="正文（缩进）"/>
    <w:basedOn w:val="1"/>
    <w:autoRedefine/>
    <w:qFormat/>
    <w:uiPriority w:val="0"/>
    <w:pPr>
      <w:spacing w:before="156" w:beforeLines="50" w:after="156" w:afterLines="50" w:line="360" w:lineRule="auto"/>
      <w:ind w:firstLine="480" w:firstLineChars="200"/>
    </w:pPr>
    <w:rPr>
      <w:sz w:val="24"/>
    </w:rPr>
  </w:style>
  <w:style w:type="paragraph" w:customStyle="1" w:styleId="188">
    <w:name w:val="Style Heading 3 + Line spacing:  1.5 lines"/>
    <w:basedOn w:val="7"/>
    <w:autoRedefine/>
    <w:qFormat/>
    <w:uiPriority w:val="0"/>
    <w:pPr>
      <w:numPr>
        <w:ilvl w:val="2"/>
        <w:numId w:val="10"/>
      </w:numPr>
      <w:tabs>
        <w:tab w:val="left" w:pos="1152"/>
        <w:tab w:val="left" w:pos="1680"/>
        <w:tab w:val="clear" w:pos="720"/>
      </w:tabs>
      <w:overflowPunct/>
      <w:autoSpaceDE/>
      <w:autoSpaceDN/>
      <w:adjustRightInd/>
      <w:spacing w:before="0" w:after="0" w:line="360" w:lineRule="auto"/>
      <w:ind w:left="236" w:leftChars="236" w:hanging="420"/>
      <w:jc w:val="both"/>
      <w:textAlignment w:val="auto"/>
    </w:pPr>
    <w:rPr>
      <w:rFonts w:eastAsia="黑体"/>
      <w:b/>
      <w:bCs/>
      <w:sz w:val="28"/>
    </w:rPr>
  </w:style>
  <w:style w:type="paragraph" w:customStyle="1" w:styleId="189">
    <w:name w:val="正文 A"/>
    <w:autoRedefine/>
    <w:qFormat/>
    <w:uiPriority w:val="0"/>
    <w:rPr>
      <w:rFonts w:ascii="Times New Roman" w:hAnsi="Times New Roman" w:eastAsia="ヒラギノ角ゴ Pro W3" w:cs="Times New Roman"/>
      <w:color w:val="000000"/>
      <w:sz w:val="24"/>
      <w:lang w:val="en-US" w:eastAsia="zh-CN" w:bidi="ar-SA"/>
    </w:rPr>
  </w:style>
  <w:style w:type="paragraph" w:customStyle="1" w:styleId="190">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191">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92">
    <w:name w:val="日期右"/>
    <w:basedOn w:val="37"/>
    <w:autoRedefine/>
    <w:qFormat/>
    <w:uiPriority w:val="0"/>
    <w:pPr>
      <w:spacing w:line="600" w:lineRule="exact"/>
      <w:jc w:val="right"/>
    </w:pPr>
    <w:rPr>
      <w:rFonts w:eastAsia="仿宋_GB2312"/>
      <w:sz w:val="31"/>
      <w:szCs w:val="24"/>
    </w:rPr>
  </w:style>
  <w:style w:type="paragraph" w:customStyle="1" w:styleId="193">
    <w:name w:val="RFI Heading 2nd Level Char"/>
    <w:basedOn w:val="1"/>
    <w:autoRedefine/>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lang w:val="en-GB" w:eastAsia="en-US"/>
    </w:rPr>
  </w:style>
  <w:style w:type="paragraph" w:customStyle="1" w:styleId="194">
    <w:name w:val="Head1"/>
    <w:autoRedefine/>
    <w:qFormat/>
    <w:uiPriority w:val="0"/>
    <w:pPr>
      <w:numPr>
        <w:ilvl w:val="1"/>
        <w:numId w:val="6"/>
      </w:numPr>
      <w:pBdr>
        <w:top w:val="single" w:color="auto" w:sz="6" w:space="1"/>
      </w:pBdr>
      <w:spacing w:before="28" w:after="28"/>
      <w:outlineLvl w:val="1"/>
    </w:pPr>
    <w:rPr>
      <w:rFonts w:ascii="Arial" w:hAnsi="Arial" w:eastAsia="宋体" w:cs="Times New Roman"/>
      <w:b/>
      <w:sz w:val="22"/>
      <w:lang w:val="en-US" w:eastAsia="en-US" w:bidi="ar-SA"/>
    </w:rPr>
  </w:style>
  <w:style w:type="paragraph" w:customStyle="1" w:styleId="195">
    <w:name w:val="Normal 1.0"/>
    <w:basedOn w:val="1"/>
    <w:autoRedefine/>
    <w:qFormat/>
    <w:uiPriority w:val="0"/>
    <w:pPr>
      <w:keepLines/>
      <w:widowControl/>
      <w:spacing w:before="180" w:after="120"/>
      <w:ind w:left="1440"/>
    </w:pPr>
    <w:rPr>
      <w:kern w:val="0"/>
      <w:sz w:val="24"/>
      <w:lang w:val="en-GB" w:eastAsia="en-US"/>
    </w:rPr>
  </w:style>
  <w:style w:type="paragraph" w:customStyle="1" w:styleId="196">
    <w:name w:val="RFI Bullet 1st Level"/>
    <w:basedOn w:val="1"/>
    <w:autoRedefine/>
    <w:qFormat/>
    <w:uiPriority w:val="0"/>
    <w:pPr>
      <w:widowControl/>
      <w:spacing w:before="60" w:after="60"/>
      <w:ind w:left="1440" w:hanging="360"/>
    </w:pPr>
    <w:rPr>
      <w:rFonts w:ascii="Arial (W1)" w:hAnsi="Arial (W1)"/>
      <w:kern w:val="0"/>
      <w:sz w:val="24"/>
      <w:lang w:val="en-GB" w:eastAsia="en-US"/>
    </w:rPr>
  </w:style>
  <w:style w:type="paragraph" w:customStyle="1" w:styleId="197">
    <w:name w:val="修订1"/>
    <w:autoRedefine/>
    <w:unhideWhenUsed/>
    <w:qFormat/>
    <w:uiPriority w:val="99"/>
    <w:rPr>
      <w:rFonts w:ascii="仿宋_GB2312" w:hAnsi="Times New Roman" w:eastAsia="仿宋_GB2312" w:cs="Times New Roman"/>
      <w:kern w:val="2"/>
      <w:sz w:val="28"/>
      <w:szCs w:val="28"/>
      <w:lang w:val="en-US" w:eastAsia="zh-CN" w:bidi="ar-SA"/>
    </w:rPr>
  </w:style>
  <w:style w:type="paragraph" w:customStyle="1" w:styleId="198">
    <w:name w:val="Level 4: (i)"/>
    <w:basedOn w:val="1"/>
    <w:autoRedefine/>
    <w:qFormat/>
    <w:uiPriority w:val="0"/>
    <w:pPr>
      <w:widowControl/>
      <w:numPr>
        <w:ilvl w:val="6"/>
        <w:numId w:val="6"/>
      </w:numPr>
      <w:tabs>
        <w:tab w:val="left" w:pos="1440"/>
        <w:tab w:val="clear" w:pos="1800"/>
      </w:tabs>
      <w:spacing w:before="72" w:after="72"/>
      <w:outlineLvl w:val="6"/>
    </w:pPr>
    <w:rPr>
      <w:rFonts w:ascii="Arial" w:hAnsi="Arial"/>
      <w:kern w:val="0"/>
      <w:sz w:val="20"/>
      <w:szCs w:val="20"/>
      <w:lang w:eastAsia="en-US"/>
    </w:rPr>
  </w:style>
  <w:style w:type="paragraph" w:customStyle="1" w:styleId="199">
    <w:name w:val="文档正文"/>
    <w:basedOn w:val="1"/>
    <w:autoRedefine/>
    <w:qFormat/>
    <w:uiPriority w:val="0"/>
    <w:rPr>
      <w:rFonts w:ascii="Arial" w:hAnsi="Arial" w:cs="Arial"/>
      <w:bCs/>
      <w:sz w:val="24"/>
    </w:rPr>
  </w:style>
  <w:style w:type="paragraph" w:customStyle="1" w:styleId="200">
    <w:name w:val="Tabletext"/>
    <w:basedOn w:val="1"/>
    <w:autoRedefine/>
    <w:qFormat/>
    <w:uiPriority w:val="0"/>
    <w:pPr>
      <w:keepLines/>
      <w:spacing w:after="120" w:line="240" w:lineRule="atLeast"/>
      <w:jc w:val="left"/>
    </w:pPr>
    <w:rPr>
      <w:kern w:val="0"/>
      <w:sz w:val="24"/>
      <w:szCs w:val="20"/>
      <w:lang w:eastAsia="en-US"/>
    </w:rPr>
  </w:style>
  <w:style w:type="paragraph" w:customStyle="1" w:styleId="201">
    <w:name w:val="标题3"/>
    <w:basedOn w:val="1"/>
    <w:next w:val="1"/>
    <w:autoRedefine/>
    <w:qFormat/>
    <w:uiPriority w:val="0"/>
    <w:pPr>
      <w:keepNext/>
      <w:keepLines/>
      <w:spacing w:before="156" w:beforeLines="50" w:after="156" w:afterLines="50" w:line="360" w:lineRule="auto"/>
      <w:outlineLvl w:val="2"/>
    </w:pPr>
    <w:rPr>
      <w:b/>
    </w:rPr>
  </w:style>
  <w:style w:type="paragraph" w:customStyle="1" w:styleId="202">
    <w:name w:val="Char Char Char Char Char Char Char Char1 Char"/>
    <w:basedOn w:val="1"/>
    <w:autoRedefine/>
    <w:qFormat/>
    <w:uiPriority w:val="0"/>
    <w:rPr>
      <w:szCs w:val="20"/>
    </w:rPr>
  </w:style>
  <w:style w:type="paragraph" w:customStyle="1" w:styleId="203">
    <w:name w:val="1 Char Char Char Char"/>
    <w:basedOn w:val="1"/>
    <w:autoRedefine/>
    <w:qFormat/>
    <w:uiPriority w:val="0"/>
    <w:rPr>
      <w:rFonts w:ascii="Tahoma" w:hAnsi="Tahoma" w:eastAsia="宋体"/>
      <w:sz w:val="24"/>
      <w:szCs w:val="20"/>
    </w:rPr>
  </w:style>
  <w:style w:type="paragraph" w:customStyle="1" w:styleId="204">
    <w:name w:val="Style Heading 3 + 11 pt Line spacing:  1.5 lines"/>
    <w:basedOn w:val="7"/>
    <w:autoRedefine/>
    <w:qFormat/>
    <w:uiPriority w:val="0"/>
    <w:pPr>
      <w:numPr>
        <w:numId w:val="0"/>
      </w:numPr>
      <w:tabs>
        <w:tab w:val="left" w:pos="1260"/>
      </w:tabs>
      <w:overflowPunct/>
      <w:autoSpaceDE/>
      <w:autoSpaceDN/>
      <w:adjustRightInd/>
      <w:spacing w:before="0" w:after="0" w:line="360" w:lineRule="auto"/>
      <w:ind w:left="236" w:leftChars="236"/>
      <w:jc w:val="both"/>
      <w:textAlignment w:val="auto"/>
    </w:pPr>
    <w:rPr>
      <w:rFonts w:eastAsia="黑体"/>
      <w:bCs/>
      <w:sz w:val="28"/>
    </w:rPr>
  </w:style>
  <w:style w:type="paragraph" w:customStyle="1" w:styleId="205">
    <w:name w:val="Char11"/>
    <w:basedOn w:val="1"/>
    <w:autoRedefine/>
    <w:qFormat/>
    <w:uiPriority w:val="0"/>
    <w:rPr>
      <w:rFonts w:ascii="Tahoma" w:hAnsi="Tahoma"/>
      <w:sz w:val="24"/>
      <w:szCs w:val="20"/>
    </w:rPr>
  </w:style>
  <w:style w:type="paragraph" w:customStyle="1" w:styleId="206">
    <w:name w:val="Style Left:  0.81&quot; First line:  0&quot; Line spacing:  1.5 lines Char"/>
    <w:basedOn w:val="1"/>
    <w:autoRedefine/>
    <w:qFormat/>
    <w:uiPriority w:val="0"/>
    <w:pPr>
      <w:widowControl/>
      <w:spacing w:line="360" w:lineRule="auto"/>
      <w:ind w:left="1152"/>
    </w:pPr>
    <w:rPr>
      <w:kern w:val="0"/>
      <w:sz w:val="24"/>
      <w:szCs w:val="20"/>
      <w:lang w:eastAsia="en-US"/>
    </w:rPr>
  </w:style>
  <w:style w:type="paragraph" w:customStyle="1" w:styleId="207">
    <w:name w:val="Achievement"/>
    <w:basedOn w:val="2"/>
    <w:autoRedefine/>
    <w:qFormat/>
    <w:uiPriority w:val="0"/>
    <w:pPr>
      <w:widowControl/>
      <w:numPr>
        <w:ilvl w:val="0"/>
        <w:numId w:val="11"/>
      </w:numPr>
      <w:tabs>
        <w:tab w:val="left" w:pos="840"/>
        <w:tab w:val="clear" w:pos="360"/>
      </w:tabs>
      <w:spacing w:after="60" w:line="220" w:lineRule="atLeast"/>
      <w:ind w:left="840" w:hanging="420"/>
    </w:pPr>
    <w:rPr>
      <w:rFonts w:ascii="Arial" w:hAnsi="Arial"/>
      <w:spacing w:val="-5"/>
      <w:kern w:val="0"/>
      <w:sz w:val="20"/>
      <w:szCs w:val="20"/>
    </w:rPr>
  </w:style>
  <w:style w:type="paragraph" w:customStyle="1" w:styleId="208">
    <w:name w:val="标题 3.1"/>
    <w:basedOn w:val="7"/>
    <w:autoRedefine/>
    <w:qFormat/>
    <w:uiPriority w:val="0"/>
    <w:pPr>
      <w:keepLines/>
      <w:widowControl w:val="0"/>
      <w:numPr>
        <w:numId w:val="0"/>
      </w:numPr>
      <w:tabs>
        <w:tab w:val="left" w:pos="5614"/>
      </w:tabs>
      <w:overflowPunct/>
      <w:autoSpaceDE/>
      <w:autoSpaceDN/>
      <w:adjustRightInd/>
      <w:spacing w:before="260" w:after="260" w:line="600" w:lineRule="exact"/>
      <w:jc w:val="both"/>
      <w:textAlignment w:val="auto"/>
    </w:pPr>
    <w:rPr>
      <w:b/>
      <w:bCs/>
      <w:kern w:val="2"/>
      <w:sz w:val="36"/>
      <w:szCs w:val="32"/>
    </w:rPr>
  </w:style>
  <w:style w:type="paragraph" w:customStyle="1" w:styleId="209">
    <w:name w:val="TOC 标题1"/>
    <w:basedOn w:val="5"/>
    <w:next w:val="1"/>
    <w:autoRedefine/>
    <w:qFormat/>
    <w:uiPriority w:val="39"/>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customStyle="1" w:styleId="210">
    <w:name w:val="BodyText"/>
    <w:basedOn w:val="1"/>
    <w:autoRedefine/>
    <w:qFormat/>
    <w:uiPriority w:val="0"/>
    <w:pPr>
      <w:widowControl/>
      <w:spacing w:after="120"/>
      <w:jc w:val="left"/>
    </w:pPr>
    <w:rPr>
      <w:rFonts w:ascii="FuturaA Bk BT" w:hAnsi="FuturaA Bk BT"/>
      <w:kern w:val="0"/>
      <w:sz w:val="20"/>
      <w:szCs w:val="20"/>
    </w:rPr>
  </w:style>
  <w:style w:type="paragraph" w:customStyle="1" w:styleId="211">
    <w:name w:val="纯文本1"/>
    <w:basedOn w:val="1"/>
    <w:autoRedefine/>
    <w:qFormat/>
    <w:uiPriority w:val="0"/>
    <w:pPr>
      <w:adjustRightInd w:val="0"/>
      <w:spacing w:before="50"/>
      <w:jc w:val="left"/>
      <w:textAlignment w:val="baseline"/>
    </w:pPr>
    <w:rPr>
      <w:rFonts w:ascii="宋体" w:hAnsi="Courier New" w:eastAsia="宋体"/>
      <w:sz w:val="24"/>
      <w:szCs w:val="20"/>
    </w:rPr>
  </w:style>
  <w:style w:type="paragraph" w:styleId="212">
    <w:name w:val="No Spacing"/>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213">
    <w:name w:val="标题4"/>
    <w:basedOn w:val="138"/>
    <w:autoRedefine/>
    <w:qFormat/>
    <w:uiPriority w:val="0"/>
    <w:pPr>
      <w:spacing w:line="540" w:lineRule="exact"/>
      <w:ind w:firstLine="0" w:firstLineChars="0"/>
    </w:pPr>
    <w:rPr>
      <w:rFonts w:hAnsi="Times New Roman"/>
      <w:szCs w:val="24"/>
    </w:rPr>
  </w:style>
  <w:style w:type="paragraph" w:customStyle="1" w:styleId="214">
    <w:name w:val="正文无缩进"/>
    <w:basedOn w:val="138"/>
    <w:autoRedefine/>
    <w:qFormat/>
    <w:uiPriority w:val="0"/>
    <w:pPr>
      <w:ind w:firstLine="0" w:firstLineChars="0"/>
    </w:pPr>
  </w:style>
  <w:style w:type="paragraph" w:customStyle="1" w:styleId="215">
    <w:name w:val="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216">
    <w:name w:val="Level 5: (1)"/>
    <w:basedOn w:val="1"/>
    <w:autoRedefine/>
    <w:qFormat/>
    <w:uiPriority w:val="0"/>
    <w:pPr>
      <w:widowControl/>
      <w:numPr>
        <w:ilvl w:val="7"/>
        <w:numId w:val="6"/>
      </w:numPr>
      <w:spacing w:before="72" w:after="72"/>
      <w:outlineLvl w:val="7"/>
    </w:pPr>
    <w:rPr>
      <w:rFonts w:ascii="Arial" w:hAnsi="Arial"/>
      <w:kern w:val="0"/>
      <w:sz w:val="20"/>
      <w:szCs w:val="20"/>
      <w:lang w:eastAsia="en-US"/>
    </w:rPr>
  </w:style>
  <w:style w:type="paragraph" w:customStyle="1" w:styleId="217">
    <w:name w:val="三级目录"/>
    <w:next w:val="1"/>
    <w:autoRedefine/>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8">
    <w:name w:val="Char Char"/>
    <w:basedOn w:val="1"/>
    <w:autoRedefine/>
    <w:qFormat/>
    <w:uiPriority w:val="0"/>
    <w:rPr>
      <w:b/>
      <w:sz w:val="32"/>
      <w:szCs w:val="32"/>
    </w:rPr>
  </w:style>
  <w:style w:type="paragraph" w:customStyle="1" w:styleId="219">
    <w:name w:val="Char1"/>
    <w:basedOn w:val="1"/>
    <w:autoRedefine/>
    <w:qFormat/>
    <w:uiPriority w:val="0"/>
    <w:pPr>
      <w:widowControl/>
      <w:spacing w:after="160" w:line="240" w:lineRule="exact"/>
      <w:jc w:val="left"/>
    </w:pPr>
    <w:rPr>
      <w:rFonts w:ascii="Verdana" w:hAnsi="Verdana"/>
      <w:kern w:val="0"/>
      <w:sz w:val="24"/>
      <w:szCs w:val="20"/>
      <w:lang w:eastAsia="en-US"/>
    </w:rPr>
  </w:style>
  <w:style w:type="paragraph" w:customStyle="1" w:styleId="220">
    <w:name w:val="tabletextchar"/>
    <w:basedOn w:val="1"/>
    <w:autoRedefine/>
    <w:qFormat/>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221">
    <w:name w:val="Reset levels"/>
    <w:basedOn w:val="1"/>
    <w:autoRedefine/>
    <w:qFormat/>
    <w:uiPriority w:val="0"/>
    <w:pPr>
      <w:widowControl/>
      <w:numPr>
        <w:ilvl w:val="0"/>
        <w:numId w:val="6"/>
      </w:numPr>
      <w:jc w:val="left"/>
    </w:pPr>
    <w:rPr>
      <w:rFonts w:ascii="Arial" w:hAnsi="Arial"/>
      <w:b/>
      <w:kern w:val="0"/>
      <w:sz w:val="24"/>
      <w:szCs w:val="20"/>
      <w:lang w:eastAsia="en-US"/>
    </w:rPr>
  </w:style>
  <w:style w:type="paragraph" w:customStyle="1" w:styleId="222">
    <w:name w:val="Char2"/>
    <w:basedOn w:val="1"/>
    <w:autoRedefine/>
    <w:qFormat/>
    <w:uiPriority w:val="0"/>
    <w:rPr>
      <w:b/>
      <w:sz w:val="32"/>
      <w:szCs w:val="32"/>
    </w:rPr>
  </w:style>
  <w:style w:type="paragraph" w:customStyle="1" w:styleId="223">
    <w:name w:val="Style Body Text Indent 2 + 11 pt Line spacing:  1.5 lines"/>
    <w:basedOn w:val="38"/>
    <w:autoRedefine/>
    <w:qFormat/>
    <w:uiPriority w:val="0"/>
    <w:pPr>
      <w:widowControl/>
      <w:tabs>
        <w:tab w:val="left" w:pos="900"/>
      </w:tabs>
      <w:autoSpaceDE/>
      <w:autoSpaceDN/>
      <w:adjustRightInd/>
      <w:spacing w:line="360" w:lineRule="auto"/>
      <w:ind w:left="0" w:firstLine="0"/>
    </w:pPr>
    <w:rPr>
      <w:rFonts w:ascii="宋体" w:hAnsi="宋体" w:eastAsia="宋体"/>
      <w:kern w:val="0"/>
      <w:sz w:val="22"/>
      <w:szCs w:val="20"/>
      <w:lang w:val="en-GB"/>
    </w:rPr>
  </w:style>
  <w:style w:type="paragraph" w:customStyle="1" w:styleId="224">
    <w:name w:val="项目"/>
    <w:basedOn w:val="2"/>
    <w:next w:val="2"/>
    <w:autoRedefine/>
    <w:qFormat/>
    <w:uiPriority w:val="0"/>
    <w:pPr>
      <w:numPr>
        <w:ilvl w:val="0"/>
        <w:numId w:val="12"/>
      </w:numPr>
      <w:tabs>
        <w:tab w:val="left" w:pos="420"/>
        <w:tab w:val="clear" w:pos="902"/>
      </w:tabs>
      <w:spacing w:after="0" w:line="360" w:lineRule="auto"/>
      <w:ind w:left="420"/>
    </w:pPr>
    <w:rPr>
      <w:rFonts w:ascii="Times New Roman" w:hAnsi="Times New Roman"/>
      <w:kern w:val="0"/>
      <w:sz w:val="24"/>
      <w:szCs w:val="20"/>
    </w:rPr>
  </w:style>
  <w:style w:type="paragraph" w:customStyle="1" w:styleId="225">
    <w:name w:val="kx"/>
    <w:basedOn w:val="1"/>
    <w:autoRedefine/>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226">
    <w:name w:val="条目2"/>
    <w:basedOn w:val="34"/>
    <w:autoRedefine/>
    <w:qFormat/>
    <w:uiPriority w:val="0"/>
    <w:pPr>
      <w:widowControl w:val="0"/>
      <w:numPr>
        <w:ilvl w:val="0"/>
        <w:numId w:val="13"/>
      </w:numPr>
      <w:overflowPunct/>
      <w:autoSpaceDE/>
      <w:autoSpaceDN/>
      <w:adjustRightInd/>
      <w:spacing w:line="360" w:lineRule="auto"/>
      <w:jc w:val="both"/>
      <w:textAlignment w:val="auto"/>
    </w:pPr>
    <w:rPr>
      <w:rFonts w:cs="Courier New"/>
      <w:color w:val="000000"/>
      <w:kern w:val="2"/>
      <w:sz w:val="24"/>
      <w:szCs w:val="21"/>
    </w:rPr>
  </w:style>
  <w:style w:type="paragraph" w:customStyle="1" w:styleId="227">
    <w:name w:val="1.1.1Head2"/>
    <w:autoRedefine/>
    <w:qFormat/>
    <w:uiPriority w:val="0"/>
    <w:pPr>
      <w:numPr>
        <w:ilvl w:val="2"/>
        <w:numId w:val="14"/>
      </w:numPr>
      <w:spacing w:before="28" w:after="28"/>
      <w:outlineLvl w:val="2"/>
    </w:pPr>
    <w:rPr>
      <w:rFonts w:ascii="Arial" w:hAnsi="Arial" w:eastAsia="宋体" w:cs="Times New Roman"/>
      <w:b/>
      <w:lang w:val="en-US" w:eastAsia="en-US" w:bidi="ar-SA"/>
    </w:rPr>
  </w:style>
  <w:style w:type="paragraph" w:customStyle="1" w:styleId="228">
    <w:name w:val="Char Char Char Char Char Char Char Char Char Char Char Char Char"/>
    <w:basedOn w:val="1"/>
    <w:autoRedefine/>
    <w:qFormat/>
    <w:uiPriority w:val="0"/>
    <w:rPr>
      <w:rFonts w:ascii="Tahoma" w:hAnsi="Tahoma" w:eastAsia="宋体"/>
      <w:sz w:val="24"/>
      <w:szCs w:val="20"/>
    </w:rPr>
  </w:style>
  <w:style w:type="paragraph" w:customStyle="1" w:styleId="229">
    <w:name w:val="_Style 2"/>
    <w:basedOn w:val="1"/>
    <w:autoRedefine/>
    <w:qFormat/>
    <w:uiPriority w:val="34"/>
    <w:pPr>
      <w:ind w:firstLine="420" w:firstLineChars="200"/>
    </w:pPr>
  </w:style>
  <w:style w:type="paragraph" w:customStyle="1" w:styleId="230">
    <w:name w:val="样式 标题 5 + 右侧:  -0.18 字符"/>
    <w:basedOn w:val="1"/>
    <w:autoRedefine/>
    <w:qFormat/>
    <w:uiPriority w:val="0"/>
    <w:pPr>
      <w:tabs>
        <w:tab w:val="left" w:pos="720"/>
        <w:tab w:val="left" w:pos="1008"/>
      </w:tabs>
      <w:ind w:left="720" w:hanging="360"/>
    </w:pPr>
    <w:rPr>
      <w:rFonts w:ascii="Times New Roman" w:eastAsia="宋体"/>
      <w:sz w:val="21"/>
      <w:szCs w:val="24"/>
    </w:rPr>
  </w:style>
  <w:style w:type="paragraph" w:customStyle="1" w:styleId="231">
    <w:name w:val="样式5"/>
    <w:basedOn w:val="1"/>
    <w:autoRedefine/>
    <w:qFormat/>
    <w:uiPriority w:val="99"/>
    <w:pPr>
      <w:numPr>
        <w:ilvl w:val="0"/>
        <w:numId w:val="15"/>
      </w:numPr>
      <w:tabs>
        <w:tab w:val="left" w:pos="709"/>
        <w:tab w:val="left" w:pos="851"/>
        <w:tab w:val="left" w:pos="993"/>
      </w:tabs>
      <w:wordWrap w:val="0"/>
      <w:spacing w:line="360" w:lineRule="auto"/>
      <w:ind w:left="0" w:firstLine="0"/>
    </w:pPr>
    <w:rPr>
      <w:rFonts w:ascii="Times New Roman" w:eastAsia="宋体"/>
      <w:color w:val="000000"/>
      <w:sz w:val="24"/>
      <w:szCs w:val="24"/>
    </w:rPr>
  </w:style>
  <w:style w:type="paragraph" w:customStyle="1" w:styleId="232">
    <w:name w:val="kp"/>
    <w:basedOn w:val="1"/>
    <w:autoRedefine/>
    <w:qFormat/>
    <w:uiPriority w:val="0"/>
    <w:pPr>
      <w:autoSpaceDE w:val="0"/>
      <w:autoSpaceDN w:val="0"/>
      <w:adjustRightInd w:val="0"/>
      <w:spacing w:line="600" w:lineRule="exact"/>
      <w:ind w:firstLine="560"/>
    </w:pPr>
    <w:rPr>
      <w:lang w:val="zh-CN"/>
    </w:rPr>
  </w:style>
  <w:style w:type="paragraph" w:customStyle="1" w:styleId="233">
    <w:name w:val="RFI List 2"/>
    <w:basedOn w:val="186"/>
    <w:autoRedefine/>
    <w:qFormat/>
    <w:uiPriority w:val="0"/>
    <w:pPr>
      <w:numPr>
        <w:numId w:val="16"/>
      </w:numPr>
      <w:tabs>
        <w:tab w:val="left" w:pos="2304"/>
        <w:tab w:val="clear" w:pos="360"/>
        <w:tab w:val="clear" w:pos="1800"/>
      </w:tabs>
      <w:ind w:left="720" w:hanging="720"/>
    </w:pPr>
    <w:rPr>
      <w:rFonts w:eastAsia="Times New Roman"/>
      <w:b w:val="0"/>
      <w:bCs/>
    </w:rPr>
  </w:style>
  <w:style w:type="paragraph" w:customStyle="1" w:styleId="234">
    <w:name w:val="RFI Heading 1st Level"/>
    <w:basedOn w:val="1"/>
    <w:autoRedefine/>
    <w:qFormat/>
    <w:uiPriority w:val="0"/>
    <w:pPr>
      <w:widowControl/>
      <w:spacing w:before="120" w:after="240"/>
      <w:jc w:val="left"/>
    </w:pPr>
    <w:rPr>
      <w:rFonts w:ascii="Arial (W1)" w:hAnsi="Arial (W1)"/>
      <w:b/>
      <w:bCs/>
      <w:color w:val="0000FF"/>
      <w:kern w:val="0"/>
      <w:sz w:val="32"/>
      <w:lang w:val="en-GB"/>
    </w:rPr>
  </w:style>
  <w:style w:type="table" w:customStyle="1" w:styleId="235">
    <w:name w:val="网格型2"/>
    <w:basedOn w:val="61"/>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
    <w:name w:val="网格型3"/>
    <w:basedOn w:val="61"/>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
    <w:name w:val="网格型1"/>
    <w:basedOn w:val="61"/>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38">
    <w:name w:val="无"/>
    <w:autoRedefine/>
    <w:qFormat/>
    <w:uiPriority w:val="0"/>
    <w:rPr>
      <w:rFonts w:ascii="Times New Roman" w:hAnsi="Times New Roman" w:eastAsia="宋体" w:cs="Times New Roman"/>
    </w:rPr>
  </w:style>
  <w:style w:type="paragraph" w:customStyle="1" w:styleId="239">
    <w:name w:val="正文_3"/>
    <w:autoRedefine/>
    <w:qFormat/>
    <w:uiPriority w:val="1"/>
    <w:pPr>
      <w:jc w:val="both"/>
    </w:pPr>
    <w:rPr>
      <w:rFonts w:ascii="Times New Roman" w:hAnsi="Times New Roman" w:eastAsia="宋体" w:cs="Times New Roman"/>
      <w:sz w:val="21"/>
      <w:szCs w:val="21"/>
      <w:lang w:val="en-US" w:eastAsia="zh-CN" w:bidi="ar-SA"/>
    </w:rPr>
  </w:style>
  <w:style w:type="paragraph" w:customStyle="1" w:styleId="240">
    <w:name w:val="Body text|1"/>
    <w:basedOn w:val="1"/>
    <w:autoRedefine/>
    <w:qFormat/>
    <w:uiPriority w:val="0"/>
    <w:pPr>
      <w:spacing w:line="418" w:lineRule="auto"/>
      <w:ind w:firstLine="400"/>
    </w:pPr>
    <w:rPr>
      <w:rFonts w:ascii="宋体" w:hAnsi="宋体" w:eastAsia="宋体" w:cs="宋体"/>
      <w:lang w:val="zh-TW" w:eastAsia="zh-TW" w:bidi="zh-TW"/>
    </w:rPr>
  </w:style>
  <w:style w:type="paragraph" w:customStyle="1" w:styleId="241">
    <w:name w:val="Other|1"/>
    <w:basedOn w:val="1"/>
    <w:autoRedefine/>
    <w:qFormat/>
    <w:uiPriority w:val="99"/>
    <w:pPr>
      <w:spacing w:line="418" w:lineRule="auto"/>
      <w:ind w:firstLine="400"/>
    </w:pPr>
    <w:rPr>
      <w:rFonts w:ascii="宋体" w:hAnsi="宋体" w:cs="宋体"/>
    </w:rPr>
  </w:style>
  <w:style w:type="paragraph" w:customStyle="1" w:styleId="242">
    <w:name w:val="Table caption|1"/>
    <w:basedOn w:val="1"/>
    <w:autoRedefine/>
    <w:qFormat/>
    <w:uiPriority w:val="99"/>
    <w:pPr>
      <w:spacing w:line="552" w:lineRule="exact"/>
      <w:ind w:firstLine="600"/>
    </w:pPr>
    <w:rPr>
      <w:rFonts w:ascii="宋体" w:hAnsi="宋体" w:cs="宋体"/>
      <w:lang w:val="zh-TW" w:eastAsia="zh-TW"/>
    </w:rPr>
  </w:style>
  <w:style w:type="paragraph" w:customStyle="1" w:styleId="243">
    <w:name w:val="纯文本2"/>
    <w:basedOn w:val="1"/>
    <w:autoRedefine/>
    <w:qFormat/>
    <w:uiPriority w:val="0"/>
    <w:rPr>
      <w:rFonts w:ascii="宋体" w:hAnsi="Courier New"/>
    </w:rPr>
  </w:style>
  <w:style w:type="paragraph" w:customStyle="1" w:styleId="244">
    <w:name w:val="Fließtext"/>
    <w:basedOn w:val="1"/>
    <w:autoRedefine/>
    <w:qFormat/>
    <w:uiPriority w:val="0"/>
    <w:pPr>
      <w:overflowPunct w:val="0"/>
      <w:autoSpaceDE w:val="0"/>
      <w:autoSpaceDN w:val="0"/>
      <w:adjustRightInd w:val="0"/>
      <w:textAlignment w:val="baseline"/>
    </w:pPr>
    <w:rPr>
      <w:kern w:val="28"/>
      <w:szCs w:val="20"/>
    </w:rPr>
  </w:style>
  <w:style w:type="table" w:customStyle="1" w:styleId="245">
    <w:name w:val="Table Normal"/>
    <w:autoRedefine/>
    <w:unhideWhenUsed/>
    <w:qFormat/>
    <w:uiPriority w:val="0"/>
    <w:tblPr>
      <w:tblCellMar>
        <w:top w:w="0" w:type="dxa"/>
        <w:left w:w="0" w:type="dxa"/>
        <w:bottom w:w="0" w:type="dxa"/>
        <w:right w:w="0" w:type="dxa"/>
      </w:tblCellMar>
    </w:tblPr>
  </w:style>
  <w:style w:type="character" w:customStyle="1" w:styleId="246">
    <w:name w:val="font21"/>
    <w:basedOn w:val="65"/>
    <w:autoRedefine/>
    <w:qFormat/>
    <w:uiPriority w:val="0"/>
    <w:rPr>
      <w:rFonts w:hint="eastAsia" w:ascii="宋体" w:hAnsi="宋体" w:eastAsia="宋体" w:cs="宋体"/>
      <w:color w:val="000000"/>
      <w:sz w:val="20"/>
      <w:szCs w:val="20"/>
      <w:u w:val="none"/>
      <w:vertAlign w:val="subscript"/>
    </w:rPr>
  </w:style>
  <w:style w:type="character" w:customStyle="1" w:styleId="247">
    <w:name w:val="font41"/>
    <w:basedOn w:val="65"/>
    <w:autoRedefine/>
    <w:qFormat/>
    <w:uiPriority w:val="0"/>
    <w:rPr>
      <w:rFonts w:hint="eastAsia" w:ascii="宋体" w:hAnsi="宋体" w:eastAsia="宋体" w:cs="宋体"/>
      <w:color w:val="000000"/>
      <w:sz w:val="20"/>
      <w:szCs w:val="20"/>
      <w:u w:val="none"/>
      <w:vertAlign w:val="superscript"/>
    </w:rPr>
  </w:style>
  <w:style w:type="character" w:customStyle="1" w:styleId="248">
    <w:name w:val="font31"/>
    <w:basedOn w:val="65"/>
    <w:autoRedefine/>
    <w:qFormat/>
    <w:uiPriority w:val="0"/>
    <w:rPr>
      <w:rFonts w:hint="eastAsia" w:ascii="宋体" w:hAnsi="宋体" w:eastAsia="宋体" w:cs="宋体"/>
      <w:color w:val="000000"/>
      <w:sz w:val="24"/>
      <w:szCs w:val="24"/>
      <w:u w:val="none"/>
    </w:rPr>
  </w:style>
  <w:style w:type="paragraph" w:customStyle="1" w:styleId="249">
    <w:name w:val="Body Text First Indent 21"/>
    <w:basedOn w:val="250"/>
    <w:autoRedefine/>
    <w:qFormat/>
    <w:uiPriority w:val="0"/>
    <w:pPr>
      <w:spacing w:after="120" w:line="240" w:lineRule="auto"/>
      <w:ind w:left="420" w:leftChars="200" w:firstLine="420" w:firstLineChars="200"/>
    </w:pPr>
    <w:rPr>
      <w:rFonts w:ascii="等线" w:hAnsi="等线" w:eastAsia="等线"/>
      <w:sz w:val="21"/>
    </w:rPr>
  </w:style>
  <w:style w:type="paragraph" w:customStyle="1" w:styleId="250">
    <w:name w:val="Body Text Indent1"/>
    <w:basedOn w:val="1"/>
    <w:autoRedefine/>
    <w:qFormat/>
    <w:uiPriority w:val="0"/>
    <w:pPr>
      <w:spacing w:line="360" w:lineRule="auto"/>
      <w:ind w:firstLine="435"/>
    </w:pPr>
    <w:rPr>
      <w:szCs w:val="24"/>
    </w:rPr>
  </w:style>
  <w:style w:type="paragraph" w:customStyle="1" w:styleId="251">
    <w:name w:val="Normal Indent1"/>
    <w:basedOn w:val="1"/>
    <w:autoRedefine/>
    <w:qFormat/>
    <w:uiPriority w:val="0"/>
    <w:pPr>
      <w:widowControl/>
      <w:ind w:firstLine="420"/>
      <w:jc w:val="left"/>
    </w:pPr>
    <w:rPr>
      <w:kern w:val="0"/>
      <w:szCs w:val="20"/>
    </w:rPr>
  </w:style>
  <w:style w:type="paragraph" w:customStyle="1" w:styleId="252">
    <w:name w:val="正文缩进1"/>
    <w:basedOn w:val="1"/>
    <w:autoRedefine/>
    <w:qFormat/>
    <w:uiPriority w:val="0"/>
    <w:pPr>
      <w:widowControl/>
      <w:ind w:firstLine="420"/>
      <w:jc w:val="left"/>
    </w:pPr>
    <w:rPr>
      <w:kern w:val="0"/>
      <w:szCs w:val="20"/>
    </w:rPr>
  </w:style>
  <w:style w:type="character" w:customStyle="1" w:styleId="253">
    <w:name w:val="UserStyle_94"/>
    <w:basedOn w:val="254"/>
    <w:autoRedefine/>
    <w:qFormat/>
    <w:uiPriority w:val="0"/>
    <w:rPr>
      <w:rFonts w:ascii="宋体" w:hAnsi="宋体" w:eastAsia="宋体"/>
      <w:sz w:val="21"/>
      <w:szCs w:val="21"/>
      <w:lang w:val="en-US" w:eastAsia="zh-CN" w:bidi="ar-SA"/>
    </w:rPr>
  </w:style>
  <w:style w:type="character" w:customStyle="1" w:styleId="254">
    <w:name w:val="NormalCharacter"/>
    <w:autoRedefine/>
    <w:qFormat/>
    <w:uiPriority w:val="0"/>
    <w:rPr>
      <w:rFonts w:ascii="Times New Roman" w:hAnsi="Times New Roman" w:eastAsia="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84972-CE63-425F-A263-8E0938A82DB2}">
  <ds:schemaRefs/>
</ds:datastoreItem>
</file>

<file path=docProps/app.xml><?xml version="1.0" encoding="utf-8"?>
<Properties xmlns="http://schemas.openxmlformats.org/officeDocument/2006/extended-properties" xmlns:vt="http://schemas.openxmlformats.org/officeDocument/2006/docPropsVTypes">
  <Template>Normal</Template>
  <Pages>102</Pages>
  <Words>11698</Words>
  <Characters>66685</Characters>
  <Lines>555</Lines>
  <Paragraphs>156</Paragraphs>
  <TotalTime>2</TotalTime>
  <ScaleCrop>false</ScaleCrop>
  <LinksUpToDate>false</LinksUpToDate>
  <CharactersWithSpaces>78227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2023-10-31T08:35:00Z</dcterms:created>
  <dc:creator>衢州市档案局 程军</dc:creator>
  <cp:lastModifiedBy>zhm</cp:lastModifiedBy>
  <cp:lastPrinted>2023-10-27T08:08:00Z</cp:lastPrinted>
  <dcterms:modified xsi:type="dcterms:W3CDTF">2023-12-18T11:20:12Z</dcterms:modified>
  <dc:title>馆藏档案数字化招标文件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BDBB7050E6D34B238048AB68E64648CA_13</vt:lpwstr>
  </property>
</Properties>
</file>