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00" w:lineRule="exact"/>
        <w:jc w:val="center"/>
        <w:rPr>
          <w:rFonts w:ascii="黑体" w:eastAsia="黑体"/>
          <w:color w:val="000000" w:themeColor="text1"/>
          <w:sz w:val="72"/>
          <w:szCs w:val="72"/>
          <w:highlight w:val="none"/>
          <w14:textFill>
            <w14:solidFill>
              <w14:schemeClr w14:val="tx1"/>
            </w14:solidFill>
          </w14:textFill>
        </w:rPr>
      </w:pPr>
    </w:p>
    <w:p>
      <w:pPr>
        <w:spacing w:line="900" w:lineRule="exact"/>
        <w:jc w:val="center"/>
        <w:rPr>
          <w:rFonts w:hint="eastAsia" w:ascii="宋体" w:hAnsi="宋体" w:eastAsia="宋体"/>
          <w:b/>
          <w:bCs w:val="0"/>
          <w:color w:val="000000" w:themeColor="text1"/>
          <w:sz w:val="36"/>
          <w:szCs w:val="36"/>
          <w:highlight w:val="none"/>
          <w:lang w:eastAsia="zh-CN"/>
          <w14:textFill>
            <w14:solidFill>
              <w14:schemeClr w14:val="tx1"/>
            </w14:solidFill>
          </w14:textFill>
        </w:rPr>
      </w:pPr>
      <w:r>
        <w:rPr>
          <w:rFonts w:hint="eastAsia" w:ascii="宋体" w:hAnsi="宋体"/>
          <w:b/>
          <w:bCs w:val="0"/>
          <w:color w:val="000000" w:themeColor="text1"/>
          <w:sz w:val="36"/>
          <w:szCs w:val="36"/>
          <w:highlight w:val="none"/>
          <w:lang w:eastAsia="zh-CN"/>
          <w14:textFill>
            <w14:solidFill>
              <w14:schemeClr w14:val="tx1"/>
            </w14:solidFill>
          </w14:textFill>
        </w:rPr>
        <w:t>柯城区百家塘片区集体土地房屋征收</w:t>
      </w:r>
      <w:r>
        <w:rPr>
          <w:rFonts w:hint="eastAsia" w:ascii="宋体" w:hAnsi="宋体"/>
          <w:b/>
          <w:bCs w:val="0"/>
          <w:color w:val="000000" w:themeColor="text1"/>
          <w:sz w:val="36"/>
          <w:szCs w:val="36"/>
          <w:highlight w:val="none"/>
          <w:lang w:eastAsia="zh-CN"/>
          <w14:textFill>
            <w14:solidFill>
              <w14:schemeClr w14:val="tx1"/>
            </w14:solidFill>
          </w14:textFill>
        </w:rPr>
        <w:t>评估服务采购项目</w:t>
      </w:r>
    </w:p>
    <w:p>
      <w:pPr>
        <w:spacing w:line="900" w:lineRule="exact"/>
        <w:jc w:val="center"/>
        <w:rPr>
          <w:rFonts w:ascii="宋体" w:hAnsi="宋体"/>
          <w:bCs/>
          <w:color w:val="000000" w:themeColor="text1"/>
          <w:sz w:val="52"/>
          <w:szCs w:val="52"/>
          <w:highlight w:val="none"/>
          <w14:textFill>
            <w14:solidFill>
              <w14:schemeClr w14:val="tx1"/>
            </w14:solidFill>
          </w14:textFill>
        </w:rPr>
      </w:pPr>
    </w:p>
    <w:p>
      <w:pPr>
        <w:pStyle w:val="2"/>
      </w:pPr>
    </w:p>
    <w:p>
      <w:pPr>
        <w:spacing w:line="1140" w:lineRule="exact"/>
        <w:jc w:val="center"/>
        <w:rPr>
          <w:rFonts w:ascii="宋体" w:hAnsi="宋体"/>
          <w:b/>
          <w:color w:val="000000" w:themeColor="text1"/>
          <w:sz w:val="52"/>
          <w:szCs w:val="52"/>
          <w:highlight w:val="none"/>
          <w14:textFill>
            <w14:solidFill>
              <w14:schemeClr w14:val="tx1"/>
            </w14:solidFill>
          </w14:textFill>
        </w:rPr>
      </w:pPr>
      <w:r>
        <w:rPr>
          <w:rFonts w:hint="eastAsia" w:ascii="宋体" w:hAnsi="宋体"/>
          <w:b/>
          <w:color w:val="000000" w:themeColor="text1"/>
          <w:sz w:val="52"/>
          <w:szCs w:val="52"/>
          <w:highlight w:val="none"/>
          <w14:textFill>
            <w14:solidFill>
              <w14:schemeClr w14:val="tx1"/>
            </w14:solidFill>
          </w14:textFill>
        </w:rPr>
        <w:t>公开招标采购文件</w:t>
      </w: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bookmarkStart w:id="7" w:name="_GoBack"/>
      <w:bookmarkEnd w:id="7"/>
    </w:p>
    <w:p>
      <w:pPr>
        <w:widowControl/>
        <w:spacing w:line="360" w:lineRule="auto"/>
        <w:ind w:right="-2"/>
        <w:jc w:val="center"/>
        <w:rPr>
          <w:rFonts w:ascii="仿宋" w:hAnsi="仿宋" w:eastAsia="仿宋" w:cs="仿宋"/>
          <w:b/>
          <w:color w:val="000000" w:themeColor="text1"/>
          <w:sz w:val="44"/>
          <w:szCs w:val="44"/>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（线上电子招投标）</w:t>
      </w: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ind w:right="840" w:rightChars="400" w:firstLine="960" w:firstLineChars="300"/>
        <w:jc w:val="left"/>
        <w:rPr>
          <w:rFonts w:ascii="宋体" w:hAnsi="宋体"/>
          <w:color w:val="000000" w:themeColor="text1"/>
          <w:sz w:val="32"/>
          <w:szCs w:val="32"/>
          <w:highlight w:val="none"/>
          <w14:textFill>
            <w14:solidFill>
              <w14:schemeClr w14:val="tx1"/>
            </w14:solidFill>
          </w14:textFill>
        </w:rPr>
      </w:pPr>
    </w:p>
    <w:p>
      <w:pPr>
        <w:ind w:right="840" w:rightChars="400" w:firstLine="964" w:firstLineChars="300"/>
        <w:jc w:val="left"/>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项目编号：ZJZH20210202</w:t>
      </w:r>
    </w:p>
    <w:p>
      <w:pPr>
        <w:rPr>
          <w:rFonts w:ascii="宋体" w:hAnsi="宋体"/>
          <w:b/>
          <w:bCs/>
          <w:color w:val="000000" w:themeColor="text1"/>
          <w:highlight w:val="none"/>
          <w14:textFill>
            <w14:solidFill>
              <w14:schemeClr w14:val="tx1"/>
            </w14:solidFill>
          </w14:textFill>
        </w:rPr>
      </w:pPr>
    </w:p>
    <w:p>
      <w:pPr>
        <w:rPr>
          <w:rFonts w:ascii="宋体" w:hAnsi="宋体"/>
          <w:b/>
          <w:bCs/>
          <w:color w:val="000000" w:themeColor="text1"/>
          <w:highlight w:val="none"/>
          <w14:textFill>
            <w14:solidFill>
              <w14:schemeClr w14:val="tx1"/>
            </w14:solidFill>
          </w14:textFill>
        </w:rPr>
      </w:pPr>
    </w:p>
    <w:p>
      <w:pPr>
        <w:rPr>
          <w:rFonts w:ascii="宋体" w:hAnsi="宋体"/>
          <w:b/>
          <w:bCs/>
          <w:color w:val="000000" w:themeColor="text1"/>
          <w:highlight w:val="none"/>
          <w14:textFill>
            <w14:solidFill>
              <w14:schemeClr w14:val="tx1"/>
            </w14:solidFill>
          </w14:textFill>
        </w:rPr>
      </w:pPr>
    </w:p>
    <w:p>
      <w:pPr>
        <w:ind w:firstLine="892" w:firstLineChars="300"/>
        <w:rPr>
          <w:rFonts w:hint="eastAsia" w:ascii="宋体" w:hAnsi="宋体" w:eastAsia="宋体"/>
          <w:b/>
          <w:bCs/>
          <w:color w:val="000000" w:themeColor="text1"/>
          <w:spacing w:val="-12"/>
          <w:highlight w:val="none"/>
          <w:lang w:eastAsia="zh-CN"/>
          <w14:textFill>
            <w14:solidFill>
              <w14:schemeClr w14:val="tx1"/>
            </w14:solidFill>
          </w14:textFill>
        </w:rPr>
      </w:pPr>
      <w:r>
        <w:rPr>
          <w:rFonts w:hint="eastAsia" w:ascii="宋体" w:hAnsi="宋体" w:cs="宋体"/>
          <w:b/>
          <w:bCs/>
          <w:color w:val="000000" w:themeColor="text1"/>
          <w:spacing w:val="-12"/>
          <w:sz w:val="32"/>
          <w:szCs w:val="32"/>
          <w:highlight w:val="none"/>
          <w14:textFill>
            <w14:solidFill>
              <w14:schemeClr w14:val="tx1"/>
            </w14:solidFill>
          </w14:textFill>
        </w:rPr>
        <w:t>项目名称：</w:t>
      </w:r>
      <w:r>
        <w:rPr>
          <w:rFonts w:hint="eastAsia" w:ascii="宋体" w:hAnsi="宋体" w:cs="宋体"/>
          <w:b/>
          <w:bCs/>
          <w:color w:val="000000" w:themeColor="text1"/>
          <w:spacing w:val="-12"/>
          <w:sz w:val="32"/>
          <w:szCs w:val="32"/>
          <w:highlight w:val="none"/>
          <w:lang w:eastAsia="zh-CN"/>
          <w14:textFill>
            <w14:solidFill>
              <w14:schemeClr w14:val="tx1"/>
            </w14:solidFill>
          </w14:textFill>
        </w:rPr>
        <w:t>柯城区百家塘片区集体土地房屋征收评估服务采购项目</w:t>
      </w:r>
    </w:p>
    <w:p>
      <w:pPr>
        <w:rPr>
          <w:rFonts w:ascii="宋体" w:hAnsi="宋体"/>
          <w:b/>
          <w:bCs/>
          <w:color w:val="000000" w:themeColor="text1"/>
          <w:highlight w:val="none"/>
          <w14:textFill>
            <w14:solidFill>
              <w14:schemeClr w14:val="tx1"/>
            </w14:solidFill>
          </w14:textFill>
        </w:rPr>
      </w:pPr>
    </w:p>
    <w:p>
      <w:pPr>
        <w:rPr>
          <w:rFonts w:ascii="宋体" w:hAnsi="宋体"/>
          <w:b/>
          <w:bCs/>
          <w:color w:val="000000" w:themeColor="text1"/>
          <w:highlight w:val="none"/>
          <w14:textFill>
            <w14:solidFill>
              <w14:schemeClr w14:val="tx1"/>
            </w14:solidFill>
          </w14:textFill>
        </w:rPr>
      </w:pPr>
    </w:p>
    <w:p>
      <w:pPr>
        <w:pStyle w:val="2"/>
        <w:rPr>
          <w:highlight w:val="none"/>
        </w:rPr>
      </w:pPr>
    </w:p>
    <w:p>
      <w:pPr>
        <w:pStyle w:val="2"/>
        <w:rPr>
          <w:b/>
          <w:bCs/>
          <w:color w:val="000000" w:themeColor="text1"/>
          <w:highlight w:val="none"/>
          <w14:textFill>
            <w14:solidFill>
              <w14:schemeClr w14:val="tx1"/>
            </w14:solidFill>
          </w14:textFill>
        </w:rPr>
      </w:pPr>
    </w:p>
    <w:p>
      <w:pPr>
        <w:ind w:right="840" w:rightChars="400" w:firstLine="964" w:firstLineChars="300"/>
        <w:jc w:val="left"/>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采购人：衢州市柯城区双港街道办事处</w:t>
      </w:r>
    </w:p>
    <w:p>
      <w:pPr>
        <w:ind w:left="840" w:leftChars="400" w:right="840" w:rightChars="400"/>
        <w:jc w:val="left"/>
        <w:rPr>
          <w:rFonts w:ascii="宋体" w:hAnsi="宋体"/>
          <w:b/>
          <w:bCs/>
          <w:color w:val="000000" w:themeColor="text1"/>
          <w:sz w:val="32"/>
          <w:szCs w:val="32"/>
          <w:highlight w:val="none"/>
          <w14:textFill>
            <w14:solidFill>
              <w14:schemeClr w14:val="tx1"/>
            </w14:solidFill>
          </w14:textFill>
        </w:rPr>
      </w:pPr>
    </w:p>
    <w:p>
      <w:pPr>
        <w:ind w:left="840" w:leftChars="400" w:right="840" w:rightChars="400"/>
        <w:jc w:val="left"/>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采购代理单位：浙江卓宏建设项目管理有限公司</w:t>
      </w:r>
    </w:p>
    <w:p>
      <w:pPr>
        <w:rPr>
          <w:rFonts w:ascii="宋体" w:hAnsi="宋体"/>
          <w:color w:val="000000" w:themeColor="text1"/>
          <w:highlight w:val="none"/>
          <w14:textFill>
            <w14:solidFill>
              <w14:schemeClr w14:val="tx1"/>
            </w14:solidFill>
          </w14:textFill>
        </w:rPr>
      </w:pPr>
    </w:p>
    <w:p>
      <w:pPr>
        <w:pStyle w:val="2"/>
        <w:rPr>
          <w:highlight w:val="none"/>
        </w:rPr>
      </w:pPr>
    </w:p>
    <w:p>
      <w:pPr>
        <w:spacing w:line="500" w:lineRule="exact"/>
        <w:jc w:val="center"/>
        <w:rPr>
          <w:rFonts w:ascii="宋体" w:hAnsi="宋体"/>
          <w:b/>
          <w:bCs/>
          <w:color w:val="000000" w:themeColor="text1"/>
          <w:sz w:val="72"/>
          <w:szCs w:val="72"/>
          <w:highlight w:val="none"/>
          <w14:textFill>
            <w14:solidFill>
              <w14:schemeClr w14:val="tx1"/>
            </w14:solidFill>
          </w14:textFill>
        </w:rPr>
      </w:pPr>
      <w:r>
        <w:rPr>
          <w:rFonts w:hint="eastAsia" w:ascii="宋体" w:hAnsi="宋体"/>
          <w:b/>
          <w:bCs/>
          <w:color w:val="000000" w:themeColor="text1"/>
          <w:sz w:val="30"/>
          <w:highlight w:val="none"/>
          <w14:textFill>
            <w14:solidFill>
              <w14:schemeClr w14:val="tx1"/>
            </w14:solidFill>
          </w14:textFill>
        </w:rPr>
        <w:t>二O二一年二月</w:t>
      </w:r>
    </w:p>
    <w:p>
      <w:pPr>
        <w:spacing w:line="500" w:lineRule="exact"/>
        <w:jc w:val="center"/>
        <w:rPr>
          <w:rFonts w:ascii="宋体" w:hAnsi="宋体"/>
          <w:color w:val="000000" w:themeColor="text1"/>
          <w:sz w:val="72"/>
          <w:szCs w:val="72"/>
          <w:highlight w:val="none"/>
          <w14:textFill>
            <w14:solidFill>
              <w14:schemeClr w14:val="tx1"/>
            </w14:solidFill>
          </w14:textFill>
        </w:rPr>
      </w:pPr>
    </w:p>
    <w:p>
      <w:pPr>
        <w:spacing w:line="500" w:lineRule="exact"/>
        <w:jc w:val="center"/>
        <w:rPr>
          <w:rFonts w:ascii="宋体" w:hAnsi="宋体"/>
          <w:color w:val="000000" w:themeColor="text1"/>
          <w:sz w:val="72"/>
          <w:szCs w:val="72"/>
          <w:highlight w:val="none"/>
          <w14:textFill>
            <w14:solidFill>
              <w14:schemeClr w14:val="tx1"/>
            </w14:solidFill>
          </w14:textFill>
        </w:rPr>
      </w:pPr>
    </w:p>
    <w:p>
      <w:pPr>
        <w:spacing w:line="500" w:lineRule="exact"/>
        <w:jc w:val="center"/>
        <w:rPr>
          <w:rFonts w:ascii="宋体" w:hAnsi="宋体"/>
          <w:color w:val="000000" w:themeColor="text1"/>
          <w:sz w:val="72"/>
          <w:szCs w:val="72"/>
          <w:highlight w:val="none"/>
          <w14:textFill>
            <w14:solidFill>
              <w14:schemeClr w14:val="tx1"/>
            </w14:solidFill>
          </w14:textFill>
        </w:rPr>
      </w:pPr>
    </w:p>
    <w:p>
      <w:pPr>
        <w:spacing w:line="500" w:lineRule="exact"/>
        <w:jc w:val="center"/>
        <w:rPr>
          <w:rFonts w:ascii="宋体" w:hAnsi="宋体"/>
          <w:color w:val="000000" w:themeColor="text1"/>
          <w:sz w:val="72"/>
          <w:szCs w:val="72"/>
          <w:highlight w:val="none"/>
          <w14:textFill>
            <w14:solidFill>
              <w14:schemeClr w14:val="tx1"/>
            </w14:solidFill>
          </w14:textFill>
        </w:rPr>
      </w:pPr>
    </w:p>
    <w:p>
      <w:pPr>
        <w:rPr>
          <w:rFonts w:ascii="宋体" w:hAnsi="宋体" w:cs="宋体-PUA"/>
          <w:color w:val="000000" w:themeColor="text1"/>
          <w:sz w:val="44"/>
          <w:szCs w:val="44"/>
          <w:highlight w:val="none"/>
          <w14:textFill>
            <w14:solidFill>
              <w14:schemeClr w14:val="tx1"/>
            </w14:solidFill>
          </w14:textFill>
        </w:rPr>
      </w:pPr>
    </w:p>
    <w:p>
      <w:pPr>
        <w:jc w:val="center"/>
        <w:rPr>
          <w:rFonts w:ascii="宋体" w:hAnsi="宋体" w:cs="黑体"/>
          <w:b/>
          <w:bCs/>
          <w:color w:val="000000" w:themeColor="text1"/>
          <w:sz w:val="44"/>
          <w:szCs w:val="44"/>
          <w:highlight w:val="none"/>
          <w14:textFill>
            <w14:solidFill>
              <w14:schemeClr w14:val="tx1"/>
            </w14:solidFill>
          </w14:textFill>
        </w:rPr>
      </w:pPr>
      <w:r>
        <w:rPr>
          <w:rFonts w:hint="eastAsia" w:ascii="宋体" w:hAnsi="宋体" w:cs="黑体"/>
          <w:b/>
          <w:bCs/>
          <w:color w:val="000000" w:themeColor="text1"/>
          <w:sz w:val="44"/>
          <w:szCs w:val="44"/>
          <w:highlight w:val="none"/>
          <w14:textFill>
            <w14:solidFill>
              <w14:schemeClr w14:val="tx1"/>
            </w14:solidFill>
          </w14:textFill>
        </w:rPr>
        <w:t>目  录</w:t>
      </w:r>
    </w:p>
    <w:p>
      <w:pPr>
        <w:rPr>
          <w:rFonts w:ascii="宋体" w:hAnsi="宋体" w:cs="宋体-PUA"/>
          <w:color w:val="000000" w:themeColor="text1"/>
          <w:sz w:val="32"/>
          <w:szCs w:val="32"/>
          <w:highlight w:val="none"/>
          <w14:textFill>
            <w14:solidFill>
              <w14:schemeClr w14:val="tx1"/>
            </w14:solidFill>
          </w14:textFill>
        </w:rPr>
      </w:pPr>
    </w:p>
    <w:p>
      <w:pPr>
        <w:spacing w:line="560" w:lineRule="exact"/>
        <w:rPr>
          <w:rFonts w:ascii="宋体" w:hAnsi="宋体" w:cs="宋体-PUA"/>
          <w:color w:val="000000" w:themeColor="text1"/>
          <w:sz w:val="28"/>
          <w:szCs w:val="28"/>
          <w:highlight w:val="none"/>
          <w14:textFill>
            <w14:solidFill>
              <w14:schemeClr w14:val="tx1"/>
            </w14:solidFill>
          </w14:textFill>
        </w:rPr>
      </w:pPr>
      <w:r>
        <w:rPr>
          <w:rFonts w:hint="eastAsia" w:ascii="宋体" w:hAnsi="宋体" w:cs="宋体-PUA"/>
          <w:color w:val="000000" w:themeColor="text1"/>
          <w:sz w:val="28"/>
          <w:szCs w:val="28"/>
          <w:highlight w:val="none"/>
          <w14:textFill>
            <w14:solidFill>
              <w14:schemeClr w14:val="tx1"/>
            </w14:solidFill>
          </w14:textFill>
        </w:rPr>
        <w:t>第一章  招标公告</w:t>
      </w:r>
    </w:p>
    <w:p>
      <w:pPr>
        <w:adjustRightInd w:val="0"/>
        <w:snapToGrid w:val="0"/>
        <w:spacing w:line="700" w:lineRule="exact"/>
        <w:jc w:val="left"/>
        <w:rPr>
          <w:rFonts w:ascii="宋体" w:hAnsi="宋体"/>
          <w:color w:val="000000" w:themeColor="text1"/>
          <w:sz w:val="24"/>
          <w:highlight w:val="none"/>
          <w14:textFill>
            <w14:solidFill>
              <w14:schemeClr w14:val="tx1"/>
            </w14:solidFill>
          </w14:textFill>
        </w:rPr>
      </w:pPr>
      <w:r>
        <w:rPr>
          <w:rFonts w:hint="eastAsia" w:ascii="宋体" w:hAnsi="宋体" w:cs="宋体-PUA"/>
          <w:color w:val="000000" w:themeColor="text1"/>
          <w:sz w:val="28"/>
          <w:szCs w:val="28"/>
          <w:highlight w:val="none"/>
          <w14:textFill>
            <w14:solidFill>
              <w14:schemeClr w14:val="tx1"/>
            </w14:solidFill>
          </w14:textFill>
        </w:rPr>
        <w:t xml:space="preserve">第二章  </w:t>
      </w:r>
      <w:r>
        <w:rPr>
          <w:rFonts w:ascii="宋体" w:hAnsi="宋体" w:cs="宋体-PUA"/>
          <w:color w:val="000000" w:themeColor="text1"/>
          <w:sz w:val="28"/>
          <w:szCs w:val="28"/>
          <w:highlight w:val="none"/>
          <w14:textFill>
            <w14:solidFill>
              <w14:schemeClr w14:val="tx1"/>
            </w14:solidFill>
          </w14:textFill>
        </w:rPr>
        <w:t>投标须知前附表及投标须知</w:t>
      </w:r>
    </w:p>
    <w:p>
      <w:pPr>
        <w:spacing w:line="560" w:lineRule="exact"/>
        <w:rPr>
          <w:rFonts w:ascii="宋体" w:hAnsi="宋体" w:cs="宋体-PUA"/>
          <w:color w:val="000000" w:themeColor="text1"/>
          <w:sz w:val="28"/>
          <w:szCs w:val="28"/>
          <w:highlight w:val="none"/>
          <w14:textFill>
            <w14:solidFill>
              <w14:schemeClr w14:val="tx1"/>
            </w14:solidFill>
          </w14:textFill>
        </w:rPr>
      </w:pPr>
      <w:r>
        <w:rPr>
          <w:rFonts w:hint="eastAsia" w:ascii="宋体" w:hAnsi="宋体" w:cs="宋体-PUA"/>
          <w:color w:val="000000" w:themeColor="text1"/>
          <w:sz w:val="28"/>
          <w:szCs w:val="28"/>
          <w:highlight w:val="none"/>
          <w14:textFill>
            <w14:solidFill>
              <w14:schemeClr w14:val="tx1"/>
            </w14:solidFill>
          </w14:textFill>
        </w:rPr>
        <w:t>第三章  采购内容及要求</w:t>
      </w:r>
    </w:p>
    <w:p>
      <w:pPr>
        <w:spacing w:line="560" w:lineRule="exact"/>
        <w:rPr>
          <w:rFonts w:ascii="宋体" w:hAnsi="宋体" w:cs="宋体"/>
          <w:color w:val="000000" w:themeColor="text1"/>
          <w:sz w:val="28"/>
          <w:szCs w:val="28"/>
          <w:highlight w:val="none"/>
          <w14:textFill>
            <w14:solidFill>
              <w14:schemeClr w14:val="tx1"/>
            </w14:solidFill>
          </w14:textFill>
        </w:rPr>
      </w:pPr>
      <w:r>
        <w:rPr>
          <w:rFonts w:hint="eastAsia" w:ascii="宋体" w:hAnsi="宋体" w:cs="宋体-PUA"/>
          <w:color w:val="000000" w:themeColor="text1"/>
          <w:sz w:val="28"/>
          <w:szCs w:val="28"/>
          <w:highlight w:val="none"/>
          <w14:textFill>
            <w14:solidFill>
              <w14:schemeClr w14:val="tx1"/>
            </w14:solidFill>
          </w14:textFill>
        </w:rPr>
        <w:t>第四章  合同主要条款</w:t>
      </w:r>
    </w:p>
    <w:p>
      <w:pPr>
        <w:spacing w:line="560" w:lineRule="exact"/>
        <w:rPr>
          <w:rFonts w:ascii="宋体" w:hAnsi="宋体" w:cs="宋体"/>
          <w:color w:val="000000" w:themeColor="text1"/>
          <w:sz w:val="28"/>
          <w:szCs w:val="28"/>
          <w:highlight w:val="none"/>
          <w14:textFill>
            <w14:solidFill>
              <w14:schemeClr w14:val="tx1"/>
            </w14:solidFill>
          </w14:textFill>
        </w:rPr>
      </w:pPr>
      <w:r>
        <w:rPr>
          <w:rFonts w:hint="eastAsia" w:ascii="宋体" w:hAnsi="宋体" w:cs="宋体-PUA"/>
          <w:color w:val="000000" w:themeColor="text1"/>
          <w:sz w:val="28"/>
          <w:szCs w:val="28"/>
          <w:highlight w:val="none"/>
          <w14:textFill>
            <w14:solidFill>
              <w14:schemeClr w14:val="tx1"/>
            </w14:solidFill>
          </w14:textFill>
        </w:rPr>
        <w:t>第五章  评标原则及办法</w:t>
      </w:r>
    </w:p>
    <w:p>
      <w:pPr>
        <w:spacing w:line="560" w:lineRule="exact"/>
        <w:rPr>
          <w:rFonts w:ascii="宋体" w:hAnsi="宋体" w:cs="宋体"/>
          <w:color w:val="000000" w:themeColor="text1"/>
          <w:sz w:val="28"/>
          <w:szCs w:val="28"/>
          <w:highlight w:val="none"/>
          <w14:textFill>
            <w14:solidFill>
              <w14:schemeClr w14:val="tx1"/>
            </w14:solidFill>
          </w14:textFill>
        </w:rPr>
      </w:pPr>
      <w:r>
        <w:rPr>
          <w:rFonts w:hint="eastAsia" w:ascii="宋体" w:hAnsi="宋体" w:cs="宋体-PUA"/>
          <w:color w:val="000000" w:themeColor="text1"/>
          <w:sz w:val="28"/>
          <w:szCs w:val="28"/>
          <w:highlight w:val="none"/>
          <w14:textFill>
            <w14:solidFill>
              <w14:schemeClr w14:val="tx1"/>
            </w14:solidFill>
          </w14:textFill>
        </w:rPr>
        <w:t>第六章  投标文件相关格式</w:t>
      </w:r>
    </w:p>
    <w:p>
      <w:pPr>
        <w:widowControl/>
        <w:spacing w:line="360" w:lineRule="auto"/>
        <w:jc w:val="center"/>
        <w:rPr>
          <w:rFonts w:ascii="宋体" w:hAnsi="宋体"/>
          <w:color w:val="000000" w:themeColor="text1"/>
          <w:sz w:val="30"/>
          <w:szCs w:val="30"/>
          <w:highlight w:val="none"/>
          <w14:textFill>
            <w14:solidFill>
              <w14:schemeClr w14:val="tx1"/>
            </w14:solidFill>
          </w14:textFill>
        </w:rPr>
      </w:pPr>
      <w:r>
        <w:rPr>
          <w:rFonts w:hint="eastAsia" w:ascii="宋体" w:hAnsi="宋体" w:cs="宋体-PUA"/>
          <w:color w:val="000000" w:themeColor="text1"/>
          <w:sz w:val="32"/>
          <w:szCs w:val="32"/>
          <w:highlight w:val="none"/>
          <w14:textFill>
            <w14:solidFill>
              <w14:schemeClr w14:val="tx1"/>
            </w14:solidFill>
          </w14:textFill>
        </w:rPr>
        <w:br w:type="page"/>
      </w:r>
      <w:r>
        <w:rPr>
          <w:rFonts w:hint="eastAsia" w:ascii="宋体" w:hAnsi="宋体" w:cs="黑体"/>
          <w:b/>
          <w:bCs/>
          <w:color w:val="000000" w:themeColor="text1"/>
          <w:sz w:val="28"/>
          <w:szCs w:val="28"/>
          <w:highlight w:val="none"/>
          <w14:textFill>
            <w14:solidFill>
              <w14:schemeClr w14:val="tx1"/>
            </w14:solidFill>
          </w14:textFill>
        </w:rPr>
        <w:t>第一章招标公告</w:t>
      </w:r>
      <w:bookmarkStart w:id="0" w:name="_Toc272368140"/>
      <w:bookmarkEnd w:id="0"/>
    </w:p>
    <w:p>
      <w:pPr>
        <w:jc w:val="center"/>
        <w:outlineLvl w:val="0"/>
        <w:rPr>
          <w:rFonts w:ascii="宋体" w:hAnsi="宋体" w:cs="宋体"/>
          <w:b/>
          <w:color w:val="000000" w:themeColor="text1"/>
          <w:sz w:val="24"/>
          <w:highlight w:val="none"/>
          <w14:textFill>
            <w14:solidFill>
              <w14:schemeClr w14:val="tx1"/>
            </w14:solidFill>
          </w14:textFill>
        </w:rPr>
      </w:pPr>
    </w:p>
    <w:p>
      <w:pPr>
        <w:pBdr>
          <w:top w:val="single" w:color="auto" w:sz="4" w:space="1"/>
          <w:left w:val="single" w:color="auto" w:sz="4" w:space="4"/>
          <w:bottom w:val="single" w:color="auto" w:sz="4" w:space="1"/>
          <w:right w:val="single" w:color="auto" w:sz="4" w:space="4"/>
        </w:pBd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400" w:lineRule="exact"/>
        <w:ind w:firstLine="524" w:firstLineChars="200"/>
        <w:rPr>
          <w:rFonts w:ascii="宋体" w:hAnsi="宋体" w:cs="宋体"/>
          <w:b/>
          <w:color w:val="000000" w:themeColor="text1"/>
          <w:sz w:val="24"/>
          <w:highlight w:val="none"/>
          <w14:textFill>
            <w14:solidFill>
              <w14:schemeClr w14:val="tx1"/>
            </w14:solidFill>
          </w14:textFill>
        </w:rPr>
      </w:pPr>
      <w:r>
        <w:rPr>
          <w:rFonts w:hint="eastAsia"/>
          <w:color w:val="000000" w:themeColor="text1"/>
          <w:spacing w:val="11"/>
          <w:sz w:val="24"/>
          <w:highlight w:val="none"/>
          <w:u w:val="single"/>
          <w:lang w:eastAsia="zh-CN"/>
          <w14:textFill>
            <w14:solidFill>
              <w14:schemeClr w14:val="tx1"/>
            </w14:solidFill>
          </w14:textFill>
        </w:rPr>
        <w:t>柯城区百家塘片区集体土地房屋征收评估服务采购项目</w:t>
      </w:r>
      <w:r>
        <w:rPr>
          <w:rFonts w:hint="eastAsia" w:ascii="宋体" w:hAnsi="宋体" w:cs="宋体"/>
          <w:color w:val="000000" w:themeColor="text1"/>
          <w:sz w:val="24"/>
          <w:highlight w:val="none"/>
          <w14:textFill>
            <w14:solidFill>
              <w14:schemeClr w14:val="tx1"/>
            </w14:solidFill>
          </w14:textFill>
        </w:rPr>
        <w:t>招标项目的潜在投标人应在</w:t>
      </w:r>
      <w:r>
        <w:rPr>
          <w:rFonts w:hint="eastAsia" w:ascii="宋体" w:hAnsi="宋体" w:cs="宋体"/>
          <w:color w:val="000000" w:themeColor="text1"/>
          <w:sz w:val="24"/>
          <w:highlight w:val="none"/>
          <w:u w:val="single"/>
          <w14:textFill>
            <w14:solidFill>
              <w14:schemeClr w14:val="tx1"/>
            </w14:solidFill>
          </w14:textFill>
        </w:rPr>
        <w:t>政采云平台（http://zfcg.czt.zj.gov.cn）</w:t>
      </w:r>
      <w:r>
        <w:rPr>
          <w:rFonts w:hint="eastAsia" w:ascii="宋体" w:hAnsi="宋体" w:cs="宋体"/>
          <w:color w:val="000000" w:themeColor="text1"/>
          <w:sz w:val="24"/>
          <w:highlight w:val="none"/>
          <w14:textFill>
            <w14:solidFill>
              <w14:schemeClr w14:val="tx1"/>
            </w14:solidFill>
          </w14:textFill>
        </w:rPr>
        <w:t>获取招标文件，并</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b/>
          <w:bCs/>
          <w:color w:val="000000" w:themeColor="text1"/>
          <w:sz w:val="24"/>
          <w:highlight w:val="none"/>
          <w:u w:val="single"/>
          <w14:textFill>
            <w14:solidFill>
              <w14:schemeClr w14:val="tx1"/>
            </w14:solidFill>
          </w14:textFill>
        </w:rPr>
        <w:t xml:space="preserve">2021年 </w:t>
      </w:r>
      <w:r>
        <w:rPr>
          <w:rFonts w:hint="eastAsia" w:ascii="宋体" w:hAnsi="宋体" w:cs="宋体"/>
          <w:b/>
          <w:bCs/>
          <w:color w:val="000000" w:themeColor="text1"/>
          <w:sz w:val="24"/>
          <w:highlight w:val="none"/>
          <w:u w:val="single"/>
          <w:lang w:val="en-US" w:eastAsia="zh-CN"/>
          <w14:textFill>
            <w14:solidFill>
              <w14:schemeClr w14:val="tx1"/>
            </w14:solidFill>
          </w14:textFill>
        </w:rPr>
        <w:t>3</w:t>
      </w:r>
      <w:r>
        <w:rPr>
          <w:rFonts w:hint="eastAsia" w:ascii="宋体" w:hAnsi="宋体" w:cs="宋体"/>
          <w:b/>
          <w:bCs/>
          <w:color w:val="000000" w:themeColor="text1"/>
          <w:sz w:val="24"/>
          <w:highlight w:val="none"/>
          <w:u w:val="single"/>
          <w14:textFill>
            <w14:solidFill>
              <w14:schemeClr w14:val="tx1"/>
            </w14:solidFill>
          </w14:textFill>
        </w:rPr>
        <w:t xml:space="preserve">月 </w:t>
      </w:r>
      <w:r>
        <w:rPr>
          <w:rFonts w:hint="eastAsia" w:ascii="宋体" w:hAnsi="宋体" w:cs="宋体"/>
          <w:b/>
          <w:bCs/>
          <w:color w:val="000000" w:themeColor="text1"/>
          <w:sz w:val="24"/>
          <w:highlight w:val="none"/>
          <w:u w:val="single"/>
          <w:lang w:val="en-US" w:eastAsia="zh-CN"/>
          <w14:textFill>
            <w14:solidFill>
              <w14:schemeClr w14:val="tx1"/>
            </w14:solidFill>
          </w14:textFill>
        </w:rPr>
        <w:t>18</w:t>
      </w:r>
      <w:r>
        <w:rPr>
          <w:rFonts w:hint="eastAsia" w:ascii="宋体" w:hAnsi="宋体" w:cs="宋体"/>
          <w:b/>
          <w:bCs/>
          <w:color w:val="000000" w:themeColor="text1"/>
          <w:sz w:val="24"/>
          <w:highlight w:val="none"/>
          <w:u w:val="single"/>
          <w14:textFill>
            <w14:solidFill>
              <w14:schemeClr w14:val="tx1"/>
            </w14:solidFill>
          </w14:textFill>
        </w:rPr>
        <w:t xml:space="preserve"> 日14 点30分</w:t>
      </w:r>
      <w:r>
        <w:rPr>
          <w:rFonts w:hint="eastAsia" w:ascii="宋体" w:hAnsi="宋体" w:cs="宋体"/>
          <w:b/>
          <w:color w:val="000000" w:themeColor="text1"/>
          <w:sz w:val="24"/>
          <w:highlight w:val="none"/>
          <w:u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北京时间）前递交投标文件。</w:t>
      </w:r>
    </w:p>
    <w:p>
      <w:pPr>
        <w:pStyle w:val="5"/>
        <w:numPr>
          <w:ilvl w:val="0"/>
          <w:numId w:val="0"/>
        </w:numPr>
        <w:spacing w:before="156" w:after="156" w:line="44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一、项目基本情况</w:t>
      </w:r>
    </w:p>
    <w:p>
      <w:pPr>
        <w:spacing w:line="400" w:lineRule="exact"/>
        <w:ind w:firstLine="480" w:firstLineChars="200"/>
        <w:jc w:val="left"/>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项目编号：ZJZH20210202</w:t>
      </w:r>
    </w:p>
    <w:p>
      <w:pPr>
        <w:autoSpaceDE w:val="0"/>
        <w:autoSpaceDN w:val="0"/>
        <w:adjustRightInd w:val="0"/>
        <w:spacing w:line="400" w:lineRule="exact"/>
        <w:ind w:right="-23" w:firstLine="480" w:firstLineChars="200"/>
        <w:rPr>
          <w:rFonts w:hint="eastAsia" w:eastAsia="宋体"/>
          <w:color w:val="000000" w:themeColor="text1"/>
          <w:spacing w:val="1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color w:val="000000" w:themeColor="text1"/>
          <w:spacing w:val="11"/>
          <w:sz w:val="24"/>
          <w:highlight w:val="none"/>
          <w:lang w:eastAsia="zh-CN"/>
          <w14:textFill>
            <w14:solidFill>
              <w14:schemeClr w14:val="tx1"/>
            </w14:solidFill>
          </w14:textFill>
        </w:rPr>
        <w:t>柯城区百家塘片区集体土地房屋征收评估服务采购项目</w:t>
      </w:r>
    </w:p>
    <w:p>
      <w:pPr>
        <w:autoSpaceDE w:val="0"/>
        <w:autoSpaceDN w:val="0"/>
        <w:adjustRightInd w:val="0"/>
        <w:spacing w:line="400" w:lineRule="exact"/>
        <w:ind w:right="-23" w:firstLine="480" w:firstLineChars="200"/>
        <w:rPr>
          <w:b/>
          <w:color w:val="000000" w:themeColor="text1"/>
          <w:spacing w:val="-4"/>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预算金额：</w:t>
      </w:r>
      <w:r>
        <w:rPr>
          <w:rFonts w:hint="eastAsia" w:ascii="宋体" w:hAnsi="宋体" w:cs="微软雅黑"/>
          <w:b/>
          <w:color w:val="000000" w:themeColor="text1"/>
          <w:spacing w:val="-4"/>
          <w:sz w:val="24"/>
          <w:highlight w:val="none"/>
          <w14:textFill>
            <w14:solidFill>
              <w14:schemeClr w14:val="tx1"/>
            </w14:solidFill>
          </w14:textFill>
        </w:rPr>
        <w:t>约</w:t>
      </w:r>
      <w:r>
        <w:rPr>
          <w:rFonts w:hint="eastAsia" w:ascii="宋体" w:hAnsi="宋体" w:cs="微软雅黑"/>
          <w:b/>
          <w:color w:val="000000" w:themeColor="text1"/>
          <w:spacing w:val="-4"/>
          <w:sz w:val="24"/>
          <w:highlight w:val="none"/>
          <w:u w:val="single"/>
          <w14:textFill>
            <w14:solidFill>
              <w14:schemeClr w14:val="tx1"/>
            </w14:solidFill>
          </w14:textFill>
        </w:rPr>
        <w:t xml:space="preserve">  297.5  </w:t>
      </w:r>
      <w:r>
        <w:rPr>
          <w:rFonts w:hint="eastAsia" w:ascii="宋体" w:hAnsi="宋体" w:cs="微软雅黑"/>
          <w:b/>
          <w:color w:val="000000" w:themeColor="text1"/>
          <w:spacing w:val="-4"/>
          <w:sz w:val="24"/>
          <w:highlight w:val="none"/>
          <w14:textFill>
            <w14:solidFill>
              <w14:schemeClr w14:val="tx1"/>
            </w14:solidFill>
          </w14:textFill>
        </w:rPr>
        <w:t>万</w:t>
      </w:r>
      <w:r>
        <w:rPr>
          <w:rFonts w:hint="eastAsia"/>
          <w:b/>
          <w:color w:val="000000" w:themeColor="text1"/>
          <w:spacing w:val="-4"/>
          <w:sz w:val="24"/>
          <w:highlight w:val="none"/>
          <w:lang w:val="zh-CN"/>
          <w14:textFill>
            <w14:solidFill>
              <w14:schemeClr w14:val="tx1"/>
            </w14:solidFill>
          </w14:textFill>
        </w:rPr>
        <w:t>元</w:t>
      </w:r>
    </w:p>
    <w:p>
      <w:pPr>
        <w:autoSpaceDE w:val="0"/>
        <w:autoSpaceDN w:val="0"/>
        <w:adjustRightInd w:val="0"/>
        <w:spacing w:line="400" w:lineRule="exact"/>
        <w:ind w:right="-23"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采购需求：</w:t>
      </w:r>
    </w:p>
    <w:tbl>
      <w:tblPr>
        <w:tblStyle w:val="15"/>
        <w:tblW w:w="100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0"/>
        <w:gridCol w:w="1515"/>
        <w:gridCol w:w="1542"/>
        <w:gridCol w:w="4603"/>
        <w:gridCol w:w="17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7" w:hRule="atLeast"/>
        </w:trPr>
        <w:tc>
          <w:tcPr>
            <w:tcW w:w="670" w:type="dxa"/>
            <w:tcBorders>
              <w:top w:val="single" w:color="auto" w:sz="4" w:space="0"/>
              <w:bottom w:val="single" w:color="auto" w:sz="4" w:space="0"/>
              <w:right w:val="single" w:color="auto" w:sz="4" w:space="0"/>
            </w:tcBorders>
            <w:vAlign w:val="center"/>
          </w:tcPr>
          <w:p>
            <w:pPr>
              <w:spacing w:line="480" w:lineRule="exact"/>
              <w:jc w:val="center"/>
              <w:rPr>
                <w:rFonts w:ascii="宋体" w:hAnsi="宋体" w:cs="仿宋_GB2312"/>
                <w:b/>
                <w:bCs/>
                <w:color w:val="000000" w:themeColor="text1"/>
                <w:szCs w:val="21"/>
                <w:highlight w:val="none"/>
                <w14:textFill>
                  <w14:solidFill>
                    <w14:schemeClr w14:val="tx1"/>
                  </w14:solidFill>
                </w14:textFill>
              </w:rPr>
            </w:pPr>
            <w:r>
              <w:rPr>
                <w:rFonts w:hint="eastAsia" w:ascii="宋体" w:hAnsi="宋体" w:cs="仿宋_GB2312"/>
                <w:b/>
                <w:bCs/>
                <w:color w:val="000000" w:themeColor="text1"/>
                <w:szCs w:val="21"/>
                <w:highlight w:val="none"/>
                <w14:textFill>
                  <w14:solidFill>
                    <w14:schemeClr w14:val="tx1"/>
                  </w14:solidFill>
                </w14:textFill>
              </w:rPr>
              <w:t>序号</w:t>
            </w:r>
          </w:p>
        </w:tc>
        <w:tc>
          <w:tcPr>
            <w:tcW w:w="1515" w:type="dxa"/>
            <w:tcBorders>
              <w:top w:val="single" w:color="auto" w:sz="4" w:space="0"/>
              <w:bottom w:val="single" w:color="auto" w:sz="4" w:space="0"/>
              <w:right w:val="single" w:color="auto" w:sz="4" w:space="0"/>
            </w:tcBorders>
            <w:vAlign w:val="center"/>
          </w:tcPr>
          <w:p>
            <w:pPr>
              <w:spacing w:line="480" w:lineRule="exact"/>
              <w:jc w:val="center"/>
              <w:rPr>
                <w:rFonts w:ascii="宋体" w:hAnsi="宋体" w:cs="仿宋_GB2312"/>
                <w:b/>
                <w:bCs/>
                <w:color w:val="000000" w:themeColor="text1"/>
                <w:szCs w:val="21"/>
                <w:highlight w:val="none"/>
                <w14:textFill>
                  <w14:solidFill>
                    <w14:schemeClr w14:val="tx1"/>
                  </w14:solidFill>
                </w14:textFill>
              </w:rPr>
            </w:pPr>
            <w:r>
              <w:rPr>
                <w:rFonts w:hint="eastAsia" w:ascii="宋体" w:hAnsi="宋体" w:cs="仿宋_GB2312"/>
                <w:b/>
                <w:bCs/>
                <w:color w:val="000000" w:themeColor="text1"/>
                <w:szCs w:val="21"/>
                <w:highlight w:val="none"/>
                <w14:textFill>
                  <w14:solidFill>
                    <w14:schemeClr w14:val="tx1"/>
                  </w14:solidFill>
                </w14:textFill>
              </w:rPr>
              <w:t>项目名称</w:t>
            </w:r>
          </w:p>
        </w:tc>
        <w:tc>
          <w:tcPr>
            <w:tcW w:w="154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仿宋_GB2312"/>
                <w:b/>
                <w:bCs/>
                <w:color w:val="000000" w:themeColor="text1"/>
                <w:szCs w:val="21"/>
                <w:highlight w:val="none"/>
                <w14:textFill>
                  <w14:solidFill>
                    <w14:schemeClr w14:val="tx1"/>
                  </w14:solidFill>
                </w14:textFill>
              </w:rPr>
            </w:pPr>
            <w:r>
              <w:rPr>
                <w:rFonts w:hint="eastAsia" w:ascii="宋体" w:hAnsi="宋体" w:cs="仿宋_GB2312"/>
                <w:b/>
                <w:bCs/>
                <w:color w:val="000000" w:themeColor="text1"/>
                <w:szCs w:val="21"/>
                <w:highlight w:val="none"/>
                <w14:textFill>
                  <w14:solidFill>
                    <w14:schemeClr w14:val="tx1"/>
                  </w14:solidFill>
                </w14:textFill>
              </w:rPr>
              <w:t>工期</w:t>
            </w:r>
          </w:p>
        </w:tc>
        <w:tc>
          <w:tcPr>
            <w:tcW w:w="460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仿宋_GB2312"/>
                <w:b/>
                <w:bCs/>
                <w:color w:val="000000" w:themeColor="text1"/>
                <w:szCs w:val="21"/>
                <w:highlight w:val="none"/>
                <w14:textFill>
                  <w14:solidFill>
                    <w14:schemeClr w14:val="tx1"/>
                  </w14:solidFill>
                </w14:textFill>
              </w:rPr>
            </w:pPr>
            <w:r>
              <w:rPr>
                <w:rFonts w:hint="eastAsia" w:ascii="宋体" w:hAnsi="宋体" w:cs="仿宋_GB2312"/>
                <w:b/>
                <w:bCs/>
                <w:color w:val="000000" w:themeColor="text1"/>
                <w:szCs w:val="21"/>
                <w:highlight w:val="none"/>
                <w14:textFill>
                  <w14:solidFill>
                    <w14:schemeClr w14:val="tx1"/>
                  </w14:solidFill>
                </w14:textFill>
              </w:rPr>
              <w:t>服务工作内容</w:t>
            </w:r>
          </w:p>
        </w:tc>
        <w:tc>
          <w:tcPr>
            <w:tcW w:w="1759" w:type="dxa"/>
            <w:tcBorders>
              <w:top w:val="single" w:color="auto" w:sz="4" w:space="0"/>
              <w:left w:val="single" w:color="auto" w:sz="4" w:space="0"/>
              <w:bottom w:val="single" w:color="auto" w:sz="4" w:space="0"/>
            </w:tcBorders>
            <w:vAlign w:val="center"/>
          </w:tcPr>
          <w:p>
            <w:pPr>
              <w:spacing w:line="480" w:lineRule="exact"/>
              <w:jc w:val="center"/>
              <w:rPr>
                <w:rFonts w:ascii="宋体" w:hAnsi="宋体" w:cs="仿宋_GB2312"/>
                <w:b/>
                <w:bCs/>
                <w:color w:val="000000" w:themeColor="text1"/>
                <w:szCs w:val="21"/>
                <w:highlight w:val="none"/>
                <w14:textFill>
                  <w14:solidFill>
                    <w14:schemeClr w14:val="tx1"/>
                  </w14:solidFill>
                </w14:textFill>
              </w:rPr>
            </w:pPr>
            <w:r>
              <w:rPr>
                <w:rFonts w:hint="eastAsia" w:ascii="宋体" w:hAnsi="宋体" w:cs="仿宋_GB2312"/>
                <w:b/>
                <w:bCs/>
                <w:color w:val="000000" w:themeColor="text1"/>
                <w:szCs w:val="21"/>
                <w:highlight w:val="none"/>
                <w14:textFill>
                  <w14:solidFill>
                    <w14:schemeClr w14:val="tx1"/>
                  </w14:solidFill>
                </w14:textFill>
              </w:rPr>
              <w:t>采购预算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81" w:hRule="atLeast"/>
        </w:trPr>
        <w:tc>
          <w:tcPr>
            <w:tcW w:w="670" w:type="dxa"/>
            <w:tcBorders>
              <w:top w:val="single" w:color="auto" w:sz="4" w:space="0"/>
              <w:bottom w:val="single" w:color="auto" w:sz="4" w:space="0"/>
              <w:right w:val="single" w:color="auto" w:sz="4" w:space="0"/>
            </w:tcBorders>
            <w:vAlign w:val="center"/>
          </w:tcPr>
          <w:p>
            <w:pPr>
              <w:spacing w:line="480" w:lineRule="exact"/>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1</w:t>
            </w:r>
          </w:p>
        </w:tc>
        <w:tc>
          <w:tcPr>
            <w:tcW w:w="1515" w:type="dxa"/>
            <w:tcBorders>
              <w:top w:val="single" w:color="auto" w:sz="4" w:space="0"/>
              <w:bottom w:val="single" w:color="auto" w:sz="4" w:space="0"/>
              <w:right w:val="single" w:color="auto" w:sz="4" w:space="0"/>
            </w:tcBorders>
            <w:vAlign w:val="center"/>
          </w:tcPr>
          <w:p>
            <w:pPr>
              <w:spacing w:line="480" w:lineRule="exact"/>
              <w:rPr>
                <w:rFonts w:hint="eastAsia" w:ascii="宋体" w:hAnsi="宋体" w:eastAsia="宋体" w:cs="仿宋_GB2312"/>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柯城区百家塘片区集体土地房屋征收评估服务采购项目</w:t>
            </w:r>
          </w:p>
        </w:tc>
        <w:tc>
          <w:tcPr>
            <w:tcW w:w="1542" w:type="dxa"/>
            <w:tcBorders>
              <w:top w:val="single" w:color="auto" w:sz="4" w:space="0"/>
              <w:left w:val="single" w:color="auto" w:sz="4" w:space="0"/>
              <w:bottom w:val="single" w:color="auto" w:sz="4" w:space="0"/>
              <w:right w:val="single" w:color="auto" w:sz="4" w:space="0"/>
            </w:tcBorders>
            <w:vAlign w:val="center"/>
          </w:tcPr>
          <w:p>
            <w:pPr>
              <w:spacing w:line="480" w:lineRule="exact"/>
              <w:jc w:val="left"/>
              <w:rPr>
                <w:rFonts w:ascii="宋体" w:hAnsi="宋体" w:cs="仿宋_GB2312"/>
                <w:color w:val="000000" w:themeColor="text1"/>
                <w:sz w:val="24"/>
                <w:highlight w:val="none"/>
                <w:lang w:val="zh-CN"/>
                <w14:textFill>
                  <w14:solidFill>
                    <w14:schemeClr w14:val="tx1"/>
                  </w14:solidFill>
                </w14:textFill>
              </w:rPr>
            </w:pPr>
            <w:r>
              <w:rPr>
                <w:rFonts w:hint="eastAsia" w:ascii="宋体" w:hAnsi="宋体" w:cs="仿宋_GB2312"/>
                <w:color w:val="000000" w:themeColor="text1"/>
                <w:sz w:val="24"/>
                <w:highlight w:val="none"/>
                <w:lang w:val="zh-CN"/>
                <w14:textFill>
                  <w14:solidFill>
                    <w14:schemeClr w14:val="tx1"/>
                  </w14:solidFill>
                </w14:textFill>
              </w:rPr>
              <w:t>自合同签订之日起至评估工作全面完成（暂定</w:t>
            </w:r>
            <w:r>
              <w:rPr>
                <w:rFonts w:hint="eastAsia" w:ascii="宋体" w:hAnsi="宋体" w:cs="仿宋_GB2312"/>
                <w:color w:val="000000" w:themeColor="text1"/>
                <w:sz w:val="24"/>
                <w:highlight w:val="none"/>
                <w:u w:val="single"/>
                <w:lang w:val="zh-CN"/>
                <w14:textFill>
                  <w14:solidFill>
                    <w14:schemeClr w14:val="tx1"/>
                  </w14:solidFill>
                </w14:textFill>
              </w:rPr>
              <w:t>12</w:t>
            </w:r>
            <w:r>
              <w:rPr>
                <w:rFonts w:hint="eastAsia" w:ascii="宋体" w:hAnsi="宋体" w:cs="仿宋_GB2312"/>
                <w:color w:val="000000" w:themeColor="text1"/>
                <w:sz w:val="24"/>
                <w:highlight w:val="none"/>
                <w:lang w:val="zh-CN"/>
                <w14:textFill>
                  <w14:solidFill>
                    <w14:schemeClr w14:val="tx1"/>
                  </w14:solidFill>
                </w14:textFill>
              </w:rPr>
              <w:t>个月，其中调查摸底工作在发布入户调查公告之日起</w:t>
            </w:r>
            <w:r>
              <w:rPr>
                <w:rFonts w:hint="eastAsia" w:ascii="宋体" w:hAnsi="宋体" w:cs="仿宋_GB2312"/>
                <w:color w:val="000000" w:themeColor="text1"/>
                <w:sz w:val="24"/>
                <w:highlight w:val="none"/>
                <w14:textFill>
                  <w14:solidFill>
                    <w14:schemeClr w14:val="tx1"/>
                  </w14:solidFill>
                </w14:textFill>
              </w:rPr>
              <w:t>1</w:t>
            </w:r>
            <w:r>
              <w:rPr>
                <w:rFonts w:hint="eastAsia" w:ascii="宋体" w:hAnsi="宋体" w:cs="仿宋_GB2312"/>
                <w:color w:val="000000" w:themeColor="text1"/>
                <w:sz w:val="24"/>
                <w:highlight w:val="none"/>
                <w:lang w:val="zh-CN"/>
                <w14:textFill>
                  <w14:solidFill>
                    <w14:schemeClr w14:val="tx1"/>
                  </w14:solidFill>
                </w14:textFill>
              </w:rPr>
              <w:t>5日历天</w:t>
            </w:r>
            <w:r>
              <w:rPr>
                <w:rFonts w:hint="eastAsia" w:ascii="宋体" w:hAnsi="宋体" w:cs="仿宋_GB2312"/>
                <w:color w:val="000000" w:themeColor="text1"/>
                <w:sz w:val="24"/>
                <w:highlight w:val="none"/>
                <w:lang w:val="zh-CN"/>
                <w14:textFill>
                  <w14:solidFill>
                    <w14:schemeClr w14:val="tx1"/>
                  </w14:solidFill>
                </w14:textFill>
              </w:rPr>
              <w:t>内全部完成）</w:t>
            </w:r>
          </w:p>
        </w:tc>
        <w:tc>
          <w:tcPr>
            <w:tcW w:w="4603"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房屋征收评估，</w:t>
            </w:r>
            <w:r>
              <w:rPr>
                <w:rFonts w:hint="eastAsia"/>
                <w:color w:val="000000" w:themeColor="text1"/>
                <w:highlight w:val="none"/>
                <w14:textFill>
                  <w14:solidFill>
                    <w14:schemeClr w14:val="tx1"/>
                  </w14:solidFill>
                </w14:textFill>
              </w:rPr>
              <w:t>根据前期初步调查情况共涉及房屋征收约1212幢，征收总建筑面积约35万平方米，</w:t>
            </w:r>
            <w:r>
              <w:rPr>
                <w:rFonts w:hint="eastAsia"/>
                <w:color w:val="000000" w:themeColor="text1"/>
                <w:highlight w:val="none"/>
                <w14:textFill>
                  <w14:solidFill>
                    <w14:schemeClr w14:val="tx1"/>
                  </w14:solidFill>
                </w14:textFill>
              </w:rPr>
              <w:t>具体以正式入户签订协议并审核确认的面积为准。服务工作内容包含：</w:t>
            </w:r>
          </w:p>
          <w:p>
            <w:pPr>
              <w:spacing w:line="40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1、现场查勘并统计各征收户房前屋后附属房及设施、室内外装修和其它附属于房屋不可移动设施的项目、种类和数量；</w:t>
            </w:r>
          </w:p>
          <w:p>
            <w:pPr>
              <w:spacing w:line="40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2、评估确定各户被征收房屋装修、附属物的征收补偿金额、并出具评估报告。</w:t>
            </w:r>
          </w:p>
          <w:p>
            <w:pPr>
              <w:spacing w:line="40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3、按照委托人的要求及有关政策的规定完成评估工作，并提供分户的初步评估结果；在公示期间应对分户的初步评估结果，进行现场说明解释；公示期满后，提供该项目被征收房屋整体评估报告、分户报告。</w:t>
            </w:r>
          </w:p>
          <w:p>
            <w:pPr>
              <w:spacing w:line="40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4、对征收安置房进行价格评估并出具评估报告。</w:t>
            </w:r>
          </w:p>
          <w:p>
            <w:pPr>
              <w:spacing w:line="40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5、对征收的家庭农场、集体用房等进行价格评估并出具评估报告。</w:t>
            </w:r>
          </w:p>
          <w:p>
            <w:pPr>
              <w:pStyle w:val="7"/>
              <w:spacing w:line="400" w:lineRule="exact"/>
              <w:rPr>
                <w:color w:val="000000" w:themeColor="text1"/>
                <w:highlight w:val="none"/>
                <w14:textFill>
                  <w14:solidFill>
                    <w14:schemeClr w14:val="tx1"/>
                  </w14:solidFill>
                </w14:textFill>
              </w:rPr>
            </w:pPr>
            <w:r>
              <w:rPr>
                <w:rFonts w:hint="eastAsia" w:eastAsia="宋体"/>
                <w:b w:val="0"/>
                <w:bCs w:val="0"/>
                <w:color w:val="000000" w:themeColor="text1"/>
                <w:spacing w:val="0"/>
                <w:kern w:val="2"/>
                <w:sz w:val="21"/>
                <w:highlight w:val="none"/>
                <w14:textFill>
                  <w14:solidFill>
                    <w14:schemeClr w14:val="tx1"/>
                  </w14:solidFill>
                </w14:textFill>
              </w:rPr>
              <w:t>6、审核把关地面附着物拆除补偿费及名贵苗木搬迁费。</w:t>
            </w:r>
          </w:p>
        </w:tc>
        <w:tc>
          <w:tcPr>
            <w:tcW w:w="1759" w:type="dxa"/>
            <w:tcBorders>
              <w:top w:val="single" w:color="auto" w:sz="4" w:space="0"/>
              <w:left w:val="single" w:color="auto" w:sz="4" w:space="0"/>
              <w:bottom w:val="single" w:color="auto" w:sz="4" w:space="0"/>
            </w:tcBorders>
            <w:vAlign w:val="center"/>
          </w:tcPr>
          <w:p>
            <w:pPr>
              <w:autoSpaceDE w:val="0"/>
              <w:autoSpaceDN w:val="0"/>
              <w:adjustRightInd w:val="0"/>
              <w:spacing w:line="400" w:lineRule="exact"/>
              <w:ind w:left="420" w:leftChars="100" w:right="-23" w:hanging="210" w:hangingChars="1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（暂定价）</w:t>
            </w:r>
          </w:p>
          <w:p>
            <w:pPr>
              <w:autoSpaceDE w:val="0"/>
              <w:autoSpaceDN w:val="0"/>
              <w:adjustRightInd w:val="0"/>
              <w:spacing w:line="400" w:lineRule="exact"/>
              <w:ind w:left="421" w:leftChars="100" w:right="-23" w:hanging="211" w:hangingChars="100"/>
              <w:jc w:val="left"/>
              <w:rPr>
                <w:b/>
                <w:color w:val="000000" w:themeColor="text1"/>
                <w:spacing w:val="-4"/>
                <w:sz w:val="24"/>
                <w:highlight w:val="none"/>
                <w:lang w:val="zh-CN"/>
                <w14:textFill>
                  <w14:solidFill>
                    <w14:schemeClr w14:val="tx1"/>
                  </w14:solidFill>
                </w14:textFill>
              </w:rPr>
            </w:pPr>
            <w:r>
              <w:rPr>
                <w:rFonts w:hint="eastAsia" w:ascii="宋体" w:hAnsi="宋体"/>
                <w:b/>
                <w:color w:val="000000" w:themeColor="text1"/>
                <w:highlight w:val="none"/>
                <w:u w:val="single"/>
                <w14:textFill>
                  <w14:solidFill>
                    <w14:schemeClr w14:val="tx1"/>
                  </w14:solidFill>
                </w14:textFill>
              </w:rPr>
              <w:t>297.5</w:t>
            </w:r>
            <w:r>
              <w:rPr>
                <w:rFonts w:hint="eastAsia"/>
                <w:color w:val="000000" w:themeColor="text1"/>
                <w:highlight w:val="none"/>
                <w14:textFill>
                  <w14:solidFill>
                    <w14:schemeClr w14:val="tx1"/>
                  </w14:solidFill>
                </w14:textFill>
              </w:rPr>
              <w:t>万</w:t>
            </w:r>
            <w:r>
              <w:rPr>
                <w:rFonts w:hint="eastAsia"/>
                <w:color w:val="000000" w:themeColor="text1"/>
                <w:highlight w:val="none"/>
                <w:lang w:val="zh-CN"/>
                <w14:textFill>
                  <w14:solidFill>
                    <w14:schemeClr w14:val="tx1"/>
                  </w14:solidFill>
                </w14:textFill>
              </w:rPr>
              <w:t>元</w:t>
            </w:r>
          </w:p>
          <w:p>
            <w:pPr>
              <w:spacing w:line="480" w:lineRule="exact"/>
              <w:jc w:val="center"/>
              <w:rPr>
                <w:rFonts w:ascii="宋体" w:hAnsi="宋体" w:cs="仿宋_GB2312"/>
                <w:color w:val="000000" w:themeColor="text1"/>
                <w:sz w:val="24"/>
                <w:highlight w:val="none"/>
                <w14:textFill>
                  <w14:solidFill>
                    <w14:schemeClr w14:val="tx1"/>
                  </w14:solidFill>
                </w14:textFill>
              </w:rPr>
            </w:pPr>
          </w:p>
        </w:tc>
      </w:tr>
    </w:tbl>
    <w:p>
      <w:pPr>
        <w:spacing w:line="420" w:lineRule="exact"/>
        <w:ind w:firstLine="480" w:firstLineChars="200"/>
        <w:rPr>
          <w:rFonts w:ascii="宋体" w:hAnsi="宋体" w:cs="微软雅黑"/>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合同履行期限：</w:t>
      </w:r>
      <w:r>
        <w:rPr>
          <w:rFonts w:hint="eastAsia" w:ascii="宋体" w:hAnsi="宋体" w:cs="仿宋_GB2312"/>
          <w:color w:val="000000" w:themeColor="text1"/>
          <w:sz w:val="24"/>
          <w:highlight w:val="none"/>
          <w:lang w:val="zh-CN"/>
          <w14:textFill>
            <w14:solidFill>
              <w14:schemeClr w14:val="tx1"/>
            </w14:solidFill>
          </w14:textFill>
        </w:rPr>
        <w:t>自合同签订之日起至评估工作全面完成（暂定</w:t>
      </w:r>
      <w:r>
        <w:rPr>
          <w:rFonts w:hint="eastAsia" w:ascii="宋体" w:hAnsi="宋体" w:cs="仿宋_GB2312"/>
          <w:color w:val="000000" w:themeColor="text1"/>
          <w:sz w:val="24"/>
          <w:highlight w:val="none"/>
          <w:u w:val="single"/>
          <w:lang w:val="zh-CN"/>
          <w14:textFill>
            <w14:solidFill>
              <w14:schemeClr w14:val="tx1"/>
            </w14:solidFill>
          </w14:textFill>
        </w:rPr>
        <w:t>12</w:t>
      </w:r>
      <w:r>
        <w:rPr>
          <w:rFonts w:hint="eastAsia" w:ascii="宋体" w:hAnsi="宋体" w:cs="仿宋_GB2312"/>
          <w:color w:val="000000" w:themeColor="text1"/>
          <w:sz w:val="24"/>
          <w:highlight w:val="none"/>
          <w:lang w:val="zh-CN"/>
          <w14:textFill>
            <w14:solidFill>
              <w14:schemeClr w14:val="tx1"/>
            </w14:solidFill>
          </w14:textFill>
        </w:rPr>
        <w:t>个月，其中调查摸底工作在发布入户调查公告之日起</w:t>
      </w:r>
      <w:r>
        <w:rPr>
          <w:rFonts w:hint="eastAsia" w:ascii="宋体" w:hAnsi="宋体" w:cs="仿宋_GB2312"/>
          <w:color w:val="000000" w:themeColor="text1"/>
          <w:sz w:val="24"/>
          <w:highlight w:val="none"/>
          <w14:textFill>
            <w14:solidFill>
              <w14:schemeClr w14:val="tx1"/>
            </w14:solidFill>
          </w14:textFill>
        </w:rPr>
        <w:t>1</w:t>
      </w:r>
      <w:r>
        <w:rPr>
          <w:rFonts w:hint="eastAsia" w:ascii="宋体" w:hAnsi="宋体" w:cs="仿宋_GB2312"/>
          <w:color w:val="000000" w:themeColor="text1"/>
          <w:sz w:val="24"/>
          <w:highlight w:val="none"/>
          <w:lang w:val="zh-CN"/>
          <w14:textFill>
            <w14:solidFill>
              <w14:schemeClr w14:val="tx1"/>
            </w14:solidFill>
          </w14:textFill>
        </w:rPr>
        <w:t>5日历天</w:t>
      </w:r>
      <w:r>
        <w:rPr>
          <w:rFonts w:hint="eastAsia" w:ascii="宋体" w:hAnsi="宋体" w:cs="仿宋_GB2312"/>
          <w:color w:val="000000" w:themeColor="text1"/>
          <w:sz w:val="24"/>
          <w:highlight w:val="none"/>
          <w:lang w:val="zh-CN"/>
          <w14:textFill>
            <w14:solidFill>
              <w14:schemeClr w14:val="tx1"/>
            </w14:solidFill>
          </w14:textFill>
        </w:rPr>
        <w:t>内全部完成）</w:t>
      </w:r>
      <w:r>
        <w:rPr>
          <w:rFonts w:hint="eastAsia" w:ascii="宋体" w:hAnsi="宋体" w:cs="仿宋_GB2312"/>
          <w:color w:val="000000" w:themeColor="text1"/>
          <w:sz w:val="24"/>
          <w:highlight w:val="none"/>
          <w14:textFill>
            <w14:solidFill>
              <w14:schemeClr w14:val="tx1"/>
            </w14:solidFill>
          </w14:textFill>
        </w:rPr>
        <w:t>。</w:t>
      </w:r>
    </w:p>
    <w:p>
      <w:pPr>
        <w:pStyle w:val="5"/>
        <w:numPr>
          <w:ilvl w:val="0"/>
          <w:numId w:val="2"/>
        </w:numPr>
        <w:spacing w:before="156" w:after="156" w:line="4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申请人的资格要求：</w:t>
      </w:r>
    </w:p>
    <w:p>
      <w:pPr>
        <w:spacing w:line="420" w:lineRule="exact"/>
        <w:ind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1、符合《中华人民共和国政府采购法》第二十二条要求；</w:t>
      </w:r>
    </w:p>
    <w:p>
      <w:pPr>
        <w:spacing w:line="420" w:lineRule="exact"/>
        <w:ind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2、具有建设部颁发的</w:t>
      </w:r>
      <w:r>
        <w:rPr>
          <w:rFonts w:hint="eastAsia" w:ascii="宋体" w:hAnsi="宋体" w:cs="宋体-PUA"/>
          <w:color w:val="000000" w:themeColor="text1"/>
          <w:sz w:val="24"/>
          <w:highlight w:val="none"/>
          <w14:textFill>
            <w14:solidFill>
              <w14:schemeClr w14:val="tx1"/>
            </w14:solidFill>
          </w14:textFill>
        </w:rPr>
        <w:t>房地产估价贰级（含）以上</w:t>
      </w:r>
      <w:r>
        <w:rPr>
          <w:rFonts w:hint="eastAsia" w:ascii="宋体" w:hAnsi="宋体" w:cs="宋体-PUA"/>
          <w:color w:val="000000" w:themeColor="text1"/>
          <w:sz w:val="24"/>
          <w:highlight w:val="none"/>
          <w14:textFill>
            <w14:solidFill>
              <w14:schemeClr w14:val="tx1"/>
            </w14:solidFill>
          </w14:textFill>
        </w:rPr>
        <w:t>资质证书；</w:t>
      </w:r>
    </w:p>
    <w:p>
      <w:pPr>
        <w:spacing w:line="420" w:lineRule="exact"/>
        <w:ind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3、项目负责人要求：</w:t>
      </w:r>
      <w:r>
        <w:rPr>
          <w:rFonts w:hint="eastAsia" w:ascii="宋体" w:hAnsi="宋体" w:cs="宋体-PUA"/>
          <w:color w:val="000000" w:themeColor="text1"/>
          <w:sz w:val="24"/>
          <w:highlight w:val="none"/>
          <w14:textFill>
            <w14:solidFill>
              <w14:schemeClr w14:val="tx1"/>
            </w14:solidFill>
          </w14:textFill>
        </w:rPr>
        <w:t>具有注册房地产估价师或评估师资格</w:t>
      </w:r>
      <w:r>
        <w:rPr>
          <w:rFonts w:hint="eastAsia" w:ascii="宋体" w:hAnsi="宋体" w:cs="宋体-PUA"/>
          <w:color w:val="000000" w:themeColor="text1"/>
          <w:sz w:val="24"/>
          <w:highlight w:val="none"/>
          <w14:textFill>
            <w14:solidFill>
              <w14:schemeClr w14:val="tx1"/>
            </w14:solidFill>
          </w14:textFill>
        </w:rPr>
        <w:t>；</w:t>
      </w:r>
    </w:p>
    <w:p>
      <w:pPr>
        <w:spacing w:line="420" w:lineRule="exact"/>
        <w:ind w:firstLine="446" w:firstLineChars="186"/>
        <w:rPr>
          <w:rFonts w:ascii="宋体" w:hAnsi="宋体" w:cs="宋体"/>
          <w:color w:val="000000" w:themeColor="text1"/>
          <w:spacing w:val="-6"/>
          <w:szCs w:val="21"/>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4、</w:t>
      </w:r>
      <w:r>
        <w:rPr>
          <w:rFonts w:hint="eastAsia" w:ascii="宋体" w:hAnsi="宋体" w:cs="宋体"/>
          <w:color w:val="000000" w:themeColor="text1"/>
          <w:spacing w:val="-6"/>
          <w:sz w:val="24"/>
          <w:highlight w:val="none"/>
          <w14:textFill>
            <w14:solidFill>
              <w14:schemeClr w14:val="tx1"/>
            </w14:solidFill>
          </w14:textFill>
        </w:rPr>
        <w:t>未被“信用中国”（www.creditchina.gov.cn）、中国政府采购网（www.ccgp.gov.cn）列入失信被执行人、重大税收违法案件当事人名单、政府采购严重违法失信行为记录名单</w:t>
      </w:r>
      <w:r>
        <w:rPr>
          <w:rFonts w:hint="eastAsia" w:ascii="宋体" w:hAnsi="宋体" w:cs="宋体-PUA"/>
          <w:color w:val="000000" w:themeColor="text1"/>
          <w:spacing w:val="-6"/>
          <w:sz w:val="24"/>
          <w:highlight w:val="none"/>
          <w14:textFill>
            <w14:solidFill>
              <w14:schemeClr w14:val="tx1"/>
            </w14:solidFill>
          </w14:textFill>
        </w:rPr>
        <w:t>；</w:t>
      </w:r>
    </w:p>
    <w:p>
      <w:pPr>
        <w:spacing w:line="420" w:lineRule="exact"/>
        <w:ind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本项目</w:t>
      </w:r>
      <w:r>
        <w:rPr>
          <w:rFonts w:hint="eastAsia" w:ascii="宋体" w:hAnsi="宋体" w:cs="宋体-PUA"/>
          <w:color w:val="000000" w:themeColor="text1"/>
          <w:sz w:val="24"/>
          <w:highlight w:val="none"/>
          <w14:textFill>
            <w14:solidFill>
              <w14:schemeClr w14:val="tx1"/>
            </w14:solidFill>
          </w14:textFill>
        </w:rPr>
        <w:t>不接受联合体投标。</w:t>
      </w:r>
    </w:p>
    <w:p>
      <w:pPr>
        <w:spacing w:line="420" w:lineRule="exact"/>
        <w:ind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注：多家供应商参加本项目投标，如其中两家或两家以上供应商的法定代表为同一人或相互之间存在投资关系且达到控股，应当按一个供应商认定。</w:t>
      </w:r>
    </w:p>
    <w:p>
      <w:pPr>
        <w:pStyle w:val="5"/>
        <w:numPr>
          <w:ilvl w:val="0"/>
          <w:numId w:val="0"/>
        </w:numPr>
        <w:spacing w:before="156" w:after="156" w:line="4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三、获取招标文件</w:t>
      </w:r>
    </w:p>
    <w:p>
      <w:pPr>
        <w:spacing w:line="400" w:lineRule="exact"/>
        <w:ind w:firstLine="54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时间：</w:t>
      </w:r>
      <w:r>
        <w:rPr>
          <w:rFonts w:hint="eastAsia" w:ascii="宋体" w:hAnsi="宋体" w:cs="宋体"/>
          <w:color w:val="000000" w:themeColor="text1"/>
          <w:spacing w:val="-6"/>
          <w:sz w:val="24"/>
          <w:highlight w:val="none"/>
          <w:u w:val="single"/>
          <w14:textFill>
            <w14:solidFill>
              <w14:schemeClr w14:val="tx1"/>
            </w14:solidFill>
          </w14:textFill>
        </w:rPr>
        <w:t>2021年</w:t>
      </w:r>
      <w:r>
        <w:rPr>
          <w:rFonts w:hint="eastAsia" w:ascii="宋体" w:hAnsi="宋体" w:cs="宋体"/>
          <w:color w:val="000000" w:themeColor="text1"/>
          <w:spacing w:val="-6"/>
          <w:sz w:val="24"/>
          <w:highlight w:val="none"/>
          <w:u w:val="single"/>
          <w:lang w:val="en-US" w:eastAsia="zh-CN"/>
          <w14:textFill>
            <w14:solidFill>
              <w14:schemeClr w14:val="tx1"/>
            </w14:solidFill>
          </w14:textFill>
        </w:rPr>
        <w:t>2</w:t>
      </w:r>
      <w:r>
        <w:rPr>
          <w:rFonts w:hint="eastAsia" w:ascii="宋体" w:hAnsi="宋体" w:cs="宋体"/>
          <w:color w:val="000000" w:themeColor="text1"/>
          <w:spacing w:val="-6"/>
          <w:sz w:val="24"/>
          <w:highlight w:val="none"/>
          <w:u w:val="single"/>
          <w14:textFill>
            <w14:solidFill>
              <w14:schemeClr w14:val="tx1"/>
            </w14:solidFill>
          </w14:textFill>
        </w:rPr>
        <w:t xml:space="preserve">月 </w:t>
      </w:r>
      <w:r>
        <w:rPr>
          <w:rFonts w:hint="eastAsia" w:ascii="宋体" w:hAnsi="宋体" w:cs="宋体"/>
          <w:color w:val="000000" w:themeColor="text1"/>
          <w:spacing w:val="-6"/>
          <w:sz w:val="24"/>
          <w:highlight w:val="none"/>
          <w:u w:val="single"/>
          <w:lang w:val="en-US" w:eastAsia="zh-CN"/>
          <w14:textFill>
            <w14:solidFill>
              <w14:schemeClr w14:val="tx1"/>
            </w14:solidFill>
          </w14:textFill>
        </w:rPr>
        <w:t>26</w:t>
      </w:r>
      <w:r>
        <w:rPr>
          <w:rFonts w:hint="eastAsia" w:ascii="宋体" w:hAnsi="宋体" w:cs="宋体"/>
          <w:color w:val="000000" w:themeColor="text1"/>
          <w:spacing w:val="-6"/>
          <w:sz w:val="24"/>
          <w:highlight w:val="none"/>
          <w:u w:val="single"/>
          <w14:textFill>
            <w14:solidFill>
              <w14:schemeClr w14:val="tx1"/>
            </w14:solidFill>
          </w14:textFill>
        </w:rPr>
        <w:t xml:space="preserve"> 日</w:t>
      </w:r>
      <w:r>
        <w:rPr>
          <w:rFonts w:hint="eastAsia" w:ascii="宋体" w:hAnsi="宋体" w:cs="宋体"/>
          <w:color w:val="000000" w:themeColor="text1"/>
          <w:spacing w:val="-6"/>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pacing w:val="-6"/>
          <w:sz w:val="24"/>
          <w:highlight w:val="none"/>
          <w14:textFill>
            <w14:solidFill>
              <w14:schemeClr w14:val="tx1"/>
            </w14:solidFill>
          </w14:textFill>
        </w:rPr>
        <w:t>至</w:t>
      </w:r>
      <w:r>
        <w:rPr>
          <w:rFonts w:hint="eastAsia" w:ascii="宋体" w:hAnsi="宋体" w:cs="宋体"/>
          <w:color w:val="000000" w:themeColor="text1"/>
          <w:spacing w:val="-6"/>
          <w:sz w:val="24"/>
          <w:highlight w:val="none"/>
          <w:u w:val="single"/>
          <w14:textFill>
            <w14:solidFill>
              <w14:schemeClr w14:val="tx1"/>
            </w14:solidFill>
          </w14:textFill>
        </w:rPr>
        <w:t xml:space="preserve">2021年 </w:t>
      </w:r>
      <w:r>
        <w:rPr>
          <w:rFonts w:hint="eastAsia" w:ascii="宋体" w:hAnsi="宋体" w:cs="宋体"/>
          <w:color w:val="000000" w:themeColor="text1"/>
          <w:spacing w:val="-6"/>
          <w:sz w:val="24"/>
          <w:highlight w:val="none"/>
          <w:u w:val="single"/>
          <w:lang w:val="en-US" w:eastAsia="zh-CN"/>
          <w14:textFill>
            <w14:solidFill>
              <w14:schemeClr w14:val="tx1"/>
            </w14:solidFill>
          </w14:textFill>
        </w:rPr>
        <w:t>3</w:t>
      </w:r>
      <w:r>
        <w:rPr>
          <w:rFonts w:hint="eastAsia" w:ascii="宋体" w:hAnsi="宋体" w:cs="宋体"/>
          <w:color w:val="000000" w:themeColor="text1"/>
          <w:spacing w:val="-6"/>
          <w:sz w:val="24"/>
          <w:highlight w:val="none"/>
          <w:u w:val="single"/>
          <w14:textFill>
            <w14:solidFill>
              <w14:schemeClr w14:val="tx1"/>
            </w14:solidFill>
          </w14:textFill>
        </w:rPr>
        <w:t xml:space="preserve">月 </w:t>
      </w:r>
      <w:r>
        <w:rPr>
          <w:rFonts w:hint="eastAsia" w:ascii="宋体" w:hAnsi="宋体" w:cs="宋体"/>
          <w:color w:val="000000" w:themeColor="text1"/>
          <w:spacing w:val="-6"/>
          <w:sz w:val="24"/>
          <w:highlight w:val="none"/>
          <w:u w:val="single"/>
          <w:lang w:val="en-US" w:eastAsia="zh-CN"/>
          <w14:textFill>
            <w14:solidFill>
              <w14:schemeClr w14:val="tx1"/>
            </w14:solidFill>
          </w14:textFill>
        </w:rPr>
        <w:t>5</w:t>
      </w:r>
      <w:r>
        <w:rPr>
          <w:rFonts w:hint="eastAsia" w:ascii="宋体" w:hAnsi="宋体" w:cs="宋体"/>
          <w:color w:val="000000" w:themeColor="text1"/>
          <w:spacing w:val="-6"/>
          <w:sz w:val="24"/>
          <w:highlight w:val="none"/>
          <w:u w:val="single"/>
          <w14:textFill>
            <w14:solidFill>
              <w14:schemeClr w14:val="tx1"/>
            </w14:solidFill>
          </w14:textFill>
        </w:rPr>
        <w:t xml:space="preserve"> 日</w:t>
      </w:r>
      <w:r>
        <w:rPr>
          <w:rFonts w:hint="eastAsia" w:ascii="宋体" w:hAnsi="宋体" w:cs="宋体"/>
          <w:color w:val="000000" w:themeColor="text1"/>
          <w:spacing w:val="-6"/>
          <w:sz w:val="24"/>
          <w:highlight w:val="none"/>
          <w:u w:val="single"/>
          <w14:textFill>
            <w14:solidFill>
              <w14:schemeClr w14:val="tx1"/>
            </w14:solidFill>
          </w14:textFill>
        </w:rPr>
        <w:t>（提供期限自本公告发布之日起不得少于5个工作日）</w:t>
      </w:r>
      <w:r>
        <w:rPr>
          <w:rFonts w:hint="eastAsia" w:ascii="宋体" w:hAnsi="宋体" w:cs="宋体"/>
          <w:color w:val="000000" w:themeColor="text1"/>
          <w:spacing w:val="-6"/>
          <w:sz w:val="24"/>
          <w:highlight w:val="none"/>
          <w14:textFill>
            <w14:solidFill>
              <w14:schemeClr w14:val="tx1"/>
            </w14:solidFill>
          </w14:textFill>
        </w:rPr>
        <w:t>，每天上午</w:t>
      </w:r>
      <w:r>
        <w:rPr>
          <w:rFonts w:hint="eastAsia" w:ascii="宋体" w:hAnsi="宋体" w:cs="宋体"/>
          <w:color w:val="000000" w:themeColor="text1"/>
          <w:spacing w:val="-6"/>
          <w:sz w:val="24"/>
          <w:highlight w:val="none"/>
          <w:u w:val="single"/>
          <w14:textFill>
            <w14:solidFill>
              <w14:schemeClr w14:val="tx1"/>
            </w14:solidFill>
          </w14:textFill>
        </w:rPr>
        <w:t>00:00至12:00</w:t>
      </w:r>
      <w:r>
        <w:rPr>
          <w:rFonts w:hint="eastAsia" w:ascii="宋体" w:hAnsi="宋体" w:cs="宋体"/>
          <w:color w:val="000000" w:themeColor="text1"/>
          <w:spacing w:val="-6"/>
          <w:sz w:val="24"/>
          <w:highlight w:val="none"/>
          <w14:textFill>
            <w14:solidFill>
              <w14:schemeClr w14:val="tx1"/>
            </w14:solidFill>
          </w14:textFill>
        </w:rPr>
        <w:t> ，下午</w:t>
      </w:r>
      <w:r>
        <w:rPr>
          <w:rFonts w:hint="eastAsia" w:ascii="宋体" w:hAnsi="宋体" w:cs="宋体"/>
          <w:color w:val="000000" w:themeColor="text1"/>
          <w:spacing w:val="-6"/>
          <w:sz w:val="24"/>
          <w:highlight w:val="none"/>
          <w:u w:val="single"/>
          <w14:textFill>
            <w14:solidFill>
              <w14:schemeClr w14:val="tx1"/>
            </w14:solidFill>
          </w14:textFill>
        </w:rPr>
        <w:t>12:00至23:59</w:t>
      </w:r>
      <w:r>
        <w:rPr>
          <w:rFonts w:hint="eastAsia" w:ascii="宋体" w:hAnsi="宋体" w:cs="宋体"/>
          <w:color w:val="000000" w:themeColor="text1"/>
          <w:spacing w:val="-6"/>
          <w:sz w:val="24"/>
          <w:highlight w:val="none"/>
          <w14:textFill>
            <w14:solidFill>
              <w14:schemeClr w14:val="tx1"/>
            </w14:solidFill>
          </w14:textFill>
        </w:rPr>
        <w:t>（北京时间，法定节假日除外）</w:t>
      </w:r>
    </w:p>
    <w:p>
      <w:pPr>
        <w:spacing w:line="400" w:lineRule="exact"/>
        <w:ind w:firstLine="54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地点：政采云平台（http://zfcg.czt.zj.gov.cn）</w:t>
      </w:r>
    </w:p>
    <w:p>
      <w:pPr>
        <w:spacing w:line="400" w:lineRule="exact"/>
        <w:ind w:firstLine="540"/>
        <w:rPr>
          <w:rStyle w:val="18"/>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方式：</w:t>
      </w:r>
      <w:r>
        <w:rPr>
          <w:rStyle w:val="18"/>
          <w:rFonts w:hint="eastAsia" w:ascii="宋体" w:hAnsi="宋体" w:cs="宋体"/>
          <w:color w:val="000000" w:themeColor="text1"/>
          <w:sz w:val="24"/>
          <w:highlight w:val="none"/>
          <w14:textFill>
            <w14:solidFill>
              <w14:schemeClr w14:val="tx1"/>
            </w14:solidFill>
          </w14:textFill>
        </w:rPr>
        <w:t>供应商按下述要求获取招标文件，如未在“政采云”系统内完成相关流程，引起的投标无效责任自负。</w:t>
      </w:r>
    </w:p>
    <w:p>
      <w:pPr>
        <w:numPr>
          <w:ilvl w:val="0"/>
          <w:numId w:val="3"/>
        </w:numPr>
        <w:spacing w:line="400" w:lineRule="exact"/>
        <w:ind w:firstLine="54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本项目招标文件实行“政府采购云平台”在线获取，不提供招标文件纸质版。供应商获取招标文件前应先完成“政府采购云平台”的账号注册同时办理CA领取。</w:t>
      </w:r>
    </w:p>
    <w:p>
      <w:pPr>
        <w:numPr>
          <w:ilvl w:val="0"/>
          <w:numId w:val="3"/>
        </w:numPr>
        <w:spacing w:line="400" w:lineRule="exact"/>
        <w:ind w:firstLine="54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提示：招标公告内的招标文件（免费）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售价：免费</w:t>
      </w:r>
    </w:p>
    <w:p>
      <w:pPr>
        <w:spacing w:line="40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四、提交投标文件截止时间、开标时间和地点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提交投标文件截止时间：</w:t>
      </w:r>
      <w:r>
        <w:rPr>
          <w:rFonts w:hint="eastAsia" w:ascii="宋体" w:hAnsi="宋体" w:cs="宋体"/>
          <w:bCs/>
          <w:color w:val="000000" w:themeColor="text1"/>
          <w:sz w:val="24"/>
          <w:highlight w:val="none"/>
          <w:u w:val="single"/>
          <w14:textFill>
            <w14:solidFill>
              <w14:schemeClr w14:val="tx1"/>
            </w14:solidFill>
          </w14:textFill>
        </w:rPr>
        <w:t xml:space="preserve"> 2021年 </w:t>
      </w:r>
      <w:r>
        <w:rPr>
          <w:rFonts w:hint="eastAsia" w:ascii="宋体" w:hAnsi="宋体" w:cs="宋体"/>
          <w:bCs/>
          <w:color w:val="000000" w:themeColor="text1"/>
          <w:sz w:val="24"/>
          <w:highlight w:val="none"/>
          <w:u w:val="single"/>
          <w:lang w:val="en-US" w:eastAsia="zh-CN"/>
          <w14:textFill>
            <w14:solidFill>
              <w14:schemeClr w14:val="tx1"/>
            </w14:solidFill>
          </w14:textFill>
        </w:rPr>
        <w:t>3</w:t>
      </w:r>
      <w:r>
        <w:rPr>
          <w:rFonts w:hint="eastAsia" w:ascii="宋体" w:hAnsi="宋体" w:cs="宋体"/>
          <w:bCs/>
          <w:color w:val="000000" w:themeColor="text1"/>
          <w:sz w:val="24"/>
          <w:highlight w:val="none"/>
          <w:u w:val="single"/>
          <w14:textFill>
            <w14:solidFill>
              <w14:schemeClr w14:val="tx1"/>
            </w14:solidFill>
          </w14:textFill>
        </w:rPr>
        <w:t xml:space="preserve"> 月 </w:t>
      </w:r>
      <w:r>
        <w:rPr>
          <w:rFonts w:hint="eastAsia" w:ascii="宋体" w:hAnsi="宋体" w:cs="宋体"/>
          <w:bCs/>
          <w:color w:val="000000" w:themeColor="text1"/>
          <w:sz w:val="24"/>
          <w:highlight w:val="none"/>
          <w:u w:val="single"/>
          <w:lang w:val="en-US" w:eastAsia="zh-CN"/>
          <w14:textFill>
            <w14:solidFill>
              <w14:schemeClr w14:val="tx1"/>
            </w14:solidFill>
          </w14:textFill>
        </w:rPr>
        <w:t>18</w:t>
      </w:r>
      <w:r>
        <w:rPr>
          <w:rFonts w:hint="eastAsia" w:ascii="宋体" w:hAnsi="宋体" w:cs="宋体"/>
          <w:bCs/>
          <w:color w:val="000000" w:themeColor="text1"/>
          <w:sz w:val="24"/>
          <w:highlight w:val="none"/>
          <w:u w:val="single"/>
          <w14:textFill>
            <w14:solidFill>
              <w14:schemeClr w14:val="tx1"/>
            </w14:solidFill>
          </w14:textFill>
        </w:rPr>
        <w:t xml:space="preserve"> 日14点30分前</w:t>
      </w:r>
      <w:r>
        <w:rPr>
          <w:rFonts w:hint="eastAsia" w:ascii="宋体" w:hAnsi="宋体" w:cs="宋体"/>
          <w:bCs/>
          <w:color w:val="000000" w:themeColor="text1"/>
          <w:sz w:val="24"/>
          <w:highlight w:val="none"/>
          <w14:textFill>
            <w14:solidFill>
              <w14:schemeClr w14:val="tx1"/>
            </w14:solidFill>
          </w14:textFill>
        </w:rPr>
        <w:t>（北京时间）</w:t>
      </w:r>
      <w:r>
        <w:rPr>
          <w:rFonts w:hint="eastAsia" w:ascii="宋体" w:hAnsi="宋体" w:cs="宋体"/>
          <w:color w:val="000000" w:themeColor="text1"/>
          <w:sz w:val="24"/>
          <w:highlight w:val="none"/>
          <w14:textFill>
            <w14:solidFill>
              <w14:schemeClr w14:val="tx1"/>
            </w14:solidFill>
          </w14:textFill>
        </w:rPr>
        <w:t>；</w:t>
      </w:r>
    </w:p>
    <w:p>
      <w:pPr>
        <w:spacing w:line="4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开标时间：</w:t>
      </w:r>
      <w:r>
        <w:rPr>
          <w:rFonts w:hint="eastAsia" w:ascii="宋体" w:hAnsi="宋体" w:cs="宋体"/>
          <w:bCs/>
          <w:color w:val="000000" w:themeColor="text1"/>
          <w:sz w:val="24"/>
          <w:highlight w:val="none"/>
          <w:u w:val="single"/>
          <w14:textFill>
            <w14:solidFill>
              <w14:schemeClr w14:val="tx1"/>
            </w14:solidFill>
          </w14:textFill>
        </w:rPr>
        <w:t xml:space="preserve"> 2021年 </w:t>
      </w:r>
      <w:r>
        <w:rPr>
          <w:rFonts w:hint="eastAsia" w:ascii="宋体" w:hAnsi="宋体" w:cs="宋体"/>
          <w:bCs/>
          <w:color w:val="000000" w:themeColor="text1"/>
          <w:sz w:val="24"/>
          <w:highlight w:val="none"/>
          <w:u w:val="single"/>
          <w:lang w:val="en-US" w:eastAsia="zh-CN"/>
          <w14:textFill>
            <w14:solidFill>
              <w14:schemeClr w14:val="tx1"/>
            </w14:solidFill>
          </w14:textFill>
        </w:rPr>
        <w:t>3</w:t>
      </w:r>
      <w:r>
        <w:rPr>
          <w:rFonts w:hint="eastAsia" w:ascii="宋体" w:hAnsi="宋体" w:cs="宋体"/>
          <w:bCs/>
          <w:color w:val="000000" w:themeColor="text1"/>
          <w:sz w:val="24"/>
          <w:highlight w:val="none"/>
          <w:u w:val="single"/>
          <w14:textFill>
            <w14:solidFill>
              <w14:schemeClr w14:val="tx1"/>
            </w14:solidFill>
          </w14:textFill>
        </w:rPr>
        <w:t xml:space="preserve"> 月  </w:t>
      </w:r>
      <w:r>
        <w:rPr>
          <w:rFonts w:hint="eastAsia" w:ascii="宋体" w:hAnsi="宋体" w:cs="宋体"/>
          <w:bCs/>
          <w:color w:val="000000" w:themeColor="text1"/>
          <w:sz w:val="24"/>
          <w:highlight w:val="none"/>
          <w:u w:val="single"/>
          <w:lang w:val="en-US" w:eastAsia="zh-CN"/>
          <w14:textFill>
            <w14:solidFill>
              <w14:schemeClr w14:val="tx1"/>
            </w14:solidFill>
          </w14:textFill>
        </w:rPr>
        <w:t xml:space="preserve">18 </w:t>
      </w:r>
      <w:r>
        <w:rPr>
          <w:rFonts w:hint="eastAsia" w:ascii="宋体" w:hAnsi="宋体" w:cs="宋体"/>
          <w:bCs/>
          <w:color w:val="000000" w:themeColor="text1"/>
          <w:sz w:val="24"/>
          <w:highlight w:val="none"/>
          <w:u w:val="single"/>
          <w14:textFill>
            <w14:solidFill>
              <w14:schemeClr w14:val="tx1"/>
            </w14:solidFill>
          </w14:textFill>
        </w:rPr>
        <w:t>日14点30分前</w:t>
      </w:r>
      <w:r>
        <w:rPr>
          <w:rFonts w:hint="eastAsia" w:ascii="宋体" w:hAnsi="宋体" w:cs="宋体"/>
          <w:bCs/>
          <w:color w:val="000000" w:themeColor="text1"/>
          <w:sz w:val="24"/>
          <w:highlight w:val="none"/>
          <w14:textFill>
            <w14:solidFill>
              <w14:schemeClr w14:val="tx1"/>
            </w14:solidFill>
          </w14:textFill>
        </w:rPr>
        <w:t>（北京时间）</w:t>
      </w:r>
      <w:r>
        <w:rPr>
          <w:rFonts w:hint="eastAsia" w:ascii="宋体" w:hAnsi="宋体" w:cs="宋体"/>
          <w:color w:val="000000" w:themeColor="text1"/>
          <w:sz w:val="24"/>
          <w:highlight w:val="none"/>
          <w:u w:val="single"/>
          <w14:textFill>
            <w14:solidFill>
              <w14:schemeClr w14:val="tx1"/>
            </w14:solidFill>
          </w14:textFill>
        </w:rPr>
        <w:t>（自招标文件开始发出之日起至投标人提交投标文件截止之日止，不得少于20日）</w:t>
      </w:r>
      <w:r>
        <w:rPr>
          <w:rFonts w:hint="eastAsia" w:ascii="宋体" w:hAnsi="宋体" w:cs="宋体"/>
          <w:color w:val="000000" w:themeColor="text1"/>
          <w:sz w:val="24"/>
          <w:highlight w:val="none"/>
          <w14:textFill>
            <w14:solidFill>
              <w14:schemeClr w14:val="tx1"/>
            </w14:solidFill>
          </w14:textFill>
        </w:rPr>
        <w:t>。</w:t>
      </w:r>
    </w:p>
    <w:p>
      <w:pPr>
        <w:snapToGrid w:val="0"/>
        <w:spacing w:line="400" w:lineRule="exact"/>
        <w:ind w:firstLine="436" w:firstLineChars="200"/>
        <w:jc w:val="left"/>
        <w:rPr>
          <w:rFonts w:ascii="宋体" w:hAnsi="宋体" w:cs="宋体"/>
          <w:color w:val="000000" w:themeColor="text1"/>
          <w:spacing w:val="-11"/>
          <w:sz w:val="24"/>
          <w:highlight w:val="none"/>
          <w14:textFill>
            <w14:solidFill>
              <w14:schemeClr w14:val="tx1"/>
            </w14:solidFill>
          </w14:textFill>
        </w:rPr>
      </w:pPr>
      <w:r>
        <w:rPr>
          <w:rFonts w:hint="eastAsia" w:ascii="宋体" w:hAnsi="宋体" w:cs="宋体"/>
          <w:color w:val="000000" w:themeColor="text1"/>
          <w:spacing w:val="-11"/>
          <w:sz w:val="24"/>
          <w:highlight w:val="none"/>
          <w14:textFill>
            <w14:solidFill>
              <w14:schemeClr w14:val="tx1"/>
            </w14:solidFill>
          </w14:textFill>
        </w:rPr>
        <w:t>地点：</w:t>
      </w:r>
      <w:r>
        <w:rPr>
          <w:rStyle w:val="18"/>
          <w:rFonts w:hint="eastAsia" w:ascii="宋体" w:hAnsi="宋体" w:cs="宋体"/>
          <w:b w:val="0"/>
          <w:bCs w:val="0"/>
          <w:color w:val="000000" w:themeColor="text1"/>
          <w:spacing w:val="-11"/>
          <w:sz w:val="24"/>
          <w:highlight w:val="none"/>
          <w:shd w:val="clear" w:color="auto" w:fill="FFFFFF"/>
          <w14:textFill>
            <w14:solidFill>
              <w14:schemeClr w14:val="tx1"/>
            </w14:solidFill>
          </w14:textFill>
        </w:rPr>
        <w:t>生成的“电子加密投标文件”上传递交至“政府采购云平台”，“电子加密投标文件”</w:t>
      </w:r>
      <w:r>
        <w:rPr>
          <w:rFonts w:hint="eastAsia" w:ascii="宋体" w:hAnsi="宋体" w:cs="宋体"/>
          <w:color w:val="000000" w:themeColor="text1"/>
          <w:spacing w:val="-11"/>
          <w:sz w:val="24"/>
          <w:highlight w:val="none"/>
          <w14:textFill>
            <w14:solidFill>
              <w14:schemeClr w14:val="tx1"/>
            </w14:solidFill>
          </w14:textFill>
        </w:rPr>
        <w:t>在政采云平台（http://zfcg.czt.zj.gov.cn）按时解密，</w:t>
      </w:r>
      <w:r>
        <w:rPr>
          <w:rFonts w:hint="eastAsia" w:ascii="宋体" w:hAnsi="宋体"/>
          <w:color w:val="000000" w:themeColor="text1"/>
          <w:spacing w:val="-11"/>
          <w:sz w:val="24"/>
          <w:highlight w:val="none"/>
          <w14:textFill>
            <w14:solidFill>
              <w14:schemeClr w14:val="tx1"/>
            </w14:solidFill>
          </w14:textFill>
        </w:rPr>
        <w:t>电子备份投标文件U盘在开标截止时间前</w:t>
      </w:r>
      <w:r>
        <w:rPr>
          <w:rFonts w:hint="eastAsia" w:ascii="宋体" w:hAnsi="宋体" w:cs="仿宋_GB2312"/>
          <w:color w:val="000000" w:themeColor="text1"/>
          <w:spacing w:val="-11"/>
          <w:sz w:val="24"/>
          <w:highlight w:val="none"/>
          <w14:textFill>
            <w14:solidFill>
              <w14:schemeClr w14:val="tx1"/>
            </w14:solidFill>
          </w14:textFill>
        </w:rPr>
        <w:t>递交至浙江卓宏建设项目管理有限公司（衢州市西区鑫港大厦18楼东侧）。</w:t>
      </w:r>
    </w:p>
    <w:p>
      <w:pPr>
        <w:spacing w:line="40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五、公告期限</w:t>
      </w:r>
    </w:p>
    <w:p>
      <w:pPr>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自本公告发布之日起5个工作日。</w:t>
      </w:r>
    </w:p>
    <w:p>
      <w:pPr>
        <w:spacing w:line="40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六、</w:t>
      </w:r>
      <w:r>
        <w:rPr>
          <w:rFonts w:hint="eastAsia" w:ascii="宋体" w:hAnsi="宋体" w:cs="宋体"/>
          <w:b/>
          <w:bCs/>
          <w:color w:val="000000" w:themeColor="text1"/>
          <w:sz w:val="24"/>
          <w:highlight w:val="none"/>
          <w14:textFill>
            <w14:solidFill>
              <w14:schemeClr w14:val="tx1"/>
            </w14:solidFill>
          </w14:textFill>
        </w:rPr>
        <w:t>其他补充事宜</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2、在线投标响应（电子投标）说明</w:t>
      </w:r>
    </w:p>
    <w:p>
      <w:pPr>
        <w:pStyle w:val="14"/>
        <w:spacing w:before="0" w:beforeAutospacing="0" w:after="0" w:afterAutospacing="0" w:line="400" w:lineRule="exact"/>
        <w:ind w:firstLine="482" w:firstLineChars="200"/>
        <w:rPr>
          <w:rStyle w:val="18"/>
          <w:color w:val="000000" w:themeColor="text1"/>
          <w:highlight w:val="none"/>
          <w:shd w:val="clear" w:color="auto" w:fill="FFFFFF"/>
          <w14:textFill>
            <w14:solidFill>
              <w14:schemeClr w14:val="tx1"/>
            </w14:solidFill>
          </w14:textFill>
        </w:rPr>
      </w:pPr>
      <w:r>
        <w:rPr>
          <w:rStyle w:val="18"/>
          <w:rFonts w:hint="eastAsia"/>
          <w:color w:val="000000" w:themeColor="text1"/>
          <w:highlight w:val="none"/>
          <w:shd w:val="clear" w:color="auto" w:fill="FFFFFF"/>
          <w14:textFill>
            <w14:solidFill>
              <w14:schemeClr w14:val="tx1"/>
            </w14:solidFill>
          </w14:textFill>
        </w:rPr>
        <w:t>（1）本项目通过“政府采购云平台（http://zfcg.czt.zj.gov.cn）”实行在线投标响应（电子投标），投标人应先安装“政采云电子交易客户端”，并按照本采购文件和“政府采购云平台”的要求，通过“政采云电子交易客户端”编制并加密投标文件。投标人未按规定加密的投标文件，“政府采购云平台”将予以拒收。</w:t>
      </w:r>
    </w:p>
    <w:p>
      <w:pPr>
        <w:pStyle w:val="14"/>
        <w:spacing w:before="0" w:beforeAutospacing="0" w:after="0" w:afterAutospacing="0" w:line="400" w:lineRule="exact"/>
        <w:ind w:firstLine="482" w:firstLineChars="200"/>
        <w:rPr>
          <w:rStyle w:val="18"/>
          <w:color w:val="000000" w:themeColor="text1"/>
          <w:highlight w:val="none"/>
          <w:shd w:val="clear" w:color="auto" w:fill="FFFFFF"/>
          <w14:textFill>
            <w14:solidFill>
              <w14:schemeClr w14:val="tx1"/>
            </w14:solidFill>
          </w14:textFill>
        </w:rPr>
      </w:pPr>
      <w:r>
        <w:rPr>
          <w:rStyle w:val="18"/>
          <w:rFonts w:hint="eastAsia"/>
          <w:color w:val="000000" w:themeColor="text1"/>
          <w:highlight w:val="none"/>
          <w:shd w:val="clear" w:color="auto" w:fill="FFFFFF"/>
          <w14:textFill>
            <w14:solidFill>
              <w14:schemeClr w14:val="tx1"/>
            </w14:solidFill>
          </w14:textFill>
        </w:rPr>
        <w:t>（2）“政采云电子交易客户端”请自行前往“浙江政府采购网-下载专区-电子交易客户端”进行下载；电子投标具体操作流程详见政采云平台《投标人项目采购-电子招投标操作指南》；通过“政府采购云平台”参与在线投标时如遇平台技术问题详询400-881-7190。</w:t>
      </w:r>
    </w:p>
    <w:p>
      <w:pPr>
        <w:pStyle w:val="14"/>
        <w:spacing w:before="0" w:beforeAutospacing="0" w:after="0" w:afterAutospacing="0" w:line="400" w:lineRule="exact"/>
        <w:ind w:firstLine="482" w:firstLineChars="200"/>
        <w:rPr>
          <w:rStyle w:val="18"/>
          <w:color w:val="000000" w:themeColor="text1"/>
          <w:highlight w:val="none"/>
          <w:shd w:val="clear" w:color="auto" w:fill="FFFFFF"/>
          <w14:textFill>
            <w14:solidFill>
              <w14:schemeClr w14:val="tx1"/>
            </w14:solidFill>
          </w14:textFill>
        </w:rPr>
      </w:pPr>
      <w:r>
        <w:rPr>
          <w:rStyle w:val="18"/>
          <w:rFonts w:hint="eastAsia"/>
          <w:color w:val="000000" w:themeColor="text1"/>
          <w:highlight w:val="none"/>
          <w:shd w:val="clear" w:color="auto" w:fill="FFFFFF"/>
          <w14:textFill>
            <w14:solidFill>
              <w14:schemeClr w14:val="tx1"/>
            </w14:solidFill>
          </w14:textFill>
        </w:rPr>
        <w:t>（3）为确保网上操作合法、有效和安全，投标人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完成CA数字证书办理预计一周左右，建议各投标人抓紧时间办理。</w:t>
      </w:r>
    </w:p>
    <w:p>
      <w:pPr>
        <w:pStyle w:val="14"/>
        <w:spacing w:before="0" w:beforeAutospacing="0" w:after="0" w:afterAutospacing="0" w:line="400" w:lineRule="exact"/>
        <w:ind w:firstLine="482" w:firstLineChars="200"/>
        <w:rPr>
          <w:rStyle w:val="18"/>
          <w:color w:val="000000" w:themeColor="text1"/>
          <w:highlight w:val="none"/>
          <w:shd w:val="clear" w:color="auto" w:fill="FFFFFF"/>
          <w14:textFill>
            <w14:solidFill>
              <w14:schemeClr w14:val="tx1"/>
            </w14:solidFill>
          </w14:textFill>
        </w:rPr>
      </w:pPr>
      <w:r>
        <w:rPr>
          <w:rStyle w:val="18"/>
          <w:rFonts w:hint="eastAsia"/>
          <w:color w:val="000000" w:themeColor="text1"/>
          <w:highlight w:val="none"/>
          <w:shd w:val="clear" w:color="auto" w:fill="FFFFFF"/>
          <w14:textFill>
            <w14:solidFill>
              <w14:schemeClr w14:val="tx1"/>
            </w14:solidFill>
          </w14:textFill>
        </w:rPr>
        <w:t>（4）投标人应当在投标截止时间前，将生成的“电子加密投标文件”上传递交至“政府采购云平台”。投标截止时间以后上传递交的投标文件将被“政府采购云平台”拒收。</w:t>
      </w:r>
    </w:p>
    <w:p>
      <w:pPr>
        <w:pStyle w:val="14"/>
        <w:spacing w:before="0" w:beforeAutospacing="0" w:after="0" w:afterAutospacing="0" w:line="400" w:lineRule="exact"/>
        <w:ind w:firstLine="482" w:firstLineChars="200"/>
        <w:rPr>
          <w:rStyle w:val="18"/>
          <w:color w:val="000000" w:themeColor="text1"/>
          <w:highlight w:val="none"/>
          <w:shd w:val="clear" w:color="auto" w:fill="FFFFFF"/>
          <w14:textFill>
            <w14:solidFill>
              <w14:schemeClr w14:val="tx1"/>
            </w14:solidFill>
          </w14:textFill>
        </w:rPr>
      </w:pPr>
      <w:r>
        <w:rPr>
          <w:rStyle w:val="18"/>
          <w:rFonts w:hint="eastAsia"/>
          <w:color w:val="000000" w:themeColor="text1"/>
          <w:highlight w:val="none"/>
          <w:shd w:val="clear" w:color="auto" w:fill="FFFFFF"/>
          <w14:textFill>
            <w14:solidFill>
              <w14:schemeClr w14:val="tx1"/>
            </w14:solidFill>
          </w14:textFill>
        </w:rPr>
        <w:t>（5）投标人在“政府采购云平台”完成“电子加密投标文件”的上传递交后，在投标截止时间前递交以介质（U盘）存储的数据电文形式的“备份投标文件”。</w:t>
      </w:r>
    </w:p>
    <w:p>
      <w:pPr>
        <w:pStyle w:val="14"/>
        <w:spacing w:before="0" w:beforeAutospacing="0" w:after="0" w:afterAutospacing="0" w:line="400" w:lineRule="exact"/>
        <w:ind w:firstLine="482" w:firstLineChars="200"/>
        <w:rPr>
          <w:color w:val="000000" w:themeColor="text1"/>
          <w:highlight w:val="none"/>
          <w14:textFill>
            <w14:solidFill>
              <w14:schemeClr w14:val="tx1"/>
            </w14:solidFill>
          </w14:textFill>
        </w:rPr>
      </w:pPr>
      <w:r>
        <w:rPr>
          <w:rStyle w:val="18"/>
          <w:rFonts w:hint="eastAsia"/>
          <w:color w:val="000000" w:themeColor="text1"/>
          <w:highlight w:val="none"/>
          <w:shd w:val="clear" w:color="auto" w:fill="FFFFFF"/>
          <w14:textFill>
            <w14:solidFill>
              <w14:schemeClr w14:val="tx1"/>
            </w14:solidFill>
          </w14:textFill>
        </w:rPr>
        <w:t>（6）通过“政府采购云平台”上传递交的“电子加密投标文件”无法按时解密，投标人递交了备份投标文件的，以备份投标文件为依据，否则视为投标文件撤回。通过“政府采购云平台”上传递交的“电子加密投标文件”已按时解密的，“备份投标文件”自动失效。投标人仅递交备份投标文件的，投标无效。</w:t>
      </w:r>
    </w:p>
    <w:p>
      <w:pPr>
        <w:pStyle w:val="5"/>
        <w:spacing w:beforeLines="0" w:afterLines="0"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七、对本次招标提出询问，请按以下方式联系。</w:t>
      </w:r>
    </w:p>
    <w:p>
      <w:pPr>
        <w:widowControl/>
        <w:spacing w:line="4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1.采购人信息</w:t>
      </w:r>
    </w:p>
    <w:p>
      <w:pPr>
        <w:spacing w:line="40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称：衢州市柯城区双港街道办事处</w:t>
      </w:r>
    </w:p>
    <w:p>
      <w:pPr>
        <w:spacing w:line="40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 衢州市柯城区双港路332号</w:t>
      </w:r>
    </w:p>
    <w:p>
      <w:pPr>
        <w:adjustRightInd w:val="0"/>
        <w:snapToGrid w:val="0"/>
        <w:spacing w:line="400" w:lineRule="exact"/>
        <w:ind w:right="480" w:firstLine="480" w:firstLineChars="200"/>
        <w:rPr>
          <w:rFonts w:ascii="宋体" w:hAnsi="宋体" w:cs="宋体"/>
          <w:color w:val="000000" w:themeColor="text1"/>
          <w:sz w:val="24"/>
          <w:highlight w:val="none"/>
          <w14:textFill>
            <w14:solidFill>
              <w14:schemeClr w14:val="tx1"/>
            </w14:solidFill>
          </w14:textFill>
        </w:rPr>
      </w:pPr>
      <w:bookmarkStart w:id="1" w:name="_Toc28359009"/>
      <w:bookmarkStart w:id="2" w:name="_Toc28359086"/>
      <w:r>
        <w:rPr>
          <w:rFonts w:hint="eastAsia" w:ascii="宋体" w:hAnsi="宋体" w:cs="宋体"/>
          <w:color w:val="000000" w:themeColor="text1"/>
          <w:sz w:val="24"/>
          <w:highlight w:val="none"/>
          <w14:textFill>
            <w14:solidFill>
              <w14:schemeClr w14:val="tx1"/>
            </w14:solidFill>
          </w14:textFill>
        </w:rPr>
        <w:t>项目联系人：</w:t>
      </w:r>
      <w:r>
        <w:rPr>
          <w:rFonts w:hint="eastAsia" w:ascii="宋体" w:hAnsi="宋体" w:cs="宋体"/>
          <w:color w:val="000000" w:themeColor="text1"/>
          <w:sz w:val="24"/>
          <w:highlight w:val="none"/>
          <w:lang w:eastAsia="zh-CN"/>
          <w14:textFill>
            <w14:solidFill>
              <w14:schemeClr w14:val="tx1"/>
            </w14:solidFill>
          </w14:textFill>
        </w:rPr>
        <w:t>姜先生</w:t>
      </w:r>
      <w:r>
        <w:rPr>
          <w:rFonts w:hint="eastAsia" w:ascii="宋体" w:hAnsi="宋体" w:cs="宋体"/>
          <w:color w:val="000000" w:themeColor="text1"/>
          <w:sz w:val="24"/>
          <w:highlight w:val="none"/>
          <w14:textFill>
            <w14:solidFill>
              <w14:schemeClr w14:val="tx1"/>
            </w14:solidFill>
          </w14:textFill>
        </w:rPr>
        <w:t xml:space="preserve"> </w:t>
      </w:r>
    </w:p>
    <w:p>
      <w:pPr>
        <w:adjustRightInd w:val="0"/>
        <w:snapToGrid w:val="0"/>
        <w:spacing w:line="400" w:lineRule="exact"/>
        <w:ind w:right="480"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联系方式：</w:t>
      </w:r>
      <w:r>
        <w:rPr>
          <w:rFonts w:hint="eastAsia" w:ascii="宋体" w:hAnsi="宋体" w:cs="宋体"/>
          <w:color w:val="000000" w:themeColor="text1"/>
          <w:sz w:val="24"/>
          <w:highlight w:val="none"/>
          <w:lang w:val="en-US" w:eastAsia="zh-CN"/>
          <w14:textFill>
            <w14:solidFill>
              <w14:schemeClr w14:val="tx1"/>
            </w14:solidFill>
          </w14:textFill>
        </w:rPr>
        <w:t>15757077788</w:t>
      </w:r>
    </w:p>
    <w:p>
      <w:pPr>
        <w:spacing w:line="40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2.采购代理机构信息</w:t>
      </w:r>
      <w:bookmarkEnd w:id="1"/>
      <w:bookmarkEnd w:id="2"/>
    </w:p>
    <w:p>
      <w:pPr>
        <w:spacing w:line="400" w:lineRule="exact"/>
        <w:ind w:firstLine="480" w:firstLineChars="200"/>
        <w:rPr>
          <w:rFonts w:ascii="宋体" w:hAnsi="宋体" w:cs="仿宋"/>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仿宋"/>
          <w:color w:val="000000" w:themeColor="text1"/>
          <w:sz w:val="24"/>
          <w:highlight w:val="none"/>
          <w14:textFill>
            <w14:solidFill>
              <w14:schemeClr w14:val="tx1"/>
            </w14:solidFill>
          </w14:textFill>
        </w:rPr>
        <w:t xml:space="preserve">浙江卓宏建设项目管理有限公司 </w:t>
      </w:r>
    </w:p>
    <w:p>
      <w:pPr>
        <w:tabs>
          <w:tab w:val="left" w:pos="0"/>
        </w:tabs>
        <w:autoSpaceDE w:val="0"/>
        <w:autoSpaceDN w:val="0"/>
        <w:spacing w:line="400" w:lineRule="exact"/>
        <w:ind w:firstLine="480" w:firstLineChars="200"/>
        <w:rPr>
          <w:rFonts w:ascii="宋体" w:hAnsi="宋体" w:cs="仿宋"/>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仿宋"/>
          <w:color w:val="000000" w:themeColor="text1"/>
          <w:sz w:val="24"/>
          <w:highlight w:val="none"/>
          <w14:textFill>
            <w14:solidFill>
              <w14:schemeClr w14:val="tx1"/>
            </w14:solidFill>
          </w14:textFill>
        </w:rPr>
        <w:t>衢州市西区鑫港大厦18楼东侧</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bookmarkStart w:id="3" w:name="_Toc28359010"/>
      <w:bookmarkStart w:id="4" w:name="_Toc28359087"/>
      <w:r>
        <w:rPr>
          <w:rFonts w:hint="eastAsia" w:ascii="宋体" w:hAnsi="宋体" w:cs="宋体"/>
          <w:color w:val="000000" w:themeColor="text1"/>
          <w:sz w:val="24"/>
          <w:highlight w:val="none"/>
          <w14:textFill>
            <w14:solidFill>
              <w14:schemeClr w14:val="tx1"/>
            </w14:solidFill>
          </w14:textFill>
        </w:rPr>
        <w:t>项目联系人：小章</w:t>
      </w:r>
    </w:p>
    <w:p>
      <w:pPr>
        <w:spacing w:line="400" w:lineRule="exact"/>
        <w:ind w:firstLine="480" w:firstLineChars="200"/>
        <w:rPr>
          <w:rFonts w:ascii="宋体" w:hAnsi="宋体" w:cs="仿宋"/>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联系方式：</w:t>
      </w:r>
      <w:r>
        <w:rPr>
          <w:rFonts w:hint="eastAsia" w:ascii="宋体" w:hAnsi="宋体" w:cs="仿宋"/>
          <w:color w:val="000000" w:themeColor="text1"/>
          <w:sz w:val="24"/>
          <w:highlight w:val="none"/>
          <w14:textFill>
            <w14:solidFill>
              <w14:schemeClr w14:val="tx1"/>
            </w14:solidFill>
          </w14:textFill>
        </w:rPr>
        <w:t>0570-3032858、18072632369</w:t>
      </w:r>
    </w:p>
    <w:bookmarkEnd w:id="3"/>
    <w:bookmarkEnd w:id="4"/>
    <w:p>
      <w:pPr>
        <w:adjustRightInd w:val="0"/>
        <w:snapToGrid w:val="0"/>
        <w:spacing w:line="400" w:lineRule="exact"/>
        <w:ind w:right="48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3.同级政府采购监督管理部门名称：衢州市柯城区政府采购管理办公室</w:t>
      </w:r>
    </w:p>
    <w:p>
      <w:pPr>
        <w:adjustRightInd w:val="0"/>
        <w:snapToGrid w:val="0"/>
        <w:spacing w:line="400" w:lineRule="exact"/>
        <w:ind w:right="48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地址：衢州市柯城区上街92号</w:t>
      </w:r>
    </w:p>
    <w:p>
      <w:pPr>
        <w:adjustRightInd w:val="0"/>
        <w:snapToGrid w:val="0"/>
        <w:spacing w:line="400" w:lineRule="exact"/>
        <w:ind w:right="48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联系人：毛先生   </w:t>
      </w:r>
    </w:p>
    <w:p>
      <w:pPr>
        <w:adjustRightInd w:val="0"/>
        <w:snapToGrid w:val="0"/>
        <w:spacing w:line="400" w:lineRule="exact"/>
        <w:ind w:right="48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监督投诉电话：0570-3028506</w:t>
      </w:r>
    </w:p>
    <w:p>
      <w:pPr>
        <w:pStyle w:val="2"/>
        <w:spacing w:after="0" w:line="400" w:lineRule="exact"/>
        <w:ind w:firstLine="480"/>
        <w:rPr>
          <w:rFonts w:ascii="微软雅黑" w:hAnsi="微软雅黑" w:eastAsia="微软雅黑" w:cs="微软雅黑"/>
          <w:color w:val="000000" w:themeColor="text1"/>
          <w:sz w:val="24"/>
          <w:highlight w:val="none"/>
          <w14:textFill>
            <w14:solidFill>
              <w14:schemeClr w14:val="tx1"/>
            </w14:solidFill>
          </w14:textFill>
        </w:rPr>
      </w:pPr>
    </w:p>
    <w:p>
      <w:pPr>
        <w:pStyle w:val="2"/>
        <w:spacing w:after="0" w:line="400" w:lineRule="exact"/>
        <w:ind w:firstLine="480"/>
        <w:rPr>
          <w:rFonts w:ascii="宋体" w:hAnsi="宋体" w:cs="黑体"/>
          <w:b/>
          <w:bCs/>
          <w:color w:val="000000" w:themeColor="text1"/>
          <w:sz w:val="28"/>
          <w:szCs w:val="28"/>
          <w:highlight w:val="none"/>
          <w14:textFill>
            <w14:solidFill>
              <w14:schemeClr w14:val="tx1"/>
            </w14:solidFill>
          </w14:textFill>
        </w:rPr>
      </w:pPr>
      <w:r>
        <w:rPr>
          <w:rFonts w:ascii="微软雅黑" w:hAnsi="微软雅黑" w:eastAsia="微软雅黑" w:cs="微软雅黑"/>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r>
        <w:rPr>
          <w:rFonts w:hint="eastAsia" w:ascii="微软雅黑" w:hAnsi="微软雅黑" w:eastAsia="微软雅黑" w:cs="微软雅黑"/>
          <w:color w:val="000000" w:themeColor="text1"/>
          <w:sz w:val="24"/>
          <w:highlight w:val="none"/>
          <w14:textFill>
            <w14:solidFill>
              <w14:schemeClr w14:val="tx1"/>
            </w14:solidFill>
          </w14:textFill>
        </w:rPr>
        <w:br w:type="textWrapping"/>
      </w:r>
      <w:r>
        <w:rPr>
          <w:rFonts w:hint="eastAsia" w:ascii="微软雅黑" w:hAnsi="微软雅黑" w:eastAsia="微软雅黑" w:cs="微软雅黑"/>
          <w:color w:val="000000" w:themeColor="text1"/>
          <w:sz w:val="24"/>
          <w:highlight w:val="none"/>
          <w14:textFill>
            <w14:solidFill>
              <w14:schemeClr w14:val="tx1"/>
            </w14:solidFill>
          </w14:textFill>
        </w:rPr>
        <w:t>CA问题联系电话（人工）：汇信CA 400-888-4636；天谷CA 400-087-8198。</w:t>
      </w:r>
    </w:p>
    <w:p>
      <w:pPr>
        <w:pStyle w:val="2"/>
        <w:ind w:firstLine="48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lang w:val="zh-CN"/>
          <w14:textFill>
            <w14:solidFill>
              <w14:schemeClr w14:val="tx1"/>
            </w14:solidFill>
          </w14:textFill>
        </w:rPr>
        <w:br w:type="page"/>
      </w:r>
    </w:p>
    <w:p>
      <w:pPr>
        <w:adjustRightInd w:val="0"/>
        <w:snapToGrid w:val="0"/>
        <w:spacing w:line="312" w:lineRule="auto"/>
        <w:jc w:val="center"/>
        <w:rPr>
          <w:rFonts w:ascii="宋体" w:hAnsi="宋体"/>
          <w:color w:val="000000" w:themeColor="text1"/>
          <w:sz w:val="24"/>
          <w:highlight w:val="none"/>
          <w14:textFill>
            <w14:solidFill>
              <w14:schemeClr w14:val="tx1"/>
            </w14:solidFill>
          </w14:textFill>
        </w:rPr>
      </w:pPr>
      <w:r>
        <w:rPr>
          <w:rFonts w:hint="eastAsia" w:ascii="宋体" w:hAnsi="宋体" w:cs="黑体"/>
          <w:b/>
          <w:bCs/>
          <w:color w:val="000000" w:themeColor="text1"/>
          <w:sz w:val="28"/>
          <w:szCs w:val="28"/>
          <w:highlight w:val="none"/>
          <w14:textFill>
            <w14:solidFill>
              <w14:schemeClr w14:val="tx1"/>
            </w14:solidFill>
          </w14:textFill>
        </w:rPr>
        <w:t>第二章</w:t>
      </w:r>
      <w:r>
        <w:rPr>
          <w:rFonts w:ascii="宋体" w:hAnsi="宋体" w:cs="黑体"/>
          <w:b/>
          <w:bCs/>
          <w:color w:val="000000" w:themeColor="text1"/>
          <w:sz w:val="28"/>
          <w:szCs w:val="28"/>
          <w:highlight w:val="none"/>
          <w14:textFill>
            <w14:solidFill>
              <w14:schemeClr w14:val="tx1"/>
            </w14:solidFill>
          </w14:textFill>
        </w:rPr>
        <w:t>投标须知前附表及投标须知</w:t>
      </w:r>
    </w:p>
    <w:p>
      <w:pPr>
        <w:spacing w:line="360" w:lineRule="auto"/>
        <w:ind w:right="480"/>
        <w:jc w:val="center"/>
        <w:rPr>
          <w:rFonts w:ascii="宋体" w:hAnsi="宋体" w:cs="宋体-PUA"/>
          <w:bCs/>
          <w:color w:val="000000" w:themeColor="text1"/>
          <w:sz w:val="24"/>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一、投标须知前附表</w:t>
      </w:r>
    </w:p>
    <w:tbl>
      <w:tblPr>
        <w:tblStyle w:val="15"/>
        <w:tblW w:w="10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989"/>
        <w:gridCol w:w="7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753" w:type="dxa"/>
            <w:vAlign w:val="center"/>
          </w:tcPr>
          <w:p>
            <w:pPr>
              <w:spacing w:line="360" w:lineRule="exact"/>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序号</w:t>
            </w:r>
          </w:p>
        </w:tc>
        <w:tc>
          <w:tcPr>
            <w:tcW w:w="1989" w:type="dxa"/>
            <w:vAlign w:val="center"/>
          </w:tcPr>
          <w:p>
            <w:pPr>
              <w:spacing w:line="360" w:lineRule="exact"/>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内  容</w:t>
            </w:r>
          </w:p>
        </w:tc>
        <w:tc>
          <w:tcPr>
            <w:tcW w:w="7312" w:type="dxa"/>
            <w:vAlign w:val="center"/>
          </w:tcPr>
          <w:p>
            <w:pPr>
              <w:spacing w:line="360" w:lineRule="exact"/>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3" w:type="dxa"/>
            <w:vAlign w:val="center"/>
          </w:tcPr>
          <w:p>
            <w:pPr>
              <w:spacing w:line="360" w:lineRule="exact"/>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1</w:t>
            </w:r>
          </w:p>
        </w:tc>
        <w:tc>
          <w:tcPr>
            <w:tcW w:w="1989" w:type="dxa"/>
            <w:vAlign w:val="center"/>
          </w:tcPr>
          <w:p>
            <w:pPr>
              <w:spacing w:line="360" w:lineRule="exact"/>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采购人</w:t>
            </w:r>
          </w:p>
        </w:tc>
        <w:tc>
          <w:tcPr>
            <w:tcW w:w="7312" w:type="dxa"/>
            <w:vAlign w:val="center"/>
          </w:tcPr>
          <w:p>
            <w:pPr>
              <w:spacing w:line="360" w:lineRule="exact"/>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衢州市柯城区双港街道办事处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53" w:type="dxa"/>
            <w:vAlign w:val="center"/>
          </w:tcPr>
          <w:p>
            <w:pPr>
              <w:spacing w:line="360" w:lineRule="exact"/>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2</w:t>
            </w:r>
          </w:p>
        </w:tc>
        <w:tc>
          <w:tcPr>
            <w:tcW w:w="1989" w:type="dxa"/>
            <w:vAlign w:val="center"/>
          </w:tcPr>
          <w:p>
            <w:pPr>
              <w:spacing w:line="360" w:lineRule="exact"/>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项目名称</w:t>
            </w:r>
          </w:p>
        </w:tc>
        <w:tc>
          <w:tcPr>
            <w:tcW w:w="7312" w:type="dxa"/>
            <w:vAlign w:val="center"/>
          </w:tcPr>
          <w:p>
            <w:pPr>
              <w:spacing w:line="360" w:lineRule="exact"/>
              <w:rPr>
                <w:rFonts w:hint="eastAsia" w:ascii="宋体" w:hAnsi="宋体" w:eastAsia="宋体" w:cs="仿宋_GB2312"/>
                <w:color w:val="000000" w:themeColor="text1"/>
                <w:szCs w:val="21"/>
                <w:highlight w:val="none"/>
                <w:lang w:eastAsia="zh-CN"/>
                <w14:textFill>
                  <w14:solidFill>
                    <w14:schemeClr w14:val="tx1"/>
                  </w14:solidFill>
                </w14:textFill>
              </w:rPr>
            </w:pPr>
            <w:r>
              <w:rPr>
                <w:rFonts w:hint="eastAsia" w:ascii="宋体" w:hAnsi="宋体" w:cs="仿宋_GB2312"/>
                <w:color w:val="000000" w:themeColor="text1"/>
                <w:szCs w:val="21"/>
                <w:highlight w:val="none"/>
                <w:lang w:eastAsia="zh-CN"/>
                <w14:textFill>
                  <w14:solidFill>
                    <w14:schemeClr w14:val="tx1"/>
                  </w14:solidFill>
                </w14:textFill>
              </w:rPr>
              <w:t>柯城区百家塘片区集体土地房屋征收评估服务采购项目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3" w:type="dxa"/>
            <w:vAlign w:val="center"/>
          </w:tcPr>
          <w:p>
            <w:pPr>
              <w:spacing w:line="360" w:lineRule="exact"/>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3</w:t>
            </w:r>
          </w:p>
        </w:tc>
        <w:tc>
          <w:tcPr>
            <w:tcW w:w="1989" w:type="dxa"/>
            <w:vAlign w:val="center"/>
          </w:tcPr>
          <w:p>
            <w:pPr>
              <w:spacing w:line="360" w:lineRule="exact"/>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采购预算</w:t>
            </w:r>
          </w:p>
        </w:tc>
        <w:tc>
          <w:tcPr>
            <w:tcW w:w="7312" w:type="dxa"/>
            <w:vAlign w:val="center"/>
          </w:tcPr>
          <w:p>
            <w:pPr>
              <w:spacing w:line="360" w:lineRule="exact"/>
              <w:rPr>
                <w:rFonts w:ascii="宋体" w:hAnsi="宋体" w:cs="仿宋_GB2312"/>
                <w:color w:val="000000" w:themeColor="text1"/>
                <w:szCs w:val="21"/>
                <w:highlight w:val="none"/>
                <w:u w:val="singl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 xml:space="preserve"> 约297.5万元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3" w:type="dxa"/>
            <w:vAlign w:val="center"/>
          </w:tcPr>
          <w:p>
            <w:pPr>
              <w:spacing w:line="360" w:lineRule="exact"/>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4</w:t>
            </w:r>
          </w:p>
        </w:tc>
        <w:tc>
          <w:tcPr>
            <w:tcW w:w="1989" w:type="dxa"/>
            <w:vAlign w:val="center"/>
          </w:tcPr>
          <w:p>
            <w:pPr>
              <w:spacing w:line="360" w:lineRule="exact"/>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工期</w:t>
            </w:r>
          </w:p>
        </w:tc>
        <w:tc>
          <w:tcPr>
            <w:tcW w:w="7312" w:type="dxa"/>
            <w:vAlign w:val="center"/>
          </w:tcPr>
          <w:p>
            <w:pPr>
              <w:spacing w:line="360" w:lineRule="exact"/>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lang w:val="zh-CN"/>
                <w14:textFill>
                  <w14:solidFill>
                    <w14:schemeClr w14:val="tx1"/>
                  </w14:solidFill>
                </w14:textFill>
              </w:rPr>
              <w:t>自合同签订之日起至评估工作全面完成（暂定</w:t>
            </w:r>
            <w:r>
              <w:rPr>
                <w:rFonts w:hint="eastAsia" w:ascii="宋体" w:hAnsi="宋体" w:cs="仿宋_GB2312"/>
                <w:color w:val="000000" w:themeColor="text1"/>
                <w:szCs w:val="21"/>
                <w:highlight w:val="none"/>
                <w:lang w:val="zh-CN"/>
                <w14:textFill>
                  <w14:solidFill>
                    <w14:schemeClr w14:val="tx1"/>
                  </w14:solidFill>
                </w14:textFill>
              </w:rPr>
              <w:t>12</w:t>
            </w:r>
            <w:r>
              <w:rPr>
                <w:rFonts w:hint="eastAsia" w:ascii="宋体" w:hAnsi="宋体" w:cs="仿宋_GB2312"/>
                <w:color w:val="000000" w:themeColor="text1"/>
                <w:szCs w:val="21"/>
                <w:highlight w:val="none"/>
                <w:lang w:val="zh-CN"/>
                <w14:textFill>
                  <w14:solidFill>
                    <w14:schemeClr w14:val="tx1"/>
                  </w14:solidFill>
                </w14:textFill>
              </w:rPr>
              <w:t>个月，其中调查摸底工作在发布入户调查公告之日起</w:t>
            </w:r>
            <w:r>
              <w:rPr>
                <w:rFonts w:hint="eastAsia" w:ascii="宋体" w:hAnsi="宋体" w:cs="仿宋_GB2312"/>
                <w:color w:val="000000" w:themeColor="text1"/>
                <w:szCs w:val="21"/>
                <w:highlight w:val="none"/>
                <w:lang w:val="zh-CN"/>
                <w14:textFill>
                  <w14:solidFill>
                    <w14:schemeClr w14:val="tx1"/>
                  </w14:solidFill>
                </w14:textFill>
              </w:rPr>
              <w:t>15日历天</w:t>
            </w:r>
            <w:r>
              <w:rPr>
                <w:rFonts w:hint="eastAsia" w:ascii="宋体" w:hAnsi="宋体" w:cs="仿宋_GB2312"/>
                <w:color w:val="000000" w:themeColor="text1"/>
                <w:szCs w:val="21"/>
                <w:highlight w:val="none"/>
                <w:lang w:val="zh-CN"/>
                <w14:textFill>
                  <w14:solidFill>
                    <w14:schemeClr w14:val="tx1"/>
                  </w14:solidFill>
                </w14:textFill>
              </w:rPr>
              <w:t>内全部完成）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3" w:type="dxa"/>
            <w:vAlign w:val="center"/>
          </w:tcPr>
          <w:p>
            <w:pPr>
              <w:spacing w:line="360" w:lineRule="exact"/>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5</w:t>
            </w:r>
          </w:p>
        </w:tc>
        <w:tc>
          <w:tcPr>
            <w:tcW w:w="1989" w:type="dxa"/>
            <w:vAlign w:val="center"/>
          </w:tcPr>
          <w:p>
            <w:pPr>
              <w:spacing w:line="360" w:lineRule="exact"/>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投标有效期</w:t>
            </w:r>
          </w:p>
        </w:tc>
        <w:tc>
          <w:tcPr>
            <w:tcW w:w="7312" w:type="dxa"/>
            <w:vAlign w:val="center"/>
          </w:tcPr>
          <w:p>
            <w:pPr>
              <w:spacing w:line="360" w:lineRule="exact"/>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投标文件递交截止之日起90天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3" w:type="dxa"/>
            <w:vAlign w:val="center"/>
          </w:tcPr>
          <w:p>
            <w:pPr>
              <w:spacing w:line="360" w:lineRule="exact"/>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6</w:t>
            </w:r>
          </w:p>
        </w:tc>
        <w:tc>
          <w:tcPr>
            <w:tcW w:w="1989" w:type="dxa"/>
            <w:vAlign w:val="center"/>
          </w:tcPr>
          <w:p>
            <w:pPr>
              <w:spacing w:line="360" w:lineRule="exact"/>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投标保证金</w:t>
            </w:r>
          </w:p>
        </w:tc>
        <w:tc>
          <w:tcPr>
            <w:tcW w:w="7312" w:type="dxa"/>
            <w:vAlign w:val="center"/>
          </w:tcPr>
          <w:p>
            <w:pPr>
              <w:spacing w:line="300" w:lineRule="exact"/>
              <w:jc w:val="left"/>
              <w:rPr>
                <w:rFonts w:ascii="宋体" w:hAnsi="宋体" w:cs="仿宋_GB2312"/>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根据《浙江省财政厅关于明确政府采购保证金管理工作的通知》（浙财采监〔2019〕5号）规定，本项目</w:t>
            </w:r>
            <w:r>
              <w:rPr>
                <w:rFonts w:hint="eastAsia" w:ascii="宋体" w:hAnsi="宋体" w:cs="宋体"/>
                <w:color w:val="000000" w:themeColor="text1"/>
                <w:highlight w:val="none"/>
                <w14:textFill>
                  <w14:solidFill>
                    <w14:schemeClr w14:val="tx1"/>
                  </w14:solidFill>
                </w14:textFill>
              </w:rPr>
              <w:t>无需缴纳投标保证金。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753" w:type="dxa"/>
            <w:vAlign w:val="center"/>
          </w:tcPr>
          <w:p>
            <w:pPr>
              <w:spacing w:line="360" w:lineRule="exact"/>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7</w:t>
            </w:r>
          </w:p>
        </w:tc>
        <w:tc>
          <w:tcPr>
            <w:tcW w:w="1989" w:type="dxa"/>
            <w:vAlign w:val="center"/>
          </w:tcPr>
          <w:p>
            <w:pPr>
              <w:spacing w:line="360" w:lineRule="exact"/>
              <w:rPr>
                <w:rFonts w:ascii="宋体" w:hAnsi="宋体" w:cs="仿宋_GB2312"/>
                <w:color w:val="000000" w:themeColor="text1"/>
                <w:szCs w:val="21"/>
                <w:highlight w:val="none"/>
                <w:lang w:val="zh-CN"/>
                <w14:textFill>
                  <w14:solidFill>
                    <w14:schemeClr w14:val="tx1"/>
                  </w14:solidFill>
                </w14:textFill>
              </w:rPr>
            </w:pPr>
            <w:r>
              <w:rPr>
                <w:rFonts w:hint="eastAsia" w:ascii="宋体" w:hAnsi="宋体" w:cs="仿宋_GB2312"/>
                <w:color w:val="000000" w:themeColor="text1"/>
                <w:szCs w:val="21"/>
                <w:highlight w:val="none"/>
                <w:lang w:val="zh-CN"/>
                <w14:textFill>
                  <w14:solidFill>
                    <w14:schemeClr w14:val="tx1"/>
                  </w14:solidFill>
                </w14:textFill>
              </w:rPr>
              <w:t>投标文件形式、制作及组成</w:t>
            </w:r>
          </w:p>
        </w:tc>
        <w:tc>
          <w:tcPr>
            <w:tcW w:w="7312" w:type="dxa"/>
            <w:vAlign w:val="center"/>
          </w:tcPr>
          <w:p>
            <w:pPr>
              <w:spacing w:line="360" w:lineRule="exact"/>
              <w:rPr>
                <w:rFonts w:ascii="宋体" w:hAnsi="宋体" w:cs="仿宋_GB2312"/>
                <w:color w:val="000000" w:themeColor="text1"/>
                <w:szCs w:val="21"/>
                <w:highlight w:val="none"/>
                <w:lang w:val="zh-CN"/>
                <w14:textFill>
                  <w14:solidFill>
                    <w14:schemeClr w14:val="tx1"/>
                  </w14:solidFill>
                </w14:textFill>
              </w:rPr>
            </w:pPr>
            <w:r>
              <w:rPr>
                <w:rFonts w:hint="eastAsia" w:ascii="宋体" w:hAnsi="宋体" w:cs="仿宋_GB2312"/>
                <w:color w:val="000000" w:themeColor="text1"/>
                <w:szCs w:val="21"/>
                <w:highlight w:val="none"/>
                <w:lang w:val="zh-CN"/>
                <w14:textFill>
                  <w14:solidFill>
                    <w14:schemeClr w14:val="tx1"/>
                  </w14:solidFill>
                </w14:textFill>
              </w:rPr>
              <w:t>投标人请准备电子投标文件、电子备份投标文件U盘：</w:t>
            </w:r>
          </w:p>
          <w:p>
            <w:pPr>
              <w:spacing w:line="360" w:lineRule="exact"/>
              <w:rPr>
                <w:rFonts w:ascii="宋体" w:hAnsi="宋体" w:cs="仿宋_GB2312"/>
                <w:color w:val="000000" w:themeColor="text1"/>
                <w:szCs w:val="21"/>
                <w:highlight w:val="none"/>
                <w:lang w:val="zh-CN"/>
                <w14:textFill>
                  <w14:solidFill>
                    <w14:schemeClr w14:val="tx1"/>
                  </w14:solidFill>
                </w14:textFill>
              </w:rPr>
            </w:pPr>
            <w:r>
              <w:rPr>
                <w:rFonts w:hint="eastAsia" w:ascii="宋体" w:hAnsi="宋体" w:cs="仿宋_GB2312"/>
                <w:color w:val="000000" w:themeColor="text1"/>
                <w:szCs w:val="21"/>
                <w:highlight w:val="none"/>
                <w:lang w:val="zh-CN"/>
                <w14:textFill>
                  <w14:solidFill>
                    <w14:schemeClr w14:val="tx1"/>
                  </w14:solidFill>
                </w14:textFill>
              </w:rPr>
              <w:t>（1）电子投标文件，按政采云平台供应商项目采购-电子招投标操作指南（网址：https://help.zcygov.cn/web/site_2/2018/12-28/2573.html）及本招标文件要求递交。</w:t>
            </w:r>
          </w:p>
          <w:p>
            <w:pPr>
              <w:spacing w:line="360" w:lineRule="exact"/>
              <w:rPr>
                <w:rFonts w:ascii="宋体" w:hAnsi="宋体" w:cs="仿宋_GB2312"/>
                <w:color w:val="000000" w:themeColor="text1"/>
                <w:szCs w:val="21"/>
                <w:highlight w:val="none"/>
                <w:lang w:val="zh-CN"/>
                <w14:textFill>
                  <w14:solidFill>
                    <w14:schemeClr w14:val="tx1"/>
                  </w14:solidFill>
                </w14:textFill>
              </w:rPr>
            </w:pPr>
            <w:r>
              <w:rPr>
                <w:rFonts w:hint="eastAsia" w:ascii="宋体" w:hAnsi="宋体" w:cs="仿宋_GB2312"/>
                <w:color w:val="000000" w:themeColor="text1"/>
                <w:szCs w:val="21"/>
                <w:highlight w:val="none"/>
                <w:lang w:val="zh-CN"/>
                <w14:textFill>
                  <w14:solidFill>
                    <w14:schemeClr w14:val="tx1"/>
                  </w14:solidFill>
                </w14:textFill>
              </w:rPr>
              <w:t>（2）电子备份投标文件按政采云平台供应商项目采购-电子招投标操作指南（网址：https://help.zcygov.cn/web/site_2/2018/12-28/2573.html）中上传的电子投标文件格式文档，以U盘形式递交。数量为1份。</w:t>
            </w:r>
          </w:p>
          <w:p>
            <w:pPr>
              <w:spacing w:line="360" w:lineRule="exact"/>
              <w:rPr>
                <w:rFonts w:ascii="宋体" w:hAnsi="宋体" w:cs="仿宋_GB2312"/>
                <w:color w:val="000000" w:themeColor="text1"/>
                <w:szCs w:val="21"/>
                <w:highlight w:val="none"/>
                <w:lang w:val="zh-CN"/>
                <w14:textFill>
                  <w14:solidFill>
                    <w14:schemeClr w14:val="tx1"/>
                  </w14:solidFill>
                </w14:textFill>
              </w:rPr>
            </w:pPr>
            <w:r>
              <w:rPr>
                <w:rFonts w:hint="eastAsia" w:ascii="宋体" w:hAnsi="宋体" w:cs="仿宋_GB2312"/>
                <w:color w:val="000000" w:themeColor="text1"/>
                <w:szCs w:val="21"/>
                <w:highlight w:val="none"/>
                <w:lang w:val="zh-CN"/>
                <w14:textFill>
                  <w14:solidFill>
                    <w14:schemeClr w14:val="tx1"/>
                  </w14:solidFill>
                </w14:textFill>
              </w:rPr>
              <w:t>（3）投标文件均由技术资格文件、商务文件组成。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753" w:type="dxa"/>
            <w:vAlign w:val="center"/>
          </w:tcPr>
          <w:p>
            <w:pPr>
              <w:spacing w:line="360" w:lineRule="exact"/>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8</w:t>
            </w:r>
          </w:p>
        </w:tc>
        <w:tc>
          <w:tcPr>
            <w:tcW w:w="1989" w:type="dxa"/>
            <w:vAlign w:val="center"/>
          </w:tcPr>
          <w:p>
            <w:pPr>
              <w:spacing w:line="360" w:lineRule="exact"/>
              <w:rPr>
                <w:rFonts w:ascii="微软雅黑" w:hAnsi="微软雅黑" w:cs="微软雅黑"/>
                <w:color w:val="000000" w:themeColor="text1"/>
                <w:highlight w:val="none"/>
                <w:lang w:val="zh-CN"/>
                <w14:textFill>
                  <w14:solidFill>
                    <w14:schemeClr w14:val="tx1"/>
                  </w14:solidFill>
                </w14:textFill>
              </w:rPr>
            </w:pPr>
            <w:r>
              <w:rPr>
                <w:rFonts w:hint="eastAsia" w:ascii="微软雅黑" w:hAnsi="微软雅黑" w:cs="微软雅黑"/>
                <w:color w:val="000000" w:themeColor="text1"/>
                <w:highlight w:val="none"/>
                <w14:textFill>
                  <w14:solidFill>
                    <w14:schemeClr w14:val="tx1"/>
                  </w14:solidFill>
                </w14:textFill>
              </w:rPr>
              <w:t>电子投标文件的传输递交</w:t>
            </w:r>
          </w:p>
        </w:tc>
        <w:tc>
          <w:tcPr>
            <w:tcW w:w="7312" w:type="dxa"/>
            <w:vAlign w:val="center"/>
          </w:tcPr>
          <w:p>
            <w:pPr>
              <w:spacing w:line="360" w:lineRule="exact"/>
              <w:rPr>
                <w:rFonts w:ascii="微软雅黑" w:hAnsi="微软雅黑" w:cs="微软雅黑"/>
                <w:color w:val="000000" w:themeColor="text1"/>
                <w:highlight w:val="none"/>
                <w:lang w:val="zh-CN"/>
                <w14:textFill>
                  <w14:solidFill>
                    <w14:schemeClr w14:val="tx1"/>
                  </w14:solidFill>
                </w14:textFill>
              </w:rPr>
            </w:pPr>
            <w:r>
              <w:rPr>
                <w:rFonts w:hint="eastAsia" w:ascii="微软雅黑" w:hAnsi="微软雅黑" w:cs="微软雅黑"/>
                <w:color w:val="000000" w:themeColor="text1"/>
                <w:highlight w:val="none"/>
                <w14:textFill>
                  <w14:solidFill>
                    <w14:schemeClr w14:val="tx1"/>
                  </w14:solidFill>
                </w14:textFill>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753" w:type="dxa"/>
            <w:vAlign w:val="center"/>
          </w:tcPr>
          <w:p>
            <w:pPr>
              <w:spacing w:line="360" w:lineRule="exact"/>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9</w:t>
            </w:r>
          </w:p>
        </w:tc>
        <w:tc>
          <w:tcPr>
            <w:tcW w:w="1989" w:type="dxa"/>
            <w:vAlign w:val="center"/>
          </w:tcPr>
          <w:p>
            <w:pPr>
              <w:spacing w:line="360" w:lineRule="exact"/>
              <w:rPr>
                <w:rFonts w:ascii="微软雅黑" w:hAnsi="微软雅黑" w:cs="微软雅黑"/>
                <w:color w:val="000000" w:themeColor="text1"/>
                <w:highlight w:val="none"/>
                <w:lang w:val="zh-CN"/>
                <w14:textFill>
                  <w14:solidFill>
                    <w14:schemeClr w14:val="tx1"/>
                  </w14:solidFill>
                </w14:textFill>
              </w:rPr>
            </w:pPr>
            <w:r>
              <w:rPr>
                <w:rFonts w:hint="eastAsia" w:ascii="微软雅黑" w:hAnsi="微软雅黑" w:cs="微软雅黑"/>
                <w:color w:val="000000" w:themeColor="text1"/>
                <w:highlight w:val="none"/>
                <w14:textFill>
                  <w14:solidFill>
                    <w14:schemeClr w14:val="tx1"/>
                  </w14:solidFill>
                </w14:textFill>
              </w:rPr>
              <w:t>电子备份投标文件的递交</w:t>
            </w:r>
          </w:p>
        </w:tc>
        <w:tc>
          <w:tcPr>
            <w:tcW w:w="7312" w:type="dxa"/>
            <w:vAlign w:val="center"/>
          </w:tcPr>
          <w:p>
            <w:pPr>
              <w:spacing w:line="360" w:lineRule="exact"/>
              <w:rPr>
                <w:rFonts w:ascii="微软雅黑" w:hAnsi="微软雅黑" w:cs="微软雅黑"/>
                <w:color w:val="000000" w:themeColor="text1"/>
                <w:highlight w:val="none"/>
                <w:lang w:val="zh-CN"/>
                <w14:textFill>
                  <w14:solidFill>
                    <w14:schemeClr w14:val="tx1"/>
                  </w14:solidFill>
                </w14:textFill>
              </w:rPr>
            </w:pPr>
            <w:r>
              <w:rPr>
                <w:rFonts w:hint="eastAsia" w:ascii="微软雅黑" w:hAnsi="微软雅黑" w:cs="微软雅黑"/>
                <w:color w:val="000000" w:themeColor="text1"/>
                <w:highlight w:val="none"/>
                <w14:textFill>
                  <w14:solidFill>
                    <w14:schemeClr w14:val="tx1"/>
                  </w14:solidFill>
                </w14:textFill>
              </w:rPr>
              <w:t>投标人应当在投标截止时间前将电子备份投标文件送交到浙江卓宏建设项目管理有限公司（衢州市西区鑫港大厦18楼东侧），逾期送达将被拒收。如投标人未在投标截止时间前完成电子投标文件的传输递交，其电子备份投标文件也将被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53" w:type="dxa"/>
            <w:vAlign w:val="center"/>
          </w:tcPr>
          <w:p>
            <w:pPr>
              <w:spacing w:line="360" w:lineRule="exact"/>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10</w:t>
            </w:r>
          </w:p>
        </w:tc>
        <w:tc>
          <w:tcPr>
            <w:tcW w:w="1989" w:type="dxa"/>
            <w:vAlign w:val="center"/>
          </w:tcPr>
          <w:p>
            <w:pPr>
              <w:spacing w:line="360" w:lineRule="exact"/>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答疑时间</w:t>
            </w:r>
          </w:p>
        </w:tc>
        <w:tc>
          <w:tcPr>
            <w:tcW w:w="7312" w:type="dxa"/>
            <w:vAlign w:val="center"/>
          </w:tcPr>
          <w:p>
            <w:pPr>
              <w:spacing w:line="360" w:lineRule="exact"/>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投标截止时间15天前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3" w:type="dxa"/>
            <w:vAlign w:val="center"/>
          </w:tcPr>
          <w:p>
            <w:pPr>
              <w:spacing w:line="360" w:lineRule="exact"/>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11</w:t>
            </w:r>
          </w:p>
        </w:tc>
        <w:tc>
          <w:tcPr>
            <w:tcW w:w="1989" w:type="dxa"/>
            <w:vAlign w:val="center"/>
          </w:tcPr>
          <w:p>
            <w:pPr>
              <w:spacing w:line="360" w:lineRule="exact"/>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投标文件递交截止时间</w:t>
            </w:r>
          </w:p>
        </w:tc>
        <w:tc>
          <w:tcPr>
            <w:tcW w:w="7312" w:type="dxa"/>
            <w:vAlign w:val="center"/>
          </w:tcPr>
          <w:p>
            <w:pPr>
              <w:spacing w:line="360" w:lineRule="exact"/>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b/>
                <w:bCs/>
                <w:color w:val="000000" w:themeColor="text1"/>
                <w:szCs w:val="21"/>
                <w:highlight w:val="none"/>
                <w14:textFill>
                  <w14:solidFill>
                    <w14:schemeClr w14:val="tx1"/>
                  </w14:solidFill>
                </w14:textFill>
              </w:rPr>
              <w:t>2021年</w:t>
            </w:r>
            <w:r>
              <w:rPr>
                <w:rFonts w:hint="eastAsia" w:ascii="宋体" w:hAnsi="宋体" w:cs="仿宋_GB2312"/>
                <w:b/>
                <w:bCs/>
                <w:color w:val="000000" w:themeColor="text1"/>
                <w:szCs w:val="21"/>
                <w:highlight w:val="none"/>
                <w:lang w:val="en-US" w:eastAsia="zh-CN"/>
                <w14:textFill>
                  <w14:solidFill>
                    <w14:schemeClr w14:val="tx1"/>
                  </w14:solidFill>
                </w14:textFill>
              </w:rPr>
              <w:t>3</w:t>
            </w:r>
            <w:r>
              <w:rPr>
                <w:rFonts w:hint="eastAsia" w:ascii="宋体" w:hAnsi="宋体" w:cs="仿宋_GB2312"/>
                <w:b/>
                <w:bCs/>
                <w:color w:val="000000" w:themeColor="text1"/>
                <w:szCs w:val="21"/>
                <w:highlight w:val="none"/>
                <w14:textFill>
                  <w14:solidFill>
                    <w14:schemeClr w14:val="tx1"/>
                  </w14:solidFill>
                </w14:textFill>
              </w:rPr>
              <w:t>月</w:t>
            </w:r>
            <w:r>
              <w:rPr>
                <w:rFonts w:hint="eastAsia" w:ascii="宋体" w:hAnsi="宋体" w:cs="仿宋_GB2312"/>
                <w:b/>
                <w:bCs/>
                <w:color w:val="000000" w:themeColor="text1"/>
                <w:szCs w:val="21"/>
                <w:highlight w:val="none"/>
                <w:lang w:val="en-US" w:eastAsia="zh-CN"/>
                <w14:textFill>
                  <w14:solidFill>
                    <w14:schemeClr w14:val="tx1"/>
                  </w14:solidFill>
                </w14:textFill>
              </w:rPr>
              <w:t>18</w:t>
            </w:r>
            <w:r>
              <w:rPr>
                <w:rFonts w:hint="eastAsia" w:ascii="宋体" w:hAnsi="宋体" w:cs="仿宋_GB2312"/>
                <w:b/>
                <w:bCs/>
                <w:color w:val="000000" w:themeColor="text1"/>
                <w:szCs w:val="21"/>
                <w:highlight w:val="none"/>
                <w14:textFill>
                  <w14:solidFill>
                    <w14:schemeClr w14:val="tx1"/>
                  </w14:solidFill>
                </w14:textFill>
              </w:rPr>
              <w:t>日14：30时（北京时间）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3" w:type="dxa"/>
            <w:vAlign w:val="center"/>
          </w:tcPr>
          <w:p>
            <w:pPr>
              <w:spacing w:line="360" w:lineRule="exact"/>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12</w:t>
            </w:r>
          </w:p>
        </w:tc>
        <w:tc>
          <w:tcPr>
            <w:tcW w:w="1989" w:type="dxa"/>
            <w:vAlign w:val="center"/>
          </w:tcPr>
          <w:p>
            <w:pPr>
              <w:spacing w:line="360" w:lineRule="exact"/>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开标地点</w:t>
            </w:r>
          </w:p>
        </w:tc>
        <w:tc>
          <w:tcPr>
            <w:tcW w:w="7312" w:type="dxa"/>
            <w:vAlign w:val="center"/>
          </w:tcPr>
          <w:p>
            <w:pPr>
              <w:spacing w:line="360" w:lineRule="exact"/>
              <w:rPr>
                <w:rFonts w:ascii="宋体" w:hAnsi="宋体" w:cs="仿宋_GB2312"/>
                <w:color w:val="000000" w:themeColor="text1"/>
                <w:szCs w:val="21"/>
                <w:highlight w:val="none"/>
                <w14:textFill>
                  <w14:solidFill>
                    <w14:schemeClr w14:val="tx1"/>
                  </w14:solidFill>
                </w14:textFill>
              </w:rPr>
            </w:pPr>
            <w:r>
              <w:rPr>
                <w:rFonts w:hint="eastAsia" w:ascii="微软雅黑" w:hAnsi="微软雅黑" w:cs="微软雅黑"/>
                <w:color w:val="000000" w:themeColor="text1"/>
                <w:highlight w:val="none"/>
                <w14:textFill>
                  <w14:solidFill>
                    <w14:schemeClr w14:val="tx1"/>
                  </w14:solidFill>
                </w14:textFill>
              </w:rPr>
              <w:t>浙江卓宏建设项目管理有限公司会议室（衢州市西区鑫港大厦18楼东侧）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3" w:type="dxa"/>
            <w:vAlign w:val="center"/>
          </w:tcPr>
          <w:p>
            <w:pPr>
              <w:spacing w:line="360" w:lineRule="exact"/>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13</w:t>
            </w:r>
          </w:p>
        </w:tc>
        <w:tc>
          <w:tcPr>
            <w:tcW w:w="1989" w:type="dxa"/>
            <w:vAlign w:val="center"/>
          </w:tcPr>
          <w:p>
            <w:pPr>
              <w:spacing w:line="360" w:lineRule="exact"/>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开标时间</w:t>
            </w:r>
          </w:p>
        </w:tc>
        <w:tc>
          <w:tcPr>
            <w:tcW w:w="7312" w:type="dxa"/>
            <w:vAlign w:val="center"/>
          </w:tcPr>
          <w:p>
            <w:pPr>
              <w:spacing w:line="360" w:lineRule="exact"/>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b/>
                <w:bCs/>
                <w:color w:val="000000" w:themeColor="text1"/>
                <w:szCs w:val="21"/>
                <w:highlight w:val="none"/>
                <w14:textFill>
                  <w14:solidFill>
                    <w14:schemeClr w14:val="tx1"/>
                  </w14:solidFill>
                </w14:textFill>
              </w:rPr>
              <w:t>2021年</w:t>
            </w:r>
            <w:r>
              <w:rPr>
                <w:rFonts w:hint="eastAsia" w:ascii="宋体" w:hAnsi="宋体" w:cs="仿宋_GB2312"/>
                <w:b/>
                <w:bCs/>
                <w:color w:val="000000" w:themeColor="text1"/>
                <w:szCs w:val="21"/>
                <w:highlight w:val="none"/>
                <w:lang w:val="en-US" w:eastAsia="zh-CN"/>
                <w14:textFill>
                  <w14:solidFill>
                    <w14:schemeClr w14:val="tx1"/>
                  </w14:solidFill>
                </w14:textFill>
              </w:rPr>
              <w:t>3</w:t>
            </w:r>
            <w:r>
              <w:rPr>
                <w:rFonts w:hint="eastAsia" w:ascii="宋体" w:hAnsi="宋体" w:cs="仿宋_GB2312"/>
                <w:b/>
                <w:bCs/>
                <w:color w:val="000000" w:themeColor="text1"/>
                <w:szCs w:val="21"/>
                <w:highlight w:val="none"/>
                <w14:textFill>
                  <w14:solidFill>
                    <w14:schemeClr w14:val="tx1"/>
                  </w14:solidFill>
                </w14:textFill>
              </w:rPr>
              <w:t>月</w:t>
            </w:r>
            <w:r>
              <w:rPr>
                <w:rFonts w:hint="eastAsia" w:ascii="宋体" w:hAnsi="宋体" w:cs="仿宋_GB2312"/>
                <w:b/>
                <w:bCs/>
                <w:color w:val="000000" w:themeColor="text1"/>
                <w:szCs w:val="21"/>
                <w:highlight w:val="none"/>
                <w:lang w:val="en-US" w:eastAsia="zh-CN"/>
                <w14:textFill>
                  <w14:solidFill>
                    <w14:schemeClr w14:val="tx1"/>
                  </w14:solidFill>
                </w14:textFill>
              </w:rPr>
              <w:t>18</w:t>
            </w:r>
            <w:r>
              <w:rPr>
                <w:rFonts w:hint="eastAsia" w:ascii="宋体" w:hAnsi="宋体" w:cs="仿宋_GB2312"/>
                <w:b/>
                <w:bCs/>
                <w:color w:val="000000" w:themeColor="text1"/>
                <w:szCs w:val="21"/>
                <w:highlight w:val="none"/>
                <w14:textFill>
                  <w14:solidFill>
                    <w14:schemeClr w14:val="tx1"/>
                  </w14:solidFill>
                </w14:textFill>
              </w:rPr>
              <w:t>日14：30时（北京时间）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3" w:type="dxa"/>
            <w:vAlign w:val="center"/>
          </w:tcPr>
          <w:p>
            <w:pPr>
              <w:spacing w:line="360" w:lineRule="exact"/>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14</w:t>
            </w:r>
          </w:p>
        </w:tc>
        <w:tc>
          <w:tcPr>
            <w:tcW w:w="1989" w:type="dxa"/>
            <w:vAlign w:val="center"/>
          </w:tcPr>
          <w:p>
            <w:pPr>
              <w:spacing w:line="360" w:lineRule="exact"/>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采购结果公告期限</w:t>
            </w:r>
          </w:p>
        </w:tc>
        <w:tc>
          <w:tcPr>
            <w:tcW w:w="7312" w:type="dxa"/>
            <w:vAlign w:val="center"/>
          </w:tcPr>
          <w:p>
            <w:pPr>
              <w:spacing w:line="360" w:lineRule="exact"/>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3" w:type="dxa"/>
            <w:vAlign w:val="center"/>
          </w:tcPr>
          <w:p>
            <w:pPr>
              <w:spacing w:line="360" w:lineRule="exact"/>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15</w:t>
            </w:r>
          </w:p>
        </w:tc>
        <w:tc>
          <w:tcPr>
            <w:tcW w:w="1989" w:type="dxa"/>
            <w:vAlign w:val="center"/>
          </w:tcPr>
          <w:p>
            <w:pPr>
              <w:spacing w:line="360" w:lineRule="exact"/>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签订合同</w:t>
            </w:r>
          </w:p>
        </w:tc>
        <w:tc>
          <w:tcPr>
            <w:tcW w:w="7312" w:type="dxa"/>
            <w:vAlign w:val="center"/>
          </w:tcPr>
          <w:p>
            <w:pPr>
              <w:spacing w:line="360" w:lineRule="exact"/>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中标通知书发出后</w:t>
            </w:r>
            <w:r>
              <w:rPr>
                <w:rFonts w:hint="eastAsia" w:ascii="宋体" w:hAnsi="宋体" w:cs="仿宋_GB2312"/>
                <w:color w:val="000000" w:themeColor="text1"/>
                <w:szCs w:val="21"/>
                <w:highlight w:val="none"/>
                <w14:textFill>
                  <w14:solidFill>
                    <w14:schemeClr w14:val="tx1"/>
                  </w14:solidFill>
                </w14:textFill>
              </w:rPr>
              <w:t>7天内</w:t>
            </w:r>
            <w:r>
              <w:rPr>
                <w:rFonts w:hint="eastAsia" w:ascii="宋体" w:hAnsi="宋体" w:cs="仿宋_GB2312"/>
                <w:color w:val="000000" w:themeColor="text1"/>
                <w:szCs w:val="21"/>
                <w:highlight w:val="none"/>
                <w14:textFill>
                  <w14:solidFill>
                    <w14:schemeClr w14:val="tx1"/>
                  </w14:solidFill>
                </w14:textFill>
              </w:rPr>
              <w:t xml:space="preserve">签订合同。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753" w:type="dxa"/>
            <w:vAlign w:val="center"/>
          </w:tcPr>
          <w:p>
            <w:pPr>
              <w:pStyle w:val="9"/>
              <w:snapToGrid w:val="0"/>
              <w:spacing w:line="420" w:lineRule="exact"/>
              <w:jc w:val="both"/>
              <w:rPr>
                <w:rFonts w:hAnsi="宋体" w:cs="仿宋_GB2312"/>
                <w:color w:val="000000" w:themeColor="text1"/>
                <w:kern w:val="2"/>
                <w:szCs w:val="21"/>
                <w:highlight w:val="none"/>
                <w14:textFill>
                  <w14:solidFill>
                    <w14:schemeClr w14:val="tx1"/>
                  </w14:solidFill>
                </w14:textFill>
              </w:rPr>
            </w:pPr>
            <w:r>
              <w:rPr>
                <w:rFonts w:hint="eastAsia" w:hAnsi="宋体" w:cs="仿宋_GB2312"/>
                <w:color w:val="000000" w:themeColor="text1"/>
                <w:kern w:val="2"/>
                <w:szCs w:val="21"/>
                <w:highlight w:val="none"/>
                <w14:textFill>
                  <w14:solidFill>
                    <w14:schemeClr w14:val="tx1"/>
                  </w14:solidFill>
                </w14:textFill>
              </w:rPr>
              <w:t>16</w:t>
            </w:r>
          </w:p>
        </w:tc>
        <w:tc>
          <w:tcPr>
            <w:tcW w:w="1989" w:type="dxa"/>
            <w:vAlign w:val="center"/>
          </w:tcPr>
          <w:p>
            <w:pPr>
              <w:pStyle w:val="9"/>
              <w:snapToGrid w:val="0"/>
              <w:spacing w:line="420" w:lineRule="exact"/>
              <w:rPr>
                <w:rFonts w:hAnsi="宋体" w:cs="仿宋_GB2312"/>
                <w:color w:val="000000" w:themeColor="text1"/>
                <w:kern w:val="2"/>
                <w:szCs w:val="21"/>
                <w:highlight w:val="none"/>
                <w14:textFill>
                  <w14:solidFill>
                    <w14:schemeClr w14:val="tx1"/>
                  </w14:solidFill>
                </w14:textFill>
              </w:rPr>
            </w:pPr>
            <w:r>
              <w:rPr>
                <w:rFonts w:hint="eastAsia" w:hAnsi="宋体" w:cs="仿宋_GB2312"/>
                <w:color w:val="000000" w:themeColor="text1"/>
                <w:kern w:val="2"/>
                <w:szCs w:val="21"/>
                <w:highlight w:val="none"/>
                <w14:textFill>
                  <w14:solidFill>
                    <w14:schemeClr w14:val="tx1"/>
                  </w14:solidFill>
                </w14:textFill>
              </w:rPr>
              <w:t>履约保证金交纳</w:t>
            </w:r>
          </w:p>
        </w:tc>
        <w:tc>
          <w:tcPr>
            <w:tcW w:w="7312" w:type="dxa"/>
            <w:vAlign w:val="center"/>
          </w:tcPr>
          <w:p>
            <w:pPr>
              <w:pStyle w:val="9"/>
              <w:snapToGrid w:val="0"/>
              <w:spacing w:line="420" w:lineRule="exact"/>
              <w:rPr>
                <w:rFonts w:hAnsi="宋体" w:cs="仿宋_GB2312"/>
                <w:color w:val="000000" w:themeColor="text1"/>
                <w:kern w:val="2"/>
                <w:szCs w:val="21"/>
                <w:highlight w:val="none"/>
                <w14:textFill>
                  <w14:solidFill>
                    <w14:schemeClr w14:val="tx1"/>
                  </w14:solidFill>
                </w14:textFill>
              </w:rPr>
            </w:pPr>
            <w:r>
              <w:rPr>
                <w:rFonts w:hint="eastAsia" w:hAnsi="宋体" w:cs="仿宋_GB2312"/>
                <w:color w:val="000000" w:themeColor="text1"/>
                <w:kern w:val="2"/>
                <w:szCs w:val="21"/>
                <w:highlight w:val="none"/>
                <w14:textFill>
                  <w14:solidFill>
                    <w14:schemeClr w14:val="tx1"/>
                  </w14:solidFill>
                </w14:textFill>
              </w:rPr>
              <w:t>中标人在合同签订前向采购人交纳中标价</w:t>
            </w:r>
            <w:r>
              <w:rPr>
                <w:rFonts w:hint="eastAsia" w:hAnsi="宋体" w:cs="仿宋_GB2312"/>
                <w:color w:val="000000" w:themeColor="text1"/>
                <w:kern w:val="2"/>
                <w:szCs w:val="21"/>
                <w:highlight w:val="none"/>
                <w14:textFill>
                  <w14:solidFill>
                    <w14:schemeClr w14:val="tx1"/>
                  </w14:solidFill>
                </w14:textFill>
              </w:rPr>
              <w:t>10</w:t>
            </w:r>
            <w:r>
              <w:rPr>
                <w:rFonts w:hAnsi="宋体" w:cs="仿宋_GB2312"/>
                <w:color w:val="000000" w:themeColor="text1"/>
                <w:kern w:val="2"/>
                <w:szCs w:val="21"/>
                <w:highlight w:val="none"/>
                <w14:textFill>
                  <w14:solidFill>
                    <w14:schemeClr w14:val="tx1"/>
                  </w14:solidFill>
                </w14:textFill>
              </w:rPr>
              <w:t>%</w:t>
            </w:r>
            <w:r>
              <w:rPr>
                <w:rFonts w:hint="eastAsia" w:hAnsi="宋体" w:cs="仿宋_GB2312"/>
                <w:color w:val="000000" w:themeColor="text1"/>
                <w:kern w:val="2"/>
                <w:szCs w:val="21"/>
                <w:highlight w:val="none"/>
                <w14:textFill>
                  <w14:solidFill>
                    <w14:schemeClr w14:val="tx1"/>
                  </w14:solidFill>
                </w14:textFill>
              </w:rPr>
              <w:t>的履约保证金（现金或转账方式缴纳，不接受汇票、支票、保函形式缴纳履约保证金）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53" w:type="dxa"/>
            <w:vAlign w:val="center"/>
          </w:tcPr>
          <w:p>
            <w:pPr>
              <w:pStyle w:val="9"/>
              <w:snapToGrid w:val="0"/>
              <w:spacing w:line="420" w:lineRule="exact"/>
              <w:jc w:val="both"/>
              <w:rPr>
                <w:rFonts w:hAnsi="宋体" w:cs="仿宋_GB2312"/>
                <w:color w:val="000000" w:themeColor="text1"/>
                <w:kern w:val="2"/>
                <w:szCs w:val="21"/>
                <w:highlight w:val="none"/>
                <w14:textFill>
                  <w14:solidFill>
                    <w14:schemeClr w14:val="tx1"/>
                  </w14:solidFill>
                </w14:textFill>
              </w:rPr>
            </w:pPr>
            <w:r>
              <w:rPr>
                <w:rFonts w:hint="eastAsia" w:hAnsi="宋体" w:cs="仿宋_GB2312"/>
                <w:color w:val="000000" w:themeColor="text1"/>
                <w:kern w:val="2"/>
                <w:szCs w:val="21"/>
                <w:highlight w:val="none"/>
                <w14:textFill>
                  <w14:solidFill>
                    <w14:schemeClr w14:val="tx1"/>
                  </w14:solidFill>
                </w14:textFill>
              </w:rPr>
              <w:t>17</w:t>
            </w:r>
          </w:p>
        </w:tc>
        <w:tc>
          <w:tcPr>
            <w:tcW w:w="1989" w:type="dxa"/>
            <w:vAlign w:val="center"/>
          </w:tcPr>
          <w:p>
            <w:pPr>
              <w:pStyle w:val="9"/>
              <w:snapToGrid w:val="0"/>
              <w:spacing w:line="420" w:lineRule="exact"/>
              <w:rPr>
                <w:rFonts w:hAnsi="宋体" w:cs="仿宋_GB2312"/>
                <w:color w:val="000000" w:themeColor="text1"/>
                <w:kern w:val="2"/>
                <w:szCs w:val="21"/>
                <w:highlight w:val="none"/>
                <w14:textFill>
                  <w14:solidFill>
                    <w14:schemeClr w14:val="tx1"/>
                  </w14:solidFill>
                </w14:textFill>
              </w:rPr>
            </w:pPr>
            <w:r>
              <w:rPr>
                <w:rFonts w:hint="eastAsia" w:hAnsi="宋体" w:cs="仿宋_GB2312"/>
                <w:color w:val="000000" w:themeColor="text1"/>
                <w:kern w:val="2"/>
                <w:szCs w:val="21"/>
                <w:highlight w:val="none"/>
                <w14:textFill>
                  <w14:solidFill>
                    <w14:schemeClr w14:val="tx1"/>
                  </w14:solidFill>
                </w14:textFill>
              </w:rPr>
              <w:t>履约保证金退还</w:t>
            </w:r>
          </w:p>
        </w:tc>
        <w:tc>
          <w:tcPr>
            <w:tcW w:w="7312" w:type="dxa"/>
            <w:vAlign w:val="center"/>
          </w:tcPr>
          <w:p>
            <w:pPr>
              <w:widowControl/>
              <w:snapToGrid w:val="0"/>
              <w:spacing w:before="19" w:line="500" w:lineRule="exact"/>
              <w:jc w:val="left"/>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合同结束交接顺利完成后十五天内，甲方退还乙方履约保证金（无息）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753" w:type="dxa"/>
            <w:vAlign w:val="center"/>
          </w:tcPr>
          <w:p>
            <w:pPr>
              <w:pStyle w:val="9"/>
              <w:snapToGrid w:val="0"/>
              <w:spacing w:line="420" w:lineRule="exact"/>
              <w:jc w:val="both"/>
              <w:rPr>
                <w:rFonts w:hAnsi="宋体" w:cs="仿宋_GB2312"/>
                <w:color w:val="000000" w:themeColor="text1"/>
                <w:kern w:val="2"/>
                <w:szCs w:val="21"/>
                <w:highlight w:val="none"/>
                <w14:textFill>
                  <w14:solidFill>
                    <w14:schemeClr w14:val="tx1"/>
                  </w14:solidFill>
                </w14:textFill>
              </w:rPr>
            </w:pPr>
            <w:r>
              <w:rPr>
                <w:rFonts w:hint="eastAsia" w:hAnsi="宋体" w:cs="仿宋_GB2312"/>
                <w:color w:val="000000" w:themeColor="text1"/>
                <w:kern w:val="2"/>
                <w:szCs w:val="21"/>
                <w:highlight w:val="none"/>
                <w14:textFill>
                  <w14:solidFill>
                    <w14:schemeClr w14:val="tx1"/>
                  </w14:solidFill>
                </w14:textFill>
              </w:rPr>
              <w:t>18</w:t>
            </w:r>
          </w:p>
        </w:tc>
        <w:tc>
          <w:tcPr>
            <w:tcW w:w="1989" w:type="dxa"/>
            <w:vAlign w:val="center"/>
          </w:tcPr>
          <w:p>
            <w:pPr>
              <w:pStyle w:val="9"/>
              <w:spacing w:line="440" w:lineRule="exact"/>
              <w:rPr>
                <w:rFonts w:hAnsi="宋体" w:cs="仿宋_GB2312"/>
                <w:color w:val="000000" w:themeColor="text1"/>
                <w:kern w:val="2"/>
                <w:szCs w:val="21"/>
                <w:highlight w:val="none"/>
                <w14:textFill>
                  <w14:solidFill>
                    <w14:schemeClr w14:val="tx1"/>
                  </w14:solidFill>
                </w14:textFill>
              </w:rPr>
            </w:pPr>
            <w:r>
              <w:rPr>
                <w:rFonts w:hint="eastAsia" w:hAnsi="宋体" w:cs="仿宋_GB2312"/>
                <w:color w:val="000000" w:themeColor="text1"/>
                <w:kern w:val="2"/>
                <w:szCs w:val="21"/>
                <w:highlight w:val="none"/>
                <w14:textFill>
                  <w14:solidFill>
                    <w14:schemeClr w14:val="tx1"/>
                  </w14:solidFill>
                </w14:textFill>
              </w:rPr>
              <w:t>联合体投标</w:t>
            </w:r>
          </w:p>
        </w:tc>
        <w:tc>
          <w:tcPr>
            <w:tcW w:w="7312" w:type="dxa"/>
            <w:vAlign w:val="center"/>
          </w:tcPr>
          <w:p>
            <w:pPr>
              <w:pStyle w:val="9"/>
              <w:spacing w:line="440" w:lineRule="exact"/>
              <w:rPr>
                <w:rFonts w:hAnsi="宋体" w:cs="仿宋_GB2312"/>
                <w:color w:val="000000" w:themeColor="text1"/>
                <w:kern w:val="2"/>
                <w:szCs w:val="21"/>
                <w:highlight w:val="none"/>
                <w14:textFill>
                  <w14:solidFill>
                    <w14:schemeClr w14:val="tx1"/>
                  </w14:solidFill>
                </w14:textFill>
              </w:rPr>
            </w:pPr>
            <w:r>
              <w:rPr>
                <w:rFonts w:hint="eastAsia" w:hAnsi="宋体" w:cs="仿宋_GB2312"/>
                <w:color w:val="000000" w:themeColor="text1"/>
                <w:kern w:val="2"/>
                <w:szCs w:val="21"/>
                <w:highlight w:val="none"/>
                <w14:textFill>
                  <w14:solidFill>
                    <w14:schemeClr w14:val="tx1"/>
                  </w14:solidFill>
                </w14:textFill>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3" w:type="dxa"/>
            <w:vAlign w:val="center"/>
          </w:tcPr>
          <w:p>
            <w:pPr>
              <w:pStyle w:val="9"/>
              <w:snapToGrid w:val="0"/>
              <w:spacing w:line="420" w:lineRule="exact"/>
              <w:jc w:val="both"/>
              <w:rPr>
                <w:rFonts w:hAnsi="宋体" w:cs="仿宋_GB2312"/>
                <w:color w:val="000000" w:themeColor="text1"/>
                <w:kern w:val="2"/>
                <w:szCs w:val="21"/>
                <w:highlight w:val="none"/>
                <w14:textFill>
                  <w14:solidFill>
                    <w14:schemeClr w14:val="tx1"/>
                  </w14:solidFill>
                </w14:textFill>
              </w:rPr>
            </w:pPr>
            <w:r>
              <w:rPr>
                <w:rFonts w:hint="eastAsia" w:hAnsi="宋体" w:cs="仿宋_GB2312"/>
                <w:color w:val="000000" w:themeColor="text1"/>
                <w:kern w:val="2"/>
                <w:szCs w:val="21"/>
                <w:highlight w:val="none"/>
                <w14:textFill>
                  <w14:solidFill>
                    <w14:schemeClr w14:val="tx1"/>
                  </w14:solidFill>
                </w14:textFill>
              </w:rPr>
              <w:t>19</w:t>
            </w:r>
          </w:p>
        </w:tc>
        <w:tc>
          <w:tcPr>
            <w:tcW w:w="1989" w:type="dxa"/>
            <w:vAlign w:val="center"/>
          </w:tcPr>
          <w:p>
            <w:pPr>
              <w:pStyle w:val="9"/>
              <w:snapToGrid w:val="0"/>
              <w:spacing w:line="420" w:lineRule="exact"/>
              <w:rPr>
                <w:rFonts w:hAnsi="宋体" w:cs="仿宋_GB2312"/>
                <w:color w:val="000000" w:themeColor="text1"/>
                <w:kern w:val="2"/>
                <w:szCs w:val="21"/>
                <w:highlight w:val="none"/>
                <w14:textFill>
                  <w14:solidFill>
                    <w14:schemeClr w14:val="tx1"/>
                  </w14:solidFill>
                </w14:textFill>
              </w:rPr>
            </w:pPr>
            <w:r>
              <w:rPr>
                <w:rFonts w:hint="eastAsia" w:hAnsi="宋体" w:cs="仿宋_GB2312"/>
                <w:color w:val="000000" w:themeColor="text1"/>
                <w:kern w:val="2"/>
                <w:szCs w:val="21"/>
                <w:highlight w:val="none"/>
                <w14:textFill>
                  <w14:solidFill>
                    <w14:schemeClr w14:val="tx1"/>
                  </w14:solidFill>
                </w14:textFill>
              </w:rPr>
              <w:t>联系人</w:t>
            </w:r>
          </w:p>
        </w:tc>
        <w:tc>
          <w:tcPr>
            <w:tcW w:w="7312" w:type="dxa"/>
            <w:vAlign w:val="center"/>
          </w:tcPr>
          <w:p>
            <w:pPr>
              <w:pStyle w:val="9"/>
              <w:snapToGrid w:val="0"/>
              <w:spacing w:line="420" w:lineRule="exact"/>
              <w:rPr>
                <w:rFonts w:hAnsi="宋体" w:cs="仿宋_GB2312"/>
                <w:color w:val="000000" w:themeColor="text1"/>
                <w:kern w:val="2"/>
                <w:szCs w:val="21"/>
                <w:highlight w:val="none"/>
                <w14:textFill>
                  <w14:solidFill>
                    <w14:schemeClr w14:val="tx1"/>
                  </w14:solidFill>
                </w14:textFill>
              </w:rPr>
            </w:pPr>
            <w:r>
              <w:rPr>
                <w:rFonts w:hint="eastAsia" w:hAnsi="宋体" w:cs="仿宋_GB2312"/>
                <w:color w:val="000000" w:themeColor="text1"/>
                <w:kern w:val="2"/>
                <w:szCs w:val="21"/>
                <w:highlight w:val="none"/>
                <w14:textFill>
                  <w14:solidFill>
                    <w14:schemeClr w14:val="tx1"/>
                  </w14:solidFill>
                </w14:textFill>
              </w:rPr>
              <w:t>小章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3" w:type="dxa"/>
            <w:vAlign w:val="center"/>
          </w:tcPr>
          <w:p>
            <w:pPr>
              <w:pStyle w:val="9"/>
              <w:snapToGrid w:val="0"/>
              <w:spacing w:line="420" w:lineRule="exact"/>
              <w:jc w:val="both"/>
              <w:rPr>
                <w:rFonts w:hAnsi="宋体" w:cs="仿宋_GB2312"/>
                <w:color w:val="000000" w:themeColor="text1"/>
                <w:kern w:val="2"/>
                <w:szCs w:val="21"/>
                <w:highlight w:val="none"/>
                <w14:textFill>
                  <w14:solidFill>
                    <w14:schemeClr w14:val="tx1"/>
                  </w14:solidFill>
                </w14:textFill>
              </w:rPr>
            </w:pPr>
            <w:r>
              <w:rPr>
                <w:rFonts w:hint="eastAsia" w:hAnsi="宋体" w:cs="仿宋_GB2312"/>
                <w:color w:val="000000" w:themeColor="text1"/>
                <w:kern w:val="2"/>
                <w:szCs w:val="21"/>
                <w:highlight w:val="none"/>
                <w14:textFill>
                  <w14:solidFill>
                    <w14:schemeClr w14:val="tx1"/>
                  </w14:solidFill>
                </w14:textFill>
              </w:rPr>
              <w:t>20</w:t>
            </w:r>
          </w:p>
        </w:tc>
        <w:tc>
          <w:tcPr>
            <w:tcW w:w="1989" w:type="dxa"/>
            <w:vAlign w:val="center"/>
          </w:tcPr>
          <w:p>
            <w:pPr>
              <w:pStyle w:val="9"/>
              <w:snapToGrid w:val="0"/>
              <w:spacing w:line="420" w:lineRule="exact"/>
              <w:rPr>
                <w:rFonts w:hAnsi="宋体" w:cs="仿宋_GB2312"/>
                <w:color w:val="000000" w:themeColor="text1"/>
                <w:kern w:val="2"/>
                <w:szCs w:val="21"/>
                <w:highlight w:val="none"/>
                <w14:textFill>
                  <w14:solidFill>
                    <w14:schemeClr w14:val="tx1"/>
                  </w14:solidFill>
                </w14:textFill>
              </w:rPr>
            </w:pPr>
            <w:r>
              <w:rPr>
                <w:rFonts w:hint="eastAsia" w:hAnsi="宋体" w:cs="仿宋_GB2312"/>
                <w:color w:val="000000" w:themeColor="text1"/>
                <w:kern w:val="2"/>
                <w:szCs w:val="21"/>
                <w:highlight w:val="none"/>
                <w14:textFill>
                  <w14:solidFill>
                    <w14:schemeClr w14:val="tx1"/>
                  </w14:solidFill>
                </w14:textFill>
              </w:rPr>
              <w:t>联系电话</w:t>
            </w:r>
          </w:p>
        </w:tc>
        <w:tc>
          <w:tcPr>
            <w:tcW w:w="7312" w:type="dxa"/>
            <w:vAlign w:val="center"/>
          </w:tcPr>
          <w:p>
            <w:pPr>
              <w:pStyle w:val="9"/>
              <w:snapToGrid w:val="0"/>
              <w:spacing w:line="420" w:lineRule="exact"/>
              <w:rPr>
                <w:rFonts w:hAnsi="宋体" w:cs="仿宋_GB2312"/>
                <w:color w:val="000000" w:themeColor="text1"/>
                <w:kern w:val="2"/>
                <w:szCs w:val="21"/>
                <w:highlight w:val="none"/>
                <w14:textFill>
                  <w14:solidFill>
                    <w14:schemeClr w14:val="tx1"/>
                  </w14:solidFill>
                </w14:textFill>
              </w:rPr>
            </w:pPr>
            <w:r>
              <w:rPr>
                <w:rFonts w:hint="eastAsia" w:hAnsi="宋体" w:cs="仿宋_GB2312"/>
                <w:color w:val="000000" w:themeColor="text1"/>
                <w:kern w:val="2"/>
                <w:szCs w:val="21"/>
                <w:highlight w:val="none"/>
                <w14:textFill>
                  <w14:solidFill>
                    <w14:schemeClr w14:val="tx1"/>
                  </w14:solidFill>
                </w14:textFill>
              </w:rPr>
              <w:t>联系电话：0570-3032858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753" w:type="dxa"/>
            <w:vAlign w:val="center"/>
          </w:tcPr>
          <w:p>
            <w:pPr>
              <w:pStyle w:val="9"/>
              <w:snapToGrid w:val="0"/>
              <w:spacing w:line="420" w:lineRule="exact"/>
              <w:jc w:val="both"/>
              <w:rPr>
                <w:rFonts w:hAnsi="宋体" w:cs="仿宋_GB2312"/>
                <w:color w:val="000000" w:themeColor="text1"/>
                <w:kern w:val="2"/>
                <w:szCs w:val="21"/>
                <w:highlight w:val="none"/>
                <w14:textFill>
                  <w14:solidFill>
                    <w14:schemeClr w14:val="tx1"/>
                  </w14:solidFill>
                </w14:textFill>
              </w:rPr>
            </w:pPr>
            <w:r>
              <w:rPr>
                <w:rFonts w:hint="eastAsia" w:hAnsi="宋体" w:cs="仿宋_GB2312"/>
                <w:color w:val="000000" w:themeColor="text1"/>
                <w:kern w:val="2"/>
                <w:szCs w:val="21"/>
                <w:highlight w:val="none"/>
                <w14:textFill>
                  <w14:solidFill>
                    <w14:schemeClr w14:val="tx1"/>
                  </w14:solidFill>
                </w14:textFill>
              </w:rPr>
              <w:t>21</w:t>
            </w:r>
          </w:p>
        </w:tc>
        <w:tc>
          <w:tcPr>
            <w:tcW w:w="1989" w:type="dxa"/>
            <w:vAlign w:val="center"/>
          </w:tcPr>
          <w:p>
            <w:pPr>
              <w:pStyle w:val="9"/>
              <w:snapToGrid w:val="0"/>
              <w:rPr>
                <w:rFonts w:hAnsi="宋体" w:cs="仿宋_GB2312"/>
                <w:color w:val="000000" w:themeColor="text1"/>
                <w:kern w:val="2"/>
                <w:szCs w:val="21"/>
                <w:highlight w:val="none"/>
                <w14:textFill>
                  <w14:solidFill>
                    <w14:schemeClr w14:val="tx1"/>
                  </w14:solidFill>
                </w14:textFill>
              </w:rPr>
            </w:pPr>
            <w:r>
              <w:rPr>
                <w:rFonts w:hint="eastAsia" w:hAnsi="宋体" w:cs="仿宋_GB2312"/>
                <w:color w:val="000000" w:themeColor="text1"/>
                <w:kern w:val="2"/>
                <w:szCs w:val="21"/>
                <w:highlight w:val="none"/>
                <w14:textFill>
                  <w14:solidFill>
                    <w14:schemeClr w14:val="tx1"/>
                  </w14:solidFill>
                </w14:textFill>
              </w:rPr>
              <w:t>采购公告，更正公告，中标公示发布网址</w:t>
            </w:r>
          </w:p>
        </w:tc>
        <w:tc>
          <w:tcPr>
            <w:tcW w:w="7312" w:type="dxa"/>
            <w:vAlign w:val="center"/>
          </w:tcPr>
          <w:p>
            <w:pPr>
              <w:pStyle w:val="9"/>
              <w:snapToGrid w:val="0"/>
              <w:rPr>
                <w:rFonts w:hAnsi="宋体" w:cs="仿宋_GB2312"/>
                <w:color w:val="000000" w:themeColor="text1"/>
                <w:kern w:val="2"/>
                <w:szCs w:val="21"/>
                <w:highlight w:val="none"/>
                <w14:textFill>
                  <w14:solidFill>
                    <w14:schemeClr w14:val="tx1"/>
                  </w14:solidFill>
                </w14:textFill>
              </w:rPr>
            </w:pPr>
            <w:r>
              <w:rPr>
                <w:rFonts w:hint="eastAsia" w:hAnsi="宋体" w:cs="仿宋_GB2312"/>
                <w:color w:val="000000" w:themeColor="text1"/>
                <w:kern w:val="2"/>
                <w:szCs w:val="21"/>
                <w:highlight w:val="none"/>
                <w14:textFill>
                  <w14:solidFill>
                    <w14:schemeClr w14:val="tx1"/>
                  </w14:solidFill>
                </w14:textFill>
              </w:rPr>
              <w:t>浙江政府采购网（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"http://www.zjzfcg.gov.cn/" </w:instrText>
            </w:r>
            <w:r>
              <w:rPr>
                <w:color w:val="000000" w:themeColor="text1"/>
                <w:highlight w:val="none"/>
                <w14:textFill>
                  <w14:solidFill>
                    <w14:schemeClr w14:val="tx1"/>
                  </w14:solidFill>
                </w14:textFill>
              </w:rPr>
              <w:fldChar w:fldCharType="separate"/>
            </w:r>
            <w:r>
              <w:rPr>
                <w:rFonts w:hint="eastAsia" w:hAnsi="宋体" w:cs="仿宋_GB2312"/>
                <w:color w:val="000000" w:themeColor="text1"/>
                <w:kern w:val="2"/>
                <w:szCs w:val="21"/>
                <w:highlight w:val="none"/>
                <w14:textFill>
                  <w14:solidFill>
                    <w14:schemeClr w14:val="tx1"/>
                  </w14:solidFill>
                </w14:textFill>
              </w:rPr>
              <w:t>https://zfcg. czt.zj. gov.cn</w:t>
            </w:r>
            <w:r>
              <w:rPr>
                <w:rFonts w:hint="eastAsia" w:hAnsi="宋体" w:cs="仿宋_GB2312"/>
                <w:color w:val="000000" w:themeColor="text1"/>
                <w:kern w:val="2"/>
                <w:szCs w:val="21"/>
                <w:highlight w:val="none"/>
                <w14:textFill>
                  <w14:solidFill>
                    <w14:schemeClr w14:val="tx1"/>
                  </w14:solidFill>
                </w14:textFill>
              </w:rPr>
              <w:fldChar w:fldCharType="end"/>
            </w:r>
            <w:r>
              <w:rPr>
                <w:rFonts w:hint="eastAsia" w:hAnsi="宋体" w:cs="仿宋_GB2312"/>
                <w:color w:val="000000" w:themeColor="text1"/>
                <w:kern w:val="2"/>
                <w:szCs w:val="21"/>
                <w:highlight w:val="none"/>
                <w14:textFill>
                  <w14:solidFill>
                    <w14:schemeClr w14:val="tx1"/>
                  </w14:solidFill>
                </w14:textFill>
              </w:rPr>
              <w:t>）；</w:t>
            </w:r>
          </w:p>
          <w:p>
            <w:pPr>
              <w:pStyle w:val="9"/>
              <w:snapToGrid w:val="0"/>
              <w:rPr>
                <w:rFonts w:hAnsi="宋体" w:cs="仿宋_GB2312"/>
                <w:color w:val="000000" w:themeColor="text1"/>
                <w:kern w:val="2"/>
                <w:szCs w:val="21"/>
                <w:highlight w:val="none"/>
                <w14:textFill>
                  <w14:solidFill>
                    <w14:schemeClr w14:val="tx1"/>
                  </w14:solidFill>
                </w14:textFill>
              </w:rPr>
            </w:pPr>
            <w:r>
              <w:rPr>
                <w:rFonts w:hint="eastAsia" w:hAnsi="宋体" w:cs="仿宋_GB2312"/>
                <w:color w:val="000000" w:themeColor="text1"/>
                <w:kern w:val="2"/>
                <w:szCs w:val="21"/>
                <w:highlight w:val="none"/>
                <w14:textFill>
                  <w14:solidFill>
                    <w14:schemeClr w14:val="tx1"/>
                  </w14:solidFill>
                </w14:textFill>
              </w:rPr>
              <w:t>衢州市柯城区人民政府网（http://www.kecheng.gov.cn/）。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753" w:type="dxa"/>
            <w:vAlign w:val="center"/>
          </w:tcPr>
          <w:p>
            <w:pPr>
              <w:pStyle w:val="9"/>
              <w:snapToGrid w:val="0"/>
              <w:spacing w:line="420" w:lineRule="exact"/>
              <w:jc w:val="both"/>
              <w:rPr>
                <w:rFonts w:hAnsi="宋体" w:cs="仿宋_GB2312"/>
                <w:color w:val="000000" w:themeColor="text1"/>
                <w:kern w:val="2"/>
                <w:szCs w:val="21"/>
                <w:highlight w:val="none"/>
                <w14:textFill>
                  <w14:solidFill>
                    <w14:schemeClr w14:val="tx1"/>
                  </w14:solidFill>
                </w14:textFill>
              </w:rPr>
            </w:pPr>
            <w:r>
              <w:rPr>
                <w:rFonts w:hint="eastAsia" w:hAnsi="宋体" w:cs="仿宋_GB2312"/>
                <w:color w:val="000000" w:themeColor="text1"/>
                <w:kern w:val="2"/>
                <w:szCs w:val="21"/>
                <w:highlight w:val="none"/>
                <w14:textFill>
                  <w14:solidFill>
                    <w14:schemeClr w14:val="tx1"/>
                  </w14:solidFill>
                </w14:textFill>
              </w:rPr>
              <w:t>22</w:t>
            </w:r>
          </w:p>
        </w:tc>
        <w:tc>
          <w:tcPr>
            <w:tcW w:w="1989" w:type="dxa"/>
            <w:vAlign w:val="center"/>
          </w:tcPr>
          <w:p>
            <w:pPr>
              <w:pStyle w:val="9"/>
              <w:snapToGrid w:val="0"/>
              <w:rPr>
                <w:rFonts w:hAnsi="宋体" w:cs="仿宋_GB2312"/>
                <w:color w:val="000000" w:themeColor="text1"/>
                <w:kern w:val="2"/>
                <w:szCs w:val="21"/>
                <w:highlight w:val="none"/>
                <w14:textFill>
                  <w14:solidFill>
                    <w14:schemeClr w14:val="tx1"/>
                  </w14:solidFill>
                </w14:textFill>
              </w:rPr>
            </w:pPr>
            <w:r>
              <w:rPr>
                <w:rFonts w:hint="eastAsia" w:hAnsi="宋体" w:cs="仿宋_GB2312"/>
                <w:color w:val="000000" w:themeColor="text1"/>
                <w:kern w:val="2"/>
                <w:szCs w:val="21"/>
                <w:highlight w:val="none"/>
                <w14:textFill>
                  <w14:solidFill>
                    <w14:schemeClr w14:val="tx1"/>
                  </w14:solidFill>
                </w14:textFill>
              </w:rPr>
              <w:t>代理服务费</w:t>
            </w:r>
          </w:p>
        </w:tc>
        <w:tc>
          <w:tcPr>
            <w:tcW w:w="7312" w:type="dxa"/>
            <w:vAlign w:val="center"/>
          </w:tcPr>
          <w:p>
            <w:pPr>
              <w:spacing w:line="40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(1)本次采购代理服务费按计价格[2002]1980号规定收取。</w:t>
            </w:r>
          </w:p>
          <w:p>
            <w:pPr>
              <w:spacing w:line="40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(2)评委费按实收取。</w:t>
            </w:r>
          </w:p>
          <w:p>
            <w:pPr>
              <w:spacing w:line="400" w:lineRule="exact"/>
              <w:rPr>
                <w:rFonts w:ascii="宋体" w:hAnsi="宋体" w:cs="宋体"/>
                <w:b/>
                <w:bCs/>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(3)以上费用均不在报价中单列，请供应商在报价中予以考虑。</w:t>
            </w:r>
          </w:p>
          <w:p>
            <w:pPr>
              <w:pStyle w:val="9"/>
              <w:snapToGrid w:val="0"/>
              <w:spacing w:line="400" w:lineRule="exact"/>
              <w:rPr>
                <w:rFonts w:hAnsi="宋体" w:cs="仿宋_GB2312"/>
                <w:color w:val="000000" w:themeColor="text1"/>
                <w:kern w:val="2"/>
                <w:szCs w:val="21"/>
                <w:highlight w:val="none"/>
                <w14:textFill>
                  <w14:solidFill>
                    <w14:schemeClr w14:val="tx1"/>
                  </w14:solidFill>
                </w14:textFill>
              </w:rPr>
            </w:pPr>
            <w:r>
              <w:rPr>
                <w:rFonts w:hint="eastAsia" w:hAnsi="宋体" w:cs="宋体"/>
                <w:color w:val="000000" w:themeColor="text1"/>
                <w:sz w:val="22"/>
                <w:szCs w:val="22"/>
                <w:highlight w:val="none"/>
                <w14:textFill>
                  <w14:solidFill>
                    <w14:schemeClr w14:val="tx1"/>
                  </w14:solidFill>
                </w14:textFill>
              </w:rPr>
              <w:t>(4)由中标供应商在领取中标通知书时支付给招标代理单位。</w:t>
            </w:r>
          </w:p>
        </w:tc>
      </w:tr>
    </w:tbl>
    <w:p>
      <w:pPr>
        <w:pStyle w:val="8"/>
        <w:spacing w:after="0" w:line="360" w:lineRule="auto"/>
        <w:ind w:left="0" w:leftChars="0"/>
        <w:jc w:val="center"/>
        <w:rPr>
          <w:rFonts w:ascii="宋体" w:hAnsi="宋体" w:cs="宋体-PUA"/>
          <w:b/>
          <w:color w:val="000000" w:themeColor="text1"/>
          <w:sz w:val="24"/>
          <w:highlight w:val="none"/>
          <w14:textFill>
            <w14:solidFill>
              <w14:schemeClr w14:val="tx1"/>
            </w14:solidFill>
          </w14:textFill>
        </w:rPr>
      </w:pPr>
      <w:r>
        <w:rPr>
          <w:rFonts w:hint="eastAsia" w:ascii="宋体" w:hAnsi="宋体" w:cs="宋体-PUA"/>
          <w:b/>
          <w:color w:val="000000" w:themeColor="text1"/>
          <w:sz w:val="24"/>
          <w:highlight w:val="none"/>
          <w14:textFill>
            <w14:solidFill>
              <w14:schemeClr w14:val="tx1"/>
            </w14:solidFill>
          </w14:textFill>
        </w:rPr>
        <w:t>二、投标须知</w:t>
      </w:r>
    </w:p>
    <w:p>
      <w:pPr>
        <w:pStyle w:val="8"/>
        <w:spacing w:after="0" w:line="360" w:lineRule="auto"/>
        <w:rPr>
          <w:rFonts w:ascii="宋体" w:hAnsi="宋体" w:cs="宋体-PUA"/>
          <w:b/>
          <w:color w:val="000000" w:themeColor="text1"/>
          <w:sz w:val="24"/>
          <w:highlight w:val="none"/>
          <w14:textFill>
            <w14:solidFill>
              <w14:schemeClr w14:val="tx1"/>
            </w14:solidFill>
          </w14:textFill>
        </w:rPr>
      </w:pPr>
      <w:r>
        <w:rPr>
          <w:rFonts w:hint="eastAsia" w:ascii="宋体" w:hAnsi="宋体" w:cs="宋体-PUA"/>
          <w:b/>
          <w:color w:val="000000" w:themeColor="text1"/>
          <w:sz w:val="24"/>
          <w:highlight w:val="none"/>
          <w14:textFill>
            <w14:solidFill>
              <w14:schemeClr w14:val="tx1"/>
            </w14:solidFill>
          </w14:textFill>
        </w:rPr>
        <w:t>（一）总则</w:t>
      </w:r>
    </w:p>
    <w:p>
      <w:pPr>
        <w:pStyle w:val="8"/>
        <w:spacing w:after="0" w:line="360" w:lineRule="auto"/>
        <w:rPr>
          <w:rFonts w:ascii="宋体" w:hAnsi="宋体" w:cs="宋体-PUA"/>
          <w:bCs/>
          <w:color w:val="000000" w:themeColor="text1"/>
          <w:sz w:val="24"/>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1、适用范围</w:t>
      </w:r>
    </w:p>
    <w:p>
      <w:pPr>
        <w:pStyle w:val="8"/>
        <w:spacing w:after="0" w:line="360" w:lineRule="auto"/>
        <w:ind w:left="0" w:leftChars="0" w:firstLine="480" w:firstLineChars="200"/>
        <w:rPr>
          <w:rFonts w:ascii="宋体" w:hAnsi="宋体" w:cs="宋体-PUA"/>
          <w:bCs/>
          <w:color w:val="000000" w:themeColor="text1"/>
          <w:sz w:val="24"/>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1.1本采购文件适用于本次采购活动中所叙述的</w:t>
      </w:r>
      <w:r>
        <w:rPr>
          <w:rFonts w:hint="eastAsia" w:ascii="宋体" w:hAnsi="宋体" w:cs="宋体-PUA"/>
          <w:bCs/>
          <w:color w:val="000000" w:themeColor="text1"/>
          <w:sz w:val="24"/>
          <w:highlight w:val="none"/>
          <w:lang w:eastAsia="zh-CN"/>
          <w14:textFill>
            <w14:solidFill>
              <w14:schemeClr w14:val="tx1"/>
            </w14:solidFill>
          </w14:textFill>
        </w:rPr>
        <w:t>柯城区百家塘片区集体土地房屋征收评估服务采购项目</w:t>
      </w:r>
      <w:r>
        <w:rPr>
          <w:rFonts w:hint="eastAsia" w:ascii="宋体" w:hAnsi="宋体" w:cs="宋体-PUA"/>
          <w:bCs/>
          <w:color w:val="000000" w:themeColor="text1"/>
          <w:sz w:val="24"/>
          <w:highlight w:val="none"/>
          <w14:textFill>
            <w14:solidFill>
              <w14:schemeClr w14:val="tx1"/>
            </w14:solidFill>
          </w14:textFill>
        </w:rPr>
        <w:t>。</w:t>
      </w:r>
    </w:p>
    <w:p>
      <w:pPr>
        <w:pStyle w:val="8"/>
        <w:spacing w:after="0" w:line="360" w:lineRule="auto"/>
        <w:rPr>
          <w:rFonts w:ascii="宋体" w:hAnsi="宋体" w:cs="宋体-PUA"/>
          <w:bCs/>
          <w:color w:val="000000" w:themeColor="text1"/>
          <w:sz w:val="24"/>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2、定义解释</w:t>
      </w:r>
    </w:p>
    <w:p>
      <w:pPr>
        <w:pStyle w:val="8"/>
        <w:spacing w:after="0" w:line="360" w:lineRule="auto"/>
        <w:ind w:left="0" w:leftChars="0"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2.1“采购代理机</w:t>
      </w:r>
      <w:r>
        <w:rPr>
          <w:rFonts w:hint="eastAsia" w:ascii="宋体" w:hAnsi="宋体" w:cs="宋体-PUA"/>
          <w:color w:val="000000" w:themeColor="text1"/>
          <w:sz w:val="24"/>
          <w:highlight w:val="none"/>
          <w14:textFill>
            <w14:solidFill>
              <w14:schemeClr w14:val="tx1"/>
            </w14:solidFill>
          </w14:textFill>
        </w:rPr>
        <w:t>构”是指</w:t>
      </w:r>
      <w:r>
        <w:rPr>
          <w:rFonts w:hint="eastAsia" w:ascii="宋体" w:hAnsi="宋体" w:cs="宋体-PUA"/>
          <w:bCs/>
          <w:color w:val="000000" w:themeColor="text1"/>
          <w:sz w:val="24"/>
          <w:highlight w:val="none"/>
          <w14:textFill>
            <w14:solidFill>
              <w14:schemeClr w14:val="tx1"/>
            </w14:solidFill>
          </w14:textFill>
        </w:rPr>
        <w:t>浙江卓宏建设项目管理有限公司</w:t>
      </w:r>
      <w:r>
        <w:rPr>
          <w:rFonts w:hint="eastAsia" w:ascii="宋体" w:hAnsi="宋体" w:cs="宋体-PUA"/>
          <w:color w:val="000000" w:themeColor="text1"/>
          <w:sz w:val="24"/>
          <w:highlight w:val="none"/>
          <w14:textFill>
            <w14:solidFill>
              <w14:schemeClr w14:val="tx1"/>
            </w14:solidFill>
          </w14:textFill>
        </w:rPr>
        <w:t>。</w:t>
      </w:r>
    </w:p>
    <w:p>
      <w:pPr>
        <w:pStyle w:val="8"/>
        <w:spacing w:after="0" w:line="360" w:lineRule="auto"/>
        <w:ind w:left="0" w:leftChars="0"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2.2“采购人”是指衢州市柯城区双港街道办事处。</w:t>
      </w:r>
    </w:p>
    <w:p>
      <w:pPr>
        <w:pStyle w:val="8"/>
        <w:spacing w:after="0" w:line="360" w:lineRule="auto"/>
        <w:ind w:left="0" w:leftChars="0"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2.3“采购项目”是指本采购文件所要求的</w:t>
      </w:r>
      <w:r>
        <w:rPr>
          <w:rFonts w:hint="eastAsia" w:ascii="宋体" w:hAnsi="宋体" w:cs="宋体-PUA"/>
          <w:color w:val="000000" w:themeColor="text1"/>
          <w:sz w:val="24"/>
          <w:highlight w:val="none"/>
          <w:lang w:eastAsia="zh-CN"/>
          <w14:textFill>
            <w14:solidFill>
              <w14:schemeClr w14:val="tx1"/>
            </w14:solidFill>
          </w14:textFill>
        </w:rPr>
        <w:t>柯城区百家塘片区集体土地房屋征收评估服务采购项目</w:t>
      </w:r>
      <w:r>
        <w:rPr>
          <w:rFonts w:hint="eastAsia" w:ascii="宋体" w:hAnsi="宋体" w:cs="宋体-PUA"/>
          <w:color w:val="000000" w:themeColor="text1"/>
          <w:sz w:val="24"/>
          <w:highlight w:val="none"/>
          <w14:textFill>
            <w14:solidFill>
              <w14:schemeClr w14:val="tx1"/>
            </w14:solidFill>
          </w14:textFill>
        </w:rPr>
        <w:t>。</w:t>
      </w:r>
    </w:p>
    <w:p>
      <w:pPr>
        <w:pStyle w:val="8"/>
        <w:spacing w:after="0" w:line="360" w:lineRule="auto"/>
        <w:ind w:left="0" w:leftChars="0"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2.4“投标人”是指获得采购文件并向采购代理机构提交投标文件的供应商。</w:t>
      </w:r>
    </w:p>
    <w:p>
      <w:pPr>
        <w:pStyle w:val="8"/>
        <w:spacing w:after="0" w:line="360" w:lineRule="auto"/>
        <w:ind w:left="0" w:leftChars="0"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2.5“潜在投标人”是指符合采购文件规定的合格供应商。</w:t>
      </w:r>
    </w:p>
    <w:p>
      <w:pPr>
        <w:pStyle w:val="8"/>
        <w:spacing w:after="0" w:line="360" w:lineRule="auto"/>
        <w:ind w:left="0" w:leftChars="0"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2.6 “中标人”是指经评标小组审查通过，并经公示无异议的投标人。</w:t>
      </w:r>
    </w:p>
    <w:p>
      <w:pPr>
        <w:pStyle w:val="8"/>
        <w:spacing w:after="0" w:line="360" w:lineRule="auto"/>
        <w:ind w:left="0" w:leftChars="0"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2.7“投标人代表”是指投标人法定代表人或被投标人法定代表人授权委托的人。</w:t>
      </w:r>
    </w:p>
    <w:p>
      <w:pPr>
        <w:pStyle w:val="8"/>
        <w:spacing w:after="0" w:line="360" w:lineRule="auto"/>
        <w:ind w:left="0" w:leftChars="0"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2.8“招标采购单位”是指采购代理机构及采购人。</w:t>
      </w:r>
    </w:p>
    <w:p>
      <w:pPr>
        <w:pStyle w:val="8"/>
        <w:spacing w:after="0" w:line="360" w:lineRule="auto"/>
        <w:rPr>
          <w:rFonts w:ascii="宋体" w:hAnsi="宋体" w:cs="宋体-PUA"/>
          <w:bCs/>
          <w:color w:val="000000" w:themeColor="text1"/>
          <w:sz w:val="24"/>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3、项目说明</w:t>
      </w:r>
    </w:p>
    <w:p>
      <w:pPr>
        <w:pStyle w:val="8"/>
        <w:spacing w:after="0" w:line="360" w:lineRule="auto"/>
        <w:ind w:left="0" w:leftChars="0" w:firstLine="480" w:firstLineChars="200"/>
        <w:rPr>
          <w:rFonts w:ascii="宋体" w:hAnsi="宋体" w:cs="宋体-PUA"/>
          <w:bCs/>
          <w:color w:val="000000" w:themeColor="text1"/>
          <w:sz w:val="24"/>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3.1本采购项目说明详见采购文件投标须知前附表。</w:t>
      </w:r>
    </w:p>
    <w:p>
      <w:pPr>
        <w:pStyle w:val="8"/>
        <w:spacing w:after="0" w:line="360" w:lineRule="auto"/>
        <w:ind w:left="0" w:leftChars="0" w:firstLine="480" w:firstLineChars="200"/>
        <w:rPr>
          <w:rFonts w:ascii="宋体" w:hAnsi="宋体" w:cs="宋体-PUA"/>
          <w:bCs/>
          <w:color w:val="000000" w:themeColor="text1"/>
          <w:sz w:val="24"/>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3.2本采购项目按照《中华人民共和国政府采购法》等有关法律、行政法规和部门规章，通过公开招标方式选定中标人。</w:t>
      </w:r>
    </w:p>
    <w:p>
      <w:pPr>
        <w:pStyle w:val="8"/>
        <w:spacing w:after="0" w:line="360" w:lineRule="auto"/>
        <w:rPr>
          <w:rFonts w:ascii="宋体" w:hAnsi="宋体" w:cs="宋体-PUA"/>
          <w:bCs/>
          <w:color w:val="000000" w:themeColor="text1"/>
          <w:sz w:val="24"/>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4、合格投标人的条件</w:t>
      </w:r>
    </w:p>
    <w:p>
      <w:pPr>
        <w:spacing w:line="360" w:lineRule="auto"/>
        <w:ind w:firstLine="480" w:firstLineChars="200"/>
        <w:rPr>
          <w:rFonts w:ascii="宋体" w:hAnsi="宋体" w:cs="宋体-PUA"/>
          <w:bCs/>
          <w:color w:val="000000" w:themeColor="text1"/>
          <w:sz w:val="24"/>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4.1凡符合本采购文件第一章招标公告投标人资格要求的均为合格的投标人。</w:t>
      </w:r>
    </w:p>
    <w:p>
      <w:pPr>
        <w:pStyle w:val="8"/>
        <w:spacing w:after="0" w:line="360" w:lineRule="auto"/>
        <w:rPr>
          <w:rFonts w:ascii="宋体" w:hAnsi="宋体" w:cs="宋体-PUA"/>
          <w:bCs/>
          <w:color w:val="000000" w:themeColor="text1"/>
          <w:sz w:val="24"/>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5、投标费用</w:t>
      </w:r>
    </w:p>
    <w:p>
      <w:pPr>
        <w:spacing w:line="360" w:lineRule="auto"/>
        <w:ind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5.1投标人应承担参加本次投标有关的全部费用，无论结果如何，采购人和采购代理机构在任何情况下均无义务和责任承担这些费用。</w:t>
      </w:r>
    </w:p>
    <w:p>
      <w:pPr>
        <w:spacing w:line="360" w:lineRule="auto"/>
        <w:ind w:firstLine="482" w:firstLineChars="200"/>
        <w:rPr>
          <w:rFonts w:ascii="宋体" w:hAnsi="宋体" w:cs="宋体-PUA"/>
          <w:b/>
          <w:bCs/>
          <w:color w:val="000000" w:themeColor="text1"/>
          <w:sz w:val="24"/>
          <w:highlight w:val="none"/>
          <w14:textFill>
            <w14:solidFill>
              <w14:schemeClr w14:val="tx1"/>
            </w14:solidFill>
          </w14:textFill>
        </w:rPr>
      </w:pPr>
      <w:r>
        <w:rPr>
          <w:rFonts w:hint="eastAsia" w:ascii="宋体" w:hAnsi="宋体" w:cs="宋体-PUA"/>
          <w:b/>
          <w:bCs/>
          <w:color w:val="000000" w:themeColor="text1"/>
          <w:sz w:val="24"/>
          <w:highlight w:val="none"/>
          <w14:textFill>
            <w14:solidFill>
              <w14:schemeClr w14:val="tx1"/>
            </w14:solidFill>
          </w14:textFill>
        </w:rPr>
        <w:t>（二）采购文件</w:t>
      </w:r>
    </w:p>
    <w:p>
      <w:pPr>
        <w:pStyle w:val="8"/>
        <w:spacing w:after="0" w:line="360" w:lineRule="auto"/>
        <w:rPr>
          <w:rFonts w:ascii="宋体" w:hAnsi="宋体" w:cs="宋体-PUA"/>
          <w:bCs/>
          <w:color w:val="000000" w:themeColor="text1"/>
          <w:sz w:val="24"/>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1、采购文件的组成</w:t>
      </w:r>
    </w:p>
    <w:p>
      <w:pPr>
        <w:spacing w:line="360" w:lineRule="auto"/>
        <w:ind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1.1采购文件共分为6部分，其内容如下：</w:t>
      </w:r>
    </w:p>
    <w:p>
      <w:pPr>
        <w:pStyle w:val="8"/>
        <w:spacing w:after="0" w:line="360" w:lineRule="auto"/>
        <w:rPr>
          <w:rFonts w:ascii="宋体" w:hAnsi="宋体" w:cs="宋体-PUA"/>
          <w:bCs/>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第一章  招标</w:t>
      </w:r>
      <w:r>
        <w:rPr>
          <w:rFonts w:hint="eastAsia" w:ascii="宋体" w:hAnsi="宋体" w:cs="宋体-PUA"/>
          <w:bCs/>
          <w:color w:val="000000" w:themeColor="text1"/>
          <w:sz w:val="24"/>
          <w:highlight w:val="none"/>
          <w14:textFill>
            <w14:solidFill>
              <w14:schemeClr w14:val="tx1"/>
            </w14:solidFill>
          </w14:textFill>
        </w:rPr>
        <w:t>公告</w:t>
      </w:r>
    </w:p>
    <w:p>
      <w:pPr>
        <w:pStyle w:val="8"/>
        <w:spacing w:after="0" w:line="360" w:lineRule="auto"/>
        <w:rPr>
          <w:rFonts w:ascii="宋体" w:hAnsi="宋体" w:cs="宋体-PUA"/>
          <w:bCs/>
          <w:color w:val="000000" w:themeColor="text1"/>
          <w:sz w:val="24"/>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 xml:space="preserve">第二章  </w:t>
      </w:r>
      <w:r>
        <w:rPr>
          <w:rFonts w:ascii="宋体" w:hAnsi="宋体"/>
          <w:color w:val="000000" w:themeColor="text1"/>
          <w:sz w:val="24"/>
          <w:highlight w:val="none"/>
          <w14:textFill>
            <w14:solidFill>
              <w14:schemeClr w14:val="tx1"/>
            </w14:solidFill>
          </w14:textFill>
        </w:rPr>
        <w:t>投标须知前附表及投标须知</w:t>
      </w:r>
    </w:p>
    <w:p>
      <w:pPr>
        <w:pStyle w:val="8"/>
        <w:spacing w:after="0" w:line="360" w:lineRule="auto"/>
        <w:rPr>
          <w:rFonts w:ascii="宋体" w:hAnsi="宋体" w:cs="宋体-PUA"/>
          <w:bCs/>
          <w:color w:val="000000" w:themeColor="text1"/>
          <w:sz w:val="24"/>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第三章  采购内容及要求</w:t>
      </w:r>
    </w:p>
    <w:p>
      <w:pPr>
        <w:pStyle w:val="8"/>
        <w:spacing w:after="0" w:line="360" w:lineRule="auto"/>
        <w:rPr>
          <w:rFonts w:ascii="宋体" w:hAnsi="宋体" w:cs="宋体-PUA"/>
          <w:bCs/>
          <w:color w:val="000000" w:themeColor="text1"/>
          <w:sz w:val="24"/>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第四章  合同主要条款</w:t>
      </w:r>
    </w:p>
    <w:p>
      <w:pPr>
        <w:pStyle w:val="8"/>
        <w:spacing w:after="0" w:line="360" w:lineRule="auto"/>
        <w:rPr>
          <w:rFonts w:ascii="宋体" w:hAnsi="宋体" w:cs="宋体-PUA"/>
          <w:bCs/>
          <w:color w:val="000000" w:themeColor="text1"/>
          <w:sz w:val="24"/>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第五章  评标原则及办法</w:t>
      </w:r>
    </w:p>
    <w:p>
      <w:pPr>
        <w:pStyle w:val="8"/>
        <w:spacing w:after="0" w:line="360" w:lineRule="auto"/>
        <w:rPr>
          <w:rFonts w:ascii="宋体" w:hAnsi="宋体" w:cs="宋体-PUA"/>
          <w:color w:val="000000" w:themeColor="text1"/>
          <w:sz w:val="24"/>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第六章  投标文件</w:t>
      </w:r>
      <w:r>
        <w:rPr>
          <w:rFonts w:hint="eastAsia" w:ascii="宋体" w:hAnsi="宋体" w:cs="宋体-PUA"/>
          <w:color w:val="000000" w:themeColor="text1"/>
          <w:sz w:val="24"/>
          <w:highlight w:val="none"/>
          <w14:textFill>
            <w14:solidFill>
              <w14:schemeClr w14:val="tx1"/>
            </w14:solidFill>
          </w14:textFill>
        </w:rPr>
        <w:t>相关格式</w:t>
      </w:r>
    </w:p>
    <w:p>
      <w:pPr>
        <w:pStyle w:val="8"/>
        <w:spacing w:after="0" w:line="360" w:lineRule="auto"/>
        <w:rPr>
          <w:rFonts w:ascii="宋体" w:hAnsi="宋体" w:cs="宋体-PUA"/>
          <w:bCs/>
          <w:color w:val="000000" w:themeColor="text1"/>
          <w:sz w:val="24"/>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1.2投标人的风险</w:t>
      </w:r>
    </w:p>
    <w:p>
      <w:pPr>
        <w:spacing w:line="360" w:lineRule="auto"/>
        <w:ind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投标人没有按照采购文件要求提供全部资料，或者投标人没有对采购文件在各方面做出实质性响应是投标人的风险，并可能导致其投标被拒绝。</w:t>
      </w:r>
    </w:p>
    <w:p>
      <w:pPr>
        <w:pStyle w:val="8"/>
        <w:spacing w:after="0" w:line="360" w:lineRule="auto"/>
        <w:rPr>
          <w:rFonts w:ascii="宋体" w:hAnsi="宋体" w:cs="宋体-PUA"/>
          <w:bCs/>
          <w:color w:val="000000" w:themeColor="text1"/>
          <w:sz w:val="24"/>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2、采购文件的澄清与修改</w:t>
      </w:r>
    </w:p>
    <w:p>
      <w:pPr>
        <w:adjustRightInd w:val="0"/>
        <w:snapToGrid w:val="0"/>
        <w:spacing w:line="312"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14:textFill>
            <w14:solidFill>
              <w14:schemeClr w14:val="tx1"/>
            </w14:solidFill>
          </w14:textFill>
        </w:rPr>
        <w:t>.1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adjustRightInd w:val="0"/>
        <w:snapToGrid w:val="0"/>
        <w:spacing w:line="312"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14:textFill>
            <w14:solidFill>
              <w14:schemeClr w14:val="tx1"/>
            </w14:solidFill>
          </w14:textFill>
        </w:rPr>
        <w:t>.2投标人对招标文件有异议的，公告期限内获取采购文件的供应商应在自收到采购文件之日（获取采购文件之日）起7个工作日内，公告期限外获取采购文件的供应商应在公告期限届满之日起7个工作日内，以书面形式向</w:t>
      </w:r>
      <w:r>
        <w:rPr>
          <w:rFonts w:hint="eastAsia" w:ascii="宋体" w:hAnsi="宋体"/>
          <w:color w:val="000000" w:themeColor="text1"/>
          <w:sz w:val="24"/>
          <w:highlight w:val="none"/>
          <w14:textFill>
            <w14:solidFill>
              <w14:schemeClr w14:val="tx1"/>
            </w14:solidFill>
          </w14:textFill>
        </w:rPr>
        <w:t>浙江卓宏建设项目管理有限公司</w:t>
      </w:r>
      <w:r>
        <w:rPr>
          <w:rFonts w:ascii="宋体" w:hAnsi="宋体"/>
          <w:color w:val="000000" w:themeColor="text1"/>
          <w:sz w:val="24"/>
          <w:highlight w:val="none"/>
          <w14:textFill>
            <w14:solidFill>
              <w14:schemeClr w14:val="tx1"/>
            </w14:solidFill>
          </w14:textFill>
        </w:rPr>
        <w:t>提出质疑，逾期将不予受理。招标人将在收到异议之日起7个工作日内作出答复，有变更的在本采购信息发布媒体上发布变更公告，公告内容作为招标文件的构成部分。</w:t>
      </w:r>
    </w:p>
    <w:p>
      <w:pPr>
        <w:adjustRightInd w:val="0"/>
        <w:snapToGrid w:val="0"/>
        <w:spacing w:line="312"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14:textFill>
            <w14:solidFill>
              <w14:schemeClr w14:val="tx1"/>
            </w14:solidFill>
          </w14:textFill>
        </w:rPr>
        <w:t>.3没有通过本招标文件规定的办法获取采购文件的供应商，</w:t>
      </w:r>
      <w:r>
        <w:rPr>
          <w:rFonts w:hint="eastAsia" w:ascii="宋体" w:hAnsi="宋体"/>
          <w:color w:val="000000" w:themeColor="text1"/>
          <w:sz w:val="24"/>
          <w:highlight w:val="none"/>
          <w14:textFill>
            <w14:solidFill>
              <w14:schemeClr w14:val="tx1"/>
            </w14:solidFill>
          </w14:textFill>
        </w:rPr>
        <w:t>采购人或代理公司</w:t>
      </w:r>
      <w:r>
        <w:rPr>
          <w:rFonts w:ascii="宋体" w:hAnsi="宋体"/>
          <w:color w:val="000000" w:themeColor="text1"/>
          <w:sz w:val="24"/>
          <w:highlight w:val="none"/>
          <w14:textFill>
            <w14:solidFill>
              <w14:schemeClr w14:val="tx1"/>
            </w14:solidFill>
          </w14:textFill>
        </w:rPr>
        <w:t>不受理其质疑。</w:t>
      </w:r>
    </w:p>
    <w:p>
      <w:pPr>
        <w:adjustRightInd w:val="0"/>
        <w:snapToGrid w:val="0"/>
        <w:spacing w:line="312"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14:textFill>
            <w14:solidFill>
              <w14:schemeClr w14:val="tx1"/>
            </w14:solidFill>
          </w14:textFill>
        </w:rPr>
        <w:t>.4招标文件澄清、答复、修改或补充的内容为招标文件的组成部分。当招标文件与招标文件的澄清、答复、修改或补充等通知就同一内容的表述不一致时，以最后发出的书面文件为准。</w:t>
      </w:r>
    </w:p>
    <w:p>
      <w:pPr>
        <w:adjustRightInd w:val="0"/>
        <w:snapToGrid w:val="0"/>
        <w:spacing w:line="312"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14:textFill>
            <w14:solidFill>
              <w14:schemeClr w14:val="tx1"/>
            </w14:solidFill>
          </w14:textFill>
        </w:rPr>
        <w:t>.5招标文件的澄清、答复、修改或补充，一经</w:t>
      </w:r>
      <w:r>
        <w:rPr>
          <w:rFonts w:hint="eastAsia" w:ascii="宋体" w:hAnsi="宋体"/>
          <w:color w:val="000000" w:themeColor="text1"/>
          <w:sz w:val="24"/>
          <w:highlight w:val="none"/>
          <w14:textFill>
            <w14:solidFill>
              <w14:schemeClr w14:val="tx1"/>
            </w14:solidFill>
          </w14:textFill>
        </w:rPr>
        <w:t>招标</w:t>
      </w:r>
      <w:r>
        <w:rPr>
          <w:rFonts w:ascii="宋体" w:hAnsi="宋体"/>
          <w:color w:val="000000" w:themeColor="text1"/>
          <w:sz w:val="24"/>
          <w:highlight w:val="none"/>
          <w14:textFill>
            <w14:solidFill>
              <w14:schemeClr w14:val="tx1"/>
            </w14:solidFill>
          </w14:textFill>
        </w:rPr>
        <w:t>公告原发布媒体发布，即视所有投标人都已经收到相关文件。投标人应及时关注</w:t>
      </w:r>
      <w:r>
        <w:rPr>
          <w:rFonts w:hint="eastAsia" w:ascii="宋体" w:hAnsi="宋体"/>
          <w:color w:val="000000" w:themeColor="text1"/>
          <w:sz w:val="24"/>
          <w:highlight w:val="none"/>
          <w14:textFill>
            <w14:solidFill>
              <w14:schemeClr w14:val="tx1"/>
            </w14:solidFill>
          </w14:textFill>
        </w:rPr>
        <w:t>招标</w:t>
      </w:r>
      <w:r>
        <w:rPr>
          <w:rFonts w:ascii="宋体" w:hAnsi="宋体"/>
          <w:color w:val="000000" w:themeColor="text1"/>
          <w:sz w:val="24"/>
          <w:highlight w:val="none"/>
          <w14:textFill>
            <w14:solidFill>
              <w14:schemeClr w14:val="tx1"/>
            </w14:solidFill>
          </w14:textFill>
        </w:rPr>
        <w:t xml:space="preserve">公告原发布媒体上针对本项目的澄清、答复、修改或补充等通知，投标人因自身疏忽而导致投标文件不能实质响应或其他损失，其产生的后果由供应商自身承担。   </w:t>
      </w:r>
    </w:p>
    <w:p>
      <w:pPr>
        <w:pStyle w:val="8"/>
        <w:spacing w:after="0" w:line="360" w:lineRule="auto"/>
        <w:rPr>
          <w:rFonts w:ascii="宋体" w:hAnsi="宋体" w:cs="宋体-PUA"/>
          <w:b/>
          <w:color w:val="000000" w:themeColor="text1"/>
          <w:sz w:val="24"/>
          <w:highlight w:val="none"/>
          <w14:textFill>
            <w14:solidFill>
              <w14:schemeClr w14:val="tx1"/>
            </w14:solidFill>
          </w14:textFill>
        </w:rPr>
      </w:pPr>
    </w:p>
    <w:p>
      <w:pPr>
        <w:pStyle w:val="8"/>
        <w:spacing w:after="0" w:line="360" w:lineRule="auto"/>
        <w:rPr>
          <w:rFonts w:ascii="宋体" w:hAnsi="宋体" w:cs="宋体-PUA"/>
          <w:b/>
          <w:color w:val="000000" w:themeColor="text1"/>
          <w:sz w:val="24"/>
          <w:highlight w:val="none"/>
          <w14:textFill>
            <w14:solidFill>
              <w14:schemeClr w14:val="tx1"/>
            </w14:solidFill>
          </w14:textFill>
        </w:rPr>
      </w:pPr>
      <w:r>
        <w:rPr>
          <w:rFonts w:hint="eastAsia" w:ascii="宋体" w:hAnsi="宋体" w:cs="宋体-PUA"/>
          <w:b/>
          <w:color w:val="000000" w:themeColor="text1"/>
          <w:sz w:val="24"/>
          <w:highlight w:val="none"/>
          <w14:textFill>
            <w14:solidFill>
              <w14:schemeClr w14:val="tx1"/>
            </w14:solidFill>
          </w14:textFill>
        </w:rPr>
        <w:t>（三）投标文件的编制</w:t>
      </w:r>
    </w:p>
    <w:p>
      <w:pPr>
        <w:spacing w:line="360" w:lineRule="auto"/>
        <w:ind w:left="36" w:leftChars="17"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1.总体要求</w:t>
      </w:r>
    </w:p>
    <w:p>
      <w:pPr>
        <w:spacing w:line="360" w:lineRule="auto"/>
        <w:ind w:left="36" w:leftChars="17"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1.1投标人应仔细阅读招标文件的所有内容，按本文件的要求提供投标文件，并保证所提供的全部资料的真实性，以使其投标文件对招标文件作出实质性响应，否则，投标文件可能视为无效投标文件。</w:t>
      </w:r>
    </w:p>
    <w:p>
      <w:pPr>
        <w:spacing w:line="360" w:lineRule="auto"/>
        <w:ind w:left="36" w:leftChars="17"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1.2投标文件及投标人与采购有关的来往通知，函件和文件均应使用中文。</w:t>
      </w:r>
    </w:p>
    <w:p>
      <w:pPr>
        <w:spacing w:line="360" w:lineRule="auto"/>
        <w:ind w:left="36" w:leftChars="17" w:firstLine="480" w:firstLineChars="200"/>
        <w:rPr>
          <w:rFonts w:ascii="仿宋_GB2312" w:eastAsia="仿宋_GB2312"/>
          <w:color w:val="000000" w:themeColor="text1"/>
          <w:sz w:val="28"/>
          <w:szCs w:val="28"/>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1.3投标人应按本文件中提供的文件格式、内容和要求制作投标文件</w:t>
      </w:r>
      <w:r>
        <w:rPr>
          <w:rFonts w:hint="eastAsia" w:ascii="仿宋_GB2312" w:eastAsia="仿宋_GB2312"/>
          <w:color w:val="000000" w:themeColor="text1"/>
          <w:sz w:val="28"/>
          <w:szCs w:val="28"/>
          <w:highlight w:val="none"/>
          <w14:textFill>
            <w14:solidFill>
              <w14:schemeClr w14:val="tx1"/>
            </w14:solidFill>
          </w14:textFill>
        </w:rPr>
        <w:t>。</w:t>
      </w:r>
    </w:p>
    <w:p>
      <w:pPr>
        <w:spacing w:line="360" w:lineRule="auto"/>
        <w:ind w:left="36" w:leftChars="17"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1.4投标文件的形式和效力</w:t>
      </w:r>
    </w:p>
    <w:p>
      <w:pPr>
        <w:spacing w:line="360" w:lineRule="auto"/>
        <w:ind w:left="36" w:leftChars="17"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1.4.1投标文件分为电子投标文件以及电子备份投标文件两部分。电子投标文件按政采云平台供应商项目采购-电子招投标操作指南（网址：https://help.zcygov.cn/web/site_2/2018/12-28/2573.html）及本招标文件要求制作、加密并递交；电子备份投标文件即电子投标文件按政采云平台供应商项目采购-电子招投标操作指南（网址：https://help.zcygov.cn/web/site_2/2018/12-28/2573.html）制作的备份文件。</w:t>
      </w:r>
    </w:p>
    <w:p>
      <w:pPr>
        <w:spacing w:line="360" w:lineRule="auto"/>
        <w:ind w:left="36" w:leftChars="17"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1.4.2投标文件的效力</w:t>
      </w:r>
    </w:p>
    <w:p>
      <w:pPr>
        <w:spacing w:line="360" w:lineRule="auto"/>
        <w:ind w:left="36" w:leftChars="17"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投标文件的启用，按先后顺位分别为电子投标文件、电子备份投标文件。因网络或者其他问题造成电子投标文件无法正常解密，才能启用电子备份投标文件。电子备份投标文件一旦启用，则电子投标文件失效，不予启用。</w:t>
      </w:r>
    </w:p>
    <w:p>
      <w:pPr>
        <w:spacing w:line="360" w:lineRule="auto"/>
        <w:ind w:left="36" w:leftChars="17"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投标文件的组成</w:t>
      </w:r>
    </w:p>
    <w:p>
      <w:pPr>
        <w:spacing w:line="360" w:lineRule="auto"/>
        <w:ind w:left="36" w:leftChars="17"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▲投标文件（电子投标文件、备份电子投标文件）应分为【技术资信文件】、【商务文件】。电子投标文件、备份电子投标文件中须加盖公章部分均采用CA签章。</w:t>
      </w:r>
    </w:p>
    <w:p>
      <w:pPr>
        <w:adjustRightInd w:val="0"/>
        <w:snapToGrid w:val="0"/>
        <w:spacing w:line="312" w:lineRule="auto"/>
        <w:ind w:firstLine="480" w:firstLineChars="200"/>
        <w:rPr>
          <w:rFonts w:ascii="宋体" w:hAnsi="宋体"/>
          <w:b/>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2.3【技术资信文件】</w:t>
      </w:r>
      <w:r>
        <w:rPr>
          <w:rFonts w:hint="eastAsia" w:ascii="宋体" w:hAnsi="宋体"/>
          <w:b/>
          <w:color w:val="000000" w:themeColor="text1"/>
          <w:sz w:val="24"/>
          <w:highlight w:val="none"/>
          <w14:textFill>
            <w14:solidFill>
              <w14:schemeClr w14:val="tx1"/>
            </w14:solidFill>
          </w14:textFill>
        </w:rPr>
        <w:t>（根据评分办法编制，未提供格式部分，格式自拟）</w:t>
      </w:r>
    </w:p>
    <w:p>
      <w:pPr>
        <w:spacing w:line="360" w:lineRule="auto"/>
        <w:ind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2.3.1资格审查表(资格审查表中所涉及的资料应提供原件扫描件加盖公章）；</w:t>
      </w:r>
    </w:p>
    <w:p>
      <w:pPr>
        <w:spacing w:line="360" w:lineRule="auto"/>
        <w:ind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2.3.2法定代表人证明书及法定代表人授权书</w:t>
      </w:r>
    </w:p>
    <w:p>
      <w:pPr>
        <w:spacing w:line="360" w:lineRule="auto"/>
        <w:ind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2.3.3资信部分自评分表</w:t>
      </w:r>
    </w:p>
    <w:p>
      <w:pPr>
        <w:spacing w:line="360" w:lineRule="auto"/>
        <w:ind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2.3.4投标人从事拆迁（征收）评估服务业绩表</w:t>
      </w:r>
    </w:p>
    <w:p>
      <w:pPr>
        <w:spacing w:line="360" w:lineRule="auto"/>
        <w:ind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2.3.5征收评估服务人员配备一览表</w:t>
      </w:r>
    </w:p>
    <w:p>
      <w:pPr>
        <w:spacing w:line="360" w:lineRule="auto"/>
        <w:ind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2.3.6项目组成员拆迁（征收）评估服务业绩表</w:t>
      </w:r>
    </w:p>
    <w:p>
      <w:pPr>
        <w:spacing w:line="360" w:lineRule="auto"/>
        <w:ind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2.3.7评估技术服务方案与措施</w:t>
      </w:r>
    </w:p>
    <w:p>
      <w:pPr>
        <w:spacing w:line="360" w:lineRule="auto"/>
        <w:ind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2.3.8工期承诺</w:t>
      </w:r>
    </w:p>
    <w:p>
      <w:pPr>
        <w:spacing w:line="360" w:lineRule="auto"/>
        <w:ind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2.3.9合理化建议</w:t>
      </w:r>
    </w:p>
    <w:p>
      <w:pPr>
        <w:spacing w:line="360" w:lineRule="auto"/>
        <w:ind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2.3.10响应时间承诺</w:t>
      </w:r>
    </w:p>
    <w:p>
      <w:pPr>
        <w:spacing w:line="360" w:lineRule="auto"/>
        <w:ind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2.3.11对依法承担意外事故责任的承诺</w:t>
      </w:r>
    </w:p>
    <w:p>
      <w:pPr>
        <w:spacing w:line="360" w:lineRule="auto"/>
        <w:ind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2.3.13投标人认为需要提供的其他资料</w:t>
      </w:r>
    </w:p>
    <w:p>
      <w:pPr>
        <w:spacing w:line="360" w:lineRule="auto"/>
        <w:ind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 xml:space="preserve"> 注：投标人应按技术资信文件评分标准的要求提供相关资料</w:t>
      </w:r>
      <w:r>
        <w:rPr>
          <w:rFonts w:hint="eastAsia" w:ascii="宋体" w:hAnsi="宋体" w:cs="宋体-PUA"/>
          <w:color w:val="000000" w:themeColor="text1"/>
          <w:sz w:val="24"/>
          <w:highlight w:val="none"/>
          <w14:textFill>
            <w14:solidFill>
              <w14:schemeClr w14:val="tx1"/>
            </w14:solidFill>
          </w14:textFill>
        </w:rPr>
        <w:t>原件扫描件（加盖单位公章），</w:t>
      </w:r>
      <w:r>
        <w:rPr>
          <w:rFonts w:hint="eastAsia" w:ascii="宋体" w:hAnsi="宋体" w:cs="宋体-PUA"/>
          <w:color w:val="000000" w:themeColor="text1"/>
          <w:sz w:val="24"/>
          <w:highlight w:val="none"/>
          <w14:textFill>
            <w14:solidFill>
              <w14:schemeClr w14:val="tx1"/>
            </w14:solidFill>
          </w14:textFill>
        </w:rPr>
        <w:t xml:space="preserve">未按规定提供的，所涉及的评分项目不予计分。                       </w:t>
      </w:r>
    </w:p>
    <w:p>
      <w:pPr>
        <w:spacing w:line="360" w:lineRule="auto"/>
        <w:ind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2.4【商务文件】</w:t>
      </w:r>
    </w:p>
    <w:p>
      <w:pPr>
        <w:spacing w:line="360" w:lineRule="auto"/>
        <w:ind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 xml:space="preserve">2.4.1投标函         </w:t>
      </w:r>
    </w:p>
    <w:p>
      <w:pPr>
        <w:spacing w:line="360" w:lineRule="auto"/>
        <w:ind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2.4.2</w:t>
      </w:r>
      <w:r>
        <w:rPr>
          <w:rStyle w:val="28"/>
          <w:rFonts w:ascii="宋体" w:hAnsi="宋体"/>
          <w:color w:val="000000" w:themeColor="text1"/>
          <w:sz w:val="24"/>
          <w:highlight w:val="none"/>
          <w:lang w:val="zh-CN"/>
          <w14:textFill>
            <w14:solidFill>
              <w14:schemeClr w14:val="tx1"/>
            </w14:solidFill>
          </w14:textFill>
        </w:rPr>
        <w:t>供应商自认为有需要的其他资料。</w:t>
      </w:r>
    </w:p>
    <w:p>
      <w:pPr>
        <w:pStyle w:val="8"/>
        <w:spacing w:after="0" w:line="360" w:lineRule="auto"/>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3、投标文件的编制格式及说明</w:t>
      </w:r>
    </w:p>
    <w:p>
      <w:pPr>
        <w:snapToGrid w:val="0"/>
        <w:spacing w:line="520" w:lineRule="exact"/>
        <w:ind w:left="7" w:firstLine="412" w:firstLineChars="172"/>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3.1投标文件应包括规定的内容，投标人提交的投标文件应当使用采购文件所提供的投标文件全部格式（格式可以按同样格式扩展）；未提供投标文件标准格式的，由投标人自行编写。（1）电子投标文件按政采云平台供应商项目采购-电子招投标操作指南（网址：https://help.zcygov.cn/web/site_2/2018/12-28/2573.html）及本招标文件要求制作、加密。（2）电子备份投标文件，以U盘的形式存储，由投标人决定是否递交，并自行承担不递交电子备份投标文件的风险。</w:t>
      </w:r>
    </w:p>
    <w:p>
      <w:pPr>
        <w:spacing w:line="360" w:lineRule="auto"/>
        <w:ind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3.2投标文件的格式及字体参照采购文件提供的表格格式及字体；未提供格式的，标题可采用黑体字，正文采用宋体字。</w:t>
      </w:r>
    </w:p>
    <w:p>
      <w:pPr>
        <w:spacing w:line="360" w:lineRule="auto"/>
        <w:ind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3.3投标人应在认真阅读采购文件所有内容的基础上，按照采购文件的要求编制完整的投标文件，投标文件应按照采购文件中规定的统一格式填写，严格按照规定的顺序编制目录，混乱的编排或未按采购文件所提供的统一格式编写与漏写而导致投标文件被误读或查找不到有效文件是投标人的风险。</w:t>
      </w:r>
    </w:p>
    <w:p>
      <w:pPr>
        <w:spacing w:line="360" w:lineRule="auto"/>
        <w:ind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3.4投标人必须保证投标文件所提供的全部资料真实可靠，并接受对其中任何资料进一步审查的要求。</w:t>
      </w:r>
    </w:p>
    <w:p>
      <w:pPr>
        <w:pStyle w:val="8"/>
        <w:spacing w:after="0" w:line="360" w:lineRule="auto"/>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4、投标报价</w:t>
      </w:r>
    </w:p>
    <w:p>
      <w:pPr>
        <w:spacing w:line="360" w:lineRule="auto"/>
        <w:ind w:firstLine="480" w:firstLineChars="200"/>
        <w:rPr>
          <w:rFonts w:hint="eastAsia" w:ascii="宋体" w:hAnsi="宋体" w:cs="宋体-PUA"/>
          <w:b/>
          <w:bCs/>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4.</w:t>
      </w:r>
      <w:r>
        <w:rPr>
          <w:rFonts w:hint="eastAsia" w:ascii="宋体" w:hAnsi="宋体" w:cs="宋体-PUA"/>
          <w:color w:val="000000" w:themeColor="text1"/>
          <w:sz w:val="24"/>
          <w:highlight w:val="none"/>
          <w14:textFill>
            <w14:solidFill>
              <w14:schemeClr w14:val="tx1"/>
            </w14:solidFill>
          </w14:textFill>
        </w:rPr>
        <w:t>1本招标项目招标人规定的投标报价原则为：投标人按照采购单位提供的征收评估服务费投标单价报价范围为</w:t>
      </w:r>
      <w:r>
        <w:rPr>
          <w:rFonts w:hint="eastAsia" w:ascii="宋体" w:hAnsi="宋体" w:cs="宋体-PUA"/>
          <w:b/>
          <w:color w:val="000000" w:themeColor="text1"/>
          <w:sz w:val="24"/>
          <w:highlight w:val="none"/>
          <w:u w:val="single"/>
          <w14:textFill>
            <w14:solidFill>
              <w14:schemeClr w14:val="tx1"/>
            </w14:solidFill>
          </w14:textFill>
        </w:rPr>
        <w:t xml:space="preserve"> </w:t>
      </w:r>
      <w:r>
        <w:rPr>
          <w:rFonts w:hint="eastAsia" w:ascii="宋体" w:hAnsi="宋体" w:cs="宋体-PUA"/>
          <w:b/>
          <w:color w:val="000000" w:themeColor="text1"/>
          <w:sz w:val="24"/>
          <w:highlight w:val="none"/>
          <w:u w:val="single"/>
          <w14:textFill>
            <w14:solidFill>
              <w14:schemeClr w14:val="tx1"/>
            </w14:solidFill>
          </w14:textFill>
        </w:rPr>
        <w:t xml:space="preserve">6.50 </w:t>
      </w:r>
      <w:r>
        <w:rPr>
          <w:rFonts w:hint="eastAsia" w:ascii="宋体" w:hAnsi="宋体" w:cs="宋体-PUA"/>
          <w:b/>
          <w:color w:val="000000" w:themeColor="text1"/>
          <w:sz w:val="24"/>
          <w:highlight w:val="none"/>
          <w14:textFill>
            <w14:solidFill>
              <w14:schemeClr w14:val="tx1"/>
            </w14:solidFill>
          </w14:textFill>
        </w:rPr>
        <w:t>元/㎡（含）-</w:t>
      </w:r>
      <w:r>
        <w:rPr>
          <w:rFonts w:hint="eastAsia" w:ascii="宋体" w:hAnsi="宋体" w:cs="宋体-PUA"/>
          <w:b/>
          <w:color w:val="000000" w:themeColor="text1"/>
          <w:sz w:val="24"/>
          <w:highlight w:val="none"/>
          <w:u w:val="single"/>
          <w14:textFill>
            <w14:solidFill>
              <w14:schemeClr w14:val="tx1"/>
            </w14:solidFill>
          </w14:textFill>
        </w:rPr>
        <w:t xml:space="preserve"> 8.50</w:t>
      </w:r>
      <w:r>
        <w:rPr>
          <w:rFonts w:hint="eastAsia" w:ascii="宋体" w:hAnsi="宋体" w:cs="宋体-PUA"/>
          <w:b/>
          <w:color w:val="000000" w:themeColor="text1"/>
          <w:sz w:val="24"/>
          <w:highlight w:val="none"/>
          <w14:textFill>
            <w14:solidFill>
              <w14:schemeClr w14:val="tx1"/>
            </w14:solidFill>
          </w14:textFill>
        </w:rPr>
        <w:t>元/㎡（含）</w:t>
      </w:r>
      <w:r>
        <w:rPr>
          <w:rFonts w:hint="eastAsia" w:ascii="宋体" w:hAnsi="宋体" w:cs="宋体-PUA"/>
          <w:color w:val="000000" w:themeColor="text1"/>
          <w:sz w:val="24"/>
          <w:highlight w:val="none"/>
          <w14:textFill>
            <w14:solidFill>
              <w14:schemeClr w14:val="tx1"/>
            </w14:solidFill>
          </w14:textFill>
        </w:rPr>
        <w:t>，</w:t>
      </w:r>
      <w:r>
        <w:rPr>
          <w:rFonts w:hint="eastAsia" w:ascii="宋体" w:hAnsi="宋体" w:cs="宋体-PUA"/>
          <w:b/>
          <w:bCs/>
          <w:color w:val="000000" w:themeColor="text1"/>
          <w:sz w:val="24"/>
          <w:highlight w:val="none"/>
          <w14:textFill>
            <w14:solidFill>
              <w14:schemeClr w14:val="tx1"/>
            </w14:solidFill>
          </w14:textFill>
        </w:rPr>
        <w:t>低于或高于投标单价报价范围的，报价均无效，商务标均做无效标处理。投标人所报的投标报价保留两位小数（如XX .XX元/㎡），否则其报价分作0分处理。</w:t>
      </w:r>
    </w:p>
    <w:p>
      <w:pPr>
        <w:spacing w:line="360" w:lineRule="auto"/>
        <w:ind w:firstLine="482" w:firstLineChars="200"/>
        <w:rPr>
          <w:rFonts w:ascii="宋体" w:hAnsi="宋体" w:cs="宋体-PUA"/>
          <w:b/>
          <w:bCs/>
          <w:color w:val="000000" w:themeColor="text1"/>
          <w:sz w:val="24"/>
          <w:highlight w:val="none"/>
          <w14:textFill>
            <w14:solidFill>
              <w14:schemeClr w14:val="tx1"/>
            </w14:solidFill>
          </w14:textFill>
        </w:rPr>
      </w:pPr>
      <w:r>
        <w:rPr>
          <w:rFonts w:hint="eastAsia" w:ascii="宋体" w:hAnsi="宋体" w:cs="宋体-PUA"/>
          <w:b/>
          <w:bCs/>
          <w:color w:val="000000" w:themeColor="text1"/>
          <w:sz w:val="24"/>
          <w:highlight w:val="none"/>
          <w14:textFill>
            <w14:solidFill>
              <w14:schemeClr w14:val="tx1"/>
            </w14:solidFill>
          </w14:textFill>
        </w:rPr>
        <w:t>最终服务费金额以</w:t>
      </w:r>
      <w:r>
        <w:rPr>
          <w:rFonts w:hint="eastAsia" w:ascii="宋体" w:hAnsi="宋体" w:cs="宋体-PUA"/>
          <w:b/>
          <w:bCs/>
          <w:color w:val="000000" w:themeColor="text1"/>
          <w:sz w:val="24"/>
          <w:highlight w:val="none"/>
          <w:lang w:eastAsia="zh-CN"/>
          <w14:textFill>
            <w14:solidFill>
              <w14:schemeClr w14:val="tx1"/>
            </w14:solidFill>
          </w14:textFill>
        </w:rPr>
        <w:t>实际协议签订并经甲方审核确定的</w:t>
      </w:r>
      <w:r>
        <w:rPr>
          <w:rFonts w:hint="eastAsia" w:ascii="宋体" w:hAnsi="宋体" w:cs="宋体-PUA"/>
          <w:b/>
          <w:bCs/>
          <w:color w:val="000000" w:themeColor="text1"/>
          <w:sz w:val="24"/>
          <w:highlight w:val="none"/>
          <w14:textFill>
            <w14:solidFill>
              <w14:schemeClr w14:val="tx1"/>
            </w14:solidFill>
          </w14:textFill>
        </w:rPr>
        <w:t>面积为计费基数，按招标文件约定的计算方法计算结果为准</w:t>
      </w:r>
      <w:r>
        <w:rPr>
          <w:rFonts w:hint="eastAsia" w:ascii="宋体" w:hAnsi="宋体" w:cs="宋体-PUA"/>
          <w:b/>
          <w:bCs/>
          <w:color w:val="000000" w:themeColor="text1"/>
          <w:sz w:val="24"/>
          <w:highlight w:val="none"/>
          <w:lang w:eastAsia="zh-CN"/>
          <w14:textFill>
            <w14:solidFill>
              <w14:schemeClr w14:val="tx1"/>
            </w14:solidFill>
          </w14:textFill>
        </w:rPr>
        <w:t>，安置房评估不另行计费</w:t>
      </w:r>
      <w:r>
        <w:rPr>
          <w:rFonts w:hint="eastAsia" w:ascii="宋体" w:hAnsi="宋体" w:cs="宋体-PUA"/>
          <w:b/>
          <w:bCs/>
          <w:color w:val="000000" w:themeColor="text1"/>
          <w:sz w:val="24"/>
          <w:highlight w:val="none"/>
          <w14:textFill>
            <w14:solidFill>
              <w14:schemeClr w14:val="tx1"/>
            </w14:solidFill>
          </w14:textFill>
        </w:rPr>
        <w:t>。</w:t>
      </w:r>
    </w:p>
    <w:p>
      <w:pPr>
        <w:spacing w:line="360" w:lineRule="auto"/>
        <w:ind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4.2承包总价必须包括在承包区域内所提供服务及其他所有服务所需的一切人员工资、奖金、服装费、加班费、夜餐费、住宿费、工具设备与物料消耗费（合同规定由采购人提供的除外）、各种保险、管理费用、税费、代理服务费、完成合同所需的一切本身和不可或缺的所有工作开支、政策性文件规定即合同包含的所有风险、责任等各项全部费用并承担一切风险责任。在合同服务期间内不得违反国家相关政策规定。</w:t>
      </w:r>
    </w:p>
    <w:p>
      <w:pPr>
        <w:spacing w:line="360" w:lineRule="auto"/>
        <w:ind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4.3投标人认为完成本采购文件规定的项目承包内容所发生的直接成本、间接成本、利润、税金、政策性文件规定的费用、设备进出场费、原材料价格变化风险等一切费用均应计入投标报价，凡未列入的将被认为均已包含在投标总价中，今后不得以任何理由追加或调整。</w:t>
      </w:r>
    </w:p>
    <w:p>
      <w:pPr>
        <w:pStyle w:val="8"/>
        <w:spacing w:after="0" w:line="360" w:lineRule="auto"/>
        <w:ind w:left="0" w:leftChars="0"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4.4投标人必须按第六部分附件中的投标函内容填写。</w:t>
      </w:r>
    </w:p>
    <w:p>
      <w:pPr>
        <w:pStyle w:val="8"/>
        <w:spacing w:after="0" w:line="360" w:lineRule="auto"/>
        <w:ind w:left="0" w:leftChars="0" w:firstLine="480" w:firstLineChars="200"/>
        <w:rPr>
          <w:rFonts w:ascii="宋体" w:hAnsi="宋体" w:cs="宋体-PUA"/>
          <w:bCs/>
          <w:color w:val="000000" w:themeColor="text1"/>
          <w:sz w:val="24"/>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4.5投标函上的价格须以人民币报价，以其它货币报价的投标将不予接受。</w:t>
      </w:r>
    </w:p>
    <w:p>
      <w:pPr>
        <w:pStyle w:val="8"/>
        <w:spacing w:after="0" w:line="360" w:lineRule="auto"/>
        <w:ind w:left="0" w:leftChars="0"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4.6采购人不接受任何选择报价，只允许一个报价。</w:t>
      </w:r>
    </w:p>
    <w:p>
      <w:pPr>
        <w:pStyle w:val="8"/>
        <w:spacing w:after="0" w:line="360" w:lineRule="auto"/>
        <w:ind w:left="0" w:leftChars="0" w:firstLine="480" w:firstLineChars="200"/>
        <w:rPr>
          <w:rFonts w:ascii="宋体" w:hAnsi="宋体" w:cs="宋体-PUA"/>
          <w:bCs/>
          <w:color w:val="000000" w:themeColor="text1"/>
          <w:sz w:val="24"/>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4.7投标人所报的投标价在合同执行过程中是固定不变的，不得以任何理由予以变更。任何包含价格调整的要求，将被认为是非实质性响应投标而予以拒绝。</w:t>
      </w:r>
    </w:p>
    <w:p>
      <w:pPr>
        <w:snapToGrid w:val="0"/>
        <w:spacing w:beforeLines="50" w:afterLines="50" w:line="520" w:lineRule="exact"/>
        <w:ind w:left="567"/>
        <w:outlineLvl w:val="1"/>
        <w:rPr>
          <w:rFonts w:ascii="仿宋_GB2312" w:eastAsia="仿宋_GB2312"/>
          <w:b/>
          <w:color w:val="000000" w:themeColor="text1"/>
          <w:sz w:val="28"/>
          <w:szCs w:val="28"/>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5、投标文件的签署及规定</w:t>
      </w:r>
    </w:p>
    <w:p>
      <w:pPr>
        <w:numPr>
          <w:ilvl w:val="0"/>
          <w:numId w:val="4"/>
        </w:numPr>
        <w:snapToGrid w:val="0"/>
        <w:spacing w:beforeLines="50" w:afterLines="50" w:line="520" w:lineRule="exact"/>
        <w:outlineLvl w:val="1"/>
        <w:rPr>
          <w:rFonts w:ascii="仿宋_GB2312" w:eastAsia="仿宋_GB2312"/>
          <w:b/>
          <w:color w:val="000000" w:themeColor="text1"/>
          <w:sz w:val="28"/>
          <w:szCs w:val="28"/>
          <w:highlight w:val="none"/>
          <w14:textFill>
            <w14:solidFill>
              <w14:schemeClr w14:val="tx1"/>
            </w14:solidFill>
          </w14:textFill>
        </w:rPr>
      </w:pPr>
      <w:r>
        <w:rPr>
          <w:rFonts w:hint="eastAsia" w:ascii="仿宋_GB2312" w:eastAsia="仿宋_GB2312"/>
          <w:b/>
          <w:color w:val="000000" w:themeColor="text1"/>
          <w:sz w:val="28"/>
          <w:szCs w:val="28"/>
          <w:highlight w:val="none"/>
          <w14:textFill>
            <w14:solidFill>
              <w14:schemeClr w14:val="tx1"/>
            </w14:solidFill>
          </w14:textFill>
        </w:rPr>
        <w:t>电子投标文件</w:t>
      </w:r>
    </w:p>
    <w:p>
      <w:pPr>
        <w:snapToGrid w:val="0"/>
        <w:spacing w:beforeLines="50" w:afterLines="50" w:line="520" w:lineRule="exact"/>
        <w:ind w:firstLine="480" w:firstLineChars="200"/>
        <w:outlineLvl w:val="1"/>
        <w:rPr>
          <w:rFonts w:ascii="宋体" w:hAnsi="宋体" w:cs="宋体-PUA"/>
          <w:bCs/>
          <w:color w:val="000000" w:themeColor="text1"/>
          <w:sz w:val="24"/>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电子投标文件按政采云平台供应商项目采购-电子招投标操作指南（网址：https://help.zcygov.cn/web/site_2/2018/12-28/2573.html）及本招标文件规定的格式和顺序编制电子投标文件并进行关联定位。</w:t>
      </w:r>
    </w:p>
    <w:p>
      <w:pPr>
        <w:numPr>
          <w:ilvl w:val="0"/>
          <w:numId w:val="4"/>
        </w:numPr>
        <w:snapToGrid w:val="0"/>
        <w:spacing w:beforeLines="50" w:afterLines="50" w:line="520" w:lineRule="exact"/>
        <w:outlineLvl w:val="1"/>
        <w:rPr>
          <w:rFonts w:ascii="仿宋_GB2312" w:eastAsia="仿宋_GB2312"/>
          <w:b/>
          <w:bCs/>
          <w:color w:val="000000" w:themeColor="text1"/>
          <w:sz w:val="28"/>
          <w:szCs w:val="28"/>
          <w:highlight w:val="none"/>
          <w14:textFill>
            <w14:solidFill>
              <w14:schemeClr w14:val="tx1"/>
            </w14:solidFill>
          </w14:textFill>
        </w:rPr>
      </w:pPr>
      <w:r>
        <w:rPr>
          <w:rFonts w:hint="eastAsia" w:ascii="仿宋_GB2312" w:eastAsia="仿宋_GB2312"/>
          <w:b/>
          <w:bCs/>
          <w:color w:val="000000" w:themeColor="text1"/>
          <w:sz w:val="28"/>
          <w:szCs w:val="28"/>
          <w:highlight w:val="none"/>
          <w14:textFill>
            <w14:solidFill>
              <w14:schemeClr w14:val="tx1"/>
            </w14:solidFill>
          </w14:textFill>
        </w:rPr>
        <w:t>电子备份投标文件</w:t>
      </w:r>
    </w:p>
    <w:p>
      <w:pPr>
        <w:snapToGrid w:val="0"/>
        <w:spacing w:beforeLines="50" w:afterLines="50" w:line="520" w:lineRule="exact"/>
        <w:ind w:firstLine="480" w:firstLineChars="200"/>
        <w:outlineLvl w:val="1"/>
        <w:rPr>
          <w:rFonts w:ascii="宋体" w:hAnsi="宋体" w:cs="宋体-PUA"/>
          <w:bCs/>
          <w:color w:val="000000" w:themeColor="text1"/>
          <w:sz w:val="24"/>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电子备份投标文件按政采云平台供应商项目采购-电子招投标操作指南（网址：https://help.zcygov.cn/web/site_2/2018/12-28/2573.html）中上传的电子投标文件格式的电子投标文件。</w:t>
      </w:r>
    </w:p>
    <w:p>
      <w:pPr>
        <w:snapToGrid w:val="0"/>
        <w:spacing w:beforeLines="50" w:afterLines="50" w:line="520" w:lineRule="exact"/>
        <w:ind w:left="567"/>
        <w:outlineLvl w:val="1"/>
        <w:rPr>
          <w:rFonts w:ascii="仿宋_GB2312" w:eastAsia="仿宋_GB2312"/>
          <w:b/>
          <w:color w:val="000000" w:themeColor="text1"/>
          <w:sz w:val="28"/>
          <w:szCs w:val="28"/>
          <w:highlight w:val="none"/>
          <w14:textFill>
            <w14:solidFill>
              <w14:schemeClr w14:val="tx1"/>
            </w14:solidFill>
          </w14:textFill>
        </w:rPr>
      </w:pPr>
      <w:bookmarkStart w:id="5" w:name="_Toc359856803"/>
      <w:bookmarkStart w:id="6" w:name="_Toc356371437"/>
      <w:r>
        <w:rPr>
          <w:rFonts w:hint="eastAsia" w:ascii="仿宋_GB2312" w:eastAsia="仿宋_GB2312"/>
          <w:b/>
          <w:color w:val="000000" w:themeColor="text1"/>
          <w:sz w:val="28"/>
          <w:szCs w:val="28"/>
          <w:highlight w:val="none"/>
          <w14:textFill>
            <w14:solidFill>
              <w14:schemeClr w14:val="tx1"/>
            </w14:solidFill>
          </w14:textFill>
        </w:rPr>
        <w:t>6、投标文件的递交</w:t>
      </w:r>
      <w:bookmarkEnd w:id="5"/>
      <w:bookmarkEnd w:id="6"/>
    </w:p>
    <w:p>
      <w:pPr>
        <w:snapToGrid w:val="0"/>
        <w:spacing w:line="520" w:lineRule="exact"/>
        <w:ind w:firstLine="560"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6.1递交投标文件截止期</w:t>
      </w:r>
    </w:p>
    <w:p>
      <w:pPr>
        <w:snapToGrid w:val="0"/>
        <w:spacing w:beforeLines="50" w:afterLines="50" w:line="520" w:lineRule="exact"/>
        <w:ind w:firstLine="480" w:firstLineChars="200"/>
        <w:outlineLvl w:val="1"/>
        <w:rPr>
          <w:rFonts w:ascii="宋体" w:hAnsi="宋体" w:cs="宋体-PUA"/>
          <w:bCs/>
          <w:color w:val="000000" w:themeColor="text1"/>
          <w:sz w:val="24"/>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pPr>
        <w:autoSpaceDE w:val="0"/>
        <w:autoSpaceDN w:val="0"/>
        <w:adjustRightInd w:val="0"/>
        <w:snapToGrid w:val="0"/>
        <w:spacing w:line="520" w:lineRule="exact"/>
        <w:ind w:firstLine="361"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递交电子备份投标文件截止时间前将U盘递交至招标公告指定地点，逾期不予接收。</w:t>
      </w:r>
    </w:p>
    <w:p>
      <w:pPr>
        <w:snapToGrid w:val="0"/>
        <w:spacing w:line="520" w:lineRule="exact"/>
        <w:ind w:left="56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7、投标文件的修改和撤销</w:t>
      </w:r>
    </w:p>
    <w:p>
      <w:pPr>
        <w:snapToGrid w:val="0"/>
        <w:spacing w:line="52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7.1投标人在递交投标文件后，可以修改或撤回其投标文件：</w:t>
      </w:r>
      <w:r>
        <w:rPr>
          <w:rFonts w:hint="eastAsia" w:ascii="宋体" w:hAnsi="宋体" w:cs="宋体"/>
          <w:b/>
          <w:color w:val="000000" w:themeColor="text1"/>
          <w:sz w:val="24"/>
          <w:highlight w:val="none"/>
          <w14:textFill>
            <w14:solidFill>
              <w14:schemeClr w14:val="tx1"/>
            </w14:solidFill>
          </w14:textFill>
        </w:rPr>
        <w:t>递交投标文件截止时间之前补充或者修改电子投标文件的，应当先行撤回原文件，补充、修改后重新传输递交；</w:t>
      </w:r>
    </w:p>
    <w:p>
      <w:pPr>
        <w:snapToGrid w:val="0"/>
        <w:spacing w:line="520" w:lineRule="exact"/>
        <w:ind w:left="56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7.2投标人修改后的投标文件应按原来的规定编制,标记和递交。</w:t>
      </w:r>
    </w:p>
    <w:p>
      <w:pPr>
        <w:snapToGrid w:val="0"/>
        <w:spacing w:line="520" w:lineRule="exact"/>
        <w:ind w:left="56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7.3在递交投标文件截止期之后，投标人不得对其投标文件做任何修改。</w:t>
      </w:r>
    </w:p>
    <w:p>
      <w:pPr>
        <w:snapToGrid w:val="0"/>
        <w:spacing w:line="520" w:lineRule="exact"/>
        <w:ind w:left="56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7.4递交投标文件截止期后，投标人不得撤回其投标文件。</w:t>
      </w:r>
    </w:p>
    <w:p>
      <w:pPr>
        <w:snapToGrid w:val="0"/>
        <w:spacing w:line="520" w:lineRule="exact"/>
        <w:ind w:left="567"/>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7.5实质上没有响应本文件要求的投标文件将被拒绝。投标人不得通过修正或撤销不合要求的偏离或保留从而使其投标文件成为实质上响应的文件。</w:t>
      </w:r>
    </w:p>
    <w:p>
      <w:pPr>
        <w:pStyle w:val="6"/>
        <w:spacing w:before="0" w:after="0" w:line="360" w:lineRule="auto"/>
        <w:ind w:firstLine="482" w:firstLineChars="200"/>
        <w:rPr>
          <w:rFonts w:ascii="宋体" w:hAnsi="宋体" w:eastAsia="宋体" w:cs="宋体-PUA"/>
          <w:color w:val="000000" w:themeColor="text1"/>
          <w:sz w:val="24"/>
          <w:szCs w:val="24"/>
          <w:highlight w:val="none"/>
          <w14:textFill>
            <w14:solidFill>
              <w14:schemeClr w14:val="tx1"/>
            </w14:solidFill>
          </w14:textFill>
        </w:rPr>
      </w:pPr>
      <w:r>
        <w:rPr>
          <w:rFonts w:hint="eastAsia" w:ascii="宋体" w:hAnsi="宋体" w:eastAsia="宋体" w:cs="宋体-PUA"/>
          <w:color w:val="000000" w:themeColor="text1"/>
          <w:sz w:val="24"/>
          <w:szCs w:val="24"/>
          <w:highlight w:val="none"/>
          <w14:textFill>
            <w14:solidFill>
              <w14:schemeClr w14:val="tx1"/>
            </w14:solidFill>
          </w14:textFill>
        </w:rPr>
        <w:t>（五）投标有效期</w:t>
      </w:r>
    </w:p>
    <w:p>
      <w:pPr>
        <w:pStyle w:val="8"/>
        <w:spacing w:after="0" w:line="360" w:lineRule="auto"/>
        <w:ind w:left="0" w:leftChars="0"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1、投标有效期见本采购文件中前附表所规定的期限，在此期限内，凡符合采购文件要求的投标文件均保持有效。</w:t>
      </w:r>
    </w:p>
    <w:p>
      <w:pPr>
        <w:pStyle w:val="8"/>
        <w:spacing w:after="0" w:line="360" w:lineRule="auto"/>
        <w:ind w:left="0" w:leftChars="0"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2、在特殊情况下，招标采购单位在原定投标有效期内，可以根据需要以书面形式向投标人提出延长投标有效期的要求，对此要求投标人须以书面形式予以答复。投标人可以拒绝招标采购单位这种要求。同意延长投标有效期的投标人既不能要求也不允许修改其投标文件。</w:t>
      </w:r>
    </w:p>
    <w:p>
      <w:pPr>
        <w:pStyle w:val="6"/>
        <w:spacing w:before="0" w:after="0" w:line="360" w:lineRule="auto"/>
        <w:ind w:firstLine="482" w:firstLineChars="200"/>
        <w:rPr>
          <w:rFonts w:ascii="宋体" w:hAnsi="宋体" w:eastAsia="宋体" w:cs="宋体-PUA"/>
          <w:color w:val="000000" w:themeColor="text1"/>
          <w:sz w:val="24"/>
          <w:szCs w:val="24"/>
          <w:highlight w:val="none"/>
          <w14:textFill>
            <w14:solidFill>
              <w14:schemeClr w14:val="tx1"/>
            </w14:solidFill>
          </w14:textFill>
        </w:rPr>
      </w:pPr>
      <w:r>
        <w:rPr>
          <w:rFonts w:hint="eastAsia" w:ascii="宋体" w:hAnsi="宋体" w:eastAsia="宋体" w:cs="宋体-PUA"/>
          <w:color w:val="000000" w:themeColor="text1"/>
          <w:sz w:val="24"/>
          <w:szCs w:val="24"/>
          <w:highlight w:val="none"/>
          <w14:textFill>
            <w14:solidFill>
              <w14:schemeClr w14:val="tx1"/>
            </w14:solidFill>
          </w14:textFill>
        </w:rPr>
        <w:t>（六）投标保证金</w:t>
      </w:r>
    </w:p>
    <w:p>
      <w:pPr>
        <w:pStyle w:val="8"/>
        <w:spacing w:after="0" w:line="360" w:lineRule="auto"/>
        <w:ind w:left="0" w:leftChars="0"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根据《浙江省财政厅关于明确政府采购保证金管理工作的通知》（浙财采监〔2019〕5号）规定，本项目无需缴纳投标保证金。</w:t>
      </w:r>
    </w:p>
    <w:p>
      <w:pPr>
        <w:pStyle w:val="8"/>
        <w:spacing w:after="0" w:line="360" w:lineRule="auto"/>
        <w:ind w:left="0" w:leftChars="0" w:firstLine="482" w:firstLineChars="200"/>
        <w:rPr>
          <w:rFonts w:ascii="宋体" w:hAnsi="宋体" w:cs="宋体-PUA"/>
          <w:b/>
          <w:bCs/>
          <w:color w:val="000000" w:themeColor="text1"/>
          <w:sz w:val="24"/>
          <w:highlight w:val="none"/>
          <w14:textFill>
            <w14:solidFill>
              <w14:schemeClr w14:val="tx1"/>
            </w14:solidFill>
          </w14:textFill>
        </w:rPr>
      </w:pPr>
      <w:r>
        <w:rPr>
          <w:rFonts w:hint="eastAsia" w:ascii="宋体" w:hAnsi="宋体" w:cs="宋体-PUA"/>
          <w:b/>
          <w:bCs/>
          <w:color w:val="000000" w:themeColor="text1"/>
          <w:sz w:val="24"/>
          <w:highlight w:val="none"/>
          <w14:textFill>
            <w14:solidFill>
              <w14:schemeClr w14:val="tx1"/>
            </w14:solidFill>
          </w14:textFill>
        </w:rPr>
        <w:t>（七）无效标条款</w:t>
      </w:r>
    </w:p>
    <w:p>
      <w:pPr>
        <w:pStyle w:val="8"/>
        <w:spacing w:after="0" w:line="360" w:lineRule="auto"/>
        <w:rPr>
          <w:rFonts w:ascii="宋体" w:hAnsi="宋体" w:cs="宋体-PUA"/>
          <w:b/>
          <w:color w:val="000000" w:themeColor="text1"/>
          <w:sz w:val="24"/>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1、有下列情况之一的，对投标人作无效标处理</w:t>
      </w:r>
    </w:p>
    <w:p>
      <w:pPr>
        <w:snapToGrid w:val="0"/>
        <w:spacing w:line="520" w:lineRule="exact"/>
        <w:ind w:left="567"/>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1.1不具备招标文件规定资格要求；</w:t>
      </w:r>
    </w:p>
    <w:p>
      <w:pPr>
        <w:snapToGrid w:val="0"/>
        <w:spacing w:line="520" w:lineRule="exact"/>
        <w:ind w:left="567"/>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1.2投标文件未有效授权的;</w:t>
      </w:r>
    </w:p>
    <w:p>
      <w:pPr>
        <w:snapToGrid w:val="0"/>
        <w:spacing w:line="520" w:lineRule="exact"/>
        <w:ind w:left="567"/>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1.3技术资信文件中包含投标报价的；</w:t>
      </w:r>
    </w:p>
    <w:p>
      <w:pPr>
        <w:snapToGrid w:val="0"/>
        <w:spacing w:line="520" w:lineRule="exact"/>
        <w:ind w:left="567"/>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1.4投标文件关键内容模糊、无法辨认的；</w:t>
      </w:r>
    </w:p>
    <w:p>
      <w:pPr>
        <w:snapToGrid w:val="0"/>
        <w:spacing w:line="520" w:lineRule="exact"/>
        <w:ind w:left="567"/>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1.5投标文件含有采购人不能接受的附件条件的；</w:t>
      </w:r>
    </w:p>
    <w:p>
      <w:pPr>
        <w:snapToGrid w:val="0"/>
        <w:spacing w:line="520" w:lineRule="exact"/>
        <w:ind w:left="567"/>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1.6报价超出招标文件中规定的预算金额或者最高限价的；</w:t>
      </w:r>
    </w:p>
    <w:p>
      <w:pPr>
        <w:snapToGrid w:val="0"/>
        <w:spacing w:line="520" w:lineRule="exact"/>
        <w:ind w:left="567"/>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1.7提供虚假材料谋取中标的；</w:t>
      </w:r>
    </w:p>
    <w:p>
      <w:pPr>
        <w:snapToGrid w:val="0"/>
        <w:spacing w:line="520" w:lineRule="exact"/>
        <w:ind w:left="567"/>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1.8投标人串通投标的；</w:t>
      </w:r>
    </w:p>
    <w:p>
      <w:pPr>
        <w:snapToGrid w:val="0"/>
        <w:spacing w:line="520" w:lineRule="exact"/>
        <w:ind w:left="567"/>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1.9不符合法律、法规和招标文件规定的其他实质性要求的。</w:t>
      </w:r>
    </w:p>
    <w:p>
      <w:pPr>
        <w:snapToGrid w:val="0"/>
        <w:spacing w:line="520" w:lineRule="exact"/>
        <w:ind w:left="567"/>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2.0电子投标文件解密失败的，且未在规定时间内提交电子备份投标文件的；</w:t>
      </w:r>
    </w:p>
    <w:p>
      <w:pPr>
        <w:snapToGrid w:val="0"/>
        <w:spacing w:line="520" w:lineRule="exact"/>
        <w:ind w:left="567"/>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2.1电子投标文件未按规定要求提供电子签章的。</w:t>
      </w:r>
    </w:p>
    <w:p>
      <w:pPr>
        <w:snapToGrid w:val="0"/>
        <w:spacing w:line="520" w:lineRule="exact"/>
        <w:ind w:left="567"/>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2.2电子备份投标文件启用后，未按规定要求提供电子签章的。</w:t>
      </w:r>
    </w:p>
    <w:p>
      <w:pPr>
        <w:pStyle w:val="8"/>
        <w:spacing w:after="0" w:line="360" w:lineRule="auto"/>
        <w:ind w:left="0" w:leftChars="0" w:firstLine="482" w:firstLineChars="200"/>
        <w:rPr>
          <w:rFonts w:ascii="宋体" w:hAnsi="宋体" w:cs="宋体-PUA"/>
          <w:b/>
          <w:bCs/>
          <w:color w:val="000000" w:themeColor="text1"/>
          <w:sz w:val="24"/>
          <w:highlight w:val="none"/>
          <w14:textFill>
            <w14:solidFill>
              <w14:schemeClr w14:val="tx1"/>
            </w14:solidFill>
          </w14:textFill>
        </w:rPr>
      </w:pPr>
      <w:r>
        <w:rPr>
          <w:rFonts w:hint="eastAsia" w:ascii="宋体" w:hAnsi="宋体" w:cs="宋体-PUA"/>
          <w:b/>
          <w:bCs/>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八</w:t>
      </w:r>
      <w:r>
        <w:rPr>
          <w:rFonts w:hint="eastAsia" w:ascii="宋体" w:hAnsi="宋体" w:cs="宋体-PUA"/>
          <w:b/>
          <w:bCs/>
          <w:color w:val="000000" w:themeColor="text1"/>
          <w:sz w:val="24"/>
          <w:highlight w:val="none"/>
          <w14:textFill>
            <w14:solidFill>
              <w14:schemeClr w14:val="tx1"/>
            </w14:solidFill>
          </w14:textFill>
        </w:rPr>
        <w:t>）开标</w:t>
      </w:r>
    </w:p>
    <w:p>
      <w:pPr>
        <w:pStyle w:val="8"/>
        <w:spacing w:after="0" w:line="360" w:lineRule="auto"/>
        <w:rPr>
          <w:rFonts w:ascii="宋体" w:hAnsi="宋体" w:cs="宋体-PUA"/>
          <w:bCs/>
          <w:color w:val="000000" w:themeColor="text1"/>
          <w:sz w:val="24"/>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1、开标</w:t>
      </w:r>
    </w:p>
    <w:p>
      <w:pPr>
        <w:pStyle w:val="8"/>
        <w:spacing w:after="0" w:line="360" w:lineRule="auto"/>
        <w:ind w:left="0" w:leftChars="0"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1.1招标采购单位按本采购文件投标须知前附表规定的时间和地点公开开标，并邀请所有投标人代表参加；投标人代表不参加开标会的，标后不得对采购相关人员、开标过程及结果提出异议。</w:t>
      </w:r>
    </w:p>
    <w:p>
      <w:pPr>
        <w:snapToGrid w:val="0"/>
        <w:spacing w:line="360" w:lineRule="auto"/>
        <w:ind w:left="567"/>
        <w:rPr>
          <w:rFonts w:ascii="宋体" w:hAnsi="宋体"/>
          <w:color w:val="000000" w:themeColor="text1"/>
          <w:sz w:val="24"/>
          <w:szCs w:val="28"/>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1.2</w:t>
      </w:r>
      <w:r>
        <w:rPr>
          <w:rFonts w:hint="eastAsia" w:ascii="宋体" w:hAnsi="宋体"/>
          <w:color w:val="000000" w:themeColor="text1"/>
          <w:sz w:val="24"/>
          <w:szCs w:val="28"/>
          <w:highlight w:val="none"/>
          <w14:textFill>
            <w14:solidFill>
              <w14:schemeClr w14:val="tx1"/>
            </w14:solidFill>
          </w14:textFill>
        </w:rPr>
        <w:t>.电子投标文件开标</w:t>
      </w:r>
    </w:p>
    <w:p>
      <w:pPr>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投标截止时间后，投标人登录政采云平台，用“项目采购-开标评标”功能对电子投标文件进行在线解密。在线解密电子投标文件时间为开标时间起半个小时内。</w:t>
      </w:r>
    </w:p>
    <w:p>
      <w:pPr>
        <w:pStyle w:val="8"/>
        <w:spacing w:after="0" w:line="360" w:lineRule="auto"/>
        <w:ind w:left="0" w:leftChars="0"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1.3当出现投标截止后投标人不足三家的情况时，严格按照财政部及浙江省财政厅有关规章制度进行处理。</w:t>
      </w:r>
    </w:p>
    <w:p>
      <w:pPr>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 xml:space="preserve">2.评定原则：根据符合采购需求、质量和服务等要求，综合评分确定中标人。 </w:t>
      </w:r>
    </w:p>
    <w:p>
      <w:pPr>
        <w:snapToGrid w:val="0"/>
        <w:spacing w:line="360" w:lineRule="auto"/>
        <w:ind w:left="426"/>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2.1投标文件的澄清：在评标期间, 评标委员会可要求投标人对其投标文件进行澄清,但不得寻求、提供或允许对投标价格等实质性内容做任何更改。有关澄清的要求和答复均应以书面形式提交。</w:t>
      </w:r>
    </w:p>
    <w:p>
      <w:pPr>
        <w:snapToGrid w:val="0"/>
        <w:spacing w:line="360" w:lineRule="auto"/>
        <w:ind w:left="426"/>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2.2评标报告：评标委员会完成评定后，向招标人提交经各评标委员会成员签字的评定结果报告，并按评定办法推荐中标候选人。</w:t>
      </w:r>
    </w:p>
    <w:p>
      <w:pPr>
        <w:snapToGrid w:val="0"/>
        <w:spacing w:line="360" w:lineRule="auto"/>
        <w:ind w:left="567"/>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保密</w:t>
      </w:r>
    </w:p>
    <w:p>
      <w:pPr>
        <w:snapToGrid w:val="0"/>
        <w:spacing w:line="360" w:lineRule="auto"/>
        <w:ind w:left="426"/>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2.3公开开标后直到宣布授予中标人合同为止,凡属于审查、澄清、评估和比较投标的有关资料且与授予合同有关的信息都不得向任何投标人或与上述评标过程无关的人员透露。</w:t>
      </w:r>
    </w:p>
    <w:p>
      <w:pPr>
        <w:pStyle w:val="8"/>
        <w:spacing w:after="0" w:line="360" w:lineRule="auto"/>
        <w:rPr>
          <w:rFonts w:ascii="宋体" w:hAnsi="宋体" w:cs="宋体-PUA"/>
          <w:color w:val="000000" w:themeColor="text1"/>
          <w:sz w:val="24"/>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2.4投标人对评标、比较或授予合同决定的过程施加影响的企图和行为,都可能导致其投标被拒绝。</w:t>
      </w:r>
    </w:p>
    <w:p>
      <w:pPr>
        <w:pStyle w:val="8"/>
        <w:spacing w:after="0" w:line="360" w:lineRule="auto"/>
        <w:ind w:left="0" w:leftChars="0" w:firstLine="482" w:firstLineChars="200"/>
        <w:rPr>
          <w:rFonts w:ascii="宋体" w:hAnsi="宋体" w:cs="宋体-PUA"/>
          <w:b/>
          <w:bCs/>
          <w:color w:val="000000" w:themeColor="text1"/>
          <w:sz w:val="24"/>
          <w:highlight w:val="none"/>
          <w14:textFill>
            <w14:solidFill>
              <w14:schemeClr w14:val="tx1"/>
            </w14:solidFill>
          </w14:textFill>
        </w:rPr>
      </w:pPr>
      <w:r>
        <w:rPr>
          <w:rFonts w:hint="eastAsia" w:ascii="宋体" w:hAnsi="宋体" w:cs="宋体-PUA"/>
          <w:b/>
          <w:bCs/>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九</w:t>
      </w:r>
      <w:r>
        <w:rPr>
          <w:rFonts w:hint="eastAsia" w:ascii="宋体" w:hAnsi="宋体" w:cs="宋体-PUA"/>
          <w:b/>
          <w:bCs/>
          <w:color w:val="000000" w:themeColor="text1"/>
          <w:sz w:val="24"/>
          <w:highlight w:val="none"/>
          <w14:textFill>
            <w14:solidFill>
              <w14:schemeClr w14:val="tx1"/>
            </w14:solidFill>
          </w14:textFill>
        </w:rPr>
        <w:t>）评标结果公示</w:t>
      </w:r>
    </w:p>
    <w:p>
      <w:pPr>
        <w:pStyle w:val="8"/>
        <w:spacing w:after="0" w:line="360" w:lineRule="auto"/>
        <w:ind w:left="0" w:leftChars="0"/>
        <w:rPr>
          <w:rFonts w:ascii="宋体" w:hAnsi="宋体" w:cs="宋体-PUA"/>
          <w:bCs/>
          <w:color w:val="000000" w:themeColor="text1"/>
          <w:sz w:val="24"/>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 xml:space="preserve">    1、评标结果公示</w:t>
      </w:r>
    </w:p>
    <w:p>
      <w:pPr>
        <w:pStyle w:val="8"/>
        <w:spacing w:after="0" w:line="360" w:lineRule="auto"/>
        <w:ind w:left="0" w:leftChars="0"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1.1确定中标人后，招标采购单位在以下网站浙江政府采购网（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"http://www.zjzfcg.gov.cn/" </w:instrText>
      </w:r>
      <w:r>
        <w:rPr>
          <w:color w:val="000000" w:themeColor="text1"/>
          <w:highlight w:val="none"/>
          <w14:textFill>
            <w14:solidFill>
              <w14:schemeClr w14:val="tx1"/>
            </w14:solidFill>
          </w14:textFill>
        </w:rPr>
        <w:fldChar w:fldCharType="separate"/>
      </w:r>
      <w:r>
        <w:rPr>
          <w:rFonts w:hint="eastAsia" w:ascii="宋体" w:hAnsi="宋体" w:cs="宋体-PUA"/>
          <w:color w:val="000000" w:themeColor="text1"/>
          <w:sz w:val="24"/>
          <w:highlight w:val="none"/>
          <w14:textFill>
            <w14:solidFill>
              <w14:schemeClr w14:val="tx1"/>
            </w14:solidFill>
          </w14:textFill>
        </w:rPr>
        <w:t>https://zfcg. czt.zj. gov.cn</w:t>
      </w:r>
      <w:r>
        <w:rPr>
          <w:rFonts w:hint="eastAsia" w:ascii="宋体" w:hAnsi="宋体" w:cs="宋体-PUA"/>
          <w:color w:val="000000" w:themeColor="text1"/>
          <w:sz w:val="24"/>
          <w:highlight w:val="none"/>
          <w14:textFill>
            <w14:solidFill>
              <w14:schemeClr w14:val="tx1"/>
            </w14:solidFill>
          </w14:textFill>
        </w:rPr>
        <w:fldChar w:fldCharType="end"/>
      </w:r>
      <w:r>
        <w:rPr>
          <w:rFonts w:hint="eastAsia" w:ascii="宋体" w:hAnsi="宋体" w:cs="宋体-PUA"/>
          <w:color w:val="000000" w:themeColor="text1"/>
          <w:sz w:val="24"/>
          <w:highlight w:val="none"/>
          <w14:textFill>
            <w14:solidFill>
              <w14:schemeClr w14:val="tx1"/>
            </w14:solidFill>
          </w14:textFill>
        </w:rPr>
        <w:t>）；</w:t>
      </w:r>
    </w:p>
    <w:p>
      <w:pPr>
        <w:pStyle w:val="8"/>
        <w:spacing w:after="0" w:line="360" w:lineRule="auto"/>
        <w:ind w:left="0" w:leftChars="0"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衢州市柯城区人民政府网（http://www.kecheng.gov.cn/）及公告发布的媒体中，进行结果公示，公示期为</w:t>
      </w:r>
      <w:r>
        <w:rPr>
          <w:rFonts w:hint="eastAsia" w:ascii="宋体" w:hAnsi="宋体" w:cs="宋体"/>
          <w:bCs/>
          <w:color w:val="000000" w:themeColor="text1"/>
          <w:sz w:val="24"/>
          <w:highlight w:val="none"/>
          <w14:textFill>
            <w14:solidFill>
              <w14:schemeClr w14:val="tx1"/>
            </w14:solidFill>
          </w14:textFill>
        </w:rPr>
        <w:t>1</w:t>
      </w:r>
      <w:r>
        <w:rPr>
          <w:rFonts w:hint="eastAsia" w:ascii="宋体" w:hAnsi="宋体" w:cs="宋体-PUA"/>
          <w:color w:val="000000" w:themeColor="text1"/>
          <w:sz w:val="24"/>
          <w:highlight w:val="none"/>
          <w14:textFill>
            <w14:solidFill>
              <w14:schemeClr w14:val="tx1"/>
            </w14:solidFill>
          </w14:textFill>
        </w:rPr>
        <w:t>个工作日。</w:t>
      </w:r>
    </w:p>
    <w:p>
      <w:pPr>
        <w:pStyle w:val="8"/>
        <w:spacing w:after="0" w:line="360" w:lineRule="auto"/>
        <w:ind w:left="0" w:leftChars="0"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1.2中标人因自身原因放弃中标或因不可抗力不能履行合同的；经质疑，招标采购单位审查确定因中标人在本次采购活动中存在违规行为或其他原因使质疑成立的；采购人可以按具体情况确定</w:t>
      </w:r>
      <w:r>
        <w:rPr>
          <w:rFonts w:hint="eastAsia" w:ascii="宋体" w:hAnsi="宋体" w:cs="宋体-PUA"/>
          <w:bCs/>
          <w:color w:val="000000" w:themeColor="text1"/>
          <w:sz w:val="24"/>
          <w:highlight w:val="none"/>
          <w14:textFill>
            <w14:solidFill>
              <w14:schemeClr w14:val="tx1"/>
            </w14:solidFill>
          </w14:textFill>
        </w:rPr>
        <w:t>是否由按排名顺序的中标候选人为中标人</w:t>
      </w:r>
      <w:r>
        <w:rPr>
          <w:rFonts w:hint="eastAsia" w:ascii="宋体" w:hAnsi="宋体" w:cs="宋体-PUA"/>
          <w:color w:val="000000" w:themeColor="text1"/>
          <w:sz w:val="24"/>
          <w:highlight w:val="none"/>
          <w14:textFill>
            <w14:solidFill>
              <w14:schemeClr w14:val="tx1"/>
            </w14:solidFill>
          </w14:textFill>
        </w:rPr>
        <w:t>或重新组织招标。</w:t>
      </w:r>
    </w:p>
    <w:p>
      <w:pPr>
        <w:pStyle w:val="8"/>
        <w:spacing w:after="0" w:line="360" w:lineRule="auto"/>
        <w:ind w:left="0" w:leftChars="0" w:firstLine="480" w:firstLineChars="200"/>
        <w:rPr>
          <w:rFonts w:ascii="宋体" w:hAnsi="宋体" w:cs="宋体-PUA"/>
          <w:bCs/>
          <w:color w:val="000000" w:themeColor="text1"/>
          <w:sz w:val="24"/>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2、行贿犯罪记录查询</w:t>
      </w:r>
    </w:p>
    <w:p>
      <w:pPr>
        <w:pStyle w:val="8"/>
        <w:spacing w:after="0" w:line="360" w:lineRule="auto"/>
        <w:ind w:left="0" w:leftChars="0"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2.1在中标公示期间对中标候选人及其法人代表进行前三年内（为采购文件发布之日起）行贿犯罪记录查询。经查询，若被查询单位或个人无行贿犯罪记录的，则发出中标通知书。若被查询单位或个人有行贿犯罪记录的，则取消其中标资格。</w:t>
      </w:r>
    </w:p>
    <w:p>
      <w:pPr>
        <w:pStyle w:val="8"/>
        <w:spacing w:after="0" w:line="360" w:lineRule="auto"/>
        <w:ind w:left="0" w:leftChars="0" w:firstLine="482" w:firstLineChars="200"/>
        <w:rPr>
          <w:rFonts w:ascii="宋体" w:hAnsi="宋体" w:cs="宋体-PUA"/>
          <w:b/>
          <w:bCs/>
          <w:color w:val="000000" w:themeColor="text1"/>
          <w:sz w:val="24"/>
          <w:highlight w:val="none"/>
          <w14:textFill>
            <w14:solidFill>
              <w14:schemeClr w14:val="tx1"/>
            </w14:solidFill>
          </w14:textFill>
        </w:rPr>
      </w:pPr>
      <w:r>
        <w:rPr>
          <w:rFonts w:hint="eastAsia" w:ascii="宋体" w:hAnsi="宋体" w:cs="宋体-PUA"/>
          <w:b/>
          <w:bCs/>
          <w:color w:val="000000" w:themeColor="text1"/>
          <w:sz w:val="24"/>
          <w:highlight w:val="none"/>
          <w14:textFill>
            <w14:solidFill>
              <w14:schemeClr w14:val="tx1"/>
            </w14:solidFill>
          </w14:textFill>
        </w:rPr>
        <w:t>（十）质疑</w:t>
      </w:r>
    </w:p>
    <w:p>
      <w:pPr>
        <w:pStyle w:val="8"/>
        <w:spacing w:after="0" w:line="360" w:lineRule="auto"/>
        <w:ind w:left="0" w:leftChars="0"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投标人若对评标结果有异议或在参与本次投标活动过程中确认自己的权益受到损害的，可在法律规定的工作日内向招标采购单位提出书面质疑，书面质疑文件应该有质疑内容及必须附送有关证据材料和注明事实确切来源依据、单位名称、公章、联系人姓名、联系电话、传真，否则视为无效质疑。</w:t>
      </w:r>
    </w:p>
    <w:p>
      <w:pPr>
        <w:pStyle w:val="8"/>
        <w:spacing w:after="0" w:line="360" w:lineRule="auto"/>
        <w:ind w:left="0" w:leftChars="0"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本次招标最终解释权归招标人所有，投标人如未在投标截止时间前向招标人或代理机构提出质疑，则不得对采购文件内容再提出质疑。</w:t>
      </w:r>
    </w:p>
    <w:p>
      <w:pPr>
        <w:pStyle w:val="8"/>
        <w:spacing w:after="0" w:line="360" w:lineRule="auto"/>
        <w:ind w:left="0" w:leftChars="0" w:firstLine="482" w:firstLineChars="200"/>
        <w:rPr>
          <w:rFonts w:ascii="宋体" w:hAnsi="宋体" w:cs="宋体-PUA"/>
          <w:b/>
          <w:bCs/>
          <w:color w:val="000000" w:themeColor="text1"/>
          <w:sz w:val="24"/>
          <w:highlight w:val="none"/>
          <w14:textFill>
            <w14:solidFill>
              <w14:schemeClr w14:val="tx1"/>
            </w14:solidFill>
          </w14:textFill>
        </w:rPr>
      </w:pPr>
      <w:r>
        <w:rPr>
          <w:rFonts w:hint="eastAsia" w:ascii="宋体" w:hAnsi="宋体" w:cs="宋体-PUA"/>
          <w:b/>
          <w:bCs/>
          <w:color w:val="000000" w:themeColor="text1"/>
          <w:sz w:val="24"/>
          <w:highlight w:val="none"/>
          <w14:textFill>
            <w14:solidFill>
              <w14:schemeClr w14:val="tx1"/>
            </w14:solidFill>
          </w14:textFill>
        </w:rPr>
        <w:t>（十</w:t>
      </w:r>
      <w:r>
        <w:rPr>
          <w:rFonts w:hint="eastAsia" w:ascii="宋体" w:hAnsi="宋体" w:cs="宋体"/>
          <w:b/>
          <w:bCs/>
          <w:color w:val="000000" w:themeColor="text1"/>
          <w:sz w:val="24"/>
          <w:highlight w:val="none"/>
          <w14:textFill>
            <w14:solidFill>
              <w14:schemeClr w14:val="tx1"/>
            </w14:solidFill>
          </w14:textFill>
        </w:rPr>
        <w:t>一</w:t>
      </w:r>
      <w:r>
        <w:rPr>
          <w:rFonts w:hint="eastAsia" w:ascii="宋体" w:hAnsi="宋体" w:cs="宋体-PUA"/>
          <w:b/>
          <w:bCs/>
          <w:color w:val="000000" w:themeColor="text1"/>
          <w:sz w:val="24"/>
          <w:highlight w:val="none"/>
          <w14:textFill>
            <w14:solidFill>
              <w14:schemeClr w14:val="tx1"/>
            </w14:solidFill>
          </w14:textFill>
        </w:rPr>
        <w:t>）授予合同签订资格</w:t>
      </w:r>
    </w:p>
    <w:p>
      <w:pPr>
        <w:pStyle w:val="8"/>
        <w:spacing w:after="0" w:line="360" w:lineRule="auto"/>
        <w:ind w:left="0" w:leftChars="0"/>
        <w:rPr>
          <w:rFonts w:ascii="宋体" w:hAnsi="宋体" w:cs="宋体-PUA"/>
          <w:bCs/>
          <w:color w:val="000000" w:themeColor="text1"/>
          <w:sz w:val="24"/>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 xml:space="preserve">    1、中标通知书</w:t>
      </w:r>
    </w:p>
    <w:p>
      <w:pPr>
        <w:pStyle w:val="8"/>
        <w:spacing w:after="0" w:line="360" w:lineRule="auto"/>
        <w:ind w:left="0" w:leftChars="0"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1.1在评标结果公示无异议后，在招投标监管部门、纪检监察部门、公证人员等的监督下，在衢州市柯城区双港街道办事处随机抽取第一中标候选人中的一家为中标人，采购人将对中标人签发《中标通知书》。</w:t>
      </w:r>
    </w:p>
    <w:p>
      <w:pPr>
        <w:pStyle w:val="8"/>
        <w:spacing w:after="0" w:line="360" w:lineRule="auto"/>
        <w:ind w:left="0" w:leftChars="0"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1.2《中标通知书》是与采购人签订合同的凭证，是授予合同签订资格的合法依据。</w:t>
      </w:r>
    </w:p>
    <w:p>
      <w:pPr>
        <w:pStyle w:val="8"/>
        <w:spacing w:after="0" w:line="360" w:lineRule="auto"/>
        <w:ind w:left="0" w:leftChars="0"/>
        <w:rPr>
          <w:rFonts w:ascii="宋体" w:hAnsi="宋体" w:cs="宋体-PUA"/>
          <w:b/>
          <w:color w:val="000000" w:themeColor="text1"/>
          <w:sz w:val="24"/>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 xml:space="preserve"> 2、合同的签订</w:t>
      </w:r>
    </w:p>
    <w:p>
      <w:pPr>
        <w:pStyle w:val="8"/>
        <w:spacing w:after="0" w:line="360" w:lineRule="auto"/>
        <w:ind w:left="0" w:leftChars="0"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2.1中标人应该按照《中标通知书》的要求</w:t>
      </w:r>
      <w:r>
        <w:rPr>
          <w:rFonts w:hint="eastAsia" w:ascii="宋体" w:hAnsi="宋体" w:cs="宋体"/>
          <w:bCs/>
          <w:color w:val="000000" w:themeColor="text1"/>
          <w:sz w:val="24"/>
          <w:highlight w:val="none"/>
          <w14:textFill>
            <w14:solidFill>
              <w14:schemeClr w14:val="tx1"/>
            </w14:solidFill>
          </w14:textFill>
        </w:rPr>
        <w:t>7</w:t>
      </w:r>
      <w:r>
        <w:rPr>
          <w:rFonts w:hint="eastAsia" w:ascii="宋体" w:hAnsi="宋体" w:cs="宋体-PUA"/>
          <w:color w:val="000000" w:themeColor="text1"/>
          <w:sz w:val="24"/>
          <w:highlight w:val="none"/>
          <w14:textFill>
            <w14:solidFill>
              <w14:schemeClr w14:val="tx1"/>
            </w14:solidFill>
          </w14:textFill>
        </w:rPr>
        <w:t>个日历天内与采购人签订合同，履行签订合同责任和义务。</w:t>
      </w:r>
    </w:p>
    <w:p>
      <w:pPr>
        <w:pStyle w:val="8"/>
        <w:spacing w:after="0" w:line="360" w:lineRule="auto"/>
        <w:ind w:left="0" w:leftChars="0"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2.2采购文件、中标人的投标文件及评标过程中有关澄清文件均作为签订合同的附件组成部分。</w:t>
      </w:r>
    </w:p>
    <w:p>
      <w:pPr>
        <w:pStyle w:val="8"/>
        <w:spacing w:after="0" w:line="360" w:lineRule="auto"/>
        <w:ind w:left="0" w:leftChars="0"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2.3中标人和采购人签订的合同条款不得对采购结果及中标人投标文件中的承诺内容作实质性改变，中标人和采购人不得再订立背离合同实质性内容的其他协议。</w:t>
      </w:r>
    </w:p>
    <w:p>
      <w:pPr>
        <w:pStyle w:val="8"/>
        <w:spacing w:after="0" w:line="360" w:lineRule="auto"/>
        <w:ind w:left="0" w:leftChars="0"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2.4中标人应按中标通知书规定的时间、地点与采购人签订合同，同时提交履约保证金。</w:t>
      </w:r>
    </w:p>
    <w:p>
      <w:pPr>
        <w:pStyle w:val="8"/>
        <w:spacing w:after="0" w:line="360" w:lineRule="auto"/>
        <w:rPr>
          <w:rFonts w:ascii="宋体" w:hAnsi="宋体" w:cs="宋体-PUA"/>
          <w:bCs/>
          <w:color w:val="000000" w:themeColor="text1"/>
          <w:sz w:val="24"/>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3、授标时更改采购货物数量的权力</w:t>
      </w:r>
    </w:p>
    <w:p>
      <w:pPr>
        <w:pStyle w:val="8"/>
        <w:spacing w:after="0" w:line="360" w:lineRule="auto"/>
        <w:ind w:left="0" w:leftChars="0"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采购人在授予合同时有权对采购货物的数量和服务在一定幅度范围内予以增加或减少，但不得对单价和其他的条款和条件作任何改变。</w:t>
      </w:r>
    </w:p>
    <w:p>
      <w:pPr>
        <w:pStyle w:val="8"/>
        <w:spacing w:after="0" w:line="360" w:lineRule="auto"/>
        <w:rPr>
          <w:rFonts w:ascii="宋体" w:hAnsi="宋体" w:cs="宋体-PUA"/>
          <w:bCs/>
          <w:color w:val="000000" w:themeColor="text1"/>
          <w:sz w:val="24"/>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4、履约保证金</w:t>
      </w:r>
    </w:p>
    <w:p>
      <w:pPr>
        <w:pStyle w:val="8"/>
        <w:spacing w:after="0" w:line="360" w:lineRule="auto"/>
        <w:ind w:left="0" w:leftChars="0"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4</w:t>
      </w:r>
      <w:r>
        <w:rPr>
          <w:rFonts w:hint="eastAsia" w:ascii="宋体" w:hAnsi="宋体" w:cs="宋体-PUA"/>
          <w:color w:val="000000" w:themeColor="text1"/>
          <w:sz w:val="24"/>
          <w:highlight w:val="none"/>
          <w14:textFill>
            <w14:solidFill>
              <w14:schemeClr w14:val="tx1"/>
            </w14:solidFill>
          </w14:textFill>
        </w:rPr>
        <w:t>.1中标人在合同签订前向采购人交纳中标价10%的履约保证金。</w:t>
      </w:r>
    </w:p>
    <w:p>
      <w:pPr>
        <w:pStyle w:val="8"/>
        <w:spacing w:after="0" w:line="360" w:lineRule="auto"/>
        <w:ind w:left="0" w:leftChars="0"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4.2履约保证金用于补偿买方因卖方不能完成其合同义务而蒙受的损失。</w:t>
      </w:r>
    </w:p>
    <w:p>
      <w:pPr>
        <w:pStyle w:val="8"/>
        <w:spacing w:after="0" w:line="360" w:lineRule="auto"/>
        <w:ind w:left="0" w:leftChars="0"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4.3履约保证金自合同签订之日起至合同结束交接顺利完成后十五天内，采购人将履约保证金无息退还给中标人。</w:t>
      </w:r>
    </w:p>
    <w:p>
      <w:pPr>
        <w:pStyle w:val="8"/>
        <w:spacing w:after="0" w:line="360" w:lineRule="auto"/>
        <w:ind w:left="0" w:leftChars="0"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4.4签订合同后，如中标人不按双方合同约定履约，则没收其全部履约保证金，履约保证金不足以赔偿损失的，按实际损失赔偿。</w:t>
      </w:r>
    </w:p>
    <w:p>
      <w:pPr>
        <w:pStyle w:val="8"/>
        <w:spacing w:after="0" w:line="360" w:lineRule="auto"/>
        <w:ind w:left="0" w:leftChars="0"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5、拒签合同的违约责任</w:t>
      </w:r>
    </w:p>
    <w:p>
      <w:pPr>
        <w:pStyle w:val="8"/>
        <w:spacing w:after="0" w:line="360" w:lineRule="auto"/>
        <w:ind w:left="0" w:leftChars="0"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中标人接到中标通知书后，不遵守投标文件的要约、承诺，擅自修改投标文件的内容或在规定时间内借故拖延、拒签合同的，以违约处理，招标人将取消该投标人的中标资格。</w:t>
      </w:r>
    </w:p>
    <w:p>
      <w:pPr>
        <w:pStyle w:val="8"/>
        <w:spacing w:after="0" w:line="360" w:lineRule="auto"/>
        <w:ind w:left="0" w:leftChars="0"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6、采购方式改变</w:t>
      </w:r>
    </w:p>
    <w:p>
      <w:pPr>
        <w:pStyle w:val="8"/>
        <w:spacing w:after="0" w:line="360" w:lineRule="auto"/>
        <w:ind w:left="0" w:leftChars="0"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在符合资格的投标人不足规定数量或投标人提供的货物及其报价、售后服务承诺等不能满足采购文件要求，以及招标过程中出现其他不正常情况时，经批准，招标组织机构将根据中华人民共和国财政部第18号令《政府采购货物和服务招标投标管理办法》第四十三条之规定和《浙江省财政厅关于进一步规范政府采购活动的若干意见》第二条之规定，重新选择合适的方式进行采购。</w:t>
      </w:r>
    </w:p>
    <w:p>
      <w:pPr>
        <w:pStyle w:val="8"/>
        <w:spacing w:after="0" w:line="360" w:lineRule="auto"/>
        <w:ind w:left="0" w:leftChars="0"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7、其他事项</w:t>
      </w:r>
    </w:p>
    <w:p>
      <w:pPr>
        <w:pStyle w:val="8"/>
        <w:spacing w:after="0" w:line="360" w:lineRule="auto"/>
        <w:ind w:left="0" w:leftChars="0"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7.1解释权</w:t>
      </w:r>
    </w:p>
    <w:p>
      <w:pPr>
        <w:pStyle w:val="8"/>
        <w:spacing w:after="0" w:line="360" w:lineRule="auto"/>
        <w:ind w:left="0" w:leftChars="0" w:firstLine="480" w:firstLineChars="200"/>
        <w:rPr>
          <w:rFonts w:hint="eastAsia"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7.1.1本采购文件未尽事宜按现行政府采购的有关法律法规和规定执行。采购单位对本采购文件拥有最终解释权。</w:t>
      </w:r>
    </w:p>
    <w:p>
      <w:pPr>
        <w:pStyle w:val="8"/>
        <w:spacing w:after="0" w:line="360" w:lineRule="auto"/>
        <w:ind w:left="0" w:leftChars="0" w:firstLine="480" w:firstLineChars="200"/>
        <w:rPr>
          <w:rFonts w:ascii="宋体" w:hAnsi="宋体" w:cs="宋体-PUA"/>
          <w:color w:val="000000" w:themeColor="text1"/>
          <w:sz w:val="24"/>
          <w:highlight w:val="none"/>
          <w14:textFill>
            <w14:solidFill>
              <w14:schemeClr w14:val="tx1"/>
            </w14:solidFill>
          </w14:textFill>
        </w:rPr>
      </w:pPr>
    </w:p>
    <w:p>
      <w:pPr>
        <w:pStyle w:val="8"/>
        <w:spacing w:after="0" w:line="360" w:lineRule="auto"/>
        <w:ind w:left="0" w:leftChars="0" w:firstLine="480" w:firstLineChars="200"/>
        <w:rPr>
          <w:rFonts w:ascii="宋体" w:hAnsi="宋体" w:cs="宋体-PUA"/>
          <w:color w:val="000000" w:themeColor="text1"/>
          <w:sz w:val="24"/>
          <w:highlight w:val="none"/>
          <w14:textFill>
            <w14:solidFill>
              <w14:schemeClr w14:val="tx1"/>
            </w14:solidFill>
          </w14:textFill>
        </w:rPr>
      </w:pPr>
    </w:p>
    <w:p>
      <w:pPr>
        <w:pStyle w:val="8"/>
        <w:spacing w:after="0" w:line="360" w:lineRule="auto"/>
        <w:ind w:left="0" w:leftChars="0" w:firstLine="480" w:firstLineChars="200"/>
        <w:rPr>
          <w:rFonts w:ascii="宋体" w:hAnsi="宋体" w:cs="宋体-PUA"/>
          <w:color w:val="000000" w:themeColor="text1"/>
          <w:sz w:val="24"/>
          <w:highlight w:val="none"/>
          <w14:textFill>
            <w14:solidFill>
              <w14:schemeClr w14:val="tx1"/>
            </w14:solidFill>
          </w14:textFill>
        </w:rPr>
      </w:pPr>
    </w:p>
    <w:p>
      <w:pPr>
        <w:pStyle w:val="8"/>
        <w:spacing w:after="0" w:line="360" w:lineRule="auto"/>
        <w:ind w:left="0" w:leftChars="0" w:firstLine="480" w:firstLineChars="200"/>
        <w:rPr>
          <w:rFonts w:ascii="宋体" w:hAnsi="宋体" w:cs="宋体-PUA"/>
          <w:color w:val="000000" w:themeColor="text1"/>
          <w:sz w:val="24"/>
          <w:highlight w:val="none"/>
          <w14:textFill>
            <w14:solidFill>
              <w14:schemeClr w14:val="tx1"/>
            </w14:solidFill>
          </w14:textFill>
        </w:rPr>
      </w:pPr>
    </w:p>
    <w:p>
      <w:pPr>
        <w:widowControl/>
        <w:spacing w:line="360" w:lineRule="auto"/>
        <w:jc w:val="center"/>
        <w:rPr>
          <w:rFonts w:hint="eastAsia" w:ascii="宋体" w:hAnsi="宋体" w:cs="黑体"/>
          <w:b/>
          <w:bCs/>
          <w:color w:val="000000" w:themeColor="text1"/>
          <w:sz w:val="28"/>
          <w:szCs w:val="28"/>
          <w:highlight w:val="none"/>
          <w14:textFill>
            <w14:solidFill>
              <w14:schemeClr w14:val="tx1"/>
            </w14:solidFill>
          </w14:textFill>
        </w:rPr>
      </w:pPr>
    </w:p>
    <w:p>
      <w:pPr>
        <w:pStyle w:val="2"/>
        <w:rPr>
          <w:rFonts w:hint="eastAsia"/>
          <w:color w:val="000000" w:themeColor="text1"/>
          <w:highlight w:val="none"/>
          <w14:textFill>
            <w14:solidFill>
              <w14:schemeClr w14:val="tx1"/>
            </w14:solidFill>
          </w14:textFill>
        </w:rPr>
      </w:pPr>
    </w:p>
    <w:p>
      <w:pPr>
        <w:pStyle w:val="2"/>
        <w:rPr>
          <w:rFonts w:hint="eastAsia"/>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widowControl/>
        <w:spacing w:line="360" w:lineRule="auto"/>
        <w:jc w:val="center"/>
        <w:rPr>
          <w:rFonts w:ascii="宋体" w:hAnsi="宋体" w:cs="黑体"/>
          <w:b/>
          <w:bCs/>
          <w:color w:val="000000" w:themeColor="text1"/>
          <w:sz w:val="28"/>
          <w:szCs w:val="28"/>
          <w:highlight w:val="none"/>
          <w14:textFill>
            <w14:solidFill>
              <w14:schemeClr w14:val="tx1"/>
            </w14:solidFill>
          </w14:textFill>
        </w:rPr>
      </w:pPr>
      <w:r>
        <w:rPr>
          <w:rFonts w:hint="eastAsia" w:ascii="宋体" w:hAnsi="宋体" w:cs="黑体"/>
          <w:b/>
          <w:bCs/>
          <w:color w:val="000000" w:themeColor="text1"/>
          <w:sz w:val="28"/>
          <w:szCs w:val="28"/>
          <w:highlight w:val="none"/>
          <w14:textFill>
            <w14:solidFill>
              <w14:schemeClr w14:val="tx1"/>
            </w14:solidFill>
          </w14:textFill>
        </w:rPr>
        <w:t>第三章采购内容及要求</w:t>
      </w: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8"/>
        <w:spacing w:after="0" w:line="400" w:lineRule="exact"/>
        <w:ind w:left="0" w:leftChars="0" w:firstLine="472" w:firstLineChars="196"/>
        <w:rPr>
          <w:rFonts w:ascii="宋体" w:hAnsi="宋体" w:cs="宋体-PUA"/>
          <w:b/>
          <w:color w:val="000000" w:themeColor="text1"/>
          <w:sz w:val="24"/>
          <w:highlight w:val="none"/>
          <w14:textFill>
            <w14:solidFill>
              <w14:schemeClr w14:val="tx1"/>
            </w14:solidFill>
          </w14:textFill>
        </w:rPr>
      </w:pPr>
      <w:r>
        <w:rPr>
          <w:rFonts w:hint="eastAsia" w:ascii="宋体" w:hAnsi="宋体" w:cs="宋体-PUA"/>
          <w:b/>
          <w:color w:val="000000" w:themeColor="text1"/>
          <w:sz w:val="24"/>
          <w:highlight w:val="none"/>
          <w14:textFill>
            <w14:solidFill>
              <w14:schemeClr w14:val="tx1"/>
            </w14:solidFill>
          </w14:textFill>
        </w:rPr>
        <w:t>一、主要服务内容</w:t>
      </w:r>
    </w:p>
    <w:p>
      <w:pPr>
        <w:pStyle w:val="8"/>
        <w:spacing w:after="0" w:line="40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本次招标采购单位为衢州市柯城区双港街道办事处，服务工作内容包含：</w:t>
      </w:r>
    </w:p>
    <w:p>
      <w:pPr>
        <w:pStyle w:val="8"/>
        <w:spacing w:after="0" w:line="40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1、现场查勘并统计各征收户房前屋后附属房及设施、室内外装修和其它附属于房屋不可移动设施的项目、种类和数量；</w:t>
      </w:r>
    </w:p>
    <w:p>
      <w:pPr>
        <w:pStyle w:val="8"/>
        <w:spacing w:after="0" w:line="40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2、评估确定各户被征收房屋装修、附属物的征收补偿金额、并出具评估报告。</w:t>
      </w:r>
    </w:p>
    <w:p>
      <w:pPr>
        <w:pStyle w:val="8"/>
        <w:spacing w:after="0" w:line="40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3、按照委托人的要求及有关政策的规定完成评估工作，并提供分户的初步评估结果；在公示期间应对分户的初步评估结果，进行现场说明解释；公示期满后，提供该项目被征收房屋整体评估报告、分户报告。</w:t>
      </w:r>
    </w:p>
    <w:p>
      <w:pPr>
        <w:pStyle w:val="8"/>
        <w:spacing w:after="0" w:line="40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4、对征收安置房进行价格评估并出具评估报告。</w:t>
      </w:r>
    </w:p>
    <w:p>
      <w:pPr>
        <w:pStyle w:val="8"/>
        <w:spacing w:after="0" w:line="40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5、对征收的家庭农场、集体用房等进行价格评估并出具评估报告。</w:t>
      </w:r>
    </w:p>
    <w:p>
      <w:pPr>
        <w:pStyle w:val="8"/>
        <w:spacing w:after="0" w:line="40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6、审核把关地面附着物拆除补偿费及名贵苗木搬迁费。（该项服务不另行计费）。</w:t>
      </w:r>
    </w:p>
    <w:p>
      <w:pPr>
        <w:pStyle w:val="8"/>
        <w:spacing w:after="0" w:line="40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7、其他需要评估的内容。</w:t>
      </w:r>
    </w:p>
    <w:p>
      <w:pPr>
        <w:pStyle w:val="8"/>
        <w:spacing w:after="0" w:line="400" w:lineRule="exact"/>
        <w:ind w:left="0" w:leftChars="0" w:firstLine="472" w:firstLineChars="196"/>
        <w:rPr>
          <w:rFonts w:ascii="宋体" w:hAnsi="宋体" w:cs="宋体-PUA"/>
          <w:b/>
          <w:color w:val="000000" w:themeColor="text1"/>
          <w:sz w:val="24"/>
          <w:highlight w:val="none"/>
          <w14:textFill>
            <w14:solidFill>
              <w14:schemeClr w14:val="tx1"/>
            </w14:solidFill>
          </w14:textFill>
        </w:rPr>
      </w:pPr>
      <w:r>
        <w:rPr>
          <w:rFonts w:hint="eastAsia" w:ascii="宋体" w:hAnsi="宋体" w:cs="宋体-PUA"/>
          <w:b/>
          <w:color w:val="000000" w:themeColor="text1"/>
          <w:sz w:val="24"/>
          <w:highlight w:val="none"/>
          <w14:textFill>
            <w14:solidFill>
              <w14:schemeClr w14:val="tx1"/>
            </w14:solidFill>
          </w14:textFill>
        </w:rPr>
        <w:t>二、服务范围</w:t>
      </w:r>
    </w:p>
    <w:p>
      <w:pPr>
        <w:pStyle w:val="8"/>
        <w:spacing w:after="0" w:line="40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服务范围为</w:t>
      </w:r>
      <w:r>
        <w:rPr>
          <w:rFonts w:hint="eastAsia" w:ascii="宋体" w:hAnsi="宋体" w:cs="宋体"/>
          <w:color w:val="000000" w:themeColor="text1"/>
          <w:sz w:val="24"/>
          <w:highlight w:val="none"/>
          <w:lang w:eastAsia="zh-CN"/>
          <w14:textFill>
            <w14:solidFill>
              <w14:schemeClr w14:val="tx1"/>
            </w14:solidFill>
          </w14:textFill>
        </w:rPr>
        <w:t>柯城区百家塘片区集体土地房屋征收评估服务采购项目</w:t>
      </w:r>
      <w:r>
        <w:rPr>
          <w:rFonts w:hint="eastAsia" w:ascii="宋体" w:hAnsi="宋体" w:cs="宋体"/>
          <w:color w:val="000000" w:themeColor="text1"/>
          <w:sz w:val="24"/>
          <w:highlight w:val="none"/>
          <w14:textFill>
            <w14:solidFill>
              <w14:schemeClr w14:val="tx1"/>
            </w14:solidFill>
          </w14:textFill>
        </w:rPr>
        <w:t>，涉及</w:t>
      </w:r>
      <w:r>
        <w:rPr>
          <w:rFonts w:hint="eastAsia" w:ascii="宋体" w:hAnsi="宋体" w:cs="宋体"/>
          <w:color w:val="000000" w:themeColor="text1"/>
          <w:sz w:val="24"/>
          <w:highlight w:val="none"/>
          <w14:textFill>
            <w14:solidFill>
              <w14:schemeClr w14:val="tx1"/>
            </w14:solidFill>
          </w14:textFill>
        </w:rPr>
        <w:t>房屋征收约1212幢，合计房屋建筑总面积约35万㎡，</w:t>
      </w:r>
      <w:r>
        <w:rPr>
          <w:rFonts w:hint="eastAsia" w:ascii="宋体" w:hAnsi="宋体" w:cs="宋体"/>
          <w:color w:val="000000" w:themeColor="text1"/>
          <w:sz w:val="24"/>
          <w:highlight w:val="none"/>
          <w14:textFill>
            <w14:solidFill>
              <w14:schemeClr w14:val="tx1"/>
            </w14:solidFill>
          </w14:textFill>
        </w:rPr>
        <w:t>具体以正式入户签订协议并审核确认的面积为准。</w:t>
      </w:r>
    </w:p>
    <w:p>
      <w:pPr>
        <w:pStyle w:val="8"/>
        <w:numPr>
          <w:ilvl w:val="0"/>
          <w:numId w:val="5"/>
        </w:numPr>
        <w:spacing w:after="0" w:line="400" w:lineRule="exact"/>
        <w:ind w:left="0" w:leftChars="0" w:firstLine="472" w:firstLineChars="196"/>
        <w:rPr>
          <w:rFonts w:ascii="宋体" w:hAnsi="宋体" w:cs="宋体-PUA"/>
          <w:b/>
          <w:color w:val="000000" w:themeColor="text1"/>
          <w:sz w:val="24"/>
          <w:highlight w:val="none"/>
          <w14:textFill>
            <w14:solidFill>
              <w14:schemeClr w14:val="tx1"/>
            </w14:solidFill>
          </w14:textFill>
        </w:rPr>
      </w:pPr>
      <w:r>
        <w:rPr>
          <w:rFonts w:hint="eastAsia" w:ascii="宋体" w:hAnsi="宋体" w:cs="宋体-PUA"/>
          <w:b/>
          <w:color w:val="000000" w:themeColor="text1"/>
          <w:sz w:val="24"/>
          <w:highlight w:val="none"/>
          <w14:textFill>
            <w14:solidFill>
              <w14:schemeClr w14:val="tx1"/>
            </w14:solidFill>
          </w14:textFill>
        </w:rPr>
        <w:t>评估力量安排</w:t>
      </w:r>
    </w:p>
    <w:p>
      <w:pPr>
        <w:autoSpaceDE w:val="0"/>
        <w:autoSpaceDN w:val="0"/>
        <w:adjustRightInd w:val="0"/>
        <w:spacing w:line="288" w:lineRule="auto"/>
        <w:ind w:firstLine="480" w:firstLineChars="200"/>
        <w:jc w:val="left"/>
        <w:rPr>
          <w:rFonts w:ascii="宋体" w:hAnsi="宋体" w:cs="仿宋_GB2312"/>
          <w:b/>
          <w:bCs/>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1、项目班子须具备：拟派项目驻场服务人员</w:t>
      </w:r>
      <w:r>
        <w:rPr>
          <w:rFonts w:hint="eastAsia" w:ascii="宋体" w:hAnsi="宋体" w:cs="仿宋_GB2312"/>
          <w:color w:val="000000" w:themeColor="text1"/>
          <w:sz w:val="24"/>
          <w:highlight w:val="none"/>
          <w:u w:val="single"/>
          <w:lang w:val="en-US" w:eastAsia="zh-CN"/>
          <w14:textFill>
            <w14:solidFill>
              <w14:schemeClr w14:val="tx1"/>
            </w14:solidFill>
          </w14:textFill>
        </w:rPr>
        <w:t>30</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人以上，项目负责人</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u w:val="single"/>
          <w:lang w:val="en-US" w:eastAsia="zh-CN"/>
          <w14:textFill>
            <w14:solidFill>
              <w14:schemeClr w14:val="tx1"/>
            </w14:solidFill>
          </w14:textFill>
        </w:rPr>
        <w:t>2</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人以上，其中注册评估师</w:t>
      </w:r>
      <w:r>
        <w:rPr>
          <w:rFonts w:hint="eastAsia" w:ascii="宋体" w:hAnsi="宋体" w:cs="仿宋_GB2312"/>
          <w:color w:val="000000" w:themeColor="text1"/>
          <w:sz w:val="24"/>
          <w:highlight w:val="none"/>
          <w:u w:val="single"/>
          <w14:textFill>
            <w14:solidFill>
              <w14:schemeClr w14:val="tx1"/>
            </w14:solidFill>
          </w14:textFill>
        </w:rPr>
        <w:t xml:space="preserve"> 3 </w:t>
      </w:r>
      <w:r>
        <w:rPr>
          <w:rFonts w:hint="eastAsia" w:ascii="宋体" w:hAnsi="宋体" w:cs="仿宋_GB2312"/>
          <w:color w:val="000000" w:themeColor="text1"/>
          <w:sz w:val="24"/>
          <w:highlight w:val="none"/>
          <w14:textFill>
            <w14:solidFill>
              <w14:schemeClr w14:val="tx1"/>
            </w14:solidFill>
          </w14:textFill>
        </w:rPr>
        <w:t>人以上，评估师具有注册房地产估价师或评估师资格。</w:t>
      </w:r>
    </w:p>
    <w:p>
      <w:pPr>
        <w:spacing w:line="288" w:lineRule="auto"/>
        <w:ind w:firstLine="420"/>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2、评估力量：进场时，确保评估项目班子同时进场，评估开展以后视可查勘户的数量调整。</w:t>
      </w:r>
    </w:p>
    <w:p>
      <w:pPr>
        <w:pStyle w:val="8"/>
        <w:numPr>
          <w:ilvl w:val="0"/>
          <w:numId w:val="5"/>
        </w:numPr>
        <w:spacing w:after="0" w:line="400" w:lineRule="exact"/>
        <w:ind w:left="0" w:leftChars="0" w:firstLine="472" w:firstLineChars="196"/>
        <w:rPr>
          <w:rFonts w:ascii="宋体" w:hAnsi="宋体" w:cs="宋体-PUA"/>
          <w:b/>
          <w:color w:val="000000" w:themeColor="text1"/>
          <w:sz w:val="24"/>
          <w:highlight w:val="none"/>
          <w14:textFill>
            <w14:solidFill>
              <w14:schemeClr w14:val="tx1"/>
            </w14:solidFill>
          </w14:textFill>
        </w:rPr>
      </w:pPr>
      <w:r>
        <w:rPr>
          <w:rFonts w:hint="eastAsia" w:ascii="宋体" w:hAnsi="宋体" w:cs="宋体-PUA"/>
          <w:b/>
          <w:color w:val="000000" w:themeColor="text1"/>
          <w:sz w:val="24"/>
          <w:highlight w:val="none"/>
          <w14:textFill>
            <w14:solidFill>
              <w14:schemeClr w14:val="tx1"/>
            </w14:solidFill>
          </w14:textFill>
        </w:rPr>
        <w:t xml:space="preserve"> 服务要求</w:t>
      </w:r>
    </w:p>
    <w:p>
      <w:pPr>
        <w:pStyle w:val="8"/>
        <w:spacing w:after="0" w:line="400" w:lineRule="exact"/>
        <w:ind w:left="0" w:leftChars="0" w:firstLine="480" w:firstLineChars="200"/>
        <w:rPr>
          <w:rFonts w:ascii="宋体" w:hAnsi="宋体" w:cs="宋体-PUA"/>
          <w:bCs/>
          <w:color w:val="000000" w:themeColor="text1"/>
          <w:sz w:val="24"/>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1、要求符合房地产估价规范国家标准GB\T50291-2015</w:t>
      </w:r>
    </w:p>
    <w:p>
      <w:pPr>
        <w:pStyle w:val="8"/>
        <w:spacing w:after="0" w:line="400" w:lineRule="exact"/>
        <w:ind w:left="0" w:leftChars="0" w:firstLine="480" w:firstLineChars="200"/>
        <w:rPr>
          <w:rFonts w:ascii="宋体" w:hAnsi="宋体" w:cs="宋体-PUA"/>
          <w:bCs/>
          <w:color w:val="000000" w:themeColor="text1"/>
          <w:sz w:val="24"/>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2、为进一步加强和完善房屋征收工作的顺利进行，保障征收主体的合法权益，明确征收房屋的公平市场价值，本项目房屋征收评估工作按计划分步骤的委托具体相应资质的估价公司进行评估。有关房屋征收评估委托项目的招标事项具体明确如下：</w:t>
      </w:r>
    </w:p>
    <w:p>
      <w:pPr>
        <w:pStyle w:val="8"/>
        <w:spacing w:after="0" w:line="400" w:lineRule="exact"/>
        <w:ind w:left="412" w:leftChars="196"/>
        <w:rPr>
          <w:rFonts w:ascii="宋体" w:hAnsi="宋体" w:cs="宋体-PUA"/>
          <w:bCs/>
          <w:color w:val="000000" w:themeColor="text1"/>
          <w:sz w:val="24"/>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2.1基本原则</w:t>
      </w:r>
    </w:p>
    <w:p>
      <w:pPr>
        <w:pStyle w:val="8"/>
        <w:spacing w:after="0" w:line="400" w:lineRule="exact"/>
        <w:ind w:left="412" w:leftChars="196"/>
        <w:rPr>
          <w:rFonts w:ascii="宋体" w:hAnsi="宋体" w:cs="宋体-PUA"/>
          <w:bCs/>
          <w:color w:val="000000" w:themeColor="text1"/>
          <w:sz w:val="24"/>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2.1.1房屋征收评估价格是实现被征收房屋价格的公平、公正，保障征收主体双方的合法权益的目标。</w:t>
      </w:r>
    </w:p>
    <w:p>
      <w:pPr>
        <w:pStyle w:val="8"/>
        <w:spacing w:after="0" w:line="400" w:lineRule="exact"/>
        <w:ind w:left="412" w:leftChars="196"/>
        <w:rPr>
          <w:rFonts w:ascii="宋体" w:hAnsi="宋体" w:cs="宋体-PUA"/>
          <w:bCs/>
          <w:color w:val="000000" w:themeColor="text1"/>
          <w:sz w:val="24"/>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2.1.2房屋征收评估价格应当满足征收人的业务要求。</w:t>
      </w:r>
    </w:p>
    <w:p>
      <w:pPr>
        <w:pStyle w:val="8"/>
        <w:spacing w:after="0" w:line="400" w:lineRule="exact"/>
        <w:ind w:left="412" w:leftChars="196"/>
        <w:rPr>
          <w:rFonts w:ascii="宋体" w:hAnsi="宋体" w:cs="宋体-PUA"/>
          <w:bCs/>
          <w:color w:val="000000" w:themeColor="text1"/>
          <w:sz w:val="24"/>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2.1.3房屋征收评估价格应按有关政策的规定进行确定。</w:t>
      </w:r>
    </w:p>
    <w:p>
      <w:pPr>
        <w:pStyle w:val="8"/>
        <w:spacing w:after="0" w:line="400" w:lineRule="exact"/>
        <w:ind w:left="412" w:leftChars="196"/>
        <w:rPr>
          <w:rFonts w:hint="eastAsia" w:ascii="宋体" w:hAnsi="宋体" w:cs="宋体-PUA"/>
          <w:bCs/>
          <w:color w:val="000000" w:themeColor="text1"/>
          <w:sz w:val="24"/>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2.1.4中标人确定房屋征收评估价格要应用公开市场价值标准，公正、客观反映当前资产交易的市场价格。</w:t>
      </w:r>
    </w:p>
    <w:p>
      <w:pPr>
        <w:pStyle w:val="8"/>
        <w:spacing w:after="0" w:line="400" w:lineRule="exact"/>
        <w:ind w:left="412" w:leftChars="196"/>
        <w:rPr>
          <w:rFonts w:hint="eastAsia" w:ascii="宋体" w:hAnsi="宋体" w:cs="宋体-PUA"/>
          <w:bCs/>
          <w:color w:val="000000" w:themeColor="text1"/>
          <w:sz w:val="24"/>
          <w:highlight w:val="none"/>
          <w14:textFill>
            <w14:solidFill>
              <w14:schemeClr w14:val="tx1"/>
            </w14:solidFill>
          </w14:textFill>
        </w:rPr>
      </w:pPr>
    </w:p>
    <w:p>
      <w:pPr>
        <w:pStyle w:val="8"/>
        <w:numPr>
          <w:ilvl w:val="0"/>
          <w:numId w:val="5"/>
        </w:numPr>
        <w:spacing w:after="0" w:line="400" w:lineRule="exact"/>
        <w:ind w:left="0" w:leftChars="0" w:firstLine="472" w:firstLineChars="196"/>
        <w:rPr>
          <w:rFonts w:ascii="宋体" w:hAnsi="宋体" w:cs="宋体-PUA"/>
          <w:b/>
          <w:color w:val="000000" w:themeColor="text1"/>
          <w:sz w:val="24"/>
          <w:highlight w:val="none"/>
          <w14:textFill>
            <w14:solidFill>
              <w14:schemeClr w14:val="tx1"/>
            </w14:solidFill>
          </w14:textFill>
        </w:rPr>
      </w:pPr>
      <w:r>
        <w:rPr>
          <w:rFonts w:hint="eastAsia" w:ascii="宋体" w:hAnsi="宋体" w:cs="宋体-PUA"/>
          <w:b/>
          <w:color w:val="000000" w:themeColor="text1"/>
          <w:sz w:val="24"/>
          <w:highlight w:val="none"/>
          <w14:textFill>
            <w14:solidFill>
              <w14:schemeClr w14:val="tx1"/>
            </w14:solidFill>
          </w14:textFill>
        </w:rPr>
        <w:t>确定服务单位方法</w:t>
      </w:r>
    </w:p>
    <w:p>
      <w:pPr>
        <w:pStyle w:val="8"/>
        <w:spacing w:after="0" w:line="360" w:lineRule="auto"/>
        <w:ind w:left="212" w:leftChars="101" w:firstLine="626" w:firstLineChars="260"/>
        <w:rPr>
          <w:rFonts w:ascii="宋体" w:hAnsi="宋体" w:cs="宋体-PUA"/>
          <w:color w:val="000000" w:themeColor="text1"/>
          <w:sz w:val="24"/>
          <w:highlight w:val="none"/>
          <w14:textFill>
            <w14:solidFill>
              <w14:schemeClr w14:val="tx1"/>
            </w14:solidFill>
          </w14:textFill>
        </w:rPr>
      </w:pPr>
      <w:r>
        <w:rPr>
          <w:rFonts w:hint="eastAsia" w:ascii="宋体" w:hAnsi="宋体" w:cs="宋体-PUA"/>
          <w:b/>
          <w:color w:val="000000" w:themeColor="text1"/>
          <w:sz w:val="24"/>
          <w:highlight w:val="none"/>
          <w14:textFill>
            <w14:solidFill>
              <w14:schemeClr w14:val="tx1"/>
            </w14:solidFill>
          </w14:textFill>
        </w:rPr>
        <w:t>根据招标文件评分办法按综合得分（技术资信得分+商务分）由高到低，推荐</w:t>
      </w:r>
      <w:r>
        <w:rPr>
          <w:rFonts w:hint="eastAsia" w:ascii="宋体" w:hAnsi="宋体" w:cs="宋体-PUA"/>
          <w:b/>
          <w:color w:val="000000" w:themeColor="text1"/>
          <w:sz w:val="24"/>
          <w:highlight w:val="none"/>
          <w14:textFill>
            <w14:solidFill>
              <w14:schemeClr w14:val="tx1"/>
            </w14:solidFill>
          </w14:textFill>
        </w:rPr>
        <w:t>三名</w:t>
      </w:r>
      <w:r>
        <w:rPr>
          <w:rFonts w:hint="eastAsia" w:ascii="宋体" w:hAnsi="宋体" w:cs="宋体-PUA"/>
          <w:b/>
          <w:color w:val="000000" w:themeColor="text1"/>
          <w:sz w:val="24"/>
          <w:highlight w:val="none"/>
          <w14:textFill>
            <w14:solidFill>
              <w14:schemeClr w14:val="tx1"/>
            </w14:solidFill>
          </w14:textFill>
        </w:rPr>
        <w:t>第一中标候选人为</w:t>
      </w:r>
      <w:r>
        <w:rPr>
          <w:rFonts w:hint="eastAsia" w:ascii="宋体" w:hAnsi="宋体" w:cs="宋体-PUA"/>
          <w:b/>
          <w:color w:val="000000" w:themeColor="text1"/>
          <w:sz w:val="24"/>
          <w:highlight w:val="none"/>
          <w14:textFill>
            <w14:solidFill>
              <w14:schemeClr w14:val="tx1"/>
            </w14:solidFill>
          </w14:textFill>
        </w:rPr>
        <w:t>入围单位</w:t>
      </w:r>
      <w:r>
        <w:rPr>
          <w:rFonts w:hint="eastAsia" w:ascii="宋体" w:hAnsi="宋体" w:cs="宋体-PUA"/>
          <w:b/>
          <w:color w:val="000000" w:themeColor="text1"/>
          <w:sz w:val="24"/>
          <w:highlight w:val="none"/>
          <w14:textFill>
            <w14:solidFill>
              <w14:schemeClr w14:val="tx1"/>
            </w14:solidFill>
          </w14:textFill>
        </w:rPr>
        <w:t>，经公示无异议后，</w:t>
      </w:r>
      <w:r>
        <w:rPr>
          <w:rFonts w:hint="eastAsia" w:ascii="宋体" w:hAnsi="宋体" w:cs="宋体-PUA"/>
          <w:color w:val="000000" w:themeColor="text1"/>
          <w:sz w:val="24"/>
          <w:highlight w:val="none"/>
          <w14:textFill>
            <w14:solidFill>
              <w14:schemeClr w14:val="tx1"/>
            </w14:solidFill>
          </w14:textFill>
        </w:rPr>
        <w:t>在招投标监管部门、纪检监察部门、公证人员等的监督下，于衢州市柯城区双港街道办事处由业主代表随机抽取第一中标候选人中的</w:t>
      </w:r>
      <w:r>
        <w:rPr>
          <w:rFonts w:hint="eastAsia" w:ascii="宋体" w:hAnsi="宋体" w:cs="宋体-PUA"/>
          <w:b/>
          <w:bCs/>
          <w:color w:val="000000" w:themeColor="text1"/>
          <w:sz w:val="24"/>
          <w:highlight w:val="none"/>
          <w14:textFill>
            <w14:solidFill>
              <w14:schemeClr w14:val="tx1"/>
            </w14:solidFill>
          </w14:textFill>
        </w:rPr>
        <w:t>一家</w:t>
      </w:r>
      <w:r>
        <w:rPr>
          <w:rFonts w:hint="eastAsia" w:ascii="宋体" w:hAnsi="宋体" w:cs="宋体-PUA"/>
          <w:color w:val="000000" w:themeColor="text1"/>
          <w:sz w:val="24"/>
          <w:highlight w:val="none"/>
          <w14:textFill>
            <w14:solidFill>
              <w14:schemeClr w14:val="tx1"/>
            </w14:solidFill>
          </w14:textFill>
        </w:rPr>
        <w:t>为中标人，采购人将对中标人签发《中标通知书》。</w:t>
      </w:r>
    </w:p>
    <w:p>
      <w:pPr>
        <w:autoSpaceDE w:val="0"/>
        <w:autoSpaceDN w:val="0"/>
        <w:adjustRightInd w:val="0"/>
        <w:spacing w:line="288" w:lineRule="auto"/>
        <w:ind w:firstLine="241" w:firstLineChars="100"/>
        <w:jc w:val="left"/>
        <w:rPr>
          <w:rFonts w:ascii="宋体" w:hAnsi="宋体" w:cs="宋体-PUA"/>
          <w:b/>
          <w:color w:val="000000" w:themeColor="text1"/>
          <w:sz w:val="24"/>
          <w:highlight w:val="none"/>
          <w14:textFill>
            <w14:solidFill>
              <w14:schemeClr w14:val="tx1"/>
            </w14:solidFill>
          </w14:textFill>
        </w:rPr>
      </w:pPr>
      <w:r>
        <w:rPr>
          <w:rFonts w:hint="eastAsia" w:ascii="宋体" w:hAnsi="宋体" w:cs="宋体-PUA"/>
          <w:b/>
          <w:color w:val="000000" w:themeColor="text1"/>
          <w:sz w:val="24"/>
          <w:highlight w:val="none"/>
          <w14:textFill>
            <w14:solidFill>
              <w14:schemeClr w14:val="tx1"/>
            </w14:solidFill>
          </w14:textFill>
        </w:rPr>
        <w:t>六、评估报告：</w:t>
      </w:r>
    </w:p>
    <w:p>
      <w:pPr>
        <w:autoSpaceDE w:val="0"/>
        <w:autoSpaceDN w:val="0"/>
        <w:adjustRightInd w:val="0"/>
        <w:spacing w:line="288" w:lineRule="auto"/>
        <w:ind w:left="280" w:firstLine="555"/>
        <w:jc w:val="left"/>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每户被征收房屋均需出具评估报告（指每户提供一个报告）并协助招标人向每户解释所产生的费用（村民咨询、大型会务费、专家评审费、服务期内无偿提供服务费等）包含在报价内，评估报告标明房屋建筑面积，评估总价格、房屋补偿价格、安置房评估价格、装修、附属物补偿价格</w:t>
      </w:r>
      <w:r>
        <w:rPr>
          <w:rFonts w:hint="eastAsia" w:ascii="宋体" w:hAnsi="宋体" w:cs="宋体"/>
          <w:color w:val="000000" w:themeColor="text1"/>
          <w:sz w:val="24"/>
          <w:highlight w:val="none"/>
          <w14:textFill>
            <w14:solidFill>
              <w14:schemeClr w14:val="tx1"/>
            </w14:solidFill>
          </w14:textFill>
        </w:rPr>
        <w:t>及名贵苗木搬迁费</w:t>
      </w:r>
      <w:r>
        <w:rPr>
          <w:rFonts w:hint="eastAsia" w:ascii="宋体" w:hAnsi="宋体" w:cs="宋体-PUA"/>
          <w:color w:val="000000" w:themeColor="text1"/>
          <w:sz w:val="24"/>
          <w:highlight w:val="none"/>
          <w14:textFill>
            <w14:solidFill>
              <w14:schemeClr w14:val="tx1"/>
            </w14:solidFill>
          </w14:textFill>
        </w:rPr>
        <w:t>等，并附明细表。15日内，业主单位对其提交的评估报告有异议，中标方应于15日内完成委托评估资产的复估或重估报告书（不得追加索取估价费用）。</w:t>
      </w:r>
    </w:p>
    <w:p>
      <w:pPr>
        <w:autoSpaceDE w:val="0"/>
        <w:autoSpaceDN w:val="0"/>
        <w:adjustRightInd w:val="0"/>
        <w:spacing w:line="288" w:lineRule="auto"/>
        <w:ind w:left="280" w:firstLine="555"/>
        <w:jc w:val="left"/>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 xml:space="preserve">中标单位所提供的评估报告须加盖房地产评估资质专业章并经项目负责人签字，否则招标人对评估报告有权拒绝。 </w:t>
      </w:r>
    </w:p>
    <w:p>
      <w:pPr>
        <w:autoSpaceDE w:val="0"/>
        <w:autoSpaceDN w:val="0"/>
        <w:adjustRightInd w:val="0"/>
        <w:spacing w:line="288" w:lineRule="auto"/>
        <w:ind w:firstLine="354" w:firstLineChars="147"/>
        <w:jc w:val="left"/>
        <w:rPr>
          <w:rFonts w:ascii="宋体" w:hAnsi="宋体" w:cs="宋体-PUA"/>
          <w:b/>
          <w:color w:val="000000" w:themeColor="text1"/>
          <w:sz w:val="24"/>
          <w:highlight w:val="none"/>
          <w14:textFill>
            <w14:solidFill>
              <w14:schemeClr w14:val="tx1"/>
            </w14:solidFill>
          </w14:textFill>
        </w:rPr>
      </w:pPr>
      <w:r>
        <w:rPr>
          <w:rFonts w:hint="eastAsia" w:ascii="宋体" w:hAnsi="宋体" w:cs="宋体-PUA"/>
          <w:b/>
          <w:color w:val="000000" w:themeColor="text1"/>
          <w:sz w:val="24"/>
          <w:highlight w:val="none"/>
          <w14:textFill>
            <w14:solidFill>
              <w14:schemeClr w14:val="tx1"/>
            </w14:solidFill>
          </w14:textFill>
        </w:rPr>
        <w:t>七、评估质量事故处理：</w:t>
      </w:r>
    </w:p>
    <w:p>
      <w:pPr>
        <w:autoSpaceDE w:val="0"/>
        <w:autoSpaceDN w:val="0"/>
        <w:adjustRightInd w:val="0"/>
        <w:spacing w:line="288" w:lineRule="auto"/>
        <w:ind w:left="280" w:firstLine="555"/>
        <w:jc w:val="left"/>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评估报告交被征收人后，如因房屋面积丈量、计算错误、评估价值计算错误等原因而造成多支付被征收人征收补偿款，其多付部分按实际发生额由中标方赔偿业主单位（如少计，少计部分不赔偿）。</w:t>
      </w:r>
    </w:p>
    <w:p>
      <w:pPr>
        <w:autoSpaceDE w:val="0"/>
        <w:autoSpaceDN w:val="0"/>
        <w:adjustRightInd w:val="0"/>
        <w:spacing w:line="288" w:lineRule="auto"/>
        <w:ind w:firstLine="354" w:firstLineChars="147"/>
        <w:jc w:val="left"/>
        <w:rPr>
          <w:rFonts w:ascii="宋体" w:hAnsi="宋体" w:cs="宋体-PUA"/>
          <w:b/>
          <w:color w:val="000000" w:themeColor="text1"/>
          <w:sz w:val="24"/>
          <w:highlight w:val="none"/>
          <w14:textFill>
            <w14:solidFill>
              <w14:schemeClr w14:val="tx1"/>
            </w14:solidFill>
          </w14:textFill>
        </w:rPr>
      </w:pPr>
      <w:r>
        <w:rPr>
          <w:rFonts w:hint="eastAsia" w:ascii="宋体" w:hAnsi="宋体" w:cs="宋体-PUA"/>
          <w:b/>
          <w:color w:val="000000" w:themeColor="text1"/>
          <w:sz w:val="24"/>
          <w:highlight w:val="none"/>
          <w14:textFill>
            <w14:solidFill>
              <w14:schemeClr w14:val="tx1"/>
            </w14:solidFill>
          </w14:textFill>
        </w:rPr>
        <w:t>八、其他说明</w:t>
      </w:r>
    </w:p>
    <w:p>
      <w:pPr>
        <w:autoSpaceDE w:val="0"/>
        <w:autoSpaceDN w:val="0"/>
        <w:adjustRightInd w:val="0"/>
        <w:spacing w:line="288" w:lineRule="auto"/>
        <w:ind w:left="280" w:firstLine="555"/>
        <w:jc w:val="left"/>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1、投标人在合同履约期间有违反法律法规或合同规定的，采购人可终止合同。</w:t>
      </w:r>
    </w:p>
    <w:p>
      <w:pPr>
        <w:autoSpaceDE w:val="0"/>
        <w:autoSpaceDN w:val="0"/>
        <w:adjustRightInd w:val="0"/>
        <w:spacing w:line="288" w:lineRule="auto"/>
        <w:ind w:left="280" w:firstLine="555"/>
        <w:jc w:val="left"/>
        <w:rPr>
          <w:rFonts w:ascii="宋体" w:hAnsi="宋体" w:cs="宋体-PUA"/>
          <w:b/>
          <w:bCs/>
          <w:color w:val="000000" w:themeColor="text1"/>
          <w:sz w:val="24"/>
          <w:highlight w:val="none"/>
          <w14:textFill>
            <w14:solidFill>
              <w14:schemeClr w14:val="tx1"/>
            </w14:solidFill>
          </w14:textFill>
        </w:rPr>
      </w:pPr>
      <w:r>
        <w:rPr>
          <w:rFonts w:hint="eastAsia" w:ascii="宋体" w:hAnsi="宋体" w:cs="宋体-PUA"/>
          <w:b/>
          <w:bCs/>
          <w:color w:val="000000" w:themeColor="text1"/>
          <w:sz w:val="24"/>
          <w:highlight w:val="none"/>
          <w14:textFill>
            <w14:solidFill>
              <w14:schemeClr w14:val="tx1"/>
            </w14:solidFill>
          </w14:textFill>
        </w:rPr>
        <w:t>2、为了方便业务开展，中标人如在衢州市无分公司或办事处的，则需在收到中标通知书15天内在衢州市设立分公司或办事处，分公司或办事处需派评估人员常驻，负责与衢州市柯城区双港街道办事处对接。否则视为放弃中标。</w:t>
      </w:r>
    </w:p>
    <w:p>
      <w:pPr>
        <w:autoSpaceDE w:val="0"/>
        <w:autoSpaceDN w:val="0"/>
        <w:adjustRightInd w:val="0"/>
        <w:spacing w:line="288" w:lineRule="auto"/>
        <w:ind w:firstLine="241" w:firstLineChars="100"/>
        <w:jc w:val="left"/>
        <w:rPr>
          <w:rFonts w:ascii="宋体" w:hAnsi="宋体" w:cs="宋体-PUA"/>
          <w:b/>
          <w:bCs/>
          <w:color w:val="000000" w:themeColor="text1"/>
          <w:sz w:val="24"/>
          <w:highlight w:val="none"/>
          <w14:textFill>
            <w14:solidFill>
              <w14:schemeClr w14:val="tx1"/>
            </w14:solidFill>
          </w14:textFill>
        </w:rPr>
      </w:pPr>
    </w:p>
    <w:p>
      <w:pPr>
        <w:pStyle w:val="7"/>
        <w:rPr>
          <w:rFonts w:ascii="宋体" w:hAnsi="宋体" w:cs="宋体-PUA"/>
          <w:color w:val="000000" w:themeColor="text1"/>
          <w:sz w:val="24"/>
          <w:highlight w:val="none"/>
          <w14:textFill>
            <w14:solidFill>
              <w14:schemeClr w14:val="tx1"/>
            </w14:solidFill>
          </w14:textFill>
        </w:rPr>
      </w:pPr>
    </w:p>
    <w:p>
      <w:pPr>
        <w:pStyle w:val="8"/>
        <w:spacing w:after="0" w:line="400" w:lineRule="exact"/>
        <w:rPr>
          <w:rFonts w:ascii="宋体" w:hAnsi="宋体" w:cs="宋体-PUA"/>
          <w:bCs/>
          <w:color w:val="000000" w:themeColor="text1"/>
          <w:sz w:val="24"/>
          <w:highlight w:val="none"/>
          <w14:textFill>
            <w14:solidFill>
              <w14:schemeClr w14:val="tx1"/>
            </w14:solidFill>
          </w14:textFill>
        </w:rPr>
      </w:pPr>
    </w:p>
    <w:p>
      <w:pPr>
        <w:pStyle w:val="8"/>
        <w:spacing w:after="0" w:line="400" w:lineRule="exact"/>
        <w:rPr>
          <w:rFonts w:ascii="宋体" w:hAnsi="宋体" w:cs="宋体-PUA"/>
          <w:bCs/>
          <w:color w:val="000000" w:themeColor="text1"/>
          <w:sz w:val="24"/>
          <w:highlight w:val="none"/>
          <w14:textFill>
            <w14:solidFill>
              <w14:schemeClr w14:val="tx1"/>
            </w14:solidFill>
          </w14:textFill>
        </w:rPr>
      </w:pPr>
    </w:p>
    <w:p>
      <w:pPr>
        <w:pStyle w:val="8"/>
        <w:spacing w:after="0" w:line="400" w:lineRule="exact"/>
        <w:rPr>
          <w:rFonts w:ascii="宋体" w:hAnsi="宋体" w:cs="宋体-PUA"/>
          <w:bCs/>
          <w:color w:val="000000" w:themeColor="text1"/>
          <w:sz w:val="24"/>
          <w:highlight w:val="none"/>
          <w14:textFill>
            <w14:solidFill>
              <w14:schemeClr w14:val="tx1"/>
            </w14:solidFill>
          </w14:textFill>
        </w:rPr>
      </w:pPr>
    </w:p>
    <w:p>
      <w:pPr>
        <w:pStyle w:val="8"/>
        <w:spacing w:after="0" w:line="400" w:lineRule="exact"/>
        <w:rPr>
          <w:rFonts w:ascii="宋体" w:hAnsi="宋体" w:cs="宋体-PUA"/>
          <w:bCs/>
          <w:color w:val="000000" w:themeColor="text1"/>
          <w:sz w:val="24"/>
          <w:highlight w:val="none"/>
          <w14:textFill>
            <w14:solidFill>
              <w14:schemeClr w14:val="tx1"/>
            </w14:solidFill>
          </w14:textFill>
        </w:rPr>
      </w:pPr>
    </w:p>
    <w:p>
      <w:pPr>
        <w:pStyle w:val="8"/>
        <w:spacing w:after="0" w:line="400" w:lineRule="exact"/>
        <w:rPr>
          <w:rFonts w:ascii="宋体" w:hAnsi="宋体" w:cs="宋体-PUA"/>
          <w:bCs/>
          <w:color w:val="000000" w:themeColor="text1"/>
          <w:sz w:val="24"/>
          <w:highlight w:val="none"/>
          <w14:textFill>
            <w14:solidFill>
              <w14:schemeClr w14:val="tx1"/>
            </w14:solidFill>
          </w14:textFill>
        </w:rPr>
      </w:pPr>
    </w:p>
    <w:p>
      <w:pPr>
        <w:pStyle w:val="8"/>
        <w:spacing w:after="0" w:line="400" w:lineRule="exact"/>
        <w:rPr>
          <w:rFonts w:ascii="宋体" w:hAnsi="宋体" w:cs="宋体-PUA"/>
          <w:bCs/>
          <w:color w:val="000000" w:themeColor="text1"/>
          <w:sz w:val="24"/>
          <w:highlight w:val="none"/>
          <w14:textFill>
            <w14:solidFill>
              <w14:schemeClr w14:val="tx1"/>
            </w14:solidFill>
          </w14:textFill>
        </w:rPr>
      </w:pPr>
    </w:p>
    <w:p>
      <w:pPr>
        <w:pStyle w:val="8"/>
        <w:spacing w:after="0" w:line="400" w:lineRule="exact"/>
        <w:rPr>
          <w:rFonts w:ascii="宋体" w:hAnsi="宋体" w:cs="宋体-PUA"/>
          <w:bCs/>
          <w:color w:val="000000" w:themeColor="text1"/>
          <w:sz w:val="24"/>
          <w:highlight w:val="none"/>
          <w14:textFill>
            <w14:solidFill>
              <w14:schemeClr w14:val="tx1"/>
            </w14:solidFill>
          </w14:textFill>
        </w:rPr>
      </w:pPr>
    </w:p>
    <w:p>
      <w:pPr>
        <w:pStyle w:val="8"/>
        <w:spacing w:after="0" w:line="400" w:lineRule="exact"/>
        <w:ind w:left="0" w:leftChars="0"/>
        <w:rPr>
          <w:rFonts w:ascii="宋体" w:hAnsi="宋体" w:cs="宋体-PUA"/>
          <w:bCs/>
          <w:color w:val="000000" w:themeColor="text1"/>
          <w:sz w:val="24"/>
          <w:highlight w:val="none"/>
          <w14:textFill>
            <w14:solidFill>
              <w14:schemeClr w14:val="tx1"/>
            </w14:solidFill>
          </w14:textFill>
        </w:rPr>
      </w:pPr>
    </w:p>
    <w:p>
      <w:pPr>
        <w:pStyle w:val="8"/>
        <w:spacing w:after="0" w:line="400" w:lineRule="exact"/>
        <w:rPr>
          <w:rFonts w:ascii="宋体" w:hAnsi="宋体" w:cs="宋体-PUA"/>
          <w:bCs/>
          <w:color w:val="000000" w:themeColor="text1"/>
          <w:sz w:val="24"/>
          <w:highlight w:val="none"/>
          <w14:textFill>
            <w14:solidFill>
              <w14:schemeClr w14:val="tx1"/>
            </w14:solidFill>
          </w14:textFill>
        </w:rPr>
      </w:pPr>
    </w:p>
    <w:p>
      <w:pPr>
        <w:pStyle w:val="8"/>
        <w:spacing w:after="0" w:line="400" w:lineRule="exact"/>
        <w:rPr>
          <w:rFonts w:ascii="宋体" w:hAnsi="宋体" w:cs="宋体-PUA"/>
          <w:bCs/>
          <w:color w:val="000000" w:themeColor="text1"/>
          <w:sz w:val="24"/>
          <w:highlight w:val="none"/>
          <w14:textFill>
            <w14:solidFill>
              <w14:schemeClr w14:val="tx1"/>
            </w14:solidFill>
          </w14:textFill>
        </w:rPr>
      </w:pPr>
    </w:p>
    <w:p>
      <w:pPr>
        <w:pStyle w:val="8"/>
        <w:spacing w:after="0" w:line="400" w:lineRule="exact"/>
        <w:rPr>
          <w:rFonts w:ascii="宋体" w:hAnsi="宋体" w:cs="宋体-PUA"/>
          <w:bCs/>
          <w:color w:val="000000" w:themeColor="text1"/>
          <w:sz w:val="24"/>
          <w:highlight w:val="none"/>
          <w14:textFill>
            <w14:solidFill>
              <w14:schemeClr w14:val="tx1"/>
            </w14:solidFill>
          </w14:textFill>
        </w:rPr>
      </w:pPr>
    </w:p>
    <w:p>
      <w:pPr>
        <w:pStyle w:val="8"/>
        <w:spacing w:after="0" w:line="400" w:lineRule="exact"/>
        <w:rPr>
          <w:rFonts w:ascii="宋体" w:hAnsi="宋体" w:cs="宋体-PUA"/>
          <w:bCs/>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ascii="宋体" w:hAnsi="宋体" w:cs="黑体"/>
          <w:b/>
          <w:bCs/>
          <w:color w:val="000000" w:themeColor="text1"/>
          <w:sz w:val="32"/>
          <w:szCs w:val="32"/>
          <w:highlight w:val="none"/>
          <w14:textFill>
            <w14:solidFill>
              <w14:schemeClr w14:val="tx1"/>
            </w14:solidFill>
          </w14:textFill>
        </w:rPr>
      </w:pPr>
      <w:r>
        <w:rPr>
          <w:rFonts w:hint="eastAsia" w:ascii="宋体" w:hAnsi="宋体" w:cs="黑体"/>
          <w:b/>
          <w:bCs/>
          <w:color w:val="000000" w:themeColor="text1"/>
          <w:sz w:val="32"/>
          <w:szCs w:val="32"/>
          <w:highlight w:val="none"/>
          <w14:textFill>
            <w14:solidFill>
              <w14:schemeClr w14:val="tx1"/>
            </w14:solidFill>
          </w14:textFill>
        </w:rPr>
        <w:t>第四章  合同主要条款</w:t>
      </w:r>
    </w:p>
    <w:p>
      <w:pPr>
        <w:keepNext w:val="0"/>
        <w:keepLines w:val="0"/>
        <w:pageBreakBefore w:val="0"/>
        <w:widowControl w:val="0"/>
        <w:kinsoku/>
        <w:wordWrap/>
        <w:overflowPunct/>
        <w:topLinePunct w:val="0"/>
        <w:autoSpaceDE/>
        <w:autoSpaceDN/>
        <w:bidi w:val="0"/>
        <w:adjustRightInd/>
        <w:snapToGrid/>
        <w:spacing w:after="157" w:afterLines="50" w:line="440" w:lineRule="exact"/>
        <w:ind w:firstLine="482" w:firstLineChars="200"/>
        <w:jc w:val="center"/>
        <w:textAlignment w:val="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（具体以实际签订条款为准）</w:t>
      </w:r>
    </w:p>
    <w:p>
      <w:pPr>
        <w:spacing w:line="400" w:lineRule="exact"/>
        <w:ind w:firstLine="480" w:firstLineChars="200"/>
        <w:jc w:val="left"/>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根据征收改造有关程序规定，按照招投标相关程序甲方的</w:t>
      </w:r>
      <w:r>
        <w:rPr>
          <w:rFonts w:hint="eastAsia" w:ascii="宋体" w:hAnsi="宋体"/>
          <w:color w:val="000000" w:themeColor="text1"/>
          <w:sz w:val="24"/>
          <w:highlight w:val="none"/>
          <w:lang w:eastAsia="zh-CN"/>
          <w14:textFill>
            <w14:solidFill>
              <w14:schemeClr w14:val="tx1"/>
            </w14:solidFill>
          </w14:textFill>
        </w:rPr>
        <w:t>柯城区百家塘片区集体土地房屋征收评估服务采购项目</w:t>
      </w:r>
      <w:r>
        <w:rPr>
          <w:rFonts w:hint="eastAsia" w:ascii="宋体" w:hAnsi="宋体"/>
          <w:color w:val="000000" w:themeColor="text1"/>
          <w:sz w:val="24"/>
          <w:highlight w:val="none"/>
          <w14:textFill>
            <w14:solidFill>
              <w14:schemeClr w14:val="tx1"/>
            </w14:solidFill>
          </w14:textFill>
        </w:rPr>
        <w:t>项目由乙方实施。为明确双方在征收服务过程中的权利、义务和经济责任，经协商签订本协议。</w:t>
      </w:r>
    </w:p>
    <w:p>
      <w:pPr>
        <w:pStyle w:val="9"/>
        <w:snapToGrid w:val="0"/>
        <w:spacing w:line="400" w:lineRule="exact"/>
        <w:ind w:firstLine="480"/>
        <w:rPr>
          <w:rFonts w:hAnsi="宋体"/>
          <w:color w:val="000000" w:themeColor="text1"/>
          <w:sz w:val="24"/>
          <w:szCs w:val="24"/>
          <w:highlight w:val="none"/>
          <w:u w:val="single"/>
          <w14:textFill>
            <w14:solidFill>
              <w14:schemeClr w14:val="tx1"/>
            </w14:solidFill>
          </w14:textFill>
        </w:rPr>
      </w:pPr>
      <w:r>
        <w:rPr>
          <w:rFonts w:hAnsi="宋体"/>
          <w:color w:val="000000" w:themeColor="text1"/>
          <w:sz w:val="24"/>
          <w:szCs w:val="24"/>
          <w:highlight w:val="none"/>
          <w14:textFill>
            <w14:solidFill>
              <w14:schemeClr w14:val="tx1"/>
            </w14:solidFill>
          </w14:textFill>
        </w:rPr>
        <w:t>项目名称：</w:t>
      </w:r>
    </w:p>
    <w:p>
      <w:pPr>
        <w:pStyle w:val="9"/>
        <w:snapToGrid w:val="0"/>
        <w:spacing w:line="400" w:lineRule="exact"/>
        <w:ind w:firstLine="480" w:firstLineChars="200"/>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项目编号：</w:t>
      </w:r>
      <w:r>
        <w:rPr>
          <w:rFonts w:hint="eastAsia" w:hAnsi="宋体"/>
          <w:color w:val="000000" w:themeColor="text1"/>
          <w:sz w:val="24"/>
          <w:szCs w:val="24"/>
          <w:highlight w:val="none"/>
          <w14:textFill>
            <w14:solidFill>
              <w14:schemeClr w14:val="tx1"/>
            </w14:solidFill>
          </w14:textFill>
        </w:rPr>
        <w:t xml:space="preserve">                                    合同号：</w:t>
      </w:r>
    </w:p>
    <w:p>
      <w:pPr>
        <w:pStyle w:val="9"/>
        <w:snapToGrid w:val="0"/>
        <w:spacing w:line="400" w:lineRule="exact"/>
        <w:ind w:firstLine="480" w:firstLineChars="200"/>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甲方（买方）</w:t>
      </w:r>
      <w:r>
        <w:rPr>
          <w:rFonts w:hint="eastAsia" w:hAnsi="宋体"/>
          <w:color w:val="000000" w:themeColor="text1"/>
          <w:sz w:val="24"/>
          <w:szCs w:val="24"/>
          <w:highlight w:val="none"/>
          <w14:textFill>
            <w14:solidFill>
              <w14:schemeClr w14:val="tx1"/>
            </w14:solidFill>
          </w14:textFill>
        </w:rPr>
        <w:t>：</w:t>
      </w:r>
    </w:p>
    <w:p>
      <w:pPr>
        <w:pStyle w:val="9"/>
        <w:snapToGrid w:val="0"/>
        <w:spacing w:line="400" w:lineRule="exact"/>
        <w:ind w:firstLine="480" w:firstLineChars="200"/>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乙方（卖方）</w:t>
      </w:r>
      <w:r>
        <w:rPr>
          <w:rFonts w:hint="eastAsia" w:hAnsi="宋体"/>
          <w:color w:val="000000" w:themeColor="text1"/>
          <w:sz w:val="24"/>
          <w:szCs w:val="24"/>
          <w:highlight w:val="none"/>
          <w14:textFill>
            <w14:solidFill>
              <w14:schemeClr w14:val="tx1"/>
            </w14:solidFill>
          </w14:textFill>
        </w:rPr>
        <w:t>：</w:t>
      </w:r>
    </w:p>
    <w:p>
      <w:pPr>
        <w:pStyle w:val="9"/>
        <w:snapToGrid w:val="0"/>
        <w:spacing w:line="400" w:lineRule="exact"/>
        <w:ind w:left="239" w:leftChars="114" w:firstLine="240" w:firstLineChars="100"/>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甲、乙双方根据</w:t>
      </w:r>
      <w:r>
        <w:rPr>
          <w:rFonts w:hint="eastAsia" w:hAnsi="宋体"/>
          <w:color w:val="000000" w:themeColor="text1"/>
          <w:sz w:val="24"/>
          <w:szCs w:val="24"/>
          <w:highlight w:val="none"/>
          <w:u w:val="single"/>
          <w14:textFill>
            <w14:solidFill>
              <w14:schemeClr w14:val="tx1"/>
            </w14:solidFill>
          </w14:textFill>
        </w:rPr>
        <w:t>2021</w:t>
      </w:r>
      <w:r>
        <w:rPr>
          <w:rFonts w:hint="eastAsia" w:hAnsi="宋体"/>
          <w:color w:val="000000" w:themeColor="text1"/>
          <w:sz w:val="24"/>
          <w:szCs w:val="24"/>
          <w:highlight w:val="none"/>
          <w14:textFill>
            <w14:solidFill>
              <w14:schemeClr w14:val="tx1"/>
            </w14:solidFill>
          </w14:textFill>
        </w:rPr>
        <w:t>年月日关于</w:t>
      </w:r>
      <w:r>
        <w:rPr>
          <w:rFonts w:hint="eastAsia" w:hAnsi="宋体"/>
          <w:color w:val="000000" w:themeColor="text1"/>
          <w:sz w:val="24"/>
          <w:szCs w:val="24"/>
          <w:highlight w:val="none"/>
          <w:lang w:eastAsia="zh-CN"/>
          <w14:textFill>
            <w14:solidFill>
              <w14:schemeClr w14:val="tx1"/>
            </w14:solidFill>
          </w14:textFill>
        </w:rPr>
        <w:t>柯城区百家塘片区集体土地房屋征收评估服务采购项目</w:t>
      </w:r>
      <w:r>
        <w:rPr>
          <w:rFonts w:hint="eastAsia" w:hAnsi="宋体"/>
          <w:color w:val="000000" w:themeColor="text1"/>
          <w:sz w:val="24"/>
          <w:szCs w:val="24"/>
          <w:highlight w:val="none"/>
          <w14:textFill>
            <w14:solidFill>
              <w14:schemeClr w14:val="tx1"/>
            </w14:solidFill>
          </w14:textFill>
        </w:rPr>
        <w:t>项目</w:t>
      </w:r>
      <w:r>
        <w:rPr>
          <w:rFonts w:hAnsi="宋体"/>
          <w:color w:val="000000" w:themeColor="text1"/>
          <w:sz w:val="24"/>
          <w:szCs w:val="24"/>
          <w:highlight w:val="none"/>
          <w14:textFill>
            <w14:solidFill>
              <w14:schemeClr w14:val="tx1"/>
            </w14:solidFill>
          </w14:textFill>
        </w:rPr>
        <w:t>公开招标</w:t>
      </w:r>
      <w:r>
        <w:rPr>
          <w:rFonts w:hint="eastAsia" w:hAnsi="宋体"/>
          <w:color w:val="000000" w:themeColor="text1"/>
          <w:sz w:val="24"/>
          <w:szCs w:val="24"/>
          <w:highlight w:val="none"/>
          <w14:textFill>
            <w14:solidFill>
              <w14:schemeClr w14:val="tx1"/>
            </w14:solidFill>
          </w14:textFill>
        </w:rPr>
        <w:t>的</w:t>
      </w:r>
      <w:r>
        <w:rPr>
          <w:rFonts w:hAnsi="宋体"/>
          <w:color w:val="000000" w:themeColor="text1"/>
          <w:sz w:val="24"/>
          <w:szCs w:val="24"/>
          <w:highlight w:val="none"/>
          <w14:textFill>
            <w14:solidFill>
              <w14:schemeClr w14:val="tx1"/>
            </w14:solidFill>
          </w14:textFill>
        </w:rPr>
        <w:t>结果，签署本合同。</w:t>
      </w:r>
    </w:p>
    <w:p>
      <w:pPr>
        <w:pStyle w:val="9"/>
        <w:numPr>
          <w:ilvl w:val="0"/>
          <w:numId w:val="6"/>
        </w:numPr>
        <w:snapToGrid w:val="0"/>
        <w:spacing w:line="400" w:lineRule="exact"/>
        <w:ind w:firstLine="482" w:firstLineChars="200"/>
        <w:rPr>
          <w:rFonts w:hAnsi="宋体"/>
          <w:b/>
          <w:color w:val="000000" w:themeColor="text1"/>
          <w:sz w:val="24"/>
          <w:szCs w:val="24"/>
          <w:highlight w:val="none"/>
          <w14:textFill>
            <w14:solidFill>
              <w14:schemeClr w14:val="tx1"/>
            </w14:solidFill>
          </w14:textFill>
        </w:rPr>
      </w:pPr>
      <w:r>
        <w:rPr>
          <w:rFonts w:hAnsi="宋体"/>
          <w:b/>
          <w:color w:val="000000" w:themeColor="text1"/>
          <w:sz w:val="24"/>
          <w:szCs w:val="24"/>
          <w:highlight w:val="none"/>
          <w14:textFill>
            <w14:solidFill>
              <w14:schemeClr w14:val="tx1"/>
            </w14:solidFill>
          </w14:textFill>
        </w:rPr>
        <w:t>服务内容</w:t>
      </w:r>
    </w:p>
    <w:p>
      <w:pPr>
        <w:pStyle w:val="8"/>
        <w:spacing w:after="0" w:line="400" w:lineRule="exact"/>
        <w:ind w:left="0" w:leftChars="0" w:firstLine="480" w:firstLineChars="200"/>
        <w:rPr>
          <w:rFonts w:hAnsi="宋体"/>
          <w:bCs/>
          <w:color w:val="000000" w:themeColor="text1"/>
          <w:sz w:val="24"/>
          <w:highlight w:val="none"/>
          <w14:textFill>
            <w14:solidFill>
              <w14:schemeClr w14:val="tx1"/>
            </w14:solidFill>
          </w14:textFill>
        </w:rPr>
      </w:pPr>
      <w:r>
        <w:rPr>
          <w:rFonts w:hint="eastAsia" w:hAnsi="宋体"/>
          <w:bCs/>
          <w:color w:val="000000" w:themeColor="text1"/>
          <w:sz w:val="24"/>
          <w:highlight w:val="none"/>
          <w:lang w:eastAsia="zh-CN"/>
          <w14:textFill>
            <w14:solidFill>
              <w14:schemeClr w14:val="tx1"/>
            </w14:solidFill>
          </w14:textFill>
        </w:rPr>
        <w:t>柯城区百家塘片区集体土地房屋征收评估服务采购项目</w:t>
      </w:r>
      <w:r>
        <w:rPr>
          <w:rFonts w:hint="eastAsia" w:hAnsi="宋体"/>
          <w:bCs/>
          <w:color w:val="000000" w:themeColor="text1"/>
          <w:sz w:val="24"/>
          <w:highlight w:val="none"/>
          <w14:textFill>
            <w14:solidFill>
              <w14:schemeClr w14:val="tx1"/>
            </w14:solidFill>
          </w14:textFill>
        </w:rPr>
        <w:t>：</w:t>
      </w:r>
    </w:p>
    <w:p>
      <w:pPr>
        <w:pStyle w:val="8"/>
        <w:spacing w:after="0" w:line="40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1、现场查勘并统计各征收户房前屋后附属房及设施、室内外装修和其它附属于房屋不可移动设施的项目、种类和数量；</w:t>
      </w:r>
    </w:p>
    <w:p>
      <w:pPr>
        <w:pStyle w:val="8"/>
        <w:spacing w:after="0" w:line="40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2、评估确定各户被征收房屋装修、附属物的征收补偿金额、并出具评估报告。</w:t>
      </w:r>
    </w:p>
    <w:p>
      <w:pPr>
        <w:pStyle w:val="8"/>
        <w:spacing w:after="0" w:line="40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3、按照委托人的要求及有关政策的规定完成评估工作，并提供分户的初步评估结果；在公示期间应对分户的初步评估结果，进行现场说明解释；公示期满后，提供该项目被征收房屋整体评估报告、分户报告。</w:t>
      </w:r>
    </w:p>
    <w:p>
      <w:pPr>
        <w:pStyle w:val="8"/>
        <w:spacing w:after="0" w:line="40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4、对征收安置房进行价格评估并出具评估报告。</w:t>
      </w:r>
    </w:p>
    <w:p>
      <w:pPr>
        <w:pStyle w:val="8"/>
        <w:spacing w:after="0" w:line="40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5、对征收的家庭农场、集体用房等进行价格评估并出具评估报告。</w:t>
      </w:r>
    </w:p>
    <w:p>
      <w:pPr>
        <w:pStyle w:val="8"/>
        <w:spacing w:after="0" w:line="40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6、审核把关地面附着物拆除补偿费及名贵苗木搬迁费。（该项服务不另行计费）。</w:t>
      </w:r>
    </w:p>
    <w:p>
      <w:pPr>
        <w:pStyle w:val="8"/>
        <w:spacing w:after="0" w:line="400" w:lineRule="exact"/>
        <w:ind w:left="0" w:leftChars="0" w:firstLine="480" w:firstLineChars="200"/>
        <w:rPr>
          <w:rFonts w:hAnsi="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7、其他需要评估的内容。</w:t>
      </w:r>
    </w:p>
    <w:p>
      <w:pPr>
        <w:pStyle w:val="9"/>
        <w:snapToGrid w:val="0"/>
        <w:spacing w:line="400" w:lineRule="exact"/>
        <w:ind w:firstLine="482" w:firstLineChars="200"/>
        <w:rPr>
          <w:rFonts w:hAnsi="宋体"/>
          <w:b/>
          <w:color w:val="000000" w:themeColor="text1"/>
          <w:sz w:val="24"/>
          <w:szCs w:val="24"/>
          <w:highlight w:val="none"/>
          <w14:textFill>
            <w14:solidFill>
              <w14:schemeClr w14:val="tx1"/>
            </w14:solidFill>
          </w14:textFill>
        </w:rPr>
      </w:pPr>
      <w:r>
        <w:rPr>
          <w:rFonts w:hAnsi="宋体"/>
          <w:b/>
          <w:color w:val="000000" w:themeColor="text1"/>
          <w:sz w:val="24"/>
          <w:szCs w:val="24"/>
          <w:highlight w:val="none"/>
          <w14:textFill>
            <w14:solidFill>
              <w14:schemeClr w14:val="tx1"/>
            </w14:solidFill>
          </w14:textFill>
        </w:rPr>
        <w:t>二、合同金额</w:t>
      </w:r>
    </w:p>
    <w:p>
      <w:pPr>
        <w:spacing w:line="360" w:lineRule="auto"/>
        <w:ind w:firstLine="480" w:firstLineChars="200"/>
        <w:rPr>
          <w:rFonts w:ascii="宋体" w:hAnsi="宋体" w:cs="宋体-PUA"/>
          <w:b/>
          <w:bCs/>
          <w:color w:val="000000" w:themeColor="text1"/>
          <w:sz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本合同</w:t>
      </w:r>
      <w:r>
        <w:rPr>
          <w:rFonts w:hint="eastAsia" w:hAnsi="宋体"/>
          <w:color w:val="000000" w:themeColor="text1"/>
          <w:sz w:val="24"/>
          <w:szCs w:val="24"/>
          <w:highlight w:val="none"/>
          <w14:textFill>
            <w14:solidFill>
              <w14:schemeClr w14:val="tx1"/>
            </w14:solidFill>
          </w14:textFill>
        </w:rPr>
        <w:t>中标单价</w:t>
      </w:r>
      <w:r>
        <w:rPr>
          <w:rFonts w:hAnsi="宋体"/>
          <w:color w:val="000000" w:themeColor="text1"/>
          <w:sz w:val="24"/>
          <w:szCs w:val="24"/>
          <w:highlight w:val="none"/>
          <w14:textFill>
            <w14:solidFill>
              <w14:schemeClr w14:val="tx1"/>
            </w14:solidFill>
          </w14:textFill>
        </w:rPr>
        <w:t>为：</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u w:val="single"/>
          <w:lang w:val="en-US" w:eastAsia="zh-CN"/>
          <w14:textFill>
            <w14:solidFill>
              <w14:schemeClr w14:val="tx1"/>
            </w14:solidFill>
          </w14:textFill>
        </w:rPr>
        <w:t xml:space="preserve">    </w:t>
      </w:r>
      <w:r>
        <w:rPr>
          <w:rFonts w:hint="eastAsia" w:hAnsi="宋体"/>
          <w:color w:val="000000" w:themeColor="text1"/>
          <w:sz w:val="24"/>
          <w:szCs w:val="24"/>
          <w:highlight w:val="none"/>
          <w:u w:val="none"/>
          <w14:textFill>
            <w14:solidFill>
              <w14:schemeClr w14:val="tx1"/>
            </w14:solidFill>
          </w14:textFill>
        </w:rPr>
        <w:t>元/平方米</w:t>
      </w:r>
      <w:r>
        <w:rPr>
          <w:rFonts w:hint="eastAsia" w:hAnsi="宋体"/>
          <w:color w:val="000000" w:themeColor="text1"/>
          <w:sz w:val="24"/>
          <w:szCs w:val="24"/>
          <w:highlight w:val="none"/>
          <w14:textFill>
            <w14:solidFill>
              <w14:schemeClr w14:val="tx1"/>
            </w14:solidFill>
          </w14:textFill>
        </w:rPr>
        <w:t>，</w:t>
      </w:r>
      <w:r>
        <w:rPr>
          <w:rFonts w:hint="eastAsia" w:ascii="宋体" w:hAnsi="宋体" w:cs="宋体-PUA"/>
          <w:b/>
          <w:bCs/>
          <w:color w:val="000000" w:themeColor="text1"/>
          <w:sz w:val="24"/>
          <w:highlight w:val="none"/>
          <w14:textFill>
            <w14:solidFill>
              <w14:schemeClr w14:val="tx1"/>
            </w14:solidFill>
          </w14:textFill>
        </w:rPr>
        <w:t>最终服务费金额</w:t>
      </w:r>
      <w:r>
        <w:rPr>
          <w:rFonts w:hint="eastAsia" w:hAnsi="宋体"/>
          <w:b/>
          <w:bCs/>
          <w:color w:val="000000" w:themeColor="text1"/>
          <w:sz w:val="24"/>
          <w:szCs w:val="24"/>
          <w:highlight w:val="none"/>
          <w:lang w:eastAsia="zh-CN"/>
          <w14:textFill>
            <w14:solidFill>
              <w14:schemeClr w14:val="tx1"/>
            </w14:solidFill>
          </w14:textFill>
        </w:rPr>
        <w:t>以中标单价</w:t>
      </w:r>
      <w:r>
        <w:rPr>
          <w:rFonts w:hint="eastAsia" w:hAnsi="宋体"/>
          <w:b/>
          <w:bCs/>
          <w:color w:val="000000" w:themeColor="text1"/>
          <w:sz w:val="24"/>
          <w:szCs w:val="24"/>
          <w:highlight w:val="none"/>
          <w:lang w:val="en-US" w:eastAsia="zh-CN"/>
          <w14:textFill>
            <w14:solidFill>
              <w14:schemeClr w14:val="tx1"/>
            </w14:solidFill>
          </w14:textFill>
        </w:rPr>
        <w:t>×</w:t>
      </w:r>
      <w:r>
        <w:rPr>
          <w:rFonts w:hint="eastAsia" w:ascii="宋体" w:hAnsi="宋体" w:cs="宋体-PUA"/>
          <w:b/>
          <w:bCs/>
          <w:color w:val="000000" w:themeColor="text1"/>
          <w:sz w:val="24"/>
          <w:highlight w:val="none"/>
          <w:lang w:eastAsia="zh-CN"/>
          <w14:textFill>
            <w14:solidFill>
              <w14:schemeClr w14:val="tx1"/>
            </w14:solidFill>
          </w14:textFill>
        </w:rPr>
        <w:t>实际协议签订并经甲方审核确定的</w:t>
      </w:r>
      <w:r>
        <w:rPr>
          <w:rFonts w:hint="eastAsia" w:ascii="宋体" w:hAnsi="宋体" w:cs="宋体-PUA"/>
          <w:b/>
          <w:bCs/>
          <w:color w:val="000000" w:themeColor="text1"/>
          <w:sz w:val="24"/>
          <w:highlight w:val="none"/>
          <w14:textFill>
            <w14:solidFill>
              <w14:schemeClr w14:val="tx1"/>
            </w14:solidFill>
          </w14:textFill>
        </w:rPr>
        <w:t>面积为</w:t>
      </w:r>
      <w:r>
        <w:rPr>
          <w:rFonts w:hint="eastAsia" w:ascii="宋体" w:hAnsi="宋体" w:cs="宋体-PUA"/>
          <w:b/>
          <w:bCs/>
          <w:color w:val="000000" w:themeColor="text1"/>
          <w:sz w:val="24"/>
          <w:highlight w:val="none"/>
          <w:lang w:eastAsia="zh-CN"/>
          <w14:textFill>
            <w14:solidFill>
              <w14:schemeClr w14:val="tx1"/>
            </w14:solidFill>
          </w14:textFill>
        </w:rPr>
        <w:t>准</w:t>
      </w:r>
      <w:r>
        <w:rPr>
          <w:rFonts w:hint="eastAsia" w:ascii="宋体" w:hAnsi="宋体" w:cs="宋体-PUA"/>
          <w:b/>
          <w:bCs/>
          <w:color w:val="000000" w:themeColor="text1"/>
          <w:sz w:val="24"/>
          <w:highlight w:val="none"/>
          <w14:textFill>
            <w14:solidFill>
              <w14:schemeClr w14:val="tx1"/>
            </w14:solidFill>
          </w14:textFill>
        </w:rPr>
        <w:t>，</w:t>
      </w:r>
      <w:r>
        <w:rPr>
          <w:rFonts w:hint="eastAsia" w:ascii="宋体" w:hAnsi="宋体" w:cs="宋体-PUA"/>
          <w:b/>
          <w:bCs/>
          <w:color w:val="000000" w:themeColor="text1"/>
          <w:sz w:val="24"/>
          <w:highlight w:val="none"/>
          <w:lang w:eastAsia="zh-CN"/>
          <w14:textFill>
            <w14:solidFill>
              <w14:schemeClr w14:val="tx1"/>
            </w14:solidFill>
          </w14:textFill>
        </w:rPr>
        <w:t>安置房评估不另行计费</w:t>
      </w:r>
      <w:r>
        <w:rPr>
          <w:rFonts w:hint="eastAsia" w:ascii="宋体" w:hAnsi="宋体" w:cs="宋体-PUA"/>
          <w:b/>
          <w:bCs/>
          <w:color w:val="000000" w:themeColor="text1"/>
          <w:sz w:val="24"/>
          <w:highlight w:val="none"/>
          <w14:textFill>
            <w14:solidFill>
              <w14:schemeClr w14:val="tx1"/>
            </w14:solidFill>
          </w14:textFill>
        </w:rPr>
        <w:t>。</w:t>
      </w:r>
    </w:p>
    <w:p>
      <w:pPr>
        <w:pStyle w:val="9"/>
        <w:snapToGrid w:val="0"/>
        <w:spacing w:line="400" w:lineRule="exact"/>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项目负责人：</w:t>
      </w:r>
      <w:r>
        <w:rPr>
          <w:rFonts w:hAnsi="宋体"/>
          <w:color w:val="000000" w:themeColor="text1"/>
          <w:sz w:val="24"/>
          <w:szCs w:val="24"/>
          <w:highlight w:val="none"/>
          <w14:textFill>
            <w14:solidFill>
              <w14:schemeClr w14:val="tx1"/>
            </w14:solidFill>
          </w14:textFill>
        </w:rPr>
        <w:t>。</w:t>
      </w:r>
    </w:p>
    <w:p>
      <w:pPr>
        <w:pStyle w:val="9"/>
        <w:snapToGrid w:val="0"/>
        <w:spacing w:line="400" w:lineRule="exact"/>
        <w:ind w:firstLine="482" w:firstLineChars="200"/>
        <w:rPr>
          <w:rFonts w:hAnsi="宋体"/>
          <w:b/>
          <w:color w:val="000000" w:themeColor="text1"/>
          <w:sz w:val="24"/>
          <w:szCs w:val="24"/>
          <w:highlight w:val="none"/>
          <w14:textFill>
            <w14:solidFill>
              <w14:schemeClr w14:val="tx1"/>
            </w14:solidFill>
          </w14:textFill>
        </w:rPr>
      </w:pPr>
      <w:r>
        <w:rPr>
          <w:rFonts w:hAnsi="宋体"/>
          <w:b/>
          <w:color w:val="000000" w:themeColor="text1"/>
          <w:sz w:val="24"/>
          <w:szCs w:val="24"/>
          <w:highlight w:val="none"/>
          <w14:textFill>
            <w14:solidFill>
              <w14:schemeClr w14:val="tx1"/>
            </w14:solidFill>
          </w14:textFill>
        </w:rPr>
        <w:t>三、技术资料</w:t>
      </w:r>
    </w:p>
    <w:p>
      <w:pPr>
        <w:pStyle w:val="9"/>
        <w:snapToGrid w:val="0"/>
        <w:spacing w:line="400" w:lineRule="exact"/>
        <w:ind w:firstLine="480" w:firstLineChars="200"/>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1</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乙方应按招标文件规定的时间向甲方提供有关技术资料。</w:t>
      </w:r>
    </w:p>
    <w:p>
      <w:pPr>
        <w:pStyle w:val="9"/>
        <w:snapToGrid w:val="0"/>
        <w:spacing w:line="400" w:lineRule="exact"/>
        <w:ind w:firstLine="480" w:firstLineChars="200"/>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2</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9"/>
        <w:snapToGrid w:val="0"/>
        <w:spacing w:line="400" w:lineRule="exact"/>
        <w:ind w:firstLine="482" w:firstLineChars="200"/>
        <w:rPr>
          <w:rFonts w:hAnsi="宋体"/>
          <w:b/>
          <w:color w:val="000000" w:themeColor="text1"/>
          <w:sz w:val="24"/>
          <w:szCs w:val="24"/>
          <w:highlight w:val="none"/>
          <w14:textFill>
            <w14:solidFill>
              <w14:schemeClr w14:val="tx1"/>
            </w14:solidFill>
          </w14:textFill>
        </w:rPr>
      </w:pPr>
      <w:r>
        <w:rPr>
          <w:rFonts w:hAnsi="宋体"/>
          <w:b/>
          <w:color w:val="000000" w:themeColor="text1"/>
          <w:sz w:val="24"/>
          <w:szCs w:val="24"/>
          <w:highlight w:val="none"/>
          <w14:textFill>
            <w14:solidFill>
              <w14:schemeClr w14:val="tx1"/>
            </w14:solidFill>
          </w14:textFill>
        </w:rPr>
        <w:t>四、知识产权</w:t>
      </w:r>
    </w:p>
    <w:p>
      <w:pPr>
        <w:pStyle w:val="9"/>
        <w:snapToGrid w:val="0"/>
        <w:spacing w:line="400" w:lineRule="exact"/>
        <w:ind w:firstLine="480" w:firstLineChars="200"/>
        <w:rPr>
          <w:rFonts w:hAnsi="宋体"/>
          <w:b/>
          <w:bCs/>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乙方应保证提供服务过程中不会侵犯任何第三方的</w:t>
      </w:r>
      <w:r>
        <w:rPr>
          <w:rFonts w:hAnsi="宋体"/>
          <w:b/>
          <w:color w:val="000000" w:themeColor="text1"/>
          <w:sz w:val="24"/>
          <w:szCs w:val="24"/>
          <w:highlight w:val="none"/>
          <w14:textFill>
            <w14:solidFill>
              <w14:schemeClr w14:val="tx1"/>
            </w14:solidFill>
          </w14:textFill>
        </w:rPr>
        <w:t>知识产权</w:t>
      </w:r>
      <w:r>
        <w:rPr>
          <w:rFonts w:hAnsi="宋体"/>
          <w:b/>
          <w:bCs/>
          <w:color w:val="000000" w:themeColor="text1"/>
          <w:sz w:val="24"/>
          <w:szCs w:val="24"/>
          <w:highlight w:val="none"/>
          <w14:textFill>
            <w14:solidFill>
              <w14:schemeClr w14:val="tx1"/>
            </w14:solidFill>
          </w14:textFill>
        </w:rPr>
        <w:t>。</w:t>
      </w:r>
    </w:p>
    <w:p>
      <w:pPr>
        <w:pStyle w:val="9"/>
        <w:snapToGrid w:val="0"/>
        <w:spacing w:line="400" w:lineRule="exact"/>
        <w:ind w:firstLine="482" w:firstLineChars="200"/>
        <w:rPr>
          <w:rFonts w:hint="eastAsia" w:hAnsi="宋体"/>
          <w:b/>
          <w:color w:val="000000" w:themeColor="text1"/>
          <w:sz w:val="24"/>
          <w:szCs w:val="24"/>
          <w:highlight w:val="none"/>
          <w14:textFill>
            <w14:solidFill>
              <w14:schemeClr w14:val="tx1"/>
            </w14:solidFill>
          </w14:textFill>
        </w:rPr>
      </w:pPr>
    </w:p>
    <w:p>
      <w:pPr>
        <w:pStyle w:val="9"/>
        <w:snapToGrid w:val="0"/>
        <w:spacing w:line="400" w:lineRule="exact"/>
        <w:ind w:firstLine="482" w:firstLineChars="200"/>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五</w:t>
      </w:r>
      <w:r>
        <w:rPr>
          <w:rFonts w:hAnsi="宋体"/>
          <w:b/>
          <w:color w:val="000000" w:themeColor="text1"/>
          <w:sz w:val="24"/>
          <w:szCs w:val="24"/>
          <w:highlight w:val="none"/>
          <w14:textFill>
            <w14:solidFill>
              <w14:schemeClr w14:val="tx1"/>
            </w14:solidFill>
          </w14:textFill>
        </w:rPr>
        <w:t>、履约保证金</w:t>
      </w:r>
    </w:p>
    <w:p>
      <w:pPr>
        <w:snapToGrid w:val="0"/>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中标人在合同签订前向采购人交纳中标价10%的履约保证金，合同结束交接顺利完成后十五天内，甲方退还乙方履约保证金（无息）。</w:t>
      </w:r>
    </w:p>
    <w:p>
      <w:pPr>
        <w:snapToGrid w:val="0"/>
        <w:spacing w:line="40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六、转包或分包</w:t>
      </w:r>
    </w:p>
    <w:p>
      <w:pPr>
        <w:snapToGrid w:val="0"/>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.本合同范围的服务，应由</w:t>
      </w:r>
      <w:r>
        <w:rPr>
          <w:rFonts w:hAnsi="宋体"/>
          <w:color w:val="000000" w:themeColor="text1"/>
          <w:sz w:val="24"/>
          <w:highlight w:val="none"/>
          <w14:textFill>
            <w14:solidFill>
              <w14:schemeClr w14:val="tx1"/>
            </w14:solidFill>
          </w14:textFill>
        </w:rPr>
        <w:t>乙</w:t>
      </w:r>
      <w:r>
        <w:rPr>
          <w:rFonts w:hint="eastAsia" w:ascii="宋体" w:hAnsi="宋体"/>
          <w:color w:val="000000" w:themeColor="text1"/>
          <w:sz w:val="24"/>
          <w:highlight w:val="none"/>
          <w14:textFill>
            <w14:solidFill>
              <w14:schemeClr w14:val="tx1"/>
            </w14:solidFill>
          </w14:textFill>
        </w:rPr>
        <w:t>方直接承包工作，不得转让他人承包工作；</w:t>
      </w:r>
    </w:p>
    <w:p>
      <w:pPr>
        <w:snapToGrid w:val="0"/>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.除非得到甲方的书面同意，</w:t>
      </w:r>
      <w:r>
        <w:rPr>
          <w:rFonts w:hAnsi="宋体"/>
          <w:color w:val="000000" w:themeColor="text1"/>
          <w:sz w:val="24"/>
          <w:highlight w:val="none"/>
          <w14:textFill>
            <w14:solidFill>
              <w14:schemeClr w14:val="tx1"/>
            </w14:solidFill>
          </w14:textFill>
        </w:rPr>
        <w:t>乙</w:t>
      </w:r>
      <w:r>
        <w:rPr>
          <w:rFonts w:hint="eastAsia" w:ascii="宋体" w:hAnsi="宋体"/>
          <w:color w:val="000000" w:themeColor="text1"/>
          <w:sz w:val="24"/>
          <w:highlight w:val="none"/>
          <w14:textFill>
            <w14:solidFill>
              <w14:schemeClr w14:val="tx1"/>
            </w14:solidFill>
          </w14:textFill>
        </w:rPr>
        <w:t>方不得将本合同范围的服务全部或部分分包给他人；</w:t>
      </w:r>
    </w:p>
    <w:p>
      <w:pPr>
        <w:snapToGrid w:val="0"/>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.如有转让和未经甲方同意的分包行为，甲方有权解除合同，没收履约保证金并追究乙方的违约责任。</w:t>
      </w:r>
    </w:p>
    <w:p>
      <w:pPr>
        <w:pStyle w:val="9"/>
        <w:snapToGrid w:val="0"/>
        <w:spacing w:line="400" w:lineRule="exact"/>
        <w:ind w:firstLine="482" w:firstLineChars="200"/>
        <w:rPr>
          <w:rFonts w:hAnsi="宋体"/>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七</w:t>
      </w:r>
      <w:r>
        <w:rPr>
          <w:rFonts w:hAnsi="宋体"/>
          <w:b/>
          <w:color w:val="000000" w:themeColor="text1"/>
          <w:sz w:val="24"/>
          <w:szCs w:val="24"/>
          <w:highlight w:val="none"/>
          <w14:textFill>
            <w14:solidFill>
              <w14:schemeClr w14:val="tx1"/>
            </w14:solidFill>
          </w14:textFill>
        </w:rPr>
        <w:t>、服务期</w:t>
      </w:r>
    </w:p>
    <w:p>
      <w:pPr>
        <w:pStyle w:val="9"/>
        <w:snapToGrid w:val="0"/>
        <w:spacing w:line="400" w:lineRule="exact"/>
        <w:ind w:firstLine="480" w:firstLineChars="200"/>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1</w:t>
      </w:r>
      <w:r>
        <w:rPr>
          <w:rFonts w:hint="eastAsia" w:hAnsi="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u w:val="single"/>
          <w14:textFill>
            <w14:solidFill>
              <w14:schemeClr w14:val="tx1"/>
            </w14:solidFill>
          </w14:textFill>
        </w:rPr>
        <w:t>2021</w:t>
      </w:r>
      <w:r>
        <w:rPr>
          <w:rFonts w:hint="eastAsia" w:hAnsi="宋体"/>
          <w:color w:val="000000" w:themeColor="text1"/>
          <w:sz w:val="24"/>
          <w:szCs w:val="24"/>
          <w:highlight w:val="none"/>
          <w14:textFill>
            <w14:solidFill>
              <w14:schemeClr w14:val="tx1"/>
            </w14:solidFill>
          </w14:textFill>
        </w:rPr>
        <w:t>年</w:t>
      </w:r>
      <w:r>
        <w:rPr>
          <w:rFonts w:hint="eastAsia" w:hAnsi="宋体"/>
          <w:color w:val="000000" w:themeColor="text1"/>
          <w:sz w:val="24"/>
          <w:szCs w:val="24"/>
          <w:highlight w:val="none"/>
          <w:u w:val="single"/>
          <w:lang w:val="en-US" w:eastAsia="zh-CN"/>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月</w:t>
      </w:r>
      <w:r>
        <w:rPr>
          <w:rFonts w:hint="eastAsia" w:hAnsi="宋体"/>
          <w:color w:val="000000" w:themeColor="text1"/>
          <w:sz w:val="24"/>
          <w:szCs w:val="24"/>
          <w:highlight w:val="none"/>
          <w:u w:val="single"/>
          <w:lang w:val="en-US" w:eastAsia="zh-CN"/>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日起至</w:t>
      </w:r>
      <w:r>
        <w:rPr>
          <w:rFonts w:hint="eastAsia" w:hAnsi="宋体"/>
          <w:color w:val="000000" w:themeColor="text1"/>
          <w:sz w:val="24"/>
          <w:szCs w:val="24"/>
          <w:highlight w:val="none"/>
          <w:u w:val="single"/>
          <w14:textFill>
            <w14:solidFill>
              <w14:schemeClr w14:val="tx1"/>
            </w14:solidFill>
          </w14:textFill>
        </w:rPr>
        <w:t>202</w:t>
      </w:r>
      <w:r>
        <w:rPr>
          <w:rFonts w:hint="eastAsia" w:hAnsi="宋体"/>
          <w:color w:val="000000" w:themeColor="text1"/>
          <w:sz w:val="24"/>
          <w:szCs w:val="24"/>
          <w:highlight w:val="none"/>
          <w:u w:val="single"/>
          <w:lang w:val="en-US" w:eastAsia="zh-CN"/>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年</w:t>
      </w:r>
      <w:r>
        <w:rPr>
          <w:rFonts w:hint="eastAsia" w:hAnsi="宋体"/>
          <w:color w:val="000000" w:themeColor="text1"/>
          <w:sz w:val="24"/>
          <w:szCs w:val="24"/>
          <w:highlight w:val="none"/>
          <w:u w:val="single"/>
          <w:lang w:val="en-US" w:eastAsia="zh-CN"/>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月</w:t>
      </w:r>
      <w:r>
        <w:rPr>
          <w:rFonts w:hint="eastAsia" w:hAnsi="宋体"/>
          <w:color w:val="000000" w:themeColor="text1"/>
          <w:sz w:val="24"/>
          <w:szCs w:val="24"/>
          <w:highlight w:val="none"/>
          <w:u w:val="single"/>
          <w:lang w:val="en-US" w:eastAsia="zh-CN"/>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日止，（暂定</w:t>
      </w:r>
      <w:r>
        <w:rPr>
          <w:rFonts w:hint="eastAsia" w:hAnsi="宋体"/>
          <w:color w:val="000000" w:themeColor="text1"/>
          <w:sz w:val="24"/>
          <w:szCs w:val="24"/>
          <w:highlight w:val="none"/>
          <w:u w:val="single"/>
          <w:lang w:val="en-US" w:eastAsia="zh-CN"/>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个月）。</w:t>
      </w:r>
    </w:p>
    <w:p>
      <w:pPr>
        <w:pStyle w:val="9"/>
        <w:snapToGrid w:val="0"/>
        <w:spacing w:line="400" w:lineRule="exact"/>
        <w:ind w:firstLine="482" w:firstLineChars="200"/>
        <w:rPr>
          <w:rFonts w:hAnsi="宋体"/>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八</w:t>
      </w:r>
      <w:r>
        <w:rPr>
          <w:rFonts w:hAnsi="宋体"/>
          <w:b/>
          <w:bCs/>
          <w:color w:val="000000" w:themeColor="text1"/>
          <w:sz w:val="24"/>
          <w:szCs w:val="24"/>
          <w:highlight w:val="none"/>
          <w14:textFill>
            <w14:solidFill>
              <w14:schemeClr w14:val="tx1"/>
            </w14:solidFill>
          </w14:textFill>
        </w:rPr>
        <w:t>、款项支付</w:t>
      </w:r>
      <w:r>
        <w:rPr>
          <w:rFonts w:hint="eastAsia" w:hAnsi="宋体"/>
          <w:b/>
          <w:bCs/>
          <w:color w:val="000000" w:themeColor="text1"/>
          <w:sz w:val="24"/>
          <w:szCs w:val="24"/>
          <w:highlight w:val="none"/>
          <w14:textFill>
            <w14:solidFill>
              <w14:schemeClr w14:val="tx1"/>
            </w14:solidFill>
          </w14:textFill>
        </w:rPr>
        <w:t>：</w:t>
      </w:r>
    </w:p>
    <w:p>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1.签订合同开具发票后预付合同价30%的服务费。</w:t>
      </w:r>
    </w:p>
    <w:p>
      <w:pPr>
        <w:spacing w:line="440" w:lineRule="exact"/>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2.出具100%分户评估报告，</w:t>
      </w:r>
      <w:r>
        <w:rPr>
          <w:rFonts w:hint="eastAsia" w:ascii="宋体" w:hAnsi="宋体"/>
          <w:bCs/>
          <w:color w:val="000000" w:themeColor="text1"/>
          <w:sz w:val="24"/>
          <w:highlight w:val="none"/>
          <w14:textFill>
            <w14:solidFill>
              <w14:schemeClr w14:val="tx1"/>
            </w14:solidFill>
          </w14:textFill>
        </w:rPr>
        <w:t>支付至合同价40%</w:t>
      </w:r>
      <w:r>
        <w:rPr>
          <w:rFonts w:hint="eastAsia" w:ascii="宋体" w:hAnsi="宋体" w:cs="宋体"/>
          <w:color w:val="000000" w:themeColor="text1"/>
          <w:sz w:val="24"/>
          <w:highlight w:val="none"/>
          <w14:textFill>
            <w14:solidFill>
              <w14:schemeClr w14:val="tx1"/>
            </w14:solidFill>
          </w14:textFill>
        </w:rPr>
        <w:t>的服务费</w:t>
      </w:r>
      <w:r>
        <w:rPr>
          <w:rFonts w:hint="eastAsia" w:ascii="宋体" w:hAnsi="宋体"/>
          <w:bCs/>
          <w:color w:val="000000" w:themeColor="text1"/>
          <w:sz w:val="24"/>
          <w:highlight w:val="none"/>
          <w14:textFill>
            <w14:solidFill>
              <w14:schemeClr w14:val="tx1"/>
            </w14:solidFill>
          </w14:textFill>
        </w:rPr>
        <w:t>。</w:t>
      </w:r>
    </w:p>
    <w:p>
      <w:pPr>
        <w:spacing w:line="440" w:lineRule="exact"/>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2.出具100%的</w:t>
      </w:r>
      <w:r>
        <w:rPr>
          <w:rFonts w:hint="eastAsia" w:ascii="宋体" w:hAnsi="宋体" w:cs="宋体"/>
          <w:color w:val="000000" w:themeColor="text1"/>
          <w:sz w:val="24"/>
          <w:highlight w:val="none"/>
          <w14:textFill>
            <w14:solidFill>
              <w14:schemeClr w14:val="tx1"/>
            </w14:solidFill>
          </w14:textFill>
        </w:rPr>
        <w:t>初步评估结果并进行公示</w:t>
      </w:r>
      <w:r>
        <w:rPr>
          <w:rFonts w:hint="eastAsia" w:ascii="宋体" w:hAnsi="宋体"/>
          <w:bCs/>
          <w:color w:val="000000" w:themeColor="text1"/>
          <w:sz w:val="24"/>
          <w:highlight w:val="none"/>
          <w14:textFill>
            <w14:solidFill>
              <w14:schemeClr w14:val="tx1"/>
            </w14:solidFill>
          </w14:textFill>
        </w:rPr>
        <w:t>，支付至</w:t>
      </w:r>
      <w:r>
        <w:rPr>
          <w:rFonts w:hint="eastAsia" w:ascii="宋体" w:hAnsi="宋体" w:cs="宋体"/>
          <w:color w:val="000000" w:themeColor="text1"/>
          <w:sz w:val="24"/>
          <w:highlight w:val="none"/>
          <w14:textFill>
            <w14:solidFill>
              <w14:schemeClr w14:val="tx1"/>
            </w14:solidFill>
          </w14:textFill>
        </w:rPr>
        <w:t>合同价</w:t>
      </w:r>
      <w:r>
        <w:rPr>
          <w:rFonts w:hint="eastAsia" w:ascii="宋体" w:hAnsi="宋体"/>
          <w:bCs/>
          <w:color w:val="000000" w:themeColor="text1"/>
          <w:sz w:val="24"/>
          <w:highlight w:val="none"/>
          <w14:textFill>
            <w14:solidFill>
              <w14:schemeClr w14:val="tx1"/>
            </w14:solidFill>
          </w14:textFill>
        </w:rPr>
        <w:t>50%</w:t>
      </w:r>
      <w:r>
        <w:rPr>
          <w:rFonts w:hint="eastAsia" w:ascii="宋体" w:hAnsi="宋体" w:cs="宋体"/>
          <w:color w:val="000000" w:themeColor="text1"/>
          <w:sz w:val="24"/>
          <w:highlight w:val="none"/>
          <w14:textFill>
            <w14:solidFill>
              <w14:schemeClr w14:val="tx1"/>
            </w14:solidFill>
          </w14:textFill>
        </w:rPr>
        <w:t>的服务费</w:t>
      </w:r>
      <w:r>
        <w:rPr>
          <w:rFonts w:hint="eastAsia" w:ascii="宋体" w:hAnsi="宋体"/>
          <w:bCs/>
          <w:color w:val="000000" w:themeColor="text1"/>
          <w:sz w:val="24"/>
          <w:highlight w:val="none"/>
          <w14:textFill>
            <w14:solidFill>
              <w14:schemeClr w14:val="tx1"/>
            </w14:solidFill>
          </w14:textFill>
        </w:rPr>
        <w:t>。</w:t>
      </w:r>
    </w:p>
    <w:p>
      <w:pPr>
        <w:spacing w:line="440" w:lineRule="exact"/>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3.出具最终评估报告进度达到95%以上，支付至</w:t>
      </w:r>
      <w:r>
        <w:rPr>
          <w:rFonts w:hint="eastAsia" w:ascii="宋体" w:hAnsi="宋体" w:cs="宋体"/>
          <w:color w:val="000000" w:themeColor="text1"/>
          <w:sz w:val="24"/>
          <w:highlight w:val="none"/>
          <w14:textFill>
            <w14:solidFill>
              <w14:schemeClr w14:val="tx1"/>
            </w14:solidFill>
          </w14:textFill>
        </w:rPr>
        <w:t>合同价</w:t>
      </w:r>
      <w:r>
        <w:rPr>
          <w:rFonts w:hint="eastAsia" w:ascii="宋体" w:hAnsi="宋体"/>
          <w:bCs/>
          <w:color w:val="000000" w:themeColor="text1"/>
          <w:sz w:val="24"/>
          <w:highlight w:val="none"/>
          <w14:textFill>
            <w14:solidFill>
              <w14:schemeClr w14:val="tx1"/>
            </w14:solidFill>
          </w14:textFill>
        </w:rPr>
        <w:t>80%</w:t>
      </w:r>
      <w:r>
        <w:rPr>
          <w:rFonts w:hint="eastAsia" w:ascii="宋体" w:hAnsi="宋体" w:cs="宋体"/>
          <w:color w:val="000000" w:themeColor="text1"/>
          <w:sz w:val="24"/>
          <w:highlight w:val="none"/>
          <w14:textFill>
            <w14:solidFill>
              <w14:schemeClr w14:val="tx1"/>
            </w14:solidFill>
          </w14:textFill>
        </w:rPr>
        <w:t>的服务费</w:t>
      </w:r>
      <w:r>
        <w:rPr>
          <w:rFonts w:hint="eastAsia" w:ascii="宋体" w:hAnsi="宋体"/>
          <w:bCs/>
          <w:color w:val="000000" w:themeColor="text1"/>
          <w:sz w:val="24"/>
          <w:highlight w:val="none"/>
          <w14:textFill>
            <w14:solidFill>
              <w14:schemeClr w14:val="tx1"/>
            </w14:solidFill>
          </w14:textFill>
        </w:rPr>
        <w:t>。</w:t>
      </w:r>
    </w:p>
    <w:p>
      <w:pPr>
        <w:pStyle w:val="8"/>
        <w:spacing w:after="0" w:line="40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4.余款支付。整个项目全面完成，包括完成</w:t>
      </w:r>
      <w:r>
        <w:rPr>
          <w:rFonts w:hint="eastAsia" w:ascii="宋体" w:hAnsi="宋体" w:cs="宋体"/>
          <w:color w:val="000000" w:themeColor="text1"/>
          <w:sz w:val="24"/>
          <w:highlight w:val="none"/>
          <w14:textFill>
            <w14:solidFill>
              <w14:schemeClr w14:val="tx1"/>
            </w14:solidFill>
          </w14:textFill>
        </w:rPr>
        <w:t>被征收房屋装修、附属物、经济苗木的征收补偿金额的评估、出具房屋整体评估报告、分户报告、征收安置房、家庭农场、集体用房评估报告等一切评估有关服务内容并经甲方审核无误。</w:t>
      </w:r>
    </w:p>
    <w:p>
      <w:pPr>
        <w:pStyle w:val="9"/>
        <w:snapToGrid w:val="0"/>
        <w:spacing w:line="400" w:lineRule="exact"/>
        <w:ind w:firstLine="482" w:firstLineChars="200"/>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九、税费</w:t>
      </w:r>
    </w:p>
    <w:p>
      <w:pPr>
        <w:snapToGrid w:val="0"/>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本合同执行中相关的一切税费均由</w:t>
      </w:r>
      <w:r>
        <w:rPr>
          <w:rFonts w:hAnsi="宋体"/>
          <w:color w:val="000000" w:themeColor="text1"/>
          <w:sz w:val="24"/>
          <w:highlight w:val="none"/>
          <w14:textFill>
            <w14:solidFill>
              <w14:schemeClr w14:val="tx1"/>
            </w14:solidFill>
          </w14:textFill>
        </w:rPr>
        <w:t>乙</w:t>
      </w:r>
      <w:r>
        <w:rPr>
          <w:rFonts w:hint="eastAsia" w:ascii="宋体" w:hAnsi="宋体"/>
          <w:color w:val="000000" w:themeColor="text1"/>
          <w:sz w:val="24"/>
          <w:highlight w:val="none"/>
          <w14:textFill>
            <w14:solidFill>
              <w14:schemeClr w14:val="tx1"/>
            </w14:solidFill>
          </w14:textFill>
        </w:rPr>
        <w:t>方负担。</w:t>
      </w:r>
    </w:p>
    <w:p>
      <w:pPr>
        <w:pStyle w:val="9"/>
        <w:snapToGrid w:val="0"/>
        <w:spacing w:line="400" w:lineRule="exact"/>
        <w:ind w:firstLine="482" w:firstLineChars="200"/>
        <w:rPr>
          <w:rFonts w:hAnsi="宋体"/>
          <w:color w:val="000000" w:themeColor="text1"/>
          <w:sz w:val="24"/>
          <w:szCs w:val="24"/>
          <w:highlight w:val="none"/>
          <w14:textFill>
            <w14:solidFill>
              <w14:schemeClr w14:val="tx1"/>
            </w14:solidFill>
          </w14:textFill>
        </w:rPr>
      </w:pPr>
      <w:r>
        <w:rPr>
          <w:rFonts w:hAnsi="宋体"/>
          <w:b/>
          <w:color w:val="000000" w:themeColor="text1"/>
          <w:sz w:val="24"/>
          <w:szCs w:val="24"/>
          <w:highlight w:val="none"/>
          <w14:textFill>
            <w14:solidFill>
              <w14:schemeClr w14:val="tx1"/>
            </w14:solidFill>
          </w14:textFill>
        </w:rPr>
        <w:t>十、质量保证及后续服务</w:t>
      </w:r>
    </w:p>
    <w:p>
      <w:pPr>
        <w:pStyle w:val="9"/>
        <w:snapToGrid w:val="0"/>
        <w:spacing w:line="400" w:lineRule="exact"/>
        <w:ind w:firstLine="480" w:firstLineChars="200"/>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1</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乙方应按招标文件规定向甲方提供服务。</w:t>
      </w:r>
    </w:p>
    <w:p>
      <w:pPr>
        <w:pStyle w:val="9"/>
        <w:snapToGrid w:val="0"/>
        <w:spacing w:line="400" w:lineRule="exact"/>
        <w:ind w:firstLine="480" w:firstLineChars="200"/>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2</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乙方提供的服务成果在服务质量保证期内发生故障，乙方应负责免费提供后续服务。对达不到要求者，根据实际情况，经双方协商，可按以下办法处理：</w:t>
      </w:r>
    </w:p>
    <w:p>
      <w:pPr>
        <w:pStyle w:val="9"/>
        <w:snapToGrid w:val="0"/>
        <w:spacing w:line="400" w:lineRule="exact"/>
        <w:ind w:firstLine="480" w:firstLineChars="200"/>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⑴重做：由乙方承担所发生的全部费用。</w:t>
      </w:r>
    </w:p>
    <w:p>
      <w:pPr>
        <w:pStyle w:val="9"/>
        <w:snapToGrid w:val="0"/>
        <w:spacing w:line="400" w:lineRule="exact"/>
        <w:ind w:firstLine="480" w:firstLineChars="200"/>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⑵解除合同。</w:t>
      </w:r>
    </w:p>
    <w:p>
      <w:pPr>
        <w:pStyle w:val="9"/>
        <w:snapToGrid w:val="0"/>
        <w:spacing w:line="400" w:lineRule="exact"/>
        <w:ind w:firstLine="480" w:firstLineChars="200"/>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3</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如在使用过程中发生问题，乙方在接到甲方通知后在</w:t>
      </w:r>
      <w:r>
        <w:rPr>
          <w:rFonts w:hint="eastAsia" w:hAnsi="宋体"/>
          <w:color w:val="000000" w:themeColor="text1"/>
          <w:sz w:val="24"/>
          <w:szCs w:val="24"/>
          <w:highlight w:val="none"/>
          <w14:textFill>
            <w14:solidFill>
              <w14:schemeClr w14:val="tx1"/>
            </w14:solidFill>
          </w14:textFill>
        </w:rPr>
        <w:t>2</w:t>
      </w:r>
      <w:r>
        <w:rPr>
          <w:rFonts w:hAnsi="宋体"/>
          <w:color w:val="000000" w:themeColor="text1"/>
          <w:sz w:val="24"/>
          <w:szCs w:val="24"/>
          <w:highlight w:val="none"/>
          <w14:textFill>
            <w14:solidFill>
              <w14:schemeClr w14:val="tx1"/>
            </w14:solidFill>
          </w14:textFill>
        </w:rPr>
        <w:t>小时内到达甲方现场。</w:t>
      </w:r>
    </w:p>
    <w:p>
      <w:pPr>
        <w:pStyle w:val="9"/>
        <w:snapToGrid w:val="0"/>
        <w:spacing w:line="400" w:lineRule="exact"/>
        <w:ind w:firstLine="480" w:firstLineChars="200"/>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4</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在</w:t>
      </w:r>
      <w:r>
        <w:rPr>
          <w:rFonts w:hAnsi="宋体"/>
          <w:b/>
          <w:color w:val="000000" w:themeColor="text1"/>
          <w:sz w:val="24"/>
          <w:szCs w:val="24"/>
          <w:highlight w:val="none"/>
          <w14:textFill>
            <w14:solidFill>
              <w14:schemeClr w14:val="tx1"/>
            </w14:solidFill>
          </w14:textFill>
        </w:rPr>
        <w:t>服务质量保证期</w:t>
      </w:r>
      <w:r>
        <w:rPr>
          <w:rFonts w:hAnsi="宋体"/>
          <w:color w:val="000000" w:themeColor="text1"/>
          <w:sz w:val="24"/>
          <w:szCs w:val="24"/>
          <w:highlight w:val="none"/>
          <w14:textFill>
            <w14:solidFill>
              <w14:schemeClr w14:val="tx1"/>
            </w14:solidFill>
          </w14:textFill>
        </w:rPr>
        <w:t>内，乙方应对出现的质量及安全问题负责处理解决并承担一切费用。</w:t>
      </w:r>
    </w:p>
    <w:p>
      <w:pPr>
        <w:pStyle w:val="9"/>
        <w:snapToGrid w:val="0"/>
        <w:spacing w:line="400" w:lineRule="exact"/>
        <w:ind w:firstLine="482" w:firstLineChars="200"/>
        <w:rPr>
          <w:rFonts w:hAnsi="宋体"/>
          <w:b/>
          <w:color w:val="000000" w:themeColor="text1"/>
          <w:sz w:val="24"/>
          <w:szCs w:val="24"/>
          <w:highlight w:val="none"/>
          <w14:textFill>
            <w14:solidFill>
              <w14:schemeClr w14:val="tx1"/>
            </w14:solidFill>
          </w14:textFill>
        </w:rPr>
      </w:pPr>
      <w:r>
        <w:rPr>
          <w:rFonts w:hAnsi="宋体"/>
          <w:b/>
          <w:color w:val="000000" w:themeColor="text1"/>
          <w:sz w:val="24"/>
          <w:szCs w:val="24"/>
          <w:highlight w:val="none"/>
          <w14:textFill>
            <w14:solidFill>
              <w14:schemeClr w14:val="tx1"/>
            </w14:solidFill>
          </w14:textFill>
        </w:rPr>
        <w:t>十</w:t>
      </w:r>
      <w:r>
        <w:rPr>
          <w:rFonts w:hint="eastAsia" w:hAnsi="宋体"/>
          <w:b/>
          <w:color w:val="000000" w:themeColor="text1"/>
          <w:sz w:val="24"/>
          <w:szCs w:val="24"/>
          <w:highlight w:val="none"/>
          <w14:textFill>
            <w14:solidFill>
              <w14:schemeClr w14:val="tx1"/>
            </w14:solidFill>
          </w14:textFill>
        </w:rPr>
        <w:t>一</w:t>
      </w:r>
      <w:r>
        <w:rPr>
          <w:rFonts w:hAnsi="宋体"/>
          <w:b/>
          <w:color w:val="000000" w:themeColor="text1"/>
          <w:sz w:val="24"/>
          <w:szCs w:val="24"/>
          <w:highlight w:val="none"/>
          <w14:textFill>
            <w14:solidFill>
              <w14:schemeClr w14:val="tx1"/>
            </w14:solidFill>
          </w14:textFill>
        </w:rPr>
        <w:t>、违约责任</w:t>
      </w:r>
    </w:p>
    <w:p>
      <w:pPr>
        <w:pStyle w:val="9"/>
        <w:snapToGrid w:val="0"/>
        <w:spacing w:line="400" w:lineRule="exact"/>
        <w:ind w:firstLine="480" w:firstLineChars="200"/>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1</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甲方无正当理由拒收接受服务的，甲方向乙方偿付合同款项百分之五作为违约金。</w:t>
      </w:r>
    </w:p>
    <w:p>
      <w:pPr>
        <w:pStyle w:val="9"/>
        <w:snapToGrid w:val="0"/>
        <w:spacing w:line="400" w:lineRule="exact"/>
        <w:ind w:firstLine="480" w:firstLineChars="200"/>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2</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甲方无故逾期验收和办理款项支付手续的,甲方应按逾期付款总额每日万分之五向乙方支付违约金。</w:t>
      </w:r>
    </w:p>
    <w:p>
      <w:pPr>
        <w:pStyle w:val="9"/>
        <w:snapToGrid w:val="0"/>
        <w:spacing w:line="400" w:lineRule="exact"/>
        <w:ind w:firstLine="480" w:firstLineChars="200"/>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3</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乙方</w:t>
      </w:r>
      <w:r>
        <w:rPr>
          <w:rFonts w:hint="eastAsia" w:hAnsi="宋体"/>
          <w:color w:val="000000" w:themeColor="text1"/>
          <w:sz w:val="24"/>
          <w:szCs w:val="24"/>
          <w:highlight w:val="none"/>
          <w14:textFill>
            <w14:solidFill>
              <w14:schemeClr w14:val="tx1"/>
            </w14:solidFill>
          </w14:textFill>
        </w:rPr>
        <w:t>未能如</w:t>
      </w:r>
      <w:r>
        <w:rPr>
          <w:rFonts w:hAnsi="宋体"/>
          <w:color w:val="000000" w:themeColor="text1"/>
          <w:sz w:val="24"/>
          <w:szCs w:val="24"/>
          <w:highlight w:val="none"/>
          <w14:textFill>
            <w14:solidFill>
              <w14:schemeClr w14:val="tx1"/>
            </w14:solidFill>
          </w14:textFill>
        </w:rPr>
        <w:t>期提供服务的，每日向甲方支付</w:t>
      </w:r>
      <w:r>
        <w:rPr>
          <w:rFonts w:hint="eastAsia" w:hAnsi="宋体"/>
          <w:color w:val="000000" w:themeColor="text1"/>
          <w:sz w:val="24"/>
          <w:szCs w:val="24"/>
          <w:highlight w:val="none"/>
          <w14:textFill>
            <w14:solidFill>
              <w14:schemeClr w14:val="tx1"/>
            </w14:solidFill>
          </w14:textFill>
        </w:rPr>
        <w:t>合同款项的</w:t>
      </w:r>
      <w:r>
        <w:rPr>
          <w:rFonts w:hAnsi="宋体"/>
          <w:color w:val="000000" w:themeColor="text1"/>
          <w:sz w:val="24"/>
          <w:szCs w:val="24"/>
          <w:highlight w:val="none"/>
          <w14:textFill>
            <w14:solidFill>
              <w14:schemeClr w14:val="tx1"/>
            </w14:solidFill>
          </w14:textFill>
        </w:rPr>
        <w:t>千分之六</w:t>
      </w:r>
      <w:r>
        <w:rPr>
          <w:rFonts w:hint="eastAsia" w:hAnsi="宋体"/>
          <w:color w:val="000000" w:themeColor="text1"/>
          <w:sz w:val="24"/>
          <w:szCs w:val="24"/>
          <w:highlight w:val="none"/>
          <w14:textFill>
            <w14:solidFill>
              <w14:schemeClr w14:val="tx1"/>
            </w14:solidFill>
          </w14:textFill>
        </w:rPr>
        <w:t>作为</w:t>
      </w:r>
      <w:r>
        <w:rPr>
          <w:rFonts w:hAnsi="宋体"/>
          <w:color w:val="000000" w:themeColor="text1"/>
          <w:sz w:val="24"/>
          <w:szCs w:val="24"/>
          <w:highlight w:val="none"/>
          <w14:textFill>
            <w14:solidFill>
              <w14:schemeClr w14:val="tx1"/>
            </w14:solidFill>
          </w14:textFill>
        </w:rPr>
        <w:t>违约金。乙方超过约定日期10个工作日</w:t>
      </w:r>
      <w:r>
        <w:rPr>
          <w:rFonts w:hint="eastAsia" w:hAnsi="宋体"/>
          <w:color w:val="000000" w:themeColor="text1"/>
          <w:sz w:val="24"/>
          <w:szCs w:val="24"/>
          <w:highlight w:val="none"/>
          <w14:textFill>
            <w14:solidFill>
              <w14:schemeClr w14:val="tx1"/>
            </w14:solidFill>
          </w14:textFill>
        </w:rPr>
        <w:t>仍</w:t>
      </w:r>
      <w:r>
        <w:rPr>
          <w:rFonts w:hAnsi="宋体"/>
          <w:color w:val="000000" w:themeColor="text1"/>
          <w:sz w:val="24"/>
          <w:szCs w:val="24"/>
          <w:highlight w:val="none"/>
          <w14:textFill>
            <w14:solidFill>
              <w14:schemeClr w14:val="tx1"/>
            </w14:solidFill>
          </w14:textFill>
        </w:rPr>
        <w:t>不能</w:t>
      </w:r>
      <w:r>
        <w:rPr>
          <w:rFonts w:hint="eastAsia" w:hAnsi="宋体"/>
          <w:color w:val="000000" w:themeColor="text1"/>
          <w:sz w:val="24"/>
          <w:szCs w:val="24"/>
          <w:highlight w:val="none"/>
          <w14:textFill>
            <w14:solidFill>
              <w14:schemeClr w14:val="tx1"/>
            </w14:solidFill>
          </w14:textFill>
        </w:rPr>
        <w:t>提供服务</w:t>
      </w:r>
      <w:r>
        <w:rPr>
          <w:rFonts w:hAnsi="宋体"/>
          <w:color w:val="000000" w:themeColor="text1"/>
          <w:sz w:val="24"/>
          <w:szCs w:val="24"/>
          <w:highlight w:val="none"/>
          <w14:textFill>
            <w14:solidFill>
              <w14:schemeClr w14:val="tx1"/>
            </w14:solidFill>
          </w14:textFill>
        </w:rPr>
        <w:t>的，甲方可解除本合同。乙方因</w:t>
      </w:r>
      <w:r>
        <w:rPr>
          <w:rFonts w:hint="eastAsia" w:hAnsi="宋体"/>
          <w:color w:val="000000" w:themeColor="text1"/>
          <w:sz w:val="24"/>
          <w:szCs w:val="24"/>
          <w:highlight w:val="none"/>
          <w14:textFill>
            <w14:solidFill>
              <w14:schemeClr w14:val="tx1"/>
            </w14:solidFill>
          </w14:textFill>
        </w:rPr>
        <w:t>未能如</w:t>
      </w:r>
      <w:r>
        <w:rPr>
          <w:rFonts w:hAnsi="宋体"/>
          <w:color w:val="000000" w:themeColor="text1"/>
          <w:sz w:val="24"/>
          <w:szCs w:val="24"/>
          <w:highlight w:val="none"/>
          <w14:textFill>
            <w14:solidFill>
              <w14:schemeClr w14:val="tx1"/>
            </w14:solidFill>
          </w14:textFill>
        </w:rPr>
        <w:t>期提供服务或因其他违约行为导致甲方解除合同的</w:t>
      </w:r>
      <w:r>
        <w:rPr>
          <w:rFonts w:hint="eastAsia" w:hAnsi="宋体"/>
          <w:color w:val="000000" w:themeColor="text1"/>
          <w:sz w:val="24"/>
          <w:szCs w:val="24"/>
          <w:highlight w:val="none"/>
          <w14:textFill>
            <w14:solidFill>
              <w14:schemeClr w14:val="tx1"/>
            </w14:solidFill>
          </w14:textFill>
        </w:rPr>
        <w:t>，履约保证金不予退还</w:t>
      </w:r>
      <w:r>
        <w:rPr>
          <w:rFonts w:hAnsi="宋体"/>
          <w:color w:val="000000" w:themeColor="text1"/>
          <w:sz w:val="24"/>
          <w:szCs w:val="24"/>
          <w:highlight w:val="none"/>
          <w14:textFill>
            <w14:solidFill>
              <w14:schemeClr w14:val="tx1"/>
            </w14:solidFill>
          </w14:textFill>
        </w:rPr>
        <w:t>，如造成甲方损失超过</w:t>
      </w:r>
      <w:r>
        <w:rPr>
          <w:rFonts w:hint="eastAsia" w:hAnsi="宋体"/>
          <w:color w:val="000000" w:themeColor="text1"/>
          <w:sz w:val="24"/>
          <w:szCs w:val="24"/>
          <w:highlight w:val="none"/>
          <w14:textFill>
            <w14:solidFill>
              <w14:schemeClr w14:val="tx1"/>
            </w14:solidFill>
          </w14:textFill>
        </w:rPr>
        <w:t>履约金数额</w:t>
      </w:r>
      <w:r>
        <w:rPr>
          <w:rFonts w:hAnsi="宋体"/>
          <w:color w:val="000000" w:themeColor="text1"/>
          <w:sz w:val="24"/>
          <w:szCs w:val="24"/>
          <w:highlight w:val="none"/>
          <w14:textFill>
            <w14:solidFill>
              <w14:schemeClr w14:val="tx1"/>
            </w14:solidFill>
          </w14:textFill>
        </w:rPr>
        <w:t xml:space="preserve">的，超出部分由乙方继续承担赔偿责任。 </w:t>
      </w:r>
    </w:p>
    <w:p>
      <w:pPr>
        <w:pStyle w:val="9"/>
        <w:snapToGrid w:val="0"/>
        <w:spacing w:line="400" w:lineRule="exact"/>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4.乙方对甲方提供的有关资料以及评估中所涉及的商业秘密、知识产权负有保密义务，并承担相关法律和经济责任。</w:t>
      </w:r>
    </w:p>
    <w:p>
      <w:pPr>
        <w:pStyle w:val="9"/>
        <w:snapToGrid w:val="0"/>
        <w:spacing w:line="400" w:lineRule="exact"/>
        <w:ind w:firstLine="482" w:firstLineChars="200"/>
        <w:rPr>
          <w:rFonts w:hAnsi="宋体"/>
          <w:b/>
          <w:color w:val="000000" w:themeColor="text1"/>
          <w:sz w:val="24"/>
          <w:szCs w:val="24"/>
          <w:highlight w:val="none"/>
          <w14:textFill>
            <w14:solidFill>
              <w14:schemeClr w14:val="tx1"/>
            </w14:solidFill>
          </w14:textFill>
        </w:rPr>
      </w:pPr>
      <w:r>
        <w:rPr>
          <w:rFonts w:hAnsi="宋体"/>
          <w:b/>
          <w:color w:val="000000" w:themeColor="text1"/>
          <w:sz w:val="24"/>
          <w:szCs w:val="24"/>
          <w:highlight w:val="none"/>
          <w14:textFill>
            <w14:solidFill>
              <w14:schemeClr w14:val="tx1"/>
            </w14:solidFill>
          </w14:textFill>
        </w:rPr>
        <w:t>十</w:t>
      </w:r>
      <w:r>
        <w:rPr>
          <w:rFonts w:hint="eastAsia" w:hAnsi="宋体"/>
          <w:b/>
          <w:color w:val="000000" w:themeColor="text1"/>
          <w:sz w:val="24"/>
          <w:szCs w:val="24"/>
          <w:highlight w:val="none"/>
          <w14:textFill>
            <w14:solidFill>
              <w14:schemeClr w14:val="tx1"/>
            </w14:solidFill>
          </w14:textFill>
        </w:rPr>
        <w:t>二</w:t>
      </w:r>
      <w:r>
        <w:rPr>
          <w:rFonts w:hAnsi="宋体"/>
          <w:b/>
          <w:color w:val="000000" w:themeColor="text1"/>
          <w:sz w:val="24"/>
          <w:szCs w:val="24"/>
          <w:highlight w:val="none"/>
          <w14:textFill>
            <w14:solidFill>
              <w14:schemeClr w14:val="tx1"/>
            </w14:solidFill>
          </w14:textFill>
        </w:rPr>
        <w:t>、不可抗力事件处理</w:t>
      </w:r>
    </w:p>
    <w:p>
      <w:pPr>
        <w:pStyle w:val="9"/>
        <w:snapToGrid w:val="0"/>
        <w:spacing w:line="400" w:lineRule="exact"/>
        <w:ind w:firstLine="480" w:firstLineChars="200"/>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1</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在合同有效期内，任何一方因不可抗力事件导致不能履行合同，则合同履行期可延长，其延长期与不可抗力影响期相同。</w:t>
      </w:r>
    </w:p>
    <w:p>
      <w:pPr>
        <w:pStyle w:val="9"/>
        <w:snapToGrid w:val="0"/>
        <w:spacing w:line="400" w:lineRule="exact"/>
        <w:ind w:firstLine="480" w:firstLineChars="200"/>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2</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不可抗力事件发生后，应立即通知对方，并寄送有关权威机构出具的证明。</w:t>
      </w:r>
    </w:p>
    <w:p>
      <w:pPr>
        <w:pStyle w:val="9"/>
        <w:snapToGrid w:val="0"/>
        <w:spacing w:line="400" w:lineRule="exact"/>
        <w:ind w:firstLine="480" w:firstLineChars="200"/>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3</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不可抗力事件延续120天以上，双方应通过友好协商，确定是否继续履行合同。</w:t>
      </w:r>
    </w:p>
    <w:p>
      <w:pPr>
        <w:pStyle w:val="9"/>
        <w:snapToGrid w:val="0"/>
        <w:spacing w:line="400" w:lineRule="exact"/>
        <w:ind w:firstLine="482" w:firstLineChars="200"/>
        <w:rPr>
          <w:rFonts w:hAnsi="宋体"/>
          <w:b/>
          <w:color w:val="000000" w:themeColor="text1"/>
          <w:sz w:val="24"/>
          <w:szCs w:val="24"/>
          <w:highlight w:val="none"/>
          <w14:textFill>
            <w14:solidFill>
              <w14:schemeClr w14:val="tx1"/>
            </w14:solidFill>
          </w14:textFill>
        </w:rPr>
      </w:pPr>
      <w:r>
        <w:rPr>
          <w:rFonts w:hAnsi="宋体"/>
          <w:b/>
          <w:color w:val="000000" w:themeColor="text1"/>
          <w:sz w:val="24"/>
          <w:szCs w:val="24"/>
          <w:highlight w:val="none"/>
          <w14:textFill>
            <w14:solidFill>
              <w14:schemeClr w14:val="tx1"/>
            </w14:solidFill>
          </w14:textFill>
        </w:rPr>
        <w:t>十</w:t>
      </w:r>
      <w:r>
        <w:rPr>
          <w:rFonts w:hint="eastAsia" w:hAnsi="宋体"/>
          <w:b/>
          <w:color w:val="000000" w:themeColor="text1"/>
          <w:sz w:val="24"/>
          <w:szCs w:val="24"/>
          <w:highlight w:val="none"/>
          <w14:textFill>
            <w14:solidFill>
              <w14:schemeClr w14:val="tx1"/>
            </w14:solidFill>
          </w14:textFill>
        </w:rPr>
        <w:t>三</w:t>
      </w:r>
      <w:r>
        <w:rPr>
          <w:rFonts w:hAnsi="宋体"/>
          <w:b/>
          <w:color w:val="000000" w:themeColor="text1"/>
          <w:sz w:val="24"/>
          <w:szCs w:val="24"/>
          <w:highlight w:val="none"/>
          <w14:textFill>
            <w14:solidFill>
              <w14:schemeClr w14:val="tx1"/>
            </w14:solidFill>
          </w14:textFill>
        </w:rPr>
        <w:t>、诉讼</w:t>
      </w:r>
    </w:p>
    <w:p>
      <w:pPr>
        <w:pStyle w:val="9"/>
        <w:snapToGrid w:val="0"/>
        <w:spacing w:line="400" w:lineRule="exact"/>
        <w:ind w:firstLine="480" w:firstLineChars="200"/>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 xml:space="preserve"> 双方在执行合同中所发生的一切争议，应通过协商解决。如协商不成，可向</w:t>
      </w:r>
      <w:r>
        <w:rPr>
          <w:rFonts w:hint="eastAsia" w:hAnsi="宋体"/>
          <w:color w:val="000000" w:themeColor="text1"/>
          <w:sz w:val="24"/>
          <w:szCs w:val="24"/>
          <w:highlight w:val="none"/>
          <w14:textFill>
            <w14:solidFill>
              <w14:schemeClr w14:val="tx1"/>
            </w14:solidFill>
          </w14:textFill>
        </w:rPr>
        <w:t>甲方所在</w:t>
      </w:r>
      <w:r>
        <w:rPr>
          <w:rFonts w:hAnsi="宋体"/>
          <w:color w:val="000000" w:themeColor="text1"/>
          <w:sz w:val="24"/>
          <w:szCs w:val="24"/>
          <w:highlight w:val="none"/>
          <w14:textFill>
            <w14:solidFill>
              <w14:schemeClr w14:val="tx1"/>
            </w14:solidFill>
          </w14:textFill>
        </w:rPr>
        <w:t>地法院起诉。</w:t>
      </w:r>
    </w:p>
    <w:p>
      <w:pPr>
        <w:pStyle w:val="9"/>
        <w:snapToGrid w:val="0"/>
        <w:spacing w:line="400" w:lineRule="exact"/>
        <w:ind w:firstLine="482" w:firstLineChars="200"/>
        <w:rPr>
          <w:rFonts w:hAnsi="宋体"/>
          <w:b/>
          <w:color w:val="000000" w:themeColor="text1"/>
          <w:sz w:val="24"/>
          <w:szCs w:val="24"/>
          <w:highlight w:val="none"/>
          <w14:textFill>
            <w14:solidFill>
              <w14:schemeClr w14:val="tx1"/>
            </w14:solidFill>
          </w14:textFill>
        </w:rPr>
      </w:pPr>
      <w:r>
        <w:rPr>
          <w:rFonts w:hAnsi="宋体"/>
          <w:b/>
          <w:color w:val="000000" w:themeColor="text1"/>
          <w:sz w:val="24"/>
          <w:szCs w:val="24"/>
          <w:highlight w:val="none"/>
          <w14:textFill>
            <w14:solidFill>
              <w14:schemeClr w14:val="tx1"/>
            </w14:solidFill>
          </w14:textFill>
        </w:rPr>
        <w:t>十</w:t>
      </w:r>
      <w:r>
        <w:rPr>
          <w:rFonts w:hint="eastAsia" w:hAnsi="宋体"/>
          <w:b/>
          <w:color w:val="000000" w:themeColor="text1"/>
          <w:sz w:val="24"/>
          <w:szCs w:val="24"/>
          <w:highlight w:val="none"/>
          <w14:textFill>
            <w14:solidFill>
              <w14:schemeClr w14:val="tx1"/>
            </w14:solidFill>
          </w14:textFill>
        </w:rPr>
        <w:t>四</w:t>
      </w:r>
      <w:r>
        <w:rPr>
          <w:rFonts w:hAnsi="宋体"/>
          <w:b/>
          <w:color w:val="000000" w:themeColor="text1"/>
          <w:sz w:val="24"/>
          <w:szCs w:val="24"/>
          <w:highlight w:val="none"/>
          <w14:textFill>
            <w14:solidFill>
              <w14:schemeClr w14:val="tx1"/>
            </w14:solidFill>
          </w14:textFill>
        </w:rPr>
        <w:t>、合同生效及其它</w:t>
      </w:r>
    </w:p>
    <w:p>
      <w:pPr>
        <w:pStyle w:val="9"/>
        <w:snapToGrid w:val="0"/>
        <w:spacing w:line="400" w:lineRule="exact"/>
        <w:ind w:firstLine="480" w:firstLineChars="200"/>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1</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合同经双方法定代表人或委托代理人签字并加盖单位公章后生效。</w:t>
      </w:r>
    </w:p>
    <w:p>
      <w:pPr>
        <w:pStyle w:val="9"/>
        <w:snapToGrid w:val="0"/>
        <w:spacing w:line="400" w:lineRule="exact"/>
        <w:ind w:firstLine="480" w:firstLineChars="200"/>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2</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合同执行中涉及采购资金和采购内容修改或补充的，须经财政部门审批，并签书面补充协议报政府采购监督管理部门备案，方可作为主合同不可分割的一部分。</w:t>
      </w:r>
    </w:p>
    <w:p>
      <w:pPr>
        <w:pStyle w:val="9"/>
        <w:snapToGrid w:val="0"/>
        <w:spacing w:line="400" w:lineRule="exact"/>
        <w:ind w:firstLine="480" w:firstLineChars="200"/>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3</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本合同未尽事宜，遵照《合同法》有关条文执行。</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 本合同一式六份，甲乙双方各执二份、采购办、代理机构各执一份，具有同等法律效力。</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附件1.保密承诺书</w:t>
      </w:r>
    </w:p>
    <w:p>
      <w:pPr>
        <w:snapToGrid w:val="0"/>
        <w:spacing w:line="400" w:lineRule="exact"/>
        <w:ind w:firstLine="482" w:firstLineChars="200"/>
        <w:rPr>
          <w:rFonts w:ascii="宋体" w:hAnsi="宋体"/>
          <w:b/>
          <w:color w:val="000000" w:themeColor="text1"/>
          <w:sz w:val="24"/>
          <w:highlight w:val="none"/>
          <w14:textFill>
            <w14:solidFill>
              <w14:schemeClr w14:val="tx1"/>
            </w14:solidFill>
          </w14:textFill>
        </w:rPr>
      </w:pPr>
    </w:p>
    <w:p>
      <w:pPr>
        <w:snapToGrid w:val="0"/>
        <w:spacing w:line="400" w:lineRule="exact"/>
        <w:ind w:firstLine="482" w:firstLineChars="200"/>
        <w:rPr>
          <w:rFonts w:ascii="宋体" w:hAnsi="宋体"/>
          <w:b/>
          <w:color w:val="000000" w:themeColor="text1"/>
          <w:sz w:val="24"/>
          <w:highlight w:val="none"/>
          <w14:textFill>
            <w14:solidFill>
              <w14:schemeClr w14:val="tx1"/>
            </w14:solidFill>
          </w14:textFill>
        </w:rPr>
      </w:pPr>
    </w:p>
    <w:p>
      <w:pPr>
        <w:snapToGrid w:val="0"/>
        <w:spacing w:line="400" w:lineRule="exact"/>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甲方（公章）：                      乙方（公章）：</w:t>
      </w:r>
    </w:p>
    <w:p>
      <w:pPr>
        <w:snapToGrid w:val="0"/>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法定代表人或受委托人                法定代表人或受委托人</w:t>
      </w:r>
    </w:p>
    <w:p>
      <w:pPr>
        <w:snapToGrid w:val="0"/>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（签字）                              （签字）</w:t>
      </w:r>
    </w:p>
    <w:p>
      <w:pPr>
        <w:snapToGrid w:val="0"/>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地址：                              地址：</w:t>
      </w:r>
    </w:p>
    <w:p>
      <w:pPr>
        <w:snapToGrid w:val="0"/>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邮编：                              邮编：</w:t>
      </w:r>
    </w:p>
    <w:p>
      <w:pPr>
        <w:snapToGrid w:val="0"/>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电话：                              电话：</w:t>
      </w:r>
    </w:p>
    <w:p>
      <w:pPr>
        <w:snapToGrid w:val="0"/>
        <w:spacing w:line="400" w:lineRule="exact"/>
        <w:rPr>
          <w:rFonts w:ascii="宋体" w:hAnsi="宋体"/>
          <w:b/>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户名：                              户名：</w:t>
      </w:r>
    </w:p>
    <w:p>
      <w:pPr>
        <w:snapToGrid w:val="0"/>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开户银行：                          开户银行：</w:t>
      </w:r>
    </w:p>
    <w:p>
      <w:pPr>
        <w:snapToGrid w:val="0"/>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帐号：                              帐号：</w:t>
      </w:r>
    </w:p>
    <w:p>
      <w:pPr>
        <w:snapToGrid w:val="0"/>
        <w:spacing w:line="276" w:lineRule="auto"/>
        <w:rPr>
          <w:rFonts w:ascii="宋体" w:hAnsi="宋体"/>
          <w:color w:val="000000" w:themeColor="text1"/>
          <w:sz w:val="24"/>
          <w:highlight w:val="none"/>
          <w14:textFill>
            <w14:solidFill>
              <w14:schemeClr w14:val="tx1"/>
            </w14:solidFill>
          </w14:textFill>
        </w:rPr>
      </w:pPr>
    </w:p>
    <w:p>
      <w:pPr>
        <w:snapToGrid w:val="0"/>
        <w:spacing w:line="276"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法定代表人或主要负责人:</w:t>
      </w:r>
    </w:p>
    <w:p>
      <w:pPr>
        <w:snapToGrid w:val="0"/>
        <w:spacing w:line="276" w:lineRule="auto"/>
        <w:rPr>
          <w:rFonts w:ascii="宋体" w:hAnsi="宋体"/>
          <w:color w:val="000000" w:themeColor="text1"/>
          <w:sz w:val="24"/>
          <w:highlight w:val="none"/>
          <w14:textFill>
            <w14:solidFill>
              <w14:schemeClr w14:val="tx1"/>
            </w14:solidFill>
          </w14:textFill>
        </w:rPr>
      </w:pPr>
    </w:p>
    <w:p>
      <w:pPr>
        <w:snapToGrid w:val="0"/>
        <w:spacing w:line="276" w:lineRule="auto"/>
        <w:rPr>
          <w:rFonts w:ascii="宋体" w:hAnsi="宋体"/>
          <w:color w:val="000000" w:themeColor="text1"/>
          <w:sz w:val="24"/>
          <w:highlight w:val="none"/>
          <w14:textFill>
            <w14:solidFill>
              <w14:schemeClr w14:val="tx1"/>
            </w14:solidFill>
          </w14:textFill>
        </w:rPr>
      </w:pPr>
    </w:p>
    <w:p>
      <w:pPr>
        <w:snapToGrid w:val="0"/>
        <w:spacing w:line="276" w:lineRule="auto"/>
        <w:rPr>
          <w:rFonts w:ascii="黑体" w:hAnsi="宋体" w:eastAsia="黑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签约地点：                            签约时间：</w:t>
      </w:r>
    </w:p>
    <w:p>
      <w:pPr>
        <w:rPr>
          <w:color w:val="000000" w:themeColor="text1"/>
          <w:highlight w:val="none"/>
          <w14:textFill>
            <w14:solidFill>
              <w14:schemeClr w14:val="tx1"/>
            </w14:solidFill>
          </w14:textFill>
        </w:rPr>
      </w:pPr>
    </w:p>
    <w:p>
      <w:pPr>
        <w:spacing w:line="480" w:lineRule="exact"/>
        <w:rPr>
          <w:rFonts w:ascii="宋体"/>
          <w:b/>
          <w:bCs/>
          <w:color w:val="000000" w:themeColor="text1"/>
          <w:sz w:val="36"/>
          <w:highlight w:val="none"/>
          <w14:textFill>
            <w14:solidFill>
              <w14:schemeClr w14:val="tx1"/>
            </w14:solidFill>
          </w14:textFill>
        </w:rPr>
      </w:pPr>
    </w:p>
    <w:p>
      <w:pPr>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保密承诺书</w:t>
      </w:r>
    </w:p>
    <w:p>
      <w:pPr>
        <w:rPr>
          <w:rFonts w:ascii="宋体" w:hAnsi="宋体" w:cs="宋体"/>
          <w:b/>
          <w:color w:val="000000" w:themeColor="text1"/>
          <w:sz w:val="24"/>
          <w:highlight w:val="non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衢州市柯城区双港街道办事处：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鉴于我方参与贵方（项目名称）招投标活动，涉及本项目的相关资料，我单位承诺就该项目合作过程的有关保密信息，根据《中华人民共和国国家保密法》及贵行的有关保密规定等，作好保密工作，约定如下：</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1、我方对涉及国家或项目秘密的文件、资料和其他物品在制作、收发、传递、使用、复制、摘抄、保存和销毁等过程中，必须有遵守国家保密法的基础上，严格按照贵方的要求进行处理。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未经贵方同意，我方不得以泄露、公布、发布、出版、传授、转让或者其他任何方式使任何第三方知悉属于贵方或者虽属于他人但贵方承诺有保密义务的技术秘密或其他商业秘密信息，相关文件、资料及其他物品应在设备完善的保险装置中进行保存。</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3、我方不得在私人交往和通信中泄露甲方的秘密。携带属于贵方允许范围内的秘密的文件、资料和其他物品外出不得违反有关保密规定。不得在公共场合谈论贵方秘密。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我方必须遵守贵方规定的任何成文不成文的保密条例，贵方的保密条例中未规定或者规定不明确之处，我方亦本着谨慎、诚实的态度，采取任何必要、合理的措施，维护其知悉或者持有的任何属于贵方或者属于第三方但贵方承诺有保密义务的技术秘密或其他商业秘密信息，以保持其机密性。</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5、认真履行其他应当保密的行为。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6、我方如违反上述的任何条款，我方应承担相应的法律责任以及由此引起的一切经济损失。</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单位（公章）：</w:t>
      </w:r>
    </w:p>
    <w:p>
      <w:pPr>
        <w:spacing w:line="360" w:lineRule="auto"/>
        <w:ind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法定代表人（签字）：　　　　　　　</w:t>
      </w:r>
    </w:p>
    <w:p>
      <w:pPr>
        <w:spacing w:line="360" w:lineRule="auto"/>
        <w:ind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或委托代理人（签字）：</w:t>
      </w:r>
    </w:p>
    <w:p>
      <w:pPr>
        <w:spacing w:line="360" w:lineRule="auto"/>
        <w:ind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  月  日</w:t>
      </w:r>
    </w:p>
    <w:p>
      <w:pPr>
        <w:widowControl/>
        <w:spacing w:line="360" w:lineRule="auto"/>
        <w:jc w:val="center"/>
        <w:rPr>
          <w:rFonts w:ascii="宋体" w:hAnsi="宋体"/>
          <w:color w:val="000000" w:themeColor="text1"/>
          <w:sz w:val="24"/>
          <w:highlight w:val="none"/>
          <w14:textFill>
            <w14:solidFill>
              <w14:schemeClr w14:val="tx1"/>
            </w14:solidFill>
          </w14:textFill>
        </w:rPr>
      </w:pPr>
    </w:p>
    <w:p>
      <w:pPr>
        <w:widowControl/>
        <w:spacing w:line="360" w:lineRule="auto"/>
        <w:jc w:val="center"/>
        <w:rPr>
          <w:rFonts w:ascii="宋体" w:hAnsi="宋体" w:cs="黑体"/>
          <w:b/>
          <w:bCs/>
          <w:color w:val="000000" w:themeColor="text1"/>
          <w:sz w:val="24"/>
          <w:highlight w:val="none"/>
          <w14:textFill>
            <w14:solidFill>
              <w14:schemeClr w14:val="tx1"/>
            </w14:solidFill>
          </w14:textFill>
        </w:rPr>
      </w:pPr>
    </w:p>
    <w:p>
      <w:pPr>
        <w:widowControl/>
        <w:spacing w:line="360" w:lineRule="auto"/>
        <w:rPr>
          <w:rFonts w:ascii="宋体" w:hAnsi="宋体" w:cs="黑体"/>
          <w:b/>
          <w:bCs/>
          <w:color w:val="000000" w:themeColor="text1"/>
          <w:sz w:val="24"/>
          <w:highlight w:val="none"/>
          <w14:textFill>
            <w14:solidFill>
              <w14:schemeClr w14:val="tx1"/>
            </w14:solidFill>
          </w14:textFill>
        </w:rPr>
      </w:pPr>
    </w:p>
    <w:p>
      <w:pPr>
        <w:widowControl/>
        <w:spacing w:line="360" w:lineRule="auto"/>
        <w:jc w:val="center"/>
        <w:rPr>
          <w:rFonts w:ascii="宋体" w:hAnsi="宋体" w:cs="黑体"/>
          <w:b/>
          <w:bCs/>
          <w:color w:val="000000" w:themeColor="text1"/>
          <w:sz w:val="28"/>
          <w:szCs w:val="28"/>
          <w:highlight w:val="none"/>
          <w14:textFill>
            <w14:solidFill>
              <w14:schemeClr w14:val="tx1"/>
            </w14:solidFill>
          </w14:textFill>
        </w:rPr>
      </w:pPr>
      <w:r>
        <w:rPr>
          <w:rFonts w:hint="eastAsia" w:ascii="宋体" w:hAnsi="宋体" w:cs="黑体"/>
          <w:b/>
          <w:bCs/>
          <w:color w:val="000000" w:themeColor="text1"/>
          <w:sz w:val="28"/>
          <w:szCs w:val="28"/>
          <w:highlight w:val="none"/>
          <w14:textFill>
            <w14:solidFill>
              <w14:schemeClr w14:val="tx1"/>
            </w14:solidFill>
          </w14:textFill>
        </w:rPr>
        <w:t>第五章   评标原则及办法</w:t>
      </w:r>
    </w:p>
    <w:p>
      <w:pPr>
        <w:pStyle w:val="2"/>
        <w:rPr>
          <w:color w:val="000000" w:themeColor="text1"/>
          <w:highlight w:val="none"/>
          <w14:textFill>
            <w14:solidFill>
              <w14:schemeClr w14:val="tx1"/>
            </w14:solidFill>
          </w14:textFill>
        </w:rPr>
      </w:pPr>
    </w:p>
    <w:p>
      <w:pPr>
        <w:tabs>
          <w:tab w:val="left" w:pos="360"/>
          <w:tab w:val="left" w:pos="840"/>
        </w:tabs>
        <w:spacing w:line="400" w:lineRule="exact"/>
        <w:jc w:val="left"/>
        <w:rPr>
          <w:rFonts w:ascii="宋体" w:hAnsi="宋体" w:cs="宋体-PUA"/>
          <w:color w:val="000000" w:themeColor="text1"/>
          <w:sz w:val="24"/>
          <w:highlight w:val="none"/>
          <w14:textFill>
            <w14:solidFill>
              <w14:schemeClr w14:val="tx1"/>
            </w14:solidFill>
          </w14:textFill>
        </w:rPr>
      </w:pPr>
      <w:r>
        <w:rPr>
          <w:rFonts w:hint="eastAsia" w:ascii="宋体" w:hAnsi="宋体" w:cs="宋体-PUA"/>
          <w:b/>
          <w:color w:val="000000" w:themeColor="text1"/>
          <w:sz w:val="24"/>
          <w:highlight w:val="none"/>
          <w14:textFill>
            <w14:solidFill>
              <w14:schemeClr w14:val="tx1"/>
            </w14:solidFill>
          </w14:textFill>
        </w:rPr>
        <w:t xml:space="preserve">    一、总则</w:t>
      </w:r>
    </w:p>
    <w:p>
      <w:pPr>
        <w:tabs>
          <w:tab w:val="left" w:pos="360"/>
          <w:tab w:val="left" w:pos="840"/>
        </w:tabs>
        <w:spacing w:line="380" w:lineRule="exact"/>
        <w:ind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1、根据《中华人民共和国政府采购法》、《政府采购货物和服务招标投标管理办法》（财政部第18号令）及相关法规的规定，结合采购项目特点制定本评标办法。</w:t>
      </w:r>
    </w:p>
    <w:p>
      <w:pPr>
        <w:pStyle w:val="8"/>
        <w:spacing w:after="0" w:line="380" w:lineRule="exact"/>
        <w:ind w:left="0" w:leftChars="0"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2、评标工作由采购代理机构负责组织，具体评标事务由评标委员会五人以上（含五人）负责。评标委员会由有关技术、经济等方面的专家组成。</w:t>
      </w:r>
    </w:p>
    <w:p>
      <w:pPr>
        <w:tabs>
          <w:tab w:val="left" w:pos="360"/>
          <w:tab w:val="left" w:pos="840"/>
        </w:tabs>
        <w:spacing w:line="380" w:lineRule="exact"/>
        <w:ind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3、评标工作应遵循公平、公正、科学及择优的原则，并以相同的评标程序和标准对待所有的投标人。</w:t>
      </w:r>
    </w:p>
    <w:p>
      <w:pPr>
        <w:tabs>
          <w:tab w:val="left" w:pos="360"/>
          <w:tab w:val="left" w:pos="840"/>
        </w:tabs>
        <w:spacing w:line="380" w:lineRule="exact"/>
        <w:ind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4、评标委员会按照采购项目文件规定的评标方法和标准进行评标，并独立履行下列职责：</w:t>
      </w:r>
    </w:p>
    <w:p>
      <w:pPr>
        <w:tabs>
          <w:tab w:val="left" w:pos="360"/>
          <w:tab w:val="left" w:pos="840"/>
        </w:tabs>
        <w:spacing w:line="380" w:lineRule="exact"/>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 xml:space="preserve">    1）审查投标文件是否符合采购文件要求，并作出评价；</w:t>
      </w:r>
    </w:p>
    <w:p>
      <w:pPr>
        <w:tabs>
          <w:tab w:val="left" w:pos="360"/>
          <w:tab w:val="left" w:pos="840"/>
        </w:tabs>
        <w:spacing w:line="380" w:lineRule="exact"/>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 xml:space="preserve">    2）要求投标人对投标文件有关事项作出解释或者澄清；</w:t>
      </w:r>
    </w:p>
    <w:p>
      <w:pPr>
        <w:tabs>
          <w:tab w:val="left" w:pos="360"/>
          <w:tab w:val="left" w:pos="840"/>
        </w:tabs>
        <w:spacing w:line="380" w:lineRule="exact"/>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 xml:space="preserve">    3）推荐中标候选人名单；</w:t>
      </w:r>
    </w:p>
    <w:p>
      <w:pPr>
        <w:tabs>
          <w:tab w:val="left" w:pos="360"/>
          <w:tab w:val="left" w:pos="840"/>
        </w:tabs>
        <w:spacing w:line="380" w:lineRule="exact"/>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 xml:space="preserve">    4）向采购代理机构或者有关部门报告非法干预评标工作的行为。</w:t>
      </w:r>
    </w:p>
    <w:p>
      <w:pPr>
        <w:tabs>
          <w:tab w:val="left" w:pos="360"/>
          <w:tab w:val="left" w:pos="840"/>
        </w:tabs>
        <w:spacing w:line="380" w:lineRule="exact"/>
        <w:jc w:val="left"/>
        <w:rPr>
          <w:rFonts w:ascii="宋体" w:hAnsi="宋体" w:cs="宋体-PUA"/>
          <w:b/>
          <w:color w:val="000000" w:themeColor="text1"/>
          <w:sz w:val="24"/>
          <w:highlight w:val="none"/>
          <w14:textFill>
            <w14:solidFill>
              <w14:schemeClr w14:val="tx1"/>
            </w14:solidFill>
          </w14:textFill>
        </w:rPr>
      </w:pPr>
      <w:r>
        <w:rPr>
          <w:rFonts w:hint="eastAsia" w:ascii="宋体" w:hAnsi="宋体" w:cs="宋体-PUA"/>
          <w:b/>
          <w:color w:val="000000" w:themeColor="text1"/>
          <w:sz w:val="24"/>
          <w:highlight w:val="none"/>
          <w14:textFill>
            <w14:solidFill>
              <w14:schemeClr w14:val="tx1"/>
            </w14:solidFill>
          </w14:textFill>
        </w:rPr>
        <w:t xml:space="preserve">    二、评标程序</w:t>
      </w:r>
    </w:p>
    <w:p>
      <w:pPr>
        <w:tabs>
          <w:tab w:val="left" w:pos="360"/>
          <w:tab w:val="left" w:pos="840"/>
        </w:tabs>
        <w:spacing w:line="380" w:lineRule="exact"/>
        <w:ind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根据《政府采购货物和服务招标投标管理办法》的规定，评标按照下列工作程序进行：</w:t>
      </w:r>
    </w:p>
    <w:p>
      <w:pPr>
        <w:tabs>
          <w:tab w:val="left" w:pos="360"/>
          <w:tab w:val="left" w:pos="840"/>
        </w:tabs>
        <w:spacing w:line="380" w:lineRule="exact"/>
        <w:ind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1、投标文件符合性审查评审</w:t>
      </w:r>
    </w:p>
    <w:p>
      <w:pPr>
        <w:tabs>
          <w:tab w:val="left" w:pos="360"/>
          <w:tab w:val="left" w:pos="840"/>
        </w:tabs>
        <w:spacing w:line="380" w:lineRule="exact"/>
        <w:ind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2、投标文件技术资信文件评审；</w:t>
      </w:r>
    </w:p>
    <w:p>
      <w:pPr>
        <w:tabs>
          <w:tab w:val="left" w:pos="360"/>
          <w:tab w:val="left" w:pos="840"/>
        </w:tabs>
        <w:spacing w:line="380" w:lineRule="exact"/>
        <w:ind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 xml:space="preserve">3、投标文件商务文件审查；  </w:t>
      </w:r>
    </w:p>
    <w:p>
      <w:pPr>
        <w:tabs>
          <w:tab w:val="left" w:pos="360"/>
          <w:tab w:val="left" w:pos="840"/>
        </w:tabs>
        <w:spacing w:line="380" w:lineRule="exact"/>
        <w:ind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4、推荐中标候选人名单，编写评标报告。</w:t>
      </w:r>
    </w:p>
    <w:p>
      <w:pPr>
        <w:tabs>
          <w:tab w:val="left" w:pos="360"/>
          <w:tab w:val="left" w:pos="840"/>
        </w:tabs>
        <w:spacing w:line="380" w:lineRule="exact"/>
        <w:jc w:val="left"/>
        <w:rPr>
          <w:rFonts w:ascii="宋体" w:hAnsi="宋体" w:cs="宋体-PUA"/>
          <w:b/>
          <w:color w:val="000000" w:themeColor="text1"/>
          <w:sz w:val="24"/>
          <w:highlight w:val="none"/>
          <w14:textFill>
            <w14:solidFill>
              <w14:schemeClr w14:val="tx1"/>
            </w14:solidFill>
          </w14:textFill>
        </w:rPr>
      </w:pPr>
      <w:r>
        <w:rPr>
          <w:rFonts w:hint="eastAsia" w:ascii="宋体" w:hAnsi="宋体" w:cs="宋体-PUA"/>
          <w:b/>
          <w:color w:val="000000" w:themeColor="text1"/>
          <w:sz w:val="24"/>
          <w:highlight w:val="none"/>
          <w14:textFill>
            <w14:solidFill>
              <w14:schemeClr w14:val="tx1"/>
            </w14:solidFill>
          </w14:textFill>
        </w:rPr>
        <w:t xml:space="preserve">    三、定标及定标程序</w:t>
      </w:r>
    </w:p>
    <w:p>
      <w:pPr>
        <w:tabs>
          <w:tab w:val="left" w:pos="360"/>
          <w:tab w:val="left" w:pos="840"/>
        </w:tabs>
        <w:spacing w:line="380" w:lineRule="exact"/>
        <w:ind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1、定标原则：根据招标文件评分办法按综合得分（技术资信得分+商务分）由高到低，推荐三名第一中标候选人，经公示无异议后，在招投标监管部门、纪检监察部门、公证人员等的监督下，于衢州市柯城区双港街道办事处由业主代表随机抽取第一中标候选人中的一家为中标人，采购人将对中标人签发《中标通知书》。</w:t>
      </w:r>
    </w:p>
    <w:p>
      <w:pPr>
        <w:tabs>
          <w:tab w:val="left" w:pos="360"/>
          <w:tab w:val="left" w:pos="840"/>
        </w:tabs>
        <w:spacing w:line="380" w:lineRule="exact"/>
        <w:ind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2、定标程序</w:t>
      </w:r>
    </w:p>
    <w:p>
      <w:pPr>
        <w:tabs>
          <w:tab w:val="left" w:pos="360"/>
          <w:tab w:val="left" w:pos="840"/>
        </w:tabs>
        <w:spacing w:line="380" w:lineRule="exact"/>
        <w:ind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1）评委会将评标情况写出书面评审报告，推荐中标人，并按照综合评分的高低排列顺序，确定得分前三名为第一中标候选人，得分第四名为第二中标候选人，得分第五名为第三中标候选人，如投标人综合得分相同的，资信部分高者为中标候选人。综合得分且资信部分得分均相同的，则摇号选取中标候选人。</w:t>
      </w:r>
    </w:p>
    <w:p>
      <w:pPr>
        <w:tabs>
          <w:tab w:val="left" w:pos="360"/>
          <w:tab w:val="left" w:pos="840"/>
        </w:tabs>
        <w:spacing w:line="380" w:lineRule="exact"/>
        <w:ind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2）根据评委会确定的中标人，采购代理机构在浙江政府采购网（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"http://www.zjzfcg.gov.cn/" </w:instrText>
      </w:r>
      <w:r>
        <w:rPr>
          <w:color w:val="000000" w:themeColor="text1"/>
          <w:highlight w:val="none"/>
          <w14:textFill>
            <w14:solidFill>
              <w14:schemeClr w14:val="tx1"/>
            </w14:solidFill>
          </w14:textFill>
        </w:rPr>
        <w:fldChar w:fldCharType="separate"/>
      </w:r>
      <w:r>
        <w:rPr>
          <w:rFonts w:hint="eastAsia" w:ascii="宋体" w:hAnsi="宋体" w:cs="宋体-PUA"/>
          <w:color w:val="000000" w:themeColor="text1"/>
          <w:sz w:val="24"/>
          <w:highlight w:val="none"/>
          <w14:textFill>
            <w14:solidFill>
              <w14:schemeClr w14:val="tx1"/>
            </w14:solidFill>
          </w14:textFill>
        </w:rPr>
        <w:t>https://zfcg. czt.zj. gov.cn</w:t>
      </w:r>
      <w:r>
        <w:rPr>
          <w:rFonts w:hint="eastAsia" w:ascii="宋体" w:hAnsi="宋体" w:cs="宋体-PUA"/>
          <w:color w:val="000000" w:themeColor="text1"/>
          <w:sz w:val="24"/>
          <w:highlight w:val="none"/>
          <w14:textFill>
            <w14:solidFill>
              <w14:schemeClr w14:val="tx1"/>
            </w14:solidFill>
          </w14:textFill>
        </w:rPr>
        <w:fldChar w:fldCharType="end"/>
      </w:r>
      <w:r>
        <w:rPr>
          <w:rFonts w:hint="eastAsia" w:ascii="宋体" w:hAnsi="宋体" w:cs="宋体-PUA"/>
          <w:color w:val="000000" w:themeColor="text1"/>
          <w:sz w:val="24"/>
          <w:highlight w:val="none"/>
          <w14:textFill>
            <w14:solidFill>
              <w14:schemeClr w14:val="tx1"/>
            </w14:solidFill>
          </w14:textFill>
        </w:rPr>
        <w:t>）；</w:t>
      </w:r>
    </w:p>
    <w:p>
      <w:pPr>
        <w:tabs>
          <w:tab w:val="left" w:pos="360"/>
          <w:tab w:val="left" w:pos="840"/>
        </w:tabs>
        <w:spacing w:line="380" w:lineRule="exact"/>
        <w:ind w:firstLine="720" w:firstLineChars="3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衢州市柯城区人民政府网（http://www.kecheng.gov.cn/）发布中标公示，中标公示结束后且无疑义后，在招投标监管部门、纪检监察部门、公证人员等的监督下，于衢州市柯城区双港街道办事处由业主代表随机抽取第一中标候选人中的一家为中标人。</w:t>
      </w:r>
    </w:p>
    <w:p>
      <w:pPr>
        <w:tabs>
          <w:tab w:val="left" w:pos="360"/>
          <w:tab w:val="left" w:pos="840"/>
        </w:tabs>
        <w:spacing w:line="380" w:lineRule="exact"/>
        <w:ind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3）采购代理机构不解释中标或落标原因，不退回投标文件和其他投标资料。</w:t>
      </w:r>
    </w:p>
    <w:p>
      <w:pPr>
        <w:tabs>
          <w:tab w:val="left" w:pos="360"/>
          <w:tab w:val="left" w:pos="840"/>
        </w:tabs>
        <w:spacing w:line="380" w:lineRule="exact"/>
        <w:jc w:val="left"/>
        <w:rPr>
          <w:rFonts w:ascii="宋体" w:hAnsi="宋体" w:cs="宋体-PUA"/>
          <w:b/>
          <w:color w:val="000000" w:themeColor="text1"/>
          <w:sz w:val="24"/>
          <w:highlight w:val="none"/>
          <w14:textFill>
            <w14:solidFill>
              <w14:schemeClr w14:val="tx1"/>
            </w14:solidFill>
          </w14:textFill>
        </w:rPr>
      </w:pPr>
    </w:p>
    <w:p>
      <w:pPr>
        <w:tabs>
          <w:tab w:val="left" w:pos="360"/>
          <w:tab w:val="left" w:pos="840"/>
        </w:tabs>
        <w:spacing w:line="380" w:lineRule="exact"/>
        <w:jc w:val="left"/>
        <w:rPr>
          <w:rFonts w:ascii="宋体" w:hAnsi="宋体" w:cs="宋体-PUA"/>
          <w:b/>
          <w:color w:val="000000" w:themeColor="text1"/>
          <w:sz w:val="24"/>
          <w:highlight w:val="none"/>
          <w14:textFill>
            <w14:solidFill>
              <w14:schemeClr w14:val="tx1"/>
            </w14:solidFill>
          </w14:textFill>
        </w:rPr>
      </w:pPr>
      <w:r>
        <w:rPr>
          <w:rFonts w:hint="eastAsia" w:ascii="宋体" w:hAnsi="宋体" w:cs="宋体-PUA"/>
          <w:b/>
          <w:color w:val="000000" w:themeColor="text1"/>
          <w:sz w:val="24"/>
          <w:highlight w:val="none"/>
          <w14:textFill>
            <w14:solidFill>
              <w14:schemeClr w14:val="tx1"/>
            </w14:solidFill>
          </w14:textFill>
        </w:rPr>
        <w:t xml:space="preserve">  四、评标方法</w:t>
      </w:r>
    </w:p>
    <w:p>
      <w:pPr>
        <w:tabs>
          <w:tab w:val="left" w:pos="360"/>
          <w:tab w:val="left" w:pos="840"/>
        </w:tabs>
        <w:spacing w:line="380" w:lineRule="exact"/>
        <w:ind w:firstLine="480" w:firstLineChars="200"/>
        <w:rPr>
          <w:rFonts w:ascii="宋体" w:hAnsi="宋体" w:cs="宋体-PUA"/>
          <w:b/>
          <w:bCs/>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1、本次评标采用综合评分法，总分为100分，</w:t>
      </w:r>
      <w:r>
        <w:rPr>
          <w:rFonts w:hint="eastAsia" w:ascii="宋体" w:hAnsi="宋体" w:cs="宋体-PUA"/>
          <w:b/>
          <w:bCs/>
          <w:color w:val="000000" w:themeColor="text1"/>
          <w:sz w:val="24"/>
          <w:highlight w:val="none"/>
          <w14:textFill>
            <w14:solidFill>
              <w14:schemeClr w14:val="tx1"/>
            </w14:solidFill>
          </w14:textFill>
        </w:rPr>
        <w:t>其中技术资信分80分，商务分20分。</w:t>
      </w:r>
    </w:p>
    <w:p>
      <w:pPr>
        <w:tabs>
          <w:tab w:val="left" w:pos="360"/>
          <w:tab w:val="left" w:pos="840"/>
        </w:tabs>
        <w:spacing w:line="380" w:lineRule="exact"/>
        <w:ind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2、评标综合得分=技术资信分+商务分。</w:t>
      </w:r>
    </w:p>
    <w:p>
      <w:pPr>
        <w:tabs>
          <w:tab w:val="left" w:pos="360"/>
          <w:tab w:val="left" w:pos="840"/>
        </w:tabs>
        <w:spacing w:line="380" w:lineRule="exact"/>
        <w:jc w:val="left"/>
        <w:rPr>
          <w:rFonts w:ascii="宋体" w:hAnsi="宋体" w:cs="宋体-PUA"/>
          <w:b/>
          <w:color w:val="000000" w:themeColor="text1"/>
          <w:sz w:val="24"/>
          <w:highlight w:val="none"/>
          <w14:textFill>
            <w14:solidFill>
              <w14:schemeClr w14:val="tx1"/>
            </w14:solidFill>
          </w14:textFill>
        </w:rPr>
      </w:pPr>
      <w:r>
        <w:rPr>
          <w:rFonts w:hint="eastAsia" w:ascii="宋体" w:hAnsi="宋体" w:cs="宋体-PUA"/>
          <w:b/>
          <w:color w:val="000000" w:themeColor="text1"/>
          <w:sz w:val="24"/>
          <w:highlight w:val="none"/>
          <w14:textFill>
            <w14:solidFill>
              <w14:schemeClr w14:val="tx1"/>
            </w14:solidFill>
          </w14:textFill>
        </w:rPr>
        <w:t xml:space="preserve">    五、评标细则及标准</w:t>
      </w:r>
    </w:p>
    <w:p>
      <w:pPr>
        <w:tabs>
          <w:tab w:val="left" w:pos="360"/>
          <w:tab w:val="left" w:pos="840"/>
        </w:tabs>
        <w:spacing w:line="380" w:lineRule="exact"/>
        <w:ind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1、在投标文件评审过程中，如果出现评标委员会成员意见不一致的情况，按照少数服从多数的原则确定。</w:t>
      </w:r>
    </w:p>
    <w:p>
      <w:pPr>
        <w:tabs>
          <w:tab w:val="left" w:pos="360"/>
          <w:tab w:val="left" w:pos="840"/>
        </w:tabs>
        <w:spacing w:line="380" w:lineRule="exact"/>
        <w:ind w:firstLine="480" w:firstLineChars="200"/>
        <w:rPr>
          <w:rFonts w:ascii="宋体" w:hAnsi="宋体" w:cs="宋体-PUA"/>
          <w:bCs/>
          <w:color w:val="000000" w:themeColor="text1"/>
          <w:sz w:val="24"/>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2、具体评分细则</w:t>
      </w:r>
    </w:p>
    <w:p>
      <w:pPr>
        <w:tabs>
          <w:tab w:val="left" w:pos="360"/>
          <w:tab w:val="left" w:pos="840"/>
        </w:tabs>
        <w:spacing w:line="380" w:lineRule="exact"/>
        <w:ind w:firstLine="480" w:firstLineChars="200"/>
        <w:rPr>
          <w:rFonts w:ascii="宋体" w:hAnsi="宋体" w:cs="宋体-PUA"/>
          <w:bCs/>
          <w:color w:val="000000" w:themeColor="text1"/>
          <w:sz w:val="24"/>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1）投标人的资格审查，投标人必须满足下列资格审查，如有一项不满足的，资格后审不予通过。</w:t>
      </w:r>
    </w:p>
    <w:p>
      <w:pPr>
        <w:tabs>
          <w:tab w:val="left" w:pos="360"/>
          <w:tab w:val="left" w:pos="840"/>
        </w:tabs>
        <w:spacing w:line="380" w:lineRule="exact"/>
        <w:ind w:firstLine="480" w:firstLineChars="200"/>
        <w:rPr>
          <w:rFonts w:ascii="宋体" w:hAnsi="宋体" w:cs="宋体-PUA"/>
          <w:b/>
          <w:color w:val="000000" w:themeColor="text1"/>
          <w:sz w:val="24"/>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企业资格要求：</w:t>
      </w:r>
      <w:r>
        <w:rPr>
          <w:rFonts w:hint="eastAsia" w:ascii="宋体" w:hAnsi="宋体" w:cs="宋体-PUA"/>
          <w:b/>
          <w:color w:val="000000" w:themeColor="text1"/>
          <w:sz w:val="24"/>
          <w:highlight w:val="none"/>
          <w14:textFill>
            <w14:solidFill>
              <w14:schemeClr w14:val="tx1"/>
            </w14:solidFill>
          </w14:textFill>
        </w:rPr>
        <w:t>具有建设部颁发的房地产估价贰级（含）以上资质证书；</w:t>
      </w:r>
    </w:p>
    <w:p>
      <w:pPr>
        <w:tabs>
          <w:tab w:val="left" w:pos="360"/>
          <w:tab w:val="left" w:pos="840"/>
        </w:tabs>
        <w:spacing w:line="380" w:lineRule="exact"/>
        <w:ind w:firstLine="480" w:firstLineChars="200"/>
        <w:rPr>
          <w:rFonts w:ascii="宋体" w:hAnsi="宋体" w:cs="宋体-PUA"/>
          <w:b/>
          <w:color w:val="000000" w:themeColor="text1"/>
          <w:sz w:val="24"/>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项目负责人要求：</w:t>
      </w:r>
      <w:r>
        <w:rPr>
          <w:rFonts w:hint="eastAsia" w:ascii="宋体" w:hAnsi="宋体" w:cs="宋体-PUA"/>
          <w:b/>
          <w:color w:val="000000" w:themeColor="text1"/>
          <w:sz w:val="24"/>
          <w:highlight w:val="none"/>
          <w14:textFill>
            <w14:solidFill>
              <w14:schemeClr w14:val="tx1"/>
            </w14:solidFill>
          </w14:textFill>
        </w:rPr>
        <w:t>具有注册房地产估价师或评估师资格。</w:t>
      </w:r>
    </w:p>
    <w:p>
      <w:pPr>
        <w:tabs>
          <w:tab w:val="left" w:pos="360"/>
          <w:tab w:val="left" w:pos="840"/>
        </w:tabs>
        <w:spacing w:line="380" w:lineRule="exact"/>
        <w:ind w:firstLine="482" w:firstLineChars="200"/>
        <w:rPr>
          <w:rFonts w:ascii="宋体" w:hAnsi="宋体" w:cs="宋体-PUA"/>
          <w:b/>
          <w:bCs/>
          <w:color w:val="000000" w:themeColor="text1"/>
          <w:sz w:val="24"/>
          <w:highlight w:val="none"/>
          <w14:textFill>
            <w14:solidFill>
              <w14:schemeClr w14:val="tx1"/>
            </w14:solidFill>
          </w14:textFill>
        </w:rPr>
      </w:pPr>
      <w:r>
        <w:rPr>
          <w:rFonts w:hint="eastAsia" w:ascii="宋体" w:hAnsi="宋体" w:cs="宋体-PUA"/>
          <w:b/>
          <w:bCs/>
          <w:color w:val="000000" w:themeColor="text1"/>
          <w:sz w:val="24"/>
          <w:highlight w:val="none"/>
          <w14:textFill>
            <w14:solidFill>
              <w14:schemeClr w14:val="tx1"/>
            </w14:solidFill>
          </w14:textFill>
        </w:rPr>
        <w:t>资格审查所涉及资料应提供原件扫描件并加盖公章，未按要求提供的，资格审查不予通过。</w:t>
      </w:r>
    </w:p>
    <w:p>
      <w:pPr>
        <w:tabs>
          <w:tab w:val="left" w:pos="360"/>
          <w:tab w:val="left" w:pos="840"/>
        </w:tabs>
        <w:spacing w:line="380" w:lineRule="exact"/>
        <w:ind w:firstLine="480" w:firstLineChars="200"/>
        <w:rPr>
          <w:rFonts w:ascii="宋体" w:hAnsi="宋体" w:cs="宋体-PUA"/>
          <w:bCs/>
          <w:color w:val="000000" w:themeColor="text1"/>
          <w:sz w:val="24"/>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2）评标办法和程序</w:t>
      </w:r>
    </w:p>
    <w:p>
      <w:pPr>
        <w:tabs>
          <w:tab w:val="left" w:pos="360"/>
          <w:tab w:val="left" w:pos="840"/>
        </w:tabs>
        <w:spacing w:line="380" w:lineRule="exact"/>
        <w:ind w:firstLine="480" w:firstLineChars="200"/>
        <w:rPr>
          <w:rFonts w:ascii="宋体" w:hAnsi="宋体" w:cs="宋体-PUA"/>
          <w:bCs/>
          <w:color w:val="000000" w:themeColor="text1"/>
          <w:sz w:val="24"/>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①先进行技术资信文件评审，技术资信文件得分公布后，进行商务文件评审。</w:t>
      </w:r>
    </w:p>
    <w:p>
      <w:pPr>
        <w:tabs>
          <w:tab w:val="left" w:pos="360"/>
          <w:tab w:val="left" w:pos="840"/>
        </w:tabs>
        <w:spacing w:line="380" w:lineRule="exact"/>
        <w:ind w:firstLine="482" w:firstLineChars="200"/>
        <w:rPr>
          <w:rFonts w:ascii="宋体" w:hAnsi="宋体" w:cs="宋体-PUA"/>
          <w:b/>
          <w:color w:val="000000" w:themeColor="text1"/>
          <w:sz w:val="24"/>
          <w:highlight w:val="none"/>
          <w14:textFill>
            <w14:solidFill>
              <w14:schemeClr w14:val="tx1"/>
            </w14:solidFill>
          </w14:textFill>
        </w:rPr>
      </w:pPr>
      <w:r>
        <w:rPr>
          <w:rFonts w:hint="eastAsia" w:ascii="宋体" w:hAnsi="宋体" w:cs="宋体-PUA"/>
          <w:b/>
          <w:color w:val="000000" w:themeColor="text1"/>
          <w:sz w:val="24"/>
          <w:highlight w:val="none"/>
          <w14:textFill>
            <w14:solidFill>
              <w14:schemeClr w14:val="tx1"/>
            </w14:solidFill>
          </w14:textFill>
        </w:rPr>
        <w:t>技术资信文件   (共80分)</w:t>
      </w:r>
    </w:p>
    <w:p>
      <w:pPr>
        <w:tabs>
          <w:tab w:val="left" w:pos="360"/>
          <w:tab w:val="left" w:pos="840"/>
        </w:tabs>
        <w:spacing w:line="380" w:lineRule="exact"/>
        <w:ind w:firstLine="480" w:firstLineChars="200"/>
        <w:rPr>
          <w:rFonts w:ascii="宋体" w:hAnsi="宋体" w:cs="宋体-PUA"/>
          <w:bCs/>
          <w:color w:val="000000" w:themeColor="text1"/>
          <w:sz w:val="24"/>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按下表中评分标准，资信部分由评标委员会成员统一评分，如有虚假上报相关规定严肃处理。技术部分由专家自行打分，若有缺漏项，则需经全体评委确认后，该小项打零分统计得分时，如发现某个单项的评分超出了评分细则所规定的分值范围，则该张评分表作无效处理，各小项最多保留两位小数。评委采用记名方式各自评分，投标人技术部分得分为全体评委评分的算术平均值（四舍五入保留两位小数）。</w:t>
      </w:r>
    </w:p>
    <w:p>
      <w:pPr>
        <w:pStyle w:val="2"/>
        <w:rPr>
          <w:color w:val="000000" w:themeColor="text1"/>
          <w:highlight w:val="none"/>
          <w14:textFill>
            <w14:solidFill>
              <w14:schemeClr w14:val="tx1"/>
            </w14:solidFill>
          </w14:textFill>
        </w:rPr>
      </w:pPr>
    </w:p>
    <w:tbl>
      <w:tblPr>
        <w:tblStyle w:val="15"/>
        <w:tblpPr w:leftFromText="180" w:rightFromText="180" w:vertAnchor="text" w:horzAnchor="page" w:tblpX="950" w:tblpY="232"/>
        <w:tblOverlap w:val="never"/>
        <w:tblW w:w="10184" w:type="dxa"/>
        <w:tblInd w:w="0" w:type="dxa"/>
        <w:tblLayout w:type="fixed"/>
        <w:tblCellMar>
          <w:top w:w="15" w:type="dxa"/>
          <w:left w:w="15" w:type="dxa"/>
          <w:bottom w:w="15" w:type="dxa"/>
          <w:right w:w="15" w:type="dxa"/>
        </w:tblCellMar>
      </w:tblPr>
      <w:tblGrid>
        <w:gridCol w:w="437"/>
        <w:gridCol w:w="570"/>
        <w:gridCol w:w="1170"/>
        <w:gridCol w:w="900"/>
        <w:gridCol w:w="3883"/>
        <w:gridCol w:w="3224"/>
      </w:tblGrid>
      <w:tr>
        <w:tblPrEx>
          <w:tblCellMar>
            <w:top w:w="15" w:type="dxa"/>
            <w:left w:w="15" w:type="dxa"/>
            <w:bottom w:w="15" w:type="dxa"/>
            <w:right w:w="15" w:type="dxa"/>
          </w:tblCellMar>
        </w:tblPrEx>
        <w:trPr>
          <w:trHeight w:val="440" w:hRule="atLeast"/>
        </w:trPr>
        <w:tc>
          <w:tcPr>
            <w:tcW w:w="437" w:type="dxa"/>
            <w:tcBorders>
              <w:top w:val="single" w:color="auto" w:sz="4" w:space="0"/>
              <w:left w:val="single" w:color="auto" w:sz="4" w:space="0"/>
              <w:bottom w:val="single" w:color="auto" w:sz="4" w:space="0"/>
              <w:right w:val="single" w:color="auto" w:sz="4" w:space="0"/>
            </w:tcBorders>
            <w:vAlign w:val="center"/>
          </w:tcPr>
          <w:p>
            <w:pPr>
              <w:pStyle w:val="27"/>
              <w:spacing w:line="240" w:lineRule="exact"/>
              <w:jc w:val="center"/>
              <w:rPr>
                <w:rFonts w:ascii="宋体" w:hAnsi="宋体"/>
                <w:color w:val="000000" w:themeColor="text1"/>
                <w:szCs w:val="21"/>
                <w:highlight w:val="none"/>
                <w14:textFill>
                  <w14:solidFill>
                    <w14:schemeClr w14:val="tx1"/>
                  </w14:solidFill>
                </w14:textFill>
              </w:rPr>
            </w:pPr>
          </w:p>
        </w:tc>
        <w:tc>
          <w:tcPr>
            <w:tcW w:w="1740" w:type="dxa"/>
            <w:gridSpan w:val="2"/>
            <w:tcBorders>
              <w:top w:val="single" w:color="auto" w:sz="4" w:space="0"/>
              <w:left w:val="single" w:color="auto" w:sz="4" w:space="0"/>
              <w:bottom w:val="single" w:color="auto" w:sz="4" w:space="0"/>
              <w:right w:val="single" w:color="auto" w:sz="4" w:space="0"/>
            </w:tcBorders>
            <w:vAlign w:val="center"/>
          </w:tcPr>
          <w:p>
            <w:pPr>
              <w:pStyle w:val="27"/>
              <w:spacing w:line="2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分值构成</w:t>
            </w:r>
          </w:p>
        </w:tc>
        <w:tc>
          <w:tcPr>
            <w:tcW w:w="900"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7"/>
              <w:spacing w:line="2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分项</w:t>
            </w:r>
          </w:p>
          <w:p>
            <w:pPr>
              <w:pStyle w:val="27"/>
              <w:spacing w:line="2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内容</w:t>
            </w:r>
          </w:p>
        </w:tc>
        <w:tc>
          <w:tcPr>
            <w:tcW w:w="3883"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7"/>
              <w:spacing w:line="2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要    求</w:t>
            </w:r>
          </w:p>
        </w:tc>
        <w:tc>
          <w:tcPr>
            <w:tcW w:w="3224" w:type="dxa"/>
            <w:vMerge w:val="restart"/>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pStyle w:val="27"/>
              <w:spacing w:line="2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备注</w:t>
            </w:r>
          </w:p>
        </w:tc>
      </w:tr>
      <w:tr>
        <w:tblPrEx>
          <w:tblCellMar>
            <w:top w:w="15" w:type="dxa"/>
            <w:left w:w="15" w:type="dxa"/>
            <w:bottom w:w="15" w:type="dxa"/>
            <w:right w:w="15" w:type="dxa"/>
          </w:tblCellMar>
        </w:tblPrEx>
        <w:trPr>
          <w:trHeight w:val="397" w:hRule="atLeast"/>
        </w:trPr>
        <w:tc>
          <w:tcPr>
            <w:tcW w:w="43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7"/>
              <w:spacing w:line="240" w:lineRule="exact"/>
              <w:jc w:val="center"/>
              <w:rPr>
                <w:rFonts w:ascii="宋体" w:hAnsi="宋体"/>
                <w:color w:val="000000" w:themeColor="text1"/>
                <w:szCs w:val="21"/>
                <w:highlight w:val="none"/>
                <w14:textFill>
                  <w14:solidFill>
                    <w14:schemeClr w14:val="tx1"/>
                  </w14:solidFill>
                </w14:textFill>
              </w:rPr>
            </w:pPr>
          </w:p>
        </w:tc>
        <w:tc>
          <w:tcPr>
            <w:tcW w:w="5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7"/>
              <w:spacing w:line="2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总计</w:t>
            </w:r>
          </w:p>
        </w:tc>
        <w:tc>
          <w:tcPr>
            <w:tcW w:w="11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7"/>
              <w:spacing w:line="2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分值</w:t>
            </w:r>
          </w:p>
          <w:p>
            <w:pPr>
              <w:pStyle w:val="27"/>
              <w:spacing w:line="2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（分-分）</w:t>
            </w:r>
          </w:p>
        </w:tc>
        <w:tc>
          <w:tcPr>
            <w:tcW w:w="900"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rPr>
                <w:rFonts w:ascii="宋体" w:hAnsi="宋体"/>
                <w:color w:val="000000" w:themeColor="text1"/>
                <w:szCs w:val="21"/>
                <w:highlight w:val="none"/>
                <w14:textFill>
                  <w14:solidFill>
                    <w14:schemeClr w14:val="tx1"/>
                  </w14:solidFill>
                </w14:textFill>
              </w:rPr>
            </w:pPr>
          </w:p>
        </w:tc>
        <w:tc>
          <w:tcPr>
            <w:tcW w:w="3883"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rPr>
                <w:rFonts w:ascii="宋体" w:hAnsi="宋体"/>
                <w:color w:val="000000" w:themeColor="text1"/>
                <w:szCs w:val="21"/>
                <w:highlight w:val="none"/>
                <w14:textFill>
                  <w14:solidFill>
                    <w14:schemeClr w14:val="tx1"/>
                  </w14:solidFill>
                </w14:textFill>
              </w:rPr>
            </w:pPr>
          </w:p>
        </w:tc>
        <w:tc>
          <w:tcPr>
            <w:tcW w:w="3224" w:type="dxa"/>
            <w:vMerge w:val="continue"/>
            <w:tcBorders>
              <w:top w:val="single" w:color="000000" w:sz="4" w:space="0"/>
              <w:left w:val="single" w:color="auto" w:sz="4" w:space="0"/>
              <w:bottom w:val="single" w:color="auto" w:sz="4" w:space="0"/>
              <w:right w:val="single" w:color="000000" w:sz="4" w:space="0"/>
            </w:tcBorders>
            <w:tcMar>
              <w:top w:w="0" w:type="dxa"/>
              <w:left w:w="108" w:type="dxa"/>
              <w:bottom w:w="0" w:type="dxa"/>
              <w:right w:w="108" w:type="dxa"/>
            </w:tcMar>
            <w:vAlign w:val="center"/>
          </w:tcPr>
          <w:p>
            <w:pPr>
              <w:spacing w:line="240" w:lineRule="exact"/>
              <w:rPr>
                <w:rFonts w:ascii="宋体" w:hAnsi="宋体"/>
                <w:color w:val="000000" w:themeColor="text1"/>
                <w:szCs w:val="21"/>
                <w:highlight w:val="none"/>
                <w14:textFill>
                  <w14:solidFill>
                    <w14:schemeClr w14:val="tx1"/>
                  </w14:solidFill>
                </w14:textFill>
              </w:rPr>
            </w:pPr>
          </w:p>
        </w:tc>
      </w:tr>
      <w:tr>
        <w:tblPrEx>
          <w:tblCellMar>
            <w:top w:w="15" w:type="dxa"/>
            <w:left w:w="15" w:type="dxa"/>
            <w:bottom w:w="15" w:type="dxa"/>
            <w:right w:w="15" w:type="dxa"/>
          </w:tblCellMar>
        </w:tblPrEx>
        <w:trPr>
          <w:trHeight w:val="3170" w:hRule="atLeast"/>
        </w:trPr>
        <w:tc>
          <w:tcPr>
            <w:tcW w:w="437"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7"/>
              <w:spacing w:line="240" w:lineRule="exact"/>
              <w:jc w:val="center"/>
              <w:rPr>
                <w:rFonts w:ascii="宋体" w:hAnsi="宋体"/>
                <w:color w:val="000000" w:themeColor="text1"/>
                <w:szCs w:val="21"/>
                <w:highlight w:val="none"/>
                <w14:textFill>
                  <w14:solidFill>
                    <w14:schemeClr w14:val="tx1"/>
                  </w14:solidFill>
                </w14:textFill>
              </w:rPr>
            </w:pPr>
          </w:p>
          <w:p>
            <w:pPr>
              <w:pStyle w:val="27"/>
              <w:spacing w:line="240" w:lineRule="exact"/>
              <w:jc w:val="center"/>
              <w:rPr>
                <w:rFonts w:ascii="宋体" w:hAnsi="宋体"/>
                <w:color w:val="000000" w:themeColor="text1"/>
                <w:szCs w:val="21"/>
                <w:highlight w:val="none"/>
                <w14:textFill>
                  <w14:solidFill>
                    <w14:schemeClr w14:val="tx1"/>
                  </w14:solidFill>
                </w14:textFill>
              </w:rPr>
            </w:pPr>
          </w:p>
          <w:p>
            <w:pPr>
              <w:pStyle w:val="27"/>
              <w:spacing w:line="240" w:lineRule="exact"/>
              <w:jc w:val="center"/>
              <w:rPr>
                <w:rFonts w:ascii="宋体" w:hAnsi="宋体"/>
                <w:color w:val="000000" w:themeColor="text1"/>
                <w:szCs w:val="21"/>
                <w:highlight w:val="none"/>
                <w14:textFill>
                  <w14:solidFill>
                    <w14:schemeClr w14:val="tx1"/>
                  </w14:solidFill>
                </w14:textFill>
              </w:rPr>
            </w:pPr>
          </w:p>
          <w:p>
            <w:pPr>
              <w:pStyle w:val="27"/>
              <w:spacing w:line="240" w:lineRule="exact"/>
              <w:jc w:val="center"/>
              <w:rPr>
                <w:rFonts w:ascii="宋体" w:hAnsi="宋体"/>
                <w:color w:val="000000" w:themeColor="text1"/>
                <w:szCs w:val="21"/>
                <w:highlight w:val="none"/>
                <w14:textFill>
                  <w14:solidFill>
                    <w14:schemeClr w14:val="tx1"/>
                  </w14:solidFill>
                </w14:textFill>
              </w:rPr>
            </w:pPr>
          </w:p>
          <w:p>
            <w:pPr>
              <w:pStyle w:val="27"/>
              <w:spacing w:line="240" w:lineRule="exact"/>
              <w:jc w:val="center"/>
              <w:rPr>
                <w:rFonts w:ascii="宋体" w:hAnsi="宋体"/>
                <w:color w:val="000000" w:themeColor="text1"/>
                <w:szCs w:val="21"/>
                <w:highlight w:val="none"/>
                <w14:textFill>
                  <w14:solidFill>
                    <w14:schemeClr w14:val="tx1"/>
                  </w14:solidFill>
                </w14:textFill>
              </w:rPr>
            </w:pPr>
          </w:p>
          <w:p>
            <w:pPr>
              <w:pStyle w:val="27"/>
              <w:spacing w:line="2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资信部分</w:t>
            </w:r>
          </w:p>
        </w:tc>
        <w:tc>
          <w:tcPr>
            <w:tcW w:w="570"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7"/>
              <w:spacing w:line="240" w:lineRule="exact"/>
              <w:jc w:val="center"/>
              <w:rPr>
                <w:rFonts w:ascii="宋体" w:hAnsi="宋体"/>
                <w:color w:val="000000" w:themeColor="text1"/>
                <w:szCs w:val="21"/>
                <w:highlight w:val="none"/>
                <w14:textFill>
                  <w14:solidFill>
                    <w14:schemeClr w14:val="tx1"/>
                  </w14:solidFill>
                </w14:textFill>
              </w:rPr>
            </w:pPr>
          </w:p>
          <w:p>
            <w:pPr>
              <w:pStyle w:val="27"/>
              <w:spacing w:line="240" w:lineRule="exact"/>
              <w:jc w:val="center"/>
              <w:rPr>
                <w:rFonts w:ascii="宋体" w:hAnsi="宋体"/>
                <w:color w:val="000000" w:themeColor="text1"/>
                <w:szCs w:val="21"/>
                <w:highlight w:val="none"/>
                <w14:textFill>
                  <w14:solidFill>
                    <w14:schemeClr w14:val="tx1"/>
                  </w14:solidFill>
                </w14:textFill>
              </w:rPr>
            </w:pPr>
          </w:p>
          <w:p>
            <w:pPr>
              <w:pStyle w:val="27"/>
              <w:spacing w:line="240" w:lineRule="exact"/>
              <w:jc w:val="center"/>
              <w:rPr>
                <w:rFonts w:ascii="宋体" w:hAnsi="宋体"/>
                <w:color w:val="000000" w:themeColor="text1"/>
                <w:szCs w:val="21"/>
                <w:highlight w:val="none"/>
                <w14:textFill>
                  <w14:solidFill>
                    <w14:schemeClr w14:val="tx1"/>
                  </w14:solidFill>
                </w14:textFill>
              </w:rPr>
            </w:pPr>
          </w:p>
          <w:p>
            <w:pPr>
              <w:pStyle w:val="27"/>
              <w:spacing w:line="240" w:lineRule="exact"/>
              <w:jc w:val="center"/>
              <w:rPr>
                <w:rFonts w:ascii="宋体" w:hAnsi="宋体"/>
                <w:color w:val="000000" w:themeColor="text1"/>
                <w:szCs w:val="21"/>
                <w:highlight w:val="none"/>
                <w14:textFill>
                  <w14:solidFill>
                    <w14:schemeClr w14:val="tx1"/>
                  </w14:solidFill>
                </w14:textFill>
              </w:rPr>
            </w:pPr>
          </w:p>
          <w:p>
            <w:pPr>
              <w:pStyle w:val="27"/>
              <w:spacing w:line="240" w:lineRule="exact"/>
              <w:jc w:val="center"/>
              <w:rPr>
                <w:rFonts w:ascii="宋体" w:hAnsi="宋体"/>
                <w:color w:val="000000" w:themeColor="text1"/>
                <w:szCs w:val="21"/>
                <w:highlight w:val="none"/>
                <w14:textFill>
                  <w14:solidFill>
                    <w14:schemeClr w14:val="tx1"/>
                  </w14:solidFill>
                </w14:textFill>
              </w:rPr>
            </w:pPr>
          </w:p>
          <w:p>
            <w:pPr>
              <w:pStyle w:val="27"/>
              <w:spacing w:line="2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30分</w:t>
            </w:r>
          </w:p>
        </w:tc>
        <w:tc>
          <w:tcPr>
            <w:tcW w:w="11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7"/>
              <w:spacing w:line="32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0-15</w:t>
            </w:r>
          </w:p>
        </w:tc>
        <w:tc>
          <w:tcPr>
            <w:tcW w:w="9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2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企业</w:t>
            </w:r>
          </w:p>
          <w:p>
            <w:pPr>
              <w:spacing w:line="32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业绩</w:t>
            </w:r>
          </w:p>
        </w:tc>
        <w:tc>
          <w:tcPr>
            <w:tcW w:w="38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20" w:lineRule="exact"/>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自201</w:t>
            </w:r>
            <w:r>
              <w:rPr>
                <w:rFonts w:hint="eastAsia" w:ascii="宋体" w:hAnsi="宋体"/>
                <w:b/>
                <w:bCs/>
                <w:color w:val="000000" w:themeColor="text1"/>
                <w:szCs w:val="21"/>
                <w:highlight w:val="none"/>
                <w:lang w:val="en-US" w:eastAsia="zh-CN"/>
                <w14:textFill>
                  <w14:solidFill>
                    <w14:schemeClr w14:val="tx1"/>
                  </w14:solidFill>
                </w14:textFill>
              </w:rPr>
              <w:t>8</w:t>
            </w:r>
            <w:r>
              <w:rPr>
                <w:rFonts w:hint="eastAsia" w:ascii="宋体" w:hAnsi="宋体"/>
                <w:b/>
                <w:bCs/>
                <w:color w:val="000000" w:themeColor="text1"/>
                <w:szCs w:val="21"/>
                <w:highlight w:val="none"/>
                <w14:textFill>
                  <w14:solidFill>
                    <w14:schemeClr w14:val="tx1"/>
                  </w14:solidFill>
                </w14:textFill>
              </w:rPr>
              <w:t>年1月1日以来承担集体、国有土地上房屋征收项目评估，按征收建筑面积，</w:t>
            </w:r>
          </w:p>
          <w:p>
            <w:pPr>
              <w:spacing w:line="320" w:lineRule="exact"/>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每提供1个</w:t>
            </w:r>
            <w:r>
              <w:rPr>
                <w:rFonts w:hint="eastAsia" w:ascii="宋体" w:hAnsi="宋体"/>
                <w:b/>
                <w:bCs/>
                <w:color w:val="000000" w:themeColor="text1"/>
                <w:szCs w:val="21"/>
                <w:highlight w:val="none"/>
                <w:u w:val="single"/>
                <w14:textFill>
                  <w14:solidFill>
                    <w14:schemeClr w14:val="tx1"/>
                  </w14:solidFill>
                </w14:textFill>
              </w:rPr>
              <w:t>3-</w:t>
            </w:r>
            <w:r>
              <w:rPr>
                <w:rFonts w:hint="eastAsia" w:ascii="宋体" w:hAnsi="宋体"/>
                <w:b/>
                <w:bCs/>
                <w:color w:val="000000" w:themeColor="text1"/>
                <w:szCs w:val="21"/>
                <w:highlight w:val="none"/>
                <w:u w:val="single"/>
                <w:lang w:val="en-US" w:eastAsia="zh-CN"/>
                <w14:textFill>
                  <w14:solidFill>
                    <w14:schemeClr w14:val="tx1"/>
                  </w14:solidFill>
                </w14:textFill>
              </w:rPr>
              <w:t>6</w:t>
            </w:r>
            <w:r>
              <w:rPr>
                <w:rFonts w:hint="eastAsia" w:ascii="宋体" w:hAnsi="宋体"/>
                <w:b/>
                <w:bCs/>
                <w:color w:val="000000" w:themeColor="text1"/>
                <w:szCs w:val="21"/>
                <w:highlight w:val="none"/>
                <w14:textFill>
                  <w14:solidFill>
                    <w14:schemeClr w14:val="tx1"/>
                  </w14:solidFill>
                </w14:textFill>
              </w:rPr>
              <w:t>万</w:t>
            </w:r>
            <w:r>
              <w:rPr>
                <w:rFonts w:hint="eastAsia" w:ascii="宋体" w:hAnsi="宋体"/>
                <w:b/>
                <w:bCs/>
                <w:color w:val="000000" w:themeColor="text1"/>
                <w:szCs w:val="21"/>
                <w:highlight w:val="none"/>
                <w14:textFill>
                  <w14:solidFill>
                    <w14:schemeClr w14:val="tx1"/>
                  </w14:solidFill>
                </w14:textFill>
              </w:rPr>
              <w:t>（含）㎡项目得2分；每提供1个</w:t>
            </w:r>
            <w:r>
              <w:rPr>
                <w:rFonts w:hint="eastAsia" w:ascii="宋体" w:hAnsi="宋体"/>
                <w:b/>
                <w:bCs/>
                <w:color w:val="000000" w:themeColor="text1"/>
                <w:szCs w:val="21"/>
                <w:highlight w:val="none"/>
                <w:u w:val="single"/>
                <w:lang w:val="en-US" w:eastAsia="zh-CN"/>
                <w14:textFill>
                  <w14:solidFill>
                    <w14:schemeClr w14:val="tx1"/>
                  </w14:solidFill>
                </w14:textFill>
              </w:rPr>
              <w:t>6</w:t>
            </w:r>
            <w:r>
              <w:rPr>
                <w:rFonts w:hint="eastAsia" w:ascii="宋体" w:hAnsi="宋体"/>
                <w:b/>
                <w:bCs/>
                <w:color w:val="000000" w:themeColor="text1"/>
                <w:szCs w:val="21"/>
                <w:highlight w:val="none"/>
                <w:u w:val="single"/>
                <w14:textFill>
                  <w14:solidFill>
                    <w14:schemeClr w14:val="tx1"/>
                  </w14:solidFill>
                </w14:textFill>
              </w:rPr>
              <w:t>-10</w:t>
            </w:r>
            <w:r>
              <w:rPr>
                <w:rFonts w:hint="eastAsia" w:ascii="宋体" w:hAnsi="宋体"/>
                <w:b/>
                <w:bCs/>
                <w:color w:val="000000" w:themeColor="text1"/>
                <w:szCs w:val="21"/>
                <w:highlight w:val="none"/>
                <w14:textFill>
                  <w14:solidFill>
                    <w14:schemeClr w14:val="tx1"/>
                  </w14:solidFill>
                </w14:textFill>
              </w:rPr>
              <w:t>万</w:t>
            </w:r>
            <w:r>
              <w:rPr>
                <w:rFonts w:hint="eastAsia" w:ascii="宋体" w:hAnsi="宋体"/>
                <w:b/>
                <w:bCs/>
                <w:color w:val="000000" w:themeColor="text1"/>
                <w:szCs w:val="21"/>
                <w:highlight w:val="none"/>
                <w14:textFill>
                  <w14:solidFill>
                    <w14:schemeClr w14:val="tx1"/>
                  </w14:solidFill>
                </w14:textFill>
              </w:rPr>
              <w:t>（含）㎡项目得4分；</w:t>
            </w:r>
          </w:p>
          <w:p>
            <w:pPr>
              <w:spacing w:line="320" w:lineRule="exact"/>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每提供1个</w:t>
            </w:r>
            <w:r>
              <w:rPr>
                <w:rFonts w:hint="eastAsia" w:ascii="宋体" w:hAnsi="宋体"/>
                <w:b/>
                <w:bCs/>
                <w:color w:val="000000" w:themeColor="text1"/>
                <w:szCs w:val="21"/>
                <w:highlight w:val="none"/>
                <w:u w:val="single"/>
                <w14:textFill>
                  <w14:solidFill>
                    <w14:schemeClr w14:val="tx1"/>
                  </w14:solidFill>
                </w14:textFill>
              </w:rPr>
              <w:t>10</w:t>
            </w:r>
            <w:r>
              <w:rPr>
                <w:rFonts w:hint="eastAsia" w:ascii="宋体" w:hAnsi="宋体"/>
                <w:b/>
                <w:bCs/>
                <w:color w:val="000000" w:themeColor="text1"/>
                <w:szCs w:val="21"/>
                <w:highlight w:val="none"/>
                <w14:textFill>
                  <w14:solidFill>
                    <w14:schemeClr w14:val="tx1"/>
                  </w14:solidFill>
                </w14:textFill>
              </w:rPr>
              <w:t>万</w:t>
            </w:r>
            <w:r>
              <w:rPr>
                <w:rFonts w:hint="eastAsia" w:ascii="宋体" w:hAnsi="宋体"/>
                <w:b/>
                <w:bCs/>
                <w:color w:val="000000" w:themeColor="text1"/>
                <w:szCs w:val="21"/>
                <w:highlight w:val="none"/>
                <w14:textFill>
                  <w14:solidFill>
                    <w14:schemeClr w14:val="tx1"/>
                  </w14:solidFill>
                </w14:textFill>
              </w:rPr>
              <w:t>㎡以上项目得6分。</w:t>
            </w:r>
          </w:p>
          <w:p>
            <w:pPr>
              <w:spacing w:line="320" w:lineRule="exact"/>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上述所提供的业绩需与本项目相似度高、关联度高。</w:t>
            </w:r>
          </w:p>
          <w:p>
            <w:pPr>
              <w:spacing w:line="320" w:lineRule="exact"/>
              <w:rPr>
                <w:color w:val="000000" w:themeColor="text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累计最高限加15分。</w:t>
            </w:r>
          </w:p>
        </w:tc>
        <w:tc>
          <w:tcPr>
            <w:tcW w:w="322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2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须提供征收（拆迁）评估委托合同（协议书）原件扫描件加盖公章，编入技术资信文件。（时间以合同（协议书）签订日为准；征收评估面积以征收（拆迁）评估合同（协议书）签订面积为准，如合同中不能明确面积的，须提供业主证明材料）。</w:t>
            </w:r>
            <w:r>
              <w:rPr>
                <w:rFonts w:hint="eastAsia" w:ascii="宋体" w:hAnsi="宋体"/>
                <w:b/>
                <w:bCs/>
                <w:color w:val="000000" w:themeColor="text1"/>
                <w:szCs w:val="21"/>
                <w:highlight w:val="none"/>
                <w14:textFill>
                  <w14:solidFill>
                    <w14:schemeClr w14:val="tx1"/>
                  </w14:solidFill>
                </w14:textFill>
              </w:rPr>
              <w:t>提供虚假资料的将按相关规定上报，严肃处理。</w:t>
            </w:r>
          </w:p>
        </w:tc>
      </w:tr>
      <w:tr>
        <w:tblPrEx>
          <w:tblCellMar>
            <w:top w:w="15" w:type="dxa"/>
            <w:left w:w="15" w:type="dxa"/>
            <w:bottom w:w="15" w:type="dxa"/>
            <w:right w:w="15" w:type="dxa"/>
          </w:tblCellMar>
        </w:tblPrEx>
        <w:trPr>
          <w:trHeight w:val="2045" w:hRule="atLeast"/>
        </w:trPr>
        <w:tc>
          <w:tcPr>
            <w:tcW w:w="437" w:type="dxa"/>
            <w:vMerge w:val="continue"/>
            <w:tcBorders>
              <w:top w:val="single" w:color="auto" w:sz="4" w:space="0"/>
              <w:left w:val="single" w:color="auto" w:sz="4" w:space="0"/>
              <w:right w:val="single" w:color="auto" w:sz="4" w:space="0"/>
            </w:tcBorders>
            <w:tcMar>
              <w:top w:w="0" w:type="dxa"/>
              <w:left w:w="108" w:type="dxa"/>
              <w:bottom w:w="0" w:type="dxa"/>
              <w:right w:w="108" w:type="dxa"/>
            </w:tcMar>
            <w:vAlign w:val="center"/>
          </w:tcPr>
          <w:p>
            <w:pPr>
              <w:pStyle w:val="27"/>
              <w:spacing w:line="240" w:lineRule="exact"/>
              <w:jc w:val="center"/>
              <w:rPr>
                <w:rFonts w:ascii="宋体" w:hAnsi="宋体"/>
                <w:color w:val="000000" w:themeColor="text1"/>
                <w:szCs w:val="21"/>
                <w:highlight w:val="none"/>
                <w14:textFill>
                  <w14:solidFill>
                    <w14:schemeClr w14:val="tx1"/>
                  </w14:solidFill>
                </w14:textFill>
              </w:rPr>
            </w:pPr>
          </w:p>
        </w:tc>
        <w:tc>
          <w:tcPr>
            <w:tcW w:w="570" w:type="dxa"/>
            <w:vMerge w:val="continue"/>
            <w:tcBorders>
              <w:top w:val="single" w:color="auto" w:sz="4" w:space="0"/>
              <w:left w:val="single" w:color="auto" w:sz="4" w:space="0"/>
              <w:right w:val="single" w:color="auto" w:sz="4" w:space="0"/>
            </w:tcBorders>
            <w:tcMar>
              <w:top w:w="0" w:type="dxa"/>
              <w:left w:w="108" w:type="dxa"/>
              <w:bottom w:w="0" w:type="dxa"/>
              <w:right w:w="108" w:type="dxa"/>
            </w:tcMar>
            <w:vAlign w:val="center"/>
          </w:tcPr>
          <w:p>
            <w:pPr>
              <w:pStyle w:val="27"/>
              <w:spacing w:line="240" w:lineRule="exact"/>
              <w:jc w:val="center"/>
              <w:rPr>
                <w:rFonts w:ascii="宋体" w:hAnsi="宋体"/>
                <w:color w:val="000000" w:themeColor="text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7"/>
              <w:spacing w:line="32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0-15</w:t>
            </w:r>
          </w:p>
        </w:tc>
        <w:tc>
          <w:tcPr>
            <w:tcW w:w="9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2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项目组成员的资格及业绩</w:t>
            </w:r>
          </w:p>
        </w:tc>
        <w:tc>
          <w:tcPr>
            <w:tcW w:w="38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7"/>
              </w:numPr>
              <w:spacing w:line="32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房地产评估公司在省级房地产评估师与经纪人协会组织评定的资信等级：AAA级得5分、AA级得3分、A级得1分、无资信等级不得分。</w:t>
            </w:r>
          </w:p>
          <w:p>
            <w:pPr>
              <w:spacing w:line="32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2、拟派的项目成员中具有注册房地产评估师或评估师资格的加1分，最高6分；</w:t>
            </w:r>
          </w:p>
          <w:p>
            <w:pPr>
              <w:spacing w:line="32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（提供最近3个月的社保证明及资格证书）</w:t>
            </w:r>
          </w:p>
          <w:p>
            <w:pPr>
              <w:spacing w:line="32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3、拟派的项目成员中具有拆迁（征收）评估项目</w:t>
            </w:r>
            <w:r>
              <w:rPr>
                <w:rFonts w:hint="eastAsia" w:ascii="宋体" w:hAnsi="宋体"/>
                <w:b/>
                <w:bCs/>
                <w:color w:val="000000" w:themeColor="text1"/>
                <w:szCs w:val="21"/>
                <w:highlight w:val="none"/>
                <w:lang w:val="en-US" w:eastAsia="zh-CN"/>
                <w14:textFill>
                  <w14:solidFill>
                    <w14:schemeClr w14:val="tx1"/>
                  </w14:solidFill>
                </w14:textFill>
              </w:rPr>
              <w:t>3</w:t>
            </w:r>
            <w:r>
              <w:rPr>
                <w:rFonts w:hint="eastAsia" w:ascii="宋体" w:hAnsi="宋体"/>
                <w:b/>
                <w:bCs/>
                <w:color w:val="000000" w:themeColor="text1"/>
                <w:szCs w:val="21"/>
                <w:highlight w:val="none"/>
                <w14:textFill>
                  <w14:solidFill>
                    <w14:schemeClr w14:val="tx1"/>
                  </w14:solidFill>
                </w14:textFill>
              </w:rPr>
              <w:t>万</w:t>
            </w:r>
            <w:r>
              <w:rPr>
                <w:rFonts w:hint="eastAsia" w:ascii="宋体" w:hAnsi="宋体"/>
                <w:color w:val="000000" w:themeColor="text1"/>
                <w:szCs w:val="21"/>
                <w:highlight w:val="none"/>
                <w14:textFill>
                  <w14:solidFill>
                    <w14:schemeClr w14:val="tx1"/>
                  </w14:solidFill>
                </w14:textFill>
              </w:rPr>
              <w:t>平方米以上业绩的，每个加2分，本项最高4分。</w:t>
            </w:r>
          </w:p>
          <w:p>
            <w:pPr>
              <w:spacing w:line="320" w:lineRule="exact"/>
              <w:rPr>
                <w:rFonts w:ascii="宋体" w:hAnsi="宋体"/>
                <w:color w:val="000000" w:themeColor="text1"/>
                <w:szCs w:val="21"/>
                <w:highlight w:val="none"/>
                <w14:textFill>
                  <w14:solidFill>
                    <w14:schemeClr w14:val="tx1"/>
                  </w14:solidFill>
                </w14:textFill>
              </w:rPr>
            </w:pPr>
          </w:p>
        </w:tc>
        <w:tc>
          <w:tcPr>
            <w:tcW w:w="322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2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须提供评估服务人员的身份证原件扫描件及近3个月（2020年11月、12月、2021年1月）社保证明原件扫描件加盖公章编入技术资信文件，未按要求提供不得分。</w:t>
            </w:r>
          </w:p>
        </w:tc>
      </w:tr>
      <w:tr>
        <w:tblPrEx>
          <w:tblCellMar>
            <w:top w:w="15" w:type="dxa"/>
            <w:left w:w="15" w:type="dxa"/>
            <w:bottom w:w="15" w:type="dxa"/>
            <w:right w:w="15" w:type="dxa"/>
          </w:tblCellMar>
        </w:tblPrEx>
        <w:trPr>
          <w:trHeight w:val="2014" w:hRule="atLeast"/>
        </w:trPr>
        <w:tc>
          <w:tcPr>
            <w:tcW w:w="437"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7"/>
              <w:spacing w:line="2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技术部分</w:t>
            </w:r>
          </w:p>
        </w:tc>
        <w:tc>
          <w:tcPr>
            <w:tcW w:w="570"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7"/>
              <w:spacing w:line="2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50分</w:t>
            </w:r>
          </w:p>
        </w:tc>
        <w:tc>
          <w:tcPr>
            <w:tcW w:w="11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7"/>
              <w:spacing w:line="32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0-30</w:t>
            </w:r>
          </w:p>
        </w:tc>
        <w:tc>
          <w:tcPr>
            <w:tcW w:w="9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2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评估技术服务方案与措施</w:t>
            </w:r>
          </w:p>
        </w:tc>
        <w:tc>
          <w:tcPr>
            <w:tcW w:w="38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76"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评估技术服务方案与措施内容齐全、结构完整、表述准确、条理清晰程度，与需求的吻合程度，包括方案工作的思路与方法、人员配备，评估依据的获取等由评委进行横向比较，酌情打分。</w:t>
            </w:r>
          </w:p>
        </w:tc>
        <w:tc>
          <w:tcPr>
            <w:tcW w:w="322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tabs>
                <w:tab w:val="left" w:pos="360"/>
                <w:tab w:val="left" w:pos="840"/>
              </w:tabs>
              <w:spacing w:line="32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投标人自行编制，未编制不得分。</w:t>
            </w:r>
          </w:p>
        </w:tc>
      </w:tr>
      <w:tr>
        <w:tblPrEx>
          <w:tblCellMar>
            <w:top w:w="15" w:type="dxa"/>
            <w:left w:w="15" w:type="dxa"/>
            <w:bottom w:w="15" w:type="dxa"/>
            <w:right w:w="15" w:type="dxa"/>
          </w:tblCellMar>
        </w:tblPrEx>
        <w:trPr>
          <w:trHeight w:val="1234" w:hRule="atLeast"/>
        </w:trPr>
        <w:tc>
          <w:tcPr>
            <w:tcW w:w="437" w:type="dxa"/>
            <w:vMerge w:val="continue"/>
            <w:tcBorders>
              <w:left w:val="single" w:color="auto" w:sz="4" w:space="0"/>
              <w:right w:val="single" w:color="auto" w:sz="4" w:space="0"/>
            </w:tcBorders>
            <w:tcMar>
              <w:top w:w="0" w:type="dxa"/>
              <w:left w:w="108" w:type="dxa"/>
              <w:bottom w:w="0" w:type="dxa"/>
              <w:right w:w="108" w:type="dxa"/>
            </w:tcMar>
            <w:vAlign w:val="center"/>
          </w:tcPr>
          <w:p>
            <w:pPr>
              <w:pStyle w:val="27"/>
              <w:spacing w:line="240" w:lineRule="exact"/>
              <w:jc w:val="center"/>
              <w:rPr>
                <w:rFonts w:ascii="宋体" w:hAnsi="宋体"/>
                <w:color w:val="000000" w:themeColor="text1"/>
                <w:szCs w:val="21"/>
                <w:highlight w:val="none"/>
                <w14:textFill>
                  <w14:solidFill>
                    <w14:schemeClr w14:val="tx1"/>
                  </w14:solidFill>
                </w14:textFill>
              </w:rPr>
            </w:pPr>
          </w:p>
        </w:tc>
        <w:tc>
          <w:tcPr>
            <w:tcW w:w="570" w:type="dxa"/>
            <w:vMerge w:val="continue"/>
            <w:tcBorders>
              <w:left w:val="single" w:color="auto" w:sz="4" w:space="0"/>
              <w:right w:val="single" w:color="auto" w:sz="4" w:space="0"/>
            </w:tcBorders>
            <w:tcMar>
              <w:top w:w="0" w:type="dxa"/>
              <w:left w:w="108" w:type="dxa"/>
              <w:bottom w:w="0" w:type="dxa"/>
              <w:right w:w="108" w:type="dxa"/>
            </w:tcMar>
            <w:vAlign w:val="center"/>
          </w:tcPr>
          <w:p>
            <w:pPr>
              <w:pStyle w:val="27"/>
              <w:spacing w:line="240" w:lineRule="exact"/>
              <w:jc w:val="center"/>
              <w:rPr>
                <w:rFonts w:ascii="宋体" w:hAnsi="宋体"/>
                <w:color w:val="000000" w:themeColor="text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7"/>
              <w:spacing w:line="32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0-5</w:t>
            </w:r>
          </w:p>
        </w:tc>
        <w:tc>
          <w:tcPr>
            <w:tcW w:w="9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2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工期</w:t>
            </w:r>
          </w:p>
          <w:p>
            <w:pPr>
              <w:spacing w:line="32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承诺</w:t>
            </w:r>
          </w:p>
        </w:tc>
        <w:tc>
          <w:tcPr>
            <w:tcW w:w="38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tabs>
                <w:tab w:val="left" w:pos="360"/>
                <w:tab w:val="left" w:pos="840"/>
              </w:tabs>
              <w:spacing w:line="32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对项目确定的工期目标、评估计划安排合理，有承诺措施，且符合业主规定期限内完成的予以计分，横向比较，酌情打分。</w:t>
            </w:r>
          </w:p>
        </w:tc>
        <w:tc>
          <w:tcPr>
            <w:tcW w:w="322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tabs>
                <w:tab w:val="left" w:pos="360"/>
                <w:tab w:val="left" w:pos="840"/>
              </w:tabs>
              <w:spacing w:line="32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投标人自行编制，未编制不得分。</w:t>
            </w:r>
          </w:p>
        </w:tc>
      </w:tr>
      <w:tr>
        <w:tblPrEx>
          <w:tblCellMar>
            <w:top w:w="15" w:type="dxa"/>
            <w:left w:w="15" w:type="dxa"/>
            <w:bottom w:w="15" w:type="dxa"/>
            <w:right w:w="15" w:type="dxa"/>
          </w:tblCellMar>
        </w:tblPrEx>
        <w:trPr>
          <w:trHeight w:val="1085" w:hRule="atLeast"/>
        </w:trPr>
        <w:tc>
          <w:tcPr>
            <w:tcW w:w="437" w:type="dxa"/>
            <w:vMerge w:val="continue"/>
            <w:tcBorders>
              <w:left w:val="single" w:color="auto" w:sz="4" w:space="0"/>
              <w:right w:val="single" w:color="auto" w:sz="4" w:space="0"/>
            </w:tcBorders>
            <w:tcMar>
              <w:top w:w="0" w:type="dxa"/>
              <w:left w:w="108" w:type="dxa"/>
              <w:bottom w:w="0" w:type="dxa"/>
              <w:right w:w="108" w:type="dxa"/>
            </w:tcMar>
            <w:vAlign w:val="center"/>
          </w:tcPr>
          <w:p>
            <w:pPr>
              <w:pStyle w:val="27"/>
              <w:spacing w:line="240" w:lineRule="exact"/>
              <w:jc w:val="center"/>
              <w:rPr>
                <w:rFonts w:ascii="宋体" w:hAnsi="宋体"/>
                <w:color w:val="000000" w:themeColor="text1"/>
                <w:szCs w:val="21"/>
                <w:highlight w:val="none"/>
                <w14:textFill>
                  <w14:solidFill>
                    <w14:schemeClr w14:val="tx1"/>
                  </w14:solidFill>
                </w14:textFill>
              </w:rPr>
            </w:pPr>
          </w:p>
        </w:tc>
        <w:tc>
          <w:tcPr>
            <w:tcW w:w="570" w:type="dxa"/>
            <w:vMerge w:val="continue"/>
            <w:tcBorders>
              <w:left w:val="single" w:color="auto" w:sz="4" w:space="0"/>
              <w:right w:val="single" w:color="auto" w:sz="4" w:space="0"/>
            </w:tcBorders>
            <w:tcMar>
              <w:top w:w="0" w:type="dxa"/>
              <w:left w:w="108" w:type="dxa"/>
              <w:bottom w:w="0" w:type="dxa"/>
              <w:right w:w="108" w:type="dxa"/>
            </w:tcMar>
            <w:vAlign w:val="center"/>
          </w:tcPr>
          <w:p>
            <w:pPr>
              <w:pStyle w:val="27"/>
              <w:spacing w:line="240" w:lineRule="exact"/>
              <w:jc w:val="center"/>
              <w:rPr>
                <w:rFonts w:ascii="宋体" w:hAnsi="宋体"/>
                <w:color w:val="000000" w:themeColor="text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7"/>
              <w:spacing w:line="32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0-7</w:t>
            </w:r>
          </w:p>
        </w:tc>
        <w:tc>
          <w:tcPr>
            <w:tcW w:w="9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2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合理</w:t>
            </w:r>
          </w:p>
          <w:p>
            <w:pPr>
              <w:spacing w:line="32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化建议</w:t>
            </w:r>
          </w:p>
        </w:tc>
        <w:tc>
          <w:tcPr>
            <w:tcW w:w="38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76"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根据投标人对本项目的合理化建议、改进措施情况、以及对项目管理和作业人员工作时间安排等情况由评委进行横向比较，酌情打分。</w:t>
            </w:r>
          </w:p>
        </w:tc>
        <w:tc>
          <w:tcPr>
            <w:tcW w:w="322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tabs>
                <w:tab w:val="left" w:pos="360"/>
                <w:tab w:val="left" w:pos="840"/>
              </w:tabs>
              <w:spacing w:line="32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投标人自行编制，未编制不得分；评标委员会根据各投标人针对本项目合理化建议等进行横向比较评分。</w:t>
            </w:r>
          </w:p>
        </w:tc>
      </w:tr>
      <w:tr>
        <w:tblPrEx>
          <w:tblCellMar>
            <w:top w:w="15" w:type="dxa"/>
            <w:left w:w="15" w:type="dxa"/>
            <w:bottom w:w="15" w:type="dxa"/>
            <w:right w:w="15" w:type="dxa"/>
          </w:tblCellMar>
        </w:tblPrEx>
        <w:trPr>
          <w:trHeight w:val="1345" w:hRule="atLeast"/>
        </w:trPr>
        <w:tc>
          <w:tcPr>
            <w:tcW w:w="437"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7"/>
              <w:spacing w:line="240" w:lineRule="exact"/>
              <w:jc w:val="center"/>
              <w:rPr>
                <w:rFonts w:ascii="宋体" w:hAnsi="宋体"/>
                <w:color w:val="000000" w:themeColor="text1"/>
                <w:szCs w:val="21"/>
                <w:highlight w:val="none"/>
                <w14:textFill>
                  <w14:solidFill>
                    <w14:schemeClr w14:val="tx1"/>
                  </w14:solidFill>
                </w14:textFill>
              </w:rPr>
            </w:pPr>
          </w:p>
        </w:tc>
        <w:tc>
          <w:tcPr>
            <w:tcW w:w="570"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7"/>
              <w:spacing w:line="240" w:lineRule="exact"/>
              <w:jc w:val="center"/>
              <w:rPr>
                <w:rFonts w:ascii="宋体" w:hAnsi="宋体"/>
                <w:color w:val="000000" w:themeColor="text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7"/>
              <w:spacing w:line="32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0-4</w:t>
            </w:r>
          </w:p>
        </w:tc>
        <w:tc>
          <w:tcPr>
            <w:tcW w:w="9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2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响应</w:t>
            </w:r>
          </w:p>
          <w:p>
            <w:pPr>
              <w:spacing w:line="32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时间</w:t>
            </w:r>
          </w:p>
          <w:p>
            <w:pPr>
              <w:spacing w:line="32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承诺</w:t>
            </w:r>
          </w:p>
        </w:tc>
        <w:tc>
          <w:tcPr>
            <w:tcW w:w="38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276"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项目负责人或主要成员能在0.5个小时内到达项目现场的得4分，能在1个小时内到达项目现场的得3分，能在2个小时内到达项目现场的得2分，能在3个小时内到达项目现场的得1分，其它的不得分。</w:t>
            </w:r>
          </w:p>
        </w:tc>
        <w:tc>
          <w:tcPr>
            <w:tcW w:w="322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2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投标人自行承诺，未承诺不得分。</w:t>
            </w:r>
          </w:p>
        </w:tc>
      </w:tr>
      <w:tr>
        <w:tblPrEx>
          <w:tblCellMar>
            <w:top w:w="15" w:type="dxa"/>
            <w:left w:w="15" w:type="dxa"/>
            <w:bottom w:w="15" w:type="dxa"/>
            <w:right w:w="15" w:type="dxa"/>
          </w:tblCellMar>
        </w:tblPrEx>
        <w:trPr>
          <w:trHeight w:val="886" w:hRule="atLeast"/>
        </w:trPr>
        <w:tc>
          <w:tcPr>
            <w:tcW w:w="437"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7"/>
              <w:spacing w:line="240" w:lineRule="exact"/>
              <w:jc w:val="center"/>
              <w:rPr>
                <w:rFonts w:ascii="宋体" w:hAnsi="宋体"/>
                <w:color w:val="000000" w:themeColor="text1"/>
                <w:szCs w:val="21"/>
                <w:highlight w:val="none"/>
                <w14:textFill>
                  <w14:solidFill>
                    <w14:schemeClr w14:val="tx1"/>
                  </w14:solidFill>
                </w14:textFill>
              </w:rPr>
            </w:pPr>
          </w:p>
        </w:tc>
        <w:tc>
          <w:tcPr>
            <w:tcW w:w="570"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7"/>
              <w:spacing w:line="240" w:lineRule="exact"/>
              <w:jc w:val="center"/>
              <w:rPr>
                <w:rFonts w:ascii="宋体" w:hAnsi="宋体"/>
                <w:color w:val="000000" w:themeColor="text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7"/>
              <w:spacing w:line="32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0-4</w:t>
            </w:r>
          </w:p>
        </w:tc>
        <w:tc>
          <w:tcPr>
            <w:tcW w:w="9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76"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对依法承担意外事故责任的承诺</w:t>
            </w:r>
          </w:p>
        </w:tc>
        <w:tc>
          <w:tcPr>
            <w:tcW w:w="38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76"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对依法承担意外事故责任的承诺。</w:t>
            </w:r>
          </w:p>
          <w:p>
            <w:pPr>
              <w:spacing w:line="276"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对项目内发生文物、评估安全事故、集体上访等意外情况处理有预案计划，且切实可行的视制定情况计分，进行横向比较，酌情打分。</w:t>
            </w:r>
          </w:p>
        </w:tc>
        <w:tc>
          <w:tcPr>
            <w:tcW w:w="322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76"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投标人自行编制，未编制不得分。</w:t>
            </w:r>
          </w:p>
        </w:tc>
      </w:tr>
    </w:tbl>
    <w:p>
      <w:pPr>
        <w:tabs>
          <w:tab w:val="left" w:pos="360"/>
          <w:tab w:val="left" w:pos="840"/>
        </w:tabs>
        <w:spacing w:line="380" w:lineRule="exact"/>
        <w:ind w:firstLine="480" w:firstLineChars="200"/>
        <w:rPr>
          <w:rFonts w:hint="eastAsia" w:ascii="宋体" w:hAnsi="宋体" w:cs="宋体-PUA"/>
          <w:bCs/>
          <w:color w:val="000000" w:themeColor="text1"/>
          <w:sz w:val="24"/>
          <w:highlight w:val="none"/>
          <w14:textFill>
            <w14:solidFill>
              <w14:schemeClr w14:val="tx1"/>
            </w14:solidFill>
          </w14:textFill>
        </w:rPr>
      </w:pPr>
    </w:p>
    <w:p>
      <w:pPr>
        <w:tabs>
          <w:tab w:val="left" w:pos="360"/>
          <w:tab w:val="left" w:pos="840"/>
        </w:tabs>
        <w:spacing w:line="380" w:lineRule="exact"/>
        <w:ind w:firstLine="480" w:firstLineChars="200"/>
        <w:rPr>
          <w:rFonts w:ascii="宋体" w:hAnsi="宋体" w:cs="宋体-PUA"/>
          <w:bCs/>
          <w:color w:val="000000" w:themeColor="text1"/>
          <w:sz w:val="24"/>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注：投标人应按本评分表评分内容的先后顺序提供相关证明资料原件扫描件，并加盖单位公章，未按规定提供的则相关评分内容不予计分，后果自负。</w:t>
      </w:r>
    </w:p>
    <w:p>
      <w:pPr>
        <w:tabs>
          <w:tab w:val="left" w:pos="360"/>
          <w:tab w:val="left" w:pos="840"/>
        </w:tabs>
        <w:spacing w:line="340" w:lineRule="exact"/>
        <w:ind w:firstLine="482" w:firstLineChars="200"/>
        <w:rPr>
          <w:rFonts w:ascii="宋体" w:hAnsi="宋体" w:cs="宋体-PUA"/>
          <w:b/>
          <w:color w:val="000000" w:themeColor="text1"/>
          <w:sz w:val="24"/>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tabs>
          <w:tab w:val="left" w:pos="360"/>
          <w:tab w:val="left" w:pos="840"/>
        </w:tabs>
        <w:spacing w:line="340" w:lineRule="exact"/>
        <w:ind w:firstLine="482" w:firstLineChars="200"/>
        <w:rPr>
          <w:rFonts w:ascii="宋体" w:hAnsi="宋体" w:cs="宋体-PUA"/>
          <w:b/>
          <w:color w:val="000000" w:themeColor="text1"/>
          <w:sz w:val="24"/>
          <w:highlight w:val="none"/>
          <w14:textFill>
            <w14:solidFill>
              <w14:schemeClr w14:val="tx1"/>
            </w14:solidFill>
          </w14:textFill>
        </w:rPr>
      </w:pPr>
      <w:r>
        <w:rPr>
          <w:rFonts w:hint="eastAsia" w:ascii="宋体" w:hAnsi="宋体" w:cs="宋体-PUA"/>
          <w:b/>
          <w:color w:val="000000" w:themeColor="text1"/>
          <w:sz w:val="24"/>
          <w:highlight w:val="none"/>
          <w14:textFill>
            <w14:solidFill>
              <w14:schemeClr w14:val="tx1"/>
            </w14:solidFill>
          </w14:textFill>
        </w:rPr>
        <w:t>②商务文件 （共20分）</w:t>
      </w:r>
    </w:p>
    <w:p>
      <w:pPr>
        <w:spacing w:line="380" w:lineRule="exact"/>
        <w:ind w:firstLine="480" w:firstLineChars="200"/>
        <w:rPr>
          <w:rFonts w:ascii="宋体" w:hAnsi="宋体" w:cs="宋体-PUA"/>
          <w:b/>
          <w:bCs/>
          <w:color w:val="000000" w:themeColor="text1"/>
          <w:sz w:val="24"/>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w:t>
      </w:r>
      <w:r>
        <w:rPr>
          <w:rFonts w:hint="eastAsia" w:ascii="宋体" w:hAnsi="宋体" w:cs="宋体-PUA"/>
          <w:color w:val="000000" w:themeColor="text1"/>
          <w:sz w:val="24"/>
          <w:highlight w:val="none"/>
          <w14:textFill>
            <w14:solidFill>
              <w14:schemeClr w14:val="tx1"/>
            </w14:solidFill>
          </w14:textFill>
        </w:rPr>
        <w:t>本招标项目招标人规定的投标报价原则为：投标人按照采购单位提供的征收评估服务费投标单价报价范围为</w:t>
      </w:r>
      <w:r>
        <w:rPr>
          <w:rFonts w:hint="eastAsia" w:ascii="宋体" w:hAnsi="宋体" w:cs="宋体-PUA"/>
          <w:b/>
          <w:color w:val="000000" w:themeColor="text1"/>
          <w:sz w:val="24"/>
          <w:highlight w:val="none"/>
          <w:u w:val="single"/>
          <w14:textFill>
            <w14:solidFill>
              <w14:schemeClr w14:val="tx1"/>
            </w14:solidFill>
          </w14:textFill>
        </w:rPr>
        <w:t xml:space="preserve">6.50 </w:t>
      </w:r>
      <w:r>
        <w:rPr>
          <w:rFonts w:hint="eastAsia" w:ascii="宋体" w:hAnsi="宋体" w:cs="宋体-PUA"/>
          <w:b/>
          <w:color w:val="000000" w:themeColor="text1"/>
          <w:sz w:val="24"/>
          <w:highlight w:val="none"/>
          <w14:textFill>
            <w14:solidFill>
              <w14:schemeClr w14:val="tx1"/>
            </w14:solidFill>
          </w14:textFill>
        </w:rPr>
        <w:t>元/㎡（含）-</w:t>
      </w:r>
      <w:r>
        <w:rPr>
          <w:rFonts w:hint="eastAsia" w:ascii="宋体" w:hAnsi="宋体" w:cs="宋体-PUA"/>
          <w:b/>
          <w:color w:val="000000" w:themeColor="text1"/>
          <w:sz w:val="24"/>
          <w:highlight w:val="none"/>
          <w:u w:val="single"/>
          <w14:textFill>
            <w14:solidFill>
              <w14:schemeClr w14:val="tx1"/>
            </w14:solidFill>
          </w14:textFill>
        </w:rPr>
        <w:t>8 .50</w:t>
      </w:r>
      <w:r>
        <w:rPr>
          <w:rFonts w:hint="eastAsia" w:ascii="宋体" w:hAnsi="宋体" w:cs="宋体-PUA"/>
          <w:b/>
          <w:color w:val="000000" w:themeColor="text1"/>
          <w:sz w:val="24"/>
          <w:highlight w:val="none"/>
          <w14:textFill>
            <w14:solidFill>
              <w14:schemeClr w14:val="tx1"/>
            </w14:solidFill>
          </w14:textFill>
        </w:rPr>
        <w:t>元/㎡（含</w:t>
      </w:r>
      <w:r>
        <w:rPr>
          <w:rFonts w:hint="eastAsia" w:ascii="宋体" w:hAnsi="宋体" w:cs="宋体-PUA"/>
          <w:b/>
          <w:color w:val="000000" w:themeColor="text1"/>
          <w:sz w:val="24"/>
          <w:highlight w:val="none"/>
          <w:lang w:eastAsia="zh-CN"/>
          <w14:textFill>
            <w14:solidFill>
              <w14:schemeClr w14:val="tx1"/>
            </w14:solidFill>
          </w14:textFill>
        </w:rPr>
        <w:t>）</w:t>
      </w:r>
      <w:r>
        <w:rPr>
          <w:rFonts w:hint="eastAsia" w:ascii="宋体" w:hAnsi="宋体" w:cs="宋体-PUA"/>
          <w:b/>
          <w:bCs/>
          <w:color w:val="000000" w:themeColor="text1"/>
          <w:sz w:val="24"/>
          <w:highlight w:val="none"/>
          <w14:textFill>
            <w14:solidFill>
              <w14:schemeClr w14:val="tx1"/>
            </w14:solidFill>
          </w14:textFill>
        </w:rPr>
        <w:t>低于或高于投标单价报价范围的，报价均无效，商务标均做无效标处理。</w:t>
      </w:r>
      <w:r>
        <w:rPr>
          <w:rFonts w:hint="eastAsia" w:ascii="宋体" w:hAnsi="宋体" w:cs="宋体-PUA"/>
          <w:b/>
          <w:bCs/>
          <w:color w:val="000000" w:themeColor="text1"/>
          <w:sz w:val="24"/>
          <w:highlight w:val="none"/>
          <w14:textFill>
            <w14:solidFill>
              <w14:schemeClr w14:val="tx1"/>
            </w14:solidFill>
          </w14:textFill>
        </w:rPr>
        <w:t>投标人所报的投标报价保留两位小数（如X.XX元/㎡），否则其报价分作0分处理。</w:t>
      </w:r>
    </w:p>
    <w:p>
      <w:pPr>
        <w:tabs>
          <w:tab w:val="left" w:pos="360"/>
          <w:tab w:val="left" w:pos="840"/>
        </w:tabs>
        <w:spacing w:line="380" w:lineRule="exact"/>
        <w:ind w:firstLine="480" w:firstLineChars="200"/>
        <w:rPr>
          <w:rFonts w:ascii="宋体" w:hAnsi="宋体" w:cs="宋体-PUA"/>
          <w:bCs/>
          <w:color w:val="000000" w:themeColor="text1"/>
          <w:sz w:val="24"/>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1.商务评分将在有效投标人范围内进行，最高得20分，小数点后保留2位小数。满足招标文件要求且最低的</w:t>
      </w:r>
      <w:r>
        <w:rPr>
          <w:rFonts w:hint="eastAsia" w:ascii="宋体" w:hAnsi="宋体" w:cs="宋体-PUA"/>
          <w:b/>
          <w:bCs/>
          <w:color w:val="000000" w:themeColor="text1"/>
          <w:sz w:val="24"/>
          <w:highlight w:val="none"/>
          <w:u w:val="thick"/>
          <w14:textFill>
            <w14:solidFill>
              <w14:schemeClr w14:val="tx1"/>
            </w14:solidFill>
          </w14:textFill>
        </w:rPr>
        <w:t>投标报价</w:t>
      </w:r>
      <w:r>
        <w:rPr>
          <w:rFonts w:hint="eastAsia" w:ascii="宋体" w:hAnsi="宋体" w:cs="宋体-PUA"/>
          <w:bCs/>
          <w:color w:val="000000" w:themeColor="text1"/>
          <w:sz w:val="24"/>
          <w:highlight w:val="none"/>
          <w14:textFill>
            <w14:solidFill>
              <w14:schemeClr w14:val="tx1"/>
            </w14:solidFill>
          </w14:textFill>
        </w:rPr>
        <w:t>为</w:t>
      </w:r>
      <w:r>
        <w:rPr>
          <w:rFonts w:hint="eastAsia" w:ascii="宋体" w:hAnsi="宋体" w:cs="宋体-PUA"/>
          <w:b/>
          <w:bCs/>
          <w:color w:val="000000" w:themeColor="text1"/>
          <w:sz w:val="24"/>
          <w:highlight w:val="none"/>
          <w:u w:val="thick"/>
          <w14:textFill>
            <w14:solidFill>
              <w14:schemeClr w14:val="tx1"/>
            </w14:solidFill>
          </w14:textFill>
        </w:rPr>
        <w:t>评标基准价</w:t>
      </w:r>
      <w:r>
        <w:rPr>
          <w:rFonts w:hint="eastAsia" w:ascii="宋体" w:hAnsi="宋体" w:cs="宋体-PUA"/>
          <w:bCs/>
          <w:color w:val="000000" w:themeColor="text1"/>
          <w:sz w:val="24"/>
          <w:highlight w:val="none"/>
          <w14:textFill>
            <w14:solidFill>
              <w14:schemeClr w14:val="tx1"/>
            </w14:solidFill>
          </w14:textFill>
        </w:rPr>
        <w:t>，其商务报价分为满分20分。其他投标人的商务分统一按照下列公式计算：</w:t>
      </w:r>
    </w:p>
    <w:p>
      <w:pPr>
        <w:tabs>
          <w:tab w:val="left" w:pos="360"/>
          <w:tab w:val="left" w:pos="840"/>
        </w:tabs>
        <w:spacing w:line="380" w:lineRule="exact"/>
        <w:ind w:firstLine="480" w:firstLineChars="200"/>
        <w:rPr>
          <w:rFonts w:ascii="宋体" w:hAnsi="宋体" w:cs="宋体-PUA"/>
          <w:bCs/>
          <w:color w:val="000000" w:themeColor="text1"/>
          <w:sz w:val="24"/>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商务得分=（</w:t>
      </w:r>
      <w:r>
        <w:rPr>
          <w:rFonts w:hint="eastAsia" w:ascii="宋体" w:hAnsi="宋体" w:cs="宋体-PUA"/>
          <w:b/>
          <w:bCs/>
          <w:color w:val="000000" w:themeColor="text1"/>
          <w:sz w:val="24"/>
          <w:highlight w:val="none"/>
          <w:u w:val="thick"/>
          <w14:textFill>
            <w14:solidFill>
              <w14:schemeClr w14:val="tx1"/>
            </w14:solidFill>
          </w14:textFill>
        </w:rPr>
        <w:t>评标基准价</w:t>
      </w:r>
      <w:r>
        <w:rPr>
          <w:rFonts w:hint="eastAsia" w:ascii="宋体" w:hAnsi="宋体" w:cs="宋体-PUA"/>
          <w:bCs/>
          <w:color w:val="000000" w:themeColor="text1"/>
          <w:sz w:val="24"/>
          <w:highlight w:val="none"/>
          <w14:textFill>
            <w14:solidFill>
              <w14:schemeClr w14:val="tx1"/>
            </w14:solidFill>
          </w14:textFill>
        </w:rPr>
        <w:t>／</w:t>
      </w:r>
      <w:r>
        <w:rPr>
          <w:rFonts w:hint="eastAsia" w:ascii="宋体" w:hAnsi="宋体" w:cs="宋体-PUA"/>
          <w:b/>
          <w:bCs/>
          <w:color w:val="000000" w:themeColor="text1"/>
          <w:sz w:val="24"/>
          <w:highlight w:val="none"/>
          <w:u w:val="thick"/>
          <w14:textFill>
            <w14:solidFill>
              <w14:schemeClr w14:val="tx1"/>
            </w14:solidFill>
          </w14:textFill>
        </w:rPr>
        <w:t>投标报价</w:t>
      </w:r>
      <w:r>
        <w:rPr>
          <w:rFonts w:hint="eastAsia" w:ascii="宋体" w:hAnsi="宋体" w:cs="宋体-PUA"/>
          <w:bCs/>
          <w:color w:val="000000" w:themeColor="text1"/>
          <w:sz w:val="24"/>
          <w:highlight w:val="none"/>
          <w14:textFill>
            <w14:solidFill>
              <w14:schemeClr w14:val="tx1"/>
            </w14:solidFill>
          </w14:textFill>
        </w:rPr>
        <w:t>）×价格权值20%×100</w:t>
      </w:r>
    </w:p>
    <w:p>
      <w:pPr>
        <w:numPr>
          <w:ilvl w:val="0"/>
          <w:numId w:val="8"/>
        </w:numPr>
        <w:tabs>
          <w:tab w:val="left" w:pos="360"/>
          <w:tab w:val="left" w:pos="840"/>
          <w:tab w:val="clear" w:pos="312"/>
        </w:tabs>
        <w:spacing w:line="380" w:lineRule="exact"/>
        <w:ind w:firstLine="480" w:firstLineChars="200"/>
        <w:rPr>
          <w:rFonts w:ascii="宋体" w:hAnsi="宋体" w:cs="宋体-PUA"/>
          <w:bCs/>
          <w:color w:val="000000" w:themeColor="text1"/>
          <w:sz w:val="24"/>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排名第一的中标候选人中如有放弃中标；因不可抗力提出不能履行合同；或者招标文件规定应当提交履约保证金而在规定的期限内未能提交的；或未能在规定时间内与招标人签订合同的；或者经质疑，招标人审查后，确因中标候选人在本次招标活动中存在违法违规行为或其他原因使质疑成立的，招标人可视具体情况确定是否由排名后续的投标人按排名顺序依次递补为第一中标候选人或重新招标。</w:t>
      </w:r>
    </w:p>
    <w:p>
      <w:pPr>
        <w:tabs>
          <w:tab w:val="left" w:pos="360"/>
          <w:tab w:val="left" w:pos="840"/>
        </w:tabs>
        <w:spacing w:line="380" w:lineRule="exact"/>
        <w:ind w:firstLine="480" w:firstLineChars="200"/>
        <w:rPr>
          <w:rFonts w:ascii="宋体" w:hAnsi="宋体" w:cs="宋体-PUA"/>
          <w:bCs/>
          <w:color w:val="000000" w:themeColor="text1"/>
          <w:sz w:val="24"/>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3.中标方不得将中标标段项目转让给他人或将中标标段项目支解后分别转让给他人，一经发现，立即取消投标、中标资格，并依法追究法律责任。</w:t>
      </w:r>
    </w:p>
    <w:p>
      <w:pPr>
        <w:tabs>
          <w:tab w:val="left" w:pos="360"/>
          <w:tab w:val="left" w:pos="840"/>
        </w:tabs>
        <w:spacing w:line="380" w:lineRule="exact"/>
        <w:ind w:firstLine="480" w:firstLineChars="200"/>
        <w:rPr>
          <w:rFonts w:ascii="宋体" w:hAnsi="宋体" w:cs="宋体-PUA"/>
          <w:bCs/>
          <w:color w:val="000000" w:themeColor="text1"/>
          <w:sz w:val="24"/>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4.为维护国家利益及招标方自身利益，招标方在授予合同之前仍有选择或拒绝任何或全部投标的权力。</w:t>
      </w:r>
    </w:p>
    <w:p>
      <w:pPr>
        <w:tabs>
          <w:tab w:val="left" w:pos="360"/>
          <w:tab w:val="left" w:pos="840"/>
        </w:tabs>
        <w:spacing w:line="380" w:lineRule="exact"/>
        <w:ind w:firstLine="480" w:firstLineChars="200"/>
        <w:rPr>
          <w:rFonts w:ascii="宋体" w:hAnsi="宋体" w:cs="宋体-PUA"/>
          <w:bCs/>
          <w:color w:val="000000" w:themeColor="text1"/>
          <w:sz w:val="24"/>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5．评标委员会根据评分结果，按得分(商务文件得分和技术资信文件得分之和)由高到低顺序推荐确定得分前三名为第一中标候选人，得分第四名为第二中标候选人，得分第五名为第三中标候选人，如投标人综合得分相同的，技术资信部分高者为中标候选人。综合得分且技术资信部分，报价部分得分均相同的，则摇号选取中标候选人。根据评委会推荐的中标候选人名单在公告发布媒体发布中标公示，在招投标监管部门、纪检监察部门、公证人员等的监督下，于衢州市柯城区双港街道办事处由业主代表随机抽取第一中标候选人中的一家为中标人。</w:t>
      </w:r>
    </w:p>
    <w:p>
      <w:pPr>
        <w:tabs>
          <w:tab w:val="left" w:pos="360"/>
          <w:tab w:val="left" w:pos="840"/>
        </w:tabs>
        <w:spacing w:line="380" w:lineRule="exact"/>
        <w:ind w:firstLine="482" w:firstLineChars="200"/>
        <w:rPr>
          <w:rFonts w:ascii="宋体" w:hAnsi="宋体" w:cs="宋体-PUA"/>
          <w:b/>
          <w:color w:val="000000" w:themeColor="text1"/>
          <w:sz w:val="24"/>
          <w:highlight w:val="none"/>
          <w14:textFill>
            <w14:solidFill>
              <w14:schemeClr w14:val="tx1"/>
            </w14:solidFill>
          </w14:textFill>
        </w:rPr>
      </w:pPr>
      <w:r>
        <w:rPr>
          <w:rFonts w:hint="eastAsia" w:ascii="宋体" w:hAnsi="宋体" w:cs="宋体-PUA"/>
          <w:b/>
          <w:color w:val="000000" w:themeColor="text1"/>
          <w:sz w:val="24"/>
          <w:highlight w:val="none"/>
          <w14:textFill>
            <w14:solidFill>
              <w14:schemeClr w14:val="tx1"/>
            </w14:solidFill>
          </w14:textFill>
        </w:rPr>
        <w:t>六、计算错误的修改</w:t>
      </w:r>
    </w:p>
    <w:p>
      <w:pPr>
        <w:tabs>
          <w:tab w:val="left" w:pos="360"/>
          <w:tab w:val="left" w:pos="840"/>
        </w:tabs>
        <w:spacing w:line="380" w:lineRule="exact"/>
        <w:ind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1、投标文件中如果出现计算上或累加上的算术错误，可按以下原则进行修改：</w:t>
      </w:r>
      <w:r>
        <w:rPr>
          <w:rFonts w:hint="eastAsia" w:ascii="宋体" w:hAnsi="宋体" w:cs="宋体-PUA"/>
          <w:color w:val="000000" w:themeColor="text1"/>
          <w:sz w:val="24"/>
          <w:highlight w:val="none"/>
          <w14:textFill>
            <w14:solidFill>
              <w14:schemeClr w14:val="tx1"/>
            </w14:solidFill>
          </w14:textFill>
        </w:rPr>
        <w:br w:type="textWrapping"/>
      </w:r>
      <w:r>
        <w:rPr>
          <w:rFonts w:hint="eastAsia" w:ascii="宋体" w:hAnsi="宋体" w:cs="宋体-PUA"/>
          <w:color w:val="000000" w:themeColor="text1"/>
          <w:sz w:val="24"/>
          <w:highlight w:val="none"/>
          <w14:textFill>
            <w14:solidFill>
              <w14:schemeClr w14:val="tx1"/>
            </w14:solidFill>
          </w14:textFill>
        </w:rPr>
        <w:t xml:space="preserve">    1）用数字表示的金额和用文字表示的金额不一致，应以文字表示的金额为准；</w:t>
      </w:r>
    </w:p>
    <w:p>
      <w:pPr>
        <w:tabs>
          <w:tab w:val="left" w:pos="360"/>
          <w:tab w:val="left" w:pos="840"/>
        </w:tabs>
        <w:spacing w:line="380" w:lineRule="exact"/>
        <w:ind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2、按上述修正错误的方法调整的投标报价应对投标人具有约束力。如果投标人不接受修正后的价格，其投标将被拒绝。</w:t>
      </w:r>
    </w:p>
    <w:p>
      <w:pPr>
        <w:tabs>
          <w:tab w:val="left" w:pos="360"/>
          <w:tab w:val="left" w:pos="840"/>
        </w:tabs>
        <w:spacing w:line="360" w:lineRule="auto"/>
        <w:rPr>
          <w:rFonts w:ascii="宋体" w:hAnsi="宋体" w:cs="宋体-PUA"/>
          <w:color w:val="000000" w:themeColor="text1"/>
          <w:sz w:val="24"/>
          <w:highlight w:val="none"/>
          <w14:textFill>
            <w14:solidFill>
              <w14:schemeClr w14:val="tx1"/>
            </w14:solidFill>
          </w14:textFill>
        </w:rPr>
      </w:pPr>
    </w:p>
    <w:p>
      <w:pPr>
        <w:tabs>
          <w:tab w:val="left" w:pos="360"/>
          <w:tab w:val="left" w:pos="840"/>
        </w:tabs>
        <w:spacing w:line="360" w:lineRule="auto"/>
        <w:rPr>
          <w:rFonts w:ascii="宋体" w:hAnsi="宋体" w:cs="宋体-PUA"/>
          <w:color w:val="000000" w:themeColor="text1"/>
          <w:sz w:val="24"/>
          <w:highlight w:val="none"/>
          <w14:textFill>
            <w14:solidFill>
              <w14:schemeClr w14:val="tx1"/>
            </w14:solidFill>
          </w14:textFill>
        </w:rPr>
        <w:sectPr>
          <w:headerReference r:id="rId3" w:type="default"/>
          <w:footerReference r:id="rId4" w:type="default"/>
          <w:footerReference r:id="rId5" w:type="even"/>
          <w:pgSz w:w="11906" w:h="16838"/>
          <w:pgMar w:top="1091" w:right="1106" w:bottom="1091" w:left="1260" w:header="623" w:footer="430" w:gutter="0"/>
          <w:pgNumType w:start="0"/>
          <w:cols w:space="720" w:num="1"/>
          <w:titlePg/>
          <w:docGrid w:type="lines" w:linePitch="312" w:charSpace="0"/>
        </w:sectPr>
      </w:pPr>
    </w:p>
    <w:p>
      <w:pPr>
        <w:widowControl/>
        <w:spacing w:line="360" w:lineRule="auto"/>
        <w:jc w:val="center"/>
        <w:rPr>
          <w:rFonts w:ascii="宋体" w:hAnsi="宋体" w:cs="黑体"/>
          <w:b/>
          <w:bCs/>
          <w:color w:val="000000" w:themeColor="text1"/>
          <w:sz w:val="28"/>
          <w:szCs w:val="28"/>
          <w:highlight w:val="none"/>
          <w14:textFill>
            <w14:solidFill>
              <w14:schemeClr w14:val="tx1"/>
            </w14:solidFill>
          </w14:textFill>
        </w:rPr>
      </w:pPr>
      <w:r>
        <w:rPr>
          <w:rFonts w:hint="eastAsia" w:ascii="宋体" w:hAnsi="宋体" w:cs="黑体"/>
          <w:b/>
          <w:bCs/>
          <w:color w:val="000000" w:themeColor="text1"/>
          <w:sz w:val="28"/>
          <w:szCs w:val="28"/>
          <w:highlight w:val="none"/>
          <w14:textFill>
            <w14:solidFill>
              <w14:schemeClr w14:val="tx1"/>
            </w14:solidFill>
          </w14:textFill>
        </w:rPr>
        <w:t>第六部分   投标文件相关格式</w:t>
      </w:r>
    </w:p>
    <w:p>
      <w:pPr>
        <w:widowControl/>
        <w:spacing w:line="360" w:lineRule="auto"/>
        <w:jc w:val="center"/>
        <w:rPr>
          <w:rFonts w:ascii="宋体" w:hAnsi="宋体" w:cs="黑体"/>
          <w:b/>
          <w:bCs/>
          <w:color w:val="000000" w:themeColor="text1"/>
          <w:sz w:val="28"/>
          <w:szCs w:val="28"/>
          <w:highlight w:val="none"/>
          <w14:textFill>
            <w14:solidFill>
              <w14:schemeClr w14:val="tx1"/>
            </w14:solidFill>
          </w14:textFill>
        </w:rPr>
      </w:pPr>
    </w:p>
    <w:p>
      <w:pPr>
        <w:spacing w:line="360" w:lineRule="auto"/>
        <w:rPr>
          <w:rFonts w:ascii="宋体" w:hAnsi="宋体" w:cs="宋体-PUA"/>
          <w:b/>
          <w:color w:val="000000" w:themeColor="text1"/>
          <w:sz w:val="24"/>
          <w:highlight w:val="none"/>
          <w14:textFill>
            <w14:solidFill>
              <w14:schemeClr w14:val="tx1"/>
            </w14:solidFill>
          </w14:textFill>
        </w:rPr>
      </w:pPr>
      <w:r>
        <w:rPr>
          <w:rFonts w:hint="eastAsia" w:ascii="宋体" w:hAnsi="宋体" w:cs="宋体-PUA"/>
          <w:b/>
          <w:color w:val="000000" w:themeColor="text1"/>
          <w:sz w:val="24"/>
          <w:highlight w:val="none"/>
          <w14:textFill>
            <w14:solidFill>
              <w14:schemeClr w14:val="tx1"/>
            </w14:solidFill>
          </w14:textFill>
        </w:rPr>
        <w:t>附件一：技术资信文件封面</w:t>
      </w:r>
    </w:p>
    <w:p>
      <w:pPr>
        <w:spacing w:line="360" w:lineRule="auto"/>
        <w:jc w:val="center"/>
        <w:rPr>
          <w:rFonts w:ascii="宋体" w:hAnsi="宋体" w:cs="黑体"/>
          <w:b/>
          <w:bCs/>
          <w:color w:val="000000" w:themeColor="text1"/>
          <w:sz w:val="28"/>
          <w:szCs w:val="28"/>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spacing w:line="360" w:lineRule="auto"/>
        <w:jc w:val="center"/>
        <w:rPr>
          <w:rFonts w:hint="eastAsia" w:ascii="宋体" w:hAnsi="宋体" w:cs="宋体-PUA"/>
          <w:b/>
          <w:color w:val="000000" w:themeColor="text1"/>
          <w:spacing w:val="-17"/>
          <w:sz w:val="44"/>
          <w:szCs w:val="44"/>
          <w:highlight w:val="none"/>
          <w14:textFill>
            <w14:solidFill>
              <w14:schemeClr w14:val="tx1"/>
            </w14:solidFill>
          </w14:textFill>
        </w:rPr>
      </w:pPr>
      <w:r>
        <w:rPr>
          <w:rFonts w:hint="eastAsia" w:ascii="宋体" w:hAnsi="宋体" w:cs="宋体-PUA"/>
          <w:b/>
          <w:color w:val="000000" w:themeColor="text1"/>
          <w:spacing w:val="-17"/>
          <w:sz w:val="44"/>
          <w:szCs w:val="44"/>
          <w:highlight w:val="none"/>
          <w14:textFill>
            <w14:solidFill>
              <w14:schemeClr w14:val="tx1"/>
            </w14:solidFill>
          </w14:textFill>
        </w:rPr>
        <w:t>柯城区百家塘片区</w:t>
      </w:r>
      <w:r>
        <w:rPr>
          <w:rFonts w:hint="eastAsia" w:ascii="宋体" w:hAnsi="宋体" w:cs="宋体-PUA"/>
          <w:b/>
          <w:color w:val="000000" w:themeColor="text1"/>
          <w:spacing w:val="-17"/>
          <w:sz w:val="44"/>
          <w:szCs w:val="44"/>
          <w:highlight w:val="none"/>
          <w:lang w:eastAsia="zh-CN"/>
          <w14:textFill>
            <w14:solidFill>
              <w14:schemeClr w14:val="tx1"/>
            </w14:solidFill>
          </w14:textFill>
        </w:rPr>
        <w:t>集体土地</w:t>
      </w:r>
      <w:r>
        <w:rPr>
          <w:rFonts w:hint="eastAsia" w:ascii="宋体" w:hAnsi="宋体" w:cs="宋体-PUA"/>
          <w:b/>
          <w:color w:val="000000" w:themeColor="text1"/>
          <w:spacing w:val="-17"/>
          <w:sz w:val="44"/>
          <w:szCs w:val="44"/>
          <w:highlight w:val="none"/>
          <w14:textFill>
            <w14:solidFill>
              <w14:schemeClr w14:val="tx1"/>
            </w14:solidFill>
          </w14:textFill>
        </w:rPr>
        <w:t>房屋征收评估服务</w:t>
      </w:r>
    </w:p>
    <w:p>
      <w:pPr>
        <w:spacing w:line="360" w:lineRule="auto"/>
        <w:jc w:val="center"/>
        <w:rPr>
          <w:rFonts w:ascii="宋体" w:hAnsi="宋体" w:cs="宋体-PUA"/>
          <w:b/>
          <w:color w:val="000000" w:themeColor="text1"/>
          <w:spacing w:val="-17"/>
          <w:sz w:val="44"/>
          <w:szCs w:val="44"/>
          <w:highlight w:val="none"/>
          <w14:textFill>
            <w14:solidFill>
              <w14:schemeClr w14:val="tx1"/>
            </w14:solidFill>
          </w14:textFill>
        </w:rPr>
      </w:pPr>
      <w:r>
        <w:rPr>
          <w:rFonts w:hint="eastAsia" w:ascii="宋体" w:hAnsi="宋体" w:cs="宋体-PUA"/>
          <w:b/>
          <w:color w:val="000000" w:themeColor="text1"/>
          <w:spacing w:val="-17"/>
          <w:sz w:val="44"/>
          <w:szCs w:val="44"/>
          <w:highlight w:val="none"/>
          <w14:textFill>
            <w14:solidFill>
              <w14:schemeClr w14:val="tx1"/>
            </w14:solidFill>
          </w14:textFill>
        </w:rPr>
        <w:t>采购项目</w:t>
      </w:r>
    </w:p>
    <w:p>
      <w:pPr>
        <w:spacing w:line="360" w:lineRule="auto"/>
        <w:jc w:val="center"/>
        <w:rPr>
          <w:rFonts w:ascii="宋体" w:hAnsi="宋体" w:cs="宋体-PUA"/>
          <w:b/>
          <w:color w:val="000000" w:themeColor="text1"/>
          <w:sz w:val="44"/>
          <w:szCs w:val="44"/>
          <w:highlight w:val="none"/>
          <w14:textFill>
            <w14:solidFill>
              <w14:schemeClr w14:val="tx1"/>
            </w14:solidFill>
          </w14:textFill>
        </w:rPr>
      </w:pPr>
    </w:p>
    <w:p>
      <w:pPr>
        <w:spacing w:line="360" w:lineRule="auto"/>
        <w:jc w:val="center"/>
        <w:rPr>
          <w:rFonts w:ascii="宋体" w:hAnsi="宋体" w:cs="宋体"/>
          <w:b/>
          <w:color w:val="000000" w:themeColor="text1"/>
          <w:kern w:val="0"/>
          <w:sz w:val="52"/>
          <w:szCs w:val="52"/>
          <w:highlight w:val="none"/>
          <w14:textFill>
            <w14:solidFill>
              <w14:schemeClr w14:val="tx1"/>
            </w14:solidFill>
          </w14:textFill>
        </w:rPr>
      </w:pPr>
    </w:p>
    <w:p>
      <w:pPr>
        <w:spacing w:line="360" w:lineRule="auto"/>
        <w:jc w:val="center"/>
        <w:rPr>
          <w:rFonts w:ascii="宋体" w:hAnsi="宋体" w:cs="宋体"/>
          <w:b/>
          <w:color w:val="000000" w:themeColor="text1"/>
          <w:kern w:val="0"/>
          <w:sz w:val="52"/>
          <w:szCs w:val="52"/>
          <w:highlight w:val="none"/>
          <w14:textFill>
            <w14:solidFill>
              <w14:schemeClr w14:val="tx1"/>
            </w14:solidFill>
          </w14:textFill>
        </w:rPr>
      </w:pPr>
      <w:r>
        <w:rPr>
          <w:rFonts w:hint="eastAsia" w:ascii="宋体" w:hAnsi="宋体" w:cs="宋体"/>
          <w:b/>
          <w:color w:val="000000" w:themeColor="text1"/>
          <w:kern w:val="0"/>
          <w:sz w:val="52"/>
          <w:szCs w:val="52"/>
          <w:highlight w:val="none"/>
          <w14:textFill>
            <w14:solidFill>
              <w14:schemeClr w14:val="tx1"/>
            </w14:solidFill>
          </w14:textFill>
        </w:rPr>
        <w:t>投标文件</w:t>
      </w:r>
    </w:p>
    <w:p>
      <w:pPr>
        <w:adjustRightInd w:val="0"/>
        <w:snapToGrid w:val="0"/>
        <w:spacing w:before="240" w:line="360" w:lineRule="auto"/>
        <w:jc w:val="center"/>
        <w:outlineLvl w:val="2"/>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（正本/副本）</w:t>
      </w:r>
    </w:p>
    <w:p>
      <w:pPr>
        <w:adjustRightInd w:val="0"/>
        <w:snapToGrid w:val="0"/>
        <w:spacing w:before="240" w:line="360" w:lineRule="auto"/>
        <w:jc w:val="center"/>
        <w:outlineLvl w:val="2"/>
        <w:rPr>
          <w:rFonts w:ascii="宋体" w:hAnsi="宋体" w:cs="宋体"/>
          <w:b/>
          <w:color w:val="000000" w:themeColor="text1"/>
          <w:kern w:val="0"/>
          <w:sz w:val="24"/>
          <w:highlight w:val="none"/>
          <w14:textFill>
            <w14:solidFill>
              <w14:schemeClr w14:val="tx1"/>
            </w14:solidFill>
          </w14:textFill>
        </w:rPr>
      </w:pPr>
    </w:p>
    <w:p>
      <w:pPr>
        <w:adjustRightInd w:val="0"/>
        <w:snapToGrid w:val="0"/>
        <w:spacing w:before="240" w:line="360" w:lineRule="auto"/>
        <w:outlineLvl w:val="2"/>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项目名称：</w:t>
      </w:r>
    </w:p>
    <w:p>
      <w:pPr>
        <w:adjustRightInd w:val="0"/>
        <w:snapToGrid w:val="0"/>
        <w:spacing w:before="240" w:line="360" w:lineRule="auto"/>
        <w:outlineLvl w:val="2"/>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投标文件内容：</w:t>
      </w:r>
      <w:r>
        <w:rPr>
          <w:rFonts w:hint="eastAsia" w:ascii="宋体" w:hAnsi="宋体" w:cs="宋体"/>
          <w:b/>
          <w:color w:val="000000" w:themeColor="text1"/>
          <w:kern w:val="0"/>
          <w:sz w:val="28"/>
          <w:szCs w:val="28"/>
          <w:highlight w:val="none"/>
          <w:u w:val="single"/>
          <w14:textFill>
            <w14:solidFill>
              <w14:schemeClr w14:val="tx1"/>
            </w14:solidFill>
          </w14:textFill>
        </w:rPr>
        <w:t xml:space="preserve">      （技术资信文件）                   </w:t>
      </w:r>
    </w:p>
    <w:p>
      <w:pPr>
        <w:adjustRightInd w:val="0"/>
        <w:snapToGrid w:val="0"/>
        <w:spacing w:before="240" w:line="360" w:lineRule="auto"/>
        <w:outlineLvl w:val="2"/>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投标单位：</w:t>
      </w:r>
      <w:r>
        <w:rPr>
          <w:rFonts w:hint="eastAsia" w:ascii="宋体" w:hAnsi="宋体" w:cs="宋体"/>
          <w:b/>
          <w:color w:val="000000" w:themeColor="text1"/>
          <w:kern w:val="0"/>
          <w:sz w:val="28"/>
          <w:szCs w:val="28"/>
          <w:highlight w:val="none"/>
          <w:u w:val="single"/>
          <w14:textFill>
            <w14:solidFill>
              <w14:schemeClr w14:val="tx1"/>
            </w14:solidFill>
          </w14:textFill>
        </w:rPr>
        <w:t xml:space="preserve">                                       (盖章) </w:t>
      </w:r>
    </w:p>
    <w:p>
      <w:pPr>
        <w:adjustRightInd w:val="0"/>
        <w:snapToGrid w:val="0"/>
        <w:spacing w:before="240" w:line="360" w:lineRule="auto"/>
        <w:outlineLvl w:val="2"/>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法定代表人：</w:t>
      </w:r>
      <w:r>
        <w:rPr>
          <w:rFonts w:hint="eastAsia" w:ascii="宋体" w:hAnsi="宋体" w:cs="宋体"/>
          <w:b/>
          <w:color w:val="000000" w:themeColor="text1"/>
          <w:kern w:val="0"/>
          <w:sz w:val="28"/>
          <w:szCs w:val="28"/>
          <w:highlight w:val="none"/>
          <w:u w:val="single"/>
          <w14:textFill>
            <w14:solidFill>
              <w14:schemeClr w14:val="tx1"/>
            </w14:solidFill>
          </w14:textFill>
        </w:rPr>
        <w:t xml:space="preserve">                                    （盖章）</w:t>
      </w:r>
    </w:p>
    <w:p>
      <w:pPr>
        <w:adjustRightInd w:val="0"/>
        <w:snapToGrid w:val="0"/>
        <w:spacing w:line="360" w:lineRule="auto"/>
        <w:ind w:right="480" w:firstLine="1240" w:firstLineChars="441"/>
        <w:rPr>
          <w:rFonts w:ascii="宋体" w:hAnsi="宋体" w:cs="宋体"/>
          <w:b/>
          <w:color w:val="000000" w:themeColor="text1"/>
          <w:kern w:val="0"/>
          <w:sz w:val="28"/>
          <w:szCs w:val="28"/>
          <w:highlight w:val="none"/>
          <w14:textFill>
            <w14:solidFill>
              <w14:schemeClr w14:val="tx1"/>
            </w14:solidFill>
          </w14:textFill>
        </w:rPr>
      </w:pPr>
    </w:p>
    <w:p>
      <w:pPr>
        <w:spacing w:line="360" w:lineRule="auto"/>
        <w:jc w:val="center"/>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 xml:space="preserve">日期： </w:t>
      </w:r>
      <w:r>
        <w:rPr>
          <w:rFonts w:hint="eastAsia" w:ascii="宋体" w:hAnsi="宋体" w:cs="宋体"/>
          <w:b/>
          <w:color w:val="000000" w:themeColor="text1"/>
          <w:kern w:val="0"/>
          <w:sz w:val="28"/>
          <w:szCs w:val="28"/>
          <w:highlight w:val="none"/>
          <w:lang w:val="en-US" w:eastAsia="zh-CN"/>
          <w14:textFill>
            <w14:solidFill>
              <w14:schemeClr w14:val="tx1"/>
            </w14:solidFill>
          </w14:textFill>
        </w:rPr>
        <w:t xml:space="preserve"> </w:t>
      </w:r>
      <w:r>
        <w:rPr>
          <w:rFonts w:hint="eastAsia" w:ascii="宋体" w:hAnsi="宋体" w:cs="宋体"/>
          <w:b/>
          <w:color w:val="000000" w:themeColor="text1"/>
          <w:kern w:val="0"/>
          <w:sz w:val="28"/>
          <w:szCs w:val="28"/>
          <w:highlight w:val="none"/>
          <w14:textFill>
            <w14:solidFill>
              <w14:schemeClr w14:val="tx1"/>
            </w14:solidFill>
          </w14:textFill>
        </w:rPr>
        <w:t>年</w:t>
      </w:r>
      <w:r>
        <w:rPr>
          <w:rFonts w:hint="eastAsia" w:ascii="宋体" w:hAnsi="宋体" w:cs="宋体"/>
          <w:b/>
          <w:color w:val="000000" w:themeColor="text1"/>
          <w:kern w:val="0"/>
          <w:sz w:val="28"/>
          <w:szCs w:val="28"/>
          <w:highlight w:val="none"/>
          <w:lang w:val="en-US" w:eastAsia="zh-CN"/>
          <w14:textFill>
            <w14:solidFill>
              <w14:schemeClr w14:val="tx1"/>
            </w14:solidFill>
          </w14:textFill>
        </w:rPr>
        <w:t xml:space="preserve">   </w:t>
      </w:r>
      <w:r>
        <w:rPr>
          <w:rFonts w:hint="eastAsia" w:ascii="宋体" w:hAnsi="宋体" w:cs="宋体"/>
          <w:b/>
          <w:color w:val="000000" w:themeColor="text1"/>
          <w:kern w:val="0"/>
          <w:sz w:val="28"/>
          <w:szCs w:val="28"/>
          <w:highlight w:val="none"/>
          <w14:textFill>
            <w14:solidFill>
              <w14:schemeClr w14:val="tx1"/>
            </w14:solidFill>
          </w14:textFill>
        </w:rPr>
        <w:t>月</w:t>
      </w:r>
      <w:r>
        <w:rPr>
          <w:rFonts w:hint="eastAsia" w:ascii="宋体" w:hAnsi="宋体" w:cs="宋体"/>
          <w:b/>
          <w:color w:val="000000" w:themeColor="text1"/>
          <w:kern w:val="0"/>
          <w:sz w:val="28"/>
          <w:szCs w:val="28"/>
          <w:highlight w:val="none"/>
          <w:lang w:val="en-US" w:eastAsia="zh-CN"/>
          <w14:textFill>
            <w14:solidFill>
              <w14:schemeClr w14:val="tx1"/>
            </w14:solidFill>
          </w14:textFill>
        </w:rPr>
        <w:t xml:space="preserve">  </w:t>
      </w:r>
      <w:r>
        <w:rPr>
          <w:rFonts w:hint="eastAsia" w:ascii="宋体" w:hAnsi="宋体" w:cs="宋体"/>
          <w:b/>
          <w:color w:val="000000" w:themeColor="text1"/>
          <w:kern w:val="0"/>
          <w:sz w:val="28"/>
          <w:szCs w:val="28"/>
          <w:highlight w:val="none"/>
          <w14:textFill>
            <w14:solidFill>
              <w14:schemeClr w14:val="tx1"/>
            </w14:solidFill>
          </w14:textFill>
        </w:rPr>
        <w:t>日</w:t>
      </w:r>
    </w:p>
    <w:p>
      <w:pPr>
        <w:spacing w:line="360" w:lineRule="auto"/>
        <w:jc w:val="center"/>
        <w:rPr>
          <w:rFonts w:ascii="宋体" w:hAnsi="宋体" w:cs="宋体"/>
          <w:b/>
          <w:color w:val="000000" w:themeColor="text1"/>
          <w:kern w:val="0"/>
          <w:sz w:val="28"/>
          <w:szCs w:val="28"/>
          <w:highlight w:val="none"/>
          <w14:textFill>
            <w14:solidFill>
              <w14:schemeClr w14:val="tx1"/>
            </w14:solidFill>
          </w14:textFill>
        </w:rPr>
      </w:pPr>
    </w:p>
    <w:p>
      <w:pPr>
        <w:spacing w:line="360" w:lineRule="auto"/>
        <w:jc w:val="center"/>
        <w:rPr>
          <w:rFonts w:ascii="宋体" w:hAnsi="宋体" w:cs="宋体"/>
          <w:b/>
          <w:color w:val="000000" w:themeColor="text1"/>
          <w:kern w:val="0"/>
          <w:sz w:val="28"/>
          <w:szCs w:val="28"/>
          <w:highlight w:val="none"/>
          <w14:textFill>
            <w14:solidFill>
              <w14:schemeClr w14:val="tx1"/>
            </w14:solidFill>
          </w14:textFill>
        </w:rPr>
      </w:pPr>
    </w:p>
    <w:p>
      <w:pPr>
        <w:spacing w:line="360" w:lineRule="auto"/>
        <w:jc w:val="center"/>
        <w:rPr>
          <w:rFonts w:ascii="宋体" w:hAnsi="宋体" w:cs="宋体"/>
          <w:b/>
          <w:color w:val="000000" w:themeColor="text1"/>
          <w:kern w:val="0"/>
          <w:sz w:val="28"/>
          <w:szCs w:val="28"/>
          <w:highlight w:val="none"/>
          <w14:textFill>
            <w14:solidFill>
              <w14:schemeClr w14:val="tx1"/>
            </w14:solidFill>
          </w14:textFill>
        </w:rPr>
      </w:pPr>
    </w:p>
    <w:p>
      <w:pPr>
        <w:spacing w:line="360" w:lineRule="auto"/>
        <w:jc w:val="center"/>
        <w:rPr>
          <w:rFonts w:ascii="宋体" w:hAnsi="宋体" w:cs="宋体-PUA"/>
          <w:b/>
          <w:color w:val="000000" w:themeColor="text1"/>
          <w:sz w:val="44"/>
          <w:szCs w:val="44"/>
          <w:highlight w:val="none"/>
          <w14:textFill>
            <w14:solidFill>
              <w14:schemeClr w14:val="tx1"/>
            </w14:solidFill>
          </w14:textFill>
        </w:rPr>
      </w:pPr>
    </w:p>
    <w:p>
      <w:pPr>
        <w:rPr>
          <w:rFonts w:ascii="宋体" w:hAnsi="宋体" w:cs="宋体-PUA"/>
          <w:b/>
          <w:color w:val="000000" w:themeColor="text1"/>
          <w:sz w:val="24"/>
          <w:szCs w:val="28"/>
          <w:highlight w:val="none"/>
          <w14:textFill>
            <w14:solidFill>
              <w14:schemeClr w14:val="tx1"/>
            </w14:solidFill>
          </w14:textFill>
        </w:rPr>
      </w:pPr>
      <w:r>
        <w:rPr>
          <w:rFonts w:hint="eastAsia" w:ascii="宋体" w:hAnsi="宋体" w:cs="宋体-PUA"/>
          <w:b/>
          <w:color w:val="000000" w:themeColor="text1"/>
          <w:sz w:val="24"/>
          <w:highlight w:val="none"/>
          <w14:textFill>
            <w14:solidFill>
              <w14:schemeClr w14:val="tx1"/>
            </w14:solidFill>
          </w14:textFill>
        </w:rPr>
        <w:t>附件二：资格审查表</w:t>
      </w:r>
    </w:p>
    <w:p>
      <w:pPr>
        <w:jc w:val="center"/>
        <w:rPr>
          <w:rFonts w:ascii="宋体" w:hAnsi="宋体" w:cs="黑体"/>
          <w:b/>
          <w:color w:val="000000" w:themeColor="text1"/>
          <w:sz w:val="28"/>
          <w:szCs w:val="28"/>
          <w:highlight w:val="none"/>
          <w14:textFill>
            <w14:solidFill>
              <w14:schemeClr w14:val="tx1"/>
            </w14:solidFill>
          </w14:textFill>
        </w:rPr>
      </w:pPr>
      <w:r>
        <w:rPr>
          <w:rFonts w:hint="eastAsia" w:ascii="宋体" w:hAnsi="宋体" w:cs="黑体"/>
          <w:b/>
          <w:color w:val="000000" w:themeColor="text1"/>
          <w:sz w:val="28"/>
          <w:szCs w:val="28"/>
          <w:highlight w:val="none"/>
          <w14:textFill>
            <w14:solidFill>
              <w14:schemeClr w14:val="tx1"/>
            </w14:solidFill>
          </w14:textFill>
        </w:rPr>
        <w:t>资格审查表</w:t>
      </w:r>
    </w:p>
    <w:p>
      <w:pPr>
        <w:ind w:firstLine="240" w:firstLineChars="100"/>
        <w:rPr>
          <w:rFonts w:ascii="宋体" w:hAnsi="宋体"/>
          <w:color w:val="000000" w:themeColor="text1"/>
          <w:sz w:val="24"/>
          <w:highlight w:val="none"/>
          <w14:textFill>
            <w14:solidFill>
              <w14:schemeClr w14:val="tx1"/>
            </w14:solidFill>
          </w14:textFill>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6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088" w:type="dxa"/>
            <w:vAlign w:val="center"/>
          </w:tcPr>
          <w:p>
            <w:pPr>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企业名称</w:t>
            </w:r>
          </w:p>
        </w:tc>
        <w:tc>
          <w:tcPr>
            <w:tcW w:w="6940" w:type="dxa"/>
            <w:vAlign w:val="center"/>
          </w:tcPr>
          <w:p>
            <w:pPr>
              <w:jc w:val="center"/>
              <w:rPr>
                <w:rFonts w:ascii="宋体" w:hAnsi="宋体"/>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088" w:type="dxa"/>
            <w:vAlign w:val="center"/>
          </w:tcPr>
          <w:p>
            <w:pPr>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注册地址</w:t>
            </w:r>
          </w:p>
        </w:tc>
        <w:tc>
          <w:tcPr>
            <w:tcW w:w="6940" w:type="dxa"/>
            <w:vAlign w:val="center"/>
          </w:tcPr>
          <w:p>
            <w:pPr>
              <w:jc w:val="center"/>
              <w:rPr>
                <w:rFonts w:ascii="宋体" w:hAnsi="宋体"/>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2" w:hRule="atLeast"/>
        </w:trPr>
        <w:tc>
          <w:tcPr>
            <w:tcW w:w="2088" w:type="dxa"/>
            <w:vAlign w:val="center"/>
          </w:tcPr>
          <w:p>
            <w:pPr>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营业执照副本</w:t>
            </w:r>
          </w:p>
        </w:tc>
        <w:tc>
          <w:tcPr>
            <w:tcW w:w="6940" w:type="dxa"/>
            <w:vAlign w:val="center"/>
          </w:tcPr>
          <w:p>
            <w:pPr>
              <w:rPr>
                <w:rFonts w:ascii="宋体" w:hAnsi="宋体"/>
                <w:b/>
                <w:color w:val="000000" w:themeColor="text1"/>
                <w:sz w:val="24"/>
                <w:highlight w:val="none"/>
                <w:u w:val="singl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证号：</w:t>
            </w:r>
          </w:p>
          <w:p>
            <w:pPr>
              <w:rPr>
                <w:rFonts w:ascii="宋体" w:hAnsi="宋体"/>
                <w:b/>
                <w:color w:val="000000" w:themeColor="text1"/>
                <w:sz w:val="24"/>
                <w:highlight w:val="none"/>
                <w:u w:val="single"/>
                <w14:textFill>
                  <w14:solidFill>
                    <w14:schemeClr w14:val="tx1"/>
                  </w14:solidFill>
                </w14:textFill>
              </w:rPr>
            </w:pPr>
          </w:p>
          <w:p>
            <w:pP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2088" w:type="dxa"/>
            <w:vAlign w:val="center"/>
          </w:tcPr>
          <w:p>
            <w:pPr>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资格等级</w:t>
            </w:r>
          </w:p>
        </w:tc>
        <w:tc>
          <w:tcPr>
            <w:tcW w:w="6940" w:type="dxa"/>
            <w:vAlign w:val="center"/>
          </w:tcPr>
          <w:p>
            <w:pP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具有建设部颁发的房地产估价</w:t>
            </w:r>
            <w:r>
              <w:rPr>
                <w:rFonts w:hint="eastAsia" w:ascii="宋体" w:hAnsi="宋体"/>
                <w:b/>
                <w:color w:val="000000" w:themeColor="text1"/>
                <w:sz w:val="24"/>
                <w:highlight w:val="none"/>
                <w:u w:val="singl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2088" w:type="dxa"/>
            <w:vAlign w:val="center"/>
          </w:tcPr>
          <w:p>
            <w:pPr>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项目负责人资格</w:t>
            </w:r>
          </w:p>
        </w:tc>
        <w:tc>
          <w:tcPr>
            <w:tcW w:w="6940" w:type="dxa"/>
            <w:vAlign w:val="center"/>
          </w:tcPr>
          <w:p>
            <w:pPr>
              <w:rPr>
                <w:rFonts w:ascii="宋体" w:hAnsi="宋体"/>
                <w:b/>
                <w:color w:val="000000" w:themeColor="text1"/>
                <w:sz w:val="24"/>
                <w:highlight w:val="none"/>
                <w14:textFill>
                  <w14:solidFill>
                    <w14:schemeClr w14:val="tx1"/>
                  </w14:solidFill>
                </w14:textFill>
              </w:rPr>
            </w:pPr>
          </w:p>
        </w:tc>
      </w:tr>
    </w:tbl>
    <w:p>
      <w:pPr>
        <w:spacing w:line="400" w:lineRule="exact"/>
        <w:rPr>
          <w:rFonts w:ascii="宋体" w:hAnsi="宋体"/>
          <w:b/>
          <w:color w:val="000000" w:themeColor="text1"/>
          <w:sz w:val="24"/>
          <w:highlight w:val="none"/>
          <w14:textFill>
            <w14:solidFill>
              <w14:schemeClr w14:val="tx1"/>
            </w14:solidFill>
          </w14:textFill>
        </w:rPr>
      </w:pPr>
    </w:p>
    <w:p>
      <w:pPr>
        <w:tabs>
          <w:tab w:val="left" w:pos="360"/>
          <w:tab w:val="left" w:pos="840"/>
        </w:tabs>
        <w:spacing w:line="360" w:lineRule="auto"/>
        <w:ind w:firstLine="482" w:firstLineChars="200"/>
        <w:rPr>
          <w:rFonts w:ascii="宋体" w:hAnsi="宋体" w:cs="宋体-PUA"/>
          <w:b/>
          <w:bCs/>
          <w:color w:val="000000" w:themeColor="text1"/>
          <w:sz w:val="24"/>
          <w:highlight w:val="none"/>
          <w14:textFill>
            <w14:solidFill>
              <w14:schemeClr w14:val="tx1"/>
            </w14:solidFill>
          </w14:textFill>
        </w:rPr>
      </w:pPr>
      <w:r>
        <w:rPr>
          <w:rFonts w:hint="eastAsia" w:ascii="宋体" w:hAnsi="宋体" w:cs="宋体-PUA"/>
          <w:b/>
          <w:bCs/>
          <w:color w:val="000000" w:themeColor="text1"/>
          <w:sz w:val="24"/>
          <w:highlight w:val="none"/>
          <w14:textFill>
            <w14:solidFill>
              <w14:schemeClr w14:val="tx1"/>
            </w14:solidFill>
          </w14:textFill>
        </w:rPr>
        <w:t>注：资格审查表涉及资料</w:t>
      </w:r>
      <w:r>
        <w:rPr>
          <w:rFonts w:hint="eastAsia" w:ascii="宋体" w:hAnsi="宋体" w:cs="宋体-PUA"/>
          <w:b/>
          <w:bCs/>
          <w:color w:val="000000" w:themeColor="text1"/>
          <w:sz w:val="24"/>
          <w:highlight w:val="none"/>
          <w14:textFill>
            <w14:solidFill>
              <w14:schemeClr w14:val="tx1"/>
            </w14:solidFill>
          </w14:textFill>
        </w:rPr>
        <w:t>原件扫描件加盖公章</w:t>
      </w:r>
      <w:r>
        <w:rPr>
          <w:rFonts w:hint="eastAsia" w:ascii="宋体" w:hAnsi="宋体" w:cs="宋体-PUA"/>
          <w:b/>
          <w:bCs/>
          <w:color w:val="000000" w:themeColor="text1"/>
          <w:sz w:val="24"/>
          <w:highlight w:val="none"/>
          <w14:textFill>
            <w14:solidFill>
              <w14:schemeClr w14:val="tx1"/>
            </w14:solidFill>
          </w14:textFill>
        </w:rPr>
        <w:t>编入技术资信文件，审查时，对《资格审查表》中填写内容与投标企业提供的资料原件扫描件核验，未提供原件扫描件或提供的原件扫描件与填写内容不一致的，资格审查不予通过。</w:t>
      </w:r>
    </w:p>
    <w:p>
      <w:pPr>
        <w:tabs>
          <w:tab w:val="left" w:pos="360"/>
          <w:tab w:val="left" w:pos="840"/>
        </w:tabs>
        <w:spacing w:line="360" w:lineRule="auto"/>
        <w:ind w:firstLine="482" w:firstLineChars="200"/>
        <w:rPr>
          <w:rFonts w:ascii="宋体" w:hAnsi="宋体" w:cs="宋体-PUA"/>
          <w:b/>
          <w:bCs/>
          <w:color w:val="000000" w:themeColor="text1"/>
          <w:sz w:val="24"/>
          <w:highlight w:val="none"/>
          <w14:textFill>
            <w14:solidFill>
              <w14:schemeClr w14:val="tx1"/>
            </w14:solidFill>
          </w14:textFill>
        </w:rPr>
      </w:pPr>
    </w:p>
    <w:p>
      <w:pPr>
        <w:tabs>
          <w:tab w:val="left" w:pos="360"/>
          <w:tab w:val="left" w:pos="840"/>
        </w:tabs>
        <w:spacing w:line="360" w:lineRule="auto"/>
        <w:ind w:firstLine="482" w:firstLineChars="200"/>
        <w:rPr>
          <w:rFonts w:ascii="宋体" w:hAnsi="宋体" w:cs="宋体-PUA"/>
          <w:b/>
          <w:bCs/>
          <w:color w:val="000000" w:themeColor="text1"/>
          <w:sz w:val="24"/>
          <w:highlight w:val="none"/>
          <w14:textFill>
            <w14:solidFill>
              <w14:schemeClr w14:val="tx1"/>
            </w14:solidFill>
          </w14:textFill>
        </w:rPr>
      </w:pPr>
    </w:p>
    <w:p>
      <w:pPr>
        <w:spacing w:line="400" w:lineRule="exact"/>
        <w:ind w:firstLine="472" w:firstLineChars="196"/>
        <w:rPr>
          <w:rFonts w:ascii="宋体" w:hAnsi="宋体"/>
          <w:b/>
          <w:color w:val="000000" w:themeColor="text1"/>
          <w:sz w:val="24"/>
          <w:highlight w:val="none"/>
          <w14:textFill>
            <w14:solidFill>
              <w14:schemeClr w14:val="tx1"/>
            </w14:solidFill>
          </w14:textFill>
        </w:rPr>
      </w:pPr>
    </w:p>
    <w:p>
      <w:pPr>
        <w:spacing w:line="400" w:lineRule="exact"/>
        <w:ind w:firstLine="3240" w:firstLineChars="1350"/>
        <w:rPr>
          <w:rFonts w:ascii="宋体" w:hAnsi="宋体" w:cs="宋体-PUA"/>
          <w:color w:val="000000" w:themeColor="text1"/>
          <w:sz w:val="24"/>
          <w:highlight w:val="none"/>
          <w14:textFill>
            <w14:solidFill>
              <w14:schemeClr w14:val="tx1"/>
            </w14:solidFill>
          </w14:textFill>
        </w:rPr>
      </w:pPr>
    </w:p>
    <w:p>
      <w:pPr>
        <w:spacing w:line="400" w:lineRule="exact"/>
        <w:ind w:firstLine="3240" w:firstLineChars="1350"/>
        <w:rPr>
          <w:rFonts w:ascii="宋体" w:hAnsi="宋体" w:cs="宋体-PUA"/>
          <w:color w:val="000000" w:themeColor="text1"/>
          <w:sz w:val="24"/>
          <w:highlight w:val="none"/>
          <w14:textFill>
            <w14:solidFill>
              <w14:schemeClr w14:val="tx1"/>
            </w14:solidFill>
          </w14:textFill>
        </w:rPr>
      </w:pPr>
    </w:p>
    <w:p>
      <w:pPr>
        <w:spacing w:line="400" w:lineRule="exact"/>
        <w:ind w:firstLine="3240" w:firstLineChars="1350"/>
        <w:rPr>
          <w:rFonts w:ascii="宋体" w:hAnsi="宋体" w:cs="宋体-PUA"/>
          <w:color w:val="000000" w:themeColor="text1"/>
          <w:sz w:val="24"/>
          <w:highlight w:val="none"/>
          <w14:textFill>
            <w14:solidFill>
              <w14:schemeClr w14:val="tx1"/>
            </w14:solidFill>
          </w14:textFill>
        </w:rPr>
      </w:pPr>
    </w:p>
    <w:p>
      <w:pPr>
        <w:spacing w:line="400" w:lineRule="exact"/>
        <w:ind w:firstLine="3240" w:firstLineChars="1350"/>
        <w:rPr>
          <w:rFonts w:ascii="宋体" w:hAnsi="宋体" w:cs="宋体-PUA"/>
          <w:color w:val="000000" w:themeColor="text1"/>
          <w:sz w:val="24"/>
          <w:highlight w:val="none"/>
          <w:u w:val="singl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投标人：</w:t>
      </w:r>
      <w:r>
        <w:rPr>
          <w:rFonts w:hint="eastAsia" w:ascii="宋体" w:hAnsi="宋体" w:cs="宋体-PUA"/>
          <w:color w:val="000000" w:themeColor="text1"/>
          <w:sz w:val="24"/>
          <w:highlight w:val="none"/>
          <w:u w:val="single"/>
          <w14:textFill>
            <w14:solidFill>
              <w14:schemeClr w14:val="tx1"/>
            </w14:solidFill>
          </w14:textFill>
        </w:rPr>
        <w:t xml:space="preserve">                         （盖章）</w:t>
      </w:r>
    </w:p>
    <w:p>
      <w:pPr>
        <w:spacing w:line="400" w:lineRule="exact"/>
        <w:ind w:firstLine="3240" w:firstLineChars="135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法定代表人：</w:t>
      </w:r>
      <w:r>
        <w:rPr>
          <w:rFonts w:hint="eastAsia" w:ascii="宋体" w:hAnsi="宋体" w:cs="宋体-PUA"/>
          <w:color w:val="000000" w:themeColor="text1"/>
          <w:sz w:val="24"/>
          <w:highlight w:val="none"/>
          <w:u w:val="single"/>
          <w14:textFill>
            <w14:solidFill>
              <w14:schemeClr w14:val="tx1"/>
            </w14:solidFill>
          </w14:textFill>
        </w:rPr>
        <w:t xml:space="preserve">                     （盖章）</w:t>
      </w:r>
    </w:p>
    <w:p>
      <w:pPr>
        <w:spacing w:line="360" w:lineRule="auto"/>
        <w:ind w:firstLine="3600" w:firstLineChars="1500"/>
        <w:rPr>
          <w:rFonts w:ascii="宋体" w:hAnsi="宋体" w:cs="宋体-PUA"/>
          <w:b/>
          <w:color w:val="000000" w:themeColor="text1"/>
          <w:sz w:val="44"/>
          <w:szCs w:val="4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日期：</w:t>
      </w:r>
      <w:r>
        <w:rPr>
          <w:rFonts w:hint="eastAsia" w:ascii="宋体" w:hAnsi="宋体" w:cs="宋体-PUA"/>
          <w:color w:val="000000" w:themeColor="text1"/>
          <w:sz w:val="24"/>
          <w:highlight w:val="none"/>
          <w:u w:val="single"/>
          <w:lang w:val="en-US" w:eastAsia="zh-CN"/>
          <w14:textFill>
            <w14:solidFill>
              <w14:schemeClr w14:val="tx1"/>
            </w14:solidFill>
          </w14:textFill>
        </w:rPr>
        <w:t xml:space="preserve">     </w:t>
      </w:r>
      <w:r>
        <w:rPr>
          <w:rFonts w:hint="eastAsia" w:ascii="宋体" w:hAnsi="宋体" w:cs="宋体-PUA"/>
          <w:color w:val="000000" w:themeColor="text1"/>
          <w:sz w:val="24"/>
          <w:highlight w:val="none"/>
          <w14:textFill>
            <w14:solidFill>
              <w14:schemeClr w14:val="tx1"/>
            </w14:solidFill>
          </w14:textFill>
        </w:rPr>
        <w:t>年</w:t>
      </w:r>
      <w:r>
        <w:rPr>
          <w:rFonts w:hint="eastAsia" w:ascii="宋体" w:hAnsi="宋体" w:cs="宋体-PUA"/>
          <w:color w:val="000000" w:themeColor="text1"/>
          <w:sz w:val="24"/>
          <w:highlight w:val="none"/>
          <w:u w:val="single"/>
          <w:lang w:val="en-US" w:eastAsia="zh-CN"/>
          <w14:textFill>
            <w14:solidFill>
              <w14:schemeClr w14:val="tx1"/>
            </w14:solidFill>
          </w14:textFill>
        </w:rPr>
        <w:t xml:space="preserve">    </w:t>
      </w:r>
      <w:r>
        <w:rPr>
          <w:rFonts w:hint="eastAsia" w:ascii="宋体" w:hAnsi="宋体" w:cs="宋体-PUA"/>
          <w:color w:val="000000" w:themeColor="text1"/>
          <w:sz w:val="24"/>
          <w:highlight w:val="none"/>
          <w14:textFill>
            <w14:solidFill>
              <w14:schemeClr w14:val="tx1"/>
            </w14:solidFill>
          </w14:textFill>
        </w:rPr>
        <w:t>月</w:t>
      </w:r>
      <w:r>
        <w:rPr>
          <w:rFonts w:hint="eastAsia" w:ascii="宋体" w:hAnsi="宋体" w:cs="宋体-PUA"/>
          <w:color w:val="000000" w:themeColor="text1"/>
          <w:sz w:val="24"/>
          <w:highlight w:val="none"/>
          <w:u w:val="single"/>
          <w:lang w:val="en-US" w:eastAsia="zh-CN"/>
          <w14:textFill>
            <w14:solidFill>
              <w14:schemeClr w14:val="tx1"/>
            </w14:solidFill>
          </w14:textFill>
        </w:rPr>
        <w:t xml:space="preserve">    </w:t>
      </w:r>
      <w:r>
        <w:rPr>
          <w:rFonts w:hint="eastAsia" w:ascii="宋体" w:hAnsi="宋体" w:cs="宋体-PUA"/>
          <w:color w:val="000000" w:themeColor="text1"/>
          <w:sz w:val="24"/>
          <w:highlight w:val="none"/>
          <w14:textFill>
            <w14:solidFill>
              <w14:schemeClr w14:val="tx1"/>
            </w14:solidFill>
          </w14:textFill>
        </w:rPr>
        <w:t>日</w:t>
      </w:r>
    </w:p>
    <w:p>
      <w:pPr>
        <w:spacing w:line="360" w:lineRule="auto"/>
        <w:rPr>
          <w:rFonts w:ascii="宋体" w:hAnsi="宋体" w:cs="宋体-PUA"/>
          <w:b/>
          <w:color w:val="000000" w:themeColor="text1"/>
          <w:sz w:val="44"/>
          <w:szCs w:val="44"/>
          <w:highlight w:val="none"/>
          <w14:textFill>
            <w14:solidFill>
              <w14:schemeClr w14:val="tx1"/>
            </w14:solidFill>
          </w14:textFill>
        </w:rPr>
      </w:pPr>
    </w:p>
    <w:p>
      <w:pPr>
        <w:spacing w:line="360" w:lineRule="auto"/>
        <w:rPr>
          <w:rFonts w:ascii="宋体" w:hAnsi="宋体" w:cs="宋体-PUA"/>
          <w:b/>
          <w:color w:val="000000" w:themeColor="text1"/>
          <w:sz w:val="44"/>
          <w:szCs w:val="44"/>
          <w:highlight w:val="none"/>
          <w14:textFill>
            <w14:solidFill>
              <w14:schemeClr w14:val="tx1"/>
            </w14:solidFill>
          </w14:textFill>
        </w:rPr>
      </w:pPr>
    </w:p>
    <w:p>
      <w:pPr>
        <w:rPr>
          <w:rFonts w:ascii="宋体" w:hAnsi="宋体" w:cs="宋体-PUA"/>
          <w:b/>
          <w:color w:val="000000" w:themeColor="text1"/>
          <w:sz w:val="24"/>
          <w:highlight w:val="none"/>
          <w14:textFill>
            <w14:solidFill>
              <w14:schemeClr w14:val="tx1"/>
            </w14:solidFill>
          </w14:textFill>
        </w:rPr>
      </w:pPr>
    </w:p>
    <w:p>
      <w:pPr>
        <w:rPr>
          <w:rFonts w:ascii="宋体" w:hAnsi="宋体" w:cs="宋体-PUA"/>
          <w:b/>
          <w:color w:val="000000" w:themeColor="text1"/>
          <w:sz w:val="24"/>
          <w:highlight w:val="none"/>
          <w14:textFill>
            <w14:solidFill>
              <w14:schemeClr w14:val="tx1"/>
            </w14:solidFill>
          </w14:textFill>
        </w:rPr>
      </w:pPr>
      <w:r>
        <w:rPr>
          <w:rFonts w:hint="eastAsia" w:ascii="宋体" w:hAnsi="宋体" w:cs="宋体-PUA"/>
          <w:b/>
          <w:color w:val="000000" w:themeColor="text1"/>
          <w:sz w:val="24"/>
          <w:highlight w:val="none"/>
          <w14:textFill>
            <w14:solidFill>
              <w14:schemeClr w14:val="tx1"/>
            </w14:solidFill>
          </w14:textFill>
        </w:rPr>
        <w:t>附件三：法定代表人证明书及法定代表人授权书</w:t>
      </w:r>
    </w:p>
    <w:p>
      <w:pPr>
        <w:spacing w:line="360" w:lineRule="auto"/>
        <w:jc w:val="center"/>
        <w:rPr>
          <w:rFonts w:ascii="宋体" w:hAnsi="宋体" w:cs="黑体"/>
          <w:b/>
          <w:color w:val="000000" w:themeColor="text1"/>
          <w:sz w:val="28"/>
          <w:szCs w:val="28"/>
          <w:highlight w:val="none"/>
          <w14:textFill>
            <w14:solidFill>
              <w14:schemeClr w14:val="tx1"/>
            </w14:solidFill>
          </w14:textFill>
        </w:rPr>
      </w:pPr>
    </w:p>
    <w:p>
      <w:pPr>
        <w:spacing w:line="360" w:lineRule="auto"/>
        <w:jc w:val="center"/>
        <w:rPr>
          <w:rFonts w:ascii="宋体" w:hAnsi="宋体" w:cs="黑体"/>
          <w:b/>
          <w:bCs/>
          <w:color w:val="000000" w:themeColor="text1"/>
          <w:sz w:val="28"/>
          <w:szCs w:val="28"/>
          <w:highlight w:val="none"/>
          <w14:textFill>
            <w14:solidFill>
              <w14:schemeClr w14:val="tx1"/>
            </w14:solidFill>
          </w14:textFill>
        </w:rPr>
      </w:pPr>
      <w:r>
        <w:rPr>
          <w:rFonts w:hint="eastAsia" w:ascii="宋体" w:hAnsi="宋体" w:cs="黑体"/>
          <w:b/>
          <w:bCs/>
          <w:color w:val="000000" w:themeColor="text1"/>
          <w:sz w:val="28"/>
          <w:szCs w:val="28"/>
          <w:highlight w:val="none"/>
          <w14:textFill>
            <w14:solidFill>
              <w14:schemeClr w14:val="tx1"/>
            </w14:solidFill>
          </w14:textFill>
        </w:rPr>
        <w:t>法定代表人证明书</w:t>
      </w:r>
    </w:p>
    <w:p>
      <w:pPr>
        <w:spacing w:line="360" w:lineRule="auto"/>
        <w:jc w:val="center"/>
        <w:rPr>
          <w:rFonts w:ascii="宋体" w:hAnsi="宋体" w:cs="宋体-PUA"/>
          <w:b/>
          <w:bCs/>
          <w:color w:val="000000" w:themeColor="text1"/>
          <w:sz w:val="24"/>
          <w:highlight w:val="none"/>
          <w14:textFill>
            <w14:solidFill>
              <w14:schemeClr w14:val="tx1"/>
            </w14:solidFill>
          </w14:textFill>
        </w:rPr>
      </w:pPr>
    </w:p>
    <w:p>
      <w:pPr>
        <w:spacing w:line="360" w:lineRule="auto"/>
        <w:jc w:val="center"/>
        <w:rPr>
          <w:rFonts w:ascii="宋体" w:hAnsi="宋体" w:cs="宋体-PUA"/>
          <w:b/>
          <w:bCs/>
          <w:color w:val="000000" w:themeColor="text1"/>
          <w:sz w:val="24"/>
          <w:highlight w:val="none"/>
          <w14:textFill>
            <w14:solidFill>
              <w14:schemeClr w14:val="tx1"/>
            </w14:solidFill>
          </w14:textFill>
        </w:rPr>
      </w:pPr>
    </w:p>
    <w:p>
      <w:pPr>
        <w:spacing w:line="360" w:lineRule="auto"/>
        <w:ind w:left="315"/>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___________同志现任我单位____________职务，为法定代表人。</w:t>
      </w:r>
    </w:p>
    <w:p>
      <w:pPr>
        <w:spacing w:line="360" w:lineRule="auto"/>
        <w:ind w:left="315"/>
        <w:rPr>
          <w:rFonts w:ascii="宋体" w:hAnsi="宋体" w:cs="宋体-PUA"/>
          <w:color w:val="000000" w:themeColor="text1"/>
          <w:sz w:val="24"/>
          <w:highlight w:val="none"/>
          <w14:textFill>
            <w14:solidFill>
              <w14:schemeClr w14:val="tx1"/>
            </w14:solidFill>
          </w14:textFill>
        </w:rPr>
      </w:pPr>
    </w:p>
    <w:p>
      <w:pPr>
        <w:spacing w:line="360" w:lineRule="auto"/>
        <w:ind w:left="315"/>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特此证明。</w:t>
      </w:r>
    </w:p>
    <w:p>
      <w:pPr>
        <w:spacing w:line="360" w:lineRule="auto"/>
        <w:ind w:left="315"/>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 xml:space="preserve">                                                </w:t>
      </w:r>
    </w:p>
    <w:p>
      <w:pPr>
        <w:spacing w:line="360" w:lineRule="auto"/>
        <w:ind w:left="315"/>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单位名称：______________________（盖单位公章）</w:t>
      </w:r>
    </w:p>
    <w:p>
      <w:pPr>
        <w:spacing w:line="360" w:lineRule="auto"/>
        <w:ind w:left="315"/>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                                                             年     月     日</w:t>
      </w:r>
    </w:p>
    <w:p>
      <w:pPr>
        <w:spacing w:line="360" w:lineRule="auto"/>
        <w:ind w:left="315"/>
        <w:rPr>
          <w:rFonts w:ascii="宋体" w:hAnsi="宋体" w:cs="宋体-PUA"/>
          <w:color w:val="000000" w:themeColor="text1"/>
          <w:sz w:val="24"/>
          <w:highlight w:val="none"/>
          <w14:textFill>
            <w14:solidFill>
              <w14:schemeClr w14:val="tx1"/>
            </w14:solidFill>
          </w14:textFill>
        </w:rPr>
      </w:pPr>
    </w:p>
    <w:p>
      <w:pPr>
        <w:spacing w:line="480" w:lineRule="auto"/>
        <w:ind w:left="315"/>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 xml:space="preserve">附：法定代表人姓名：   性别：  年龄：  民族：____        </w:t>
      </w:r>
    </w:p>
    <w:p>
      <w:pPr>
        <w:spacing w:line="480" w:lineRule="auto"/>
        <w:ind w:left="315"/>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身份证号码：____________________</w:t>
      </w:r>
    </w:p>
    <w:p>
      <w:pPr>
        <w:spacing w:line="480" w:lineRule="auto"/>
        <w:ind w:left="315"/>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住址：        电话：________________</w:t>
      </w:r>
    </w:p>
    <w:p>
      <w:pPr>
        <w:spacing w:line="360" w:lineRule="auto"/>
        <w:ind w:left="315"/>
        <w:rPr>
          <w:rFonts w:ascii="宋体" w:hAnsi="宋体" w:cs="宋体-PUA"/>
          <w:color w:val="000000" w:themeColor="text1"/>
          <w:sz w:val="24"/>
          <w:highlight w:val="none"/>
          <w14:textFill>
            <w14:solidFill>
              <w14:schemeClr w14:val="tx1"/>
            </w14:solidFill>
          </w14:textFill>
        </w:rPr>
      </w:pPr>
      <w:r>
        <w:rPr>
          <w:rFonts w:ascii="宋体" w:hAnsi="宋体" w:cs="宋体"/>
          <w:color w:val="000000" w:themeColor="text1"/>
          <w:sz w:val="22"/>
          <w:szCs w:val="22"/>
          <w:highlight w:val="none"/>
          <w14:textFill>
            <w14:solidFill>
              <w14:schemeClr w14:val="tx1"/>
            </w14:solidFill>
          </w14:textFill>
        </w:rPr>
        <mc:AlternateContent>
          <mc:Choice Requires="wps">
            <w:drawing>
              <wp:anchor distT="0" distB="0" distL="114300" distR="114300" simplePos="0" relativeHeight="251657216" behindDoc="0" locked="0" layoutInCell="1" allowOverlap="1">
                <wp:simplePos x="0" y="0"/>
                <wp:positionH relativeFrom="column">
                  <wp:posOffset>189230</wp:posOffset>
                </wp:positionH>
                <wp:positionV relativeFrom="paragraph">
                  <wp:posOffset>186690</wp:posOffset>
                </wp:positionV>
                <wp:extent cx="3382010" cy="1989455"/>
                <wp:effectExtent l="7620" t="7620" r="20320" b="22225"/>
                <wp:wrapNone/>
                <wp:docPr id="1" name="矩形 2"/>
                <wp:cNvGraphicFramePr/>
                <a:graphic xmlns:a="http://schemas.openxmlformats.org/drawingml/2006/main">
                  <a:graphicData uri="http://schemas.microsoft.com/office/word/2010/wordprocessingShape">
                    <wps:wsp>
                      <wps:cNvSpPr/>
                      <wps:spPr>
                        <a:xfrm>
                          <a:off x="0" y="0"/>
                          <a:ext cx="3382010" cy="198945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a:effectLst/>
                      </wps:spPr>
                      <wps:txbx>
                        <w:txbxContent>
                          <w:p>
                            <w:pPr>
                              <w:jc w:val="left"/>
                            </w:pPr>
                          </w:p>
                          <w:p>
                            <w:pPr>
                              <w:jc w:val="left"/>
                            </w:pPr>
                          </w:p>
                          <w:p>
                            <w:pPr>
                              <w:jc w:val="left"/>
                            </w:pPr>
                          </w:p>
                          <w:p>
                            <w:pPr>
                              <w:jc w:val="left"/>
                            </w:pPr>
                          </w:p>
                          <w:p>
                            <w:pPr>
                              <w:jc w:val="left"/>
                            </w:pPr>
                            <w:r>
                              <w:rPr>
                                <w:rFonts w:hint="eastAsia"/>
                              </w:rPr>
                              <w:t xml:space="preserve">           法定代表人身份证复印件</w:t>
                            </w:r>
                          </w:p>
                        </w:txbxContent>
                      </wps:txbx>
                      <wps:bodyPr upright="1"/>
                    </wps:wsp>
                  </a:graphicData>
                </a:graphic>
              </wp:anchor>
            </w:drawing>
          </mc:Choice>
          <mc:Fallback>
            <w:pict>
              <v:rect id="矩形 2" o:spid="_x0000_s1026" o:spt="1" style="position:absolute;left:0pt;margin-left:14.9pt;margin-top:14.7pt;height:156.65pt;width:266.3pt;z-index:251657216;mso-width-relative:page;mso-height-relative:page;" fillcolor="#FFFFFF" filled="t" stroked="t" coordsize="21600,21600" o:gfxdata="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cBi4PdYAAAAJAQAADwAAAAAAAAABACAAAAAiAAAA&#10;ZHJzL2Rvd25yZXYueG1sUEsBAhQAFAAAAAgAh07iQARKshpCAgAAwAQAAA4AAAAAAAAAAQAgAAAA&#10;JQEAAGRycy9lMm9Eb2MueG1sUEsFBgAAAAAGAAYAWQEAANkFAAAAAA==&#10;">
                <v:fill type="gradient" on="t" color2="#FFFFFF" angle="90" focus="100%" focussize="0,0">
                  <o:fill type="gradientUnscaled" v:ext="backwardCompatible"/>
                </v:fill>
                <v:stroke weight="1.25pt" color="#739CC3" joinstyle="miter"/>
                <v:imagedata o:title=""/>
                <o:lock v:ext="edit" aspectratio="f"/>
                <v:textbox>
                  <w:txbxContent>
                    <w:p>
                      <w:pPr>
                        <w:jc w:val="left"/>
                      </w:pPr>
                    </w:p>
                    <w:p>
                      <w:pPr>
                        <w:jc w:val="left"/>
                      </w:pPr>
                    </w:p>
                    <w:p>
                      <w:pPr>
                        <w:jc w:val="left"/>
                      </w:pPr>
                    </w:p>
                    <w:p>
                      <w:pPr>
                        <w:jc w:val="left"/>
                      </w:pPr>
                    </w:p>
                    <w:p>
                      <w:pPr>
                        <w:jc w:val="left"/>
                      </w:pPr>
                      <w:r>
                        <w:rPr>
                          <w:rFonts w:hint="eastAsia"/>
                        </w:rPr>
                        <w:t xml:space="preserve">           法定代表人身份证复印件</w:t>
                      </w:r>
                    </w:p>
                  </w:txbxContent>
                </v:textbox>
              </v:rect>
            </w:pict>
          </mc:Fallback>
        </mc:AlternateContent>
      </w:r>
    </w:p>
    <w:p>
      <w:pPr>
        <w:spacing w:line="360" w:lineRule="auto"/>
        <w:jc w:val="center"/>
        <w:rPr>
          <w:rFonts w:ascii="宋体" w:hAnsi="宋体" w:cs="黑体"/>
          <w:b/>
          <w:color w:val="000000" w:themeColor="text1"/>
          <w:sz w:val="28"/>
          <w:szCs w:val="28"/>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br w:type="page"/>
      </w:r>
    </w:p>
    <w:p>
      <w:pPr>
        <w:spacing w:line="360" w:lineRule="auto"/>
        <w:jc w:val="center"/>
        <w:rPr>
          <w:rFonts w:ascii="宋体" w:hAnsi="宋体" w:cs="宋体-PUA"/>
          <w:b/>
          <w:color w:val="000000" w:themeColor="text1"/>
          <w:sz w:val="24"/>
          <w:highlight w:val="none"/>
          <w14:textFill>
            <w14:solidFill>
              <w14:schemeClr w14:val="tx1"/>
            </w14:solidFill>
          </w14:textFill>
        </w:rPr>
      </w:pPr>
      <w:r>
        <w:rPr>
          <w:rFonts w:hint="eastAsia" w:ascii="宋体" w:hAnsi="宋体" w:cs="黑体"/>
          <w:b/>
          <w:color w:val="000000" w:themeColor="text1"/>
          <w:sz w:val="28"/>
          <w:szCs w:val="28"/>
          <w:highlight w:val="none"/>
          <w14:textFill>
            <w14:solidFill>
              <w14:schemeClr w14:val="tx1"/>
            </w14:solidFill>
          </w14:textFill>
        </w:rPr>
        <w:t>法定代表人授权书</w:t>
      </w:r>
    </w:p>
    <w:p>
      <w:pPr>
        <w:spacing w:line="360" w:lineRule="auto"/>
        <w:jc w:val="center"/>
        <w:rPr>
          <w:rFonts w:ascii="宋体" w:hAnsi="宋体" w:cs="宋体-PUA"/>
          <w:b/>
          <w:color w:val="000000" w:themeColor="text1"/>
          <w:sz w:val="24"/>
          <w:highlight w:val="none"/>
          <w14:textFill>
            <w14:solidFill>
              <w14:schemeClr w14:val="tx1"/>
            </w14:solidFill>
          </w14:textFill>
        </w:rPr>
      </w:pPr>
    </w:p>
    <w:p>
      <w:pPr>
        <w:spacing w:line="400" w:lineRule="exact"/>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致：衢州市柯城区双港街道办事处</w:t>
      </w:r>
    </w:p>
    <w:p>
      <w:pPr>
        <w:spacing w:line="360" w:lineRule="auto"/>
        <w:rPr>
          <w:rFonts w:ascii="宋体" w:hAnsi="宋体" w:cs="宋体-PUA"/>
          <w:color w:val="000000" w:themeColor="text1"/>
          <w:sz w:val="24"/>
          <w:highlight w:val="none"/>
          <w14:textFill>
            <w14:solidFill>
              <w14:schemeClr w14:val="tx1"/>
            </w14:solidFill>
          </w14:textFill>
        </w:rPr>
      </w:pPr>
    </w:p>
    <w:p>
      <w:pPr>
        <w:spacing w:line="360" w:lineRule="auto"/>
        <w:rPr>
          <w:rFonts w:ascii="宋体" w:hAnsi="宋体" w:cs="宋体-PUA"/>
          <w:color w:val="000000" w:themeColor="text1"/>
          <w:sz w:val="24"/>
          <w:highlight w:val="none"/>
          <w:u w:val="single"/>
          <w14:textFill>
            <w14:solidFill>
              <w14:schemeClr w14:val="tx1"/>
            </w14:solidFill>
          </w14:textFill>
        </w:rPr>
      </w:pPr>
    </w:p>
    <w:p>
      <w:pPr>
        <w:spacing w:line="360" w:lineRule="auto"/>
        <w:ind w:firstLine="600" w:firstLineChars="25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（投标人全称）法定代表人授权（全权代表姓名）为全权代表，参加贵处组织的（项目名称、编号）的招标活动，全权代表我方处理投标活动中的一切事宜。</w:t>
      </w:r>
    </w:p>
    <w:p>
      <w:pPr>
        <w:spacing w:line="360" w:lineRule="auto"/>
        <w:ind w:firstLine="2955"/>
        <w:rPr>
          <w:rFonts w:ascii="宋体" w:hAnsi="宋体" w:cs="宋体-PUA"/>
          <w:color w:val="000000" w:themeColor="text1"/>
          <w:sz w:val="24"/>
          <w:highlight w:val="none"/>
          <w14:textFill>
            <w14:solidFill>
              <w14:schemeClr w14:val="tx1"/>
            </w14:solidFill>
          </w14:textFill>
        </w:rPr>
      </w:pPr>
    </w:p>
    <w:p>
      <w:pPr>
        <w:spacing w:line="400" w:lineRule="exact"/>
        <w:ind w:firstLine="3240" w:firstLineChars="1350"/>
        <w:rPr>
          <w:rFonts w:ascii="宋体" w:hAnsi="宋体" w:cs="宋体-PUA"/>
          <w:color w:val="000000" w:themeColor="text1"/>
          <w:sz w:val="24"/>
          <w:highlight w:val="none"/>
          <w14:textFill>
            <w14:solidFill>
              <w14:schemeClr w14:val="tx1"/>
            </w14:solidFill>
          </w14:textFill>
        </w:rPr>
      </w:pPr>
    </w:p>
    <w:p>
      <w:pPr>
        <w:spacing w:line="400" w:lineRule="exact"/>
        <w:ind w:firstLine="3240" w:firstLineChars="1350"/>
        <w:rPr>
          <w:rFonts w:ascii="宋体" w:hAnsi="宋体" w:cs="宋体-PUA"/>
          <w:color w:val="000000" w:themeColor="text1"/>
          <w:sz w:val="24"/>
          <w:highlight w:val="none"/>
          <w:u w:val="singl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投标人：</w:t>
      </w:r>
      <w:r>
        <w:rPr>
          <w:rFonts w:hint="eastAsia" w:ascii="宋体" w:hAnsi="宋体" w:cs="宋体-PUA"/>
          <w:color w:val="000000" w:themeColor="text1"/>
          <w:sz w:val="24"/>
          <w:highlight w:val="none"/>
          <w:u w:val="single"/>
          <w14:textFill>
            <w14:solidFill>
              <w14:schemeClr w14:val="tx1"/>
            </w14:solidFill>
          </w14:textFill>
        </w:rPr>
        <w:t xml:space="preserve">                         （盖章）</w:t>
      </w:r>
    </w:p>
    <w:p>
      <w:pPr>
        <w:spacing w:line="400" w:lineRule="exact"/>
        <w:ind w:firstLine="3240" w:firstLineChars="135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法定代表人：</w:t>
      </w:r>
      <w:r>
        <w:rPr>
          <w:rFonts w:hint="eastAsia" w:ascii="宋体" w:hAnsi="宋体" w:cs="宋体-PUA"/>
          <w:color w:val="000000" w:themeColor="text1"/>
          <w:sz w:val="24"/>
          <w:highlight w:val="none"/>
          <w:u w:val="single"/>
          <w14:textFill>
            <w14:solidFill>
              <w14:schemeClr w14:val="tx1"/>
            </w14:solidFill>
          </w14:textFill>
        </w:rPr>
        <w:t xml:space="preserve">                     （盖章）</w:t>
      </w:r>
    </w:p>
    <w:p>
      <w:pPr>
        <w:spacing w:line="360" w:lineRule="auto"/>
        <w:ind w:firstLine="3360" w:firstLineChars="1400"/>
        <w:rPr>
          <w:rFonts w:ascii="宋体" w:hAnsi="宋体" w:cs="宋体-PUA"/>
          <w:b/>
          <w:color w:val="000000" w:themeColor="text1"/>
          <w:sz w:val="44"/>
          <w:szCs w:val="4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日期：</w:t>
      </w:r>
      <w:r>
        <w:rPr>
          <w:rFonts w:hint="eastAsia" w:ascii="宋体" w:hAnsi="宋体" w:cs="宋体-PUA"/>
          <w:color w:val="000000" w:themeColor="text1"/>
          <w:sz w:val="24"/>
          <w:highlight w:val="none"/>
          <w:u w:val="single"/>
          <w:lang w:val="en-US" w:eastAsia="zh-CN"/>
          <w14:textFill>
            <w14:solidFill>
              <w14:schemeClr w14:val="tx1"/>
            </w14:solidFill>
          </w14:textFill>
        </w:rPr>
        <w:t xml:space="preserve">     </w:t>
      </w:r>
      <w:r>
        <w:rPr>
          <w:rFonts w:hint="eastAsia" w:ascii="宋体" w:hAnsi="宋体" w:cs="宋体-PUA"/>
          <w:color w:val="000000" w:themeColor="text1"/>
          <w:sz w:val="24"/>
          <w:highlight w:val="none"/>
          <w14:textFill>
            <w14:solidFill>
              <w14:schemeClr w14:val="tx1"/>
            </w14:solidFill>
          </w14:textFill>
        </w:rPr>
        <w:t>年</w:t>
      </w:r>
      <w:r>
        <w:rPr>
          <w:rFonts w:hint="eastAsia" w:ascii="宋体" w:hAnsi="宋体" w:cs="宋体-PUA"/>
          <w:color w:val="000000" w:themeColor="text1"/>
          <w:sz w:val="24"/>
          <w:highlight w:val="none"/>
          <w:u w:val="single"/>
          <w:lang w:val="en-US" w:eastAsia="zh-CN"/>
          <w14:textFill>
            <w14:solidFill>
              <w14:schemeClr w14:val="tx1"/>
            </w14:solidFill>
          </w14:textFill>
        </w:rPr>
        <w:t xml:space="preserve">    </w:t>
      </w:r>
      <w:r>
        <w:rPr>
          <w:rFonts w:hint="eastAsia" w:ascii="宋体" w:hAnsi="宋体" w:cs="宋体-PUA"/>
          <w:color w:val="000000" w:themeColor="text1"/>
          <w:sz w:val="24"/>
          <w:highlight w:val="none"/>
          <w14:textFill>
            <w14:solidFill>
              <w14:schemeClr w14:val="tx1"/>
            </w14:solidFill>
          </w14:textFill>
        </w:rPr>
        <w:t>月</w:t>
      </w:r>
      <w:r>
        <w:rPr>
          <w:rFonts w:hint="eastAsia" w:ascii="宋体" w:hAnsi="宋体" w:cs="宋体-PUA"/>
          <w:color w:val="000000" w:themeColor="text1"/>
          <w:sz w:val="24"/>
          <w:highlight w:val="none"/>
          <w:u w:val="single"/>
          <w:lang w:val="en-US" w:eastAsia="zh-CN"/>
          <w14:textFill>
            <w14:solidFill>
              <w14:schemeClr w14:val="tx1"/>
            </w14:solidFill>
          </w14:textFill>
        </w:rPr>
        <w:t xml:space="preserve">    </w:t>
      </w:r>
      <w:r>
        <w:rPr>
          <w:rFonts w:hint="eastAsia" w:ascii="宋体" w:hAnsi="宋体" w:cs="宋体-PUA"/>
          <w:color w:val="000000" w:themeColor="text1"/>
          <w:sz w:val="24"/>
          <w:highlight w:val="none"/>
          <w14:textFill>
            <w14:solidFill>
              <w14:schemeClr w14:val="tx1"/>
            </w14:solidFill>
          </w14:textFill>
        </w:rPr>
        <w:t>日</w:t>
      </w:r>
    </w:p>
    <w:p>
      <w:pPr>
        <w:spacing w:line="360" w:lineRule="auto"/>
        <w:rPr>
          <w:rFonts w:ascii="宋体" w:hAnsi="宋体" w:cs="宋体-PUA"/>
          <w:color w:val="000000" w:themeColor="text1"/>
          <w:sz w:val="24"/>
          <w:highlight w:val="none"/>
          <w14:textFill>
            <w14:solidFill>
              <w14:schemeClr w14:val="tx1"/>
            </w14:solidFill>
          </w14:textFill>
        </w:rPr>
      </w:pPr>
    </w:p>
    <w:p>
      <w:pPr>
        <w:spacing w:line="360" w:lineRule="auto"/>
        <w:rPr>
          <w:rFonts w:ascii="宋体" w:hAnsi="宋体" w:cs="宋体-PUA"/>
          <w:color w:val="000000" w:themeColor="text1"/>
          <w:sz w:val="24"/>
          <w:highlight w:val="none"/>
          <w14:textFill>
            <w14:solidFill>
              <w14:schemeClr w14:val="tx1"/>
            </w14:solidFill>
          </w14:textFill>
        </w:rPr>
      </w:pPr>
    </w:p>
    <w:p>
      <w:pPr>
        <w:spacing w:line="480" w:lineRule="auto"/>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附：授权代表姓名：  职务： 电话：</w:t>
      </w:r>
    </w:p>
    <w:p>
      <w:pPr>
        <w:spacing w:line="480" w:lineRule="auto"/>
        <w:ind w:firstLine="240" w:firstLineChars="1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 xml:space="preserve">  详细通讯地址： 邮政编码：</w:t>
      </w:r>
    </w:p>
    <w:p>
      <w:pPr>
        <w:spacing w:line="360" w:lineRule="auto"/>
        <w:jc w:val="center"/>
        <w:rPr>
          <w:rFonts w:ascii="宋体" w:hAnsi="宋体" w:cs="宋体-PUA"/>
          <w:b/>
          <w:color w:val="000000" w:themeColor="text1"/>
          <w:sz w:val="24"/>
          <w:highlight w:val="none"/>
          <w14:textFill>
            <w14:solidFill>
              <w14:schemeClr w14:val="tx1"/>
            </w14:solidFill>
          </w14:textFill>
        </w:rPr>
      </w:pPr>
      <w:r>
        <w:rPr>
          <w:rFonts w:ascii="宋体" w:hAnsi="宋体" w:cs="宋体"/>
          <w:color w:val="000000" w:themeColor="text1"/>
          <w:sz w:val="22"/>
          <w:szCs w:val="22"/>
          <w:highlight w:val="none"/>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170180</wp:posOffset>
                </wp:positionH>
                <wp:positionV relativeFrom="paragraph">
                  <wp:posOffset>287655</wp:posOffset>
                </wp:positionV>
                <wp:extent cx="3382010" cy="1989455"/>
                <wp:effectExtent l="7620" t="7620" r="20320" b="22225"/>
                <wp:wrapNone/>
                <wp:docPr id="2" name="矩形 3"/>
                <wp:cNvGraphicFramePr/>
                <a:graphic xmlns:a="http://schemas.openxmlformats.org/drawingml/2006/main">
                  <a:graphicData uri="http://schemas.microsoft.com/office/word/2010/wordprocessingShape">
                    <wps:wsp>
                      <wps:cNvSpPr/>
                      <wps:spPr>
                        <a:xfrm>
                          <a:off x="0" y="0"/>
                          <a:ext cx="3382010" cy="198945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a:effectLst/>
                      </wps:spPr>
                      <wps:txbx>
                        <w:txbxContent>
                          <w:p/>
                          <w:p/>
                          <w:p/>
                          <w:p/>
                          <w:p>
                            <w:r>
                              <w:rPr>
                                <w:rFonts w:hint="eastAsia"/>
                              </w:rPr>
                              <w:t xml:space="preserve">             授权代表身份证复印件</w:t>
                            </w:r>
                          </w:p>
                        </w:txbxContent>
                      </wps:txbx>
                      <wps:bodyPr upright="1"/>
                    </wps:wsp>
                  </a:graphicData>
                </a:graphic>
              </wp:anchor>
            </w:drawing>
          </mc:Choice>
          <mc:Fallback>
            <w:pict>
              <v:rect id="矩形 3" o:spid="_x0000_s1026" o:spt="1" style="position:absolute;left:0pt;margin-left:13.4pt;margin-top:22.65pt;height:156.65pt;width:266.3pt;z-index:251658240;mso-width-relative:page;mso-height-relative:page;" fillcolor="#FFFFFF" filled="t" stroked="t" coordsize="21600,21600" o:gfxdata="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El15yXXAAAACQEAAA8AAAAAAAAAAQAgAAAA&#10;IgAAAGRycy9kb3ducmV2LnhtbFBLAQIUABQAAAAIAIdO4kAh7FhgRQIAAMAEAAAOAAAAAAAAAAEA&#10;IAAAACYBAABkcnMvZTJvRG9jLnhtbFBLBQYAAAAABgAGAFkBAADdBQAAAAA=&#10;">
                <v:fill type="gradient" on="t" color2="#FFFFFF" angle="90" focus="100%" focussize="0,0">
                  <o:fill type="gradientUnscaled" v:ext="backwardCompatible"/>
                </v:fill>
                <v:stroke weight="1.25pt" color="#739CC3" joinstyle="miter"/>
                <v:imagedata o:title=""/>
                <o:lock v:ext="edit" aspectratio="f"/>
                <v:textbox>
                  <w:txbxContent>
                    <w:p/>
                    <w:p/>
                    <w:p/>
                    <w:p/>
                    <w:p>
                      <w:r>
                        <w:rPr>
                          <w:rFonts w:hint="eastAsia"/>
                        </w:rPr>
                        <w:t xml:space="preserve">             授权代表身份证复印件</w:t>
                      </w:r>
                    </w:p>
                  </w:txbxContent>
                </v:textbox>
              </v:rect>
            </w:pict>
          </mc:Fallback>
        </mc:AlternateContent>
      </w:r>
    </w:p>
    <w:p>
      <w:pPr>
        <w:spacing w:line="360" w:lineRule="auto"/>
        <w:rPr>
          <w:rFonts w:ascii="宋体" w:hAnsi="宋体" w:cs="宋体-PUA"/>
          <w:b/>
          <w:color w:val="000000" w:themeColor="text1"/>
          <w:sz w:val="44"/>
          <w:szCs w:val="44"/>
          <w:highlight w:val="none"/>
          <w14:textFill>
            <w14:solidFill>
              <w14:schemeClr w14:val="tx1"/>
            </w14:solidFill>
          </w14:textFill>
        </w:rPr>
      </w:pPr>
    </w:p>
    <w:p>
      <w:pPr>
        <w:spacing w:line="360" w:lineRule="auto"/>
        <w:rPr>
          <w:rFonts w:ascii="宋体" w:hAnsi="宋体" w:cs="宋体-PUA"/>
          <w:b/>
          <w:color w:val="000000" w:themeColor="text1"/>
          <w:sz w:val="44"/>
          <w:szCs w:val="44"/>
          <w:highlight w:val="none"/>
          <w14:textFill>
            <w14:solidFill>
              <w14:schemeClr w14:val="tx1"/>
            </w14:solidFill>
          </w14:textFill>
        </w:rPr>
      </w:pPr>
    </w:p>
    <w:p>
      <w:pPr>
        <w:spacing w:line="360" w:lineRule="auto"/>
        <w:rPr>
          <w:rFonts w:ascii="宋体" w:hAnsi="宋体" w:cs="宋体-PUA"/>
          <w:b/>
          <w:color w:val="000000" w:themeColor="text1"/>
          <w:sz w:val="44"/>
          <w:szCs w:val="44"/>
          <w:highlight w:val="none"/>
          <w14:textFill>
            <w14:solidFill>
              <w14:schemeClr w14:val="tx1"/>
            </w14:solidFill>
          </w14:textFill>
        </w:rPr>
      </w:pPr>
    </w:p>
    <w:p>
      <w:pPr>
        <w:spacing w:line="360" w:lineRule="auto"/>
        <w:rPr>
          <w:rFonts w:ascii="宋体" w:hAnsi="宋体" w:cs="宋体-PUA"/>
          <w:b/>
          <w:color w:val="000000" w:themeColor="text1"/>
          <w:sz w:val="44"/>
          <w:szCs w:val="44"/>
          <w:highlight w:val="none"/>
          <w14:textFill>
            <w14:solidFill>
              <w14:schemeClr w14:val="tx1"/>
            </w14:solidFill>
          </w14:textFill>
        </w:rPr>
      </w:pPr>
    </w:p>
    <w:p>
      <w:pPr>
        <w:spacing w:line="360" w:lineRule="auto"/>
        <w:rPr>
          <w:rFonts w:ascii="宋体" w:hAnsi="宋体" w:cs="宋体-PUA"/>
          <w:b/>
          <w:color w:val="000000" w:themeColor="text1"/>
          <w:sz w:val="44"/>
          <w:szCs w:val="44"/>
          <w:highlight w:val="none"/>
          <w14:textFill>
            <w14:solidFill>
              <w14:schemeClr w14:val="tx1"/>
            </w14:solidFill>
          </w14:textFill>
        </w:rPr>
      </w:pPr>
    </w:p>
    <w:p>
      <w:pPr>
        <w:spacing w:line="360" w:lineRule="auto"/>
        <w:rPr>
          <w:rFonts w:ascii="宋体" w:hAnsi="宋体" w:cs="宋体-PUA"/>
          <w:b/>
          <w:color w:val="000000" w:themeColor="text1"/>
          <w:sz w:val="44"/>
          <w:szCs w:val="44"/>
          <w:highlight w:val="none"/>
          <w14:textFill>
            <w14:solidFill>
              <w14:schemeClr w14:val="tx1"/>
            </w14:solidFill>
          </w14:textFill>
        </w:rPr>
      </w:pPr>
    </w:p>
    <w:p>
      <w:pPr>
        <w:spacing w:line="360" w:lineRule="auto"/>
        <w:rPr>
          <w:rFonts w:hint="eastAsia" w:ascii="宋体" w:hAnsi="宋体" w:cs="宋体-PUA"/>
          <w:b/>
          <w:color w:val="000000" w:themeColor="text1"/>
          <w:sz w:val="44"/>
          <w:szCs w:val="44"/>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tabs>
          <w:tab w:val="left" w:pos="360"/>
          <w:tab w:val="left" w:pos="840"/>
        </w:tabs>
        <w:spacing w:line="360" w:lineRule="auto"/>
        <w:rPr>
          <w:rFonts w:ascii="宋体" w:hAnsi="宋体" w:cs="宋体-PUA"/>
          <w:b/>
          <w:color w:val="000000" w:themeColor="text1"/>
          <w:sz w:val="24"/>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tabs>
          <w:tab w:val="left" w:pos="360"/>
          <w:tab w:val="left" w:pos="840"/>
        </w:tabs>
        <w:spacing w:line="360" w:lineRule="auto"/>
        <w:rPr>
          <w:rFonts w:ascii="宋体" w:hAnsi="宋体" w:cs="宋体-PUA"/>
          <w:b/>
          <w:color w:val="000000" w:themeColor="text1"/>
          <w:sz w:val="24"/>
          <w:highlight w:val="none"/>
          <w14:textFill>
            <w14:solidFill>
              <w14:schemeClr w14:val="tx1"/>
            </w14:solidFill>
          </w14:textFill>
        </w:rPr>
      </w:pPr>
      <w:r>
        <w:rPr>
          <w:rFonts w:hint="eastAsia" w:ascii="宋体" w:hAnsi="宋体" w:cs="宋体-PUA"/>
          <w:b/>
          <w:color w:val="000000" w:themeColor="text1"/>
          <w:sz w:val="24"/>
          <w:highlight w:val="none"/>
          <w14:textFill>
            <w14:solidFill>
              <w14:schemeClr w14:val="tx1"/>
            </w14:solidFill>
          </w14:textFill>
        </w:rPr>
        <w:t>附件四：资信部分自评分表</w:t>
      </w:r>
    </w:p>
    <w:p>
      <w:pPr>
        <w:jc w:val="center"/>
        <w:rPr>
          <w:rFonts w:ascii="宋体" w:hAnsi="宋体" w:cs="黑体"/>
          <w:b/>
          <w:color w:val="000000" w:themeColor="text1"/>
          <w:sz w:val="28"/>
          <w:szCs w:val="28"/>
          <w:highlight w:val="none"/>
          <w14:textFill>
            <w14:solidFill>
              <w14:schemeClr w14:val="tx1"/>
            </w14:solidFill>
          </w14:textFill>
        </w:rPr>
      </w:pPr>
      <w:r>
        <w:rPr>
          <w:rFonts w:hint="eastAsia" w:ascii="宋体" w:hAnsi="宋体" w:cs="黑体"/>
          <w:b/>
          <w:color w:val="000000" w:themeColor="text1"/>
          <w:sz w:val="28"/>
          <w:szCs w:val="28"/>
          <w:highlight w:val="none"/>
          <w14:textFill>
            <w14:solidFill>
              <w14:schemeClr w14:val="tx1"/>
            </w14:solidFill>
          </w14:textFill>
        </w:rPr>
        <w:t>资信部分自评分表</w:t>
      </w:r>
    </w:p>
    <w:p>
      <w:pPr>
        <w:jc w:val="center"/>
        <w:rPr>
          <w:rFonts w:ascii="宋体" w:hAnsi="宋体" w:cs="黑体"/>
          <w:b/>
          <w:color w:val="000000" w:themeColor="text1"/>
          <w:sz w:val="28"/>
          <w:szCs w:val="28"/>
          <w:highlight w:val="none"/>
          <w14:textFill>
            <w14:solidFill>
              <w14:schemeClr w14:val="tx1"/>
            </w14:solidFill>
          </w14:textFill>
        </w:rPr>
      </w:pPr>
    </w:p>
    <w:tbl>
      <w:tblPr>
        <w:tblStyle w:val="15"/>
        <w:tblW w:w="9973" w:type="dxa"/>
        <w:jc w:val="center"/>
        <w:tblLayout w:type="fixed"/>
        <w:tblCellMar>
          <w:top w:w="15" w:type="dxa"/>
          <w:left w:w="15" w:type="dxa"/>
          <w:bottom w:w="15" w:type="dxa"/>
          <w:right w:w="15" w:type="dxa"/>
        </w:tblCellMar>
      </w:tblPr>
      <w:tblGrid>
        <w:gridCol w:w="720"/>
        <w:gridCol w:w="720"/>
        <w:gridCol w:w="1092"/>
        <w:gridCol w:w="5126"/>
        <w:gridCol w:w="984"/>
        <w:gridCol w:w="1331"/>
      </w:tblGrid>
      <w:tr>
        <w:tblPrEx>
          <w:tblCellMar>
            <w:top w:w="15" w:type="dxa"/>
            <w:left w:w="15" w:type="dxa"/>
            <w:bottom w:w="15" w:type="dxa"/>
            <w:right w:w="15" w:type="dxa"/>
          </w:tblCellMar>
        </w:tblPrEx>
        <w:trPr>
          <w:trHeight w:val="90" w:hRule="atLeast"/>
          <w:jc w:val="center"/>
        </w:trPr>
        <w:tc>
          <w:tcPr>
            <w:tcW w:w="1440" w:type="dxa"/>
            <w:gridSpan w:val="2"/>
            <w:tcBorders>
              <w:top w:val="single" w:color="000000" w:sz="4" w:space="0"/>
              <w:left w:val="single" w:color="auto" w:sz="4" w:space="0"/>
              <w:bottom w:val="single" w:color="000000" w:sz="4" w:space="0"/>
              <w:right w:val="single" w:color="000000" w:sz="4" w:space="0"/>
            </w:tcBorders>
            <w:vAlign w:val="center"/>
          </w:tcPr>
          <w:p>
            <w:pPr>
              <w:pStyle w:val="27"/>
              <w:spacing w:line="3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分值构成</w:t>
            </w:r>
          </w:p>
        </w:tc>
        <w:tc>
          <w:tcPr>
            <w:tcW w:w="1092" w:type="dxa"/>
            <w:vMerge w:val="restart"/>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pStyle w:val="27"/>
              <w:spacing w:line="3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分项内容</w:t>
            </w:r>
          </w:p>
        </w:tc>
        <w:tc>
          <w:tcPr>
            <w:tcW w:w="5126" w:type="dxa"/>
            <w:vMerge w:val="restart"/>
            <w:tcBorders>
              <w:top w:val="single" w:color="000000" w:sz="4" w:space="0"/>
              <w:left w:val="nil"/>
              <w:right w:val="single" w:color="000000" w:sz="4" w:space="0"/>
            </w:tcBorders>
            <w:tcMar>
              <w:top w:w="0" w:type="dxa"/>
              <w:left w:w="108" w:type="dxa"/>
              <w:bottom w:w="0" w:type="dxa"/>
              <w:right w:w="108" w:type="dxa"/>
            </w:tcMar>
            <w:vAlign w:val="center"/>
          </w:tcPr>
          <w:p>
            <w:pPr>
              <w:pStyle w:val="27"/>
              <w:spacing w:line="3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要    求</w:t>
            </w:r>
          </w:p>
        </w:tc>
        <w:tc>
          <w:tcPr>
            <w:tcW w:w="984"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pStyle w:val="27"/>
              <w:spacing w:line="3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自评分</w:t>
            </w:r>
          </w:p>
        </w:tc>
        <w:tc>
          <w:tcPr>
            <w:tcW w:w="1331"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pStyle w:val="27"/>
              <w:spacing w:line="300" w:lineRule="atLeas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投标文件对应的页码</w:t>
            </w:r>
          </w:p>
        </w:tc>
      </w:tr>
      <w:tr>
        <w:tblPrEx>
          <w:tblCellMar>
            <w:top w:w="15" w:type="dxa"/>
            <w:left w:w="15" w:type="dxa"/>
            <w:bottom w:w="15" w:type="dxa"/>
            <w:right w:w="15" w:type="dxa"/>
          </w:tblCellMar>
        </w:tblPrEx>
        <w:trPr>
          <w:trHeight w:val="256" w:hRule="atLeast"/>
          <w:jc w:val="center"/>
        </w:trPr>
        <w:tc>
          <w:tcPr>
            <w:tcW w:w="720" w:type="dxa"/>
            <w:tcBorders>
              <w:top w:val="nil"/>
              <w:left w:val="single" w:color="auto" w:sz="4" w:space="0"/>
              <w:bottom w:val="single" w:color="auto" w:sz="4" w:space="0"/>
              <w:right w:val="single" w:color="000000" w:sz="4" w:space="0"/>
            </w:tcBorders>
            <w:vAlign w:val="center"/>
          </w:tcPr>
          <w:p>
            <w:pPr>
              <w:pStyle w:val="27"/>
              <w:spacing w:line="3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总计</w:t>
            </w:r>
          </w:p>
        </w:tc>
        <w:tc>
          <w:tcPr>
            <w:tcW w:w="720" w:type="dxa"/>
            <w:tcBorders>
              <w:top w:val="nil"/>
              <w:left w:val="nil"/>
              <w:bottom w:val="single" w:color="auto" w:sz="4" w:space="0"/>
              <w:right w:val="single" w:color="000000" w:sz="4" w:space="0"/>
            </w:tcBorders>
            <w:vAlign w:val="center"/>
          </w:tcPr>
          <w:p>
            <w:pPr>
              <w:pStyle w:val="27"/>
              <w:spacing w:line="3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分值</w:t>
            </w:r>
          </w:p>
        </w:tc>
        <w:tc>
          <w:tcPr>
            <w:tcW w:w="1092" w:type="dxa"/>
            <w:vMerge w:val="continue"/>
            <w:tcBorders>
              <w:top w:val="single" w:color="000000" w:sz="4" w:space="0"/>
              <w:left w:val="nil"/>
              <w:bottom w:val="single" w:color="auto" w:sz="4" w:space="0"/>
              <w:right w:val="single" w:color="000000" w:sz="4" w:space="0"/>
            </w:tcBorders>
            <w:vAlign w:val="center"/>
          </w:tcPr>
          <w:p>
            <w:pPr>
              <w:spacing w:line="300" w:lineRule="exact"/>
              <w:rPr>
                <w:rFonts w:ascii="宋体" w:hAnsi="宋体"/>
                <w:color w:val="000000" w:themeColor="text1"/>
                <w:sz w:val="24"/>
                <w:highlight w:val="none"/>
                <w14:textFill>
                  <w14:solidFill>
                    <w14:schemeClr w14:val="tx1"/>
                  </w14:solidFill>
                </w14:textFill>
              </w:rPr>
            </w:pPr>
          </w:p>
        </w:tc>
        <w:tc>
          <w:tcPr>
            <w:tcW w:w="5126" w:type="dxa"/>
            <w:vMerge w:val="continue"/>
            <w:tcBorders>
              <w:left w:val="nil"/>
              <w:bottom w:val="single" w:color="auto" w:sz="4" w:space="0"/>
              <w:right w:val="single" w:color="000000" w:sz="4" w:space="0"/>
            </w:tcBorders>
            <w:vAlign w:val="center"/>
          </w:tcPr>
          <w:p>
            <w:pPr>
              <w:spacing w:line="300" w:lineRule="exact"/>
              <w:rPr>
                <w:rFonts w:ascii="宋体" w:hAnsi="宋体"/>
                <w:color w:val="000000" w:themeColor="text1"/>
                <w:sz w:val="24"/>
                <w:highlight w:val="none"/>
                <w14:textFill>
                  <w14:solidFill>
                    <w14:schemeClr w14:val="tx1"/>
                  </w14:solidFill>
                </w14:textFill>
              </w:rPr>
            </w:pPr>
          </w:p>
        </w:tc>
        <w:tc>
          <w:tcPr>
            <w:tcW w:w="984"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27"/>
              <w:spacing w:line="300" w:lineRule="exact"/>
              <w:rPr>
                <w:rFonts w:ascii="宋体" w:hAnsi="宋体"/>
                <w:color w:val="000000" w:themeColor="text1"/>
                <w:sz w:val="24"/>
                <w:highlight w:val="none"/>
                <w14:textFill>
                  <w14:solidFill>
                    <w14:schemeClr w14:val="tx1"/>
                  </w14:solidFill>
                </w14:textFill>
              </w:rPr>
            </w:pPr>
          </w:p>
        </w:tc>
        <w:tc>
          <w:tcPr>
            <w:tcW w:w="1331"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hAnsi="宋体"/>
                <w:color w:val="000000" w:themeColor="text1"/>
                <w:sz w:val="24"/>
                <w:highlight w:val="none"/>
                <w14:textFill>
                  <w14:solidFill>
                    <w14:schemeClr w14:val="tx1"/>
                  </w14:solidFill>
                </w14:textFill>
              </w:rPr>
            </w:pPr>
          </w:p>
        </w:tc>
      </w:tr>
      <w:tr>
        <w:tblPrEx>
          <w:tblCellMar>
            <w:top w:w="15" w:type="dxa"/>
            <w:left w:w="15" w:type="dxa"/>
            <w:bottom w:w="15" w:type="dxa"/>
            <w:right w:w="15" w:type="dxa"/>
          </w:tblCellMar>
        </w:tblPrEx>
        <w:trPr>
          <w:trHeight w:val="2480" w:hRule="atLeast"/>
          <w:jc w:val="center"/>
        </w:trPr>
        <w:tc>
          <w:tcPr>
            <w:tcW w:w="72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资信部分（30分）</w:t>
            </w:r>
          </w:p>
        </w:tc>
        <w:tc>
          <w:tcPr>
            <w:tcW w:w="720" w:type="dxa"/>
            <w:tcBorders>
              <w:top w:val="single" w:color="auto" w:sz="4" w:space="0"/>
              <w:left w:val="single" w:color="auto" w:sz="4" w:space="0"/>
              <w:bottom w:val="single" w:color="auto" w:sz="4" w:space="0"/>
              <w:right w:val="single" w:color="auto" w:sz="4" w:space="0"/>
            </w:tcBorders>
            <w:vAlign w:val="center"/>
          </w:tcPr>
          <w:p>
            <w:pPr>
              <w:pStyle w:val="27"/>
              <w:spacing w:line="320" w:lineRule="exact"/>
              <w:jc w:val="center"/>
              <w:rPr>
                <w:rFonts w:ascii="宋体" w:cs="仿宋_GB2312"/>
                <w:b/>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0-15</w:t>
            </w:r>
          </w:p>
        </w:tc>
        <w:tc>
          <w:tcPr>
            <w:tcW w:w="109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企业业绩</w:t>
            </w:r>
          </w:p>
        </w:tc>
        <w:tc>
          <w:tcPr>
            <w:tcW w:w="5126"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自201</w:t>
            </w:r>
            <w:r>
              <w:rPr>
                <w:rFonts w:hint="eastAsia" w:ascii="宋体" w:hAnsi="宋体"/>
                <w:b/>
                <w:bCs/>
                <w:color w:val="000000" w:themeColor="text1"/>
                <w:szCs w:val="21"/>
                <w:highlight w:val="none"/>
                <w:lang w:val="en-US" w:eastAsia="zh-CN"/>
                <w14:textFill>
                  <w14:solidFill>
                    <w14:schemeClr w14:val="tx1"/>
                  </w14:solidFill>
                </w14:textFill>
              </w:rPr>
              <w:t>8</w:t>
            </w:r>
            <w:r>
              <w:rPr>
                <w:rFonts w:hint="eastAsia" w:ascii="宋体" w:hAnsi="宋体"/>
                <w:b/>
                <w:bCs/>
                <w:color w:val="000000" w:themeColor="text1"/>
                <w:szCs w:val="21"/>
                <w:highlight w:val="none"/>
                <w14:textFill>
                  <w14:solidFill>
                    <w14:schemeClr w14:val="tx1"/>
                  </w14:solidFill>
                </w14:textFill>
              </w:rPr>
              <w:t>年1月1日以来承担集体、国有土地上房屋征收项目评估，按征收建筑面积，</w:t>
            </w:r>
          </w:p>
          <w:p>
            <w:pPr>
              <w:spacing w:line="320" w:lineRule="exact"/>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每提供1个</w:t>
            </w:r>
            <w:r>
              <w:rPr>
                <w:rFonts w:hint="eastAsia" w:ascii="宋体" w:hAnsi="宋体"/>
                <w:b/>
                <w:bCs/>
                <w:color w:val="000000" w:themeColor="text1"/>
                <w:szCs w:val="21"/>
                <w:highlight w:val="none"/>
                <w:u w:val="single"/>
                <w14:textFill>
                  <w14:solidFill>
                    <w14:schemeClr w14:val="tx1"/>
                  </w14:solidFill>
                </w14:textFill>
              </w:rPr>
              <w:t>3-</w:t>
            </w:r>
            <w:r>
              <w:rPr>
                <w:rFonts w:hint="eastAsia" w:ascii="宋体" w:hAnsi="宋体"/>
                <w:b/>
                <w:bCs/>
                <w:color w:val="000000" w:themeColor="text1"/>
                <w:szCs w:val="21"/>
                <w:highlight w:val="none"/>
                <w:u w:val="single"/>
                <w:lang w:val="en-US" w:eastAsia="zh-CN"/>
                <w14:textFill>
                  <w14:solidFill>
                    <w14:schemeClr w14:val="tx1"/>
                  </w14:solidFill>
                </w14:textFill>
              </w:rPr>
              <w:t>6</w:t>
            </w:r>
            <w:r>
              <w:rPr>
                <w:rFonts w:hint="eastAsia" w:ascii="宋体" w:hAnsi="宋体"/>
                <w:b/>
                <w:bCs/>
                <w:color w:val="000000" w:themeColor="text1"/>
                <w:szCs w:val="21"/>
                <w:highlight w:val="none"/>
                <w14:textFill>
                  <w14:solidFill>
                    <w14:schemeClr w14:val="tx1"/>
                  </w14:solidFill>
                </w14:textFill>
              </w:rPr>
              <w:t>万</w:t>
            </w:r>
            <w:r>
              <w:rPr>
                <w:rFonts w:hint="eastAsia" w:ascii="宋体" w:hAnsi="宋体"/>
                <w:b/>
                <w:bCs/>
                <w:color w:val="000000" w:themeColor="text1"/>
                <w:szCs w:val="21"/>
                <w:highlight w:val="none"/>
                <w14:textFill>
                  <w14:solidFill>
                    <w14:schemeClr w14:val="tx1"/>
                  </w14:solidFill>
                </w14:textFill>
              </w:rPr>
              <w:t>（含）㎡项目得2分；</w:t>
            </w:r>
          </w:p>
          <w:p>
            <w:pPr>
              <w:spacing w:line="320" w:lineRule="exact"/>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每提供1个</w:t>
            </w:r>
            <w:r>
              <w:rPr>
                <w:rFonts w:hint="eastAsia" w:ascii="宋体" w:hAnsi="宋体"/>
                <w:b/>
                <w:bCs/>
                <w:color w:val="000000" w:themeColor="text1"/>
                <w:szCs w:val="21"/>
                <w:highlight w:val="none"/>
                <w:u w:val="single"/>
                <w:lang w:val="en-US" w:eastAsia="zh-CN"/>
                <w14:textFill>
                  <w14:solidFill>
                    <w14:schemeClr w14:val="tx1"/>
                  </w14:solidFill>
                </w14:textFill>
              </w:rPr>
              <w:t>6</w:t>
            </w:r>
            <w:r>
              <w:rPr>
                <w:rFonts w:hint="eastAsia" w:ascii="宋体" w:hAnsi="宋体"/>
                <w:b/>
                <w:bCs/>
                <w:color w:val="000000" w:themeColor="text1"/>
                <w:szCs w:val="21"/>
                <w:highlight w:val="none"/>
                <w:u w:val="single"/>
                <w14:textFill>
                  <w14:solidFill>
                    <w14:schemeClr w14:val="tx1"/>
                  </w14:solidFill>
                </w14:textFill>
              </w:rPr>
              <w:t>-10</w:t>
            </w:r>
            <w:r>
              <w:rPr>
                <w:rFonts w:hint="eastAsia" w:ascii="宋体" w:hAnsi="宋体"/>
                <w:b/>
                <w:bCs/>
                <w:color w:val="000000" w:themeColor="text1"/>
                <w:szCs w:val="21"/>
                <w:highlight w:val="none"/>
                <w14:textFill>
                  <w14:solidFill>
                    <w14:schemeClr w14:val="tx1"/>
                  </w14:solidFill>
                </w14:textFill>
              </w:rPr>
              <w:t>万</w:t>
            </w:r>
            <w:r>
              <w:rPr>
                <w:rFonts w:hint="eastAsia" w:ascii="宋体" w:hAnsi="宋体"/>
                <w:b/>
                <w:bCs/>
                <w:color w:val="000000" w:themeColor="text1"/>
                <w:szCs w:val="21"/>
                <w:highlight w:val="none"/>
                <w14:textFill>
                  <w14:solidFill>
                    <w14:schemeClr w14:val="tx1"/>
                  </w14:solidFill>
                </w14:textFill>
              </w:rPr>
              <w:t>（含）㎡项目得4分；</w:t>
            </w:r>
          </w:p>
          <w:p>
            <w:pPr>
              <w:spacing w:line="320" w:lineRule="exact"/>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每提供1个</w:t>
            </w:r>
            <w:r>
              <w:rPr>
                <w:rFonts w:hint="eastAsia" w:ascii="宋体" w:hAnsi="宋体"/>
                <w:b/>
                <w:bCs/>
                <w:color w:val="000000" w:themeColor="text1"/>
                <w:szCs w:val="21"/>
                <w:highlight w:val="none"/>
                <w:u w:val="single"/>
                <w14:textFill>
                  <w14:solidFill>
                    <w14:schemeClr w14:val="tx1"/>
                  </w14:solidFill>
                </w14:textFill>
              </w:rPr>
              <w:t>10</w:t>
            </w:r>
            <w:r>
              <w:rPr>
                <w:rFonts w:hint="eastAsia" w:ascii="宋体" w:hAnsi="宋体"/>
                <w:b/>
                <w:bCs/>
                <w:color w:val="000000" w:themeColor="text1"/>
                <w:szCs w:val="21"/>
                <w:highlight w:val="none"/>
                <w14:textFill>
                  <w14:solidFill>
                    <w14:schemeClr w14:val="tx1"/>
                  </w14:solidFill>
                </w14:textFill>
              </w:rPr>
              <w:t>万</w:t>
            </w:r>
            <w:r>
              <w:rPr>
                <w:rFonts w:hint="eastAsia" w:ascii="宋体" w:hAnsi="宋体"/>
                <w:b/>
                <w:bCs/>
                <w:color w:val="000000" w:themeColor="text1"/>
                <w:szCs w:val="21"/>
                <w:highlight w:val="none"/>
                <w14:textFill>
                  <w14:solidFill>
                    <w14:schemeClr w14:val="tx1"/>
                  </w14:solidFill>
                </w14:textFill>
              </w:rPr>
              <w:t>㎡以上项目得6分。</w:t>
            </w:r>
          </w:p>
          <w:p>
            <w:pPr>
              <w:spacing w:line="320" w:lineRule="exact"/>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上述所提供的业绩需与本项目相似度高、关联度高。</w:t>
            </w:r>
          </w:p>
          <w:p>
            <w:pPr>
              <w:spacing w:line="320" w:lineRule="exact"/>
              <w:rPr>
                <w:rFonts w:ascii="宋体"/>
                <w:color w:val="000000" w:themeColor="text1"/>
                <w:sz w:val="24"/>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累计最高限加15分。</w:t>
            </w:r>
          </w:p>
        </w:tc>
        <w:tc>
          <w:tcPr>
            <w:tcW w:w="984"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pStyle w:val="27"/>
              <w:spacing w:line="300" w:lineRule="exact"/>
              <w:rPr>
                <w:rFonts w:ascii="宋体" w:hAnsi="宋体"/>
                <w:color w:val="000000" w:themeColor="text1"/>
                <w:sz w:val="24"/>
                <w:highlight w:val="none"/>
                <w14:textFill>
                  <w14:solidFill>
                    <w14:schemeClr w14:val="tx1"/>
                  </w14:solidFill>
                </w14:textFill>
              </w:rPr>
            </w:pPr>
          </w:p>
        </w:tc>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27"/>
              <w:spacing w:line="300" w:lineRule="atLeast"/>
              <w:rPr>
                <w:rFonts w:ascii="宋体" w:hAnsi="宋体"/>
                <w:color w:val="000000" w:themeColor="text1"/>
                <w:sz w:val="24"/>
                <w:highlight w:val="none"/>
                <w14:textFill>
                  <w14:solidFill>
                    <w14:schemeClr w14:val="tx1"/>
                  </w14:solidFill>
                </w14:textFill>
              </w:rPr>
            </w:pPr>
          </w:p>
        </w:tc>
      </w:tr>
      <w:tr>
        <w:tblPrEx>
          <w:tblCellMar>
            <w:top w:w="15" w:type="dxa"/>
            <w:left w:w="15" w:type="dxa"/>
            <w:bottom w:w="15" w:type="dxa"/>
            <w:right w:w="15" w:type="dxa"/>
          </w:tblCellMar>
        </w:tblPrEx>
        <w:trPr>
          <w:trHeight w:val="2690"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pStyle w:val="27"/>
              <w:spacing w:line="32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0-15</w:t>
            </w:r>
          </w:p>
        </w:tc>
        <w:tc>
          <w:tcPr>
            <w:tcW w:w="109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项目组成员的资格及业绩</w:t>
            </w:r>
          </w:p>
        </w:tc>
        <w:tc>
          <w:tcPr>
            <w:tcW w:w="5126" w:type="dxa"/>
            <w:tcBorders>
              <w:top w:val="single" w:color="auto" w:sz="4" w:space="0"/>
              <w:left w:val="single" w:color="auto" w:sz="4" w:space="0"/>
              <w:bottom w:val="single" w:color="auto" w:sz="4" w:space="0"/>
              <w:right w:val="single" w:color="auto" w:sz="4" w:space="0"/>
            </w:tcBorders>
            <w:vAlign w:val="center"/>
          </w:tcPr>
          <w:p>
            <w:pPr>
              <w:numPr>
                <w:ilvl w:val="0"/>
                <w:numId w:val="7"/>
              </w:numPr>
              <w:spacing w:line="32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房地产评估公司在省级房地产评估师与经纪人协会组织评定的资信等级：AAA级得5分、AA级得3分、A级得1分、无资信等级不得分。</w:t>
            </w:r>
          </w:p>
          <w:p>
            <w:pPr>
              <w:spacing w:line="32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2、拟派的项目成员中具有注册房地产评估师或评估师资格的加1分，最高6分；</w:t>
            </w:r>
          </w:p>
          <w:p>
            <w:pPr>
              <w:spacing w:line="32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（提供最近3个月的社保证明及资格证书）</w:t>
            </w:r>
          </w:p>
          <w:p>
            <w:pPr>
              <w:spacing w:line="32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3、拟派的项目成员中具有拆迁（征收）评估项目</w:t>
            </w:r>
            <w:r>
              <w:rPr>
                <w:rFonts w:hint="eastAsia" w:ascii="宋体" w:hAnsi="宋体"/>
                <w:b/>
                <w:bCs/>
                <w:color w:val="000000" w:themeColor="text1"/>
                <w:szCs w:val="21"/>
                <w:highlight w:val="none"/>
                <w:lang w:val="en-US" w:eastAsia="zh-CN"/>
                <w14:textFill>
                  <w14:solidFill>
                    <w14:schemeClr w14:val="tx1"/>
                  </w14:solidFill>
                </w14:textFill>
              </w:rPr>
              <w:t>3</w:t>
            </w:r>
            <w:r>
              <w:rPr>
                <w:rFonts w:hint="eastAsia" w:ascii="宋体" w:hAnsi="宋体"/>
                <w:b/>
                <w:bCs/>
                <w:color w:val="000000" w:themeColor="text1"/>
                <w:szCs w:val="21"/>
                <w:highlight w:val="none"/>
                <w14:textFill>
                  <w14:solidFill>
                    <w14:schemeClr w14:val="tx1"/>
                  </w14:solidFill>
                </w14:textFill>
              </w:rPr>
              <w:t>万</w:t>
            </w:r>
            <w:r>
              <w:rPr>
                <w:rFonts w:hint="eastAsia" w:ascii="宋体" w:hAnsi="宋体"/>
                <w:color w:val="000000" w:themeColor="text1"/>
                <w:szCs w:val="21"/>
                <w:highlight w:val="none"/>
                <w14:textFill>
                  <w14:solidFill>
                    <w14:schemeClr w14:val="tx1"/>
                  </w14:solidFill>
                </w14:textFill>
              </w:rPr>
              <w:t>平方米以上业绩的，每个加2分，本项最高4分。</w:t>
            </w:r>
          </w:p>
          <w:p>
            <w:pPr>
              <w:spacing w:line="320" w:lineRule="exact"/>
              <w:rPr>
                <w:rFonts w:ascii="宋体"/>
                <w:color w:val="000000" w:themeColor="text1"/>
                <w:sz w:val="24"/>
                <w:highlight w:val="none"/>
                <w14:textFill>
                  <w14:solidFill>
                    <w14:schemeClr w14:val="tx1"/>
                  </w14:solidFill>
                </w14:textFill>
              </w:rPr>
            </w:pPr>
          </w:p>
        </w:tc>
        <w:tc>
          <w:tcPr>
            <w:tcW w:w="984" w:type="dxa"/>
            <w:tcBorders>
              <w:top w:val="single" w:color="000000" w:sz="4" w:space="0"/>
              <w:left w:val="single" w:color="auto" w:sz="4" w:space="0"/>
              <w:bottom w:val="single" w:color="auto" w:sz="4" w:space="0"/>
              <w:right w:val="single" w:color="000000" w:sz="4" w:space="0"/>
            </w:tcBorders>
            <w:tcMar>
              <w:top w:w="0" w:type="dxa"/>
              <w:left w:w="108" w:type="dxa"/>
              <w:bottom w:w="0" w:type="dxa"/>
              <w:right w:w="108" w:type="dxa"/>
            </w:tcMar>
            <w:vAlign w:val="center"/>
          </w:tcPr>
          <w:p>
            <w:pPr>
              <w:pStyle w:val="27"/>
              <w:spacing w:line="300" w:lineRule="exact"/>
              <w:rPr>
                <w:rFonts w:ascii="宋体" w:hAnsi="宋体"/>
                <w:color w:val="000000" w:themeColor="text1"/>
                <w:sz w:val="24"/>
                <w:highlight w:val="none"/>
                <w14:textFill>
                  <w14:solidFill>
                    <w14:schemeClr w14:val="tx1"/>
                  </w14:solidFill>
                </w14:textFill>
              </w:rPr>
            </w:pPr>
          </w:p>
        </w:tc>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27"/>
              <w:spacing w:line="300" w:lineRule="atLeast"/>
              <w:rPr>
                <w:rFonts w:ascii="宋体" w:hAnsi="宋体"/>
                <w:color w:val="000000" w:themeColor="text1"/>
                <w:sz w:val="24"/>
                <w:highlight w:val="none"/>
                <w14:textFill>
                  <w14:solidFill>
                    <w14:schemeClr w14:val="tx1"/>
                  </w14:solidFill>
                </w14:textFill>
              </w:rPr>
            </w:pPr>
          </w:p>
        </w:tc>
      </w:tr>
    </w:tbl>
    <w:p>
      <w:pPr>
        <w:autoSpaceDE w:val="0"/>
        <w:autoSpaceDN w:val="0"/>
        <w:adjustRightInd w:val="0"/>
        <w:jc w:val="right"/>
        <w:rPr>
          <w:rFonts w:ascii="宋体" w:hAnsi="宋体"/>
          <w:color w:val="000000" w:themeColor="text1"/>
          <w:sz w:val="24"/>
          <w:highlight w:val="none"/>
          <w14:textFill>
            <w14:solidFill>
              <w14:schemeClr w14:val="tx1"/>
            </w14:solidFill>
          </w14:textFill>
        </w:rPr>
      </w:pPr>
    </w:p>
    <w:p>
      <w:pPr>
        <w:autoSpaceDE w:val="0"/>
        <w:autoSpaceDN w:val="0"/>
        <w:adjustRightInd w:val="0"/>
        <w:jc w:val="right"/>
        <w:rPr>
          <w:rFonts w:ascii="宋体" w:hAnsi="宋体"/>
          <w:color w:val="000000" w:themeColor="text1"/>
          <w:sz w:val="24"/>
          <w:highlight w:val="none"/>
          <w14:textFill>
            <w14:solidFill>
              <w14:schemeClr w14:val="tx1"/>
            </w14:solidFill>
          </w14:textFill>
        </w:rPr>
      </w:pPr>
    </w:p>
    <w:p>
      <w:pPr>
        <w:autoSpaceDE w:val="0"/>
        <w:autoSpaceDN w:val="0"/>
        <w:adjustRightInd w:val="0"/>
        <w:jc w:val="right"/>
        <w:rPr>
          <w:rFonts w:ascii="宋体" w:hAnsi="宋体"/>
          <w:color w:val="000000" w:themeColor="text1"/>
          <w:sz w:val="24"/>
          <w:highlight w:val="none"/>
          <w14:textFill>
            <w14:solidFill>
              <w14:schemeClr w14:val="tx1"/>
            </w14:solidFill>
          </w14:textFill>
        </w:rPr>
      </w:pPr>
    </w:p>
    <w:p>
      <w:pPr>
        <w:spacing w:line="400" w:lineRule="exact"/>
        <w:ind w:firstLine="3360" w:firstLineChars="1400"/>
        <w:rPr>
          <w:rFonts w:ascii="宋体" w:hAnsi="宋体" w:cs="宋体-PUA"/>
          <w:color w:val="000000" w:themeColor="text1"/>
          <w:sz w:val="24"/>
          <w:highlight w:val="none"/>
          <w:u w:val="singl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投标人：</w:t>
      </w:r>
      <w:r>
        <w:rPr>
          <w:rFonts w:hint="eastAsia" w:ascii="宋体" w:hAnsi="宋体" w:cs="宋体-PUA"/>
          <w:color w:val="000000" w:themeColor="text1"/>
          <w:sz w:val="24"/>
          <w:highlight w:val="none"/>
          <w:u w:val="single"/>
          <w14:textFill>
            <w14:solidFill>
              <w14:schemeClr w14:val="tx1"/>
            </w14:solidFill>
          </w14:textFill>
        </w:rPr>
        <w:t xml:space="preserve">                         （盖章）</w:t>
      </w:r>
    </w:p>
    <w:p>
      <w:pPr>
        <w:spacing w:line="400" w:lineRule="exact"/>
        <w:ind w:firstLine="3360" w:firstLineChars="14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法定代表人：</w:t>
      </w:r>
      <w:r>
        <w:rPr>
          <w:rFonts w:hint="eastAsia" w:ascii="宋体" w:hAnsi="宋体" w:cs="宋体-PUA"/>
          <w:color w:val="000000" w:themeColor="text1"/>
          <w:sz w:val="24"/>
          <w:highlight w:val="none"/>
          <w:u w:val="single"/>
          <w14:textFill>
            <w14:solidFill>
              <w14:schemeClr w14:val="tx1"/>
            </w14:solidFill>
          </w14:textFill>
        </w:rPr>
        <w:t xml:space="preserve">                     （盖章）</w:t>
      </w:r>
    </w:p>
    <w:p>
      <w:pPr>
        <w:spacing w:line="360" w:lineRule="auto"/>
        <w:ind w:firstLine="3360" w:firstLineChars="1400"/>
        <w:rPr>
          <w:rFonts w:ascii="宋体" w:hAnsi="宋体" w:cs="宋体-PUA"/>
          <w:b/>
          <w:color w:val="000000" w:themeColor="text1"/>
          <w:sz w:val="44"/>
          <w:szCs w:val="4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日期：</w:t>
      </w:r>
      <w:r>
        <w:rPr>
          <w:rFonts w:hint="eastAsia" w:ascii="宋体" w:hAnsi="宋体" w:cs="宋体-PUA"/>
          <w:color w:val="000000" w:themeColor="text1"/>
          <w:sz w:val="24"/>
          <w:highlight w:val="none"/>
          <w:u w:val="single"/>
          <w:lang w:val="en-US" w:eastAsia="zh-CN"/>
          <w14:textFill>
            <w14:solidFill>
              <w14:schemeClr w14:val="tx1"/>
            </w14:solidFill>
          </w14:textFill>
        </w:rPr>
        <w:t xml:space="preserve">     </w:t>
      </w:r>
      <w:r>
        <w:rPr>
          <w:rFonts w:hint="eastAsia" w:ascii="宋体" w:hAnsi="宋体" w:cs="宋体-PUA"/>
          <w:color w:val="000000" w:themeColor="text1"/>
          <w:sz w:val="24"/>
          <w:highlight w:val="none"/>
          <w14:textFill>
            <w14:solidFill>
              <w14:schemeClr w14:val="tx1"/>
            </w14:solidFill>
          </w14:textFill>
        </w:rPr>
        <w:t>年</w:t>
      </w:r>
      <w:r>
        <w:rPr>
          <w:rFonts w:hint="eastAsia" w:ascii="宋体" w:hAnsi="宋体" w:cs="宋体-PUA"/>
          <w:color w:val="000000" w:themeColor="text1"/>
          <w:sz w:val="24"/>
          <w:highlight w:val="none"/>
          <w:u w:val="single"/>
          <w:lang w:val="en-US" w:eastAsia="zh-CN"/>
          <w14:textFill>
            <w14:solidFill>
              <w14:schemeClr w14:val="tx1"/>
            </w14:solidFill>
          </w14:textFill>
        </w:rPr>
        <w:t xml:space="preserve">    </w:t>
      </w:r>
      <w:r>
        <w:rPr>
          <w:rFonts w:hint="eastAsia" w:ascii="宋体" w:hAnsi="宋体" w:cs="宋体-PUA"/>
          <w:color w:val="000000" w:themeColor="text1"/>
          <w:sz w:val="24"/>
          <w:highlight w:val="none"/>
          <w14:textFill>
            <w14:solidFill>
              <w14:schemeClr w14:val="tx1"/>
            </w14:solidFill>
          </w14:textFill>
        </w:rPr>
        <w:t>月</w:t>
      </w:r>
      <w:r>
        <w:rPr>
          <w:rFonts w:hint="eastAsia" w:ascii="宋体" w:hAnsi="宋体" w:cs="宋体-PUA"/>
          <w:color w:val="000000" w:themeColor="text1"/>
          <w:sz w:val="24"/>
          <w:highlight w:val="none"/>
          <w:u w:val="single"/>
          <w:lang w:val="en-US" w:eastAsia="zh-CN"/>
          <w14:textFill>
            <w14:solidFill>
              <w14:schemeClr w14:val="tx1"/>
            </w14:solidFill>
          </w14:textFill>
        </w:rPr>
        <w:t xml:space="preserve">    </w:t>
      </w:r>
      <w:r>
        <w:rPr>
          <w:rFonts w:hint="eastAsia" w:ascii="宋体" w:hAnsi="宋体" w:cs="宋体-PUA"/>
          <w:color w:val="000000" w:themeColor="text1"/>
          <w:sz w:val="24"/>
          <w:highlight w:val="none"/>
          <w14:textFill>
            <w14:solidFill>
              <w14:schemeClr w14:val="tx1"/>
            </w14:solidFill>
          </w14:textFill>
        </w:rPr>
        <w:t>日</w:t>
      </w:r>
    </w:p>
    <w:p>
      <w:pPr>
        <w:wordWrap w:val="0"/>
        <w:autoSpaceDE w:val="0"/>
        <w:autoSpaceDN w:val="0"/>
        <w:adjustRightInd w:val="0"/>
        <w:spacing w:line="400" w:lineRule="exact"/>
        <w:jc w:val="center"/>
        <w:rPr>
          <w:rFonts w:ascii="宋体" w:hAnsi="宋体" w:cs="宋体-PUA"/>
          <w:b/>
          <w:color w:val="000000" w:themeColor="text1"/>
          <w:sz w:val="44"/>
          <w:szCs w:val="44"/>
          <w:highlight w:val="none"/>
          <w14:textFill>
            <w14:solidFill>
              <w14:schemeClr w14:val="tx1"/>
            </w14:solidFill>
          </w14:textFill>
        </w:rPr>
      </w:pPr>
    </w:p>
    <w:p>
      <w:pPr>
        <w:pStyle w:val="9"/>
        <w:tabs>
          <w:tab w:val="left" w:pos="0"/>
          <w:tab w:val="left" w:pos="900"/>
        </w:tabs>
        <w:spacing w:line="400" w:lineRule="exact"/>
        <w:jc w:val="center"/>
        <w:rPr>
          <w:rFonts w:hAnsi="宋体" w:cs="宋体-PUA"/>
          <w:b/>
          <w:color w:val="000000" w:themeColor="text1"/>
          <w:kern w:val="2"/>
          <w:sz w:val="24"/>
          <w:szCs w:val="24"/>
          <w:highlight w:val="none"/>
          <w14:textFill>
            <w14:solidFill>
              <w14:schemeClr w14:val="tx1"/>
            </w14:solidFill>
          </w14:textFill>
        </w:rPr>
      </w:pPr>
    </w:p>
    <w:p>
      <w:pPr>
        <w:jc w:val="right"/>
        <w:rPr>
          <w:rFonts w:ascii="宋体" w:hAnsi="宋体"/>
          <w:color w:val="000000" w:themeColor="text1"/>
          <w:szCs w:val="21"/>
          <w:highlight w:val="none"/>
          <w14:textFill>
            <w14:solidFill>
              <w14:schemeClr w14:val="tx1"/>
            </w14:solidFill>
          </w14:textFill>
        </w:rPr>
      </w:pPr>
    </w:p>
    <w:p>
      <w:pPr>
        <w:tabs>
          <w:tab w:val="left" w:pos="360"/>
          <w:tab w:val="left" w:pos="840"/>
        </w:tabs>
        <w:spacing w:line="360" w:lineRule="auto"/>
        <w:rPr>
          <w:rFonts w:ascii="宋体" w:hAnsi="宋体" w:cs="宋体-PUA"/>
          <w:b/>
          <w:color w:val="000000" w:themeColor="text1"/>
          <w:sz w:val="24"/>
          <w:highlight w:val="none"/>
          <w14:textFill>
            <w14:solidFill>
              <w14:schemeClr w14:val="tx1"/>
            </w14:solidFill>
          </w14:textFill>
        </w:rPr>
      </w:pPr>
    </w:p>
    <w:p>
      <w:pPr>
        <w:tabs>
          <w:tab w:val="left" w:pos="360"/>
          <w:tab w:val="left" w:pos="840"/>
        </w:tabs>
        <w:spacing w:line="360" w:lineRule="auto"/>
        <w:rPr>
          <w:rFonts w:ascii="宋体" w:hAnsi="宋体" w:cs="宋体-PUA"/>
          <w:b/>
          <w:color w:val="000000" w:themeColor="text1"/>
          <w:sz w:val="24"/>
          <w:highlight w:val="none"/>
          <w14:textFill>
            <w14:solidFill>
              <w14:schemeClr w14:val="tx1"/>
            </w14:solidFill>
          </w14:textFill>
        </w:rPr>
      </w:pPr>
    </w:p>
    <w:p>
      <w:pPr>
        <w:tabs>
          <w:tab w:val="left" w:pos="360"/>
          <w:tab w:val="left" w:pos="840"/>
        </w:tabs>
        <w:spacing w:line="360" w:lineRule="auto"/>
        <w:rPr>
          <w:rFonts w:ascii="宋体" w:hAnsi="宋体" w:cs="宋体-PUA"/>
          <w:b/>
          <w:color w:val="000000" w:themeColor="text1"/>
          <w:sz w:val="24"/>
          <w:highlight w:val="none"/>
          <w14:textFill>
            <w14:solidFill>
              <w14:schemeClr w14:val="tx1"/>
            </w14:solidFill>
          </w14:textFill>
        </w:rPr>
      </w:pPr>
    </w:p>
    <w:p>
      <w:pPr>
        <w:tabs>
          <w:tab w:val="left" w:pos="360"/>
          <w:tab w:val="left" w:pos="840"/>
        </w:tabs>
        <w:spacing w:line="360" w:lineRule="auto"/>
        <w:rPr>
          <w:rFonts w:ascii="宋体" w:hAnsi="宋体" w:cs="宋体-PUA"/>
          <w:b/>
          <w:color w:val="000000" w:themeColor="text1"/>
          <w:sz w:val="24"/>
          <w:highlight w:val="none"/>
          <w14:textFill>
            <w14:solidFill>
              <w14:schemeClr w14:val="tx1"/>
            </w14:solidFill>
          </w14:textFill>
        </w:rPr>
      </w:pPr>
    </w:p>
    <w:p>
      <w:pPr>
        <w:tabs>
          <w:tab w:val="left" w:pos="360"/>
          <w:tab w:val="left" w:pos="840"/>
        </w:tabs>
        <w:spacing w:line="360" w:lineRule="auto"/>
        <w:rPr>
          <w:rFonts w:ascii="宋体" w:hAnsi="宋体" w:cs="宋体-PUA"/>
          <w:b/>
          <w:color w:val="000000" w:themeColor="text1"/>
          <w:sz w:val="24"/>
          <w:highlight w:val="none"/>
          <w14:textFill>
            <w14:solidFill>
              <w14:schemeClr w14:val="tx1"/>
            </w14:solidFill>
          </w14:textFill>
        </w:rPr>
      </w:pPr>
    </w:p>
    <w:p>
      <w:pPr>
        <w:tabs>
          <w:tab w:val="left" w:pos="360"/>
          <w:tab w:val="left" w:pos="840"/>
        </w:tabs>
        <w:spacing w:line="360" w:lineRule="auto"/>
        <w:rPr>
          <w:rFonts w:ascii="宋体" w:hAnsi="宋体" w:cs="宋体-PUA"/>
          <w:b/>
          <w:color w:val="000000" w:themeColor="text1"/>
          <w:sz w:val="24"/>
          <w:highlight w:val="none"/>
          <w14:textFill>
            <w14:solidFill>
              <w14:schemeClr w14:val="tx1"/>
            </w14:solidFill>
          </w14:textFill>
        </w:rPr>
      </w:pPr>
    </w:p>
    <w:p>
      <w:pPr>
        <w:tabs>
          <w:tab w:val="left" w:pos="360"/>
          <w:tab w:val="left" w:pos="840"/>
        </w:tabs>
        <w:spacing w:line="360" w:lineRule="auto"/>
        <w:rPr>
          <w:rFonts w:ascii="宋体" w:hAnsi="宋体" w:cs="宋体-PUA"/>
          <w:b/>
          <w:color w:val="000000" w:themeColor="text1"/>
          <w:sz w:val="24"/>
          <w:highlight w:val="none"/>
          <w14:textFill>
            <w14:solidFill>
              <w14:schemeClr w14:val="tx1"/>
            </w14:solidFill>
          </w14:textFill>
        </w:rPr>
      </w:pPr>
      <w:r>
        <w:rPr>
          <w:rFonts w:hint="eastAsia" w:ascii="宋体" w:hAnsi="宋体" w:cs="宋体-PUA"/>
          <w:b/>
          <w:color w:val="000000" w:themeColor="text1"/>
          <w:sz w:val="24"/>
          <w:highlight w:val="none"/>
          <w14:textFill>
            <w14:solidFill>
              <w14:schemeClr w14:val="tx1"/>
            </w14:solidFill>
          </w14:textFill>
        </w:rPr>
        <w:t>附件五：投标人从事征收（拆迁）评估服务业绩表</w:t>
      </w:r>
    </w:p>
    <w:p>
      <w:pPr>
        <w:tabs>
          <w:tab w:val="left" w:pos="360"/>
          <w:tab w:val="left" w:pos="840"/>
        </w:tabs>
        <w:spacing w:line="360" w:lineRule="auto"/>
        <w:jc w:val="left"/>
        <w:rPr>
          <w:rFonts w:ascii="宋体" w:hAnsi="宋体" w:cs="宋体-PUA"/>
          <w:b/>
          <w:color w:val="000000" w:themeColor="text1"/>
          <w:sz w:val="24"/>
          <w:highlight w:val="none"/>
          <w14:textFill>
            <w14:solidFill>
              <w14:schemeClr w14:val="tx1"/>
            </w14:solidFill>
          </w14:textFill>
        </w:rPr>
      </w:pPr>
    </w:p>
    <w:p>
      <w:pPr>
        <w:jc w:val="center"/>
        <w:rPr>
          <w:rFonts w:ascii="宋体" w:hAnsi="宋体" w:cs="黑体"/>
          <w:b/>
          <w:color w:val="000000" w:themeColor="text1"/>
          <w:sz w:val="28"/>
          <w:szCs w:val="28"/>
          <w:highlight w:val="none"/>
          <w14:textFill>
            <w14:solidFill>
              <w14:schemeClr w14:val="tx1"/>
            </w14:solidFill>
          </w14:textFill>
        </w:rPr>
      </w:pPr>
      <w:r>
        <w:rPr>
          <w:rFonts w:hint="eastAsia" w:ascii="宋体" w:hAnsi="宋体" w:cs="黑体"/>
          <w:b/>
          <w:color w:val="000000" w:themeColor="text1"/>
          <w:sz w:val="28"/>
          <w:szCs w:val="28"/>
          <w:highlight w:val="none"/>
          <w14:textFill>
            <w14:solidFill>
              <w14:schemeClr w14:val="tx1"/>
            </w14:solidFill>
          </w14:textFill>
        </w:rPr>
        <w:t>投标人从事征收（拆迁）评估服务业绩表</w:t>
      </w:r>
    </w:p>
    <w:tbl>
      <w:tblPr>
        <w:tblStyle w:val="15"/>
        <w:tblW w:w="9567" w:type="dxa"/>
        <w:tblInd w:w="-32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704"/>
        <w:gridCol w:w="1817"/>
        <w:gridCol w:w="1817"/>
        <w:gridCol w:w="1611"/>
        <w:gridCol w:w="1350"/>
        <w:gridCol w:w="1134"/>
        <w:gridCol w:w="11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853" w:hRule="atLeast"/>
        </w:trPr>
        <w:tc>
          <w:tcPr>
            <w:tcW w:w="704"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序号</w:t>
            </w:r>
          </w:p>
        </w:tc>
        <w:tc>
          <w:tcPr>
            <w:tcW w:w="1817"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项目名称</w:t>
            </w:r>
          </w:p>
        </w:tc>
        <w:tc>
          <w:tcPr>
            <w:tcW w:w="1817"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项目地址</w:t>
            </w:r>
          </w:p>
        </w:tc>
        <w:tc>
          <w:tcPr>
            <w:tcW w:w="1611"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合同内容</w:t>
            </w:r>
          </w:p>
        </w:tc>
        <w:tc>
          <w:tcPr>
            <w:tcW w:w="1350"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实际房屋征收（拆迁）评估面积</w:t>
            </w:r>
          </w:p>
        </w:tc>
        <w:tc>
          <w:tcPr>
            <w:tcW w:w="1134"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签约日期</w:t>
            </w:r>
          </w:p>
        </w:tc>
        <w:tc>
          <w:tcPr>
            <w:tcW w:w="1134"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853" w:hRule="atLeast"/>
        </w:trPr>
        <w:tc>
          <w:tcPr>
            <w:tcW w:w="704"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817"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817"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611"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350"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134"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134"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853" w:hRule="atLeast"/>
        </w:trPr>
        <w:tc>
          <w:tcPr>
            <w:tcW w:w="704"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817"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817"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611"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350"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134"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134"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853" w:hRule="atLeast"/>
        </w:trPr>
        <w:tc>
          <w:tcPr>
            <w:tcW w:w="704"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817"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817"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611"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350"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134"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134"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853" w:hRule="atLeast"/>
        </w:trPr>
        <w:tc>
          <w:tcPr>
            <w:tcW w:w="704"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817"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817"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611"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350"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134"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134"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853" w:hRule="atLeast"/>
        </w:trPr>
        <w:tc>
          <w:tcPr>
            <w:tcW w:w="704"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817"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817"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611"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350"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134"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134"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853" w:hRule="atLeast"/>
        </w:trPr>
        <w:tc>
          <w:tcPr>
            <w:tcW w:w="704"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817"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817"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611"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350"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134"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134"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853" w:hRule="atLeast"/>
        </w:trPr>
        <w:tc>
          <w:tcPr>
            <w:tcW w:w="704"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w:t>
            </w:r>
          </w:p>
        </w:tc>
        <w:tc>
          <w:tcPr>
            <w:tcW w:w="1817"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w:t>
            </w:r>
          </w:p>
        </w:tc>
        <w:tc>
          <w:tcPr>
            <w:tcW w:w="1817"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611"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350"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134"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134"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r>
    </w:tbl>
    <w:p>
      <w:pPr>
        <w:spacing w:line="400" w:lineRule="exact"/>
        <w:ind w:left="-199" w:leftChars="-95"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注：须提供征收（拆迁）评估委托合同（协议书）</w:t>
      </w:r>
      <w:r>
        <w:rPr>
          <w:rFonts w:hint="eastAsia" w:ascii="宋体" w:hAnsi="宋体"/>
          <w:color w:val="000000" w:themeColor="text1"/>
          <w:sz w:val="24"/>
          <w:highlight w:val="none"/>
          <w14:textFill>
            <w14:solidFill>
              <w14:schemeClr w14:val="tx1"/>
            </w14:solidFill>
          </w14:textFill>
        </w:rPr>
        <w:t>原件扫描件加盖公章</w:t>
      </w:r>
      <w:r>
        <w:rPr>
          <w:rFonts w:hint="eastAsia" w:ascii="宋体" w:hAnsi="宋体"/>
          <w:color w:val="000000" w:themeColor="text1"/>
          <w:sz w:val="24"/>
          <w:highlight w:val="none"/>
          <w14:textFill>
            <w14:solidFill>
              <w14:schemeClr w14:val="tx1"/>
            </w14:solidFill>
          </w14:textFill>
        </w:rPr>
        <w:t>编入技术资信文件。（时间以协议签订日为准；房屋征收委托协议面积以征收（拆迁）合同签订面积为准，如合同中不能明确面积的，须提供业主证明材料），否则视为业绩不满足要求，不得分。</w:t>
      </w:r>
    </w:p>
    <w:p>
      <w:pPr>
        <w:spacing w:line="400" w:lineRule="exact"/>
        <w:ind w:left="-199" w:leftChars="-95" w:firstLine="480" w:firstLineChars="200"/>
        <w:rPr>
          <w:rFonts w:ascii="宋体" w:hAnsi="宋体"/>
          <w:color w:val="000000" w:themeColor="text1"/>
          <w:sz w:val="24"/>
          <w:highlight w:val="none"/>
          <w14:textFill>
            <w14:solidFill>
              <w14:schemeClr w14:val="tx1"/>
            </w14:solidFill>
          </w14:textFill>
        </w:rPr>
      </w:pPr>
    </w:p>
    <w:p>
      <w:pPr>
        <w:spacing w:line="400" w:lineRule="exact"/>
        <w:ind w:left="-199" w:leftChars="-95" w:firstLine="480" w:firstLineChars="200"/>
        <w:rPr>
          <w:rFonts w:ascii="宋体" w:hAnsi="宋体"/>
          <w:color w:val="000000" w:themeColor="text1"/>
          <w:sz w:val="24"/>
          <w:highlight w:val="none"/>
          <w14:textFill>
            <w14:solidFill>
              <w14:schemeClr w14:val="tx1"/>
            </w14:solidFill>
          </w14:textFill>
        </w:rPr>
      </w:pPr>
    </w:p>
    <w:p>
      <w:pPr>
        <w:spacing w:line="400" w:lineRule="exact"/>
        <w:ind w:firstLine="3360" w:firstLineChars="1400"/>
        <w:rPr>
          <w:rFonts w:ascii="宋体" w:hAnsi="宋体" w:cs="宋体-PUA"/>
          <w:color w:val="000000" w:themeColor="text1"/>
          <w:sz w:val="24"/>
          <w:highlight w:val="none"/>
          <w:u w:val="singl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投标人：</w:t>
      </w:r>
      <w:r>
        <w:rPr>
          <w:rFonts w:hint="eastAsia" w:ascii="宋体" w:hAnsi="宋体" w:cs="宋体-PUA"/>
          <w:color w:val="000000" w:themeColor="text1"/>
          <w:sz w:val="24"/>
          <w:highlight w:val="none"/>
          <w:u w:val="single"/>
          <w14:textFill>
            <w14:solidFill>
              <w14:schemeClr w14:val="tx1"/>
            </w14:solidFill>
          </w14:textFill>
        </w:rPr>
        <w:t xml:space="preserve">                         （盖章）</w:t>
      </w:r>
    </w:p>
    <w:p>
      <w:pPr>
        <w:spacing w:line="400" w:lineRule="exact"/>
        <w:ind w:firstLine="3360" w:firstLineChars="14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法定代表人：</w:t>
      </w:r>
      <w:r>
        <w:rPr>
          <w:rFonts w:hint="eastAsia" w:ascii="宋体" w:hAnsi="宋体" w:cs="宋体-PUA"/>
          <w:color w:val="000000" w:themeColor="text1"/>
          <w:sz w:val="24"/>
          <w:highlight w:val="none"/>
          <w:u w:val="single"/>
          <w14:textFill>
            <w14:solidFill>
              <w14:schemeClr w14:val="tx1"/>
            </w14:solidFill>
          </w14:textFill>
        </w:rPr>
        <w:t xml:space="preserve">                     （盖章）</w:t>
      </w:r>
    </w:p>
    <w:p>
      <w:pPr>
        <w:spacing w:line="360" w:lineRule="auto"/>
        <w:ind w:firstLine="3360" w:firstLineChars="1400"/>
        <w:rPr>
          <w:rFonts w:ascii="宋体" w:hAnsi="宋体" w:cs="宋体-PUA"/>
          <w:b/>
          <w:color w:val="000000" w:themeColor="text1"/>
          <w:sz w:val="44"/>
          <w:szCs w:val="4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日期：</w:t>
      </w:r>
      <w:r>
        <w:rPr>
          <w:rFonts w:hint="eastAsia" w:ascii="宋体" w:hAnsi="宋体" w:cs="宋体-PUA"/>
          <w:color w:val="000000" w:themeColor="text1"/>
          <w:sz w:val="24"/>
          <w:highlight w:val="none"/>
          <w:u w:val="single"/>
          <w:lang w:val="en-US" w:eastAsia="zh-CN"/>
          <w14:textFill>
            <w14:solidFill>
              <w14:schemeClr w14:val="tx1"/>
            </w14:solidFill>
          </w14:textFill>
        </w:rPr>
        <w:t xml:space="preserve">     </w:t>
      </w:r>
      <w:r>
        <w:rPr>
          <w:rFonts w:hint="eastAsia" w:ascii="宋体" w:hAnsi="宋体" w:cs="宋体-PUA"/>
          <w:color w:val="000000" w:themeColor="text1"/>
          <w:sz w:val="24"/>
          <w:highlight w:val="none"/>
          <w14:textFill>
            <w14:solidFill>
              <w14:schemeClr w14:val="tx1"/>
            </w14:solidFill>
          </w14:textFill>
        </w:rPr>
        <w:t>年</w:t>
      </w:r>
      <w:r>
        <w:rPr>
          <w:rFonts w:hint="eastAsia" w:ascii="宋体" w:hAnsi="宋体" w:cs="宋体-PUA"/>
          <w:color w:val="000000" w:themeColor="text1"/>
          <w:sz w:val="24"/>
          <w:highlight w:val="none"/>
          <w:u w:val="single"/>
          <w:lang w:val="en-US" w:eastAsia="zh-CN"/>
          <w14:textFill>
            <w14:solidFill>
              <w14:schemeClr w14:val="tx1"/>
            </w14:solidFill>
          </w14:textFill>
        </w:rPr>
        <w:t xml:space="preserve">    </w:t>
      </w:r>
      <w:r>
        <w:rPr>
          <w:rFonts w:hint="eastAsia" w:ascii="宋体" w:hAnsi="宋体" w:cs="宋体-PUA"/>
          <w:color w:val="000000" w:themeColor="text1"/>
          <w:sz w:val="24"/>
          <w:highlight w:val="none"/>
          <w14:textFill>
            <w14:solidFill>
              <w14:schemeClr w14:val="tx1"/>
            </w14:solidFill>
          </w14:textFill>
        </w:rPr>
        <w:t>月</w:t>
      </w:r>
      <w:r>
        <w:rPr>
          <w:rFonts w:hint="eastAsia" w:ascii="宋体" w:hAnsi="宋体" w:cs="宋体-PUA"/>
          <w:color w:val="000000" w:themeColor="text1"/>
          <w:sz w:val="24"/>
          <w:highlight w:val="none"/>
          <w:u w:val="single"/>
          <w:lang w:val="en-US" w:eastAsia="zh-CN"/>
          <w14:textFill>
            <w14:solidFill>
              <w14:schemeClr w14:val="tx1"/>
            </w14:solidFill>
          </w14:textFill>
        </w:rPr>
        <w:t xml:space="preserve">    </w:t>
      </w:r>
      <w:r>
        <w:rPr>
          <w:rFonts w:hint="eastAsia" w:ascii="宋体" w:hAnsi="宋体" w:cs="宋体-PUA"/>
          <w:color w:val="000000" w:themeColor="text1"/>
          <w:sz w:val="24"/>
          <w:highlight w:val="none"/>
          <w14:textFill>
            <w14:solidFill>
              <w14:schemeClr w14:val="tx1"/>
            </w14:solidFill>
          </w14:textFill>
        </w:rPr>
        <w:t>日</w:t>
      </w:r>
    </w:p>
    <w:p>
      <w:pPr>
        <w:tabs>
          <w:tab w:val="left" w:pos="360"/>
          <w:tab w:val="left" w:pos="840"/>
        </w:tabs>
        <w:spacing w:line="360" w:lineRule="auto"/>
        <w:rPr>
          <w:rFonts w:ascii="宋体" w:hAnsi="宋体" w:cs="宋体-PUA"/>
          <w:b/>
          <w:color w:val="000000" w:themeColor="text1"/>
          <w:sz w:val="24"/>
          <w:highlight w:val="none"/>
          <w14:textFill>
            <w14:solidFill>
              <w14:schemeClr w14:val="tx1"/>
            </w14:solidFill>
          </w14:textFill>
        </w:rPr>
      </w:pPr>
    </w:p>
    <w:p>
      <w:pPr>
        <w:tabs>
          <w:tab w:val="left" w:pos="360"/>
          <w:tab w:val="left" w:pos="840"/>
        </w:tabs>
        <w:spacing w:line="360" w:lineRule="auto"/>
        <w:rPr>
          <w:rFonts w:ascii="宋体" w:hAnsi="宋体" w:cs="宋体-PUA"/>
          <w:b/>
          <w:color w:val="000000" w:themeColor="text1"/>
          <w:sz w:val="24"/>
          <w:highlight w:val="none"/>
          <w14:textFill>
            <w14:solidFill>
              <w14:schemeClr w14:val="tx1"/>
            </w14:solidFill>
          </w14:textFill>
        </w:rPr>
      </w:pPr>
    </w:p>
    <w:p>
      <w:pPr>
        <w:tabs>
          <w:tab w:val="left" w:pos="360"/>
          <w:tab w:val="left" w:pos="840"/>
        </w:tabs>
        <w:spacing w:line="360" w:lineRule="auto"/>
        <w:rPr>
          <w:rFonts w:ascii="宋体" w:hAnsi="宋体" w:cs="宋体-PUA"/>
          <w:b/>
          <w:color w:val="000000" w:themeColor="text1"/>
          <w:sz w:val="24"/>
          <w:highlight w:val="none"/>
          <w14:textFill>
            <w14:solidFill>
              <w14:schemeClr w14:val="tx1"/>
            </w14:solidFill>
          </w14:textFill>
        </w:rPr>
      </w:pPr>
    </w:p>
    <w:p>
      <w:pPr>
        <w:spacing w:line="360" w:lineRule="auto"/>
        <w:jc w:val="left"/>
        <w:rPr>
          <w:rFonts w:ascii="宋体" w:hAnsi="宋体" w:cs="宋体-PUA"/>
          <w:b/>
          <w:color w:val="000000" w:themeColor="text1"/>
          <w:sz w:val="24"/>
          <w:highlight w:val="none"/>
          <w14:textFill>
            <w14:solidFill>
              <w14:schemeClr w14:val="tx1"/>
            </w14:solidFill>
          </w14:textFill>
        </w:rPr>
      </w:pPr>
      <w:r>
        <w:rPr>
          <w:rFonts w:hint="eastAsia" w:ascii="宋体" w:hAnsi="宋体" w:cs="宋体-PUA"/>
          <w:b/>
          <w:color w:val="000000" w:themeColor="text1"/>
          <w:sz w:val="24"/>
          <w:highlight w:val="none"/>
          <w14:textFill>
            <w14:solidFill>
              <w14:schemeClr w14:val="tx1"/>
            </w14:solidFill>
          </w14:textFill>
        </w:rPr>
        <w:t>附件六：征收评估服务人员配备一览表</w:t>
      </w:r>
    </w:p>
    <w:p>
      <w:pPr>
        <w:spacing w:line="360" w:lineRule="auto"/>
        <w:jc w:val="left"/>
        <w:rPr>
          <w:rFonts w:ascii="宋体" w:hAnsi="宋体" w:cs="宋体-PUA"/>
          <w:b/>
          <w:color w:val="000000" w:themeColor="text1"/>
          <w:sz w:val="24"/>
          <w:highlight w:val="none"/>
          <w14:textFill>
            <w14:solidFill>
              <w14:schemeClr w14:val="tx1"/>
            </w14:solidFill>
          </w14:textFill>
        </w:rPr>
      </w:pPr>
    </w:p>
    <w:p>
      <w:pPr>
        <w:spacing w:line="360" w:lineRule="auto"/>
        <w:jc w:val="center"/>
        <w:rPr>
          <w:rFonts w:ascii="宋体" w:hAnsi="宋体" w:cs="黑体"/>
          <w:b/>
          <w:color w:val="000000" w:themeColor="text1"/>
          <w:sz w:val="28"/>
          <w:szCs w:val="28"/>
          <w:highlight w:val="none"/>
          <w14:textFill>
            <w14:solidFill>
              <w14:schemeClr w14:val="tx1"/>
            </w14:solidFill>
          </w14:textFill>
        </w:rPr>
      </w:pPr>
      <w:r>
        <w:rPr>
          <w:rFonts w:hint="eastAsia" w:ascii="宋体" w:hAnsi="宋体" w:cs="黑体"/>
          <w:b/>
          <w:color w:val="000000" w:themeColor="text1"/>
          <w:sz w:val="28"/>
          <w:szCs w:val="28"/>
          <w:highlight w:val="none"/>
          <w14:textFill>
            <w14:solidFill>
              <w14:schemeClr w14:val="tx1"/>
            </w14:solidFill>
          </w14:textFill>
        </w:rPr>
        <w:t>征收评估服务人员配备一览表</w:t>
      </w:r>
    </w:p>
    <w:p>
      <w:pPr>
        <w:spacing w:line="360" w:lineRule="auto"/>
        <w:rPr>
          <w:rFonts w:ascii="宋体" w:hAnsi="宋体" w:cs="宋体-PUA"/>
          <w:color w:val="000000" w:themeColor="text1"/>
          <w:sz w:val="24"/>
          <w:highlight w:val="none"/>
          <w14:textFill>
            <w14:solidFill>
              <w14:schemeClr w14:val="tx1"/>
            </w14:solidFill>
          </w14:textFill>
        </w:rPr>
      </w:pPr>
    </w:p>
    <w:tbl>
      <w:tblPr>
        <w:tblStyle w:val="15"/>
        <w:tblW w:w="0" w:type="auto"/>
        <w:tblInd w:w="-23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03"/>
        <w:gridCol w:w="1170"/>
        <w:gridCol w:w="876"/>
        <w:gridCol w:w="913"/>
        <w:gridCol w:w="1066"/>
        <w:gridCol w:w="1219"/>
        <w:gridCol w:w="2133"/>
        <w:gridCol w:w="15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4" w:hRule="atLeast"/>
        </w:trPr>
        <w:tc>
          <w:tcPr>
            <w:tcW w:w="603" w:type="dxa"/>
            <w:vAlign w:val="center"/>
          </w:tcPr>
          <w:p>
            <w:pPr>
              <w:spacing w:line="360" w:lineRule="exact"/>
              <w:jc w:val="center"/>
              <w:rPr>
                <w:rFonts w:ascii="宋体" w:hAnsi="宋体" w:cs="仿宋_GB2312"/>
                <w:b/>
                <w:bCs/>
                <w:color w:val="000000" w:themeColor="text1"/>
                <w:szCs w:val="21"/>
                <w:highlight w:val="none"/>
                <w14:textFill>
                  <w14:solidFill>
                    <w14:schemeClr w14:val="tx1"/>
                  </w14:solidFill>
                </w14:textFill>
              </w:rPr>
            </w:pPr>
            <w:r>
              <w:rPr>
                <w:rFonts w:hint="eastAsia" w:ascii="宋体" w:hAnsi="宋体" w:cs="仿宋_GB2312"/>
                <w:b/>
                <w:bCs/>
                <w:color w:val="000000" w:themeColor="text1"/>
                <w:szCs w:val="21"/>
                <w:highlight w:val="none"/>
                <w14:textFill>
                  <w14:solidFill>
                    <w14:schemeClr w14:val="tx1"/>
                  </w14:solidFill>
                </w14:textFill>
              </w:rPr>
              <w:t>序号</w:t>
            </w:r>
          </w:p>
        </w:tc>
        <w:tc>
          <w:tcPr>
            <w:tcW w:w="1170" w:type="dxa"/>
            <w:vAlign w:val="center"/>
          </w:tcPr>
          <w:p>
            <w:pPr>
              <w:spacing w:line="360" w:lineRule="exact"/>
              <w:jc w:val="center"/>
              <w:rPr>
                <w:rFonts w:ascii="宋体" w:hAnsi="宋体" w:cs="仿宋_GB2312"/>
                <w:b/>
                <w:bCs/>
                <w:color w:val="000000" w:themeColor="text1"/>
                <w:szCs w:val="21"/>
                <w:highlight w:val="none"/>
                <w14:textFill>
                  <w14:solidFill>
                    <w14:schemeClr w14:val="tx1"/>
                  </w14:solidFill>
                </w14:textFill>
              </w:rPr>
            </w:pPr>
            <w:r>
              <w:rPr>
                <w:rFonts w:hint="eastAsia" w:ascii="宋体" w:hAnsi="宋体" w:cs="仿宋_GB2312"/>
                <w:b/>
                <w:bCs/>
                <w:color w:val="000000" w:themeColor="text1"/>
                <w:szCs w:val="21"/>
                <w:highlight w:val="none"/>
                <w14:textFill>
                  <w14:solidFill>
                    <w14:schemeClr w14:val="tx1"/>
                  </w14:solidFill>
                </w14:textFill>
              </w:rPr>
              <w:t>姓名</w:t>
            </w:r>
          </w:p>
        </w:tc>
        <w:tc>
          <w:tcPr>
            <w:tcW w:w="876" w:type="dxa"/>
            <w:vAlign w:val="center"/>
          </w:tcPr>
          <w:p>
            <w:pPr>
              <w:spacing w:line="360" w:lineRule="exact"/>
              <w:jc w:val="center"/>
              <w:rPr>
                <w:rFonts w:ascii="宋体" w:hAnsi="宋体" w:cs="仿宋_GB2312"/>
                <w:b/>
                <w:bCs/>
                <w:color w:val="000000" w:themeColor="text1"/>
                <w:szCs w:val="21"/>
                <w:highlight w:val="none"/>
                <w14:textFill>
                  <w14:solidFill>
                    <w14:schemeClr w14:val="tx1"/>
                  </w14:solidFill>
                </w14:textFill>
              </w:rPr>
            </w:pPr>
            <w:r>
              <w:rPr>
                <w:rFonts w:hint="eastAsia" w:ascii="宋体" w:hAnsi="宋体" w:cs="仿宋_GB2312"/>
                <w:b/>
                <w:bCs/>
                <w:color w:val="000000" w:themeColor="text1"/>
                <w:szCs w:val="21"/>
                <w:highlight w:val="none"/>
                <w14:textFill>
                  <w14:solidFill>
                    <w14:schemeClr w14:val="tx1"/>
                  </w14:solidFill>
                </w14:textFill>
              </w:rPr>
              <w:t>性别</w:t>
            </w:r>
          </w:p>
        </w:tc>
        <w:tc>
          <w:tcPr>
            <w:tcW w:w="913" w:type="dxa"/>
            <w:vAlign w:val="center"/>
          </w:tcPr>
          <w:p>
            <w:pPr>
              <w:spacing w:line="360" w:lineRule="exact"/>
              <w:jc w:val="center"/>
              <w:rPr>
                <w:rFonts w:ascii="宋体" w:hAnsi="宋体" w:cs="仿宋_GB2312"/>
                <w:b/>
                <w:bCs/>
                <w:color w:val="000000" w:themeColor="text1"/>
                <w:szCs w:val="21"/>
                <w:highlight w:val="none"/>
                <w14:textFill>
                  <w14:solidFill>
                    <w14:schemeClr w14:val="tx1"/>
                  </w14:solidFill>
                </w14:textFill>
              </w:rPr>
            </w:pPr>
            <w:r>
              <w:rPr>
                <w:rFonts w:hint="eastAsia" w:ascii="宋体" w:hAnsi="宋体" w:cs="仿宋_GB2312"/>
                <w:b/>
                <w:bCs/>
                <w:color w:val="000000" w:themeColor="text1"/>
                <w:szCs w:val="21"/>
                <w:highlight w:val="none"/>
                <w14:textFill>
                  <w14:solidFill>
                    <w14:schemeClr w14:val="tx1"/>
                  </w14:solidFill>
                </w14:textFill>
              </w:rPr>
              <w:t>年龄</w:t>
            </w:r>
          </w:p>
        </w:tc>
        <w:tc>
          <w:tcPr>
            <w:tcW w:w="1066" w:type="dxa"/>
            <w:vAlign w:val="center"/>
          </w:tcPr>
          <w:p>
            <w:pPr>
              <w:spacing w:line="360" w:lineRule="exact"/>
              <w:jc w:val="center"/>
              <w:rPr>
                <w:rFonts w:ascii="宋体" w:hAnsi="宋体" w:cs="仿宋_GB2312"/>
                <w:b/>
                <w:bCs/>
                <w:color w:val="000000" w:themeColor="text1"/>
                <w:szCs w:val="21"/>
                <w:highlight w:val="none"/>
                <w14:textFill>
                  <w14:solidFill>
                    <w14:schemeClr w14:val="tx1"/>
                  </w14:solidFill>
                </w14:textFill>
              </w:rPr>
            </w:pPr>
            <w:r>
              <w:rPr>
                <w:rFonts w:hint="eastAsia" w:ascii="宋体" w:hAnsi="宋体" w:cs="仿宋_GB2312"/>
                <w:b/>
                <w:bCs/>
                <w:color w:val="000000" w:themeColor="text1"/>
                <w:szCs w:val="21"/>
                <w:highlight w:val="none"/>
                <w14:textFill>
                  <w14:solidFill>
                    <w14:schemeClr w14:val="tx1"/>
                  </w14:solidFill>
                </w14:textFill>
              </w:rPr>
              <w:t>学历</w:t>
            </w:r>
          </w:p>
        </w:tc>
        <w:tc>
          <w:tcPr>
            <w:tcW w:w="1219" w:type="dxa"/>
            <w:vAlign w:val="center"/>
          </w:tcPr>
          <w:p>
            <w:pPr>
              <w:spacing w:line="360" w:lineRule="exact"/>
              <w:jc w:val="center"/>
              <w:rPr>
                <w:rFonts w:ascii="宋体" w:hAnsi="宋体" w:cs="仿宋_GB2312"/>
                <w:b/>
                <w:bCs/>
                <w:color w:val="000000" w:themeColor="text1"/>
                <w:szCs w:val="21"/>
                <w:highlight w:val="none"/>
                <w14:textFill>
                  <w14:solidFill>
                    <w14:schemeClr w14:val="tx1"/>
                  </w14:solidFill>
                </w14:textFill>
              </w:rPr>
            </w:pPr>
            <w:r>
              <w:rPr>
                <w:rFonts w:hint="eastAsia" w:ascii="宋体" w:hAnsi="宋体" w:cs="仿宋_GB2312"/>
                <w:b/>
                <w:bCs/>
                <w:color w:val="000000" w:themeColor="text1"/>
                <w:szCs w:val="21"/>
                <w:highlight w:val="none"/>
                <w14:textFill>
                  <w14:solidFill>
                    <w14:schemeClr w14:val="tx1"/>
                  </w14:solidFill>
                </w14:textFill>
              </w:rPr>
              <w:t>职务</w:t>
            </w:r>
          </w:p>
        </w:tc>
        <w:tc>
          <w:tcPr>
            <w:tcW w:w="2133" w:type="dxa"/>
            <w:vAlign w:val="center"/>
          </w:tcPr>
          <w:p>
            <w:pPr>
              <w:spacing w:line="360" w:lineRule="exact"/>
              <w:jc w:val="center"/>
              <w:rPr>
                <w:rFonts w:hint="eastAsia" w:ascii="宋体" w:hAnsi="宋体" w:cs="仿宋_GB2312"/>
                <w:b/>
                <w:bCs/>
                <w:color w:val="000000" w:themeColor="text1"/>
                <w:szCs w:val="21"/>
                <w:highlight w:val="none"/>
                <w14:textFill>
                  <w14:solidFill>
                    <w14:schemeClr w14:val="tx1"/>
                  </w14:solidFill>
                </w14:textFill>
              </w:rPr>
            </w:pPr>
            <w:r>
              <w:rPr>
                <w:rFonts w:hint="eastAsia" w:ascii="宋体" w:hAnsi="宋体" w:cs="仿宋_GB2312"/>
                <w:b/>
                <w:bCs/>
                <w:color w:val="000000" w:themeColor="text1"/>
                <w:szCs w:val="21"/>
                <w:highlight w:val="none"/>
                <w14:textFill>
                  <w14:solidFill>
                    <w14:schemeClr w14:val="tx1"/>
                  </w14:solidFill>
                </w14:textFill>
              </w:rPr>
              <w:t>从事征收评估服务</w:t>
            </w:r>
          </w:p>
          <w:p>
            <w:pPr>
              <w:spacing w:line="360" w:lineRule="exact"/>
              <w:jc w:val="center"/>
              <w:rPr>
                <w:rFonts w:ascii="宋体" w:hAnsi="宋体" w:cs="仿宋_GB2312"/>
                <w:b/>
                <w:bCs/>
                <w:color w:val="000000" w:themeColor="text1"/>
                <w:szCs w:val="21"/>
                <w:highlight w:val="none"/>
                <w14:textFill>
                  <w14:solidFill>
                    <w14:schemeClr w14:val="tx1"/>
                  </w14:solidFill>
                </w14:textFill>
              </w:rPr>
            </w:pPr>
            <w:r>
              <w:rPr>
                <w:rFonts w:hint="eastAsia" w:ascii="宋体" w:hAnsi="宋体" w:cs="仿宋_GB2312"/>
                <w:b/>
                <w:bCs/>
                <w:color w:val="000000" w:themeColor="text1"/>
                <w:szCs w:val="21"/>
                <w:highlight w:val="none"/>
                <w14:textFill>
                  <w14:solidFill>
                    <w14:schemeClr w14:val="tx1"/>
                  </w14:solidFill>
                </w14:textFill>
              </w:rPr>
              <w:t>简历、年限</w:t>
            </w:r>
          </w:p>
        </w:tc>
        <w:tc>
          <w:tcPr>
            <w:tcW w:w="1523" w:type="dxa"/>
            <w:vAlign w:val="center"/>
          </w:tcPr>
          <w:p>
            <w:pPr>
              <w:spacing w:line="360" w:lineRule="exact"/>
              <w:jc w:val="center"/>
              <w:rPr>
                <w:rFonts w:ascii="宋体" w:hAnsi="宋体" w:cs="仿宋_GB2312"/>
                <w:b/>
                <w:bCs/>
                <w:color w:val="000000" w:themeColor="text1"/>
                <w:szCs w:val="21"/>
                <w:highlight w:val="none"/>
                <w14:textFill>
                  <w14:solidFill>
                    <w14:schemeClr w14:val="tx1"/>
                  </w14:solidFill>
                </w14:textFill>
              </w:rPr>
            </w:pPr>
            <w:r>
              <w:rPr>
                <w:rFonts w:hint="eastAsia" w:ascii="宋体" w:hAnsi="宋体" w:cs="仿宋_GB2312"/>
                <w:b/>
                <w:bCs/>
                <w:color w:val="000000" w:themeColor="text1"/>
                <w:szCs w:val="21"/>
                <w:highlight w:val="none"/>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603" w:type="dxa"/>
            <w:vAlign w:val="center"/>
          </w:tcPr>
          <w:p>
            <w:pPr>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170" w:type="dxa"/>
            <w:vAlign w:val="center"/>
          </w:tcPr>
          <w:p>
            <w:pPr>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876" w:type="dxa"/>
            <w:vAlign w:val="center"/>
          </w:tcPr>
          <w:p>
            <w:pPr>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913" w:type="dxa"/>
            <w:vAlign w:val="center"/>
          </w:tcPr>
          <w:p>
            <w:pPr>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066" w:type="dxa"/>
            <w:vAlign w:val="center"/>
          </w:tcPr>
          <w:p>
            <w:pPr>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219" w:type="dxa"/>
            <w:vAlign w:val="center"/>
          </w:tcPr>
          <w:p>
            <w:pPr>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2133" w:type="dxa"/>
          </w:tcPr>
          <w:p>
            <w:pPr>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523" w:type="dxa"/>
            <w:vAlign w:val="center"/>
          </w:tcPr>
          <w:p>
            <w:pPr>
              <w:spacing w:line="440" w:lineRule="exact"/>
              <w:jc w:val="center"/>
              <w:rPr>
                <w:rFonts w:ascii="宋体" w:hAnsi="宋体" w:cs="仿宋_GB2312"/>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603" w:type="dxa"/>
            <w:vAlign w:val="center"/>
          </w:tcPr>
          <w:p>
            <w:pPr>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170" w:type="dxa"/>
            <w:vAlign w:val="center"/>
          </w:tcPr>
          <w:p>
            <w:pPr>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876" w:type="dxa"/>
            <w:vAlign w:val="center"/>
          </w:tcPr>
          <w:p>
            <w:pPr>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913" w:type="dxa"/>
            <w:vAlign w:val="center"/>
          </w:tcPr>
          <w:p>
            <w:pPr>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066" w:type="dxa"/>
            <w:vAlign w:val="center"/>
          </w:tcPr>
          <w:p>
            <w:pPr>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219" w:type="dxa"/>
            <w:vAlign w:val="center"/>
          </w:tcPr>
          <w:p>
            <w:pPr>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2133" w:type="dxa"/>
          </w:tcPr>
          <w:p>
            <w:pPr>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523" w:type="dxa"/>
            <w:vAlign w:val="center"/>
          </w:tcPr>
          <w:p>
            <w:pPr>
              <w:spacing w:line="440" w:lineRule="exact"/>
              <w:jc w:val="center"/>
              <w:rPr>
                <w:rFonts w:ascii="宋体" w:hAnsi="宋体" w:cs="仿宋_GB2312"/>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603" w:type="dxa"/>
            <w:vAlign w:val="center"/>
          </w:tcPr>
          <w:p>
            <w:pPr>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170" w:type="dxa"/>
            <w:vAlign w:val="center"/>
          </w:tcPr>
          <w:p>
            <w:pPr>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876" w:type="dxa"/>
            <w:vAlign w:val="center"/>
          </w:tcPr>
          <w:p>
            <w:pPr>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913" w:type="dxa"/>
            <w:vAlign w:val="center"/>
          </w:tcPr>
          <w:p>
            <w:pPr>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066" w:type="dxa"/>
            <w:vAlign w:val="center"/>
          </w:tcPr>
          <w:p>
            <w:pPr>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219" w:type="dxa"/>
            <w:vAlign w:val="center"/>
          </w:tcPr>
          <w:p>
            <w:pPr>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2133" w:type="dxa"/>
          </w:tcPr>
          <w:p>
            <w:pPr>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523" w:type="dxa"/>
            <w:vAlign w:val="center"/>
          </w:tcPr>
          <w:p>
            <w:pPr>
              <w:spacing w:line="440" w:lineRule="exact"/>
              <w:jc w:val="center"/>
              <w:rPr>
                <w:rFonts w:ascii="宋体" w:hAnsi="宋体" w:cs="仿宋_GB2312"/>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603" w:type="dxa"/>
            <w:vAlign w:val="center"/>
          </w:tcPr>
          <w:p>
            <w:pPr>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170" w:type="dxa"/>
            <w:vAlign w:val="center"/>
          </w:tcPr>
          <w:p>
            <w:pPr>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876" w:type="dxa"/>
            <w:vAlign w:val="center"/>
          </w:tcPr>
          <w:p>
            <w:pPr>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913" w:type="dxa"/>
            <w:vAlign w:val="center"/>
          </w:tcPr>
          <w:p>
            <w:pPr>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066" w:type="dxa"/>
            <w:vAlign w:val="center"/>
          </w:tcPr>
          <w:p>
            <w:pPr>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219" w:type="dxa"/>
            <w:vAlign w:val="center"/>
          </w:tcPr>
          <w:p>
            <w:pPr>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2133" w:type="dxa"/>
          </w:tcPr>
          <w:p>
            <w:pPr>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523" w:type="dxa"/>
            <w:vAlign w:val="center"/>
          </w:tcPr>
          <w:p>
            <w:pPr>
              <w:spacing w:line="440" w:lineRule="exact"/>
              <w:jc w:val="center"/>
              <w:rPr>
                <w:rFonts w:ascii="宋体" w:hAnsi="宋体" w:cs="仿宋_GB2312"/>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603" w:type="dxa"/>
            <w:vAlign w:val="center"/>
          </w:tcPr>
          <w:p>
            <w:pPr>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170" w:type="dxa"/>
            <w:vAlign w:val="center"/>
          </w:tcPr>
          <w:p>
            <w:pPr>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876" w:type="dxa"/>
            <w:vAlign w:val="center"/>
          </w:tcPr>
          <w:p>
            <w:pPr>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913" w:type="dxa"/>
            <w:vAlign w:val="center"/>
          </w:tcPr>
          <w:p>
            <w:pPr>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066" w:type="dxa"/>
            <w:vAlign w:val="center"/>
          </w:tcPr>
          <w:p>
            <w:pPr>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219" w:type="dxa"/>
            <w:vAlign w:val="center"/>
          </w:tcPr>
          <w:p>
            <w:pPr>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2133" w:type="dxa"/>
          </w:tcPr>
          <w:p>
            <w:pPr>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523" w:type="dxa"/>
            <w:vAlign w:val="center"/>
          </w:tcPr>
          <w:p>
            <w:pPr>
              <w:spacing w:line="440" w:lineRule="exact"/>
              <w:jc w:val="center"/>
              <w:rPr>
                <w:rFonts w:ascii="宋体" w:hAnsi="宋体" w:cs="仿宋_GB2312"/>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603" w:type="dxa"/>
            <w:vAlign w:val="center"/>
          </w:tcPr>
          <w:p>
            <w:pPr>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170" w:type="dxa"/>
            <w:vAlign w:val="center"/>
          </w:tcPr>
          <w:p>
            <w:pPr>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876" w:type="dxa"/>
            <w:vAlign w:val="center"/>
          </w:tcPr>
          <w:p>
            <w:pPr>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913" w:type="dxa"/>
            <w:vAlign w:val="center"/>
          </w:tcPr>
          <w:p>
            <w:pPr>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066" w:type="dxa"/>
            <w:vAlign w:val="center"/>
          </w:tcPr>
          <w:p>
            <w:pPr>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219" w:type="dxa"/>
            <w:vAlign w:val="center"/>
          </w:tcPr>
          <w:p>
            <w:pPr>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2133" w:type="dxa"/>
          </w:tcPr>
          <w:p>
            <w:pPr>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523" w:type="dxa"/>
            <w:vAlign w:val="center"/>
          </w:tcPr>
          <w:p>
            <w:pPr>
              <w:spacing w:line="440" w:lineRule="exact"/>
              <w:jc w:val="center"/>
              <w:rPr>
                <w:rFonts w:ascii="宋体" w:hAnsi="宋体" w:cs="仿宋_GB2312"/>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603"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w:t>
            </w:r>
          </w:p>
        </w:tc>
        <w:tc>
          <w:tcPr>
            <w:tcW w:w="1170"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w:t>
            </w:r>
          </w:p>
        </w:tc>
        <w:tc>
          <w:tcPr>
            <w:tcW w:w="876" w:type="dxa"/>
            <w:vAlign w:val="center"/>
          </w:tcPr>
          <w:p>
            <w:pPr>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913" w:type="dxa"/>
            <w:vAlign w:val="center"/>
          </w:tcPr>
          <w:p>
            <w:pPr>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066" w:type="dxa"/>
            <w:vAlign w:val="center"/>
          </w:tcPr>
          <w:p>
            <w:pPr>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219" w:type="dxa"/>
            <w:vAlign w:val="center"/>
          </w:tcPr>
          <w:p>
            <w:pPr>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2133" w:type="dxa"/>
          </w:tcPr>
          <w:p>
            <w:pPr>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523" w:type="dxa"/>
            <w:vAlign w:val="center"/>
          </w:tcPr>
          <w:p>
            <w:pPr>
              <w:spacing w:line="440" w:lineRule="exact"/>
              <w:jc w:val="center"/>
              <w:rPr>
                <w:rFonts w:ascii="宋体" w:hAnsi="宋体" w:cs="仿宋_GB2312"/>
                <w:color w:val="000000" w:themeColor="text1"/>
                <w:szCs w:val="21"/>
                <w:highlight w:val="none"/>
                <w14:textFill>
                  <w14:solidFill>
                    <w14:schemeClr w14:val="tx1"/>
                  </w14:solidFill>
                </w14:textFill>
              </w:rPr>
            </w:pPr>
          </w:p>
        </w:tc>
      </w:tr>
    </w:tbl>
    <w:p>
      <w:pPr>
        <w:spacing w:line="400" w:lineRule="exact"/>
        <w:ind w:firstLine="480" w:firstLineChars="200"/>
        <w:jc w:val="left"/>
        <w:rPr>
          <w:rFonts w:hAnsi="宋体" w:cs="宋体-PUA"/>
          <w:color w:val="000000" w:themeColor="text1"/>
          <w:sz w:val="24"/>
          <w:highlight w:val="none"/>
          <w14:textFill>
            <w14:solidFill>
              <w14:schemeClr w14:val="tx1"/>
            </w14:solidFill>
          </w14:textFill>
        </w:rPr>
      </w:pPr>
      <w:r>
        <w:rPr>
          <w:rFonts w:hint="eastAsia" w:hAnsi="宋体" w:cs="宋体-PUA"/>
          <w:color w:val="000000" w:themeColor="text1"/>
          <w:sz w:val="24"/>
          <w:highlight w:val="none"/>
          <w14:textFill>
            <w14:solidFill>
              <w14:schemeClr w14:val="tx1"/>
            </w14:solidFill>
          </w14:textFill>
        </w:rPr>
        <w:t>注：1拟派项目驻场服务人员</w:t>
      </w:r>
      <w:r>
        <w:rPr>
          <w:rFonts w:hint="eastAsia" w:hAnsi="宋体" w:cs="宋体-PUA"/>
          <w:color w:val="000000" w:themeColor="text1"/>
          <w:sz w:val="24"/>
          <w:highlight w:val="none"/>
          <w:u w:val="single"/>
          <w:lang w:val="en-US" w:eastAsia="zh-CN"/>
          <w14:textFill>
            <w14:solidFill>
              <w14:schemeClr w14:val="tx1"/>
            </w14:solidFill>
          </w14:textFill>
        </w:rPr>
        <w:t>30</w:t>
      </w:r>
      <w:r>
        <w:rPr>
          <w:rFonts w:hint="eastAsia" w:hAnsi="宋体" w:cs="宋体-PUA"/>
          <w:color w:val="000000" w:themeColor="text1"/>
          <w:sz w:val="24"/>
          <w:highlight w:val="none"/>
          <w14:textFill>
            <w14:solidFill>
              <w14:schemeClr w14:val="tx1"/>
            </w14:solidFill>
          </w14:textFill>
        </w:rPr>
        <w:t>人</w:t>
      </w:r>
      <w:r>
        <w:rPr>
          <w:rFonts w:hint="eastAsia" w:hAnsi="宋体" w:cs="宋体-PUA"/>
          <w:color w:val="000000" w:themeColor="text1"/>
          <w:sz w:val="24"/>
          <w:highlight w:val="none"/>
          <w14:textFill>
            <w14:solidFill>
              <w14:schemeClr w14:val="tx1"/>
            </w14:solidFill>
          </w14:textFill>
        </w:rPr>
        <w:t>以上，项目负责人</w:t>
      </w:r>
      <w:r>
        <w:rPr>
          <w:rFonts w:hint="eastAsia" w:hAnsi="宋体" w:cs="宋体-PUA"/>
          <w:color w:val="000000" w:themeColor="text1"/>
          <w:sz w:val="24"/>
          <w:highlight w:val="none"/>
          <w:u w:val="single"/>
          <w:lang w:val="en-US" w:eastAsia="zh-CN"/>
          <w14:textFill>
            <w14:solidFill>
              <w14:schemeClr w14:val="tx1"/>
            </w14:solidFill>
          </w14:textFill>
        </w:rPr>
        <w:t>2</w:t>
      </w:r>
      <w:r>
        <w:rPr>
          <w:rFonts w:hint="eastAsia" w:hAnsi="宋体" w:cs="宋体-PUA"/>
          <w:color w:val="000000" w:themeColor="text1"/>
          <w:sz w:val="24"/>
          <w:highlight w:val="none"/>
          <w:u w:val="single"/>
          <w14:textFill>
            <w14:solidFill>
              <w14:schemeClr w14:val="tx1"/>
            </w14:solidFill>
          </w14:textFill>
        </w:rPr>
        <w:t>人</w:t>
      </w:r>
      <w:r>
        <w:rPr>
          <w:rFonts w:hint="eastAsia" w:hAnsi="宋体" w:cs="宋体-PUA"/>
          <w:color w:val="000000" w:themeColor="text1"/>
          <w:sz w:val="24"/>
          <w:highlight w:val="none"/>
          <w14:textFill>
            <w14:solidFill>
              <w14:schemeClr w14:val="tx1"/>
            </w14:solidFill>
          </w14:textFill>
        </w:rPr>
        <w:t>以上，其中注册评估师</w:t>
      </w:r>
      <w:r>
        <w:rPr>
          <w:rFonts w:hint="eastAsia" w:hAnsi="宋体" w:cs="宋体-PUA"/>
          <w:color w:val="000000" w:themeColor="text1"/>
          <w:sz w:val="24"/>
          <w:highlight w:val="none"/>
          <w:u w:val="single"/>
          <w14:textFill>
            <w14:solidFill>
              <w14:schemeClr w14:val="tx1"/>
            </w14:solidFill>
          </w14:textFill>
        </w:rPr>
        <w:t>3</w:t>
      </w:r>
      <w:r>
        <w:rPr>
          <w:rFonts w:hint="eastAsia" w:hAnsi="宋体" w:cs="宋体-PUA"/>
          <w:color w:val="000000" w:themeColor="text1"/>
          <w:sz w:val="24"/>
          <w:highlight w:val="none"/>
          <w14:textFill>
            <w14:solidFill>
              <w14:schemeClr w14:val="tx1"/>
            </w14:solidFill>
          </w14:textFill>
        </w:rPr>
        <w:t>人</w:t>
      </w:r>
      <w:r>
        <w:rPr>
          <w:rFonts w:hint="eastAsia" w:hAnsi="宋体" w:cs="宋体-PUA"/>
          <w:color w:val="000000" w:themeColor="text1"/>
          <w:sz w:val="24"/>
          <w:highlight w:val="none"/>
          <w14:textFill>
            <w14:solidFill>
              <w14:schemeClr w14:val="tx1"/>
            </w14:solidFill>
          </w14:textFill>
        </w:rPr>
        <w:t>以上，评估师具有注册房地产估价师或评估师资格。</w:t>
      </w:r>
    </w:p>
    <w:p>
      <w:pPr>
        <w:spacing w:line="400" w:lineRule="exact"/>
        <w:ind w:firstLine="480" w:firstLineChars="200"/>
        <w:jc w:val="left"/>
        <w:rPr>
          <w:rFonts w:ascii="宋体" w:hAnsi="宋体" w:cs="宋体-PUA"/>
          <w:color w:val="000000" w:themeColor="text1"/>
          <w:sz w:val="24"/>
          <w:highlight w:val="none"/>
          <w14:textFill>
            <w14:solidFill>
              <w14:schemeClr w14:val="tx1"/>
            </w14:solidFill>
          </w14:textFill>
        </w:rPr>
      </w:pPr>
      <w:r>
        <w:rPr>
          <w:rFonts w:hint="eastAsia" w:hAnsi="宋体" w:cs="宋体-PUA"/>
          <w:color w:val="000000" w:themeColor="text1"/>
          <w:sz w:val="24"/>
          <w:highlight w:val="none"/>
          <w14:textFill>
            <w14:solidFill>
              <w14:schemeClr w14:val="tx1"/>
            </w14:solidFill>
          </w14:textFill>
        </w:rPr>
        <w:t>2.须提供评估服务人员的身份证原件扫描件及近3个月社保证明</w:t>
      </w:r>
      <w:r>
        <w:rPr>
          <w:rFonts w:hint="eastAsia" w:hAnsi="宋体" w:cs="宋体-PUA"/>
          <w:color w:val="000000" w:themeColor="text1"/>
          <w:sz w:val="24"/>
          <w:highlight w:val="none"/>
          <w14:textFill>
            <w14:solidFill>
              <w14:schemeClr w14:val="tx1"/>
            </w14:solidFill>
          </w14:textFill>
        </w:rPr>
        <w:t>原件扫描件加盖公章</w:t>
      </w:r>
      <w:r>
        <w:rPr>
          <w:rFonts w:hint="eastAsia" w:hAnsi="宋体" w:cs="宋体-PUA"/>
          <w:color w:val="000000" w:themeColor="text1"/>
          <w:sz w:val="24"/>
          <w:highlight w:val="none"/>
          <w14:textFill>
            <w14:solidFill>
              <w14:schemeClr w14:val="tx1"/>
            </w14:solidFill>
          </w14:textFill>
        </w:rPr>
        <w:t>编入技术资信文件，未按要求提供的不得分。</w:t>
      </w:r>
    </w:p>
    <w:p>
      <w:pPr>
        <w:spacing w:line="400" w:lineRule="exact"/>
        <w:ind w:firstLine="720" w:firstLineChars="300"/>
        <w:jc w:val="left"/>
        <w:rPr>
          <w:rFonts w:ascii="宋体" w:hAnsi="宋体" w:cs="宋体-PUA"/>
          <w:color w:val="000000" w:themeColor="text1"/>
          <w:sz w:val="24"/>
          <w:highlight w:val="none"/>
          <w14:textFill>
            <w14:solidFill>
              <w14:schemeClr w14:val="tx1"/>
            </w14:solidFill>
          </w14:textFill>
        </w:rPr>
      </w:pPr>
    </w:p>
    <w:p>
      <w:pPr>
        <w:spacing w:line="400" w:lineRule="exact"/>
        <w:ind w:firstLine="3240" w:firstLineChars="1350"/>
        <w:rPr>
          <w:rFonts w:ascii="宋体" w:hAnsi="宋体" w:cs="宋体-PUA"/>
          <w:color w:val="000000" w:themeColor="text1"/>
          <w:sz w:val="24"/>
          <w:highlight w:val="none"/>
          <w14:textFill>
            <w14:solidFill>
              <w14:schemeClr w14:val="tx1"/>
            </w14:solidFill>
          </w14:textFill>
        </w:rPr>
      </w:pPr>
    </w:p>
    <w:p>
      <w:pPr>
        <w:spacing w:line="400" w:lineRule="exact"/>
        <w:ind w:firstLine="3240" w:firstLineChars="1350"/>
        <w:rPr>
          <w:rFonts w:ascii="宋体" w:hAnsi="宋体" w:cs="宋体-PUA"/>
          <w:color w:val="000000" w:themeColor="text1"/>
          <w:sz w:val="24"/>
          <w:highlight w:val="none"/>
          <w:u w:val="singl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投标人：</w:t>
      </w:r>
      <w:r>
        <w:rPr>
          <w:rFonts w:hint="eastAsia" w:ascii="宋体" w:hAnsi="宋体" w:cs="宋体-PUA"/>
          <w:color w:val="000000" w:themeColor="text1"/>
          <w:sz w:val="24"/>
          <w:highlight w:val="none"/>
          <w:u w:val="single"/>
          <w14:textFill>
            <w14:solidFill>
              <w14:schemeClr w14:val="tx1"/>
            </w14:solidFill>
          </w14:textFill>
        </w:rPr>
        <w:t xml:space="preserve">                         （盖章）</w:t>
      </w:r>
    </w:p>
    <w:p>
      <w:pPr>
        <w:spacing w:line="400" w:lineRule="exact"/>
        <w:ind w:firstLine="3240" w:firstLineChars="135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法定代表人：</w:t>
      </w:r>
      <w:r>
        <w:rPr>
          <w:rFonts w:hint="eastAsia" w:ascii="宋体" w:hAnsi="宋体" w:cs="宋体-PUA"/>
          <w:color w:val="000000" w:themeColor="text1"/>
          <w:sz w:val="24"/>
          <w:highlight w:val="none"/>
          <w:u w:val="single"/>
          <w14:textFill>
            <w14:solidFill>
              <w14:schemeClr w14:val="tx1"/>
            </w14:solidFill>
          </w14:textFill>
        </w:rPr>
        <w:t xml:space="preserve">                     （盖章）</w:t>
      </w:r>
    </w:p>
    <w:p>
      <w:pPr>
        <w:spacing w:line="360" w:lineRule="auto"/>
        <w:ind w:firstLine="3120" w:firstLineChars="1300"/>
        <w:rPr>
          <w:rFonts w:ascii="宋体" w:hAnsi="宋体" w:cs="宋体-PUA"/>
          <w:b/>
          <w:color w:val="000000" w:themeColor="text1"/>
          <w:sz w:val="44"/>
          <w:szCs w:val="44"/>
          <w:highlight w:val="none"/>
          <w14:textFill>
            <w14:solidFill>
              <w14:schemeClr w14:val="tx1"/>
            </w14:solidFill>
          </w14:textFill>
        </w:rPr>
      </w:pPr>
      <w:r>
        <w:rPr>
          <w:rFonts w:hint="eastAsia" w:hAnsi="宋体" w:cs="宋体-PUA"/>
          <w:color w:val="000000" w:themeColor="text1"/>
          <w:sz w:val="24"/>
          <w:highlight w:val="none"/>
          <w14:textFill>
            <w14:solidFill>
              <w14:schemeClr w14:val="tx1"/>
            </w14:solidFill>
          </w14:textFill>
        </w:rPr>
        <w:t xml:space="preserve"> </w:t>
      </w:r>
      <w:r>
        <w:rPr>
          <w:rFonts w:hint="eastAsia" w:ascii="宋体" w:hAnsi="宋体" w:cs="宋体-PUA"/>
          <w:color w:val="000000" w:themeColor="text1"/>
          <w:sz w:val="24"/>
          <w:highlight w:val="none"/>
          <w14:textFill>
            <w14:solidFill>
              <w14:schemeClr w14:val="tx1"/>
            </w14:solidFill>
          </w14:textFill>
        </w:rPr>
        <w:t>日期：</w:t>
      </w:r>
      <w:r>
        <w:rPr>
          <w:rFonts w:hint="eastAsia" w:ascii="宋体" w:hAnsi="宋体" w:cs="宋体-PUA"/>
          <w:color w:val="000000" w:themeColor="text1"/>
          <w:sz w:val="24"/>
          <w:highlight w:val="none"/>
          <w:u w:val="single"/>
          <w:lang w:val="en-US" w:eastAsia="zh-CN"/>
          <w14:textFill>
            <w14:solidFill>
              <w14:schemeClr w14:val="tx1"/>
            </w14:solidFill>
          </w14:textFill>
        </w:rPr>
        <w:t xml:space="preserve">     </w:t>
      </w:r>
      <w:r>
        <w:rPr>
          <w:rFonts w:hint="eastAsia" w:ascii="宋体" w:hAnsi="宋体" w:cs="宋体-PUA"/>
          <w:color w:val="000000" w:themeColor="text1"/>
          <w:sz w:val="24"/>
          <w:highlight w:val="none"/>
          <w14:textFill>
            <w14:solidFill>
              <w14:schemeClr w14:val="tx1"/>
            </w14:solidFill>
          </w14:textFill>
        </w:rPr>
        <w:t>年</w:t>
      </w:r>
      <w:r>
        <w:rPr>
          <w:rFonts w:hint="eastAsia" w:ascii="宋体" w:hAnsi="宋体" w:cs="宋体-PUA"/>
          <w:color w:val="000000" w:themeColor="text1"/>
          <w:sz w:val="24"/>
          <w:highlight w:val="none"/>
          <w:u w:val="single"/>
          <w:lang w:val="en-US" w:eastAsia="zh-CN"/>
          <w14:textFill>
            <w14:solidFill>
              <w14:schemeClr w14:val="tx1"/>
            </w14:solidFill>
          </w14:textFill>
        </w:rPr>
        <w:t xml:space="preserve">    </w:t>
      </w:r>
      <w:r>
        <w:rPr>
          <w:rFonts w:hint="eastAsia" w:ascii="宋体" w:hAnsi="宋体" w:cs="宋体-PUA"/>
          <w:color w:val="000000" w:themeColor="text1"/>
          <w:sz w:val="24"/>
          <w:highlight w:val="none"/>
          <w14:textFill>
            <w14:solidFill>
              <w14:schemeClr w14:val="tx1"/>
            </w14:solidFill>
          </w14:textFill>
        </w:rPr>
        <w:t>月</w:t>
      </w:r>
      <w:r>
        <w:rPr>
          <w:rFonts w:hint="eastAsia" w:ascii="宋体" w:hAnsi="宋体" w:cs="宋体-PUA"/>
          <w:color w:val="000000" w:themeColor="text1"/>
          <w:sz w:val="24"/>
          <w:highlight w:val="none"/>
          <w:u w:val="single"/>
          <w:lang w:val="en-US" w:eastAsia="zh-CN"/>
          <w14:textFill>
            <w14:solidFill>
              <w14:schemeClr w14:val="tx1"/>
            </w14:solidFill>
          </w14:textFill>
        </w:rPr>
        <w:t xml:space="preserve">    </w:t>
      </w:r>
      <w:r>
        <w:rPr>
          <w:rFonts w:hint="eastAsia" w:ascii="宋体" w:hAnsi="宋体" w:cs="宋体-PUA"/>
          <w:color w:val="000000" w:themeColor="text1"/>
          <w:sz w:val="24"/>
          <w:highlight w:val="none"/>
          <w14:textFill>
            <w14:solidFill>
              <w14:schemeClr w14:val="tx1"/>
            </w14:solidFill>
          </w14:textFill>
        </w:rPr>
        <w:t>日</w:t>
      </w:r>
    </w:p>
    <w:p>
      <w:pPr>
        <w:spacing w:line="360" w:lineRule="auto"/>
        <w:jc w:val="center"/>
        <w:rPr>
          <w:rFonts w:ascii="宋体" w:hAnsi="宋体" w:cs="宋体-PUA"/>
          <w:b/>
          <w:color w:val="000000" w:themeColor="text1"/>
          <w:sz w:val="24"/>
          <w:highlight w:val="none"/>
          <w14:textFill>
            <w14:solidFill>
              <w14:schemeClr w14:val="tx1"/>
            </w14:solidFill>
          </w14:textFill>
        </w:rPr>
      </w:pPr>
    </w:p>
    <w:p>
      <w:pPr>
        <w:spacing w:line="360" w:lineRule="auto"/>
        <w:rPr>
          <w:rFonts w:ascii="宋体" w:hAnsi="宋体" w:cs="宋体-PUA"/>
          <w:b/>
          <w:color w:val="000000" w:themeColor="text1"/>
          <w:sz w:val="24"/>
          <w:highlight w:val="none"/>
          <w14:textFill>
            <w14:solidFill>
              <w14:schemeClr w14:val="tx1"/>
            </w14:solidFill>
          </w14:textFill>
        </w:rPr>
      </w:pPr>
    </w:p>
    <w:p>
      <w:pPr>
        <w:spacing w:line="360" w:lineRule="auto"/>
        <w:jc w:val="left"/>
        <w:rPr>
          <w:rFonts w:hint="eastAsia" w:ascii="宋体" w:hAnsi="宋体" w:cs="宋体-PUA"/>
          <w:b/>
          <w:color w:val="000000" w:themeColor="text1"/>
          <w:sz w:val="24"/>
          <w:highlight w:val="none"/>
          <w14:textFill>
            <w14:solidFill>
              <w14:schemeClr w14:val="tx1"/>
            </w14:solidFill>
          </w14:textFill>
        </w:rPr>
      </w:pPr>
      <w:r>
        <w:rPr>
          <w:rFonts w:hint="eastAsia" w:ascii="宋体" w:hAnsi="宋体" w:cs="宋体-PUA"/>
          <w:b/>
          <w:color w:val="000000" w:themeColor="text1"/>
          <w:sz w:val="24"/>
          <w:highlight w:val="none"/>
          <w14:textFill>
            <w14:solidFill>
              <w14:schemeClr w14:val="tx1"/>
            </w14:solidFill>
          </w14:textFill>
        </w:rPr>
        <w:t xml:space="preserve"> 附件七：项目组成员拆迁（征收）评估服务业绩表</w:t>
      </w:r>
    </w:p>
    <w:p>
      <w:pPr>
        <w:pStyle w:val="2"/>
        <w:rPr>
          <w:color w:val="000000" w:themeColor="text1"/>
          <w:highlight w:val="none"/>
          <w14:textFill>
            <w14:solidFill>
              <w14:schemeClr w14:val="tx1"/>
            </w14:solidFill>
          </w14:textFill>
        </w:rPr>
      </w:pPr>
    </w:p>
    <w:p>
      <w:pPr>
        <w:jc w:val="center"/>
        <w:rPr>
          <w:rFonts w:ascii="宋体" w:hAnsi="宋体" w:cs="黑体"/>
          <w:b/>
          <w:color w:val="000000" w:themeColor="text1"/>
          <w:sz w:val="28"/>
          <w:szCs w:val="28"/>
          <w:highlight w:val="none"/>
          <w14:textFill>
            <w14:solidFill>
              <w14:schemeClr w14:val="tx1"/>
            </w14:solidFill>
          </w14:textFill>
        </w:rPr>
      </w:pPr>
      <w:r>
        <w:rPr>
          <w:rFonts w:hint="eastAsia" w:ascii="宋体" w:hAnsi="宋体" w:cs="黑体"/>
          <w:b/>
          <w:color w:val="000000" w:themeColor="text1"/>
          <w:sz w:val="28"/>
          <w:szCs w:val="28"/>
          <w:highlight w:val="none"/>
          <w14:textFill>
            <w14:solidFill>
              <w14:schemeClr w14:val="tx1"/>
            </w14:solidFill>
          </w14:textFill>
        </w:rPr>
        <w:t>项目组成员拆迁（征收）评估服务业绩表</w:t>
      </w:r>
    </w:p>
    <w:tbl>
      <w:tblPr>
        <w:tblStyle w:val="15"/>
        <w:tblW w:w="0" w:type="auto"/>
        <w:tblInd w:w="-32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586"/>
        <w:gridCol w:w="1148"/>
        <w:gridCol w:w="1575"/>
        <w:gridCol w:w="1816"/>
        <w:gridCol w:w="1342"/>
        <w:gridCol w:w="996"/>
        <w:gridCol w:w="755"/>
        <w:gridCol w:w="7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853" w:hRule="atLeast"/>
        </w:trPr>
        <w:tc>
          <w:tcPr>
            <w:tcW w:w="586" w:type="dxa"/>
            <w:vAlign w:val="center"/>
          </w:tcPr>
          <w:p>
            <w:pPr>
              <w:spacing w:line="360" w:lineRule="exact"/>
              <w:jc w:val="center"/>
              <w:rPr>
                <w:rFonts w:ascii="宋体" w:hAnsi="宋体" w:cs="仿宋_GB2312"/>
                <w:b/>
                <w:bCs/>
                <w:color w:val="000000" w:themeColor="text1"/>
                <w:szCs w:val="21"/>
                <w:highlight w:val="none"/>
                <w14:textFill>
                  <w14:solidFill>
                    <w14:schemeClr w14:val="tx1"/>
                  </w14:solidFill>
                </w14:textFill>
              </w:rPr>
            </w:pPr>
            <w:r>
              <w:rPr>
                <w:rFonts w:hint="eastAsia" w:ascii="宋体" w:hAnsi="宋体" w:cs="仿宋_GB2312"/>
                <w:b/>
                <w:bCs/>
                <w:color w:val="000000" w:themeColor="text1"/>
                <w:szCs w:val="21"/>
                <w:highlight w:val="none"/>
                <w14:textFill>
                  <w14:solidFill>
                    <w14:schemeClr w14:val="tx1"/>
                  </w14:solidFill>
                </w14:textFill>
              </w:rPr>
              <w:t>序号</w:t>
            </w:r>
          </w:p>
        </w:tc>
        <w:tc>
          <w:tcPr>
            <w:tcW w:w="1148" w:type="dxa"/>
            <w:vAlign w:val="center"/>
          </w:tcPr>
          <w:p>
            <w:pPr>
              <w:spacing w:line="360" w:lineRule="exact"/>
              <w:jc w:val="center"/>
              <w:rPr>
                <w:rFonts w:ascii="宋体" w:hAnsi="宋体" w:cs="仿宋_GB2312"/>
                <w:b/>
                <w:bCs/>
                <w:color w:val="000000" w:themeColor="text1"/>
                <w:szCs w:val="21"/>
                <w:highlight w:val="none"/>
                <w14:textFill>
                  <w14:solidFill>
                    <w14:schemeClr w14:val="tx1"/>
                  </w14:solidFill>
                </w14:textFill>
              </w:rPr>
            </w:pPr>
            <w:r>
              <w:rPr>
                <w:rFonts w:hint="eastAsia" w:ascii="宋体" w:hAnsi="宋体" w:cs="仿宋_GB2312"/>
                <w:b/>
                <w:bCs/>
                <w:color w:val="000000" w:themeColor="text1"/>
                <w:szCs w:val="21"/>
                <w:highlight w:val="none"/>
                <w14:textFill>
                  <w14:solidFill>
                    <w14:schemeClr w14:val="tx1"/>
                  </w14:solidFill>
                </w14:textFill>
              </w:rPr>
              <w:t>项目组成</w:t>
            </w:r>
          </w:p>
          <w:p>
            <w:pPr>
              <w:spacing w:line="360" w:lineRule="exact"/>
              <w:jc w:val="center"/>
              <w:rPr>
                <w:rFonts w:ascii="宋体" w:hAnsi="宋体" w:cs="仿宋_GB2312"/>
                <w:b/>
                <w:bCs/>
                <w:color w:val="000000" w:themeColor="text1"/>
                <w:szCs w:val="21"/>
                <w:highlight w:val="none"/>
                <w14:textFill>
                  <w14:solidFill>
                    <w14:schemeClr w14:val="tx1"/>
                  </w14:solidFill>
                </w14:textFill>
              </w:rPr>
            </w:pPr>
            <w:r>
              <w:rPr>
                <w:rFonts w:hint="eastAsia" w:ascii="宋体" w:hAnsi="宋体" w:cs="仿宋_GB2312"/>
                <w:b/>
                <w:bCs/>
                <w:color w:val="000000" w:themeColor="text1"/>
                <w:szCs w:val="21"/>
                <w:highlight w:val="none"/>
                <w14:textFill>
                  <w14:solidFill>
                    <w14:schemeClr w14:val="tx1"/>
                  </w14:solidFill>
                </w14:textFill>
              </w:rPr>
              <w:t>员姓名</w:t>
            </w:r>
          </w:p>
        </w:tc>
        <w:tc>
          <w:tcPr>
            <w:tcW w:w="1575" w:type="dxa"/>
            <w:vAlign w:val="center"/>
          </w:tcPr>
          <w:p>
            <w:pPr>
              <w:spacing w:line="360" w:lineRule="exact"/>
              <w:jc w:val="center"/>
              <w:rPr>
                <w:rFonts w:ascii="宋体" w:hAnsi="宋体" w:cs="仿宋_GB2312"/>
                <w:b/>
                <w:bCs/>
                <w:color w:val="000000" w:themeColor="text1"/>
                <w:szCs w:val="21"/>
                <w:highlight w:val="none"/>
                <w14:textFill>
                  <w14:solidFill>
                    <w14:schemeClr w14:val="tx1"/>
                  </w14:solidFill>
                </w14:textFill>
              </w:rPr>
            </w:pPr>
            <w:r>
              <w:rPr>
                <w:rFonts w:hint="eastAsia" w:ascii="宋体" w:hAnsi="宋体" w:cs="仿宋_GB2312"/>
                <w:b/>
                <w:bCs/>
                <w:color w:val="000000" w:themeColor="text1"/>
                <w:szCs w:val="21"/>
                <w:highlight w:val="none"/>
                <w14:textFill>
                  <w14:solidFill>
                    <w14:schemeClr w14:val="tx1"/>
                  </w14:solidFill>
                </w14:textFill>
              </w:rPr>
              <w:t>项目名称</w:t>
            </w:r>
          </w:p>
        </w:tc>
        <w:tc>
          <w:tcPr>
            <w:tcW w:w="1816" w:type="dxa"/>
            <w:vAlign w:val="center"/>
          </w:tcPr>
          <w:p>
            <w:pPr>
              <w:spacing w:line="360" w:lineRule="exact"/>
              <w:jc w:val="center"/>
              <w:rPr>
                <w:rFonts w:ascii="宋体" w:hAnsi="宋体" w:cs="仿宋_GB2312"/>
                <w:b/>
                <w:bCs/>
                <w:color w:val="000000" w:themeColor="text1"/>
                <w:szCs w:val="21"/>
                <w:highlight w:val="none"/>
                <w14:textFill>
                  <w14:solidFill>
                    <w14:schemeClr w14:val="tx1"/>
                  </w14:solidFill>
                </w14:textFill>
              </w:rPr>
            </w:pPr>
            <w:r>
              <w:rPr>
                <w:rFonts w:hint="eastAsia" w:ascii="宋体" w:hAnsi="宋体" w:cs="仿宋_GB2312"/>
                <w:b/>
                <w:bCs/>
                <w:color w:val="000000" w:themeColor="text1"/>
                <w:szCs w:val="21"/>
                <w:highlight w:val="none"/>
                <w14:textFill>
                  <w14:solidFill>
                    <w14:schemeClr w14:val="tx1"/>
                  </w14:solidFill>
                </w14:textFill>
              </w:rPr>
              <w:t>项目地址</w:t>
            </w:r>
          </w:p>
        </w:tc>
        <w:tc>
          <w:tcPr>
            <w:tcW w:w="1342" w:type="dxa"/>
            <w:vAlign w:val="center"/>
          </w:tcPr>
          <w:p>
            <w:pPr>
              <w:spacing w:line="360" w:lineRule="exact"/>
              <w:jc w:val="center"/>
              <w:rPr>
                <w:rFonts w:ascii="宋体" w:hAnsi="宋体" w:cs="仿宋_GB2312"/>
                <w:b/>
                <w:bCs/>
                <w:color w:val="000000" w:themeColor="text1"/>
                <w:szCs w:val="21"/>
                <w:highlight w:val="none"/>
                <w14:textFill>
                  <w14:solidFill>
                    <w14:schemeClr w14:val="tx1"/>
                  </w14:solidFill>
                </w14:textFill>
              </w:rPr>
            </w:pPr>
            <w:r>
              <w:rPr>
                <w:rFonts w:hint="eastAsia" w:ascii="宋体" w:hAnsi="宋体" w:cs="仿宋_GB2312"/>
                <w:b/>
                <w:bCs/>
                <w:color w:val="000000" w:themeColor="text1"/>
                <w:szCs w:val="21"/>
                <w:highlight w:val="none"/>
                <w14:textFill>
                  <w14:solidFill>
                    <w14:schemeClr w14:val="tx1"/>
                  </w14:solidFill>
                </w14:textFill>
              </w:rPr>
              <w:t>合同内容</w:t>
            </w:r>
          </w:p>
        </w:tc>
        <w:tc>
          <w:tcPr>
            <w:tcW w:w="996" w:type="dxa"/>
            <w:vAlign w:val="center"/>
          </w:tcPr>
          <w:p>
            <w:pPr>
              <w:spacing w:line="360" w:lineRule="exact"/>
              <w:jc w:val="center"/>
              <w:rPr>
                <w:rFonts w:ascii="宋体" w:hAnsi="宋体" w:cs="仿宋_GB2312"/>
                <w:b/>
                <w:bCs/>
                <w:color w:val="000000" w:themeColor="text1"/>
                <w:szCs w:val="21"/>
                <w:highlight w:val="none"/>
                <w14:textFill>
                  <w14:solidFill>
                    <w14:schemeClr w14:val="tx1"/>
                  </w14:solidFill>
                </w14:textFill>
              </w:rPr>
            </w:pPr>
            <w:r>
              <w:rPr>
                <w:rFonts w:hint="eastAsia" w:ascii="宋体" w:hAnsi="宋体" w:cs="仿宋_GB2312"/>
                <w:b/>
                <w:bCs/>
                <w:color w:val="000000" w:themeColor="text1"/>
                <w:szCs w:val="21"/>
                <w:highlight w:val="none"/>
                <w14:textFill>
                  <w14:solidFill>
                    <w14:schemeClr w14:val="tx1"/>
                  </w14:solidFill>
                </w14:textFill>
              </w:rPr>
              <w:t>实际房屋拆迁评估面积</w:t>
            </w:r>
          </w:p>
        </w:tc>
        <w:tc>
          <w:tcPr>
            <w:tcW w:w="755" w:type="dxa"/>
            <w:vAlign w:val="center"/>
          </w:tcPr>
          <w:p>
            <w:pPr>
              <w:spacing w:line="360" w:lineRule="exact"/>
              <w:jc w:val="center"/>
              <w:rPr>
                <w:rFonts w:ascii="宋体" w:hAnsi="宋体" w:cs="仿宋_GB2312"/>
                <w:b/>
                <w:bCs/>
                <w:color w:val="000000" w:themeColor="text1"/>
                <w:szCs w:val="21"/>
                <w:highlight w:val="none"/>
                <w14:textFill>
                  <w14:solidFill>
                    <w14:schemeClr w14:val="tx1"/>
                  </w14:solidFill>
                </w14:textFill>
              </w:rPr>
            </w:pPr>
            <w:r>
              <w:rPr>
                <w:rFonts w:hint="eastAsia" w:ascii="宋体" w:hAnsi="宋体" w:cs="仿宋_GB2312"/>
                <w:b/>
                <w:bCs/>
                <w:color w:val="000000" w:themeColor="text1"/>
                <w:szCs w:val="21"/>
                <w:highlight w:val="none"/>
                <w14:textFill>
                  <w14:solidFill>
                    <w14:schemeClr w14:val="tx1"/>
                  </w14:solidFill>
                </w14:textFill>
              </w:rPr>
              <w:t>签约日期</w:t>
            </w:r>
          </w:p>
        </w:tc>
        <w:tc>
          <w:tcPr>
            <w:tcW w:w="790" w:type="dxa"/>
            <w:vAlign w:val="center"/>
          </w:tcPr>
          <w:p>
            <w:pPr>
              <w:spacing w:line="360" w:lineRule="exact"/>
              <w:jc w:val="center"/>
              <w:rPr>
                <w:rFonts w:ascii="宋体" w:hAnsi="宋体" w:cs="仿宋_GB2312"/>
                <w:b/>
                <w:bCs/>
                <w:color w:val="000000" w:themeColor="text1"/>
                <w:szCs w:val="21"/>
                <w:highlight w:val="none"/>
                <w14:textFill>
                  <w14:solidFill>
                    <w14:schemeClr w14:val="tx1"/>
                  </w14:solidFill>
                </w14:textFill>
              </w:rPr>
            </w:pPr>
            <w:r>
              <w:rPr>
                <w:rFonts w:hint="eastAsia" w:ascii="宋体" w:hAnsi="宋体" w:cs="仿宋_GB2312"/>
                <w:b/>
                <w:bCs/>
                <w:color w:val="000000" w:themeColor="text1"/>
                <w:szCs w:val="21"/>
                <w:highlight w:val="none"/>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853" w:hRule="atLeast"/>
        </w:trPr>
        <w:tc>
          <w:tcPr>
            <w:tcW w:w="586"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148"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575"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816"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342"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996"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755"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790"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853" w:hRule="atLeast"/>
        </w:trPr>
        <w:tc>
          <w:tcPr>
            <w:tcW w:w="586"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148"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575"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816"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342"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996"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755"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790"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853" w:hRule="atLeast"/>
        </w:trPr>
        <w:tc>
          <w:tcPr>
            <w:tcW w:w="586"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148"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575"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816"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342"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996"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755"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790"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853" w:hRule="atLeast"/>
        </w:trPr>
        <w:tc>
          <w:tcPr>
            <w:tcW w:w="586"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148"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575"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816"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342"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996"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755"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790"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853" w:hRule="atLeast"/>
        </w:trPr>
        <w:tc>
          <w:tcPr>
            <w:tcW w:w="586"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148"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575"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816"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342"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996"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755"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790"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853" w:hRule="atLeast"/>
        </w:trPr>
        <w:tc>
          <w:tcPr>
            <w:tcW w:w="586"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148"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575"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816"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342"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996"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755"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790"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853" w:hRule="atLeast"/>
        </w:trPr>
        <w:tc>
          <w:tcPr>
            <w:tcW w:w="586"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w:t>
            </w:r>
          </w:p>
        </w:tc>
        <w:tc>
          <w:tcPr>
            <w:tcW w:w="1148"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575"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w:t>
            </w:r>
          </w:p>
        </w:tc>
        <w:tc>
          <w:tcPr>
            <w:tcW w:w="1816"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1342"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996"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755"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c>
          <w:tcPr>
            <w:tcW w:w="790" w:type="dxa"/>
            <w:vAlign w:val="center"/>
          </w:tcPr>
          <w:p>
            <w:pPr>
              <w:autoSpaceDE w:val="0"/>
              <w:autoSpaceDN w:val="0"/>
              <w:adjustRightInd w:val="0"/>
              <w:spacing w:line="440" w:lineRule="exact"/>
              <w:jc w:val="center"/>
              <w:rPr>
                <w:rFonts w:ascii="宋体" w:hAnsi="宋体" w:cs="仿宋_GB2312"/>
                <w:color w:val="000000" w:themeColor="text1"/>
                <w:szCs w:val="21"/>
                <w:highlight w:val="none"/>
                <w14:textFill>
                  <w14:solidFill>
                    <w14:schemeClr w14:val="tx1"/>
                  </w14:solidFill>
                </w14:textFill>
              </w:rPr>
            </w:pPr>
          </w:p>
        </w:tc>
      </w:tr>
    </w:tbl>
    <w:p>
      <w:pPr>
        <w:spacing w:line="360" w:lineRule="auto"/>
        <w:ind w:left="-359" w:leftChars="-171"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征收（拆迁）评估面积以征收（拆迁）评估合同（协议书）签订面积为准，如合同中不能明确面积的或不能明确项目成员的，须提供业主证明材料原件扫描件加盖公章，提供虚假资料的，按相关规定上报，严肃处理。</w:t>
      </w:r>
    </w:p>
    <w:p>
      <w:pPr>
        <w:pStyle w:val="2"/>
        <w:rPr>
          <w:color w:val="000000" w:themeColor="text1"/>
          <w:highlight w:val="none"/>
          <w14:textFill>
            <w14:solidFill>
              <w14:schemeClr w14:val="tx1"/>
            </w14:solidFill>
          </w14:textFill>
        </w:rPr>
      </w:pPr>
    </w:p>
    <w:p>
      <w:pPr>
        <w:spacing w:line="400" w:lineRule="exact"/>
        <w:ind w:firstLine="3240" w:firstLineChars="1350"/>
        <w:rPr>
          <w:rFonts w:ascii="宋体" w:hAnsi="宋体" w:cs="宋体-PUA"/>
          <w:color w:val="000000" w:themeColor="text1"/>
          <w:sz w:val="24"/>
          <w:highlight w:val="none"/>
          <w14:textFill>
            <w14:solidFill>
              <w14:schemeClr w14:val="tx1"/>
            </w14:solidFill>
          </w14:textFill>
        </w:rPr>
      </w:pPr>
    </w:p>
    <w:p>
      <w:pPr>
        <w:spacing w:line="500" w:lineRule="exact"/>
        <w:ind w:firstLine="3240" w:firstLineChars="1350"/>
        <w:rPr>
          <w:rFonts w:ascii="宋体" w:hAnsi="宋体" w:cs="宋体-PUA"/>
          <w:color w:val="000000" w:themeColor="text1"/>
          <w:sz w:val="24"/>
          <w:highlight w:val="none"/>
          <w:u w:val="singl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投标人：</w:t>
      </w:r>
      <w:r>
        <w:rPr>
          <w:rFonts w:hint="eastAsia" w:ascii="宋体" w:hAnsi="宋体" w:cs="宋体-PUA"/>
          <w:color w:val="000000" w:themeColor="text1"/>
          <w:sz w:val="24"/>
          <w:highlight w:val="none"/>
          <w:u w:val="single"/>
          <w14:textFill>
            <w14:solidFill>
              <w14:schemeClr w14:val="tx1"/>
            </w14:solidFill>
          </w14:textFill>
        </w:rPr>
        <w:t xml:space="preserve">                         （盖章）</w:t>
      </w:r>
    </w:p>
    <w:p>
      <w:pPr>
        <w:spacing w:line="500" w:lineRule="exact"/>
        <w:ind w:firstLine="3240" w:firstLineChars="135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法定代表人：</w:t>
      </w:r>
      <w:r>
        <w:rPr>
          <w:rFonts w:hint="eastAsia" w:ascii="宋体" w:hAnsi="宋体" w:cs="宋体-PUA"/>
          <w:color w:val="000000" w:themeColor="text1"/>
          <w:sz w:val="24"/>
          <w:highlight w:val="none"/>
          <w:u w:val="single"/>
          <w14:textFill>
            <w14:solidFill>
              <w14:schemeClr w14:val="tx1"/>
            </w14:solidFill>
          </w14:textFill>
        </w:rPr>
        <w:t xml:space="preserve">                     （盖章）</w:t>
      </w:r>
    </w:p>
    <w:p>
      <w:pPr>
        <w:spacing w:line="360" w:lineRule="auto"/>
        <w:ind w:firstLine="3360" w:firstLineChars="1400"/>
        <w:rPr>
          <w:rFonts w:ascii="宋体" w:hAnsi="宋体" w:cs="宋体-PUA"/>
          <w:b/>
          <w:color w:val="000000" w:themeColor="text1"/>
          <w:sz w:val="44"/>
          <w:szCs w:val="4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日期：</w:t>
      </w:r>
      <w:r>
        <w:rPr>
          <w:rFonts w:hint="eastAsia" w:ascii="宋体" w:hAnsi="宋体" w:cs="宋体-PUA"/>
          <w:color w:val="000000" w:themeColor="text1"/>
          <w:sz w:val="24"/>
          <w:highlight w:val="none"/>
          <w:u w:val="single"/>
          <w:lang w:val="en-US" w:eastAsia="zh-CN"/>
          <w14:textFill>
            <w14:solidFill>
              <w14:schemeClr w14:val="tx1"/>
            </w14:solidFill>
          </w14:textFill>
        </w:rPr>
        <w:t xml:space="preserve">     </w:t>
      </w:r>
      <w:r>
        <w:rPr>
          <w:rFonts w:hint="eastAsia" w:ascii="宋体" w:hAnsi="宋体" w:cs="宋体-PUA"/>
          <w:color w:val="000000" w:themeColor="text1"/>
          <w:sz w:val="24"/>
          <w:highlight w:val="none"/>
          <w14:textFill>
            <w14:solidFill>
              <w14:schemeClr w14:val="tx1"/>
            </w14:solidFill>
          </w14:textFill>
        </w:rPr>
        <w:t>年</w:t>
      </w:r>
      <w:r>
        <w:rPr>
          <w:rFonts w:hint="eastAsia" w:ascii="宋体" w:hAnsi="宋体" w:cs="宋体-PUA"/>
          <w:color w:val="000000" w:themeColor="text1"/>
          <w:sz w:val="24"/>
          <w:highlight w:val="none"/>
          <w:u w:val="single"/>
          <w:lang w:val="en-US" w:eastAsia="zh-CN"/>
          <w14:textFill>
            <w14:solidFill>
              <w14:schemeClr w14:val="tx1"/>
            </w14:solidFill>
          </w14:textFill>
        </w:rPr>
        <w:t xml:space="preserve">    </w:t>
      </w:r>
      <w:r>
        <w:rPr>
          <w:rFonts w:hint="eastAsia" w:ascii="宋体" w:hAnsi="宋体" w:cs="宋体-PUA"/>
          <w:color w:val="000000" w:themeColor="text1"/>
          <w:sz w:val="24"/>
          <w:highlight w:val="none"/>
          <w14:textFill>
            <w14:solidFill>
              <w14:schemeClr w14:val="tx1"/>
            </w14:solidFill>
          </w14:textFill>
        </w:rPr>
        <w:t>月</w:t>
      </w:r>
      <w:r>
        <w:rPr>
          <w:rFonts w:hint="eastAsia" w:ascii="宋体" w:hAnsi="宋体" w:cs="宋体-PUA"/>
          <w:color w:val="000000" w:themeColor="text1"/>
          <w:sz w:val="24"/>
          <w:highlight w:val="none"/>
          <w:u w:val="single"/>
          <w:lang w:val="en-US" w:eastAsia="zh-CN"/>
          <w14:textFill>
            <w14:solidFill>
              <w14:schemeClr w14:val="tx1"/>
            </w14:solidFill>
          </w14:textFill>
        </w:rPr>
        <w:t xml:space="preserve">    </w:t>
      </w:r>
      <w:r>
        <w:rPr>
          <w:rFonts w:hint="eastAsia" w:ascii="宋体" w:hAnsi="宋体" w:cs="宋体-PUA"/>
          <w:color w:val="000000" w:themeColor="text1"/>
          <w:sz w:val="24"/>
          <w:highlight w:val="none"/>
          <w14:textFill>
            <w14:solidFill>
              <w14:schemeClr w14:val="tx1"/>
            </w14:solidFill>
          </w14:textFill>
        </w:rPr>
        <w:t>日</w:t>
      </w:r>
    </w:p>
    <w:p>
      <w:pPr>
        <w:tabs>
          <w:tab w:val="left" w:pos="360"/>
          <w:tab w:val="left" w:pos="840"/>
        </w:tabs>
        <w:spacing w:line="360" w:lineRule="auto"/>
        <w:rPr>
          <w:rFonts w:ascii="宋体" w:hAnsi="宋体" w:cs="宋体-PUA"/>
          <w:b/>
          <w:color w:val="000000" w:themeColor="text1"/>
          <w:sz w:val="24"/>
          <w:highlight w:val="none"/>
          <w14:textFill>
            <w14:solidFill>
              <w14:schemeClr w14:val="tx1"/>
            </w14:solidFill>
          </w14:textFill>
        </w:rPr>
      </w:pPr>
    </w:p>
    <w:p>
      <w:pPr>
        <w:spacing w:line="360" w:lineRule="auto"/>
        <w:rPr>
          <w:rFonts w:ascii="宋体" w:hAnsi="宋体" w:cs="宋体-PUA"/>
          <w:b/>
          <w:color w:val="000000" w:themeColor="text1"/>
          <w:sz w:val="24"/>
          <w:highlight w:val="none"/>
          <w14:textFill>
            <w14:solidFill>
              <w14:schemeClr w14:val="tx1"/>
            </w14:solidFill>
          </w14:textFill>
        </w:rPr>
      </w:pPr>
    </w:p>
    <w:p>
      <w:pPr>
        <w:spacing w:line="360" w:lineRule="auto"/>
        <w:rPr>
          <w:rFonts w:ascii="宋体" w:hAnsi="宋体" w:cs="宋体-PUA"/>
          <w:b/>
          <w:color w:val="000000" w:themeColor="text1"/>
          <w:sz w:val="24"/>
          <w:highlight w:val="none"/>
          <w14:textFill>
            <w14:solidFill>
              <w14:schemeClr w14:val="tx1"/>
            </w14:solidFill>
          </w14:textFill>
        </w:rPr>
      </w:pPr>
    </w:p>
    <w:p>
      <w:pPr>
        <w:spacing w:line="360" w:lineRule="auto"/>
        <w:rPr>
          <w:rFonts w:ascii="宋体" w:hAnsi="宋体" w:cs="宋体-PUA"/>
          <w:b/>
          <w:color w:val="000000" w:themeColor="text1"/>
          <w:sz w:val="24"/>
          <w:highlight w:val="none"/>
          <w14:textFill>
            <w14:solidFill>
              <w14:schemeClr w14:val="tx1"/>
            </w14:solidFill>
          </w14:textFill>
        </w:rPr>
      </w:pPr>
    </w:p>
    <w:p>
      <w:pPr>
        <w:spacing w:line="360" w:lineRule="auto"/>
        <w:rPr>
          <w:rFonts w:ascii="宋体" w:hAnsi="宋体" w:cs="宋体-PUA"/>
          <w:b/>
          <w:color w:val="000000" w:themeColor="text1"/>
          <w:sz w:val="24"/>
          <w:highlight w:val="none"/>
          <w14:textFill>
            <w14:solidFill>
              <w14:schemeClr w14:val="tx1"/>
            </w14:solidFill>
          </w14:textFill>
        </w:rPr>
      </w:pPr>
    </w:p>
    <w:p>
      <w:pPr>
        <w:spacing w:line="360" w:lineRule="auto"/>
        <w:rPr>
          <w:rFonts w:ascii="宋体" w:hAnsi="宋体" w:cs="黑体"/>
          <w:b/>
          <w:color w:val="000000" w:themeColor="text1"/>
          <w:sz w:val="28"/>
          <w:szCs w:val="28"/>
          <w:highlight w:val="none"/>
          <w14:textFill>
            <w14:solidFill>
              <w14:schemeClr w14:val="tx1"/>
            </w14:solidFill>
          </w14:textFill>
        </w:rPr>
      </w:pPr>
      <w:r>
        <w:rPr>
          <w:rFonts w:hint="eastAsia" w:ascii="宋体" w:hAnsi="宋体" w:cs="宋体-PUA"/>
          <w:b/>
          <w:color w:val="000000" w:themeColor="text1"/>
          <w:sz w:val="24"/>
          <w:highlight w:val="none"/>
          <w14:textFill>
            <w14:solidFill>
              <w14:schemeClr w14:val="tx1"/>
            </w14:solidFill>
          </w14:textFill>
        </w:rPr>
        <w:t>附件八：技术部分</w:t>
      </w:r>
    </w:p>
    <w:p>
      <w:pPr>
        <w:spacing w:line="360" w:lineRule="auto"/>
        <w:jc w:val="center"/>
        <w:rPr>
          <w:rFonts w:ascii="宋体" w:hAnsi="宋体" w:cs="黑体"/>
          <w:b/>
          <w:color w:val="000000" w:themeColor="text1"/>
          <w:sz w:val="30"/>
          <w:szCs w:val="30"/>
          <w:highlight w:val="none"/>
          <w14:textFill>
            <w14:solidFill>
              <w14:schemeClr w14:val="tx1"/>
            </w14:solidFill>
          </w14:textFill>
        </w:rPr>
      </w:pPr>
      <w:r>
        <w:rPr>
          <w:rFonts w:hint="eastAsia" w:ascii="宋体" w:hAnsi="宋体" w:cs="黑体"/>
          <w:b/>
          <w:color w:val="000000" w:themeColor="text1"/>
          <w:sz w:val="30"/>
          <w:szCs w:val="30"/>
          <w:highlight w:val="none"/>
          <w14:textFill>
            <w14:solidFill>
              <w14:schemeClr w14:val="tx1"/>
            </w14:solidFill>
          </w14:textFill>
        </w:rPr>
        <w:t>技术部分</w:t>
      </w:r>
    </w:p>
    <w:p>
      <w:pPr>
        <w:spacing w:line="360" w:lineRule="auto"/>
        <w:jc w:val="center"/>
        <w:rPr>
          <w:rFonts w:ascii="宋体" w:hAnsi="宋体" w:cs="黑体"/>
          <w:b/>
          <w:color w:val="000000" w:themeColor="text1"/>
          <w:sz w:val="28"/>
          <w:szCs w:val="28"/>
          <w:highlight w:val="none"/>
          <w14:textFill>
            <w14:solidFill>
              <w14:schemeClr w14:val="tx1"/>
            </w14:solidFill>
          </w14:textFill>
        </w:rPr>
      </w:pPr>
    </w:p>
    <w:p>
      <w:pPr>
        <w:pStyle w:val="26"/>
        <w:spacing w:line="360" w:lineRule="auto"/>
        <w:jc w:val="both"/>
        <w:rPr>
          <w:rFonts w:cs="仿宋_GB2312"/>
          <w:b/>
          <w:bCs/>
          <w:color w:val="000000" w:themeColor="text1"/>
          <w:kern w:val="2"/>
          <w:highlight w:val="none"/>
          <w14:textFill>
            <w14:solidFill>
              <w14:schemeClr w14:val="tx1"/>
            </w14:solidFill>
          </w14:textFill>
        </w:rPr>
      </w:pPr>
      <w:r>
        <w:rPr>
          <w:rFonts w:hint="eastAsia" w:cs="仿宋_GB2312"/>
          <w:b/>
          <w:bCs/>
          <w:color w:val="000000" w:themeColor="text1"/>
          <w:kern w:val="2"/>
          <w:highlight w:val="none"/>
          <w14:textFill>
            <w14:solidFill>
              <w14:schemeClr w14:val="tx1"/>
            </w14:solidFill>
          </w14:textFill>
        </w:rPr>
        <w:t>按采购文件技术部分评审细则，格式由投标人自拟。</w:t>
      </w:r>
    </w:p>
    <w:p>
      <w:pPr>
        <w:pStyle w:val="26"/>
        <w:spacing w:line="360" w:lineRule="auto"/>
        <w:jc w:val="both"/>
        <w:rPr>
          <w:rFonts w:cs="仿宋_GB2312"/>
          <w:b/>
          <w:bCs/>
          <w:color w:val="000000" w:themeColor="text1"/>
          <w:kern w:val="2"/>
          <w:highlight w:val="none"/>
          <w14:textFill>
            <w14:solidFill>
              <w14:schemeClr w14:val="tx1"/>
            </w14:solidFill>
          </w14:textFill>
        </w:rPr>
      </w:pPr>
    </w:p>
    <w:p>
      <w:pPr>
        <w:pStyle w:val="26"/>
        <w:spacing w:line="360" w:lineRule="auto"/>
        <w:jc w:val="both"/>
        <w:rPr>
          <w:rFonts w:cs="仿宋_GB2312"/>
          <w:b/>
          <w:bCs/>
          <w:color w:val="000000" w:themeColor="text1"/>
          <w:kern w:val="2"/>
          <w:highlight w:val="none"/>
          <w14:textFill>
            <w14:solidFill>
              <w14:schemeClr w14:val="tx1"/>
            </w14:solidFill>
          </w14:textFill>
        </w:rPr>
      </w:pPr>
      <w:r>
        <w:rPr>
          <w:rFonts w:hint="eastAsia" w:cs="仿宋_GB2312"/>
          <w:b/>
          <w:bCs/>
          <w:color w:val="000000" w:themeColor="text1"/>
          <w:kern w:val="2"/>
          <w:highlight w:val="none"/>
          <w14:textFill>
            <w14:solidFill>
              <w14:schemeClr w14:val="tx1"/>
            </w14:solidFill>
          </w14:textFill>
        </w:rPr>
        <w:t>附件九：投标人认为需要提供的其他资料</w:t>
      </w:r>
    </w:p>
    <w:p>
      <w:pPr>
        <w:pStyle w:val="26"/>
        <w:spacing w:line="360" w:lineRule="auto"/>
        <w:jc w:val="both"/>
        <w:rPr>
          <w:rFonts w:cs="仿宋_GB2312"/>
          <w:b/>
          <w:bCs/>
          <w:color w:val="000000" w:themeColor="text1"/>
          <w:kern w:val="2"/>
          <w:highlight w:val="none"/>
          <w14:textFill>
            <w14:solidFill>
              <w14:schemeClr w14:val="tx1"/>
            </w14:solidFill>
          </w14:textFill>
        </w:rPr>
      </w:pPr>
    </w:p>
    <w:p>
      <w:pPr>
        <w:pStyle w:val="26"/>
        <w:spacing w:line="360" w:lineRule="auto"/>
        <w:jc w:val="both"/>
        <w:rPr>
          <w:rFonts w:cs="仿宋_GB2312"/>
          <w:b/>
          <w:bCs/>
          <w:color w:val="000000" w:themeColor="text1"/>
          <w:kern w:val="2"/>
          <w:highlight w:val="none"/>
          <w14:textFill>
            <w14:solidFill>
              <w14:schemeClr w14:val="tx1"/>
            </w14:solidFill>
          </w14:textFill>
        </w:rPr>
      </w:pPr>
    </w:p>
    <w:p>
      <w:pPr>
        <w:pStyle w:val="26"/>
        <w:spacing w:line="360" w:lineRule="auto"/>
        <w:jc w:val="both"/>
        <w:rPr>
          <w:rFonts w:cs="仿宋_GB2312"/>
          <w:b/>
          <w:bCs/>
          <w:color w:val="000000" w:themeColor="text1"/>
          <w:kern w:val="2"/>
          <w:highlight w:val="none"/>
          <w14:textFill>
            <w14:solidFill>
              <w14:schemeClr w14:val="tx1"/>
            </w14:solidFill>
          </w14:textFill>
        </w:rPr>
      </w:pPr>
    </w:p>
    <w:p>
      <w:pPr>
        <w:pStyle w:val="26"/>
        <w:spacing w:line="360" w:lineRule="auto"/>
        <w:jc w:val="both"/>
        <w:rPr>
          <w:rFonts w:cs="仿宋_GB2312"/>
          <w:b/>
          <w:bCs/>
          <w:color w:val="000000" w:themeColor="text1"/>
          <w:kern w:val="2"/>
          <w:highlight w:val="none"/>
          <w14:textFill>
            <w14:solidFill>
              <w14:schemeClr w14:val="tx1"/>
            </w14:solidFill>
          </w14:textFill>
        </w:rPr>
      </w:pPr>
    </w:p>
    <w:p>
      <w:pPr>
        <w:pStyle w:val="26"/>
        <w:spacing w:line="360" w:lineRule="auto"/>
        <w:jc w:val="both"/>
        <w:rPr>
          <w:rFonts w:cs="仿宋_GB2312"/>
          <w:b/>
          <w:bCs/>
          <w:color w:val="000000" w:themeColor="text1"/>
          <w:kern w:val="2"/>
          <w:highlight w:val="none"/>
          <w14:textFill>
            <w14:solidFill>
              <w14:schemeClr w14:val="tx1"/>
            </w14:solidFill>
          </w14:textFill>
        </w:rPr>
      </w:pPr>
    </w:p>
    <w:p>
      <w:pPr>
        <w:pStyle w:val="26"/>
        <w:spacing w:line="360" w:lineRule="auto"/>
        <w:jc w:val="both"/>
        <w:rPr>
          <w:rFonts w:cs="仿宋_GB2312"/>
          <w:b/>
          <w:bCs/>
          <w:color w:val="000000" w:themeColor="text1"/>
          <w:kern w:val="2"/>
          <w:highlight w:val="none"/>
          <w14:textFill>
            <w14:solidFill>
              <w14:schemeClr w14:val="tx1"/>
            </w14:solidFill>
          </w14:textFill>
        </w:rPr>
      </w:pPr>
    </w:p>
    <w:p>
      <w:pPr>
        <w:pStyle w:val="26"/>
        <w:spacing w:line="360" w:lineRule="auto"/>
        <w:jc w:val="both"/>
        <w:rPr>
          <w:rFonts w:cs="仿宋_GB2312"/>
          <w:b/>
          <w:bCs/>
          <w:color w:val="000000" w:themeColor="text1"/>
          <w:kern w:val="2"/>
          <w:highlight w:val="none"/>
          <w14:textFill>
            <w14:solidFill>
              <w14:schemeClr w14:val="tx1"/>
            </w14:solidFill>
          </w14:textFill>
        </w:rPr>
      </w:pPr>
    </w:p>
    <w:p>
      <w:pPr>
        <w:pStyle w:val="26"/>
        <w:spacing w:line="360" w:lineRule="auto"/>
        <w:jc w:val="both"/>
        <w:rPr>
          <w:rFonts w:cs="仿宋_GB2312"/>
          <w:b/>
          <w:bCs/>
          <w:color w:val="000000" w:themeColor="text1"/>
          <w:kern w:val="2"/>
          <w:highlight w:val="none"/>
          <w14:textFill>
            <w14:solidFill>
              <w14:schemeClr w14:val="tx1"/>
            </w14:solidFill>
          </w14:textFill>
        </w:rPr>
      </w:pPr>
    </w:p>
    <w:p>
      <w:pPr>
        <w:pStyle w:val="26"/>
        <w:spacing w:line="360" w:lineRule="auto"/>
        <w:jc w:val="both"/>
        <w:rPr>
          <w:rFonts w:cs="仿宋_GB2312"/>
          <w:b/>
          <w:bCs/>
          <w:color w:val="000000" w:themeColor="text1"/>
          <w:kern w:val="2"/>
          <w:highlight w:val="none"/>
          <w14:textFill>
            <w14:solidFill>
              <w14:schemeClr w14:val="tx1"/>
            </w14:solidFill>
          </w14:textFill>
        </w:rPr>
      </w:pPr>
    </w:p>
    <w:p>
      <w:pPr>
        <w:pStyle w:val="26"/>
        <w:spacing w:line="360" w:lineRule="auto"/>
        <w:jc w:val="both"/>
        <w:rPr>
          <w:rFonts w:cs="仿宋_GB2312"/>
          <w:b/>
          <w:bCs/>
          <w:color w:val="000000" w:themeColor="text1"/>
          <w:kern w:val="2"/>
          <w:highlight w:val="none"/>
          <w14:textFill>
            <w14:solidFill>
              <w14:schemeClr w14:val="tx1"/>
            </w14:solidFill>
          </w14:textFill>
        </w:rPr>
      </w:pPr>
    </w:p>
    <w:p>
      <w:pPr>
        <w:pStyle w:val="26"/>
        <w:spacing w:line="360" w:lineRule="auto"/>
        <w:jc w:val="both"/>
        <w:rPr>
          <w:rFonts w:cs="仿宋_GB2312"/>
          <w:b/>
          <w:bCs/>
          <w:color w:val="000000" w:themeColor="text1"/>
          <w:kern w:val="2"/>
          <w:highlight w:val="none"/>
          <w14:textFill>
            <w14:solidFill>
              <w14:schemeClr w14:val="tx1"/>
            </w14:solidFill>
          </w14:textFill>
        </w:rPr>
      </w:pPr>
    </w:p>
    <w:p>
      <w:pPr>
        <w:pStyle w:val="26"/>
        <w:spacing w:line="360" w:lineRule="auto"/>
        <w:jc w:val="both"/>
        <w:rPr>
          <w:rFonts w:cs="仿宋_GB2312"/>
          <w:b/>
          <w:bCs/>
          <w:color w:val="000000" w:themeColor="text1"/>
          <w:kern w:val="2"/>
          <w:highlight w:val="none"/>
          <w14:textFill>
            <w14:solidFill>
              <w14:schemeClr w14:val="tx1"/>
            </w14:solidFill>
          </w14:textFill>
        </w:rPr>
      </w:pPr>
    </w:p>
    <w:p>
      <w:pPr>
        <w:pStyle w:val="26"/>
        <w:spacing w:line="360" w:lineRule="auto"/>
        <w:jc w:val="both"/>
        <w:rPr>
          <w:rFonts w:cs="仿宋_GB2312"/>
          <w:b/>
          <w:bCs/>
          <w:color w:val="000000" w:themeColor="text1"/>
          <w:kern w:val="2"/>
          <w:highlight w:val="none"/>
          <w14:textFill>
            <w14:solidFill>
              <w14:schemeClr w14:val="tx1"/>
            </w14:solidFill>
          </w14:textFill>
        </w:rPr>
      </w:pPr>
    </w:p>
    <w:p>
      <w:pPr>
        <w:pStyle w:val="26"/>
        <w:spacing w:line="360" w:lineRule="auto"/>
        <w:jc w:val="both"/>
        <w:rPr>
          <w:rFonts w:cs="仿宋_GB2312"/>
          <w:b/>
          <w:bCs/>
          <w:color w:val="000000" w:themeColor="text1"/>
          <w:kern w:val="2"/>
          <w:highlight w:val="none"/>
          <w14:textFill>
            <w14:solidFill>
              <w14:schemeClr w14:val="tx1"/>
            </w14:solidFill>
          </w14:textFill>
        </w:rPr>
      </w:pPr>
    </w:p>
    <w:p>
      <w:pPr>
        <w:pStyle w:val="26"/>
        <w:spacing w:line="360" w:lineRule="auto"/>
        <w:jc w:val="both"/>
        <w:rPr>
          <w:rFonts w:cs="仿宋_GB2312"/>
          <w:b/>
          <w:bCs/>
          <w:color w:val="000000" w:themeColor="text1"/>
          <w:kern w:val="2"/>
          <w:highlight w:val="none"/>
          <w14:textFill>
            <w14:solidFill>
              <w14:schemeClr w14:val="tx1"/>
            </w14:solidFill>
          </w14:textFill>
        </w:rPr>
      </w:pPr>
    </w:p>
    <w:p>
      <w:pPr>
        <w:pStyle w:val="26"/>
        <w:spacing w:line="360" w:lineRule="auto"/>
        <w:jc w:val="both"/>
        <w:rPr>
          <w:rFonts w:cs="仿宋_GB2312"/>
          <w:b/>
          <w:bCs/>
          <w:color w:val="000000" w:themeColor="text1"/>
          <w:kern w:val="2"/>
          <w:highlight w:val="none"/>
          <w14:textFill>
            <w14:solidFill>
              <w14:schemeClr w14:val="tx1"/>
            </w14:solidFill>
          </w14:textFill>
        </w:rPr>
      </w:pPr>
    </w:p>
    <w:p>
      <w:pPr>
        <w:pStyle w:val="26"/>
        <w:spacing w:line="360" w:lineRule="auto"/>
        <w:jc w:val="both"/>
        <w:rPr>
          <w:rFonts w:cs="仿宋_GB2312"/>
          <w:b/>
          <w:bCs/>
          <w:color w:val="000000" w:themeColor="text1"/>
          <w:kern w:val="2"/>
          <w:highlight w:val="none"/>
          <w14:textFill>
            <w14:solidFill>
              <w14:schemeClr w14:val="tx1"/>
            </w14:solidFill>
          </w14:textFill>
        </w:rPr>
      </w:pPr>
    </w:p>
    <w:p>
      <w:pPr>
        <w:pStyle w:val="26"/>
        <w:spacing w:line="360" w:lineRule="auto"/>
        <w:jc w:val="both"/>
        <w:rPr>
          <w:rFonts w:cs="仿宋_GB2312"/>
          <w:b/>
          <w:bCs/>
          <w:color w:val="000000" w:themeColor="text1"/>
          <w:kern w:val="2"/>
          <w:highlight w:val="none"/>
          <w14:textFill>
            <w14:solidFill>
              <w14:schemeClr w14:val="tx1"/>
            </w14:solidFill>
          </w14:textFill>
        </w:rPr>
      </w:pPr>
    </w:p>
    <w:p>
      <w:pPr>
        <w:spacing w:line="360" w:lineRule="auto"/>
        <w:rPr>
          <w:rFonts w:ascii="宋体" w:hAnsi="宋体" w:cs="宋体-PUA"/>
          <w:b/>
          <w:color w:val="000000" w:themeColor="text1"/>
          <w:sz w:val="24"/>
          <w:highlight w:val="none"/>
          <w14:textFill>
            <w14:solidFill>
              <w14:schemeClr w14:val="tx1"/>
            </w14:solidFill>
          </w14:textFill>
        </w:rPr>
      </w:pPr>
      <w:r>
        <w:rPr>
          <w:rFonts w:hint="eastAsia" w:ascii="宋体" w:hAnsi="宋体" w:cs="宋体-PUA"/>
          <w:b/>
          <w:color w:val="000000" w:themeColor="text1"/>
          <w:sz w:val="24"/>
          <w:highlight w:val="none"/>
          <w14:textFill>
            <w14:solidFill>
              <w14:schemeClr w14:val="tx1"/>
            </w14:solidFill>
          </w14:textFill>
        </w:rPr>
        <w:t>附件十：商务文件封面</w:t>
      </w:r>
    </w:p>
    <w:p>
      <w:pPr>
        <w:spacing w:line="360" w:lineRule="auto"/>
        <w:rPr>
          <w:rFonts w:ascii="宋体" w:hAnsi="宋体" w:cs="宋体-PUA"/>
          <w:b/>
          <w:color w:val="000000" w:themeColor="text1"/>
          <w:sz w:val="44"/>
          <w:szCs w:val="44"/>
          <w:highlight w:val="none"/>
          <w14:textFill>
            <w14:solidFill>
              <w14:schemeClr w14:val="tx1"/>
            </w14:solidFill>
          </w14:textFill>
        </w:rPr>
      </w:pPr>
    </w:p>
    <w:p>
      <w:pPr>
        <w:spacing w:line="360" w:lineRule="auto"/>
        <w:jc w:val="center"/>
        <w:rPr>
          <w:rFonts w:ascii="宋体" w:hAnsi="宋体" w:cs="黑体"/>
          <w:b/>
          <w:bCs/>
          <w:color w:val="000000" w:themeColor="text1"/>
          <w:sz w:val="28"/>
          <w:szCs w:val="28"/>
          <w:highlight w:val="none"/>
          <w14:textFill>
            <w14:solidFill>
              <w14:schemeClr w14:val="tx1"/>
            </w14:solidFill>
          </w14:textFill>
        </w:rPr>
      </w:pPr>
    </w:p>
    <w:p>
      <w:pPr>
        <w:spacing w:line="360" w:lineRule="auto"/>
        <w:jc w:val="center"/>
        <w:rPr>
          <w:rFonts w:hint="eastAsia" w:ascii="宋体" w:hAnsi="宋体" w:cs="宋体-PUA"/>
          <w:b/>
          <w:color w:val="000000" w:themeColor="text1"/>
          <w:spacing w:val="-17"/>
          <w:sz w:val="44"/>
          <w:szCs w:val="44"/>
          <w:highlight w:val="none"/>
          <w14:textFill>
            <w14:solidFill>
              <w14:schemeClr w14:val="tx1"/>
            </w14:solidFill>
          </w14:textFill>
        </w:rPr>
      </w:pPr>
      <w:r>
        <w:rPr>
          <w:rFonts w:hint="eastAsia" w:ascii="宋体" w:hAnsi="宋体" w:cs="宋体-PUA"/>
          <w:b/>
          <w:color w:val="000000" w:themeColor="text1"/>
          <w:spacing w:val="-17"/>
          <w:sz w:val="44"/>
          <w:szCs w:val="44"/>
          <w:highlight w:val="none"/>
          <w14:textFill>
            <w14:solidFill>
              <w14:schemeClr w14:val="tx1"/>
            </w14:solidFill>
          </w14:textFill>
        </w:rPr>
        <w:t>柯城区百家塘片区</w:t>
      </w:r>
      <w:r>
        <w:rPr>
          <w:rFonts w:hint="eastAsia" w:ascii="宋体" w:hAnsi="宋体" w:cs="宋体-PUA"/>
          <w:b/>
          <w:color w:val="000000" w:themeColor="text1"/>
          <w:spacing w:val="-17"/>
          <w:sz w:val="44"/>
          <w:szCs w:val="44"/>
          <w:highlight w:val="none"/>
          <w:lang w:eastAsia="zh-CN"/>
          <w14:textFill>
            <w14:solidFill>
              <w14:schemeClr w14:val="tx1"/>
            </w14:solidFill>
          </w14:textFill>
        </w:rPr>
        <w:t>集体土地</w:t>
      </w:r>
      <w:r>
        <w:rPr>
          <w:rFonts w:hint="eastAsia" w:ascii="宋体" w:hAnsi="宋体" w:cs="宋体-PUA"/>
          <w:b/>
          <w:color w:val="000000" w:themeColor="text1"/>
          <w:spacing w:val="-17"/>
          <w:sz w:val="44"/>
          <w:szCs w:val="44"/>
          <w:highlight w:val="none"/>
          <w14:textFill>
            <w14:solidFill>
              <w14:schemeClr w14:val="tx1"/>
            </w14:solidFill>
          </w14:textFill>
        </w:rPr>
        <w:t>房屋征收评估服务</w:t>
      </w:r>
    </w:p>
    <w:p>
      <w:pPr>
        <w:spacing w:line="360" w:lineRule="auto"/>
        <w:jc w:val="center"/>
        <w:rPr>
          <w:rFonts w:ascii="宋体" w:hAnsi="宋体" w:cs="宋体-PUA"/>
          <w:b/>
          <w:color w:val="000000" w:themeColor="text1"/>
          <w:spacing w:val="-17"/>
          <w:sz w:val="44"/>
          <w:szCs w:val="44"/>
          <w:highlight w:val="none"/>
          <w14:textFill>
            <w14:solidFill>
              <w14:schemeClr w14:val="tx1"/>
            </w14:solidFill>
          </w14:textFill>
        </w:rPr>
      </w:pPr>
      <w:r>
        <w:rPr>
          <w:rFonts w:hint="eastAsia" w:ascii="宋体" w:hAnsi="宋体" w:cs="宋体-PUA"/>
          <w:b/>
          <w:color w:val="000000" w:themeColor="text1"/>
          <w:spacing w:val="-17"/>
          <w:sz w:val="44"/>
          <w:szCs w:val="44"/>
          <w:highlight w:val="none"/>
          <w14:textFill>
            <w14:solidFill>
              <w14:schemeClr w14:val="tx1"/>
            </w14:solidFill>
          </w14:textFill>
        </w:rPr>
        <w:t>采购项目</w:t>
      </w:r>
    </w:p>
    <w:p>
      <w:pPr>
        <w:spacing w:line="360" w:lineRule="auto"/>
        <w:jc w:val="center"/>
        <w:rPr>
          <w:rFonts w:ascii="宋体" w:hAnsi="宋体" w:cs="宋体-PUA"/>
          <w:b/>
          <w:color w:val="000000" w:themeColor="text1"/>
          <w:sz w:val="44"/>
          <w:szCs w:val="44"/>
          <w:highlight w:val="none"/>
          <w14:textFill>
            <w14:solidFill>
              <w14:schemeClr w14:val="tx1"/>
            </w14:solidFill>
          </w14:textFill>
        </w:rPr>
      </w:pPr>
    </w:p>
    <w:p>
      <w:pPr>
        <w:spacing w:line="360" w:lineRule="auto"/>
        <w:jc w:val="center"/>
        <w:rPr>
          <w:rFonts w:ascii="宋体" w:hAnsi="宋体" w:cs="宋体"/>
          <w:b/>
          <w:color w:val="000000" w:themeColor="text1"/>
          <w:kern w:val="0"/>
          <w:sz w:val="52"/>
          <w:szCs w:val="52"/>
          <w:highlight w:val="none"/>
          <w14:textFill>
            <w14:solidFill>
              <w14:schemeClr w14:val="tx1"/>
            </w14:solidFill>
          </w14:textFill>
        </w:rPr>
      </w:pPr>
    </w:p>
    <w:p>
      <w:pPr>
        <w:spacing w:line="360" w:lineRule="auto"/>
        <w:jc w:val="center"/>
        <w:rPr>
          <w:rFonts w:ascii="宋体" w:hAnsi="宋体" w:cs="宋体"/>
          <w:b/>
          <w:color w:val="000000" w:themeColor="text1"/>
          <w:kern w:val="0"/>
          <w:sz w:val="52"/>
          <w:szCs w:val="52"/>
          <w:highlight w:val="none"/>
          <w14:textFill>
            <w14:solidFill>
              <w14:schemeClr w14:val="tx1"/>
            </w14:solidFill>
          </w14:textFill>
        </w:rPr>
      </w:pPr>
      <w:r>
        <w:rPr>
          <w:rFonts w:hint="eastAsia" w:ascii="宋体" w:hAnsi="宋体" w:cs="宋体"/>
          <w:b/>
          <w:color w:val="000000" w:themeColor="text1"/>
          <w:kern w:val="0"/>
          <w:sz w:val="52"/>
          <w:szCs w:val="52"/>
          <w:highlight w:val="none"/>
          <w14:textFill>
            <w14:solidFill>
              <w14:schemeClr w14:val="tx1"/>
            </w14:solidFill>
          </w14:textFill>
        </w:rPr>
        <w:t>投标文件</w:t>
      </w:r>
    </w:p>
    <w:p>
      <w:pPr>
        <w:adjustRightInd w:val="0"/>
        <w:snapToGrid w:val="0"/>
        <w:spacing w:before="240" w:line="360" w:lineRule="auto"/>
        <w:jc w:val="center"/>
        <w:outlineLvl w:val="2"/>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（正本/副本）</w:t>
      </w:r>
    </w:p>
    <w:p>
      <w:pPr>
        <w:adjustRightInd w:val="0"/>
        <w:snapToGrid w:val="0"/>
        <w:spacing w:before="240" w:line="360" w:lineRule="auto"/>
        <w:jc w:val="center"/>
        <w:outlineLvl w:val="2"/>
        <w:rPr>
          <w:rFonts w:ascii="宋体" w:hAnsi="宋体" w:cs="宋体"/>
          <w:b/>
          <w:color w:val="000000" w:themeColor="text1"/>
          <w:kern w:val="0"/>
          <w:sz w:val="24"/>
          <w:highlight w:val="none"/>
          <w14:textFill>
            <w14:solidFill>
              <w14:schemeClr w14:val="tx1"/>
            </w14:solidFill>
          </w14:textFill>
        </w:rPr>
      </w:pPr>
    </w:p>
    <w:p>
      <w:pPr>
        <w:adjustRightInd w:val="0"/>
        <w:snapToGrid w:val="0"/>
        <w:spacing w:before="240" w:line="360" w:lineRule="auto"/>
        <w:outlineLvl w:val="2"/>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项目名称：</w:t>
      </w:r>
    </w:p>
    <w:p>
      <w:pPr>
        <w:adjustRightInd w:val="0"/>
        <w:snapToGrid w:val="0"/>
        <w:spacing w:before="240" w:line="360" w:lineRule="auto"/>
        <w:outlineLvl w:val="2"/>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投标文件内容：</w:t>
      </w:r>
      <w:r>
        <w:rPr>
          <w:rFonts w:hint="eastAsia" w:ascii="宋体" w:hAnsi="宋体" w:cs="宋体"/>
          <w:b/>
          <w:color w:val="000000" w:themeColor="text1"/>
          <w:kern w:val="0"/>
          <w:sz w:val="28"/>
          <w:szCs w:val="28"/>
          <w:highlight w:val="none"/>
          <w:u w:val="single"/>
          <w14:textFill>
            <w14:solidFill>
              <w14:schemeClr w14:val="tx1"/>
            </w14:solidFill>
          </w14:textFill>
        </w:rPr>
        <w:t xml:space="preserve">          （商务文件）                   </w:t>
      </w:r>
    </w:p>
    <w:p>
      <w:pPr>
        <w:adjustRightInd w:val="0"/>
        <w:snapToGrid w:val="0"/>
        <w:spacing w:before="240" w:line="360" w:lineRule="auto"/>
        <w:outlineLvl w:val="2"/>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投标单位：</w:t>
      </w:r>
      <w:r>
        <w:rPr>
          <w:rFonts w:hint="eastAsia" w:ascii="宋体" w:hAnsi="宋体" w:cs="宋体"/>
          <w:b/>
          <w:color w:val="000000" w:themeColor="text1"/>
          <w:kern w:val="0"/>
          <w:sz w:val="28"/>
          <w:szCs w:val="28"/>
          <w:highlight w:val="none"/>
          <w:u w:val="single"/>
          <w14:textFill>
            <w14:solidFill>
              <w14:schemeClr w14:val="tx1"/>
            </w14:solidFill>
          </w14:textFill>
        </w:rPr>
        <w:t xml:space="preserve">                                       (盖章) </w:t>
      </w:r>
    </w:p>
    <w:p>
      <w:pPr>
        <w:adjustRightInd w:val="0"/>
        <w:snapToGrid w:val="0"/>
        <w:spacing w:before="240" w:line="360" w:lineRule="auto"/>
        <w:outlineLvl w:val="2"/>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法定代表人：</w:t>
      </w:r>
      <w:r>
        <w:rPr>
          <w:rFonts w:hint="eastAsia" w:ascii="宋体" w:hAnsi="宋体" w:cs="宋体"/>
          <w:b/>
          <w:color w:val="000000" w:themeColor="text1"/>
          <w:kern w:val="0"/>
          <w:sz w:val="28"/>
          <w:szCs w:val="28"/>
          <w:highlight w:val="none"/>
          <w:u w:val="single"/>
          <w14:textFill>
            <w14:solidFill>
              <w14:schemeClr w14:val="tx1"/>
            </w14:solidFill>
          </w14:textFill>
        </w:rPr>
        <w:t xml:space="preserve">                                    （盖章）</w:t>
      </w:r>
    </w:p>
    <w:p>
      <w:pPr>
        <w:adjustRightInd w:val="0"/>
        <w:snapToGrid w:val="0"/>
        <w:spacing w:line="360" w:lineRule="auto"/>
        <w:ind w:right="480" w:firstLine="1240" w:firstLineChars="441"/>
        <w:rPr>
          <w:rFonts w:ascii="宋体" w:hAnsi="宋体" w:cs="宋体"/>
          <w:b/>
          <w:color w:val="000000" w:themeColor="text1"/>
          <w:kern w:val="0"/>
          <w:sz w:val="28"/>
          <w:szCs w:val="28"/>
          <w:highlight w:val="none"/>
          <w14:textFill>
            <w14:solidFill>
              <w14:schemeClr w14:val="tx1"/>
            </w14:solidFill>
          </w14:textFill>
        </w:rPr>
      </w:pPr>
    </w:p>
    <w:p>
      <w:pPr>
        <w:spacing w:line="360" w:lineRule="auto"/>
        <w:jc w:val="center"/>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日期： 年</w:t>
      </w:r>
      <w:r>
        <w:rPr>
          <w:rFonts w:hint="eastAsia" w:ascii="宋体" w:hAnsi="宋体" w:cs="宋体"/>
          <w:b/>
          <w:color w:val="000000" w:themeColor="text1"/>
          <w:kern w:val="0"/>
          <w:sz w:val="28"/>
          <w:szCs w:val="28"/>
          <w:highlight w:val="none"/>
          <w:lang w:val="en-US" w:eastAsia="zh-CN"/>
          <w14:textFill>
            <w14:solidFill>
              <w14:schemeClr w14:val="tx1"/>
            </w14:solidFill>
          </w14:textFill>
        </w:rPr>
        <w:t xml:space="preserve">  </w:t>
      </w:r>
      <w:r>
        <w:rPr>
          <w:rFonts w:hint="eastAsia" w:ascii="宋体" w:hAnsi="宋体" w:cs="宋体"/>
          <w:b/>
          <w:color w:val="000000" w:themeColor="text1"/>
          <w:kern w:val="0"/>
          <w:sz w:val="28"/>
          <w:szCs w:val="28"/>
          <w:highlight w:val="none"/>
          <w14:textFill>
            <w14:solidFill>
              <w14:schemeClr w14:val="tx1"/>
            </w14:solidFill>
          </w14:textFill>
        </w:rPr>
        <w:t>月</w:t>
      </w:r>
      <w:r>
        <w:rPr>
          <w:rFonts w:hint="eastAsia" w:ascii="宋体" w:hAnsi="宋体" w:cs="宋体"/>
          <w:b/>
          <w:color w:val="000000" w:themeColor="text1"/>
          <w:kern w:val="0"/>
          <w:sz w:val="28"/>
          <w:szCs w:val="28"/>
          <w:highlight w:val="none"/>
          <w:lang w:val="en-US" w:eastAsia="zh-CN"/>
          <w14:textFill>
            <w14:solidFill>
              <w14:schemeClr w14:val="tx1"/>
            </w14:solidFill>
          </w14:textFill>
        </w:rPr>
        <w:t xml:space="preserve">  </w:t>
      </w:r>
      <w:r>
        <w:rPr>
          <w:rFonts w:hint="eastAsia" w:ascii="宋体" w:hAnsi="宋体" w:cs="宋体"/>
          <w:b/>
          <w:color w:val="000000" w:themeColor="text1"/>
          <w:kern w:val="0"/>
          <w:sz w:val="28"/>
          <w:szCs w:val="28"/>
          <w:highlight w:val="none"/>
          <w14:textFill>
            <w14:solidFill>
              <w14:schemeClr w14:val="tx1"/>
            </w14:solidFill>
          </w14:textFill>
        </w:rPr>
        <w:t>日</w:t>
      </w:r>
    </w:p>
    <w:p>
      <w:pPr>
        <w:spacing w:line="360" w:lineRule="auto"/>
        <w:jc w:val="center"/>
        <w:rPr>
          <w:rFonts w:ascii="宋体" w:hAnsi="宋体" w:cs="宋体"/>
          <w:b/>
          <w:color w:val="000000" w:themeColor="text1"/>
          <w:kern w:val="0"/>
          <w:sz w:val="28"/>
          <w:szCs w:val="28"/>
          <w:highlight w:val="none"/>
          <w14:textFill>
            <w14:solidFill>
              <w14:schemeClr w14:val="tx1"/>
            </w14:solidFill>
          </w14:textFill>
        </w:rPr>
      </w:pPr>
    </w:p>
    <w:p>
      <w:pPr>
        <w:pStyle w:val="26"/>
        <w:spacing w:line="360" w:lineRule="auto"/>
        <w:jc w:val="both"/>
        <w:rPr>
          <w:rFonts w:hint="eastAsia" w:eastAsia="宋体" w:cs="仿宋_GB2312"/>
          <w:b/>
          <w:bCs/>
          <w:color w:val="000000" w:themeColor="text1"/>
          <w:kern w:val="2"/>
          <w:highlight w:val="none"/>
          <w:lang w:val="en-US" w:eastAsia="zh-CN"/>
          <w14:textFill>
            <w14:solidFill>
              <w14:schemeClr w14:val="tx1"/>
            </w14:solidFill>
          </w14:textFill>
        </w:rPr>
      </w:pPr>
      <w:r>
        <w:rPr>
          <w:rFonts w:hint="eastAsia" w:cs="仿宋_GB2312"/>
          <w:b/>
          <w:bCs/>
          <w:color w:val="000000" w:themeColor="text1"/>
          <w:kern w:val="2"/>
          <w:highlight w:val="none"/>
          <w:lang w:val="en-US" w:eastAsia="zh-CN"/>
          <w14:textFill>
            <w14:solidFill>
              <w14:schemeClr w14:val="tx1"/>
            </w14:solidFill>
          </w14:textFill>
        </w:rPr>
        <w:t xml:space="preserve"> </w:t>
      </w:r>
    </w:p>
    <w:p>
      <w:pPr>
        <w:spacing w:line="360" w:lineRule="auto"/>
        <w:rPr>
          <w:rFonts w:ascii="宋体" w:hAnsi="宋体" w:cs="宋体-PUA"/>
          <w:b/>
          <w:color w:val="000000" w:themeColor="text1"/>
          <w:sz w:val="24"/>
          <w:highlight w:val="none"/>
          <w14:textFill>
            <w14:solidFill>
              <w14:schemeClr w14:val="tx1"/>
            </w14:solidFill>
          </w14:textFill>
        </w:rPr>
      </w:pPr>
      <w:r>
        <w:rPr>
          <w:rFonts w:hint="eastAsia" w:ascii="宋体" w:hAnsi="宋体" w:cs="宋体-PUA"/>
          <w:b/>
          <w:color w:val="000000" w:themeColor="text1"/>
          <w:sz w:val="24"/>
          <w:highlight w:val="none"/>
          <w14:textFill>
            <w14:solidFill>
              <w14:schemeClr w14:val="tx1"/>
            </w14:solidFill>
          </w14:textFill>
        </w:rPr>
        <w:t>附件十一：投标函</w:t>
      </w:r>
    </w:p>
    <w:p>
      <w:pPr>
        <w:spacing w:line="400" w:lineRule="exact"/>
        <w:jc w:val="center"/>
        <w:rPr>
          <w:rFonts w:ascii="宋体" w:hAnsi="宋体" w:cs="宋体-PUA"/>
          <w:b/>
          <w:color w:val="000000" w:themeColor="text1"/>
          <w:sz w:val="28"/>
          <w:szCs w:val="28"/>
          <w:highlight w:val="none"/>
          <w14:textFill>
            <w14:solidFill>
              <w14:schemeClr w14:val="tx1"/>
            </w14:solidFill>
          </w14:textFill>
        </w:rPr>
      </w:pPr>
    </w:p>
    <w:p>
      <w:pPr>
        <w:spacing w:line="400" w:lineRule="exact"/>
        <w:jc w:val="center"/>
        <w:rPr>
          <w:rFonts w:ascii="宋体" w:hAnsi="宋体" w:cs="宋体-PUA"/>
          <w:b/>
          <w:color w:val="000000" w:themeColor="text1"/>
          <w:sz w:val="28"/>
          <w:szCs w:val="28"/>
          <w:highlight w:val="none"/>
          <w14:textFill>
            <w14:solidFill>
              <w14:schemeClr w14:val="tx1"/>
            </w14:solidFill>
          </w14:textFill>
        </w:rPr>
      </w:pPr>
      <w:r>
        <w:rPr>
          <w:rFonts w:hint="eastAsia" w:ascii="宋体" w:hAnsi="宋体" w:cs="宋体-PUA"/>
          <w:b/>
          <w:color w:val="000000" w:themeColor="text1"/>
          <w:sz w:val="28"/>
          <w:szCs w:val="28"/>
          <w:highlight w:val="none"/>
          <w14:textFill>
            <w14:solidFill>
              <w14:schemeClr w14:val="tx1"/>
            </w14:solidFill>
          </w14:textFill>
        </w:rPr>
        <w:t xml:space="preserve"> 投标函</w:t>
      </w:r>
    </w:p>
    <w:p>
      <w:pPr>
        <w:spacing w:line="400" w:lineRule="exact"/>
        <w:ind w:firstLine="480" w:firstLineChars="200"/>
        <w:rPr>
          <w:rFonts w:ascii="宋体" w:hAnsi="宋体" w:cs="宋体-PUA"/>
          <w:bCs/>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致：衢州市柯城区双港街道办事处</w:t>
      </w:r>
    </w:p>
    <w:p>
      <w:pPr>
        <w:spacing w:line="360" w:lineRule="auto"/>
        <w:ind w:firstLine="496" w:firstLineChars="200"/>
        <w:rPr>
          <w:rFonts w:ascii="宋体" w:hAnsi="宋体" w:cs="宋体-PUA"/>
          <w:color w:val="000000" w:themeColor="text1"/>
          <w:spacing w:val="4"/>
          <w:sz w:val="24"/>
          <w:highlight w:val="none"/>
          <w:u w:val="single"/>
          <w14:textFill>
            <w14:solidFill>
              <w14:schemeClr w14:val="tx1"/>
            </w14:solidFill>
          </w14:textFill>
        </w:rPr>
      </w:pPr>
      <w:r>
        <w:rPr>
          <w:rFonts w:hint="eastAsia" w:ascii="宋体" w:hAnsi="宋体" w:cs="宋体-PUA"/>
          <w:color w:val="000000" w:themeColor="text1"/>
          <w:spacing w:val="4"/>
          <w:sz w:val="24"/>
          <w:highlight w:val="none"/>
          <w14:textFill>
            <w14:solidFill>
              <w14:schemeClr w14:val="tx1"/>
            </w14:solidFill>
          </w14:textFill>
        </w:rPr>
        <w:t>根据贵方为项目（项目编号：）的采购文件，遵照《中华人民共和国招标投标法》等有关规定，经踏勘项目现场和研究本项目采购文件的投标须知、合同条款及其他有关文件后，我方愿以本投标函向你方发包的</w:t>
      </w:r>
      <w:r>
        <w:rPr>
          <w:rFonts w:hint="eastAsia" w:ascii="宋体" w:hAnsi="宋体" w:cs="宋体-PUA"/>
          <w:color w:val="000000" w:themeColor="text1"/>
          <w:spacing w:val="4"/>
          <w:sz w:val="24"/>
          <w:highlight w:val="none"/>
          <w:u w:val="single"/>
          <w14:textFill>
            <w14:solidFill>
              <w14:schemeClr w14:val="tx1"/>
            </w14:solidFill>
          </w14:textFill>
        </w:rPr>
        <w:t xml:space="preserve">                      （项目名称）</w:t>
      </w:r>
      <w:r>
        <w:rPr>
          <w:rFonts w:hint="eastAsia" w:ascii="宋体" w:hAnsi="宋体" w:cs="宋体-PUA"/>
          <w:color w:val="000000" w:themeColor="text1"/>
          <w:spacing w:val="4"/>
          <w:sz w:val="24"/>
          <w:highlight w:val="none"/>
          <w14:textFill>
            <w14:solidFill>
              <w14:schemeClr w14:val="tx1"/>
            </w14:solidFill>
          </w14:textFill>
        </w:rPr>
        <w:t>项目全部内容进行投标。投标征收评估服务费</w:t>
      </w:r>
      <w:r>
        <w:rPr>
          <w:rFonts w:hint="eastAsia" w:ascii="宋体" w:hAnsi="宋体" w:cs="宋体"/>
          <w:color w:val="000000" w:themeColor="text1"/>
          <w:spacing w:val="4"/>
          <w:kern w:val="0"/>
          <w:sz w:val="24"/>
          <w:highlight w:val="none"/>
          <w14:textFill>
            <w14:solidFill>
              <w14:schemeClr w14:val="tx1"/>
            </w14:solidFill>
          </w14:textFill>
        </w:rPr>
        <w:t>投标单价</w:t>
      </w:r>
      <w:r>
        <w:rPr>
          <w:rFonts w:hint="eastAsia" w:ascii="宋体" w:hAnsi="宋体" w:cs="宋体-PUA"/>
          <w:color w:val="000000" w:themeColor="text1"/>
          <w:spacing w:val="4"/>
          <w:sz w:val="24"/>
          <w:highlight w:val="none"/>
          <w14:textFill>
            <w14:solidFill>
              <w14:schemeClr w14:val="tx1"/>
            </w14:solidFill>
          </w14:textFill>
        </w:rPr>
        <w:t>报价为人民币(大写)</w:t>
      </w:r>
      <w:r>
        <w:rPr>
          <w:rFonts w:hint="eastAsia" w:ascii="宋体" w:hAnsi="宋体" w:cs="宋体-PUA"/>
          <w:color w:val="000000" w:themeColor="text1"/>
          <w:spacing w:val="4"/>
          <w:sz w:val="24"/>
          <w:highlight w:val="none"/>
          <w:u w:val="single"/>
          <w14:textFill>
            <w14:solidFill>
              <w14:schemeClr w14:val="tx1"/>
            </w14:solidFill>
          </w14:textFill>
        </w:rPr>
        <w:t xml:space="preserve">                  </w:t>
      </w:r>
      <w:r>
        <w:rPr>
          <w:rFonts w:hint="eastAsia" w:ascii="宋体" w:hAnsi="宋体" w:cs="宋体-PUA"/>
          <w:color w:val="000000" w:themeColor="text1"/>
          <w:spacing w:val="4"/>
          <w:sz w:val="24"/>
          <w:highlight w:val="none"/>
          <w14:textFill>
            <w14:solidFill>
              <w14:schemeClr w14:val="tx1"/>
            </w14:solidFill>
          </w14:textFill>
        </w:rPr>
        <w:t xml:space="preserve"> (￥：</w:t>
      </w:r>
      <w:r>
        <w:rPr>
          <w:rFonts w:hint="eastAsia" w:ascii="宋体" w:hAnsi="宋体" w:cs="宋体-PUA"/>
          <w:color w:val="000000" w:themeColor="text1"/>
          <w:spacing w:val="4"/>
          <w:sz w:val="24"/>
          <w:highlight w:val="none"/>
          <w:u w:val="single"/>
          <w14:textFill>
            <w14:solidFill>
              <w14:schemeClr w14:val="tx1"/>
            </w14:solidFill>
          </w14:textFill>
        </w:rPr>
        <w:t xml:space="preserve">         </w:t>
      </w:r>
      <w:r>
        <w:rPr>
          <w:rFonts w:hint="eastAsia" w:ascii="宋体" w:hAnsi="宋体" w:cs="宋体-PUA"/>
          <w:color w:val="000000" w:themeColor="text1"/>
          <w:spacing w:val="4"/>
          <w:sz w:val="24"/>
          <w:highlight w:val="none"/>
          <w14:textFill>
            <w14:solidFill>
              <w14:schemeClr w14:val="tx1"/>
            </w14:solidFill>
          </w14:textFill>
        </w:rPr>
        <w:t>元/㎡)；</w:t>
      </w:r>
      <w:r>
        <w:rPr>
          <w:rFonts w:hint="eastAsia" w:ascii="宋体" w:hAnsi="宋体" w:cs="宋体"/>
          <w:color w:val="000000" w:themeColor="text1"/>
          <w:spacing w:val="4"/>
          <w:kern w:val="0"/>
          <w:sz w:val="24"/>
          <w:highlight w:val="none"/>
          <w14:textFill>
            <w14:solidFill>
              <w14:schemeClr w14:val="tx1"/>
            </w14:solidFill>
          </w14:textFill>
        </w:rPr>
        <w:t>投标征收评估房屋建筑总面积以</w:t>
      </w:r>
      <w:r>
        <w:rPr>
          <w:rFonts w:hint="eastAsia" w:ascii="宋体" w:hAnsi="宋体" w:cs="宋体"/>
          <w:color w:val="000000" w:themeColor="text1"/>
          <w:spacing w:val="4"/>
          <w:kern w:val="0"/>
          <w:sz w:val="24"/>
          <w:highlight w:val="none"/>
          <w:u w:val="single"/>
          <w14:textFill>
            <w14:solidFill>
              <w14:schemeClr w14:val="tx1"/>
            </w14:solidFill>
          </w14:textFill>
        </w:rPr>
        <w:t xml:space="preserve">            </w:t>
      </w:r>
      <w:r>
        <w:rPr>
          <w:rFonts w:hint="eastAsia" w:ascii="宋体" w:hAnsi="宋体" w:cs="宋体"/>
          <w:color w:val="000000" w:themeColor="text1"/>
          <w:spacing w:val="4"/>
          <w:kern w:val="0"/>
          <w:sz w:val="24"/>
          <w:highlight w:val="none"/>
          <w14:textFill>
            <w14:solidFill>
              <w14:schemeClr w14:val="tx1"/>
            </w14:solidFill>
          </w14:textFill>
        </w:rPr>
        <w:t>万平方米计，共</w:t>
      </w:r>
      <w:r>
        <w:rPr>
          <w:rFonts w:hint="eastAsia" w:ascii="宋体" w:hAnsi="宋体" w:cs="宋体"/>
          <w:color w:val="000000" w:themeColor="text1"/>
          <w:spacing w:val="4"/>
          <w:sz w:val="24"/>
          <w:highlight w:val="none"/>
          <w14:textFill>
            <w14:solidFill>
              <w14:schemeClr w14:val="tx1"/>
            </w14:solidFill>
          </w14:textFill>
        </w:rPr>
        <w:t>人民币</w:t>
      </w:r>
      <w:r>
        <w:rPr>
          <w:rFonts w:hint="eastAsia" w:ascii="宋体" w:hAnsi="宋体" w:cs="宋体-PUA"/>
          <w:color w:val="000000" w:themeColor="text1"/>
          <w:spacing w:val="4"/>
          <w:sz w:val="24"/>
          <w:highlight w:val="none"/>
          <w14:textFill>
            <w14:solidFill>
              <w14:schemeClr w14:val="tx1"/>
            </w14:solidFill>
          </w14:textFill>
        </w:rPr>
        <w:t xml:space="preserve"> (大写)</w:t>
      </w:r>
      <w:r>
        <w:rPr>
          <w:rFonts w:hint="eastAsia" w:ascii="宋体" w:hAnsi="宋体" w:cs="宋体-PUA"/>
          <w:color w:val="000000" w:themeColor="text1"/>
          <w:spacing w:val="4"/>
          <w:sz w:val="24"/>
          <w:highlight w:val="none"/>
          <w:u w:val="single"/>
          <w14:textFill>
            <w14:solidFill>
              <w14:schemeClr w14:val="tx1"/>
            </w14:solidFill>
          </w14:textFill>
        </w:rPr>
        <w:t xml:space="preserve">             </w:t>
      </w:r>
      <w:r>
        <w:rPr>
          <w:rFonts w:hint="eastAsia" w:ascii="宋体" w:hAnsi="宋体" w:cs="宋体-PUA"/>
          <w:color w:val="000000" w:themeColor="text1"/>
          <w:spacing w:val="4"/>
          <w:sz w:val="24"/>
          <w:highlight w:val="none"/>
          <w14:textFill>
            <w14:solidFill>
              <w14:schemeClr w14:val="tx1"/>
            </w14:solidFill>
          </w14:textFill>
        </w:rPr>
        <w:t>(￥：</w:t>
      </w:r>
      <w:r>
        <w:rPr>
          <w:rFonts w:hint="eastAsia" w:ascii="宋体" w:hAnsi="宋体" w:cs="宋体-PUA"/>
          <w:color w:val="000000" w:themeColor="text1"/>
          <w:spacing w:val="4"/>
          <w:sz w:val="24"/>
          <w:highlight w:val="none"/>
          <w:u w:val="single"/>
          <w14:textFill>
            <w14:solidFill>
              <w14:schemeClr w14:val="tx1"/>
            </w14:solidFill>
          </w14:textFill>
        </w:rPr>
        <w:t xml:space="preserve">       </w:t>
      </w:r>
      <w:r>
        <w:rPr>
          <w:rFonts w:hint="eastAsia" w:ascii="宋体" w:hAnsi="宋体" w:cs="宋体-PUA"/>
          <w:color w:val="000000" w:themeColor="text1"/>
          <w:spacing w:val="4"/>
          <w:sz w:val="24"/>
          <w:highlight w:val="none"/>
          <w14:textFill>
            <w14:solidFill>
              <w14:schemeClr w14:val="tx1"/>
            </w14:solidFill>
          </w14:textFill>
        </w:rPr>
        <w:t>元)</w:t>
      </w:r>
      <w:r>
        <w:rPr>
          <w:rFonts w:hint="eastAsia" w:ascii="宋体" w:hAnsi="宋体" w:cs="宋体"/>
          <w:color w:val="000000" w:themeColor="text1"/>
          <w:spacing w:val="4"/>
          <w:sz w:val="24"/>
          <w:highlight w:val="none"/>
          <w14:textFill>
            <w14:solidFill>
              <w14:schemeClr w14:val="tx1"/>
            </w14:solidFill>
          </w14:textFill>
        </w:rPr>
        <w:t>，</w:t>
      </w:r>
      <w:r>
        <w:rPr>
          <w:rFonts w:hint="eastAsia" w:ascii="宋体" w:hAnsi="宋体" w:cs="宋体-PUA"/>
          <w:b/>
          <w:bCs/>
          <w:color w:val="000000" w:themeColor="text1"/>
          <w:sz w:val="24"/>
          <w:highlight w:val="none"/>
          <w14:textFill>
            <w14:solidFill>
              <w14:schemeClr w14:val="tx1"/>
            </w14:solidFill>
          </w14:textFill>
        </w:rPr>
        <w:t>最终服务费金额</w:t>
      </w:r>
      <w:r>
        <w:rPr>
          <w:rFonts w:hint="eastAsia" w:hAnsi="宋体"/>
          <w:b/>
          <w:bCs/>
          <w:color w:val="000000" w:themeColor="text1"/>
          <w:sz w:val="24"/>
          <w:szCs w:val="24"/>
          <w:highlight w:val="none"/>
          <w:lang w:eastAsia="zh-CN"/>
          <w14:textFill>
            <w14:solidFill>
              <w14:schemeClr w14:val="tx1"/>
            </w14:solidFill>
          </w14:textFill>
        </w:rPr>
        <w:t>以中标单价</w:t>
      </w:r>
      <w:r>
        <w:rPr>
          <w:rFonts w:hint="eastAsia" w:hAnsi="宋体"/>
          <w:b/>
          <w:bCs/>
          <w:color w:val="000000" w:themeColor="text1"/>
          <w:sz w:val="24"/>
          <w:szCs w:val="24"/>
          <w:highlight w:val="none"/>
          <w:lang w:val="en-US" w:eastAsia="zh-CN"/>
          <w14:textFill>
            <w14:solidFill>
              <w14:schemeClr w14:val="tx1"/>
            </w14:solidFill>
          </w14:textFill>
        </w:rPr>
        <w:t>×</w:t>
      </w:r>
      <w:r>
        <w:rPr>
          <w:rFonts w:hint="eastAsia" w:ascii="宋体" w:hAnsi="宋体" w:cs="宋体-PUA"/>
          <w:b/>
          <w:bCs/>
          <w:color w:val="000000" w:themeColor="text1"/>
          <w:sz w:val="24"/>
          <w:highlight w:val="none"/>
          <w:lang w:eastAsia="zh-CN"/>
          <w14:textFill>
            <w14:solidFill>
              <w14:schemeClr w14:val="tx1"/>
            </w14:solidFill>
          </w14:textFill>
        </w:rPr>
        <w:t>实际协议签订并经甲方审核确定的</w:t>
      </w:r>
      <w:r>
        <w:rPr>
          <w:rFonts w:hint="eastAsia" w:ascii="宋体" w:hAnsi="宋体" w:cs="宋体-PUA"/>
          <w:b/>
          <w:bCs/>
          <w:color w:val="000000" w:themeColor="text1"/>
          <w:sz w:val="24"/>
          <w:highlight w:val="none"/>
          <w14:textFill>
            <w14:solidFill>
              <w14:schemeClr w14:val="tx1"/>
            </w14:solidFill>
          </w14:textFill>
        </w:rPr>
        <w:t>面积为</w:t>
      </w:r>
      <w:r>
        <w:rPr>
          <w:rFonts w:hint="eastAsia" w:ascii="宋体" w:hAnsi="宋体" w:cs="宋体-PUA"/>
          <w:b/>
          <w:bCs/>
          <w:color w:val="000000" w:themeColor="text1"/>
          <w:sz w:val="24"/>
          <w:highlight w:val="none"/>
          <w:lang w:eastAsia="zh-CN"/>
          <w14:textFill>
            <w14:solidFill>
              <w14:schemeClr w14:val="tx1"/>
            </w14:solidFill>
          </w14:textFill>
        </w:rPr>
        <w:t>准</w:t>
      </w:r>
      <w:r>
        <w:rPr>
          <w:rFonts w:hint="eastAsia" w:ascii="宋体" w:hAnsi="宋体" w:cs="宋体-PUA"/>
          <w:b/>
          <w:bCs/>
          <w:color w:val="000000" w:themeColor="text1"/>
          <w:sz w:val="24"/>
          <w:highlight w:val="none"/>
          <w14:textFill>
            <w14:solidFill>
              <w14:schemeClr w14:val="tx1"/>
            </w14:solidFill>
          </w14:textFill>
        </w:rPr>
        <w:t>，</w:t>
      </w:r>
      <w:r>
        <w:rPr>
          <w:rFonts w:hint="eastAsia" w:ascii="宋体" w:hAnsi="宋体" w:cs="宋体-PUA"/>
          <w:b/>
          <w:bCs/>
          <w:color w:val="000000" w:themeColor="text1"/>
          <w:sz w:val="24"/>
          <w:highlight w:val="none"/>
          <w:lang w:eastAsia="zh-CN"/>
          <w14:textFill>
            <w14:solidFill>
              <w14:schemeClr w14:val="tx1"/>
            </w14:solidFill>
          </w14:textFill>
        </w:rPr>
        <w:t>安置房评估不另行计费，</w:t>
      </w:r>
      <w:r>
        <w:rPr>
          <w:rFonts w:hint="eastAsia" w:ascii="宋体" w:hAnsi="宋体" w:cs="宋体"/>
          <w:color w:val="000000" w:themeColor="text1"/>
          <w:spacing w:val="4"/>
          <w:sz w:val="24"/>
          <w:highlight w:val="none"/>
          <w14:textFill>
            <w14:solidFill>
              <w14:schemeClr w14:val="tx1"/>
            </w14:solidFill>
          </w14:textFill>
        </w:rPr>
        <w:t>工期</w:t>
      </w:r>
      <w:r>
        <w:rPr>
          <w:rFonts w:hint="eastAsia" w:ascii="宋体" w:hAnsi="宋体" w:cs="宋体"/>
          <w:color w:val="000000" w:themeColor="text1"/>
          <w:spacing w:val="4"/>
          <w:sz w:val="24"/>
          <w:highlight w:val="none"/>
          <w:u w:val="single"/>
          <w14:textFill>
            <w14:solidFill>
              <w14:schemeClr w14:val="tx1"/>
            </w14:solidFill>
          </w14:textFill>
        </w:rPr>
        <w:t xml:space="preserve">             </w:t>
      </w:r>
      <w:r>
        <w:rPr>
          <w:rFonts w:hint="eastAsia" w:ascii="宋体" w:hAnsi="宋体" w:cs="宋体"/>
          <w:color w:val="000000" w:themeColor="text1"/>
          <w:spacing w:val="4"/>
          <w:sz w:val="24"/>
          <w:highlight w:val="none"/>
          <w14:textFill>
            <w14:solidFill>
              <w14:schemeClr w14:val="tx1"/>
            </w14:solidFill>
          </w14:textFill>
        </w:rPr>
        <w:t>。</w:t>
      </w:r>
    </w:p>
    <w:p>
      <w:pPr>
        <w:spacing w:line="420" w:lineRule="exact"/>
        <w:ind w:firstLine="480" w:firstLineChars="200"/>
        <w:rPr>
          <w:rFonts w:ascii="宋体" w:hAnsi="宋体" w:cs="宋体-PUA"/>
          <w:bCs/>
          <w:color w:val="000000" w:themeColor="text1"/>
          <w:sz w:val="24"/>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1、投标报价是包括在承包区域内所提供服务及其他相关服务所需的一切人员工资、奖金、服装费、加班费、夜餐费、住宿费、工具设备与物料消耗费（合同规定由采购人提供的除外）、各种保险、管理费用、税费、代理服务费、完成合同所需的一切本身和不可或缺的所有工作开支、政策性文件规定即合同包含的所有风险、责任等各项全部费用并承担一切风险责任。在合同服务期间内不得违反国家相关政策规定。</w:t>
      </w:r>
    </w:p>
    <w:p>
      <w:pPr>
        <w:spacing w:line="420" w:lineRule="exact"/>
        <w:ind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2、我方已详细审核全部采购文件，包括修改文件及有关附件。</w:t>
      </w:r>
    </w:p>
    <w:p>
      <w:pPr>
        <w:spacing w:line="420" w:lineRule="exact"/>
        <w:ind w:firstLine="482" w:firstLineChars="200"/>
        <w:rPr>
          <w:rFonts w:ascii="宋体" w:hAnsi="宋体" w:cs="宋体-PUA"/>
          <w:b/>
          <w:bCs/>
          <w:color w:val="000000" w:themeColor="text1"/>
          <w:sz w:val="24"/>
          <w:highlight w:val="none"/>
          <w14:textFill>
            <w14:solidFill>
              <w14:schemeClr w14:val="tx1"/>
            </w14:solidFill>
          </w14:textFill>
        </w:rPr>
      </w:pPr>
      <w:r>
        <w:rPr>
          <w:rFonts w:hint="eastAsia" w:ascii="宋体" w:hAnsi="宋体" w:cs="宋体-PUA"/>
          <w:b/>
          <w:bCs/>
          <w:color w:val="000000" w:themeColor="text1"/>
          <w:sz w:val="24"/>
          <w:highlight w:val="none"/>
          <w14:textFill>
            <w14:solidFill>
              <w14:schemeClr w14:val="tx1"/>
            </w14:solidFill>
          </w14:textFill>
        </w:rPr>
        <w:t>3、我方负责本项目的项目负责人是</w:t>
      </w:r>
      <w:r>
        <w:rPr>
          <w:rFonts w:hint="eastAsia" w:ascii="宋体" w:hAnsi="宋体" w:cs="宋体-PUA"/>
          <w:b/>
          <w:bCs/>
          <w:color w:val="000000" w:themeColor="text1"/>
          <w:sz w:val="24"/>
          <w:highlight w:val="none"/>
          <w:u w:val="single"/>
          <w14:textFill>
            <w14:solidFill>
              <w14:schemeClr w14:val="tx1"/>
            </w14:solidFill>
          </w14:textFill>
        </w:rPr>
        <w:t xml:space="preserve">           </w:t>
      </w:r>
      <w:r>
        <w:rPr>
          <w:rFonts w:hint="eastAsia" w:ascii="宋体" w:hAnsi="宋体" w:cs="宋体-PUA"/>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项目班子成员</w:t>
      </w:r>
      <w:r>
        <w:rPr>
          <w:rFonts w:hint="eastAsia"/>
          <w:b/>
          <w:bCs/>
          <w:color w:val="000000" w:themeColor="text1"/>
          <w:sz w:val="24"/>
          <w:highlight w:val="none"/>
          <w:u w:val="single"/>
          <w14:textFill>
            <w14:solidFill>
              <w14:schemeClr w14:val="tx1"/>
            </w14:solidFill>
          </w14:textFill>
        </w:rPr>
        <w:t xml:space="preserve">     </w:t>
      </w:r>
      <w:r>
        <w:rPr>
          <w:rFonts w:hint="eastAsia"/>
          <w:b/>
          <w:color w:val="000000" w:themeColor="text1"/>
          <w:sz w:val="24"/>
          <w:highlight w:val="none"/>
          <w14:textFill>
            <w14:solidFill>
              <w14:schemeClr w14:val="tx1"/>
            </w14:solidFill>
          </w14:textFill>
        </w:rPr>
        <w:t>人</w:t>
      </w:r>
      <w:r>
        <w:rPr>
          <w:rFonts w:hint="eastAsia" w:ascii="宋体" w:hAnsi="宋体" w:cs="宋体-PUA"/>
          <w:b/>
          <w:bCs/>
          <w:color w:val="000000" w:themeColor="text1"/>
          <w:sz w:val="24"/>
          <w:highlight w:val="none"/>
          <w14:textFill>
            <w14:solidFill>
              <w14:schemeClr w14:val="tx1"/>
            </w14:solidFill>
          </w14:textFill>
        </w:rPr>
        <w:t>。</w:t>
      </w:r>
    </w:p>
    <w:p>
      <w:pPr>
        <w:spacing w:line="420" w:lineRule="exact"/>
        <w:ind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4、现就有关事项向贵方郑重承诺如下：</w:t>
      </w:r>
    </w:p>
    <w:p>
      <w:pPr>
        <w:spacing w:line="420" w:lineRule="exact"/>
        <w:ind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（1）遵守中华人民共和国有关招标投标的法律法规规定，自觉维护市场秩序。若有违反，我方同意被否决投标并接受处罚。</w:t>
      </w:r>
    </w:p>
    <w:p>
      <w:pPr>
        <w:spacing w:line="420" w:lineRule="exact"/>
        <w:ind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（2）我方接受招标文件全部内容，若有违反，我方同意被否决投标并接受处罚。</w:t>
      </w:r>
    </w:p>
    <w:p>
      <w:pPr>
        <w:spacing w:line="420" w:lineRule="exact"/>
        <w:ind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（3）我方保证投标文件内容无任何虚假。若评标过程中被查出有虚假，同意你方作否决投标处理；若中标之后被查出有虚假，同意你方取消我方中标资格，我方承担由此引起的全部法律责任和经济责任。</w:t>
      </w:r>
    </w:p>
    <w:p>
      <w:pPr>
        <w:spacing w:line="420" w:lineRule="exact"/>
        <w:ind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（4）我方保证按照招标文件及中标通知书规定商签服务合同。</w:t>
      </w:r>
    </w:p>
    <w:p>
      <w:pPr>
        <w:spacing w:line="420" w:lineRule="exact"/>
        <w:ind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（5）我方保证按照合同约定完成合同范围内的全部内容。如有违反，同意接受你方对我方的违诺处罚。</w:t>
      </w:r>
    </w:p>
    <w:p>
      <w:pPr>
        <w:spacing w:line="420" w:lineRule="exact"/>
        <w:ind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（6）我方保证中标之后不转包、不挂靠，若分包将须征得你方同意并遵守相关法律、法规的规定。</w:t>
      </w:r>
    </w:p>
    <w:p>
      <w:pPr>
        <w:spacing w:line="420" w:lineRule="exact"/>
        <w:ind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（7）我方保证中标之后按投标文件承诺在各个阶段向服务项目派驻技术人员协助你方工作，如有违反，同意接受违约处罚。</w:t>
      </w:r>
    </w:p>
    <w:p>
      <w:pPr>
        <w:spacing w:line="420" w:lineRule="exact"/>
        <w:ind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（8）我方保证针对于本项目成立专职常驻的项目组，项目组成员仅为本项目服务，项目组的主要岗位负责人员必须具备充分履行合同义务的经验、资格和能力。</w:t>
      </w:r>
    </w:p>
    <w:p>
      <w:pPr>
        <w:spacing w:line="420" w:lineRule="exact"/>
        <w:ind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（9）我方保证项目组尽职、稳定地进行工作，派出的所有服务人员遵守你方的相关规定，并确保在合同期间拥有必需的设备、人员、资金、材料、资源及知识产权的所有权或使用权，如有违反，同意接受处罚。</w:t>
      </w:r>
    </w:p>
    <w:p>
      <w:pPr>
        <w:spacing w:line="420" w:lineRule="exact"/>
        <w:ind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（10）我方保证根据你方的要求撤换不称职的项目组成员，由此而产生的所有费用及任何损害赔偿和责任均由我方自行负责。</w:t>
      </w:r>
    </w:p>
    <w:p>
      <w:pPr>
        <w:spacing w:line="420" w:lineRule="exact"/>
        <w:ind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（11）我方保证中标之后密切配合你方开展工作，主动积极配合你方的工作。</w:t>
      </w:r>
    </w:p>
    <w:p>
      <w:pPr>
        <w:spacing w:line="420" w:lineRule="exact"/>
        <w:ind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（12）我方同意所提交的投标文件在采购文件规定的投标有效期内有效，在此期间内如果中标，我方将受此约束。</w:t>
      </w:r>
    </w:p>
    <w:p>
      <w:pPr>
        <w:spacing w:line="420" w:lineRule="exact"/>
        <w:ind w:firstLine="480" w:firstLineChars="20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5、除非另外达成协议并生效，你方的中标通知书和本投标文件将成为约束双方的合同文件的组成部分。</w:t>
      </w:r>
    </w:p>
    <w:p>
      <w:pPr>
        <w:spacing w:line="400" w:lineRule="exact"/>
        <w:rPr>
          <w:rFonts w:ascii="宋体" w:hAnsi="宋体" w:cs="宋体-PUA"/>
          <w:color w:val="000000" w:themeColor="text1"/>
          <w:sz w:val="24"/>
          <w:highlight w:val="none"/>
          <w14:textFill>
            <w14:solidFill>
              <w14:schemeClr w14:val="tx1"/>
            </w14:solidFill>
          </w14:textFill>
        </w:rPr>
      </w:pPr>
    </w:p>
    <w:p>
      <w:pPr>
        <w:spacing w:line="400" w:lineRule="exact"/>
        <w:ind w:firstLine="3240" w:firstLineChars="1350"/>
        <w:rPr>
          <w:rFonts w:ascii="宋体" w:hAnsi="宋体" w:cs="宋体-PUA"/>
          <w:color w:val="000000" w:themeColor="text1"/>
          <w:sz w:val="24"/>
          <w:highlight w:val="none"/>
          <w:u w:val="singl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投标人：</w:t>
      </w:r>
      <w:r>
        <w:rPr>
          <w:rFonts w:hint="eastAsia" w:ascii="宋体" w:hAnsi="宋体" w:cs="宋体-PUA"/>
          <w:color w:val="000000" w:themeColor="text1"/>
          <w:sz w:val="24"/>
          <w:highlight w:val="none"/>
          <w:u w:val="single"/>
          <w14:textFill>
            <w14:solidFill>
              <w14:schemeClr w14:val="tx1"/>
            </w14:solidFill>
          </w14:textFill>
        </w:rPr>
        <w:t xml:space="preserve">                         （盖章）</w:t>
      </w:r>
    </w:p>
    <w:p>
      <w:pPr>
        <w:spacing w:line="400" w:lineRule="exact"/>
        <w:ind w:firstLine="3240" w:firstLineChars="1350"/>
        <w:rPr>
          <w:rFonts w:ascii="宋体" w:hAnsi="宋体" w:cs="宋体-PUA"/>
          <w:color w:val="000000" w:themeColor="text1"/>
          <w:sz w:val="24"/>
          <w:highlight w:val="none"/>
          <w:u w:val="singl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单位地址：</w:t>
      </w:r>
    </w:p>
    <w:p>
      <w:pPr>
        <w:spacing w:line="400" w:lineRule="exact"/>
        <w:ind w:firstLine="3240" w:firstLineChars="135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法定代表人：</w:t>
      </w:r>
      <w:r>
        <w:rPr>
          <w:rFonts w:hint="eastAsia" w:ascii="宋体" w:hAnsi="宋体" w:cs="宋体-PUA"/>
          <w:color w:val="000000" w:themeColor="text1"/>
          <w:sz w:val="24"/>
          <w:highlight w:val="none"/>
          <w:u w:val="single"/>
          <w14:textFill>
            <w14:solidFill>
              <w14:schemeClr w14:val="tx1"/>
            </w14:solidFill>
          </w14:textFill>
        </w:rPr>
        <w:t xml:space="preserve">                     （盖章）</w:t>
      </w:r>
    </w:p>
    <w:p>
      <w:pPr>
        <w:spacing w:line="400" w:lineRule="exact"/>
        <w:ind w:firstLine="3240" w:firstLineChars="1350"/>
        <w:rPr>
          <w:rFonts w:ascii="宋体" w:hAnsi="宋体" w:cs="宋体-PUA"/>
          <w:color w:val="000000" w:themeColor="text1"/>
          <w:sz w:val="24"/>
          <w:highlight w:val="none"/>
          <w:u w:val="singl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邮政编码:电话： 传真：</w:t>
      </w:r>
    </w:p>
    <w:p>
      <w:pPr>
        <w:spacing w:line="400" w:lineRule="exact"/>
        <w:ind w:firstLine="3240" w:firstLineChars="135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开户银行名称：</w:t>
      </w:r>
    </w:p>
    <w:p>
      <w:pPr>
        <w:spacing w:line="400" w:lineRule="exact"/>
        <w:ind w:firstLine="3240" w:firstLineChars="135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开户银行账号：</w:t>
      </w:r>
    </w:p>
    <w:p>
      <w:pPr>
        <w:spacing w:line="400" w:lineRule="exact"/>
        <w:ind w:firstLine="3240" w:firstLineChars="135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开户银行地址：</w:t>
      </w:r>
    </w:p>
    <w:p>
      <w:pPr>
        <w:spacing w:line="400" w:lineRule="exact"/>
        <w:ind w:firstLine="3240" w:firstLineChars="1350"/>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日期：</w:t>
      </w:r>
      <w:r>
        <w:rPr>
          <w:rFonts w:hint="eastAsia" w:ascii="宋体" w:hAnsi="宋体" w:cs="宋体-PUA"/>
          <w:color w:val="000000" w:themeColor="text1"/>
          <w:sz w:val="24"/>
          <w:highlight w:val="none"/>
          <w:lang w:val="en-US" w:eastAsia="zh-CN"/>
          <w14:textFill>
            <w14:solidFill>
              <w14:schemeClr w14:val="tx1"/>
            </w14:solidFill>
          </w14:textFill>
        </w:rPr>
        <w:t xml:space="preserve"> </w:t>
      </w:r>
      <w:r>
        <w:rPr>
          <w:rFonts w:hint="eastAsia" w:ascii="宋体" w:hAnsi="宋体" w:cs="宋体-PUA"/>
          <w:color w:val="000000" w:themeColor="text1"/>
          <w:sz w:val="24"/>
          <w:highlight w:val="none"/>
          <w14:textFill>
            <w14:solidFill>
              <w14:schemeClr w14:val="tx1"/>
            </w14:solidFill>
          </w14:textFill>
        </w:rPr>
        <w:t>年</w:t>
      </w:r>
      <w:r>
        <w:rPr>
          <w:rFonts w:hint="eastAsia" w:ascii="宋体" w:hAnsi="宋体" w:cs="宋体-PUA"/>
          <w:color w:val="000000" w:themeColor="text1"/>
          <w:sz w:val="24"/>
          <w:highlight w:val="none"/>
          <w:lang w:val="en-US" w:eastAsia="zh-CN"/>
          <w14:textFill>
            <w14:solidFill>
              <w14:schemeClr w14:val="tx1"/>
            </w14:solidFill>
          </w14:textFill>
        </w:rPr>
        <w:t xml:space="preserve">  </w:t>
      </w:r>
      <w:r>
        <w:rPr>
          <w:rFonts w:hint="eastAsia" w:ascii="宋体" w:hAnsi="宋体" w:cs="宋体-PUA"/>
          <w:color w:val="000000" w:themeColor="text1"/>
          <w:sz w:val="24"/>
          <w:highlight w:val="none"/>
          <w14:textFill>
            <w14:solidFill>
              <w14:schemeClr w14:val="tx1"/>
            </w14:solidFill>
          </w14:textFill>
        </w:rPr>
        <w:t>月</w:t>
      </w:r>
      <w:r>
        <w:rPr>
          <w:rFonts w:hint="eastAsia" w:ascii="宋体" w:hAnsi="宋体" w:cs="宋体-PUA"/>
          <w:color w:val="000000" w:themeColor="text1"/>
          <w:sz w:val="24"/>
          <w:highlight w:val="none"/>
          <w:lang w:val="en-US" w:eastAsia="zh-CN"/>
          <w14:textFill>
            <w14:solidFill>
              <w14:schemeClr w14:val="tx1"/>
            </w14:solidFill>
          </w14:textFill>
        </w:rPr>
        <w:t xml:space="preserve">  </w:t>
      </w:r>
      <w:r>
        <w:rPr>
          <w:rFonts w:hint="eastAsia" w:ascii="宋体" w:hAnsi="宋体" w:cs="宋体-PUA"/>
          <w:color w:val="000000" w:themeColor="text1"/>
          <w:sz w:val="24"/>
          <w:highlight w:val="none"/>
          <w14:textFill>
            <w14:solidFill>
              <w14:schemeClr w14:val="tx1"/>
            </w14:solidFill>
          </w14:textFill>
        </w:rPr>
        <w:t xml:space="preserve">日 </w:t>
      </w:r>
    </w:p>
    <w:p>
      <w:pPr>
        <w:pStyle w:val="7"/>
        <w:rPr>
          <w:rFonts w:ascii="宋体" w:hAnsi="宋体" w:cs="宋体-PUA"/>
          <w:color w:val="000000" w:themeColor="text1"/>
          <w:sz w:val="24"/>
          <w:highlight w:val="none"/>
          <w14:textFill>
            <w14:solidFill>
              <w14:schemeClr w14:val="tx1"/>
            </w14:solidFill>
          </w14:textFill>
        </w:rPr>
      </w:pPr>
    </w:p>
    <w:p>
      <w:pPr>
        <w:pStyle w:val="7"/>
        <w:rPr>
          <w:rFonts w:ascii="宋体" w:hAnsi="宋体" w:cs="宋体-PUA"/>
          <w:color w:val="000000" w:themeColor="text1"/>
          <w:sz w:val="24"/>
          <w:highlight w:val="none"/>
          <w14:textFill>
            <w14:solidFill>
              <w14:schemeClr w14:val="tx1"/>
            </w14:solidFill>
          </w14:textFill>
        </w:rPr>
      </w:pPr>
    </w:p>
    <w:p>
      <w:pPr>
        <w:spacing w:line="360" w:lineRule="auto"/>
        <w:ind w:firstLine="480"/>
        <w:rPr>
          <w:rFonts w:ascii="宋体" w:hAnsi="宋体" w:cs="宋体-PUA"/>
          <w:color w:val="000000" w:themeColor="text1"/>
          <w:sz w:val="24"/>
          <w:highlight w:val="none"/>
          <w14:textFill>
            <w14:solidFill>
              <w14:schemeClr w14:val="tx1"/>
            </w14:solidFill>
          </w14:textFill>
        </w:rPr>
      </w:pPr>
    </w:p>
    <w:p>
      <w:pPr>
        <w:spacing w:line="360" w:lineRule="auto"/>
        <w:ind w:firstLine="480"/>
        <w:rPr>
          <w:rFonts w:ascii="宋体" w:hAnsi="宋体" w:cs="宋体-PUA"/>
          <w:color w:val="000000" w:themeColor="text1"/>
          <w:sz w:val="24"/>
          <w:highlight w:val="none"/>
          <w14:textFill>
            <w14:solidFill>
              <w14:schemeClr w14:val="tx1"/>
            </w14:solidFill>
          </w14:textFill>
        </w:rPr>
      </w:pPr>
    </w:p>
    <w:p>
      <w:pPr>
        <w:spacing w:line="400" w:lineRule="exact"/>
        <w:jc w:val="center"/>
        <w:rPr>
          <w:rFonts w:ascii="宋体" w:hAnsi="宋体" w:cs="宋体-PUA"/>
          <w:b/>
          <w:color w:val="000000" w:themeColor="text1"/>
          <w:sz w:val="28"/>
          <w:szCs w:val="28"/>
          <w:highlight w:val="none"/>
          <w14:textFill>
            <w14:solidFill>
              <w14:schemeClr w14:val="tx1"/>
            </w14:solidFill>
          </w14:textFill>
        </w:rPr>
      </w:pPr>
    </w:p>
    <w:p>
      <w:pPr>
        <w:spacing w:line="360" w:lineRule="auto"/>
        <w:rPr>
          <w:rFonts w:ascii="黑体" w:hAnsi="宋体-PUA" w:eastAsia="黑体" w:cs="宋体-PUA"/>
          <w:b/>
          <w:color w:val="000000" w:themeColor="text1"/>
          <w:sz w:val="24"/>
          <w:highlight w:val="none"/>
          <w14:textFill>
            <w14:solidFill>
              <w14:schemeClr w14:val="tx1"/>
            </w14:solidFill>
          </w14:textFill>
        </w:rPr>
      </w:pPr>
    </w:p>
    <w:p>
      <w:pPr>
        <w:spacing w:line="360" w:lineRule="auto"/>
        <w:rPr>
          <w:rFonts w:ascii="黑体" w:hAnsi="宋体-PUA" w:eastAsia="黑体" w:cs="宋体-PUA"/>
          <w:b/>
          <w:color w:val="000000" w:themeColor="text1"/>
          <w:sz w:val="24"/>
          <w:highlight w:val="none"/>
          <w14:textFill>
            <w14:solidFill>
              <w14:schemeClr w14:val="tx1"/>
            </w14:solidFill>
          </w14:textFill>
        </w:rPr>
      </w:pPr>
    </w:p>
    <w:p>
      <w:pPr>
        <w:spacing w:line="360" w:lineRule="auto"/>
        <w:rPr>
          <w:rFonts w:ascii="黑体" w:hAnsi="宋体-PUA" w:eastAsia="黑体" w:cs="宋体-PUA"/>
          <w:b/>
          <w:color w:val="000000" w:themeColor="text1"/>
          <w:sz w:val="24"/>
          <w:highlight w:val="none"/>
          <w14:textFill>
            <w14:solidFill>
              <w14:schemeClr w14:val="tx1"/>
            </w14:solidFill>
          </w14:textFill>
        </w:rPr>
      </w:pPr>
    </w:p>
    <w:p>
      <w:pPr>
        <w:spacing w:line="360" w:lineRule="auto"/>
        <w:rPr>
          <w:rFonts w:ascii="黑体" w:hAnsi="宋体-PUA" w:eastAsia="黑体" w:cs="宋体-PUA"/>
          <w:b/>
          <w:color w:val="000000" w:themeColor="text1"/>
          <w:sz w:val="24"/>
          <w:highlight w:val="none"/>
          <w14:textFill>
            <w14:solidFill>
              <w14:schemeClr w14:val="tx1"/>
            </w14:solidFill>
          </w14:textFill>
        </w:rPr>
      </w:pPr>
    </w:p>
    <w:sectPr>
      <w:pgSz w:w="11906" w:h="16838"/>
      <w:pgMar w:top="1440" w:right="128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宋体-PUA">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separate"/>
    </w:r>
    <w:r>
      <w:rPr>
        <w:rStyle w:val="19"/>
      </w:rPr>
      <w:t>37</w:t>
    </w:r>
    <w: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877A14"/>
    <w:multiLevelType w:val="singleLevel"/>
    <w:tmpl w:val="BA877A14"/>
    <w:lvl w:ilvl="0" w:tentative="0">
      <w:start w:val="1"/>
      <w:numFmt w:val="decimal"/>
      <w:suff w:val="nothing"/>
      <w:lvlText w:val="%1、"/>
      <w:lvlJc w:val="left"/>
    </w:lvl>
  </w:abstractNum>
  <w:abstractNum w:abstractNumId="1">
    <w:nsid w:val="BEC897DD"/>
    <w:multiLevelType w:val="singleLevel"/>
    <w:tmpl w:val="BEC897DD"/>
    <w:lvl w:ilvl="0" w:tentative="0">
      <w:start w:val="1"/>
      <w:numFmt w:val="decimal"/>
      <w:lvlText w:val="%1."/>
      <w:lvlJc w:val="left"/>
      <w:pPr>
        <w:tabs>
          <w:tab w:val="left" w:pos="312"/>
        </w:tabs>
      </w:pPr>
    </w:lvl>
  </w:abstractNum>
  <w:abstractNum w:abstractNumId="2">
    <w:nsid w:val="E1EBCCBE"/>
    <w:multiLevelType w:val="singleLevel"/>
    <w:tmpl w:val="E1EBCCBE"/>
    <w:lvl w:ilvl="0" w:tentative="0">
      <w:start w:val="2"/>
      <w:numFmt w:val="chineseCounting"/>
      <w:suff w:val="nothing"/>
      <w:lvlText w:val="%1、"/>
      <w:lvlJc w:val="left"/>
      <w:rPr>
        <w:rFonts w:hint="eastAsia"/>
      </w:rPr>
    </w:lvl>
  </w:abstractNum>
  <w:abstractNum w:abstractNumId="3">
    <w:nsid w:val="00000004"/>
    <w:multiLevelType w:val="multilevel"/>
    <w:tmpl w:val="00000004"/>
    <w:lvl w:ilvl="0" w:tentative="0">
      <w:start w:val="1"/>
      <w:numFmt w:val="chineseCountingThousand"/>
      <w:lvlText w:val="%1."/>
      <w:lvlJc w:val="left"/>
      <w:rPr>
        <w:rFonts w:hint="eastAsia" w:ascii="宋体" w:hAnsi="宋体" w:eastAsia="宋体" w:cs="Times New Roman"/>
        <w:b/>
        <w:i w:val="0"/>
        <w:sz w:val="21"/>
        <w:szCs w:val="21"/>
      </w:rPr>
    </w:lvl>
    <w:lvl w:ilvl="1" w:tentative="0">
      <w:start w:val="1"/>
      <w:numFmt w:val="decimal"/>
      <w:pStyle w:val="5"/>
      <w:lvlText w:val="%2."/>
      <w:lvlJc w:val="left"/>
      <w:rPr>
        <w:rFonts w:hint="eastAsia" w:cs="Times New Roman"/>
      </w:rPr>
    </w:lvl>
    <w:lvl w:ilvl="2" w:tentative="0">
      <w:start w:val="1"/>
      <w:numFmt w:val="decimal"/>
      <w:lvlText w:val="%2.%3."/>
      <w:lvlJc w:val="left"/>
      <w:rPr>
        <w:rFonts w:hint="eastAsia" w:cs="Times New Roman"/>
      </w:rPr>
    </w:lvl>
    <w:lvl w:ilvl="3" w:tentative="0">
      <w:start w:val="1"/>
      <w:numFmt w:val="decimal"/>
      <w:lvlText w:val="%2.%3.%4."/>
      <w:lvlJc w:val="left"/>
      <w:rPr>
        <w:rFonts w:hint="eastAsia" w:cs="Times New Roman"/>
      </w:rPr>
    </w:lvl>
    <w:lvl w:ilvl="4" w:tentative="0">
      <w:start w:val="1"/>
      <w:numFmt w:val="decimal"/>
      <w:lvlText w:val="%2.%3.%4.%5."/>
      <w:lvlJc w:val="left"/>
      <w:rPr>
        <w:rFonts w:hint="eastAsia" w:cs="Times New Roman"/>
      </w:rPr>
    </w:lvl>
    <w:lvl w:ilvl="5" w:tentative="0">
      <w:start w:val="1"/>
      <w:numFmt w:val="decimal"/>
      <w:isLgl/>
      <w:lvlText w:val="%2.%3.%4.%5.%6."/>
      <w:lvlJc w:val="left"/>
      <w:rPr>
        <w:rFonts w:hint="eastAsia" w:ascii="宋体" w:hAnsi="宋体" w:eastAsia="宋体" w:cs="Times New Roman"/>
        <w:b/>
        <w:bCs w:val="0"/>
        <w:i w:val="0"/>
        <w:iCs w:val="0"/>
        <w:caps w:val="0"/>
        <w:smallCaps w:val="0"/>
        <w:vanish w:val="0"/>
        <w:spacing w:val="0"/>
        <w:position w:val="0"/>
        <w:sz w:val="24"/>
        <w:u w:val="none"/>
        <w:vertAlign w:val="baseline"/>
      </w:rPr>
    </w:lvl>
    <w:lvl w:ilvl="6" w:tentative="0">
      <w:start w:val="1"/>
      <w:numFmt w:val="decimal"/>
      <w:isLgl/>
      <w:lvlText w:val="%1.%2.%3.%4.%5.%6.%7."/>
      <w:lvlJc w:val="left"/>
      <w:rPr>
        <w:rFonts w:hint="eastAsia" w:cs="Times New Roman"/>
      </w:rPr>
    </w:lvl>
    <w:lvl w:ilvl="7" w:tentative="0">
      <w:start w:val="1"/>
      <w:numFmt w:val="decimal"/>
      <w:lvlText w:val="%1.%2.%3.%4.%5.%6.%7.%8."/>
      <w:lvlJc w:val="left"/>
      <w:rPr>
        <w:rFonts w:hint="eastAsia" w:cs="Times New Roman"/>
      </w:rPr>
    </w:lvl>
    <w:lvl w:ilvl="8" w:tentative="0">
      <w:start w:val="1"/>
      <w:numFmt w:val="decimal"/>
      <w:lvlText w:val="%1.%2.%3.%4.%5.%6.%7.%8.%9."/>
      <w:lvlJc w:val="left"/>
      <w:rPr>
        <w:rFonts w:hint="eastAsia" w:cs="Times New Roman"/>
      </w:rPr>
    </w:lvl>
  </w:abstractNum>
  <w:abstractNum w:abstractNumId="4">
    <w:nsid w:val="570508C6"/>
    <w:multiLevelType w:val="singleLevel"/>
    <w:tmpl w:val="570508C6"/>
    <w:lvl w:ilvl="0" w:tentative="0">
      <w:start w:val="1"/>
      <w:numFmt w:val="chineseCounting"/>
      <w:suff w:val="nothing"/>
      <w:lvlText w:val="%1、"/>
      <w:lvlJc w:val="left"/>
    </w:lvl>
  </w:abstractNum>
  <w:abstractNum w:abstractNumId="5">
    <w:nsid w:val="5AB12011"/>
    <w:multiLevelType w:val="singleLevel"/>
    <w:tmpl w:val="5AB12011"/>
    <w:lvl w:ilvl="0" w:tentative="0">
      <w:start w:val="3"/>
      <w:numFmt w:val="chineseCounting"/>
      <w:suff w:val="nothing"/>
      <w:lvlText w:val="%1、"/>
      <w:lvlJc w:val="left"/>
    </w:lvl>
  </w:abstractNum>
  <w:abstractNum w:abstractNumId="6">
    <w:nsid w:val="5AB220A3"/>
    <w:multiLevelType w:val="singleLevel"/>
    <w:tmpl w:val="5AB220A3"/>
    <w:lvl w:ilvl="0" w:tentative="0">
      <w:start w:val="2"/>
      <w:numFmt w:val="decimal"/>
      <w:lvlText w:val="%1."/>
      <w:lvlJc w:val="left"/>
      <w:pPr>
        <w:tabs>
          <w:tab w:val="left" w:pos="312"/>
        </w:tabs>
      </w:pPr>
    </w:lvl>
  </w:abstractNum>
  <w:abstractNum w:abstractNumId="7">
    <w:nsid w:val="743E34F4"/>
    <w:multiLevelType w:val="multilevel"/>
    <w:tmpl w:val="743E34F4"/>
    <w:lvl w:ilvl="0" w:tentative="0">
      <w:start w:val="1"/>
      <w:numFmt w:val="japaneseCounting"/>
      <w:lvlText w:val="（%1）"/>
      <w:lvlJc w:val="left"/>
      <w:pPr>
        <w:ind w:left="1452" w:hanging="885"/>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3"/>
  </w:num>
  <w:num w:numId="2">
    <w:abstractNumId w:val="2"/>
  </w:num>
  <w:num w:numId="3">
    <w:abstractNumId w:val="1"/>
  </w:num>
  <w:num w:numId="4">
    <w:abstractNumId w:val="7"/>
  </w:num>
  <w:num w:numId="5">
    <w:abstractNumId w:val="5"/>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D77865"/>
    <w:rsid w:val="000058E9"/>
    <w:rsid w:val="0001077A"/>
    <w:rsid w:val="000173C6"/>
    <w:rsid w:val="00017437"/>
    <w:rsid w:val="00026114"/>
    <w:rsid w:val="0002717B"/>
    <w:rsid w:val="000701E5"/>
    <w:rsid w:val="0007139F"/>
    <w:rsid w:val="00096D4D"/>
    <w:rsid w:val="000A6728"/>
    <w:rsid w:val="000B3D4B"/>
    <w:rsid w:val="000B67BE"/>
    <w:rsid w:val="000C0EE7"/>
    <w:rsid w:val="00104A7A"/>
    <w:rsid w:val="00106D22"/>
    <w:rsid w:val="00110239"/>
    <w:rsid w:val="001311A8"/>
    <w:rsid w:val="00134D86"/>
    <w:rsid w:val="00165D1E"/>
    <w:rsid w:val="00180872"/>
    <w:rsid w:val="00183BB2"/>
    <w:rsid w:val="001854C7"/>
    <w:rsid w:val="00192B81"/>
    <w:rsid w:val="00197A0B"/>
    <w:rsid w:val="001A648C"/>
    <w:rsid w:val="001A65F2"/>
    <w:rsid w:val="001C495B"/>
    <w:rsid w:val="001C4FC1"/>
    <w:rsid w:val="001D1FA0"/>
    <w:rsid w:val="001E1E45"/>
    <w:rsid w:val="001E6D52"/>
    <w:rsid w:val="001F619E"/>
    <w:rsid w:val="00201820"/>
    <w:rsid w:val="00204975"/>
    <w:rsid w:val="0021489F"/>
    <w:rsid w:val="002167F9"/>
    <w:rsid w:val="00223353"/>
    <w:rsid w:val="00247E27"/>
    <w:rsid w:val="00250628"/>
    <w:rsid w:val="00257C8A"/>
    <w:rsid w:val="002766D1"/>
    <w:rsid w:val="00280AF2"/>
    <w:rsid w:val="002817BE"/>
    <w:rsid w:val="002826BA"/>
    <w:rsid w:val="002945C0"/>
    <w:rsid w:val="002A1D17"/>
    <w:rsid w:val="002B23D7"/>
    <w:rsid w:val="002C1338"/>
    <w:rsid w:val="002C62D0"/>
    <w:rsid w:val="002D373B"/>
    <w:rsid w:val="002E0A4B"/>
    <w:rsid w:val="002F16D3"/>
    <w:rsid w:val="002F635B"/>
    <w:rsid w:val="00301B6D"/>
    <w:rsid w:val="00302861"/>
    <w:rsid w:val="00303463"/>
    <w:rsid w:val="00306D91"/>
    <w:rsid w:val="00307B35"/>
    <w:rsid w:val="00311186"/>
    <w:rsid w:val="00316191"/>
    <w:rsid w:val="003230F9"/>
    <w:rsid w:val="003269AF"/>
    <w:rsid w:val="0033001A"/>
    <w:rsid w:val="00351666"/>
    <w:rsid w:val="00354778"/>
    <w:rsid w:val="00355BB5"/>
    <w:rsid w:val="00362026"/>
    <w:rsid w:val="0036681B"/>
    <w:rsid w:val="003717E7"/>
    <w:rsid w:val="00372817"/>
    <w:rsid w:val="00384CA5"/>
    <w:rsid w:val="00385B98"/>
    <w:rsid w:val="00394F0D"/>
    <w:rsid w:val="00395937"/>
    <w:rsid w:val="003A2F6E"/>
    <w:rsid w:val="003A366C"/>
    <w:rsid w:val="003A6AA0"/>
    <w:rsid w:val="003B6878"/>
    <w:rsid w:val="003C53C2"/>
    <w:rsid w:val="003D3BDA"/>
    <w:rsid w:val="003D5057"/>
    <w:rsid w:val="003E0966"/>
    <w:rsid w:val="003F2D18"/>
    <w:rsid w:val="003F3968"/>
    <w:rsid w:val="003F5D8B"/>
    <w:rsid w:val="0040307C"/>
    <w:rsid w:val="00404C9F"/>
    <w:rsid w:val="0040672D"/>
    <w:rsid w:val="00416719"/>
    <w:rsid w:val="00426583"/>
    <w:rsid w:val="00437D01"/>
    <w:rsid w:val="00442D6F"/>
    <w:rsid w:val="00465CAB"/>
    <w:rsid w:val="00466713"/>
    <w:rsid w:val="00466FA2"/>
    <w:rsid w:val="00473B42"/>
    <w:rsid w:val="0047617D"/>
    <w:rsid w:val="004816D3"/>
    <w:rsid w:val="00484E88"/>
    <w:rsid w:val="00485366"/>
    <w:rsid w:val="004855D2"/>
    <w:rsid w:val="00491647"/>
    <w:rsid w:val="004B762A"/>
    <w:rsid w:val="004C1757"/>
    <w:rsid w:val="004C5693"/>
    <w:rsid w:val="004C6E54"/>
    <w:rsid w:val="004D2E9A"/>
    <w:rsid w:val="004E0E19"/>
    <w:rsid w:val="004E5C22"/>
    <w:rsid w:val="004F21AE"/>
    <w:rsid w:val="004F2664"/>
    <w:rsid w:val="004F6E0F"/>
    <w:rsid w:val="00503A43"/>
    <w:rsid w:val="005108C1"/>
    <w:rsid w:val="00514802"/>
    <w:rsid w:val="005152BB"/>
    <w:rsid w:val="005217B3"/>
    <w:rsid w:val="00530E72"/>
    <w:rsid w:val="00531954"/>
    <w:rsid w:val="00542FD9"/>
    <w:rsid w:val="00543755"/>
    <w:rsid w:val="005448D9"/>
    <w:rsid w:val="0055163C"/>
    <w:rsid w:val="00554623"/>
    <w:rsid w:val="005553A1"/>
    <w:rsid w:val="00560A69"/>
    <w:rsid w:val="00565FDD"/>
    <w:rsid w:val="005851C7"/>
    <w:rsid w:val="00585991"/>
    <w:rsid w:val="0058720B"/>
    <w:rsid w:val="00592705"/>
    <w:rsid w:val="00597FD0"/>
    <w:rsid w:val="005A6FE4"/>
    <w:rsid w:val="005B125A"/>
    <w:rsid w:val="005D0CB7"/>
    <w:rsid w:val="005D1DD3"/>
    <w:rsid w:val="005D543E"/>
    <w:rsid w:val="005E276D"/>
    <w:rsid w:val="005E3256"/>
    <w:rsid w:val="005E37B6"/>
    <w:rsid w:val="005E4B5C"/>
    <w:rsid w:val="00600DC2"/>
    <w:rsid w:val="0062024E"/>
    <w:rsid w:val="006209FB"/>
    <w:rsid w:val="006315FB"/>
    <w:rsid w:val="00635273"/>
    <w:rsid w:val="006408E7"/>
    <w:rsid w:val="00642D8C"/>
    <w:rsid w:val="0065380B"/>
    <w:rsid w:val="00662F33"/>
    <w:rsid w:val="0068597A"/>
    <w:rsid w:val="00690FFE"/>
    <w:rsid w:val="0069547D"/>
    <w:rsid w:val="00697273"/>
    <w:rsid w:val="006A67FC"/>
    <w:rsid w:val="006C2F1C"/>
    <w:rsid w:val="006D62DF"/>
    <w:rsid w:val="006E1F94"/>
    <w:rsid w:val="006F57BD"/>
    <w:rsid w:val="00711C83"/>
    <w:rsid w:val="007202A1"/>
    <w:rsid w:val="00720AAD"/>
    <w:rsid w:val="00721D79"/>
    <w:rsid w:val="00722860"/>
    <w:rsid w:val="0072298D"/>
    <w:rsid w:val="00724ABA"/>
    <w:rsid w:val="007338F3"/>
    <w:rsid w:val="00746974"/>
    <w:rsid w:val="00753C6B"/>
    <w:rsid w:val="00762FD7"/>
    <w:rsid w:val="007645C0"/>
    <w:rsid w:val="00765E30"/>
    <w:rsid w:val="00777A6F"/>
    <w:rsid w:val="00791EEE"/>
    <w:rsid w:val="00793548"/>
    <w:rsid w:val="00796F86"/>
    <w:rsid w:val="007A1EAF"/>
    <w:rsid w:val="007B362F"/>
    <w:rsid w:val="007B7EA1"/>
    <w:rsid w:val="007D489C"/>
    <w:rsid w:val="007D5F11"/>
    <w:rsid w:val="007D78E1"/>
    <w:rsid w:val="007E0C87"/>
    <w:rsid w:val="007E5CD2"/>
    <w:rsid w:val="007F0152"/>
    <w:rsid w:val="007F17B0"/>
    <w:rsid w:val="007F40A6"/>
    <w:rsid w:val="007F4E58"/>
    <w:rsid w:val="007F766A"/>
    <w:rsid w:val="00812855"/>
    <w:rsid w:val="00813B1F"/>
    <w:rsid w:val="00817303"/>
    <w:rsid w:val="00817400"/>
    <w:rsid w:val="00820A60"/>
    <w:rsid w:val="008222DE"/>
    <w:rsid w:val="00824FC3"/>
    <w:rsid w:val="0083274A"/>
    <w:rsid w:val="00832B9B"/>
    <w:rsid w:val="0084192D"/>
    <w:rsid w:val="00841FF8"/>
    <w:rsid w:val="00855CC9"/>
    <w:rsid w:val="00872477"/>
    <w:rsid w:val="008732B9"/>
    <w:rsid w:val="00883318"/>
    <w:rsid w:val="00887772"/>
    <w:rsid w:val="008A5F59"/>
    <w:rsid w:val="008B3F69"/>
    <w:rsid w:val="008E45F3"/>
    <w:rsid w:val="008E4B15"/>
    <w:rsid w:val="008F4359"/>
    <w:rsid w:val="00906637"/>
    <w:rsid w:val="00915B33"/>
    <w:rsid w:val="00925A6D"/>
    <w:rsid w:val="009323C6"/>
    <w:rsid w:val="00937D06"/>
    <w:rsid w:val="00955F13"/>
    <w:rsid w:val="0096057B"/>
    <w:rsid w:val="0097162E"/>
    <w:rsid w:val="00972092"/>
    <w:rsid w:val="009755D3"/>
    <w:rsid w:val="009767E3"/>
    <w:rsid w:val="00984699"/>
    <w:rsid w:val="009909C3"/>
    <w:rsid w:val="00992323"/>
    <w:rsid w:val="009A6175"/>
    <w:rsid w:val="009B27D9"/>
    <w:rsid w:val="009D14D2"/>
    <w:rsid w:val="009F1AF0"/>
    <w:rsid w:val="00A05561"/>
    <w:rsid w:val="00A164A1"/>
    <w:rsid w:val="00A21610"/>
    <w:rsid w:val="00A30D76"/>
    <w:rsid w:val="00A34B3C"/>
    <w:rsid w:val="00A35C85"/>
    <w:rsid w:val="00A37597"/>
    <w:rsid w:val="00A37A8D"/>
    <w:rsid w:val="00A55ED8"/>
    <w:rsid w:val="00A56215"/>
    <w:rsid w:val="00A63924"/>
    <w:rsid w:val="00A711D2"/>
    <w:rsid w:val="00A80B4F"/>
    <w:rsid w:val="00A83F06"/>
    <w:rsid w:val="00A84FB3"/>
    <w:rsid w:val="00A85091"/>
    <w:rsid w:val="00AA6B0E"/>
    <w:rsid w:val="00AB79B3"/>
    <w:rsid w:val="00AC1678"/>
    <w:rsid w:val="00AD020B"/>
    <w:rsid w:val="00AD0312"/>
    <w:rsid w:val="00AD14E4"/>
    <w:rsid w:val="00AD2A0A"/>
    <w:rsid w:val="00AE0DE1"/>
    <w:rsid w:val="00AE69D0"/>
    <w:rsid w:val="00AF20BF"/>
    <w:rsid w:val="00B017B9"/>
    <w:rsid w:val="00B01D72"/>
    <w:rsid w:val="00B04553"/>
    <w:rsid w:val="00B04C0C"/>
    <w:rsid w:val="00B06AB0"/>
    <w:rsid w:val="00B14096"/>
    <w:rsid w:val="00B159BA"/>
    <w:rsid w:val="00B43CD8"/>
    <w:rsid w:val="00B46FDB"/>
    <w:rsid w:val="00B56007"/>
    <w:rsid w:val="00B57B99"/>
    <w:rsid w:val="00B74BE2"/>
    <w:rsid w:val="00B752E7"/>
    <w:rsid w:val="00B77C5C"/>
    <w:rsid w:val="00B8178D"/>
    <w:rsid w:val="00BA1AF1"/>
    <w:rsid w:val="00BA4F2C"/>
    <w:rsid w:val="00BB1209"/>
    <w:rsid w:val="00BC0DE7"/>
    <w:rsid w:val="00BC1BCE"/>
    <w:rsid w:val="00BD2190"/>
    <w:rsid w:val="00BF7386"/>
    <w:rsid w:val="00C00B7B"/>
    <w:rsid w:val="00C16FF0"/>
    <w:rsid w:val="00C17C74"/>
    <w:rsid w:val="00C2441C"/>
    <w:rsid w:val="00C255C5"/>
    <w:rsid w:val="00C358BD"/>
    <w:rsid w:val="00C43463"/>
    <w:rsid w:val="00C73E9B"/>
    <w:rsid w:val="00CC35AA"/>
    <w:rsid w:val="00CC4CC7"/>
    <w:rsid w:val="00CD0165"/>
    <w:rsid w:val="00D0164F"/>
    <w:rsid w:val="00D157A1"/>
    <w:rsid w:val="00D266F7"/>
    <w:rsid w:val="00D528A4"/>
    <w:rsid w:val="00D807A3"/>
    <w:rsid w:val="00D81484"/>
    <w:rsid w:val="00DA3914"/>
    <w:rsid w:val="00DA40C5"/>
    <w:rsid w:val="00DA580D"/>
    <w:rsid w:val="00DB28B1"/>
    <w:rsid w:val="00DB7016"/>
    <w:rsid w:val="00DC7907"/>
    <w:rsid w:val="00DD3C4B"/>
    <w:rsid w:val="00DD4C3F"/>
    <w:rsid w:val="00DE4880"/>
    <w:rsid w:val="00DE6939"/>
    <w:rsid w:val="00E047B2"/>
    <w:rsid w:val="00E14E2C"/>
    <w:rsid w:val="00E17C3C"/>
    <w:rsid w:val="00E30F0F"/>
    <w:rsid w:val="00E3495A"/>
    <w:rsid w:val="00E4394F"/>
    <w:rsid w:val="00E56BE9"/>
    <w:rsid w:val="00E57EC6"/>
    <w:rsid w:val="00E609BA"/>
    <w:rsid w:val="00E638C4"/>
    <w:rsid w:val="00E7158A"/>
    <w:rsid w:val="00E76CB9"/>
    <w:rsid w:val="00E816DD"/>
    <w:rsid w:val="00E95A2D"/>
    <w:rsid w:val="00EA2630"/>
    <w:rsid w:val="00EA7769"/>
    <w:rsid w:val="00EB407E"/>
    <w:rsid w:val="00EC44D3"/>
    <w:rsid w:val="00EC79BD"/>
    <w:rsid w:val="00EE3E26"/>
    <w:rsid w:val="00EE4F79"/>
    <w:rsid w:val="00EF0581"/>
    <w:rsid w:val="00F01AC9"/>
    <w:rsid w:val="00F028B5"/>
    <w:rsid w:val="00F0376C"/>
    <w:rsid w:val="00F0447D"/>
    <w:rsid w:val="00F078D5"/>
    <w:rsid w:val="00F202C0"/>
    <w:rsid w:val="00F44676"/>
    <w:rsid w:val="00F50A43"/>
    <w:rsid w:val="00F520F7"/>
    <w:rsid w:val="00F5287D"/>
    <w:rsid w:val="00F54597"/>
    <w:rsid w:val="00F56DFF"/>
    <w:rsid w:val="00F60EB1"/>
    <w:rsid w:val="00F6247D"/>
    <w:rsid w:val="00F76313"/>
    <w:rsid w:val="00F84284"/>
    <w:rsid w:val="00F861DC"/>
    <w:rsid w:val="00F96D97"/>
    <w:rsid w:val="00FA4D64"/>
    <w:rsid w:val="00FE1E1F"/>
    <w:rsid w:val="00FF1E97"/>
    <w:rsid w:val="01AC795F"/>
    <w:rsid w:val="01D34140"/>
    <w:rsid w:val="01E0337E"/>
    <w:rsid w:val="01F70F44"/>
    <w:rsid w:val="025C49EE"/>
    <w:rsid w:val="025C7D7B"/>
    <w:rsid w:val="02EB2E28"/>
    <w:rsid w:val="03DB429C"/>
    <w:rsid w:val="05F41D84"/>
    <w:rsid w:val="06111790"/>
    <w:rsid w:val="07352AF0"/>
    <w:rsid w:val="080044F5"/>
    <w:rsid w:val="08E34F8D"/>
    <w:rsid w:val="0BCF0957"/>
    <w:rsid w:val="0CCB0A0B"/>
    <w:rsid w:val="0CE04CBD"/>
    <w:rsid w:val="0D0D3458"/>
    <w:rsid w:val="0D781E29"/>
    <w:rsid w:val="0E916633"/>
    <w:rsid w:val="0F750574"/>
    <w:rsid w:val="0F8130B1"/>
    <w:rsid w:val="0FC22DE2"/>
    <w:rsid w:val="10E1612A"/>
    <w:rsid w:val="11202FEA"/>
    <w:rsid w:val="11463225"/>
    <w:rsid w:val="11827CBD"/>
    <w:rsid w:val="12E7191C"/>
    <w:rsid w:val="13EC4CBE"/>
    <w:rsid w:val="14AA0A07"/>
    <w:rsid w:val="16A902B1"/>
    <w:rsid w:val="17011BF7"/>
    <w:rsid w:val="17096D67"/>
    <w:rsid w:val="17E02724"/>
    <w:rsid w:val="19574DBF"/>
    <w:rsid w:val="1AEE4636"/>
    <w:rsid w:val="1B065F4F"/>
    <w:rsid w:val="1B8100D3"/>
    <w:rsid w:val="1C0622D0"/>
    <w:rsid w:val="1CD767DD"/>
    <w:rsid w:val="1D793825"/>
    <w:rsid w:val="1E501ECB"/>
    <w:rsid w:val="1E79088D"/>
    <w:rsid w:val="1F444E50"/>
    <w:rsid w:val="20B86AB4"/>
    <w:rsid w:val="20D747E2"/>
    <w:rsid w:val="21247AA2"/>
    <w:rsid w:val="215A0F65"/>
    <w:rsid w:val="21BD5166"/>
    <w:rsid w:val="22981461"/>
    <w:rsid w:val="23657CC8"/>
    <w:rsid w:val="242172C6"/>
    <w:rsid w:val="24973E5C"/>
    <w:rsid w:val="24A835C1"/>
    <w:rsid w:val="250B6A86"/>
    <w:rsid w:val="25F16F54"/>
    <w:rsid w:val="26C56530"/>
    <w:rsid w:val="288D1CE9"/>
    <w:rsid w:val="29947DD5"/>
    <w:rsid w:val="2A0773B7"/>
    <w:rsid w:val="2ADB055C"/>
    <w:rsid w:val="2B57624A"/>
    <w:rsid w:val="2B683643"/>
    <w:rsid w:val="2EE415B8"/>
    <w:rsid w:val="30A72EEC"/>
    <w:rsid w:val="327D1DFE"/>
    <w:rsid w:val="331C0424"/>
    <w:rsid w:val="33A54D34"/>
    <w:rsid w:val="33D248A0"/>
    <w:rsid w:val="340523F0"/>
    <w:rsid w:val="346A7DEF"/>
    <w:rsid w:val="36F05BAE"/>
    <w:rsid w:val="370623BF"/>
    <w:rsid w:val="377032D5"/>
    <w:rsid w:val="380B4033"/>
    <w:rsid w:val="38CE513F"/>
    <w:rsid w:val="393E7BD3"/>
    <w:rsid w:val="3A4127A6"/>
    <w:rsid w:val="3B425EC8"/>
    <w:rsid w:val="3B4438C5"/>
    <w:rsid w:val="3BA617F6"/>
    <w:rsid w:val="3BB9313E"/>
    <w:rsid w:val="3CC31F68"/>
    <w:rsid w:val="3E3D0C34"/>
    <w:rsid w:val="41044D67"/>
    <w:rsid w:val="41E43412"/>
    <w:rsid w:val="42E66121"/>
    <w:rsid w:val="437E1399"/>
    <w:rsid w:val="43D77865"/>
    <w:rsid w:val="43F4090A"/>
    <w:rsid w:val="455B1F85"/>
    <w:rsid w:val="46AA20FD"/>
    <w:rsid w:val="47380A67"/>
    <w:rsid w:val="479A580F"/>
    <w:rsid w:val="48D40488"/>
    <w:rsid w:val="498118A6"/>
    <w:rsid w:val="49E91405"/>
    <w:rsid w:val="4B552FB5"/>
    <w:rsid w:val="5054095A"/>
    <w:rsid w:val="5140655E"/>
    <w:rsid w:val="5164486C"/>
    <w:rsid w:val="517B7F24"/>
    <w:rsid w:val="52BF2FD2"/>
    <w:rsid w:val="551556A5"/>
    <w:rsid w:val="55DE571E"/>
    <w:rsid w:val="56096F6E"/>
    <w:rsid w:val="566700E6"/>
    <w:rsid w:val="56BC6CDA"/>
    <w:rsid w:val="58591F7E"/>
    <w:rsid w:val="58FD01CD"/>
    <w:rsid w:val="5AF32A37"/>
    <w:rsid w:val="5C144DBD"/>
    <w:rsid w:val="5C8C4DC0"/>
    <w:rsid w:val="5CD72D5D"/>
    <w:rsid w:val="5CFF31A6"/>
    <w:rsid w:val="5D983C26"/>
    <w:rsid w:val="5E2E6987"/>
    <w:rsid w:val="608F7758"/>
    <w:rsid w:val="610C2407"/>
    <w:rsid w:val="619C7F7B"/>
    <w:rsid w:val="61C461DD"/>
    <w:rsid w:val="62380CBF"/>
    <w:rsid w:val="638A1273"/>
    <w:rsid w:val="64300BBD"/>
    <w:rsid w:val="65122C0F"/>
    <w:rsid w:val="69485C1B"/>
    <w:rsid w:val="6A071E00"/>
    <w:rsid w:val="6BE21F6E"/>
    <w:rsid w:val="6D1C49E6"/>
    <w:rsid w:val="6D931006"/>
    <w:rsid w:val="6DF4502D"/>
    <w:rsid w:val="6E2B1B88"/>
    <w:rsid w:val="6EF058BF"/>
    <w:rsid w:val="6FB82500"/>
    <w:rsid w:val="70751038"/>
    <w:rsid w:val="708270AF"/>
    <w:rsid w:val="7101614A"/>
    <w:rsid w:val="71E7615C"/>
    <w:rsid w:val="72F03173"/>
    <w:rsid w:val="73CA63C6"/>
    <w:rsid w:val="73E82D35"/>
    <w:rsid w:val="757F7850"/>
    <w:rsid w:val="76C93995"/>
    <w:rsid w:val="77566C06"/>
    <w:rsid w:val="775E2893"/>
    <w:rsid w:val="79EC5A82"/>
    <w:rsid w:val="7A64295B"/>
    <w:rsid w:val="7C757179"/>
    <w:rsid w:val="7E7D59E4"/>
    <w:rsid w:val="7EDF0903"/>
    <w:rsid w:val="7F946362"/>
    <w:rsid w:val="7FB86D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pageBreakBefore/>
      <w:spacing w:before="340" w:after="330" w:line="578" w:lineRule="auto"/>
      <w:jc w:val="center"/>
      <w:outlineLvl w:val="0"/>
    </w:pPr>
    <w:rPr>
      <w:rFonts w:ascii="Calibri" w:hAnsi="Calibri" w:eastAsia="仿宋_GB2312"/>
      <w:b/>
      <w:bCs/>
      <w:kern w:val="44"/>
      <w:sz w:val="44"/>
      <w:szCs w:val="44"/>
    </w:rPr>
  </w:style>
  <w:style w:type="paragraph" w:styleId="5">
    <w:name w:val="heading 2"/>
    <w:basedOn w:val="1"/>
    <w:next w:val="1"/>
    <w:qFormat/>
    <w:uiPriority w:val="9"/>
    <w:pPr>
      <w:keepNext/>
      <w:keepLines/>
      <w:numPr>
        <w:ilvl w:val="1"/>
        <w:numId w:val="1"/>
      </w:numPr>
      <w:spacing w:beforeLines="50" w:afterLines="50" w:line="360" w:lineRule="auto"/>
      <w:outlineLvl w:val="1"/>
    </w:pPr>
    <w:rPr>
      <w:b/>
      <w:sz w:val="20"/>
      <w:szCs w:val="20"/>
    </w:rPr>
  </w:style>
  <w:style w:type="paragraph" w:styleId="6">
    <w:name w:val="heading 3"/>
    <w:basedOn w:val="1"/>
    <w:next w:val="1"/>
    <w:qFormat/>
    <w:uiPriority w:val="9"/>
    <w:pPr>
      <w:keepNext/>
      <w:keepLines/>
      <w:spacing w:before="260" w:after="260" w:line="416" w:lineRule="auto"/>
      <w:outlineLvl w:val="2"/>
    </w:pPr>
    <w:rPr>
      <w:rFonts w:ascii="Calibri" w:hAnsi="Calibri" w:eastAsia="仿宋_GB2312"/>
      <w:b/>
      <w:bCs/>
      <w:sz w:val="32"/>
      <w:szCs w:val="32"/>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qFormat/>
    <w:uiPriority w:val="0"/>
    <w:pPr>
      <w:spacing w:after="120" w:line="240" w:lineRule="auto"/>
      <w:ind w:left="420" w:leftChars="200" w:firstLine="420" w:firstLineChars="200"/>
    </w:pPr>
    <w:rPr>
      <w:rFonts w:ascii="等线" w:hAnsi="等线" w:eastAsia="等线"/>
      <w:sz w:val="21"/>
    </w:rPr>
  </w:style>
  <w:style w:type="paragraph" w:customStyle="1" w:styleId="3">
    <w:name w:val="Body Text Indent1"/>
    <w:basedOn w:val="1"/>
    <w:qFormat/>
    <w:uiPriority w:val="0"/>
    <w:pPr>
      <w:spacing w:line="360" w:lineRule="auto"/>
      <w:ind w:firstLine="435"/>
    </w:pPr>
    <w:rPr>
      <w:sz w:val="28"/>
    </w:rPr>
  </w:style>
  <w:style w:type="paragraph" w:styleId="7">
    <w:name w:val="Body Text"/>
    <w:basedOn w:val="1"/>
    <w:qFormat/>
    <w:uiPriority w:val="0"/>
    <w:rPr>
      <w:rFonts w:eastAsia="黑体"/>
      <w:b/>
      <w:bCs/>
      <w:spacing w:val="20"/>
      <w:kern w:val="52"/>
      <w:sz w:val="56"/>
    </w:rPr>
  </w:style>
  <w:style w:type="paragraph" w:styleId="8">
    <w:name w:val="Body Text Indent"/>
    <w:basedOn w:val="1"/>
    <w:unhideWhenUsed/>
    <w:qFormat/>
    <w:uiPriority w:val="99"/>
    <w:pPr>
      <w:spacing w:after="120"/>
      <w:ind w:left="420" w:leftChars="200"/>
    </w:pPr>
  </w:style>
  <w:style w:type="paragraph" w:styleId="9">
    <w:name w:val="Plain Text"/>
    <w:basedOn w:val="1"/>
    <w:link w:val="24"/>
    <w:unhideWhenUsed/>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10">
    <w:name w:val="Date"/>
    <w:basedOn w:val="1"/>
    <w:next w:val="1"/>
    <w:link w:val="23"/>
    <w:unhideWhenUsed/>
    <w:qFormat/>
    <w:uiPriority w:val="99"/>
    <w:pPr>
      <w:ind w:left="100" w:leftChars="2500"/>
    </w:pPr>
  </w:style>
  <w:style w:type="paragraph" w:styleId="11">
    <w:name w:val="footer"/>
    <w:basedOn w:val="1"/>
    <w:unhideWhenUsed/>
    <w:qFormat/>
    <w:uiPriority w:val="0"/>
    <w:pPr>
      <w:tabs>
        <w:tab w:val="center" w:pos="4153"/>
        <w:tab w:val="right" w:pos="8306"/>
      </w:tabs>
      <w:snapToGrid w:val="0"/>
      <w:jc w:val="left"/>
    </w:pPr>
    <w:rPr>
      <w:sz w:val="18"/>
      <w:szCs w:val="18"/>
    </w:rPr>
  </w:style>
  <w:style w:type="paragraph" w:styleId="12">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qFormat/>
    <w:uiPriority w:val="0"/>
    <w:pPr>
      <w:spacing w:after="120" w:line="480" w:lineRule="auto"/>
    </w:p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6">
    <w:name w:val="Table Grid"/>
    <w:basedOn w:val="1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uiPriority w:val="22"/>
    <w:rPr>
      <w:b/>
      <w:bCs/>
    </w:rPr>
  </w:style>
  <w:style w:type="character" w:styleId="19">
    <w:name w:val="page number"/>
    <w:basedOn w:val="17"/>
    <w:unhideWhenUsed/>
    <w:qFormat/>
    <w:uiPriority w:val="99"/>
  </w:style>
  <w:style w:type="character" w:styleId="20">
    <w:name w:val="FollowedHyperlink"/>
    <w:basedOn w:val="17"/>
    <w:qFormat/>
    <w:uiPriority w:val="0"/>
    <w:rPr>
      <w:color w:val="000000"/>
      <w:sz w:val="18"/>
      <w:szCs w:val="18"/>
      <w:u w:val="none"/>
    </w:rPr>
  </w:style>
  <w:style w:type="character" w:styleId="21">
    <w:name w:val="Hyperlink"/>
    <w:basedOn w:val="17"/>
    <w:qFormat/>
    <w:uiPriority w:val="0"/>
    <w:rPr>
      <w:color w:val="000000"/>
      <w:sz w:val="18"/>
      <w:szCs w:val="18"/>
      <w:u w:val="none"/>
    </w:rPr>
  </w:style>
  <w:style w:type="character" w:customStyle="1" w:styleId="22">
    <w:name w:val="large1"/>
    <w:basedOn w:val="17"/>
    <w:qFormat/>
    <w:uiPriority w:val="0"/>
    <w:rPr>
      <w:rFonts w:hint="eastAsia" w:ascii="宋体" w:hAnsi="宋体" w:eastAsia="宋体"/>
      <w:sz w:val="21"/>
      <w:szCs w:val="21"/>
    </w:rPr>
  </w:style>
  <w:style w:type="character" w:customStyle="1" w:styleId="23">
    <w:name w:val="日期 Char"/>
    <w:basedOn w:val="17"/>
    <w:link w:val="10"/>
    <w:semiHidden/>
    <w:qFormat/>
    <w:uiPriority w:val="99"/>
    <w:rPr>
      <w:kern w:val="2"/>
      <w:sz w:val="21"/>
      <w:szCs w:val="24"/>
    </w:rPr>
  </w:style>
  <w:style w:type="character" w:customStyle="1" w:styleId="24">
    <w:name w:val="纯文本 Char"/>
    <w:basedOn w:val="17"/>
    <w:link w:val="9"/>
    <w:qFormat/>
    <w:locked/>
    <w:uiPriority w:val="0"/>
    <w:rPr>
      <w:rFonts w:ascii="宋体" w:hAnsi="Courier New" w:eastAsia="宋体"/>
      <w:sz w:val="21"/>
      <w:lang w:bidi="ar-SA"/>
    </w:rPr>
  </w:style>
  <w:style w:type="paragraph" w:customStyle="1" w:styleId="25">
    <w:name w:val="目录"/>
    <w:basedOn w:val="1"/>
    <w:qFormat/>
    <w:uiPriority w:val="0"/>
    <w:pPr>
      <w:widowControl/>
      <w:jc w:val="center"/>
    </w:pPr>
    <w:rPr>
      <w:rFonts w:ascii="宋体"/>
      <w:b/>
      <w:kern w:val="0"/>
      <w:sz w:val="36"/>
      <w:szCs w:val="20"/>
    </w:rPr>
  </w:style>
  <w:style w:type="paragraph" w:customStyle="1" w:styleId="26">
    <w:name w:val="15"/>
    <w:basedOn w:val="1"/>
    <w:qFormat/>
    <w:uiPriority w:val="0"/>
    <w:pPr>
      <w:widowControl/>
      <w:snapToGrid w:val="0"/>
      <w:spacing w:before="100" w:after="100"/>
      <w:jc w:val="left"/>
    </w:pPr>
    <w:rPr>
      <w:rFonts w:ascii="宋体" w:hAnsi="宋体"/>
      <w:kern w:val="0"/>
      <w:sz w:val="24"/>
    </w:rPr>
  </w:style>
  <w:style w:type="paragraph" w:customStyle="1" w:styleId="27">
    <w:name w:val="0"/>
    <w:basedOn w:val="1"/>
    <w:qFormat/>
    <w:uiPriority w:val="0"/>
    <w:pPr>
      <w:widowControl/>
      <w:snapToGrid w:val="0"/>
    </w:pPr>
    <w:rPr>
      <w:kern w:val="0"/>
    </w:rPr>
  </w:style>
  <w:style w:type="character" w:customStyle="1" w:styleId="28">
    <w:name w:val="NormalCharacter"/>
    <w:qFormat/>
    <w:uiPriority w:val="0"/>
    <w:rPr>
      <w:rFonts w:ascii="Times New Roman" w:hAnsi="Times New Roman" w:eastAsia="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3709</Words>
  <Characters>21143</Characters>
  <Lines>176</Lines>
  <Paragraphs>49</Paragraphs>
  <TotalTime>10</TotalTime>
  <ScaleCrop>false</ScaleCrop>
  <LinksUpToDate>false</LinksUpToDate>
  <CharactersWithSpaces>24803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2019-09-03T00:49:00Z</dcterms:created>
  <dc:creator>Administrator</dc:creator>
  <cp:lastModifiedBy>zhm</cp:lastModifiedBy>
  <cp:lastPrinted>2021-02-04T01:03:00Z</cp:lastPrinted>
  <dcterms:modified xsi:type="dcterms:W3CDTF">2021-02-26T01:48:55Z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